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9DD5A" w14:textId="77777777" w:rsidR="00D9414C" w:rsidRPr="005C60AB" w:rsidRDefault="007F2BAB" w:rsidP="00752B12">
      <w:pPr>
        <w:spacing w:after="0" w:line="360" w:lineRule="auto"/>
        <w:jc w:val="both"/>
        <w:rPr>
          <w:rFonts w:cs="Arial"/>
          <w:b/>
          <w:sz w:val="36"/>
          <w:szCs w:val="36"/>
          <w:lang w:val="en-GB"/>
        </w:rPr>
      </w:pPr>
      <w:bookmarkStart w:id="0" w:name="_GoBack"/>
      <w:bookmarkEnd w:id="0"/>
      <w:r w:rsidRPr="005C60AB">
        <w:rPr>
          <w:rFonts w:cs="Arial"/>
          <w:b/>
          <w:sz w:val="36"/>
          <w:szCs w:val="36"/>
          <w:lang w:val="en-GB"/>
        </w:rPr>
        <w:t xml:space="preserve">Evaluation of </w:t>
      </w:r>
      <w:r w:rsidR="00A158C4" w:rsidRPr="005C60AB">
        <w:rPr>
          <w:rFonts w:cs="Arial"/>
          <w:b/>
          <w:sz w:val="36"/>
          <w:szCs w:val="36"/>
          <w:lang w:val="en-GB"/>
        </w:rPr>
        <w:t xml:space="preserve">Antigens </w:t>
      </w:r>
      <w:r w:rsidRPr="005C60AB">
        <w:rPr>
          <w:rFonts w:cs="Arial"/>
          <w:b/>
          <w:sz w:val="36"/>
          <w:szCs w:val="36"/>
          <w:lang w:val="en-GB"/>
        </w:rPr>
        <w:t xml:space="preserve">for Development of a </w:t>
      </w:r>
      <w:r w:rsidR="009A0BC2" w:rsidRPr="005C60AB">
        <w:rPr>
          <w:rFonts w:cs="Arial"/>
          <w:b/>
          <w:sz w:val="36"/>
          <w:szCs w:val="36"/>
          <w:lang w:val="en-GB"/>
        </w:rPr>
        <w:t>Serological</w:t>
      </w:r>
      <w:r w:rsidRPr="005C60AB">
        <w:rPr>
          <w:rFonts w:cs="Arial"/>
          <w:b/>
          <w:sz w:val="36"/>
          <w:szCs w:val="36"/>
          <w:lang w:val="en-GB"/>
        </w:rPr>
        <w:t xml:space="preserve"> T</w:t>
      </w:r>
      <w:r w:rsidR="00291F7B" w:rsidRPr="005C60AB">
        <w:rPr>
          <w:rFonts w:cs="Arial"/>
          <w:b/>
          <w:sz w:val="36"/>
          <w:szCs w:val="36"/>
          <w:lang w:val="en-GB"/>
        </w:rPr>
        <w:t>est for Human African Trypanosomiasis</w:t>
      </w:r>
    </w:p>
    <w:p w14:paraId="289DB38B" w14:textId="77777777" w:rsidR="00D9414C" w:rsidRPr="00D9414C" w:rsidRDefault="00D9414C" w:rsidP="00752B12">
      <w:pPr>
        <w:pStyle w:val="PlainText"/>
        <w:jc w:val="both"/>
        <w:rPr>
          <w:rFonts w:asciiTheme="minorHAnsi" w:hAnsiTheme="minorHAnsi" w:cs="Arial"/>
          <w:b/>
          <w:sz w:val="22"/>
          <w:szCs w:val="22"/>
          <w:lang w:val="en-GB"/>
        </w:rPr>
      </w:pPr>
    </w:p>
    <w:p w14:paraId="44FD9A10" w14:textId="3FE9B704" w:rsidR="00D9414C" w:rsidRPr="00D9414C" w:rsidRDefault="00D9414C" w:rsidP="00D9414C">
      <w:pPr>
        <w:pStyle w:val="PlainText"/>
        <w:spacing w:line="360" w:lineRule="auto"/>
        <w:jc w:val="both"/>
        <w:rPr>
          <w:rFonts w:asciiTheme="minorHAnsi" w:hAnsiTheme="minorHAnsi" w:cs="Arial"/>
          <w:b/>
          <w:sz w:val="22"/>
          <w:szCs w:val="22"/>
          <w:lang w:val="en-GB"/>
        </w:rPr>
      </w:pPr>
      <w:r w:rsidRPr="00D9414C">
        <w:rPr>
          <w:rFonts w:asciiTheme="minorHAnsi" w:hAnsiTheme="minorHAnsi" w:cs="Arial"/>
          <w:b/>
          <w:sz w:val="22"/>
          <w:szCs w:val="22"/>
          <w:lang w:val="en-GB"/>
        </w:rPr>
        <w:t>Sylvain Biéler</w:t>
      </w:r>
      <w:r>
        <w:rPr>
          <w:rFonts w:asciiTheme="minorHAnsi" w:hAnsiTheme="minorHAnsi" w:cs="Arial"/>
          <w:b/>
          <w:sz w:val="22"/>
          <w:szCs w:val="22"/>
          <w:vertAlign w:val="superscript"/>
          <w:lang w:val="en-GB"/>
        </w:rPr>
        <w:t>1</w:t>
      </w:r>
      <w:r w:rsidRPr="00D9414C">
        <w:rPr>
          <w:rFonts w:asciiTheme="minorHAnsi" w:hAnsiTheme="minorHAnsi" w:cs="Arial"/>
          <w:b/>
          <w:sz w:val="22"/>
          <w:szCs w:val="22"/>
          <w:vertAlign w:val="superscript"/>
          <w:lang w:val="en-GB"/>
        </w:rPr>
        <w:t>*</w:t>
      </w:r>
      <w:r>
        <w:rPr>
          <w:rFonts w:asciiTheme="minorHAnsi" w:hAnsiTheme="minorHAnsi" w:cs="Arial"/>
          <w:b/>
          <w:sz w:val="22"/>
          <w:szCs w:val="22"/>
          <w:lang w:val="en-GB"/>
        </w:rPr>
        <w:t xml:space="preserve">, </w:t>
      </w:r>
      <w:r w:rsidR="00E91ECE">
        <w:rPr>
          <w:rFonts w:asciiTheme="minorHAnsi" w:hAnsiTheme="minorHAnsi" w:cs="Arial"/>
          <w:b/>
          <w:sz w:val="22"/>
          <w:szCs w:val="22"/>
          <w:lang w:val="en-GB"/>
        </w:rPr>
        <w:t xml:space="preserve">Harald </w:t>
      </w:r>
      <w:r w:rsidR="00E91ECE" w:rsidRPr="00CA716C">
        <w:rPr>
          <w:rFonts w:asciiTheme="minorHAnsi" w:hAnsiTheme="minorHAnsi" w:cs="Arial"/>
          <w:b/>
          <w:sz w:val="22"/>
          <w:szCs w:val="22"/>
          <w:lang w:val="en-GB"/>
        </w:rPr>
        <w:t>Waltenberger</w:t>
      </w:r>
      <w:r w:rsidR="00B352A6" w:rsidRPr="00CA716C">
        <w:rPr>
          <w:rFonts w:asciiTheme="minorHAnsi" w:hAnsiTheme="minorHAnsi" w:cs="Arial"/>
          <w:b/>
          <w:sz w:val="22"/>
          <w:szCs w:val="22"/>
          <w:vertAlign w:val="superscript"/>
          <w:lang w:val="en-GB"/>
        </w:rPr>
        <w:t>2</w:t>
      </w:r>
      <w:r w:rsidRPr="00CA716C">
        <w:rPr>
          <w:rFonts w:asciiTheme="minorHAnsi" w:hAnsiTheme="minorHAnsi" w:cs="Arial"/>
          <w:b/>
          <w:sz w:val="22"/>
          <w:szCs w:val="22"/>
          <w:lang w:val="en-GB"/>
        </w:rPr>
        <w:t xml:space="preserve">, </w:t>
      </w:r>
      <w:r w:rsidR="00FE24A1" w:rsidRPr="00CA716C">
        <w:rPr>
          <w:rFonts w:asciiTheme="minorHAnsi" w:hAnsiTheme="minorHAnsi" w:cs="Arial"/>
          <w:b/>
          <w:sz w:val="22"/>
          <w:szCs w:val="22"/>
          <w:lang w:val="en-GB"/>
        </w:rPr>
        <w:t>Michael</w:t>
      </w:r>
      <w:r w:rsidR="00FE0472" w:rsidRPr="00860F7E">
        <w:rPr>
          <w:rFonts w:asciiTheme="minorHAnsi" w:hAnsiTheme="minorHAnsi" w:cs="Arial"/>
          <w:b/>
          <w:sz w:val="22"/>
          <w:szCs w:val="22"/>
          <w:lang w:val="en-GB"/>
        </w:rPr>
        <w:t xml:space="preserve"> P.</w:t>
      </w:r>
      <w:r w:rsidR="00FE24A1" w:rsidRPr="00CA716C">
        <w:rPr>
          <w:rFonts w:asciiTheme="minorHAnsi" w:hAnsiTheme="minorHAnsi" w:cs="Arial"/>
          <w:b/>
          <w:sz w:val="22"/>
          <w:szCs w:val="22"/>
          <w:lang w:val="en-GB"/>
        </w:rPr>
        <w:t xml:space="preserve"> Barrett</w:t>
      </w:r>
      <w:r w:rsidR="000001E1" w:rsidRPr="00CA716C">
        <w:rPr>
          <w:rFonts w:asciiTheme="minorHAnsi" w:hAnsiTheme="minorHAnsi" w:cs="Arial"/>
          <w:b/>
          <w:sz w:val="22"/>
          <w:szCs w:val="22"/>
          <w:vertAlign w:val="superscript"/>
          <w:lang w:val="en-GB"/>
        </w:rPr>
        <w:t>3</w:t>
      </w:r>
      <w:r w:rsidR="00FE24A1" w:rsidRPr="00CA716C">
        <w:rPr>
          <w:rFonts w:asciiTheme="minorHAnsi" w:hAnsiTheme="minorHAnsi" w:cs="Arial"/>
          <w:b/>
          <w:sz w:val="22"/>
          <w:szCs w:val="22"/>
          <w:lang w:val="en-GB"/>
        </w:rPr>
        <w:t>,</w:t>
      </w:r>
      <w:r w:rsidR="00E36B1C" w:rsidRPr="00CA716C">
        <w:rPr>
          <w:rFonts w:asciiTheme="minorHAnsi" w:hAnsiTheme="minorHAnsi" w:cs="Arial"/>
          <w:b/>
          <w:sz w:val="22"/>
          <w:szCs w:val="22"/>
          <w:lang w:val="en-GB"/>
        </w:rPr>
        <w:t xml:space="preserve"> Richard</w:t>
      </w:r>
      <w:r w:rsidR="00E36B1C">
        <w:rPr>
          <w:rFonts w:asciiTheme="minorHAnsi" w:hAnsiTheme="minorHAnsi" w:cs="Arial"/>
          <w:b/>
          <w:sz w:val="22"/>
          <w:szCs w:val="22"/>
          <w:lang w:val="en-GB"/>
        </w:rPr>
        <w:t xml:space="preserve"> McCulloch</w:t>
      </w:r>
      <w:r w:rsidR="00E36B1C" w:rsidRPr="00E36B1C">
        <w:rPr>
          <w:rFonts w:asciiTheme="minorHAnsi" w:hAnsiTheme="minorHAnsi" w:cs="Arial"/>
          <w:b/>
          <w:sz w:val="22"/>
          <w:szCs w:val="22"/>
          <w:vertAlign w:val="superscript"/>
          <w:lang w:val="en-GB"/>
        </w:rPr>
        <w:t>3</w:t>
      </w:r>
      <w:r w:rsidR="00E36B1C">
        <w:rPr>
          <w:rFonts w:asciiTheme="minorHAnsi" w:hAnsiTheme="minorHAnsi" w:cs="Arial"/>
          <w:b/>
          <w:sz w:val="22"/>
          <w:szCs w:val="22"/>
          <w:lang w:val="en-GB"/>
        </w:rPr>
        <w:t xml:space="preserve">, </w:t>
      </w:r>
      <w:r w:rsidR="00E36B1C" w:rsidRPr="00E36B1C">
        <w:rPr>
          <w:rFonts w:asciiTheme="minorHAnsi" w:hAnsiTheme="minorHAnsi" w:cs="Arial"/>
          <w:b/>
          <w:sz w:val="22"/>
          <w:szCs w:val="22"/>
          <w:lang w:val="en-GB"/>
        </w:rPr>
        <w:t>Jeremy</w:t>
      </w:r>
      <w:r w:rsidR="001577C6">
        <w:rPr>
          <w:rFonts w:asciiTheme="minorHAnsi" w:hAnsiTheme="minorHAnsi" w:cs="Arial"/>
          <w:b/>
          <w:sz w:val="22"/>
          <w:szCs w:val="22"/>
          <w:lang w:val="en-GB"/>
        </w:rPr>
        <w:t xml:space="preserve"> C.</w:t>
      </w:r>
      <w:r w:rsidR="00E36B1C" w:rsidRPr="00E36B1C">
        <w:rPr>
          <w:rFonts w:asciiTheme="minorHAnsi" w:hAnsiTheme="minorHAnsi" w:cs="Arial"/>
          <w:b/>
          <w:sz w:val="22"/>
          <w:szCs w:val="22"/>
          <w:lang w:val="en-GB"/>
        </w:rPr>
        <w:t xml:space="preserve"> Mottram</w:t>
      </w:r>
      <w:r w:rsidR="00E36B1C" w:rsidRPr="00E36B1C">
        <w:rPr>
          <w:rFonts w:asciiTheme="minorHAnsi" w:hAnsiTheme="minorHAnsi" w:cs="Arial"/>
          <w:b/>
          <w:sz w:val="22"/>
          <w:szCs w:val="22"/>
          <w:vertAlign w:val="superscript"/>
          <w:lang w:val="en-GB"/>
        </w:rPr>
        <w:t>3</w:t>
      </w:r>
      <w:r w:rsidR="00E36B1C">
        <w:rPr>
          <w:rFonts w:asciiTheme="minorHAnsi" w:hAnsiTheme="minorHAnsi" w:cs="Arial"/>
          <w:b/>
          <w:sz w:val="22"/>
          <w:szCs w:val="22"/>
          <w:lang w:val="en-GB"/>
        </w:rPr>
        <w:t xml:space="preserve">, </w:t>
      </w:r>
      <w:r w:rsidR="00D074C0">
        <w:rPr>
          <w:rFonts w:asciiTheme="minorHAnsi" w:hAnsiTheme="minorHAnsi" w:cs="Arial"/>
          <w:b/>
          <w:sz w:val="22"/>
          <w:szCs w:val="22"/>
          <w:lang w:val="en-GB"/>
        </w:rPr>
        <w:t xml:space="preserve">Mark </w:t>
      </w:r>
      <w:r w:rsidR="00D074C0" w:rsidRPr="00952AD7">
        <w:rPr>
          <w:rFonts w:asciiTheme="minorHAnsi" w:hAnsiTheme="minorHAnsi" w:cs="Arial"/>
          <w:b/>
          <w:sz w:val="22"/>
          <w:szCs w:val="22"/>
          <w:lang w:val="en-GB"/>
        </w:rPr>
        <w:t>Carrington</w:t>
      </w:r>
      <w:r w:rsidR="000001E1" w:rsidRPr="00952AD7">
        <w:rPr>
          <w:rFonts w:asciiTheme="minorHAnsi" w:hAnsiTheme="minorHAnsi" w:cs="Arial"/>
          <w:b/>
          <w:sz w:val="22"/>
          <w:szCs w:val="22"/>
          <w:vertAlign w:val="superscript"/>
          <w:lang w:val="en-GB"/>
        </w:rPr>
        <w:t>4</w:t>
      </w:r>
      <w:r w:rsidR="00D074C0" w:rsidRPr="00952AD7">
        <w:rPr>
          <w:rFonts w:asciiTheme="minorHAnsi" w:hAnsiTheme="minorHAnsi" w:cs="Arial"/>
          <w:b/>
          <w:sz w:val="22"/>
          <w:szCs w:val="22"/>
          <w:lang w:val="en-GB"/>
        </w:rPr>
        <w:t>,</w:t>
      </w:r>
      <w:r w:rsidR="005A03EB" w:rsidRPr="00952AD7">
        <w:rPr>
          <w:rFonts w:asciiTheme="minorHAnsi" w:hAnsiTheme="minorHAnsi" w:cs="Arial"/>
          <w:b/>
          <w:sz w:val="22"/>
          <w:szCs w:val="22"/>
          <w:lang w:val="en-GB"/>
        </w:rPr>
        <w:t xml:space="preserve"> </w:t>
      </w:r>
      <w:r w:rsidR="003C6061" w:rsidRPr="00673873">
        <w:rPr>
          <w:rFonts w:asciiTheme="minorHAnsi" w:hAnsiTheme="minorHAnsi" w:cs="Arial"/>
          <w:b/>
          <w:sz w:val="22"/>
          <w:szCs w:val="22"/>
          <w:lang w:val="en-GB"/>
        </w:rPr>
        <w:t>Wilhelm Schwaeble</w:t>
      </w:r>
      <w:r w:rsidR="003C6061" w:rsidRPr="00673873">
        <w:rPr>
          <w:rFonts w:asciiTheme="minorHAnsi" w:hAnsiTheme="minorHAnsi" w:cs="Arial"/>
          <w:b/>
          <w:sz w:val="22"/>
          <w:szCs w:val="22"/>
          <w:vertAlign w:val="superscript"/>
          <w:lang w:val="en-GB"/>
        </w:rPr>
        <w:t>5</w:t>
      </w:r>
      <w:r w:rsidR="003C6061">
        <w:rPr>
          <w:rFonts w:asciiTheme="minorHAnsi" w:hAnsiTheme="minorHAnsi" w:cs="Arial"/>
          <w:b/>
          <w:sz w:val="22"/>
          <w:szCs w:val="22"/>
          <w:lang w:val="en-GB"/>
        </w:rPr>
        <w:t xml:space="preserve">, </w:t>
      </w:r>
      <w:r w:rsidR="00673873" w:rsidRPr="00952AD7">
        <w:rPr>
          <w:rFonts w:asciiTheme="minorHAnsi" w:hAnsiTheme="minorHAnsi" w:cs="Arial"/>
          <w:b/>
          <w:sz w:val="22"/>
          <w:szCs w:val="22"/>
          <w:lang w:val="en-GB"/>
        </w:rPr>
        <w:t xml:space="preserve">James </w:t>
      </w:r>
      <w:r w:rsidR="00966D60" w:rsidRPr="00952AD7">
        <w:rPr>
          <w:rFonts w:asciiTheme="minorHAnsi" w:hAnsiTheme="minorHAnsi" w:cs="Arial"/>
          <w:b/>
          <w:sz w:val="22"/>
          <w:szCs w:val="22"/>
          <w:lang w:val="en-GB"/>
        </w:rPr>
        <w:t>McKerrow</w:t>
      </w:r>
      <w:r w:rsidR="00247491">
        <w:rPr>
          <w:rFonts w:asciiTheme="minorHAnsi" w:hAnsiTheme="minorHAnsi" w:cs="Arial"/>
          <w:b/>
          <w:sz w:val="22"/>
          <w:szCs w:val="22"/>
          <w:vertAlign w:val="superscript"/>
          <w:lang w:val="en-GB"/>
        </w:rPr>
        <w:t>6</w:t>
      </w:r>
      <w:r w:rsidR="003C6061">
        <w:rPr>
          <w:rFonts w:asciiTheme="minorHAnsi" w:hAnsiTheme="minorHAnsi" w:cs="Arial"/>
          <w:b/>
          <w:sz w:val="22"/>
          <w:szCs w:val="22"/>
          <w:vertAlign w:val="superscript"/>
          <w:lang w:val="en-GB"/>
        </w:rPr>
        <w:t>,16</w:t>
      </w:r>
      <w:r w:rsidR="00F435FC" w:rsidRPr="00952AD7">
        <w:rPr>
          <w:rFonts w:asciiTheme="minorHAnsi" w:hAnsiTheme="minorHAnsi" w:cs="Arial"/>
          <w:b/>
          <w:sz w:val="22"/>
          <w:szCs w:val="22"/>
          <w:lang w:val="en-GB"/>
        </w:rPr>
        <w:t xml:space="preserve">, </w:t>
      </w:r>
      <w:r w:rsidR="00EB2F27" w:rsidRPr="00952AD7">
        <w:rPr>
          <w:rFonts w:asciiTheme="minorHAnsi" w:hAnsiTheme="minorHAnsi" w:cs="Arial"/>
          <w:b/>
          <w:sz w:val="22"/>
          <w:szCs w:val="22"/>
          <w:lang w:val="en-GB"/>
        </w:rPr>
        <w:t>Margaret</w:t>
      </w:r>
      <w:r w:rsidR="00C77162" w:rsidRPr="00860F7E">
        <w:rPr>
          <w:rFonts w:asciiTheme="minorHAnsi" w:hAnsiTheme="minorHAnsi" w:cs="Arial"/>
          <w:b/>
          <w:sz w:val="22"/>
          <w:szCs w:val="22"/>
          <w:lang w:val="en-GB"/>
        </w:rPr>
        <w:t xml:space="preserve"> A.</w:t>
      </w:r>
      <w:r w:rsidR="00EB2F27" w:rsidRPr="00952AD7">
        <w:rPr>
          <w:rFonts w:asciiTheme="minorHAnsi" w:hAnsiTheme="minorHAnsi" w:cs="Arial"/>
          <w:b/>
          <w:sz w:val="22"/>
          <w:szCs w:val="22"/>
          <w:lang w:val="en-GB"/>
        </w:rPr>
        <w:t xml:space="preserve"> </w:t>
      </w:r>
      <w:r w:rsidR="005A03EB" w:rsidRPr="00952AD7">
        <w:rPr>
          <w:rFonts w:asciiTheme="minorHAnsi" w:hAnsiTheme="minorHAnsi" w:cs="Arial"/>
          <w:b/>
          <w:sz w:val="22"/>
          <w:szCs w:val="22"/>
          <w:lang w:val="en-GB"/>
        </w:rPr>
        <w:t>Phil</w:t>
      </w:r>
      <w:r w:rsidR="00C77162" w:rsidRPr="00860F7E">
        <w:rPr>
          <w:rFonts w:asciiTheme="minorHAnsi" w:hAnsiTheme="minorHAnsi" w:cs="Arial"/>
          <w:b/>
          <w:sz w:val="22"/>
          <w:szCs w:val="22"/>
          <w:lang w:val="en-GB"/>
        </w:rPr>
        <w:t>l</w:t>
      </w:r>
      <w:r w:rsidR="005A03EB" w:rsidRPr="00952AD7">
        <w:rPr>
          <w:rFonts w:asciiTheme="minorHAnsi" w:hAnsiTheme="minorHAnsi" w:cs="Arial"/>
          <w:b/>
          <w:sz w:val="22"/>
          <w:szCs w:val="22"/>
          <w:lang w:val="en-GB"/>
        </w:rPr>
        <w:t>ips</w:t>
      </w:r>
      <w:r w:rsidR="00247491">
        <w:rPr>
          <w:rFonts w:asciiTheme="minorHAnsi" w:hAnsiTheme="minorHAnsi" w:cs="Arial"/>
          <w:b/>
          <w:sz w:val="22"/>
          <w:szCs w:val="22"/>
          <w:vertAlign w:val="superscript"/>
          <w:lang w:val="en-GB"/>
        </w:rPr>
        <w:t>7</w:t>
      </w:r>
      <w:r w:rsidR="005A03EB" w:rsidRPr="00952AD7">
        <w:rPr>
          <w:rFonts w:asciiTheme="minorHAnsi" w:hAnsiTheme="minorHAnsi" w:cs="Arial"/>
          <w:b/>
          <w:sz w:val="22"/>
          <w:szCs w:val="22"/>
          <w:lang w:val="en-GB"/>
        </w:rPr>
        <w:t>,</w:t>
      </w:r>
      <w:r w:rsidR="00D074C0" w:rsidRPr="00952AD7">
        <w:rPr>
          <w:rFonts w:asciiTheme="minorHAnsi" w:hAnsiTheme="minorHAnsi" w:cs="Arial"/>
          <w:b/>
          <w:sz w:val="22"/>
          <w:szCs w:val="22"/>
          <w:lang w:val="en-GB"/>
        </w:rPr>
        <w:t xml:space="preserve"> </w:t>
      </w:r>
      <w:r w:rsidR="000001E1" w:rsidRPr="00952AD7">
        <w:rPr>
          <w:rFonts w:asciiTheme="minorHAnsi" w:hAnsiTheme="minorHAnsi" w:cs="Arial"/>
          <w:b/>
          <w:sz w:val="22"/>
          <w:szCs w:val="22"/>
          <w:lang w:val="en-GB"/>
        </w:rPr>
        <w:t xml:space="preserve">Paul </w:t>
      </w:r>
      <w:r w:rsidR="002A47E6">
        <w:rPr>
          <w:rFonts w:asciiTheme="minorHAnsi" w:hAnsiTheme="minorHAnsi" w:cs="Arial"/>
          <w:b/>
          <w:sz w:val="22"/>
          <w:szCs w:val="22"/>
          <w:lang w:val="en-GB"/>
        </w:rPr>
        <w:t xml:space="preserve">A. </w:t>
      </w:r>
      <w:r w:rsidR="00966D60" w:rsidRPr="00952AD7">
        <w:rPr>
          <w:rFonts w:asciiTheme="minorHAnsi" w:hAnsiTheme="minorHAnsi" w:cs="Arial"/>
          <w:b/>
          <w:sz w:val="22"/>
          <w:szCs w:val="22"/>
          <w:lang w:val="en-GB"/>
        </w:rPr>
        <w:t>Michels</w:t>
      </w:r>
      <w:r w:rsidR="00247491">
        <w:rPr>
          <w:rFonts w:asciiTheme="minorHAnsi" w:hAnsiTheme="minorHAnsi" w:cs="Arial"/>
          <w:b/>
          <w:sz w:val="22"/>
          <w:szCs w:val="22"/>
          <w:vertAlign w:val="superscript"/>
          <w:lang w:val="en-GB"/>
        </w:rPr>
        <w:t>8</w:t>
      </w:r>
      <w:r w:rsidR="000001E1" w:rsidRPr="00952AD7">
        <w:rPr>
          <w:rFonts w:asciiTheme="minorHAnsi" w:hAnsiTheme="minorHAnsi" w:cs="Arial"/>
          <w:b/>
          <w:sz w:val="22"/>
          <w:szCs w:val="22"/>
          <w:lang w:val="en-GB"/>
        </w:rPr>
        <w:t xml:space="preserve">, </w:t>
      </w:r>
      <w:r w:rsidR="00BA740C" w:rsidRPr="00952AD7">
        <w:rPr>
          <w:rFonts w:asciiTheme="minorHAnsi" w:hAnsiTheme="minorHAnsi" w:cs="Arial"/>
          <w:b/>
          <w:sz w:val="22"/>
          <w:szCs w:val="22"/>
          <w:lang w:val="en-GB"/>
        </w:rPr>
        <w:t xml:space="preserve">Philippe </w:t>
      </w:r>
      <w:r w:rsidR="00966D60" w:rsidRPr="00952AD7">
        <w:rPr>
          <w:rFonts w:asciiTheme="minorHAnsi" w:hAnsiTheme="minorHAnsi" w:cs="Arial"/>
          <w:b/>
          <w:sz w:val="22"/>
          <w:szCs w:val="22"/>
          <w:lang w:val="en-GB"/>
        </w:rPr>
        <w:t>Büscher</w:t>
      </w:r>
      <w:r w:rsidR="00247491">
        <w:rPr>
          <w:rFonts w:asciiTheme="minorHAnsi" w:hAnsiTheme="minorHAnsi" w:cs="Arial"/>
          <w:b/>
          <w:sz w:val="22"/>
          <w:szCs w:val="22"/>
          <w:vertAlign w:val="superscript"/>
          <w:lang w:val="en-GB"/>
        </w:rPr>
        <w:t>9</w:t>
      </w:r>
      <w:r w:rsidR="00BA740C" w:rsidRPr="00952AD7">
        <w:rPr>
          <w:rFonts w:asciiTheme="minorHAnsi" w:hAnsiTheme="minorHAnsi" w:cs="Arial"/>
          <w:b/>
          <w:sz w:val="22"/>
          <w:szCs w:val="22"/>
          <w:lang w:val="en-GB"/>
        </w:rPr>
        <w:t>,</w:t>
      </w:r>
      <w:r w:rsidR="00354D08" w:rsidRPr="00952AD7">
        <w:rPr>
          <w:rFonts w:asciiTheme="minorHAnsi" w:hAnsiTheme="minorHAnsi" w:cs="Arial"/>
          <w:b/>
          <w:sz w:val="22"/>
          <w:szCs w:val="22"/>
          <w:lang w:val="en-GB"/>
        </w:rPr>
        <w:t xml:space="preserve"> Jean-Charles </w:t>
      </w:r>
      <w:r w:rsidR="00966D60" w:rsidRPr="00952AD7">
        <w:rPr>
          <w:rFonts w:asciiTheme="minorHAnsi" w:hAnsiTheme="minorHAnsi" w:cs="Arial"/>
          <w:b/>
          <w:sz w:val="22"/>
          <w:szCs w:val="22"/>
          <w:lang w:val="en-GB"/>
        </w:rPr>
        <w:t>Sanchez</w:t>
      </w:r>
      <w:r w:rsidR="00247491">
        <w:rPr>
          <w:rFonts w:asciiTheme="minorHAnsi" w:hAnsiTheme="minorHAnsi" w:cs="Arial"/>
          <w:b/>
          <w:sz w:val="22"/>
          <w:szCs w:val="22"/>
          <w:vertAlign w:val="superscript"/>
          <w:lang w:val="en-GB"/>
        </w:rPr>
        <w:t>10</w:t>
      </w:r>
      <w:r w:rsidR="00354D08" w:rsidRPr="00952AD7">
        <w:rPr>
          <w:rFonts w:asciiTheme="minorHAnsi" w:hAnsiTheme="minorHAnsi" w:cs="Arial"/>
          <w:b/>
          <w:sz w:val="22"/>
          <w:szCs w:val="22"/>
          <w:lang w:val="en-GB"/>
        </w:rPr>
        <w:t xml:space="preserve">, </w:t>
      </w:r>
      <w:r w:rsidR="00F435FC" w:rsidRPr="00952AD7">
        <w:rPr>
          <w:rFonts w:asciiTheme="minorHAnsi" w:hAnsiTheme="minorHAnsi" w:cs="Arial"/>
          <w:b/>
          <w:sz w:val="22"/>
          <w:szCs w:val="22"/>
          <w:lang w:val="en-GB"/>
        </w:rPr>
        <w:t xml:space="preserve">Richard </w:t>
      </w:r>
      <w:r w:rsidR="00FE24A1" w:rsidRPr="00952AD7">
        <w:rPr>
          <w:rFonts w:asciiTheme="minorHAnsi" w:hAnsiTheme="minorHAnsi" w:cs="Arial"/>
          <w:b/>
          <w:sz w:val="22"/>
          <w:szCs w:val="22"/>
          <w:lang w:val="en-GB"/>
        </w:rPr>
        <w:t>Bishop</w:t>
      </w:r>
      <w:r w:rsidR="000001E1" w:rsidRPr="00952AD7">
        <w:rPr>
          <w:rFonts w:asciiTheme="minorHAnsi" w:hAnsiTheme="minorHAnsi" w:cs="Arial"/>
          <w:b/>
          <w:sz w:val="22"/>
          <w:szCs w:val="22"/>
          <w:vertAlign w:val="superscript"/>
          <w:lang w:val="en-GB"/>
        </w:rPr>
        <w:t>1</w:t>
      </w:r>
      <w:r w:rsidR="00247491">
        <w:rPr>
          <w:rFonts w:asciiTheme="minorHAnsi" w:hAnsiTheme="minorHAnsi" w:cs="Arial"/>
          <w:b/>
          <w:sz w:val="22"/>
          <w:szCs w:val="22"/>
          <w:vertAlign w:val="superscript"/>
          <w:lang w:val="en-GB"/>
        </w:rPr>
        <w:t>1</w:t>
      </w:r>
      <w:r w:rsidR="00FE24A1" w:rsidRPr="00952AD7">
        <w:rPr>
          <w:rFonts w:asciiTheme="minorHAnsi" w:hAnsiTheme="minorHAnsi" w:cs="Arial"/>
          <w:b/>
          <w:sz w:val="22"/>
          <w:szCs w:val="22"/>
          <w:lang w:val="en-GB"/>
        </w:rPr>
        <w:t xml:space="preserve">, </w:t>
      </w:r>
      <w:r w:rsidR="00F435FC" w:rsidRPr="00952AD7">
        <w:rPr>
          <w:rFonts w:asciiTheme="minorHAnsi" w:hAnsiTheme="minorHAnsi" w:cs="Arial"/>
          <w:b/>
          <w:sz w:val="22"/>
          <w:szCs w:val="22"/>
          <w:lang w:val="en-GB"/>
        </w:rPr>
        <w:t>Derrick</w:t>
      </w:r>
      <w:r w:rsidR="007F01B5">
        <w:rPr>
          <w:rFonts w:asciiTheme="minorHAnsi" w:hAnsiTheme="minorHAnsi" w:cs="Arial"/>
          <w:b/>
          <w:sz w:val="22"/>
          <w:szCs w:val="22"/>
          <w:lang w:val="en-GB"/>
        </w:rPr>
        <w:t xml:space="preserve"> R.</w:t>
      </w:r>
      <w:r w:rsidR="00F435FC" w:rsidRPr="00952AD7">
        <w:rPr>
          <w:rFonts w:asciiTheme="minorHAnsi" w:hAnsiTheme="minorHAnsi" w:cs="Arial"/>
          <w:b/>
          <w:sz w:val="22"/>
          <w:szCs w:val="22"/>
          <w:lang w:val="en-GB"/>
        </w:rPr>
        <w:t xml:space="preserve"> </w:t>
      </w:r>
      <w:r w:rsidR="00966D60" w:rsidRPr="00952AD7">
        <w:rPr>
          <w:rFonts w:asciiTheme="minorHAnsi" w:hAnsiTheme="minorHAnsi" w:cs="Arial"/>
          <w:b/>
          <w:sz w:val="22"/>
          <w:szCs w:val="22"/>
          <w:lang w:val="en-GB"/>
        </w:rPr>
        <w:t>Robinson</w:t>
      </w:r>
      <w:r w:rsidR="00966D60" w:rsidRPr="00952AD7">
        <w:rPr>
          <w:rFonts w:asciiTheme="minorHAnsi" w:hAnsiTheme="minorHAnsi" w:cs="Arial"/>
          <w:b/>
          <w:sz w:val="22"/>
          <w:szCs w:val="22"/>
          <w:vertAlign w:val="superscript"/>
          <w:lang w:val="en-GB"/>
        </w:rPr>
        <w:t>1</w:t>
      </w:r>
      <w:r w:rsidR="00247491">
        <w:rPr>
          <w:rFonts w:asciiTheme="minorHAnsi" w:hAnsiTheme="minorHAnsi" w:cs="Arial"/>
          <w:b/>
          <w:sz w:val="22"/>
          <w:szCs w:val="22"/>
          <w:vertAlign w:val="superscript"/>
          <w:lang w:val="en-GB"/>
        </w:rPr>
        <w:t>2</w:t>
      </w:r>
      <w:r w:rsidR="00F435FC" w:rsidRPr="00952AD7">
        <w:rPr>
          <w:rFonts w:asciiTheme="minorHAnsi" w:hAnsiTheme="minorHAnsi" w:cs="Arial"/>
          <w:b/>
          <w:sz w:val="22"/>
          <w:szCs w:val="22"/>
          <w:lang w:val="en-GB"/>
        </w:rPr>
        <w:t xml:space="preserve">, </w:t>
      </w:r>
      <w:r w:rsidR="00673873" w:rsidRPr="00952AD7">
        <w:rPr>
          <w:rFonts w:asciiTheme="minorHAnsi" w:hAnsiTheme="minorHAnsi" w:cs="Arial"/>
          <w:b/>
          <w:sz w:val="22"/>
          <w:szCs w:val="22"/>
          <w:lang w:val="en-GB"/>
        </w:rPr>
        <w:t xml:space="preserve">James </w:t>
      </w:r>
      <w:r w:rsidR="00966D60" w:rsidRPr="00952AD7">
        <w:rPr>
          <w:rFonts w:asciiTheme="minorHAnsi" w:hAnsiTheme="minorHAnsi" w:cs="Arial"/>
          <w:b/>
          <w:sz w:val="22"/>
          <w:szCs w:val="22"/>
          <w:lang w:val="en-GB"/>
        </w:rPr>
        <w:t>Bangs</w:t>
      </w:r>
      <w:r w:rsidR="00966D60" w:rsidRPr="00952AD7">
        <w:rPr>
          <w:rFonts w:asciiTheme="minorHAnsi" w:hAnsiTheme="minorHAnsi" w:cs="Arial"/>
          <w:b/>
          <w:sz w:val="22"/>
          <w:szCs w:val="22"/>
          <w:vertAlign w:val="superscript"/>
          <w:lang w:val="en-GB"/>
        </w:rPr>
        <w:t>1</w:t>
      </w:r>
      <w:r w:rsidR="00247491">
        <w:rPr>
          <w:rFonts w:asciiTheme="minorHAnsi" w:hAnsiTheme="minorHAnsi" w:cs="Arial"/>
          <w:b/>
          <w:sz w:val="22"/>
          <w:szCs w:val="22"/>
          <w:vertAlign w:val="superscript"/>
          <w:lang w:val="en-GB"/>
        </w:rPr>
        <w:t>3</w:t>
      </w:r>
      <w:r w:rsidR="00003BF8">
        <w:rPr>
          <w:rFonts w:asciiTheme="minorHAnsi" w:hAnsiTheme="minorHAnsi" w:cs="Arial"/>
          <w:b/>
          <w:sz w:val="22"/>
          <w:szCs w:val="22"/>
          <w:vertAlign w:val="superscript"/>
          <w:lang w:val="en-GB"/>
        </w:rPr>
        <w:t>,</w:t>
      </w:r>
      <w:r w:rsidR="003C6061">
        <w:rPr>
          <w:rFonts w:asciiTheme="minorHAnsi" w:hAnsiTheme="minorHAnsi" w:cs="Arial"/>
          <w:b/>
          <w:sz w:val="22"/>
          <w:szCs w:val="22"/>
          <w:vertAlign w:val="superscript"/>
          <w:lang w:val="en-GB"/>
        </w:rPr>
        <w:t>17</w:t>
      </w:r>
      <w:r w:rsidR="00673873" w:rsidRPr="00952AD7">
        <w:rPr>
          <w:rFonts w:asciiTheme="minorHAnsi" w:hAnsiTheme="minorHAnsi" w:cs="Arial"/>
          <w:b/>
          <w:sz w:val="22"/>
          <w:szCs w:val="22"/>
          <w:lang w:val="en-GB"/>
        </w:rPr>
        <w:t xml:space="preserve">, </w:t>
      </w:r>
      <w:r w:rsidR="00F77DEF" w:rsidRPr="00952AD7">
        <w:rPr>
          <w:rFonts w:asciiTheme="minorHAnsi" w:hAnsiTheme="minorHAnsi" w:cs="Arial"/>
          <w:b/>
          <w:sz w:val="22"/>
          <w:szCs w:val="22"/>
          <w:lang w:val="en-GB"/>
        </w:rPr>
        <w:t xml:space="preserve">Michael </w:t>
      </w:r>
      <w:r w:rsidR="00966D60" w:rsidRPr="00952AD7">
        <w:rPr>
          <w:rFonts w:asciiTheme="minorHAnsi" w:hAnsiTheme="minorHAnsi" w:cs="Arial"/>
          <w:b/>
          <w:sz w:val="22"/>
          <w:szCs w:val="22"/>
          <w:lang w:val="en-GB"/>
        </w:rPr>
        <w:t>Ferguson</w:t>
      </w:r>
      <w:r w:rsidR="00966D60" w:rsidRPr="00952AD7">
        <w:rPr>
          <w:rFonts w:asciiTheme="minorHAnsi" w:hAnsiTheme="minorHAnsi" w:cs="Arial"/>
          <w:b/>
          <w:sz w:val="22"/>
          <w:szCs w:val="22"/>
          <w:vertAlign w:val="superscript"/>
          <w:lang w:val="en-GB"/>
        </w:rPr>
        <w:t>1</w:t>
      </w:r>
      <w:r w:rsidR="00247491">
        <w:rPr>
          <w:rFonts w:asciiTheme="minorHAnsi" w:hAnsiTheme="minorHAnsi" w:cs="Arial"/>
          <w:b/>
          <w:sz w:val="22"/>
          <w:szCs w:val="22"/>
          <w:vertAlign w:val="superscript"/>
          <w:lang w:val="en-GB"/>
        </w:rPr>
        <w:t>4</w:t>
      </w:r>
      <w:r w:rsidR="00426033" w:rsidRPr="00952AD7">
        <w:rPr>
          <w:rFonts w:asciiTheme="minorHAnsi" w:hAnsiTheme="minorHAnsi" w:cs="Arial"/>
          <w:b/>
          <w:sz w:val="22"/>
          <w:szCs w:val="22"/>
          <w:lang w:val="en-GB"/>
        </w:rPr>
        <w:t xml:space="preserve">, </w:t>
      </w:r>
      <w:r w:rsidR="00E46B5B" w:rsidRPr="00952AD7">
        <w:rPr>
          <w:rFonts w:asciiTheme="minorHAnsi" w:hAnsiTheme="minorHAnsi" w:cs="Arial"/>
          <w:b/>
          <w:sz w:val="22"/>
          <w:szCs w:val="22"/>
          <w:lang w:val="en-GB"/>
        </w:rPr>
        <w:t xml:space="preserve">Barbara </w:t>
      </w:r>
      <w:r w:rsidR="00966D60" w:rsidRPr="00952AD7">
        <w:rPr>
          <w:rFonts w:asciiTheme="minorHAnsi" w:hAnsiTheme="minorHAnsi" w:cs="Arial"/>
          <w:b/>
          <w:sz w:val="22"/>
          <w:szCs w:val="22"/>
          <w:lang w:val="en-GB"/>
        </w:rPr>
        <w:t>Nerima</w:t>
      </w:r>
      <w:r w:rsidR="00966D60" w:rsidRPr="00952AD7">
        <w:rPr>
          <w:rFonts w:asciiTheme="minorHAnsi" w:hAnsiTheme="minorHAnsi" w:cs="Arial"/>
          <w:b/>
          <w:sz w:val="22"/>
          <w:szCs w:val="22"/>
          <w:vertAlign w:val="superscript"/>
          <w:lang w:val="en-GB"/>
        </w:rPr>
        <w:t>1</w:t>
      </w:r>
      <w:r w:rsidR="00247491">
        <w:rPr>
          <w:rFonts w:asciiTheme="minorHAnsi" w:hAnsiTheme="minorHAnsi" w:cs="Arial"/>
          <w:b/>
          <w:sz w:val="22"/>
          <w:szCs w:val="22"/>
          <w:vertAlign w:val="superscript"/>
          <w:lang w:val="en-GB"/>
        </w:rPr>
        <w:t>5</w:t>
      </w:r>
      <w:r w:rsidR="00E46B5B" w:rsidRPr="00952AD7">
        <w:rPr>
          <w:rFonts w:asciiTheme="minorHAnsi" w:hAnsiTheme="minorHAnsi" w:cs="Arial"/>
          <w:b/>
          <w:sz w:val="22"/>
          <w:szCs w:val="22"/>
          <w:lang w:val="en-GB"/>
        </w:rPr>
        <w:t xml:space="preserve">, </w:t>
      </w:r>
      <w:r w:rsidR="00426033" w:rsidRPr="00952AD7">
        <w:rPr>
          <w:rFonts w:asciiTheme="minorHAnsi" w:hAnsiTheme="minorHAnsi" w:cs="Arial"/>
          <w:b/>
          <w:sz w:val="22"/>
          <w:szCs w:val="22"/>
          <w:lang w:val="en-GB"/>
        </w:rPr>
        <w:t>Audrey Albertini</w:t>
      </w:r>
      <w:r w:rsidR="00426033" w:rsidRPr="00952AD7">
        <w:rPr>
          <w:rFonts w:asciiTheme="minorHAnsi" w:hAnsiTheme="minorHAnsi" w:cs="Arial"/>
          <w:b/>
          <w:sz w:val="22"/>
          <w:szCs w:val="22"/>
          <w:vertAlign w:val="superscript"/>
          <w:lang w:val="en-GB"/>
        </w:rPr>
        <w:t>1</w:t>
      </w:r>
      <w:r w:rsidR="00426033" w:rsidRPr="00952AD7">
        <w:rPr>
          <w:rFonts w:asciiTheme="minorHAnsi" w:hAnsiTheme="minorHAnsi" w:cs="Arial"/>
          <w:b/>
          <w:sz w:val="22"/>
          <w:szCs w:val="22"/>
          <w:lang w:val="en-GB"/>
        </w:rPr>
        <w:t>, Gerd Michel</w:t>
      </w:r>
      <w:r w:rsidR="00426033" w:rsidRPr="00952AD7">
        <w:rPr>
          <w:rFonts w:asciiTheme="minorHAnsi" w:hAnsiTheme="minorHAnsi" w:cs="Arial"/>
          <w:b/>
          <w:sz w:val="22"/>
          <w:szCs w:val="22"/>
          <w:vertAlign w:val="superscript"/>
          <w:lang w:val="en-GB"/>
        </w:rPr>
        <w:t>1</w:t>
      </w:r>
      <w:r w:rsidR="00426033" w:rsidRPr="00952AD7">
        <w:rPr>
          <w:rFonts w:asciiTheme="minorHAnsi" w:hAnsiTheme="minorHAnsi" w:cs="Arial"/>
          <w:b/>
          <w:sz w:val="22"/>
          <w:szCs w:val="22"/>
          <w:lang w:val="en-GB"/>
        </w:rPr>
        <w:t>, Magdalena Radwandska</w:t>
      </w:r>
      <w:r w:rsidR="00426033" w:rsidRPr="00952AD7">
        <w:rPr>
          <w:rFonts w:asciiTheme="minorHAnsi" w:hAnsiTheme="minorHAnsi" w:cs="Arial"/>
          <w:b/>
          <w:sz w:val="22"/>
          <w:szCs w:val="22"/>
          <w:vertAlign w:val="superscript"/>
          <w:lang w:val="en-GB"/>
        </w:rPr>
        <w:t>1</w:t>
      </w:r>
      <w:r w:rsidR="00155FDF">
        <w:rPr>
          <w:rFonts w:asciiTheme="minorHAnsi" w:hAnsiTheme="minorHAnsi" w:cs="Arial"/>
          <w:b/>
          <w:sz w:val="22"/>
          <w:szCs w:val="22"/>
          <w:vertAlign w:val="superscript"/>
          <w:lang w:val="en-GB"/>
        </w:rPr>
        <w:t>,1</w:t>
      </w:r>
      <w:r w:rsidR="003C6061">
        <w:rPr>
          <w:rFonts w:asciiTheme="minorHAnsi" w:hAnsiTheme="minorHAnsi" w:cs="Arial"/>
          <w:b/>
          <w:sz w:val="22"/>
          <w:szCs w:val="22"/>
          <w:vertAlign w:val="superscript"/>
          <w:lang w:val="en-GB"/>
        </w:rPr>
        <w:t>8</w:t>
      </w:r>
      <w:r w:rsidR="00426033" w:rsidRPr="00952AD7">
        <w:rPr>
          <w:rFonts w:asciiTheme="minorHAnsi" w:hAnsiTheme="minorHAnsi" w:cs="Arial"/>
          <w:b/>
          <w:sz w:val="22"/>
          <w:szCs w:val="22"/>
          <w:lang w:val="en-GB"/>
        </w:rPr>
        <w:t xml:space="preserve">, </w:t>
      </w:r>
      <w:r w:rsidRPr="00952AD7">
        <w:rPr>
          <w:rFonts w:asciiTheme="minorHAnsi" w:hAnsiTheme="minorHAnsi" w:cs="Arial"/>
          <w:b/>
          <w:sz w:val="22"/>
          <w:szCs w:val="22"/>
          <w:lang w:val="en-GB"/>
        </w:rPr>
        <w:t>Joseph</w:t>
      </w:r>
      <w:r w:rsidRPr="00D9414C">
        <w:rPr>
          <w:rFonts w:asciiTheme="minorHAnsi" w:hAnsiTheme="minorHAnsi" w:cs="Arial"/>
          <w:b/>
          <w:sz w:val="22"/>
          <w:szCs w:val="22"/>
          <w:lang w:val="en-GB"/>
        </w:rPr>
        <w:t xml:space="preserve"> Mathu Ndung’u</w:t>
      </w:r>
      <w:r>
        <w:rPr>
          <w:rFonts w:asciiTheme="minorHAnsi" w:hAnsiTheme="minorHAnsi" w:cs="Arial"/>
          <w:b/>
          <w:sz w:val="22"/>
          <w:szCs w:val="22"/>
          <w:vertAlign w:val="superscript"/>
          <w:lang w:val="en-GB"/>
        </w:rPr>
        <w:t>1</w:t>
      </w:r>
    </w:p>
    <w:p w14:paraId="500C24FD" w14:textId="77777777" w:rsidR="00D9414C" w:rsidRPr="00D9414C" w:rsidRDefault="00D9414C" w:rsidP="00752B12">
      <w:pPr>
        <w:autoSpaceDE w:val="0"/>
        <w:autoSpaceDN w:val="0"/>
        <w:adjustRightInd w:val="0"/>
        <w:spacing w:after="0" w:line="240" w:lineRule="auto"/>
        <w:jc w:val="both"/>
        <w:rPr>
          <w:rFonts w:cs="Arial"/>
          <w:b/>
          <w:lang w:val="en-GB"/>
        </w:rPr>
      </w:pPr>
    </w:p>
    <w:p w14:paraId="7CF3DB31" w14:textId="77777777" w:rsidR="00D9414C" w:rsidRPr="005A1A01" w:rsidRDefault="00D9414C" w:rsidP="00D9414C">
      <w:pPr>
        <w:autoSpaceDE w:val="0"/>
        <w:autoSpaceDN w:val="0"/>
        <w:adjustRightInd w:val="0"/>
        <w:spacing w:after="0" w:line="360" w:lineRule="auto"/>
        <w:jc w:val="both"/>
        <w:rPr>
          <w:rFonts w:cs="Arial"/>
          <w:lang w:val="en-GB"/>
        </w:rPr>
      </w:pPr>
      <w:r w:rsidRPr="005A1A01">
        <w:rPr>
          <w:rFonts w:cs="Arial"/>
          <w:vertAlign w:val="superscript"/>
        </w:rPr>
        <w:t>1</w:t>
      </w:r>
      <w:r w:rsidRPr="005A1A01">
        <w:rPr>
          <w:rFonts w:cs="Arial"/>
          <w:lang w:val="en-GB"/>
        </w:rPr>
        <w:t xml:space="preserve"> Foundation for Innovative New Diagnostics (FIND), Geneva, Switzerland</w:t>
      </w:r>
    </w:p>
    <w:p w14:paraId="322CEC79" w14:textId="3E603B64" w:rsidR="006D7E9D" w:rsidRPr="005A1A01" w:rsidRDefault="006D7E9D" w:rsidP="00D9414C">
      <w:pPr>
        <w:autoSpaceDE w:val="0"/>
        <w:autoSpaceDN w:val="0"/>
        <w:adjustRightInd w:val="0"/>
        <w:spacing w:after="0" w:line="360" w:lineRule="auto"/>
        <w:jc w:val="both"/>
        <w:rPr>
          <w:rFonts w:cs="Arial"/>
          <w:lang w:val="en-GB"/>
        </w:rPr>
      </w:pPr>
      <w:r w:rsidRPr="005A1A01">
        <w:rPr>
          <w:rFonts w:cs="Arial"/>
          <w:vertAlign w:val="superscript"/>
          <w:lang w:val="en-GB"/>
        </w:rPr>
        <w:t>2</w:t>
      </w:r>
      <w:r w:rsidRPr="005A1A01">
        <w:rPr>
          <w:rFonts w:cs="Arial"/>
          <w:lang w:val="en-GB"/>
        </w:rPr>
        <w:t xml:space="preserve"> Micro</w:t>
      </w:r>
      <w:r w:rsidR="001577C6" w:rsidRPr="005A1A01">
        <w:rPr>
          <w:rFonts w:cs="Arial"/>
          <w:lang w:val="en-GB"/>
        </w:rPr>
        <w:t>c</w:t>
      </w:r>
      <w:r w:rsidRPr="005A1A01">
        <w:rPr>
          <w:rFonts w:cs="Arial"/>
          <w:lang w:val="en-GB"/>
        </w:rPr>
        <w:t xml:space="preserve">oat </w:t>
      </w:r>
      <w:r w:rsidR="002C2E68" w:rsidRPr="005A1A01">
        <w:rPr>
          <w:rFonts w:cs="Arial"/>
          <w:lang w:val="en-GB"/>
        </w:rPr>
        <w:t>Biotechnologie GmbH</w:t>
      </w:r>
      <w:r w:rsidR="009D2C05" w:rsidRPr="005A1A01">
        <w:rPr>
          <w:rFonts w:cs="Arial"/>
          <w:lang w:val="en-GB"/>
        </w:rPr>
        <w:t>, Bernried, Germany</w:t>
      </w:r>
    </w:p>
    <w:p w14:paraId="0078B999" w14:textId="77777777" w:rsidR="006D7E9D" w:rsidRPr="005A1A01" w:rsidRDefault="000001E1" w:rsidP="006D7E9D">
      <w:pPr>
        <w:autoSpaceDE w:val="0"/>
        <w:autoSpaceDN w:val="0"/>
        <w:adjustRightInd w:val="0"/>
        <w:spacing w:after="0" w:line="360" w:lineRule="auto"/>
        <w:jc w:val="both"/>
        <w:rPr>
          <w:rFonts w:cs="Arial"/>
          <w:lang w:val="en-GB"/>
        </w:rPr>
      </w:pPr>
      <w:r w:rsidRPr="005A1A01">
        <w:rPr>
          <w:rFonts w:cs="Arial"/>
          <w:vertAlign w:val="superscript"/>
          <w:lang w:val="en-GB"/>
        </w:rPr>
        <w:t>3</w:t>
      </w:r>
      <w:r w:rsidR="00D9414C" w:rsidRPr="005A1A01">
        <w:rPr>
          <w:rFonts w:cs="Arial"/>
          <w:lang w:val="en-GB"/>
        </w:rPr>
        <w:t xml:space="preserve"> </w:t>
      </w:r>
      <w:r w:rsidR="001577C6" w:rsidRPr="005A1A01">
        <w:rPr>
          <w:rFonts w:cs="Arial"/>
          <w:lang w:val="en-GB"/>
        </w:rPr>
        <w:t xml:space="preserve">Wellcome Trust Centre for Molecular Parasitology, </w:t>
      </w:r>
      <w:r w:rsidR="006D7E9D" w:rsidRPr="005A1A01">
        <w:rPr>
          <w:rFonts w:cs="Arial"/>
          <w:lang w:val="en-GB"/>
        </w:rPr>
        <w:t xml:space="preserve">University of Glasgow, Glasgow, </w:t>
      </w:r>
      <w:r w:rsidR="000E08FF" w:rsidRPr="005A1A01">
        <w:rPr>
          <w:rFonts w:cs="Arial"/>
          <w:lang w:val="en-GB"/>
        </w:rPr>
        <w:t>United Kingdom</w:t>
      </w:r>
    </w:p>
    <w:p w14:paraId="3274DBAE" w14:textId="77777777" w:rsidR="006D7E9D" w:rsidRDefault="000001E1" w:rsidP="006D7E9D">
      <w:pPr>
        <w:autoSpaceDE w:val="0"/>
        <w:autoSpaceDN w:val="0"/>
        <w:adjustRightInd w:val="0"/>
        <w:spacing w:after="0" w:line="360" w:lineRule="auto"/>
        <w:jc w:val="both"/>
        <w:rPr>
          <w:rFonts w:cs="Arial"/>
          <w:lang w:val="en-GB"/>
        </w:rPr>
      </w:pPr>
      <w:r w:rsidRPr="005A1A01">
        <w:rPr>
          <w:rFonts w:cs="Arial"/>
          <w:vertAlign w:val="superscript"/>
          <w:lang w:val="en-GB"/>
        </w:rPr>
        <w:t>4</w:t>
      </w:r>
      <w:r w:rsidR="006D7E9D" w:rsidRPr="005A1A01">
        <w:rPr>
          <w:rFonts w:cs="Arial"/>
          <w:lang w:val="en-GB"/>
        </w:rPr>
        <w:t xml:space="preserve"> </w:t>
      </w:r>
      <w:r w:rsidR="00D074C0" w:rsidRPr="005A1A01">
        <w:rPr>
          <w:rFonts w:cs="Arial"/>
          <w:lang w:val="en-GB"/>
        </w:rPr>
        <w:t xml:space="preserve">University of </w:t>
      </w:r>
      <w:r w:rsidR="006D7E9D" w:rsidRPr="005A1A01">
        <w:rPr>
          <w:rFonts w:cs="Arial"/>
          <w:lang w:val="en-GB"/>
        </w:rPr>
        <w:t>Cambridge, Cambridge, United Kingdom</w:t>
      </w:r>
    </w:p>
    <w:p w14:paraId="6CC19273" w14:textId="7F51F0E4" w:rsidR="003C6061" w:rsidRPr="005A1A01" w:rsidRDefault="003C6061" w:rsidP="006D7E9D">
      <w:pPr>
        <w:autoSpaceDE w:val="0"/>
        <w:autoSpaceDN w:val="0"/>
        <w:adjustRightInd w:val="0"/>
        <w:spacing w:after="0" w:line="360" w:lineRule="auto"/>
        <w:jc w:val="both"/>
        <w:rPr>
          <w:rFonts w:cs="Arial"/>
          <w:lang w:val="en-GB"/>
        </w:rPr>
      </w:pPr>
      <w:r w:rsidRPr="003C6061">
        <w:rPr>
          <w:rFonts w:cs="Arial"/>
          <w:vertAlign w:val="superscript"/>
          <w:lang w:val="en-GB"/>
        </w:rPr>
        <w:t>5</w:t>
      </w:r>
      <w:r>
        <w:rPr>
          <w:rFonts w:cs="Arial"/>
          <w:lang w:val="en-GB"/>
        </w:rPr>
        <w:t xml:space="preserve"> </w:t>
      </w:r>
      <w:r w:rsidRPr="003C6061">
        <w:rPr>
          <w:rFonts w:cs="Arial"/>
          <w:lang w:val="en-GB"/>
        </w:rPr>
        <w:t>University of Leicester, Leicester, United Kingdom</w:t>
      </w:r>
    </w:p>
    <w:p w14:paraId="046BC2F5" w14:textId="4AD18B6F" w:rsidR="006D7E9D" w:rsidRPr="005A1A01" w:rsidRDefault="003C6061" w:rsidP="006D7E9D">
      <w:pPr>
        <w:autoSpaceDE w:val="0"/>
        <w:autoSpaceDN w:val="0"/>
        <w:adjustRightInd w:val="0"/>
        <w:spacing w:after="0" w:line="360" w:lineRule="auto"/>
        <w:jc w:val="both"/>
        <w:rPr>
          <w:rFonts w:cs="Arial"/>
          <w:lang w:val="en-GB"/>
        </w:rPr>
      </w:pPr>
      <w:r>
        <w:rPr>
          <w:rFonts w:cs="Arial"/>
          <w:vertAlign w:val="superscript"/>
          <w:lang w:val="en-GB"/>
        </w:rPr>
        <w:t>6</w:t>
      </w:r>
      <w:r w:rsidR="006D7E9D" w:rsidRPr="005A1A01">
        <w:rPr>
          <w:rFonts w:cs="Arial"/>
          <w:lang w:val="en-GB"/>
        </w:rPr>
        <w:t xml:space="preserve"> University of California, </w:t>
      </w:r>
      <w:r w:rsidR="00EC0D6D" w:rsidRPr="005A1A01">
        <w:rPr>
          <w:rFonts w:cs="Arial"/>
          <w:lang w:val="en-GB"/>
        </w:rPr>
        <w:t xml:space="preserve">San Francisco, California, </w:t>
      </w:r>
      <w:r w:rsidR="006D7E9D" w:rsidRPr="005A1A01">
        <w:rPr>
          <w:rFonts w:cs="Arial"/>
          <w:lang w:val="en-GB"/>
        </w:rPr>
        <w:t>United States of America</w:t>
      </w:r>
    </w:p>
    <w:p w14:paraId="3522DD36" w14:textId="72752E12" w:rsidR="006D7E9D" w:rsidRPr="005A1A01" w:rsidRDefault="003C6061" w:rsidP="006D7E9D">
      <w:pPr>
        <w:autoSpaceDE w:val="0"/>
        <w:autoSpaceDN w:val="0"/>
        <w:adjustRightInd w:val="0"/>
        <w:spacing w:after="0" w:line="360" w:lineRule="auto"/>
        <w:jc w:val="both"/>
        <w:rPr>
          <w:rFonts w:cs="Arial"/>
          <w:lang w:val="en-GB"/>
        </w:rPr>
      </w:pPr>
      <w:r>
        <w:rPr>
          <w:rFonts w:cs="Arial"/>
          <w:vertAlign w:val="superscript"/>
          <w:lang w:val="en-GB"/>
        </w:rPr>
        <w:t>7</w:t>
      </w:r>
      <w:r w:rsidR="00966D60" w:rsidRPr="005A1A01">
        <w:rPr>
          <w:rFonts w:cs="Arial"/>
          <w:lang w:val="en-GB"/>
        </w:rPr>
        <w:t xml:space="preserve"> </w:t>
      </w:r>
      <w:r w:rsidR="000E08FF" w:rsidRPr="005A1A01">
        <w:rPr>
          <w:rFonts w:cs="Arial"/>
          <w:lang w:val="en-GB"/>
        </w:rPr>
        <w:t>University of Texas Southwestern Medical Center, Dallas, Texas</w:t>
      </w:r>
      <w:r w:rsidR="006D7E9D" w:rsidRPr="005A1A01">
        <w:rPr>
          <w:rFonts w:cs="Arial"/>
          <w:lang w:val="en-GB"/>
        </w:rPr>
        <w:t>, United States of America</w:t>
      </w:r>
    </w:p>
    <w:p w14:paraId="158D40E7" w14:textId="30F5C378" w:rsidR="006D7E9D" w:rsidRPr="002E5CEB" w:rsidRDefault="003C6061" w:rsidP="006D7E9D">
      <w:pPr>
        <w:autoSpaceDE w:val="0"/>
        <w:autoSpaceDN w:val="0"/>
        <w:adjustRightInd w:val="0"/>
        <w:spacing w:after="0" w:line="360" w:lineRule="auto"/>
        <w:jc w:val="both"/>
        <w:rPr>
          <w:rFonts w:cs="Arial"/>
          <w:lang w:val="fr-CH"/>
        </w:rPr>
      </w:pPr>
      <w:r>
        <w:rPr>
          <w:rFonts w:cs="Arial"/>
          <w:vertAlign w:val="superscript"/>
          <w:lang w:val="fr-CH"/>
        </w:rPr>
        <w:t>8</w:t>
      </w:r>
      <w:r w:rsidR="00966D60" w:rsidRPr="002E5CEB">
        <w:rPr>
          <w:rFonts w:cs="Arial"/>
          <w:lang w:val="fr-CH"/>
        </w:rPr>
        <w:t xml:space="preserve"> </w:t>
      </w:r>
      <w:r w:rsidR="006D7E9D" w:rsidRPr="002E5CEB">
        <w:rPr>
          <w:rFonts w:cs="Arial"/>
          <w:lang w:val="fr-CH"/>
        </w:rPr>
        <w:t xml:space="preserve">Christian de Duve Institute, </w:t>
      </w:r>
      <w:r w:rsidR="000001E1" w:rsidRPr="002E5CEB">
        <w:rPr>
          <w:rFonts w:cs="Arial"/>
          <w:lang w:val="fr-CH"/>
        </w:rPr>
        <w:t>Brussels, Belgium</w:t>
      </w:r>
    </w:p>
    <w:p w14:paraId="66FFA10D" w14:textId="091FB1DD" w:rsidR="006D7E9D" w:rsidRPr="005A1A01" w:rsidRDefault="003C6061" w:rsidP="006D7E9D">
      <w:pPr>
        <w:autoSpaceDE w:val="0"/>
        <w:autoSpaceDN w:val="0"/>
        <w:adjustRightInd w:val="0"/>
        <w:spacing w:after="0" w:line="360" w:lineRule="auto"/>
        <w:jc w:val="both"/>
        <w:rPr>
          <w:rFonts w:cs="Arial"/>
          <w:lang w:val="en-GB"/>
        </w:rPr>
      </w:pPr>
      <w:r>
        <w:rPr>
          <w:rFonts w:cs="Arial"/>
          <w:vertAlign w:val="superscript"/>
          <w:lang w:val="en-GB"/>
        </w:rPr>
        <w:t>9</w:t>
      </w:r>
      <w:r w:rsidR="00966D60" w:rsidRPr="005A1A01">
        <w:rPr>
          <w:rFonts w:cs="Arial"/>
          <w:lang w:val="en-GB"/>
        </w:rPr>
        <w:t xml:space="preserve"> </w:t>
      </w:r>
      <w:r w:rsidR="006D7E9D" w:rsidRPr="005A1A01">
        <w:rPr>
          <w:rFonts w:cs="Arial"/>
          <w:lang w:val="en-GB"/>
        </w:rPr>
        <w:t>Institute of Tropical Medicine, Antwerp, Belgium</w:t>
      </w:r>
    </w:p>
    <w:p w14:paraId="77D26655" w14:textId="68C6E180" w:rsidR="006D7E9D" w:rsidRPr="005A1A01" w:rsidRDefault="003C6061" w:rsidP="009D2C05">
      <w:pPr>
        <w:autoSpaceDE w:val="0"/>
        <w:autoSpaceDN w:val="0"/>
        <w:adjustRightInd w:val="0"/>
        <w:spacing w:after="0" w:line="360" w:lineRule="auto"/>
        <w:jc w:val="both"/>
        <w:rPr>
          <w:rFonts w:cs="Arial"/>
          <w:lang w:val="en-GB"/>
        </w:rPr>
      </w:pPr>
      <w:r>
        <w:rPr>
          <w:rFonts w:cs="Arial"/>
          <w:vertAlign w:val="superscript"/>
          <w:lang w:val="en-GB"/>
        </w:rPr>
        <w:t>10</w:t>
      </w:r>
      <w:r w:rsidR="00966D60" w:rsidRPr="005A1A01">
        <w:rPr>
          <w:rFonts w:cs="Arial"/>
          <w:lang w:val="en-GB"/>
        </w:rPr>
        <w:t xml:space="preserve"> </w:t>
      </w:r>
      <w:r w:rsidR="009D2C05" w:rsidRPr="005A1A01">
        <w:rPr>
          <w:rFonts w:cs="Arial"/>
          <w:lang w:val="en-GB"/>
        </w:rPr>
        <w:t xml:space="preserve">Biomedical Proteomics Research Group, University of Geneva, </w:t>
      </w:r>
      <w:r w:rsidR="006D7E9D" w:rsidRPr="005A1A01">
        <w:rPr>
          <w:rFonts w:cs="Arial"/>
          <w:lang w:val="en-GB"/>
        </w:rPr>
        <w:t>Geneva, Switzerland</w:t>
      </w:r>
    </w:p>
    <w:p w14:paraId="5DACB952" w14:textId="31526832" w:rsidR="006D7E9D" w:rsidRPr="005A1A01" w:rsidRDefault="00966D60" w:rsidP="006D7E9D">
      <w:pPr>
        <w:autoSpaceDE w:val="0"/>
        <w:autoSpaceDN w:val="0"/>
        <w:adjustRightInd w:val="0"/>
        <w:spacing w:after="0" w:line="360" w:lineRule="auto"/>
        <w:jc w:val="both"/>
        <w:rPr>
          <w:rFonts w:cs="Arial"/>
          <w:lang w:val="en-GB"/>
        </w:rPr>
      </w:pPr>
      <w:r w:rsidRPr="005A1A01">
        <w:rPr>
          <w:rFonts w:cs="Arial"/>
          <w:vertAlign w:val="superscript"/>
          <w:lang w:val="en-GB"/>
        </w:rPr>
        <w:t>1</w:t>
      </w:r>
      <w:r w:rsidR="003C6061">
        <w:rPr>
          <w:rFonts w:cs="Arial"/>
          <w:vertAlign w:val="superscript"/>
          <w:lang w:val="en-GB"/>
        </w:rPr>
        <w:t>1</w:t>
      </w:r>
      <w:r w:rsidRPr="005A1A01">
        <w:rPr>
          <w:rFonts w:cs="Arial"/>
          <w:lang w:val="en-GB"/>
        </w:rPr>
        <w:t xml:space="preserve"> </w:t>
      </w:r>
      <w:r w:rsidR="006D7E9D" w:rsidRPr="005A1A01">
        <w:rPr>
          <w:rFonts w:cs="Arial"/>
          <w:lang w:val="en-GB"/>
        </w:rPr>
        <w:t>International Livestock Res</w:t>
      </w:r>
      <w:r w:rsidR="002C2E68" w:rsidRPr="005A1A01">
        <w:rPr>
          <w:rFonts w:cs="Arial"/>
          <w:lang w:val="en-GB"/>
        </w:rPr>
        <w:t>earch</w:t>
      </w:r>
      <w:r w:rsidR="006D7E9D" w:rsidRPr="005A1A01">
        <w:rPr>
          <w:rFonts w:cs="Arial"/>
          <w:lang w:val="en-GB"/>
        </w:rPr>
        <w:t xml:space="preserve"> Institute, </w:t>
      </w:r>
      <w:r w:rsidR="002C2E68" w:rsidRPr="005A1A01">
        <w:rPr>
          <w:rFonts w:cs="Arial"/>
          <w:lang w:val="en-GB"/>
        </w:rPr>
        <w:t xml:space="preserve">Nairobi, </w:t>
      </w:r>
      <w:r w:rsidR="006D7E9D" w:rsidRPr="005A1A01">
        <w:rPr>
          <w:rFonts w:cs="Arial"/>
          <w:lang w:val="en-GB"/>
        </w:rPr>
        <w:t>Kenya</w:t>
      </w:r>
    </w:p>
    <w:p w14:paraId="464E751A" w14:textId="60F47571" w:rsidR="006D7E9D" w:rsidRPr="005A1A01" w:rsidRDefault="00966D60" w:rsidP="006D7E9D">
      <w:pPr>
        <w:autoSpaceDE w:val="0"/>
        <w:autoSpaceDN w:val="0"/>
        <w:adjustRightInd w:val="0"/>
        <w:spacing w:after="0" w:line="360" w:lineRule="auto"/>
        <w:jc w:val="both"/>
        <w:rPr>
          <w:rFonts w:cs="Arial"/>
          <w:lang w:val="en-GB"/>
        </w:rPr>
      </w:pPr>
      <w:r w:rsidRPr="005A1A01">
        <w:rPr>
          <w:rFonts w:cs="Arial"/>
          <w:vertAlign w:val="superscript"/>
          <w:lang w:val="en-GB"/>
        </w:rPr>
        <w:t>1</w:t>
      </w:r>
      <w:r w:rsidR="003C6061">
        <w:rPr>
          <w:rFonts w:cs="Arial"/>
          <w:vertAlign w:val="superscript"/>
          <w:lang w:val="en-GB"/>
        </w:rPr>
        <w:t>2</w:t>
      </w:r>
      <w:r w:rsidRPr="005A1A01">
        <w:rPr>
          <w:rFonts w:cs="Arial"/>
          <w:lang w:val="en-GB"/>
        </w:rPr>
        <w:t xml:space="preserve"> </w:t>
      </w:r>
      <w:r w:rsidR="007F01B5" w:rsidRPr="007F01B5">
        <w:rPr>
          <w:rFonts w:cs="Arial"/>
          <w:lang w:val="en-GB"/>
        </w:rPr>
        <w:t>CNRS UMR-5234</w:t>
      </w:r>
      <w:r w:rsidR="007F01B5">
        <w:rPr>
          <w:rFonts w:cs="Arial"/>
          <w:lang w:val="en-GB"/>
        </w:rPr>
        <w:t xml:space="preserve">, </w:t>
      </w:r>
      <w:r w:rsidR="006D7E9D" w:rsidRPr="005A1A01">
        <w:rPr>
          <w:rFonts w:cs="Arial"/>
          <w:lang w:val="en-GB"/>
        </w:rPr>
        <w:t>University of Bordeaux, Bordeaux, France</w:t>
      </w:r>
    </w:p>
    <w:p w14:paraId="4AEF3904" w14:textId="2DB0D13C" w:rsidR="006D7E9D" w:rsidRPr="005A1A01" w:rsidRDefault="00966D60" w:rsidP="006D7E9D">
      <w:pPr>
        <w:autoSpaceDE w:val="0"/>
        <w:autoSpaceDN w:val="0"/>
        <w:adjustRightInd w:val="0"/>
        <w:spacing w:after="0" w:line="360" w:lineRule="auto"/>
        <w:jc w:val="both"/>
        <w:rPr>
          <w:rFonts w:cs="Arial"/>
          <w:lang w:val="en-GB"/>
        </w:rPr>
      </w:pPr>
      <w:r w:rsidRPr="005A1A01">
        <w:rPr>
          <w:rFonts w:cs="Arial"/>
          <w:vertAlign w:val="superscript"/>
          <w:lang w:val="en-GB"/>
        </w:rPr>
        <w:t>1</w:t>
      </w:r>
      <w:r w:rsidR="003C6061">
        <w:rPr>
          <w:rFonts w:cs="Arial"/>
          <w:vertAlign w:val="superscript"/>
          <w:lang w:val="en-GB"/>
        </w:rPr>
        <w:t>3</w:t>
      </w:r>
      <w:r w:rsidRPr="005A1A01">
        <w:rPr>
          <w:rFonts w:cs="Arial"/>
          <w:lang w:val="en-GB"/>
        </w:rPr>
        <w:t xml:space="preserve"> </w:t>
      </w:r>
      <w:r w:rsidR="00673873" w:rsidRPr="005A1A01">
        <w:rPr>
          <w:rFonts w:cs="Arial"/>
          <w:lang w:val="en-GB"/>
        </w:rPr>
        <w:t>University of Wisconsin-Madison,</w:t>
      </w:r>
      <w:r w:rsidR="00673873" w:rsidRPr="005A1A01">
        <w:t xml:space="preserve"> </w:t>
      </w:r>
      <w:r w:rsidR="00673873" w:rsidRPr="005A1A01">
        <w:rPr>
          <w:rFonts w:cs="Arial"/>
          <w:lang w:val="en-GB"/>
        </w:rPr>
        <w:t>Madison, Wisconsin, United States of America</w:t>
      </w:r>
    </w:p>
    <w:p w14:paraId="566B2EBC" w14:textId="29357D22" w:rsidR="000E08FF" w:rsidRPr="005A1A01" w:rsidRDefault="00966D60" w:rsidP="006D7E9D">
      <w:pPr>
        <w:autoSpaceDE w:val="0"/>
        <w:autoSpaceDN w:val="0"/>
        <w:adjustRightInd w:val="0"/>
        <w:spacing w:after="0" w:line="360" w:lineRule="auto"/>
        <w:jc w:val="both"/>
        <w:rPr>
          <w:rFonts w:cs="Arial"/>
          <w:lang w:val="en-GB"/>
        </w:rPr>
      </w:pPr>
      <w:r w:rsidRPr="005A1A01">
        <w:rPr>
          <w:rFonts w:cs="Arial"/>
          <w:vertAlign w:val="superscript"/>
          <w:lang w:val="en-GB"/>
        </w:rPr>
        <w:t>1</w:t>
      </w:r>
      <w:r w:rsidR="003C6061">
        <w:rPr>
          <w:rFonts w:cs="Arial"/>
          <w:vertAlign w:val="superscript"/>
          <w:lang w:val="en-GB"/>
        </w:rPr>
        <w:t>4</w:t>
      </w:r>
      <w:r w:rsidRPr="005A1A01">
        <w:rPr>
          <w:rFonts w:cs="Arial"/>
          <w:lang w:val="en-GB"/>
        </w:rPr>
        <w:t xml:space="preserve"> </w:t>
      </w:r>
      <w:r w:rsidR="000E08FF" w:rsidRPr="005A1A01">
        <w:rPr>
          <w:rFonts w:cs="Arial"/>
          <w:lang w:val="en-GB"/>
        </w:rPr>
        <w:t>University of Dundee, Dundee, United Kingdom</w:t>
      </w:r>
    </w:p>
    <w:p w14:paraId="68ECCBCB" w14:textId="3D3D48F9" w:rsidR="00E46B5B" w:rsidRDefault="00966D60" w:rsidP="00E46B5B">
      <w:pPr>
        <w:autoSpaceDE w:val="0"/>
        <w:autoSpaceDN w:val="0"/>
        <w:adjustRightInd w:val="0"/>
        <w:spacing w:after="0" w:line="360" w:lineRule="auto"/>
        <w:jc w:val="both"/>
        <w:rPr>
          <w:rFonts w:cs="Arial"/>
          <w:lang w:val="en-GB"/>
        </w:rPr>
      </w:pPr>
      <w:r w:rsidRPr="005A1A01">
        <w:rPr>
          <w:rFonts w:cs="Arial"/>
          <w:vertAlign w:val="superscript"/>
          <w:lang w:val="en-GB"/>
        </w:rPr>
        <w:t>1</w:t>
      </w:r>
      <w:r w:rsidR="003C6061">
        <w:rPr>
          <w:rFonts w:cs="Arial"/>
          <w:vertAlign w:val="superscript"/>
          <w:lang w:val="en-GB"/>
        </w:rPr>
        <w:t>5</w:t>
      </w:r>
      <w:r w:rsidRPr="005A1A01">
        <w:rPr>
          <w:rFonts w:cs="Arial"/>
          <w:lang w:val="en-GB"/>
        </w:rPr>
        <w:t xml:space="preserve"> </w:t>
      </w:r>
      <w:r w:rsidR="00E46B5B" w:rsidRPr="005A1A01">
        <w:rPr>
          <w:rFonts w:cs="Arial"/>
          <w:lang w:val="en-GB"/>
        </w:rPr>
        <w:t>University of Bern, Bern, Switzerland / Makerere University, Kampala, Uganda</w:t>
      </w:r>
    </w:p>
    <w:p w14:paraId="53B0B7C4" w14:textId="4599EA67" w:rsidR="00360F49" w:rsidRDefault="003C6061" w:rsidP="00E46B5B">
      <w:pPr>
        <w:autoSpaceDE w:val="0"/>
        <w:autoSpaceDN w:val="0"/>
        <w:adjustRightInd w:val="0"/>
        <w:spacing w:after="0" w:line="360" w:lineRule="auto"/>
        <w:jc w:val="both"/>
        <w:rPr>
          <w:rFonts w:cs="Arial"/>
          <w:lang w:val="en-GB"/>
        </w:rPr>
      </w:pPr>
      <w:r>
        <w:rPr>
          <w:rFonts w:cs="Arial"/>
          <w:vertAlign w:val="superscript"/>
          <w:lang w:val="en-GB"/>
        </w:rPr>
        <w:t>16</w:t>
      </w:r>
      <w:r w:rsidR="00360F49">
        <w:rPr>
          <w:rFonts w:cs="Arial"/>
          <w:lang w:val="en-GB"/>
        </w:rPr>
        <w:t xml:space="preserve"> </w:t>
      </w:r>
      <w:r w:rsidR="00360F49" w:rsidRPr="00360F49">
        <w:rPr>
          <w:rFonts w:cs="Arial"/>
          <w:lang w:val="en-GB"/>
        </w:rPr>
        <w:t>University of California San Diego</w:t>
      </w:r>
      <w:r w:rsidR="00360F49">
        <w:rPr>
          <w:rFonts w:cs="Arial"/>
          <w:lang w:val="en-GB"/>
        </w:rPr>
        <w:t xml:space="preserve">, San Diego, </w:t>
      </w:r>
      <w:r w:rsidR="00360F49" w:rsidRPr="005A1A01">
        <w:rPr>
          <w:rFonts w:cs="Arial"/>
          <w:lang w:val="en-GB"/>
        </w:rPr>
        <w:t>United States of America</w:t>
      </w:r>
      <w:r w:rsidR="00003BF8">
        <w:rPr>
          <w:rFonts w:cs="Arial"/>
          <w:lang w:val="en-GB"/>
        </w:rPr>
        <w:t xml:space="preserve"> (current address)</w:t>
      </w:r>
    </w:p>
    <w:p w14:paraId="2FCEA6D7" w14:textId="410E6E7A" w:rsidR="003C6061" w:rsidRPr="003C6061" w:rsidRDefault="003C6061" w:rsidP="003C6061">
      <w:pPr>
        <w:autoSpaceDE w:val="0"/>
        <w:autoSpaceDN w:val="0"/>
        <w:adjustRightInd w:val="0"/>
        <w:spacing w:after="0" w:line="360" w:lineRule="auto"/>
        <w:jc w:val="both"/>
        <w:rPr>
          <w:rFonts w:cs="Arial"/>
          <w:lang w:val="en-GB"/>
        </w:rPr>
      </w:pPr>
      <w:r>
        <w:rPr>
          <w:rFonts w:cs="Arial"/>
          <w:vertAlign w:val="superscript"/>
          <w:lang w:val="en-GB"/>
        </w:rPr>
        <w:t>17</w:t>
      </w:r>
      <w:r w:rsidR="00003BF8">
        <w:rPr>
          <w:rFonts w:cs="Arial"/>
          <w:lang w:val="en-GB"/>
        </w:rPr>
        <w:t xml:space="preserve"> </w:t>
      </w:r>
      <w:r w:rsidR="00003BF8" w:rsidRPr="00003BF8">
        <w:rPr>
          <w:rFonts w:cs="Arial"/>
          <w:lang w:val="en-GB"/>
        </w:rPr>
        <w:t>Un</w:t>
      </w:r>
      <w:r w:rsidR="00003BF8">
        <w:rPr>
          <w:rFonts w:cs="Arial"/>
          <w:lang w:val="en-GB"/>
        </w:rPr>
        <w:t xml:space="preserve">iversity at Buffalo, Buffalo, New York, </w:t>
      </w:r>
      <w:r w:rsidR="00003BF8" w:rsidRPr="00003BF8">
        <w:rPr>
          <w:rFonts w:cs="Arial"/>
          <w:lang w:val="en-GB"/>
        </w:rPr>
        <w:t>United States of America</w:t>
      </w:r>
      <w:r w:rsidR="00003BF8">
        <w:rPr>
          <w:rFonts w:cs="Arial"/>
          <w:lang w:val="en-GB"/>
        </w:rPr>
        <w:t xml:space="preserve"> (current address)</w:t>
      </w:r>
    </w:p>
    <w:p w14:paraId="226C98C7" w14:textId="25E3438C" w:rsidR="003C6061" w:rsidRDefault="003C6061" w:rsidP="003C6061">
      <w:pPr>
        <w:autoSpaceDE w:val="0"/>
        <w:autoSpaceDN w:val="0"/>
        <w:adjustRightInd w:val="0"/>
        <w:spacing w:after="0" w:line="360" w:lineRule="auto"/>
        <w:jc w:val="both"/>
        <w:rPr>
          <w:rFonts w:cs="Arial"/>
          <w:lang w:val="en-GB"/>
        </w:rPr>
      </w:pPr>
      <w:r>
        <w:rPr>
          <w:rFonts w:cs="Arial"/>
          <w:vertAlign w:val="superscript"/>
          <w:lang w:val="en-GB"/>
        </w:rPr>
        <w:t>18</w:t>
      </w:r>
      <w:r>
        <w:rPr>
          <w:rFonts w:cs="Arial"/>
          <w:lang w:val="en-GB"/>
        </w:rPr>
        <w:t xml:space="preserve"> </w:t>
      </w:r>
      <w:r w:rsidRPr="00155FDF">
        <w:rPr>
          <w:rFonts w:cs="Arial"/>
          <w:lang w:val="en-GB"/>
        </w:rPr>
        <w:t>Ghent University Global Campus</w:t>
      </w:r>
      <w:r>
        <w:rPr>
          <w:rFonts w:cs="Arial"/>
          <w:lang w:val="en-GB"/>
        </w:rPr>
        <w:t xml:space="preserve">, </w:t>
      </w:r>
      <w:r w:rsidRPr="00155FDF">
        <w:rPr>
          <w:rFonts w:cs="Arial"/>
          <w:lang w:val="en-GB"/>
        </w:rPr>
        <w:t>Incheon, South Korea</w:t>
      </w:r>
      <w:r>
        <w:rPr>
          <w:rFonts w:cs="Arial"/>
          <w:lang w:val="en-GB"/>
        </w:rPr>
        <w:t xml:space="preserve"> (current address)</w:t>
      </w:r>
    </w:p>
    <w:p w14:paraId="1A424CEC" w14:textId="74092829" w:rsidR="00003BF8" w:rsidRPr="005A1A01" w:rsidRDefault="00003BF8" w:rsidP="00E46B5B">
      <w:pPr>
        <w:autoSpaceDE w:val="0"/>
        <w:autoSpaceDN w:val="0"/>
        <w:adjustRightInd w:val="0"/>
        <w:spacing w:after="0" w:line="360" w:lineRule="auto"/>
        <w:jc w:val="both"/>
        <w:rPr>
          <w:rFonts w:cs="Arial"/>
          <w:lang w:val="en-GB"/>
        </w:rPr>
      </w:pPr>
    </w:p>
    <w:p w14:paraId="13338E82" w14:textId="77777777" w:rsidR="005A1A01" w:rsidRDefault="00D9414C" w:rsidP="00D9414C">
      <w:pPr>
        <w:autoSpaceDE w:val="0"/>
        <w:autoSpaceDN w:val="0"/>
        <w:adjustRightInd w:val="0"/>
        <w:spacing w:after="0" w:line="360" w:lineRule="auto"/>
        <w:rPr>
          <w:rFonts w:eastAsia="Calibri" w:cs="Arial"/>
        </w:rPr>
      </w:pPr>
      <w:r w:rsidRPr="009E41B6">
        <w:rPr>
          <w:rFonts w:eastAsia="Calibri" w:cs="Arial"/>
        </w:rPr>
        <w:t xml:space="preserve">* </w:t>
      </w:r>
      <w:r w:rsidR="009E41B6" w:rsidRPr="009E41B6">
        <w:rPr>
          <w:rFonts w:eastAsia="Calibri" w:cs="Arial"/>
        </w:rPr>
        <w:t>Cor</w:t>
      </w:r>
      <w:r w:rsidR="005A1A01">
        <w:rPr>
          <w:rFonts w:eastAsia="Calibri" w:cs="Arial"/>
        </w:rPr>
        <w:t>responding author.</w:t>
      </w:r>
    </w:p>
    <w:p w14:paraId="507BD064" w14:textId="3EEA749F" w:rsidR="00D9414C" w:rsidRPr="00D556C7" w:rsidRDefault="00D9414C" w:rsidP="00752B12">
      <w:pPr>
        <w:autoSpaceDE w:val="0"/>
        <w:autoSpaceDN w:val="0"/>
        <w:adjustRightInd w:val="0"/>
        <w:spacing w:after="0" w:line="360" w:lineRule="auto"/>
        <w:rPr>
          <w:rFonts w:cs="Arial"/>
          <w:lang w:val="de-AT"/>
        </w:rPr>
      </w:pPr>
      <w:r w:rsidRPr="00D556C7">
        <w:rPr>
          <w:rFonts w:eastAsia="Calibri" w:cs="Arial"/>
          <w:lang w:val="de-AT"/>
        </w:rPr>
        <w:t>E-</w:t>
      </w:r>
      <w:r w:rsidRPr="005A1A01">
        <w:rPr>
          <w:rFonts w:eastAsia="Calibri" w:cs="Arial"/>
        </w:rPr>
        <w:t xml:space="preserve">mail: </w:t>
      </w:r>
      <w:hyperlink r:id="rId8" w:history="1">
        <w:r w:rsidR="005A1A01" w:rsidRPr="005A1A01">
          <w:t>sylvain.bieler@finddx.org</w:t>
        </w:r>
      </w:hyperlink>
      <w:r w:rsidR="005A1A01" w:rsidRPr="005A1A01">
        <w:rPr>
          <w:rFonts w:eastAsia="Calibri" w:cs="Arial"/>
        </w:rPr>
        <w:t xml:space="preserve"> (SB</w:t>
      </w:r>
      <w:r w:rsidR="005A1A01">
        <w:rPr>
          <w:rFonts w:eastAsia="Calibri" w:cs="Arial"/>
          <w:lang w:val="de-AT"/>
        </w:rPr>
        <w:t>)</w:t>
      </w:r>
    </w:p>
    <w:p w14:paraId="38F674DB" w14:textId="77777777" w:rsidR="00D9414C" w:rsidRPr="00D9414C" w:rsidRDefault="00D9414C" w:rsidP="00752B12">
      <w:pPr>
        <w:spacing w:before="360" w:after="0" w:line="360" w:lineRule="auto"/>
        <w:jc w:val="both"/>
        <w:rPr>
          <w:rFonts w:cs="Arial"/>
          <w:lang w:val="en-GB"/>
        </w:rPr>
      </w:pPr>
      <w:r w:rsidRPr="00D9414C">
        <w:rPr>
          <w:rFonts w:cs="Arial"/>
          <w:b/>
          <w:lang w:val="en-GB"/>
        </w:rPr>
        <w:t>Short title:</w:t>
      </w:r>
      <w:r w:rsidRPr="00D9414C">
        <w:rPr>
          <w:rFonts w:cs="Arial"/>
          <w:lang w:val="en-GB"/>
        </w:rPr>
        <w:t xml:space="preserve"> </w:t>
      </w:r>
      <w:r w:rsidR="00C11A0B">
        <w:rPr>
          <w:rFonts w:cs="Arial"/>
          <w:lang w:val="en-GB"/>
        </w:rPr>
        <w:t>Evaluation of Candidate A</w:t>
      </w:r>
      <w:r w:rsidR="00B352A6">
        <w:rPr>
          <w:rFonts w:cs="Arial"/>
          <w:lang w:val="en-GB"/>
        </w:rPr>
        <w:t xml:space="preserve">ntigens for HAT </w:t>
      </w:r>
      <w:r w:rsidR="00C11A0B">
        <w:rPr>
          <w:rFonts w:cs="Arial"/>
          <w:lang w:val="en-GB"/>
        </w:rPr>
        <w:t>S</w:t>
      </w:r>
      <w:r w:rsidR="009A0BC2">
        <w:rPr>
          <w:rFonts w:cs="Arial"/>
          <w:lang w:val="en-GB"/>
        </w:rPr>
        <w:t>erological</w:t>
      </w:r>
      <w:r w:rsidR="00C11A0B">
        <w:rPr>
          <w:rFonts w:cs="Arial"/>
          <w:lang w:val="en-GB"/>
        </w:rPr>
        <w:t xml:space="preserve"> T</w:t>
      </w:r>
      <w:r w:rsidR="00B352A6">
        <w:rPr>
          <w:rFonts w:cs="Arial"/>
          <w:lang w:val="en-GB"/>
        </w:rPr>
        <w:t>est</w:t>
      </w:r>
    </w:p>
    <w:p w14:paraId="61EDB7F1" w14:textId="77777777" w:rsidR="00D9414C" w:rsidRPr="005C60AB" w:rsidRDefault="00D9414C" w:rsidP="0095777F">
      <w:pPr>
        <w:spacing w:line="480" w:lineRule="auto"/>
        <w:jc w:val="both"/>
        <w:rPr>
          <w:rFonts w:cs="Arial"/>
          <w:b/>
          <w:color w:val="000000" w:themeColor="text1"/>
          <w:sz w:val="36"/>
          <w:szCs w:val="36"/>
        </w:rPr>
      </w:pPr>
      <w:r w:rsidRPr="005C60AB">
        <w:rPr>
          <w:rFonts w:cs="Arial"/>
          <w:b/>
          <w:color w:val="000000" w:themeColor="text1"/>
          <w:sz w:val="36"/>
          <w:szCs w:val="36"/>
        </w:rPr>
        <w:lastRenderedPageBreak/>
        <w:t>Abstract</w:t>
      </w:r>
    </w:p>
    <w:p w14:paraId="77B69634" w14:textId="77777777" w:rsidR="005C60AB" w:rsidRPr="005C60AB" w:rsidRDefault="00D25AB0" w:rsidP="001C52C1">
      <w:pPr>
        <w:spacing w:after="0" w:line="480" w:lineRule="auto"/>
        <w:jc w:val="both"/>
        <w:rPr>
          <w:rFonts w:cs="Arial"/>
          <w:b/>
          <w:sz w:val="32"/>
          <w:szCs w:val="32"/>
          <w:lang w:val="en-GB"/>
        </w:rPr>
      </w:pPr>
      <w:r w:rsidRPr="005C60AB">
        <w:rPr>
          <w:rFonts w:cs="Arial"/>
          <w:b/>
          <w:sz w:val="32"/>
          <w:szCs w:val="32"/>
        </w:rPr>
        <w:t>Background</w:t>
      </w:r>
    </w:p>
    <w:p w14:paraId="32AD3A2F" w14:textId="1B1C5923" w:rsidR="00D25AB0" w:rsidRPr="00A13061" w:rsidRDefault="00D25AB0" w:rsidP="0095777F">
      <w:pPr>
        <w:spacing w:line="480" w:lineRule="auto"/>
        <w:jc w:val="both"/>
        <w:rPr>
          <w:rFonts w:cs="Arial"/>
          <w:lang w:val="en-GB"/>
        </w:rPr>
      </w:pPr>
      <w:r>
        <w:rPr>
          <w:rFonts w:cs="Arial"/>
          <w:lang w:val="en-GB"/>
        </w:rPr>
        <w:t xml:space="preserve">Control and elimination of </w:t>
      </w:r>
      <w:r w:rsidR="00A158C4">
        <w:rPr>
          <w:rFonts w:cs="Arial"/>
          <w:lang w:val="en-GB"/>
        </w:rPr>
        <w:t xml:space="preserve">human </w:t>
      </w:r>
      <w:r>
        <w:rPr>
          <w:rFonts w:cs="Arial"/>
          <w:lang w:val="en-GB"/>
        </w:rPr>
        <w:t>African trypanosomiasis</w:t>
      </w:r>
      <w:r w:rsidR="00C83FEB">
        <w:rPr>
          <w:rFonts w:cs="Arial"/>
          <w:lang w:val="en-GB"/>
        </w:rPr>
        <w:t xml:space="preserve"> (HAT)</w:t>
      </w:r>
      <w:r>
        <w:rPr>
          <w:rFonts w:cs="Arial"/>
          <w:lang w:val="en-GB"/>
        </w:rPr>
        <w:t xml:space="preserve"> </w:t>
      </w:r>
      <w:r w:rsidR="002E5CEB">
        <w:rPr>
          <w:rFonts w:cs="Arial"/>
          <w:lang w:val="en-GB"/>
        </w:rPr>
        <w:t xml:space="preserve">can </w:t>
      </w:r>
      <w:r w:rsidR="00A158C4">
        <w:rPr>
          <w:rFonts w:cs="Arial"/>
          <w:lang w:val="en-GB"/>
        </w:rPr>
        <w:t>b</w:t>
      </w:r>
      <w:r>
        <w:rPr>
          <w:rFonts w:cs="Arial"/>
          <w:lang w:val="en-GB"/>
        </w:rPr>
        <w:t xml:space="preserve">e </w:t>
      </w:r>
      <w:r w:rsidR="00A158C4">
        <w:rPr>
          <w:rFonts w:cs="Arial"/>
          <w:lang w:val="en-GB"/>
        </w:rPr>
        <w:t xml:space="preserve">accelerated </w:t>
      </w:r>
      <w:r w:rsidR="002E5CEB">
        <w:rPr>
          <w:rFonts w:cs="Arial"/>
          <w:lang w:val="en-GB"/>
        </w:rPr>
        <w:t>through the use of</w:t>
      </w:r>
      <w:r w:rsidR="000637F7">
        <w:rPr>
          <w:rFonts w:cs="Arial"/>
          <w:lang w:val="en-GB"/>
        </w:rPr>
        <w:t xml:space="preserve"> </w:t>
      </w:r>
      <w:r w:rsidR="002E5CEB">
        <w:rPr>
          <w:rFonts w:cs="Arial"/>
          <w:lang w:val="en-GB"/>
        </w:rPr>
        <w:t xml:space="preserve">diagnostic tests that are </w:t>
      </w:r>
      <w:r w:rsidR="006207A2">
        <w:rPr>
          <w:rFonts w:cs="Arial"/>
          <w:lang w:val="en-GB"/>
        </w:rPr>
        <w:t>more</w:t>
      </w:r>
      <w:r>
        <w:rPr>
          <w:rFonts w:cs="Arial"/>
          <w:lang w:val="en-GB"/>
        </w:rPr>
        <w:t xml:space="preserve"> accura</w:t>
      </w:r>
      <w:r w:rsidR="006207A2">
        <w:rPr>
          <w:rFonts w:cs="Arial"/>
          <w:lang w:val="en-GB"/>
        </w:rPr>
        <w:t xml:space="preserve">te </w:t>
      </w:r>
      <w:r>
        <w:rPr>
          <w:rFonts w:cs="Arial"/>
          <w:lang w:val="en-GB"/>
        </w:rPr>
        <w:t xml:space="preserve">and easier to deploy. The goal of this work was to evaluate the </w:t>
      </w:r>
      <w:r w:rsidR="006207A2">
        <w:rPr>
          <w:rFonts w:cs="Arial"/>
          <w:lang w:val="en-GB"/>
        </w:rPr>
        <w:t>immuno-</w:t>
      </w:r>
      <w:r>
        <w:rPr>
          <w:rFonts w:cs="Arial"/>
          <w:lang w:val="en-GB"/>
        </w:rPr>
        <w:t xml:space="preserve">reactivity of antigens </w:t>
      </w:r>
      <w:r w:rsidR="00A158C4">
        <w:rPr>
          <w:rFonts w:cs="Arial"/>
          <w:lang w:val="en-GB"/>
        </w:rPr>
        <w:t xml:space="preserve">and identify candidates to </w:t>
      </w:r>
      <w:r>
        <w:rPr>
          <w:rFonts w:cs="Arial"/>
          <w:lang w:val="en-GB"/>
        </w:rPr>
        <w:t xml:space="preserve">be considered </w:t>
      </w:r>
      <w:r w:rsidR="000637F7">
        <w:rPr>
          <w:rFonts w:cs="Arial"/>
          <w:lang w:val="en-GB"/>
        </w:rPr>
        <w:t xml:space="preserve">for development of </w:t>
      </w:r>
      <w:r w:rsidR="006C52FC">
        <w:rPr>
          <w:rFonts w:cs="Arial"/>
          <w:lang w:val="en-GB"/>
        </w:rPr>
        <w:t xml:space="preserve">a </w:t>
      </w:r>
      <w:r>
        <w:rPr>
          <w:rFonts w:cs="Arial"/>
          <w:lang w:val="en-GB"/>
        </w:rPr>
        <w:t>simple serological test</w:t>
      </w:r>
      <w:r w:rsidR="00A158C4">
        <w:rPr>
          <w:rFonts w:cs="Arial"/>
          <w:lang w:val="en-GB"/>
        </w:rPr>
        <w:t xml:space="preserve"> for </w:t>
      </w:r>
      <w:r w:rsidR="006207A2">
        <w:rPr>
          <w:rFonts w:cs="Arial"/>
          <w:lang w:val="en-GB"/>
        </w:rPr>
        <w:t xml:space="preserve">the </w:t>
      </w:r>
      <w:r>
        <w:rPr>
          <w:rFonts w:cs="Arial"/>
          <w:lang w:val="en-GB"/>
        </w:rPr>
        <w:t>detect</w:t>
      </w:r>
      <w:r w:rsidR="00A158C4">
        <w:rPr>
          <w:rFonts w:cs="Arial"/>
          <w:lang w:val="en-GB"/>
        </w:rPr>
        <w:t>ion of</w:t>
      </w:r>
      <w:r w:rsidR="002E5CEB">
        <w:rPr>
          <w:rFonts w:cs="Arial"/>
          <w:lang w:val="en-GB"/>
        </w:rPr>
        <w:t xml:space="preserve"> </w:t>
      </w:r>
      <w:r w:rsidRPr="00CB09EA">
        <w:rPr>
          <w:rFonts w:cs="Arial"/>
          <w:i/>
        </w:rPr>
        <w:t>Trypanosoma brucei gambiense</w:t>
      </w:r>
      <w:r>
        <w:rPr>
          <w:rFonts w:cs="Arial"/>
          <w:i/>
        </w:rPr>
        <w:t xml:space="preserve"> </w:t>
      </w:r>
      <w:r w:rsidRPr="00B11994">
        <w:rPr>
          <w:rFonts w:cs="Arial"/>
        </w:rPr>
        <w:t xml:space="preserve">or </w:t>
      </w:r>
      <w:r w:rsidRPr="00CB09EA">
        <w:rPr>
          <w:rFonts w:cs="Arial"/>
          <w:i/>
        </w:rPr>
        <w:t>T. b.</w:t>
      </w:r>
      <w:r>
        <w:rPr>
          <w:rFonts w:cs="Arial"/>
          <w:i/>
        </w:rPr>
        <w:t xml:space="preserve"> rhodesiense</w:t>
      </w:r>
      <w:r w:rsidRPr="00B11994">
        <w:rPr>
          <w:rFonts w:cs="Arial"/>
        </w:rPr>
        <w:t xml:space="preserve"> infections, </w:t>
      </w:r>
      <w:r w:rsidR="000637F7">
        <w:rPr>
          <w:rFonts w:cs="Arial"/>
        </w:rPr>
        <w:t>ideally</w:t>
      </w:r>
      <w:r w:rsidR="000637F7" w:rsidRPr="00B11994">
        <w:rPr>
          <w:rFonts w:cs="Arial"/>
        </w:rPr>
        <w:t xml:space="preserve"> </w:t>
      </w:r>
      <w:r w:rsidRPr="00B11994">
        <w:rPr>
          <w:rFonts w:cs="Arial"/>
        </w:rPr>
        <w:t>both.</w:t>
      </w:r>
    </w:p>
    <w:p w14:paraId="3A9DE921" w14:textId="77777777" w:rsidR="005C60AB" w:rsidRPr="005C60AB" w:rsidRDefault="00D25AB0" w:rsidP="001C52C1">
      <w:pPr>
        <w:spacing w:after="0" w:line="480" w:lineRule="auto"/>
        <w:jc w:val="both"/>
        <w:rPr>
          <w:rFonts w:cs="Arial"/>
          <w:b/>
          <w:sz w:val="32"/>
          <w:szCs w:val="32"/>
        </w:rPr>
      </w:pPr>
      <w:r w:rsidRPr="005C60AB">
        <w:rPr>
          <w:rFonts w:cs="Arial"/>
          <w:b/>
          <w:sz w:val="32"/>
          <w:szCs w:val="32"/>
          <w:lang w:val="en-GB"/>
        </w:rPr>
        <w:t>Methodology/</w:t>
      </w:r>
      <w:r w:rsidRPr="005C60AB">
        <w:rPr>
          <w:rFonts w:cs="Arial"/>
          <w:b/>
          <w:sz w:val="32"/>
          <w:szCs w:val="32"/>
        </w:rPr>
        <w:t>Principal Findings</w:t>
      </w:r>
    </w:p>
    <w:p w14:paraId="57055879" w14:textId="065E9F5A" w:rsidR="00D25AB0" w:rsidRPr="00A13061" w:rsidRDefault="00431D94" w:rsidP="0095777F">
      <w:pPr>
        <w:spacing w:line="480" w:lineRule="auto"/>
        <w:jc w:val="both"/>
        <w:rPr>
          <w:rFonts w:cs="Arial"/>
          <w:lang w:val="en-GB"/>
        </w:rPr>
      </w:pPr>
      <w:r>
        <w:rPr>
          <w:rFonts w:cs="Arial"/>
        </w:rPr>
        <w:t>The reactivity of 35</w:t>
      </w:r>
      <w:r w:rsidR="00D25AB0">
        <w:rPr>
          <w:rFonts w:cs="Arial"/>
        </w:rPr>
        <w:t xml:space="preserve"> antigens </w:t>
      </w:r>
      <w:r>
        <w:rPr>
          <w:rFonts w:cs="Arial"/>
        </w:rPr>
        <w:t xml:space="preserve">was independently evaluated by slot blot and ELISA against </w:t>
      </w:r>
      <w:r w:rsidR="00D25AB0">
        <w:rPr>
          <w:rFonts w:cs="Arial"/>
        </w:rPr>
        <w:t>ser</w:t>
      </w:r>
      <w:r w:rsidR="007F3504">
        <w:rPr>
          <w:rFonts w:cs="Arial"/>
        </w:rPr>
        <w:t>a</w:t>
      </w:r>
      <w:r w:rsidR="00D25AB0">
        <w:rPr>
          <w:rFonts w:cs="Arial"/>
        </w:rPr>
        <w:t xml:space="preserve"> from</w:t>
      </w:r>
      <w:r w:rsidR="007F3504">
        <w:rPr>
          <w:rFonts w:cs="Arial"/>
        </w:rPr>
        <w:t xml:space="preserve"> both</w:t>
      </w:r>
      <w:r w:rsidR="00D25AB0">
        <w:rPr>
          <w:rFonts w:cs="Arial"/>
        </w:rPr>
        <w:t xml:space="preserve"> </w:t>
      </w:r>
      <w:r w:rsidR="00D25AB0" w:rsidRPr="00CB09EA">
        <w:rPr>
          <w:rFonts w:cs="Arial"/>
          <w:i/>
        </w:rPr>
        <w:t>T. b. gambiense</w:t>
      </w:r>
      <w:r w:rsidR="00D25AB0">
        <w:rPr>
          <w:rFonts w:cs="Arial"/>
        </w:rPr>
        <w:t xml:space="preserve"> and </w:t>
      </w:r>
      <w:r w:rsidR="00D25AB0" w:rsidRPr="00CB09EA">
        <w:rPr>
          <w:rFonts w:cs="Arial"/>
          <w:i/>
        </w:rPr>
        <w:t>T. b. rhodesiense</w:t>
      </w:r>
      <w:r w:rsidR="00D25AB0">
        <w:rPr>
          <w:rFonts w:cs="Arial"/>
        </w:rPr>
        <w:t xml:space="preserve"> infected patients and controls. </w:t>
      </w:r>
      <w:r w:rsidR="007F3504">
        <w:rPr>
          <w:rFonts w:cs="Arial"/>
        </w:rPr>
        <w:t xml:space="preserve">The </w:t>
      </w:r>
      <w:r w:rsidR="00975BE4">
        <w:rPr>
          <w:rFonts w:cs="Arial"/>
        </w:rPr>
        <w:t xml:space="preserve">antigens that were </w:t>
      </w:r>
      <w:r w:rsidR="007F3504">
        <w:rPr>
          <w:rFonts w:cs="Arial"/>
        </w:rPr>
        <w:t xml:space="preserve">most reactive </w:t>
      </w:r>
      <w:r w:rsidR="00975BE4">
        <w:rPr>
          <w:rFonts w:cs="Arial"/>
        </w:rPr>
        <w:t>by both tests to</w:t>
      </w:r>
      <w:r w:rsidR="007F3504">
        <w:rPr>
          <w:rFonts w:cs="Arial"/>
        </w:rPr>
        <w:t xml:space="preserve"> </w:t>
      </w:r>
      <w:r w:rsidR="007F3504" w:rsidRPr="005B657A">
        <w:rPr>
          <w:rFonts w:cs="Arial"/>
          <w:i/>
        </w:rPr>
        <w:t>T. b. gambiense</w:t>
      </w:r>
      <w:r w:rsidR="007F3504">
        <w:rPr>
          <w:rFonts w:cs="Arial"/>
        </w:rPr>
        <w:t xml:space="preserve"> sera were</w:t>
      </w:r>
      <w:r w:rsidR="00D25AB0">
        <w:rPr>
          <w:rFonts w:cs="Arial"/>
        </w:rPr>
        <w:t xml:space="preserve"> </w:t>
      </w:r>
      <w:r w:rsidR="00FE0472">
        <w:rPr>
          <w:rFonts w:cs="Arial"/>
        </w:rPr>
        <w:t xml:space="preserve">the membrane proteins </w:t>
      </w:r>
      <w:r w:rsidR="00D25AB0">
        <w:rPr>
          <w:rFonts w:cs="Arial"/>
        </w:rPr>
        <w:t>VSG LiTat 1.3, VSG LiTat 1.5 and ISG64</w:t>
      </w:r>
      <w:r w:rsidR="007F3504">
        <w:rPr>
          <w:rFonts w:cs="Arial"/>
        </w:rPr>
        <w:t xml:space="preserve">. Reactivity to </w:t>
      </w:r>
      <w:r w:rsidR="007F3504" w:rsidRPr="006B076B">
        <w:rPr>
          <w:rFonts w:cs="Arial"/>
          <w:i/>
        </w:rPr>
        <w:t>T. b. rhodesiense</w:t>
      </w:r>
      <w:r w:rsidR="007F3504" w:rsidRPr="006B076B">
        <w:rPr>
          <w:rFonts w:cs="Arial"/>
        </w:rPr>
        <w:t xml:space="preserve"> </w:t>
      </w:r>
      <w:r w:rsidR="00975BE4">
        <w:rPr>
          <w:rFonts w:cs="Arial"/>
        </w:rPr>
        <w:t>sera</w:t>
      </w:r>
      <w:r w:rsidR="007F3504">
        <w:rPr>
          <w:rFonts w:cs="Arial"/>
        </w:rPr>
        <w:t xml:space="preserve"> was highest with </w:t>
      </w:r>
      <w:r w:rsidR="00D25AB0">
        <w:rPr>
          <w:rFonts w:cs="Arial"/>
        </w:rPr>
        <w:t>VSG LiTat 1.3, VSG LiTat 1.5 and SRA</w:t>
      </w:r>
      <w:r w:rsidR="007F3504">
        <w:rPr>
          <w:rFonts w:cs="Arial"/>
        </w:rPr>
        <w:t>,</w:t>
      </w:r>
      <w:r w:rsidR="00D25AB0">
        <w:rPr>
          <w:rFonts w:cs="Arial"/>
        </w:rPr>
        <w:t xml:space="preserve"> although much lower than with </w:t>
      </w:r>
      <w:r w:rsidR="00D25AB0" w:rsidRPr="00B11994">
        <w:rPr>
          <w:rFonts w:cs="Arial"/>
          <w:i/>
        </w:rPr>
        <w:t>T. b. gambiense</w:t>
      </w:r>
      <w:r w:rsidR="00D25AB0">
        <w:rPr>
          <w:rFonts w:cs="Arial"/>
        </w:rPr>
        <w:t xml:space="preserve"> samples. The reactivity of all possible </w:t>
      </w:r>
      <w:r w:rsidR="00975BE4">
        <w:rPr>
          <w:rFonts w:cs="Arial"/>
        </w:rPr>
        <w:t xml:space="preserve">combinations </w:t>
      </w:r>
      <w:r w:rsidR="00D25AB0">
        <w:rPr>
          <w:rFonts w:cs="Arial"/>
        </w:rPr>
        <w:t xml:space="preserve">of antigens was also calculated. </w:t>
      </w:r>
      <w:r w:rsidR="00E20499">
        <w:rPr>
          <w:rFonts w:cs="Arial"/>
        </w:rPr>
        <w:t xml:space="preserve">When the slot blot results of 2 antigens were paired, a VSG LiTat 1.3- ISG75 combination performed best on </w:t>
      </w:r>
      <w:r w:rsidR="00D25AB0" w:rsidRPr="005B657A">
        <w:rPr>
          <w:rFonts w:cs="Arial"/>
          <w:i/>
        </w:rPr>
        <w:t>T. b. gambiense</w:t>
      </w:r>
      <w:r w:rsidR="00D25AB0">
        <w:rPr>
          <w:rFonts w:cs="Arial"/>
        </w:rPr>
        <w:t xml:space="preserve"> </w:t>
      </w:r>
      <w:r w:rsidR="007F3504">
        <w:rPr>
          <w:rFonts w:cs="Arial"/>
        </w:rPr>
        <w:t>sera</w:t>
      </w:r>
      <w:r w:rsidR="00E20499">
        <w:rPr>
          <w:rFonts w:cs="Arial"/>
        </w:rPr>
        <w:t>,</w:t>
      </w:r>
      <w:r w:rsidR="00D25AB0">
        <w:rPr>
          <w:rFonts w:cs="Arial"/>
        </w:rPr>
        <w:t xml:space="preserve"> while </w:t>
      </w:r>
      <w:r w:rsidR="00E20499">
        <w:rPr>
          <w:rFonts w:cs="Arial"/>
        </w:rPr>
        <w:t xml:space="preserve">a </w:t>
      </w:r>
      <w:r w:rsidR="00D25AB0">
        <w:rPr>
          <w:rFonts w:cs="Arial"/>
        </w:rPr>
        <w:t xml:space="preserve">VSG LiTat 1.3-VSG LiTat 1.5 </w:t>
      </w:r>
      <w:r w:rsidR="00B65159">
        <w:rPr>
          <w:rFonts w:cs="Arial"/>
        </w:rPr>
        <w:t xml:space="preserve">combination </w:t>
      </w:r>
      <w:r w:rsidR="00D25AB0">
        <w:rPr>
          <w:rFonts w:cs="Arial"/>
        </w:rPr>
        <w:t xml:space="preserve">was the most reactive </w:t>
      </w:r>
      <w:r w:rsidR="000637F7">
        <w:rPr>
          <w:rFonts w:cs="Arial"/>
        </w:rPr>
        <w:t xml:space="preserve">using </w:t>
      </w:r>
      <w:r w:rsidR="00D25AB0">
        <w:rPr>
          <w:rFonts w:cs="Arial"/>
        </w:rPr>
        <w:t xml:space="preserve">ELISA. </w:t>
      </w:r>
      <w:r w:rsidR="00E20499">
        <w:rPr>
          <w:rFonts w:cs="Arial"/>
        </w:rPr>
        <w:t xml:space="preserve">A combination of SRA and either VSG LiTat 1.3 or VSG LiTat 1.5 had the highest reactivity on </w:t>
      </w:r>
      <w:r w:rsidR="00E20499" w:rsidRPr="006B076B">
        <w:rPr>
          <w:rFonts w:cs="Arial"/>
          <w:i/>
        </w:rPr>
        <w:t>T. b. rhodesiense</w:t>
      </w:r>
      <w:r w:rsidR="00E20499" w:rsidRPr="006B076B">
        <w:rPr>
          <w:rFonts w:cs="Arial"/>
        </w:rPr>
        <w:t xml:space="preserve"> </w:t>
      </w:r>
      <w:r w:rsidR="00E20499">
        <w:rPr>
          <w:rFonts w:cs="Arial"/>
        </w:rPr>
        <w:t xml:space="preserve">sera </w:t>
      </w:r>
      <w:r w:rsidR="000637F7">
        <w:rPr>
          <w:rFonts w:cs="Arial"/>
        </w:rPr>
        <w:t xml:space="preserve">according to </w:t>
      </w:r>
      <w:r w:rsidR="00E20499">
        <w:rPr>
          <w:rFonts w:cs="Arial"/>
        </w:rPr>
        <w:t>slot blot</w:t>
      </w:r>
      <w:r w:rsidR="00D25AB0">
        <w:rPr>
          <w:rFonts w:cs="Arial"/>
        </w:rPr>
        <w:t xml:space="preserve">, while </w:t>
      </w:r>
      <w:r w:rsidR="002E5CEB">
        <w:rPr>
          <w:rFonts w:cs="Arial"/>
        </w:rPr>
        <w:t>i</w:t>
      </w:r>
      <w:r w:rsidR="00975BE4">
        <w:rPr>
          <w:rFonts w:cs="Arial"/>
        </w:rPr>
        <w:t>n ELISA</w:t>
      </w:r>
      <w:r w:rsidR="002E5CEB">
        <w:rPr>
          <w:rFonts w:cs="Arial"/>
        </w:rPr>
        <w:t>,</w:t>
      </w:r>
      <w:r w:rsidR="00975BE4">
        <w:rPr>
          <w:rFonts w:cs="Arial"/>
        </w:rPr>
        <w:t xml:space="preserve"> pairing </w:t>
      </w:r>
      <w:r w:rsidR="00D25AB0">
        <w:rPr>
          <w:rFonts w:cs="Arial"/>
        </w:rPr>
        <w:t xml:space="preserve">SRA </w:t>
      </w:r>
      <w:r w:rsidR="00975BE4">
        <w:rPr>
          <w:rFonts w:cs="Arial"/>
        </w:rPr>
        <w:t xml:space="preserve">with </w:t>
      </w:r>
      <w:r w:rsidR="00D25AB0">
        <w:rPr>
          <w:rFonts w:cs="Arial"/>
        </w:rPr>
        <w:t xml:space="preserve">either GM6 or VSG LiTat 1.3 </w:t>
      </w:r>
      <w:r w:rsidR="00975BE4">
        <w:rPr>
          <w:rFonts w:cs="Arial"/>
        </w:rPr>
        <w:t xml:space="preserve">yielded the </w:t>
      </w:r>
      <w:r w:rsidR="00D25AB0">
        <w:rPr>
          <w:rFonts w:cs="Arial"/>
        </w:rPr>
        <w:t xml:space="preserve">best </w:t>
      </w:r>
      <w:r w:rsidR="00975BE4">
        <w:rPr>
          <w:rFonts w:cs="Arial"/>
        </w:rPr>
        <w:t>results</w:t>
      </w:r>
      <w:r w:rsidR="00D25AB0">
        <w:rPr>
          <w:rFonts w:cs="Arial"/>
        </w:rPr>
        <w:t>.</w:t>
      </w:r>
    </w:p>
    <w:p w14:paraId="032010B9" w14:textId="77777777" w:rsidR="005C60AB" w:rsidRPr="005C60AB" w:rsidRDefault="005C60AB" w:rsidP="001C52C1">
      <w:pPr>
        <w:spacing w:after="0" w:line="480" w:lineRule="auto"/>
        <w:jc w:val="both"/>
        <w:rPr>
          <w:rFonts w:cs="Arial"/>
          <w:b/>
          <w:sz w:val="32"/>
          <w:szCs w:val="32"/>
          <w:lang w:val="en-GB"/>
        </w:rPr>
      </w:pPr>
      <w:r w:rsidRPr="005C60AB">
        <w:rPr>
          <w:rFonts w:cs="Arial"/>
          <w:b/>
          <w:sz w:val="32"/>
          <w:szCs w:val="32"/>
          <w:lang w:val="en-GB"/>
        </w:rPr>
        <w:t>Conclusions</w:t>
      </w:r>
    </w:p>
    <w:p w14:paraId="002E38DE" w14:textId="3D9DABE7" w:rsidR="00D25AB0" w:rsidRPr="00D25AB0" w:rsidRDefault="00975BE4" w:rsidP="0095777F">
      <w:pPr>
        <w:spacing w:line="480" w:lineRule="auto"/>
        <w:jc w:val="both"/>
        <w:rPr>
          <w:rFonts w:cs="Arial"/>
          <w:b/>
        </w:rPr>
      </w:pPr>
      <w:r>
        <w:rPr>
          <w:rFonts w:cs="Arial"/>
          <w:lang w:val="en-GB"/>
        </w:rPr>
        <w:t>This study identified a</w:t>
      </w:r>
      <w:r w:rsidR="00D25AB0">
        <w:rPr>
          <w:rFonts w:cs="Arial"/>
          <w:lang w:val="en-GB"/>
        </w:rPr>
        <w:t xml:space="preserve">ntigens </w:t>
      </w:r>
      <w:r>
        <w:rPr>
          <w:rFonts w:cs="Arial"/>
          <w:lang w:val="en-GB"/>
        </w:rPr>
        <w:t xml:space="preserve">that were </w:t>
      </w:r>
      <w:r w:rsidR="00D25AB0">
        <w:rPr>
          <w:rFonts w:cs="Arial"/>
          <w:lang w:val="en-GB"/>
        </w:rPr>
        <w:t xml:space="preserve">highly reactive to </w:t>
      </w:r>
      <w:r w:rsidR="00D25AB0" w:rsidRPr="003D389D">
        <w:rPr>
          <w:rFonts w:cs="Arial"/>
          <w:i/>
          <w:lang w:val="en-GB"/>
        </w:rPr>
        <w:t>T.</w:t>
      </w:r>
      <w:r w:rsidR="006C52FC">
        <w:rPr>
          <w:rFonts w:cs="Arial"/>
          <w:i/>
          <w:lang w:val="en-GB"/>
        </w:rPr>
        <w:t xml:space="preserve"> </w:t>
      </w:r>
      <w:r w:rsidR="00D25AB0" w:rsidRPr="003D389D">
        <w:rPr>
          <w:rFonts w:cs="Arial"/>
          <w:i/>
          <w:lang w:val="en-GB"/>
        </w:rPr>
        <w:t>b. gambiense</w:t>
      </w:r>
      <w:r w:rsidR="00D25AB0">
        <w:rPr>
          <w:rFonts w:cs="Arial"/>
          <w:lang w:val="en-GB"/>
        </w:rPr>
        <w:t xml:space="preserve"> </w:t>
      </w:r>
      <w:r w:rsidR="00B65159">
        <w:rPr>
          <w:rFonts w:cs="Arial"/>
          <w:lang w:val="en-GB"/>
        </w:rPr>
        <w:t>sera, which</w:t>
      </w:r>
      <w:r w:rsidR="000A3002">
        <w:rPr>
          <w:rFonts w:cs="Arial"/>
          <w:lang w:val="en-GB"/>
        </w:rPr>
        <w:t xml:space="preserve"> </w:t>
      </w:r>
      <w:r w:rsidR="00D25AB0">
        <w:rPr>
          <w:rFonts w:cs="Arial"/>
          <w:lang w:val="en-GB"/>
        </w:rPr>
        <w:t>could be considered for developing a serological test</w:t>
      </w:r>
      <w:r w:rsidR="000A3002">
        <w:rPr>
          <w:rFonts w:cs="Arial"/>
          <w:lang w:val="en-GB"/>
        </w:rPr>
        <w:t xml:space="preserve"> for </w:t>
      </w:r>
      <w:r w:rsidR="00C82D78">
        <w:rPr>
          <w:rFonts w:cs="Arial"/>
          <w:i/>
          <w:lang w:val="en-GB"/>
        </w:rPr>
        <w:t>g</w:t>
      </w:r>
      <w:r w:rsidR="000A3002">
        <w:rPr>
          <w:rFonts w:cs="Arial"/>
          <w:i/>
          <w:lang w:val="en-GB"/>
        </w:rPr>
        <w:t xml:space="preserve">ambiense </w:t>
      </w:r>
      <w:r w:rsidR="000A3002">
        <w:rPr>
          <w:rFonts w:cs="Arial"/>
          <w:lang w:val="en-GB"/>
        </w:rPr>
        <w:t>HAT</w:t>
      </w:r>
      <w:r w:rsidR="00B65159">
        <w:rPr>
          <w:rFonts w:cs="Arial"/>
          <w:lang w:val="en-GB"/>
        </w:rPr>
        <w:t>, either</w:t>
      </w:r>
      <w:r w:rsidR="006D5D8D" w:rsidRPr="006D5D8D">
        <w:rPr>
          <w:rFonts w:cs="Arial"/>
          <w:lang w:val="en-GB"/>
        </w:rPr>
        <w:t xml:space="preserve"> </w:t>
      </w:r>
      <w:r w:rsidR="006D5D8D">
        <w:rPr>
          <w:rFonts w:cs="Arial"/>
          <w:lang w:val="en-GB"/>
        </w:rPr>
        <w:t xml:space="preserve">individually or </w:t>
      </w:r>
      <w:r w:rsidR="000637F7">
        <w:rPr>
          <w:rFonts w:cs="Arial"/>
          <w:lang w:val="en-GB"/>
        </w:rPr>
        <w:t xml:space="preserve">in </w:t>
      </w:r>
      <w:r w:rsidR="006D5D8D">
        <w:rPr>
          <w:rFonts w:cs="Arial"/>
          <w:lang w:val="en-GB"/>
        </w:rPr>
        <w:t>combination</w:t>
      </w:r>
      <w:r w:rsidR="00D25AB0">
        <w:rPr>
          <w:rFonts w:cs="Arial"/>
          <w:lang w:val="en-GB"/>
        </w:rPr>
        <w:t>.</w:t>
      </w:r>
      <w:r w:rsidR="000A3002">
        <w:rPr>
          <w:rFonts w:cs="Arial"/>
          <w:lang w:val="en-GB"/>
        </w:rPr>
        <w:t xml:space="preserve"> </w:t>
      </w:r>
      <w:r w:rsidR="000A3002">
        <w:rPr>
          <w:rFonts w:cs="Arial"/>
          <w:lang w:val="en-GB"/>
        </w:rPr>
        <w:lastRenderedPageBreak/>
        <w:t>A</w:t>
      </w:r>
      <w:r w:rsidR="00877611">
        <w:rPr>
          <w:rFonts w:cs="Arial"/>
          <w:lang w:val="en-GB"/>
        </w:rPr>
        <w:t xml:space="preserve">ntigens </w:t>
      </w:r>
      <w:r w:rsidR="000A3002">
        <w:rPr>
          <w:rFonts w:cs="Arial"/>
          <w:lang w:val="en-GB"/>
        </w:rPr>
        <w:t xml:space="preserve">with potential </w:t>
      </w:r>
      <w:r w:rsidR="00877611">
        <w:rPr>
          <w:rFonts w:cs="Arial"/>
          <w:lang w:val="en-GB"/>
        </w:rPr>
        <w:t xml:space="preserve">for inclusion in </w:t>
      </w:r>
      <w:r w:rsidR="00D25AB0">
        <w:rPr>
          <w:rFonts w:cs="Arial"/>
          <w:lang w:val="en-GB"/>
        </w:rPr>
        <w:t xml:space="preserve">a test </w:t>
      </w:r>
      <w:r w:rsidR="000A3002">
        <w:rPr>
          <w:rFonts w:cs="Arial"/>
          <w:lang w:val="en-GB"/>
        </w:rPr>
        <w:t xml:space="preserve">for </w:t>
      </w:r>
      <w:r w:rsidR="00D25AB0" w:rsidRPr="003D389D">
        <w:rPr>
          <w:rFonts w:cs="Arial"/>
          <w:i/>
          <w:lang w:val="en-GB"/>
        </w:rPr>
        <w:t>T.</w:t>
      </w:r>
      <w:r w:rsidR="006C52FC">
        <w:rPr>
          <w:rFonts w:cs="Arial"/>
          <w:i/>
          <w:lang w:val="en-GB"/>
        </w:rPr>
        <w:t xml:space="preserve"> </w:t>
      </w:r>
      <w:r w:rsidR="00D25AB0" w:rsidRPr="003D389D">
        <w:rPr>
          <w:rFonts w:cs="Arial"/>
          <w:i/>
          <w:lang w:val="en-GB"/>
        </w:rPr>
        <w:t>b. rhodesiense</w:t>
      </w:r>
      <w:r w:rsidR="00D25AB0">
        <w:rPr>
          <w:rFonts w:cs="Arial"/>
          <w:lang w:val="en-GB"/>
        </w:rPr>
        <w:t xml:space="preserve"> </w:t>
      </w:r>
      <w:r w:rsidR="000A3002">
        <w:rPr>
          <w:rFonts w:cs="Arial"/>
          <w:lang w:val="en-GB"/>
        </w:rPr>
        <w:t>HAT were also identified</w:t>
      </w:r>
      <w:r w:rsidR="00D25AB0">
        <w:rPr>
          <w:rFonts w:cs="Arial"/>
          <w:lang w:val="en-GB"/>
        </w:rPr>
        <w:t>,</w:t>
      </w:r>
      <w:r w:rsidR="006C52FC">
        <w:rPr>
          <w:rFonts w:cs="Arial"/>
          <w:lang w:val="en-GB"/>
        </w:rPr>
        <w:t xml:space="preserve"> </w:t>
      </w:r>
      <w:r w:rsidR="000A3002">
        <w:rPr>
          <w:rFonts w:cs="Arial"/>
          <w:lang w:val="en-GB"/>
        </w:rPr>
        <w:t xml:space="preserve">but because their reactivity was comparatively lower, a search for additional antigens </w:t>
      </w:r>
      <w:r w:rsidR="002E5CEB">
        <w:rPr>
          <w:rFonts w:cs="Arial"/>
          <w:lang w:val="en-GB"/>
        </w:rPr>
        <w:t>would</w:t>
      </w:r>
      <w:r w:rsidR="000637F7">
        <w:rPr>
          <w:rFonts w:cs="Arial"/>
          <w:lang w:val="en-GB"/>
        </w:rPr>
        <w:t xml:space="preserve"> </w:t>
      </w:r>
      <w:r w:rsidR="00877611">
        <w:rPr>
          <w:rFonts w:cs="Arial"/>
          <w:lang w:val="en-GB"/>
        </w:rPr>
        <w:t>be required before developing a test for this form of the disease.</w:t>
      </w:r>
    </w:p>
    <w:p w14:paraId="08483DD9" w14:textId="77777777" w:rsidR="0095777F" w:rsidRPr="00D25AB0" w:rsidRDefault="0095777F" w:rsidP="0095777F">
      <w:pPr>
        <w:spacing w:line="480" w:lineRule="auto"/>
        <w:jc w:val="both"/>
        <w:rPr>
          <w:b/>
          <w:sz w:val="24"/>
          <w:szCs w:val="24"/>
        </w:rPr>
      </w:pPr>
    </w:p>
    <w:p w14:paraId="567963D9" w14:textId="77777777" w:rsidR="00E4072E" w:rsidRPr="005C60AB" w:rsidRDefault="00EE52A6" w:rsidP="0095777F">
      <w:pPr>
        <w:spacing w:line="480" w:lineRule="auto"/>
        <w:jc w:val="both"/>
        <w:rPr>
          <w:b/>
          <w:sz w:val="36"/>
          <w:szCs w:val="36"/>
        </w:rPr>
      </w:pPr>
      <w:r w:rsidRPr="005C60AB">
        <w:rPr>
          <w:b/>
          <w:sz w:val="36"/>
          <w:szCs w:val="36"/>
        </w:rPr>
        <w:t>Introduction</w:t>
      </w:r>
    </w:p>
    <w:p w14:paraId="09F86A5D" w14:textId="1DD06F23" w:rsidR="00E4072E" w:rsidRPr="003901DD" w:rsidRDefault="00E4072E" w:rsidP="0095777F">
      <w:pPr>
        <w:spacing w:line="480" w:lineRule="auto"/>
        <w:jc w:val="both"/>
      </w:pPr>
      <w:r w:rsidRPr="003901DD">
        <w:t xml:space="preserve">Human African trypanosomiasis (HAT) is </w:t>
      </w:r>
      <w:r w:rsidR="00854795" w:rsidRPr="003901DD">
        <w:t>a neglected tropical disease</w:t>
      </w:r>
      <w:r w:rsidRPr="003901DD">
        <w:t xml:space="preserve"> targeted by the World Health Organization</w:t>
      </w:r>
      <w:r w:rsidR="00880268" w:rsidRPr="003901DD">
        <w:t xml:space="preserve"> (WHO)</w:t>
      </w:r>
      <w:r w:rsidR="00F44AE1">
        <w:t xml:space="preserve"> </w:t>
      </w:r>
      <w:r w:rsidR="008F3E08" w:rsidRPr="003901DD">
        <w:t>for elimination</w:t>
      </w:r>
      <w:r w:rsidR="002E5CEB">
        <w:t xml:space="preserve"> by 2020</w:t>
      </w:r>
      <w:r w:rsidR="008F3E08" w:rsidRPr="003901DD">
        <w:t xml:space="preserve"> </w:t>
      </w:r>
      <w:r w:rsidR="00F44AE1">
        <w:t>[</w:t>
      </w:r>
      <w:r w:rsidR="0074071B">
        <w:t>1</w:t>
      </w:r>
      <w:r w:rsidR="00F44AE1">
        <w:t>]</w:t>
      </w:r>
      <w:r w:rsidRPr="003901DD">
        <w:t xml:space="preserve">. </w:t>
      </w:r>
      <w:r w:rsidR="008F3E08">
        <w:t>S</w:t>
      </w:r>
      <w:r w:rsidR="008F3E08" w:rsidRPr="003901DD">
        <w:t>ince the late 1990’s</w:t>
      </w:r>
      <w:r w:rsidR="008F3E08" w:rsidRPr="003901DD" w:rsidDel="008F3E08">
        <w:t xml:space="preserve"> </w:t>
      </w:r>
      <w:r w:rsidR="00C82D78">
        <w:t>its</w:t>
      </w:r>
      <w:r w:rsidR="00C82D78" w:rsidRPr="003901DD">
        <w:t xml:space="preserve"> </w:t>
      </w:r>
      <w:r w:rsidR="008F6193" w:rsidRPr="003901DD">
        <w:t>global incidence</w:t>
      </w:r>
      <w:r w:rsidR="008F3E08">
        <w:t xml:space="preserve"> </w:t>
      </w:r>
      <w:r w:rsidR="002C1B39" w:rsidRPr="003901DD">
        <w:t xml:space="preserve">has been </w:t>
      </w:r>
      <w:r w:rsidR="008F3E08" w:rsidRPr="003901DD">
        <w:t xml:space="preserve">declining </w:t>
      </w:r>
      <w:r w:rsidR="008F6193" w:rsidRPr="003901DD">
        <w:t>steadily</w:t>
      </w:r>
      <w:r w:rsidR="002C1B39" w:rsidRPr="003901DD">
        <w:t xml:space="preserve">, </w:t>
      </w:r>
      <w:r w:rsidR="008F3E08">
        <w:t>but it</w:t>
      </w:r>
      <w:r w:rsidR="008F3E08" w:rsidRPr="003901DD">
        <w:t xml:space="preserve"> </w:t>
      </w:r>
      <w:r w:rsidR="002C1B39" w:rsidRPr="003901DD">
        <w:t xml:space="preserve">continues to </w:t>
      </w:r>
      <w:r w:rsidR="008F6193" w:rsidRPr="003901DD">
        <w:t>plague</w:t>
      </w:r>
      <w:r w:rsidR="002C1B39" w:rsidRPr="003901DD">
        <w:t xml:space="preserve"> </w:t>
      </w:r>
      <w:r w:rsidR="008169FA" w:rsidRPr="003901DD">
        <w:t xml:space="preserve">impoverished </w:t>
      </w:r>
      <w:r w:rsidR="002C1B39" w:rsidRPr="003901DD">
        <w:t xml:space="preserve">populations in </w:t>
      </w:r>
      <w:r w:rsidR="008F3E08">
        <w:t>a number of</w:t>
      </w:r>
      <w:r w:rsidR="008F3E08" w:rsidRPr="003901DD">
        <w:t xml:space="preserve"> </w:t>
      </w:r>
      <w:r w:rsidR="002C1B39" w:rsidRPr="003901DD">
        <w:t>sub-Saharan African countries</w:t>
      </w:r>
      <w:r w:rsidR="00E44671">
        <w:t>. A</w:t>
      </w:r>
      <w:r w:rsidR="008F6193" w:rsidRPr="003901DD">
        <w:t xml:space="preserve">pproximately </w:t>
      </w:r>
      <w:r w:rsidR="002C1B39" w:rsidRPr="003901DD">
        <w:t>70 million people are estimated to be at risk of contracting th</w:t>
      </w:r>
      <w:r w:rsidR="008F6193" w:rsidRPr="003901DD">
        <w:t>e</w:t>
      </w:r>
      <w:r w:rsidR="002C1B39" w:rsidRPr="003901DD">
        <w:t xml:space="preserve"> disease, which is generally fatal in the absence of proper diagnosis and treatment </w:t>
      </w:r>
      <w:r w:rsidR="00F44AE1">
        <w:t>[</w:t>
      </w:r>
      <w:r w:rsidR="0074071B">
        <w:t>2</w:t>
      </w:r>
      <w:r w:rsidR="00F44AE1">
        <w:t>]</w:t>
      </w:r>
      <w:r w:rsidR="002C1B39" w:rsidRPr="003901DD">
        <w:t>.</w:t>
      </w:r>
      <w:r w:rsidR="008F6193" w:rsidRPr="003901DD">
        <w:t xml:space="preserve"> Two </w:t>
      </w:r>
      <w:r w:rsidR="008169FA" w:rsidRPr="003901DD">
        <w:t>parasite</w:t>
      </w:r>
      <w:r w:rsidR="008F6193" w:rsidRPr="003901DD">
        <w:t xml:space="preserve"> sub</w:t>
      </w:r>
      <w:r w:rsidR="00AE6759">
        <w:t>-</w:t>
      </w:r>
      <w:r w:rsidR="008F6193" w:rsidRPr="003901DD">
        <w:t>species are responsible for distinct forms of</w:t>
      </w:r>
      <w:r w:rsidR="00393B89" w:rsidRPr="003901DD">
        <w:t xml:space="preserve"> HAT. While </w:t>
      </w:r>
      <w:r w:rsidR="008169FA" w:rsidRPr="003901DD">
        <w:rPr>
          <w:i/>
        </w:rPr>
        <w:t>Trypanosoma brucei gambiense</w:t>
      </w:r>
      <w:r w:rsidR="008169FA" w:rsidRPr="003901DD">
        <w:t xml:space="preserve"> causes a chronic disease </w:t>
      </w:r>
      <w:r w:rsidR="00393B89" w:rsidRPr="003901DD">
        <w:t xml:space="preserve">in </w:t>
      </w:r>
      <w:r w:rsidR="008F3E08">
        <w:t>c</w:t>
      </w:r>
      <w:r w:rsidR="008F3E08" w:rsidRPr="003901DD">
        <w:t xml:space="preserve">entral </w:t>
      </w:r>
      <w:r w:rsidR="008169FA" w:rsidRPr="003901DD">
        <w:t xml:space="preserve">and </w:t>
      </w:r>
      <w:r w:rsidR="008F3E08">
        <w:t>w</w:t>
      </w:r>
      <w:r w:rsidR="008F3E08" w:rsidRPr="003901DD">
        <w:t xml:space="preserve">estern </w:t>
      </w:r>
      <w:r w:rsidR="008169FA" w:rsidRPr="003901DD">
        <w:t xml:space="preserve">Africa, </w:t>
      </w:r>
      <w:r w:rsidR="008F3E08" w:rsidRPr="003901DD">
        <w:rPr>
          <w:i/>
        </w:rPr>
        <w:t>T.</w:t>
      </w:r>
      <w:r w:rsidR="008F3E08">
        <w:rPr>
          <w:i/>
        </w:rPr>
        <w:t xml:space="preserve"> </w:t>
      </w:r>
      <w:r w:rsidR="008F3E08" w:rsidRPr="003901DD">
        <w:rPr>
          <w:i/>
        </w:rPr>
        <w:t>b. rhodesiense</w:t>
      </w:r>
      <w:r w:rsidR="008F3E08" w:rsidRPr="003901DD">
        <w:t xml:space="preserve"> </w:t>
      </w:r>
      <w:r w:rsidR="008F3E08">
        <w:t xml:space="preserve">causes </w:t>
      </w:r>
      <w:r w:rsidR="008F3E08" w:rsidRPr="003901DD">
        <w:t xml:space="preserve">acute </w:t>
      </w:r>
      <w:r w:rsidR="008169FA" w:rsidRPr="003901DD">
        <w:t xml:space="preserve">infections </w:t>
      </w:r>
      <w:r w:rsidR="00393B89" w:rsidRPr="003901DD">
        <w:t xml:space="preserve">in </w:t>
      </w:r>
      <w:r w:rsidR="008F3E08">
        <w:t>e</w:t>
      </w:r>
      <w:r w:rsidR="008F3E08" w:rsidRPr="003901DD">
        <w:t xml:space="preserve">astern </w:t>
      </w:r>
      <w:r w:rsidR="00393B89" w:rsidRPr="003901DD">
        <w:t>Africa</w:t>
      </w:r>
      <w:r w:rsidR="008169FA" w:rsidRPr="003901DD">
        <w:t>.</w:t>
      </w:r>
    </w:p>
    <w:p w14:paraId="1A15317A" w14:textId="637F7E84" w:rsidR="00E4072E" w:rsidRPr="003901DD" w:rsidRDefault="00D556C7" w:rsidP="0095777F">
      <w:pPr>
        <w:spacing w:line="480" w:lineRule="auto"/>
        <w:jc w:val="both"/>
      </w:pPr>
      <w:r w:rsidRPr="003901DD">
        <w:t xml:space="preserve">Diagnosis of </w:t>
      </w:r>
      <w:r w:rsidRPr="00E44671">
        <w:rPr>
          <w:i/>
        </w:rPr>
        <w:t>gambiense</w:t>
      </w:r>
      <w:r w:rsidRPr="003901DD">
        <w:t xml:space="preserve"> HAT is </w:t>
      </w:r>
      <w:r w:rsidR="000005A0" w:rsidRPr="003901DD">
        <w:t>routinely performed following algorithms that include screening</w:t>
      </w:r>
      <w:r w:rsidR="008F3E08">
        <w:t xml:space="preserve"> to identify suspects</w:t>
      </w:r>
      <w:r w:rsidR="000005A0" w:rsidRPr="003901DD">
        <w:t xml:space="preserve">, </w:t>
      </w:r>
      <w:r w:rsidR="00AE6759" w:rsidRPr="003901DD">
        <w:t>confirmation</w:t>
      </w:r>
      <w:r w:rsidR="00AE6759">
        <w:t xml:space="preserve"> of </w:t>
      </w:r>
      <w:r w:rsidR="008F3E08">
        <w:t>disease,</w:t>
      </w:r>
      <w:r w:rsidR="004E3C22" w:rsidRPr="003901DD">
        <w:t xml:space="preserve"> and staging </w:t>
      </w:r>
      <w:r w:rsidR="0077060A">
        <w:t>to guide the choice of treatment</w:t>
      </w:r>
      <w:r w:rsidR="0077060A" w:rsidRPr="003901DD">
        <w:t xml:space="preserve"> </w:t>
      </w:r>
      <w:r w:rsidR="00F44AE1">
        <w:t>[</w:t>
      </w:r>
      <w:r w:rsidR="00C63060">
        <w:t>3</w:t>
      </w:r>
      <w:r w:rsidR="00F44AE1">
        <w:t>]</w:t>
      </w:r>
      <w:r w:rsidR="004E3C22" w:rsidRPr="003901DD">
        <w:t>.</w:t>
      </w:r>
      <w:r w:rsidR="000005A0" w:rsidRPr="003901DD">
        <w:t xml:space="preserve"> </w:t>
      </w:r>
      <w:r w:rsidR="004E3C22" w:rsidRPr="003901DD">
        <w:t>Screening is a</w:t>
      </w:r>
      <w:r w:rsidR="0077060A">
        <w:t>n important process, which</w:t>
      </w:r>
      <w:r w:rsidR="000005A0" w:rsidRPr="003901DD">
        <w:t xml:space="preserve"> ensure</w:t>
      </w:r>
      <w:r w:rsidR="0077060A">
        <w:t>s</w:t>
      </w:r>
      <w:r w:rsidR="000005A0" w:rsidRPr="003901DD">
        <w:t xml:space="preserve"> that relatively complex and labour-intensive parasitological </w:t>
      </w:r>
      <w:r w:rsidR="0077060A" w:rsidRPr="003901DD">
        <w:t xml:space="preserve">tests </w:t>
      </w:r>
      <w:r w:rsidR="0077060A">
        <w:t xml:space="preserve">for </w:t>
      </w:r>
      <w:r w:rsidR="000005A0" w:rsidRPr="003901DD">
        <w:t>confirmation are only performed on individuals who ex</w:t>
      </w:r>
      <w:r w:rsidR="00393B89" w:rsidRPr="003901DD">
        <w:t xml:space="preserve">hibit an immune response to the </w:t>
      </w:r>
      <w:r w:rsidR="000005A0" w:rsidRPr="003901DD">
        <w:t xml:space="preserve">pathogen. The </w:t>
      </w:r>
      <w:r w:rsidR="0077060A">
        <w:t>c</w:t>
      </w:r>
      <w:r w:rsidR="0077060A" w:rsidRPr="003901DD">
        <w:t xml:space="preserve">ard </w:t>
      </w:r>
      <w:r w:rsidR="0077060A">
        <w:t>a</w:t>
      </w:r>
      <w:r w:rsidR="0077060A" w:rsidRPr="003901DD">
        <w:t xml:space="preserve">gglutination </w:t>
      </w:r>
      <w:r w:rsidR="0077060A">
        <w:t>t</w:t>
      </w:r>
      <w:r w:rsidR="0077060A" w:rsidRPr="003901DD">
        <w:t xml:space="preserve">est </w:t>
      </w:r>
      <w:r w:rsidR="000005A0" w:rsidRPr="003901DD">
        <w:t xml:space="preserve">for </w:t>
      </w:r>
      <w:r w:rsidR="0077060A">
        <w:t>t</w:t>
      </w:r>
      <w:r w:rsidR="0077060A" w:rsidRPr="003901DD">
        <w:t xml:space="preserve">rypanosomiasis </w:t>
      </w:r>
      <w:r w:rsidR="007760DF" w:rsidRPr="003901DD">
        <w:t>(CATT/</w:t>
      </w:r>
      <w:r w:rsidR="007760DF" w:rsidRPr="003901DD">
        <w:rPr>
          <w:i/>
        </w:rPr>
        <w:t>T.b.</w:t>
      </w:r>
      <w:r w:rsidR="0077060A">
        <w:rPr>
          <w:i/>
        </w:rPr>
        <w:t xml:space="preserve"> </w:t>
      </w:r>
      <w:r w:rsidR="007760DF" w:rsidRPr="003901DD">
        <w:rPr>
          <w:i/>
        </w:rPr>
        <w:t>gambiense</w:t>
      </w:r>
      <w:r w:rsidR="007760DF" w:rsidRPr="003901DD">
        <w:t>)</w:t>
      </w:r>
      <w:r w:rsidR="000005A0" w:rsidRPr="003901DD">
        <w:t xml:space="preserve"> has been the most </w:t>
      </w:r>
      <w:r w:rsidR="00393B89" w:rsidRPr="003901DD">
        <w:t>widely</w:t>
      </w:r>
      <w:r w:rsidR="004E3C22" w:rsidRPr="003901DD">
        <w:t xml:space="preserve"> used</w:t>
      </w:r>
      <w:r w:rsidR="000005A0" w:rsidRPr="003901DD">
        <w:t xml:space="preserve"> screening test</w:t>
      </w:r>
      <w:r w:rsidR="004E3C22" w:rsidRPr="003901DD">
        <w:t xml:space="preserve"> for</w:t>
      </w:r>
      <w:r w:rsidR="000005A0" w:rsidRPr="003901DD">
        <w:t xml:space="preserve"> </w:t>
      </w:r>
      <w:r w:rsidR="000005A0" w:rsidRPr="00E44671">
        <w:rPr>
          <w:i/>
        </w:rPr>
        <w:t>gambiense</w:t>
      </w:r>
      <w:r w:rsidR="000005A0" w:rsidRPr="003901DD">
        <w:t xml:space="preserve"> HAT </w:t>
      </w:r>
      <w:r w:rsidR="004E3C22" w:rsidRPr="003901DD">
        <w:t>over</w:t>
      </w:r>
      <w:r w:rsidR="000005A0" w:rsidRPr="003901DD">
        <w:t xml:space="preserve"> more than three decades.</w:t>
      </w:r>
      <w:r w:rsidR="007760DF" w:rsidRPr="003901DD">
        <w:t xml:space="preserve"> </w:t>
      </w:r>
      <w:r w:rsidR="00B35B7B">
        <w:t>It detects host antibodies using as</w:t>
      </w:r>
      <w:r w:rsidR="007B0705">
        <w:t xml:space="preserve"> </w:t>
      </w:r>
      <w:r w:rsidR="00B35B7B">
        <w:t xml:space="preserve">antigen a freeze dried suspension of purified, fixed and stained bloodstream form trypanosomes expressing </w:t>
      </w:r>
      <w:r w:rsidR="00B35B7B" w:rsidRPr="00B35B7B">
        <w:t>LiTat 1.3</w:t>
      </w:r>
      <w:r w:rsidR="00B35B7B">
        <w:t xml:space="preserve"> </w:t>
      </w:r>
      <w:r w:rsidR="006207A2" w:rsidRPr="00B35B7B">
        <w:t>varia</w:t>
      </w:r>
      <w:r w:rsidR="006207A2">
        <w:t>nt</w:t>
      </w:r>
      <w:r w:rsidR="006207A2" w:rsidRPr="00B35B7B">
        <w:t xml:space="preserve"> </w:t>
      </w:r>
      <w:r w:rsidR="00B35B7B" w:rsidRPr="00B35B7B">
        <w:t>surface glycoprotein</w:t>
      </w:r>
      <w:r w:rsidR="00C83FEB">
        <w:t xml:space="preserve"> (VSG)</w:t>
      </w:r>
      <w:r w:rsidR="00B35B7B">
        <w:t xml:space="preserve">, which is a predominant </w:t>
      </w:r>
      <w:r w:rsidR="006207A2">
        <w:t xml:space="preserve">variant </w:t>
      </w:r>
      <w:r w:rsidR="00B35B7B">
        <w:t xml:space="preserve">antigen of </w:t>
      </w:r>
      <w:r w:rsidR="00B35B7B" w:rsidRPr="001A4479">
        <w:rPr>
          <w:i/>
        </w:rPr>
        <w:t>T. b. gambiense</w:t>
      </w:r>
      <w:r w:rsidR="00B35B7B">
        <w:rPr>
          <w:i/>
        </w:rPr>
        <w:t xml:space="preserve"> </w:t>
      </w:r>
      <w:r w:rsidR="00B35B7B">
        <w:t>[</w:t>
      </w:r>
      <w:r w:rsidR="00C63060">
        <w:t>4</w:t>
      </w:r>
      <w:r w:rsidR="00B35B7B">
        <w:t>].</w:t>
      </w:r>
      <w:r w:rsidR="00B35B7B" w:rsidRPr="003901DD">
        <w:t xml:space="preserve"> </w:t>
      </w:r>
      <w:r w:rsidR="007760DF" w:rsidRPr="003901DD">
        <w:t xml:space="preserve">However, </w:t>
      </w:r>
      <w:r w:rsidR="0077060A">
        <w:t>CATT</w:t>
      </w:r>
      <w:r w:rsidR="00654E8E" w:rsidRPr="003901DD">
        <w:t xml:space="preserve"> has a number of operational limitations</w:t>
      </w:r>
      <w:r w:rsidR="0077060A" w:rsidRPr="0077060A">
        <w:t xml:space="preserve"> </w:t>
      </w:r>
      <w:r w:rsidR="0077060A">
        <w:t>that</w:t>
      </w:r>
      <w:r w:rsidR="0077060A" w:rsidRPr="003901DD">
        <w:t xml:space="preserve"> hind</w:t>
      </w:r>
      <w:r w:rsidR="0077060A">
        <w:t>er</w:t>
      </w:r>
      <w:r w:rsidR="0077060A" w:rsidRPr="003901DD">
        <w:t xml:space="preserve"> its </w:t>
      </w:r>
      <w:r w:rsidR="00AE6759">
        <w:t>large</w:t>
      </w:r>
      <w:r w:rsidR="009D1CDC">
        <w:t>-</w:t>
      </w:r>
      <w:r w:rsidR="00AE6759">
        <w:t>scale</w:t>
      </w:r>
      <w:r w:rsidR="00AE6759" w:rsidRPr="003901DD">
        <w:t xml:space="preserve"> </w:t>
      </w:r>
      <w:r w:rsidR="0077060A" w:rsidRPr="003901DD">
        <w:t xml:space="preserve">implementation, </w:t>
      </w:r>
      <w:r w:rsidR="0077060A">
        <w:t xml:space="preserve">especially </w:t>
      </w:r>
      <w:r w:rsidR="0077060A" w:rsidRPr="003901DD">
        <w:t>in basic health facilities</w:t>
      </w:r>
      <w:r w:rsidR="0077060A" w:rsidRPr="0077060A">
        <w:t xml:space="preserve"> </w:t>
      </w:r>
      <w:r w:rsidR="0077060A">
        <w:t xml:space="preserve">in </w:t>
      </w:r>
      <w:r w:rsidR="0077060A" w:rsidRPr="003901DD">
        <w:t>remote</w:t>
      </w:r>
      <w:r w:rsidR="0077060A">
        <w:t xml:space="preserve"> areas</w:t>
      </w:r>
      <w:r w:rsidR="00654E8E" w:rsidRPr="003901DD">
        <w:t xml:space="preserve">, including the need for specialized </w:t>
      </w:r>
      <w:r w:rsidR="00654E8E" w:rsidRPr="003901DD">
        <w:lastRenderedPageBreak/>
        <w:t xml:space="preserve">equipment, electricity and refrigeration. </w:t>
      </w:r>
      <w:r w:rsidR="00EC7406">
        <w:t>T</w:t>
      </w:r>
      <w:r w:rsidR="00654E8E" w:rsidRPr="003901DD">
        <w:t xml:space="preserve">he sensitivity </w:t>
      </w:r>
      <w:r w:rsidR="00880268" w:rsidRPr="003901DD">
        <w:t>and</w:t>
      </w:r>
      <w:r w:rsidR="00654E8E" w:rsidRPr="003901DD">
        <w:t xml:space="preserve"> specificity of CATT have </w:t>
      </w:r>
      <w:r w:rsidR="00EC7406">
        <w:t xml:space="preserve">also </w:t>
      </w:r>
      <w:r w:rsidR="00654E8E" w:rsidRPr="003901DD">
        <w:t xml:space="preserve">been reported to be </w:t>
      </w:r>
      <w:r w:rsidR="00F44AE1">
        <w:t>sub</w:t>
      </w:r>
      <w:r w:rsidR="00AE6759">
        <w:t>-</w:t>
      </w:r>
      <w:r w:rsidR="00F44AE1">
        <w:t xml:space="preserve">optimal in </w:t>
      </w:r>
      <w:r w:rsidR="00EC7406">
        <w:t xml:space="preserve">a number of </w:t>
      </w:r>
      <w:r w:rsidR="00F44AE1">
        <w:t>settings [</w:t>
      </w:r>
      <w:r w:rsidR="00C63060">
        <w:t>5</w:t>
      </w:r>
      <w:r w:rsidR="00F44AE1">
        <w:t>]</w:t>
      </w:r>
      <w:r w:rsidR="00654E8E" w:rsidRPr="003901DD">
        <w:t>.</w:t>
      </w:r>
      <w:r w:rsidR="00EE7132">
        <w:t xml:space="preserve"> To try and address some of these shortcomings, other screening tests have been developed. These include the LATEX/</w:t>
      </w:r>
      <w:r w:rsidR="00EE7132" w:rsidRPr="001A4479">
        <w:rPr>
          <w:i/>
        </w:rPr>
        <w:t>T. b. gambiense</w:t>
      </w:r>
      <w:r w:rsidR="00EE7132">
        <w:t xml:space="preserve"> test, which is a card agglutination test similar to CATT but whose </w:t>
      </w:r>
      <w:r w:rsidR="000637F7">
        <w:t xml:space="preserve">antigenic basis </w:t>
      </w:r>
      <w:r w:rsidR="00EE7132">
        <w:t>is a mixture of three purified varia</w:t>
      </w:r>
      <w:r w:rsidR="006207A2">
        <w:t>nt</w:t>
      </w:r>
      <w:r w:rsidR="00EE7132">
        <w:t xml:space="preserve"> surface glycoproteins (LiTat 1.3, 1.5 and 1.6) adsorbed on latex beads</w:t>
      </w:r>
      <w:r w:rsidR="00DF0881">
        <w:t xml:space="preserve"> [</w:t>
      </w:r>
      <w:r w:rsidR="00C63060">
        <w:t>6</w:t>
      </w:r>
      <w:r w:rsidR="007B0705">
        <w:t>]</w:t>
      </w:r>
      <w:r w:rsidR="00EE7132">
        <w:t>.</w:t>
      </w:r>
      <w:r w:rsidR="00F052A2">
        <w:t xml:space="preserve"> While further evaluations </w:t>
      </w:r>
      <w:r w:rsidR="00872195">
        <w:t xml:space="preserve">will </w:t>
      </w:r>
      <w:r w:rsidR="00F052A2">
        <w:t>be needed, currently available results indicate that the LATEX/</w:t>
      </w:r>
      <w:r w:rsidR="00F052A2" w:rsidRPr="001A4479">
        <w:rPr>
          <w:i/>
        </w:rPr>
        <w:t>T. b. gambiense</w:t>
      </w:r>
      <w:r w:rsidR="00F052A2">
        <w:t xml:space="preserve"> test would have a higher specificity but a lower or similar sensitivity to the CATT test [</w:t>
      </w:r>
      <w:r w:rsidR="00C63060">
        <w:t>5</w:t>
      </w:r>
      <w:r w:rsidR="00F052A2">
        <w:t>]. Immunofluorescence</w:t>
      </w:r>
      <w:r w:rsidR="00322D63">
        <w:t xml:space="preserve"> assays and enzyme-linked immunosorbent assay (ELISA) methods have also been used with success, but the sophisticated equipment that they require has resulted in their use being limited to reference laboratories [</w:t>
      </w:r>
      <w:r w:rsidR="00C63060">
        <w:t>5</w:t>
      </w:r>
      <w:r w:rsidR="00322D63">
        <w:t>].</w:t>
      </w:r>
      <w:r w:rsidR="008A72B1">
        <w:t xml:space="preserve"> Attempts have also been made to develop an antigen detection test for </w:t>
      </w:r>
      <w:r w:rsidR="008A72B1" w:rsidRPr="001A4479">
        <w:rPr>
          <w:i/>
        </w:rPr>
        <w:t>gambiense</w:t>
      </w:r>
      <w:r w:rsidR="008A72B1">
        <w:t xml:space="preserve"> HAT, which would allow a distinction between past and current infection</w:t>
      </w:r>
      <w:r w:rsidR="00332B00">
        <w:t>s</w:t>
      </w:r>
      <w:r w:rsidR="002438D1">
        <w:t xml:space="preserve">. These include the card indirect agglutination test for trypanosomiasis (TrypTect CIATT), which was found to be highly sensitive but whose specificity remains </w:t>
      </w:r>
      <w:r w:rsidR="009D1CDC">
        <w:t xml:space="preserve">uncertain </w:t>
      </w:r>
      <w:r w:rsidR="002438D1">
        <w:t>[</w:t>
      </w:r>
      <w:r w:rsidR="00C63060">
        <w:t>5,7,</w:t>
      </w:r>
      <w:r w:rsidR="0074071B">
        <w:t>8</w:t>
      </w:r>
      <w:r w:rsidR="002438D1">
        <w:t>]</w:t>
      </w:r>
      <w:r w:rsidR="007B0705">
        <w:t xml:space="preserve">. </w:t>
      </w:r>
      <w:r w:rsidR="00E4072E" w:rsidRPr="003901DD">
        <w:t xml:space="preserve">The situation is </w:t>
      </w:r>
      <w:r w:rsidR="00880268" w:rsidRPr="003901DD">
        <w:t>more problematic</w:t>
      </w:r>
      <w:r w:rsidR="00E4072E" w:rsidRPr="003901DD">
        <w:t xml:space="preserve"> in countries that are endemic for </w:t>
      </w:r>
      <w:r w:rsidR="00E4072E" w:rsidRPr="00E44671">
        <w:rPr>
          <w:i/>
        </w:rPr>
        <w:t>rhodesiense</w:t>
      </w:r>
      <w:r w:rsidR="00E4072E" w:rsidRPr="003901DD">
        <w:t xml:space="preserve"> HAT, as no screening test is available for this form of the disease.</w:t>
      </w:r>
    </w:p>
    <w:p w14:paraId="3A17D7EF" w14:textId="579FB3D2" w:rsidR="00D556C7" w:rsidRDefault="00654E8E" w:rsidP="0095777F">
      <w:pPr>
        <w:spacing w:line="480" w:lineRule="auto"/>
        <w:jc w:val="both"/>
      </w:pPr>
      <w:r w:rsidRPr="003901DD">
        <w:t>Th</w:t>
      </w:r>
      <w:r w:rsidR="00393B89" w:rsidRPr="003901DD">
        <w:t>us</w:t>
      </w:r>
      <w:r w:rsidRPr="003901DD">
        <w:t xml:space="preserve">, developing and introducing </w:t>
      </w:r>
      <w:r w:rsidR="00393B89" w:rsidRPr="003901DD">
        <w:t xml:space="preserve">new </w:t>
      </w:r>
      <w:r w:rsidRPr="003901DD">
        <w:t xml:space="preserve">screening tools </w:t>
      </w:r>
      <w:r w:rsidR="00393B89" w:rsidRPr="003901DD">
        <w:t>that would</w:t>
      </w:r>
      <w:r w:rsidR="00E21FAB" w:rsidRPr="003901DD">
        <w:t xml:space="preserve"> be</w:t>
      </w:r>
      <w:r w:rsidR="00393B89" w:rsidRPr="003901DD">
        <w:t xml:space="preserve"> </w:t>
      </w:r>
      <w:r w:rsidR="00E21FAB" w:rsidRPr="003901DD">
        <w:t>both simple to use and highly accurate c</w:t>
      </w:r>
      <w:r w:rsidR="00393B89" w:rsidRPr="003901DD">
        <w:t>ould</w:t>
      </w:r>
      <w:r w:rsidRPr="003901DD">
        <w:t xml:space="preserve"> play a central role in </w:t>
      </w:r>
      <w:r w:rsidR="00E21FAB" w:rsidRPr="003901DD">
        <w:t xml:space="preserve">enhancing control and facilitating </w:t>
      </w:r>
      <w:r w:rsidRPr="003901DD">
        <w:t>elimination of HAT. T</w:t>
      </w:r>
      <w:r w:rsidR="0054406C" w:rsidRPr="003901DD">
        <w:t>he goal of th</w:t>
      </w:r>
      <w:r w:rsidR="00EC7406">
        <w:t xml:space="preserve">is study </w:t>
      </w:r>
      <w:r w:rsidR="00C82D78">
        <w:t xml:space="preserve">was </w:t>
      </w:r>
      <w:r w:rsidR="00EC7406">
        <w:t>to</w:t>
      </w:r>
      <w:r w:rsidRPr="003901DD">
        <w:t xml:space="preserve"> </w:t>
      </w:r>
      <w:r w:rsidR="00E21FAB" w:rsidRPr="003901DD">
        <w:t>evaluate the diagnostic potential of</w:t>
      </w:r>
      <w:r w:rsidRPr="003901DD">
        <w:t xml:space="preserve"> </w:t>
      </w:r>
      <w:r w:rsidR="00B476F4">
        <w:t xml:space="preserve">antigens </w:t>
      </w:r>
      <w:r w:rsidR="009F6D17">
        <w:t xml:space="preserve">supplied by </w:t>
      </w:r>
      <w:r w:rsidR="00B476F4">
        <w:t xml:space="preserve">various </w:t>
      </w:r>
      <w:r w:rsidR="009F6D17">
        <w:t>research organisations and universities</w:t>
      </w:r>
      <w:r w:rsidR="00AE6759">
        <w:t>,</w:t>
      </w:r>
      <w:r w:rsidR="00B476F4">
        <w:t xml:space="preserve"> and identify the most promising ones that could be used for development </w:t>
      </w:r>
      <w:r w:rsidR="00E4072E" w:rsidRPr="003901DD">
        <w:t xml:space="preserve">of a simple </w:t>
      </w:r>
      <w:r w:rsidR="009A0BC2">
        <w:t>serological</w:t>
      </w:r>
      <w:r w:rsidR="00E4072E" w:rsidRPr="003901DD">
        <w:t xml:space="preserve"> test for HAT</w:t>
      </w:r>
      <w:r w:rsidR="00DC3931" w:rsidRPr="003901DD">
        <w:t>. Th</w:t>
      </w:r>
      <w:r w:rsidR="00EC7406">
        <w:t>e</w:t>
      </w:r>
      <w:r w:rsidR="00DC3931" w:rsidRPr="003901DD">
        <w:t xml:space="preserve"> test would ideally be </w:t>
      </w:r>
      <w:r w:rsidR="00E4072E" w:rsidRPr="003901DD">
        <w:t>a lateral-flow rapid diagnostic test (RDT)</w:t>
      </w:r>
      <w:r w:rsidR="00B476F4">
        <w:t xml:space="preserve"> for screening patients suspected of HAT and populations living in endemic areas,</w:t>
      </w:r>
      <w:r w:rsidR="00B476F4" w:rsidRPr="003901DD">
        <w:t xml:space="preserve"> </w:t>
      </w:r>
      <w:r w:rsidR="00E4072E" w:rsidRPr="003901DD">
        <w:t xml:space="preserve">which could be deployed </w:t>
      </w:r>
      <w:r w:rsidR="009F6D17">
        <w:t xml:space="preserve">within </w:t>
      </w:r>
      <w:r w:rsidR="00AE6759">
        <w:t>various</w:t>
      </w:r>
      <w:r w:rsidR="00DC3931" w:rsidRPr="003901DD">
        <w:t xml:space="preserve"> level</w:t>
      </w:r>
      <w:r w:rsidR="009F6D17">
        <w:t>s</w:t>
      </w:r>
      <w:r w:rsidR="00E4072E" w:rsidRPr="003901DD">
        <w:t xml:space="preserve"> of the health</w:t>
      </w:r>
      <w:r w:rsidR="00EC7406">
        <w:t>care</w:t>
      </w:r>
      <w:r w:rsidR="00E4072E" w:rsidRPr="003901DD">
        <w:t xml:space="preserve"> system</w:t>
      </w:r>
      <w:r w:rsidR="00DC3931" w:rsidRPr="003901DD">
        <w:t xml:space="preserve"> </w:t>
      </w:r>
      <w:r w:rsidR="00EC7406">
        <w:t>in</w:t>
      </w:r>
      <w:r w:rsidR="00EC7406" w:rsidRPr="003901DD">
        <w:t xml:space="preserve"> </w:t>
      </w:r>
      <w:r w:rsidR="00DC3931" w:rsidRPr="003901DD">
        <w:t>HAT endemic countries</w:t>
      </w:r>
      <w:r w:rsidR="00E4072E" w:rsidRPr="003901DD">
        <w:t xml:space="preserve">, including </w:t>
      </w:r>
      <w:r w:rsidR="00884C31" w:rsidRPr="003901DD">
        <w:t>rural</w:t>
      </w:r>
      <w:r w:rsidR="00C82D78">
        <w:t>,</w:t>
      </w:r>
      <w:r w:rsidR="00884C31" w:rsidRPr="003901DD">
        <w:t xml:space="preserve"> </w:t>
      </w:r>
      <w:r w:rsidR="00E4072E" w:rsidRPr="003901DD">
        <w:t xml:space="preserve">resource-limited settings where </w:t>
      </w:r>
      <w:r w:rsidR="00DC3931" w:rsidRPr="003901DD">
        <w:t xml:space="preserve">the disease </w:t>
      </w:r>
      <w:r w:rsidR="00E4072E" w:rsidRPr="003901DD">
        <w:t xml:space="preserve">is </w:t>
      </w:r>
      <w:r w:rsidR="00DC3931" w:rsidRPr="003901DD">
        <w:t>usually</w:t>
      </w:r>
      <w:r w:rsidR="00E4072E" w:rsidRPr="003901DD">
        <w:t xml:space="preserve"> found.</w:t>
      </w:r>
    </w:p>
    <w:p w14:paraId="6542BF0E" w14:textId="77777777" w:rsidR="00752B12" w:rsidRPr="003901DD" w:rsidRDefault="00752B12" w:rsidP="0095777F">
      <w:pPr>
        <w:spacing w:line="480" w:lineRule="auto"/>
        <w:jc w:val="both"/>
        <w:rPr>
          <w:b/>
        </w:rPr>
      </w:pPr>
    </w:p>
    <w:p w14:paraId="51835EF5" w14:textId="77777777" w:rsidR="00EE52A6" w:rsidRPr="005C60AB" w:rsidRDefault="00120014" w:rsidP="0095777F">
      <w:pPr>
        <w:spacing w:line="480" w:lineRule="auto"/>
        <w:jc w:val="both"/>
        <w:rPr>
          <w:b/>
          <w:sz w:val="36"/>
          <w:szCs w:val="36"/>
        </w:rPr>
      </w:pPr>
      <w:r w:rsidRPr="005C60AB">
        <w:rPr>
          <w:b/>
          <w:sz w:val="36"/>
          <w:szCs w:val="36"/>
        </w:rPr>
        <w:t xml:space="preserve">Materials and </w:t>
      </w:r>
      <w:r w:rsidR="00EE52A6" w:rsidRPr="005C60AB">
        <w:rPr>
          <w:b/>
          <w:sz w:val="36"/>
          <w:szCs w:val="36"/>
        </w:rPr>
        <w:t>Methods</w:t>
      </w:r>
    </w:p>
    <w:p w14:paraId="37DED08B" w14:textId="77777777" w:rsidR="00EE52A6" w:rsidRPr="005C60AB" w:rsidRDefault="00C62864" w:rsidP="0095777F">
      <w:pPr>
        <w:spacing w:line="480" w:lineRule="auto"/>
        <w:jc w:val="both"/>
        <w:rPr>
          <w:sz w:val="32"/>
          <w:szCs w:val="32"/>
        </w:rPr>
      </w:pPr>
      <w:r w:rsidRPr="005C60AB">
        <w:rPr>
          <w:b/>
          <w:sz w:val="32"/>
          <w:szCs w:val="32"/>
        </w:rPr>
        <w:t>A</w:t>
      </w:r>
      <w:r w:rsidR="00EE52A6" w:rsidRPr="005C60AB">
        <w:rPr>
          <w:b/>
          <w:sz w:val="32"/>
          <w:szCs w:val="32"/>
        </w:rPr>
        <w:t>ntigens</w:t>
      </w:r>
    </w:p>
    <w:p w14:paraId="79F341C7" w14:textId="47EC8950" w:rsidR="00D9414C" w:rsidRDefault="00F544FC" w:rsidP="0095777F">
      <w:pPr>
        <w:spacing w:line="480" w:lineRule="auto"/>
        <w:jc w:val="both"/>
      </w:pPr>
      <w:r>
        <w:t>Candidate antigens were identified based on a literature search and through personal contacts. A request for access to antigens was sent to the corresponding academic organizations</w:t>
      </w:r>
      <w:r w:rsidR="0033028D">
        <w:t>, and a</w:t>
      </w:r>
      <w:r>
        <w:t xml:space="preserve">fter signature of Material Transfer Agreements </w:t>
      </w:r>
      <w:r w:rsidR="0033028D">
        <w:t>with</w:t>
      </w:r>
      <w:r>
        <w:t xml:space="preserve"> FIND (Foundation for Innovative New Diagnostics)</w:t>
      </w:r>
      <w:r w:rsidR="0033028D">
        <w:t>, t</w:t>
      </w:r>
      <w:r w:rsidR="00A07F01">
        <w:t>he</w:t>
      </w:r>
      <w:r w:rsidR="00860CC8">
        <w:t xml:space="preserve"> </w:t>
      </w:r>
      <w:r w:rsidR="00A07F01">
        <w:t>a</w:t>
      </w:r>
      <w:r w:rsidR="001661CD">
        <w:t xml:space="preserve">ntigens were shipped </w:t>
      </w:r>
      <w:r w:rsidR="00860CC8">
        <w:t xml:space="preserve">by the different suppliers to </w:t>
      </w:r>
      <w:r w:rsidR="00A07F01">
        <w:t>FIND where they were stored at -20</w:t>
      </w:r>
      <w:r w:rsidR="00860CC8">
        <w:rPr>
          <w:vertAlign w:val="superscript"/>
        </w:rPr>
        <w:t>o</w:t>
      </w:r>
      <w:r w:rsidR="00860CC8">
        <w:t xml:space="preserve">C. After all </w:t>
      </w:r>
      <w:r w:rsidR="007F01B5">
        <w:t>antigens</w:t>
      </w:r>
      <w:r w:rsidR="00860CC8">
        <w:t xml:space="preserve"> were received, they were delivered </w:t>
      </w:r>
      <w:r w:rsidR="001661CD">
        <w:t>to the University of Geneva</w:t>
      </w:r>
      <w:r w:rsidR="005A5B54">
        <w:t xml:space="preserve"> Hospitals</w:t>
      </w:r>
      <w:r w:rsidR="001661CD">
        <w:t xml:space="preserve">, Switzerland, where they were </w:t>
      </w:r>
      <w:r w:rsidR="00C945AC">
        <w:t xml:space="preserve">thawed and </w:t>
      </w:r>
      <w:r w:rsidR="001661CD">
        <w:t xml:space="preserve">transferred </w:t>
      </w:r>
      <w:r w:rsidR="00C945AC">
        <w:t>in</w:t>
      </w:r>
      <w:r w:rsidR="001661CD">
        <w:t>to new tubes that were labelled with identification codes. Subsequently, the antigens</w:t>
      </w:r>
      <w:r w:rsidR="008F6DA5">
        <w:t>, which</w:t>
      </w:r>
      <w:r w:rsidR="001661CD">
        <w:t xml:space="preserve"> were</w:t>
      </w:r>
      <w:r w:rsidR="008F6DA5">
        <w:t xml:space="preserve"> now anonymous as to function and origin, were</w:t>
      </w:r>
      <w:r w:rsidR="001661CD">
        <w:t xml:space="preserve"> shipped to Micro</w:t>
      </w:r>
      <w:r w:rsidR="001577C6">
        <w:t>c</w:t>
      </w:r>
      <w:r w:rsidR="001661CD">
        <w:t xml:space="preserve">oat </w:t>
      </w:r>
      <w:r w:rsidR="004D77F1">
        <w:t xml:space="preserve">Biotechnologie </w:t>
      </w:r>
      <w:r w:rsidR="001661CD">
        <w:t xml:space="preserve">GmbH </w:t>
      </w:r>
      <w:r w:rsidR="00C945AC">
        <w:t xml:space="preserve">where the screening was </w:t>
      </w:r>
      <w:r w:rsidR="008F6DA5">
        <w:t>performed</w:t>
      </w:r>
      <w:r w:rsidR="001661CD">
        <w:t>. Micro</w:t>
      </w:r>
      <w:r w:rsidR="001577C6">
        <w:t>c</w:t>
      </w:r>
      <w:r w:rsidR="001661CD">
        <w:t xml:space="preserve">oat did not have access to any information </w:t>
      </w:r>
      <w:r w:rsidR="00567721">
        <w:t xml:space="preserve">that could </w:t>
      </w:r>
      <w:r w:rsidR="001661CD">
        <w:t>all</w:t>
      </w:r>
      <w:r w:rsidR="00567721">
        <w:t>ow identification of the antigens.</w:t>
      </w:r>
      <w:r w:rsidR="0033028D" w:rsidRPr="0033028D">
        <w:t xml:space="preserve"> </w:t>
      </w:r>
      <w:r w:rsidR="0033028D">
        <w:t xml:space="preserve">Table 1 shows the 35 antigens that were screened in this study, including their source, supplier and method of production. Two of the antigens were purified native VSGs obtained from rodent infections, while the </w:t>
      </w:r>
      <w:r w:rsidR="00AE6759">
        <w:t>rest</w:t>
      </w:r>
      <w:r w:rsidR="008F6DA5">
        <w:t xml:space="preserve"> </w:t>
      </w:r>
      <w:r w:rsidR="0033028D">
        <w:t>were</w:t>
      </w:r>
      <w:r w:rsidR="00C83FEB">
        <w:t xml:space="preserve"> purified</w:t>
      </w:r>
      <w:r w:rsidR="0033028D">
        <w:t xml:space="preserve"> recombinant proteins expressed in </w:t>
      </w:r>
      <w:r w:rsidR="0033028D" w:rsidRPr="001661CD">
        <w:rPr>
          <w:i/>
        </w:rPr>
        <w:t>Escherichia coli</w:t>
      </w:r>
      <w:r w:rsidR="0033028D">
        <w:t>.</w:t>
      </w:r>
    </w:p>
    <w:p w14:paraId="042F74F8" w14:textId="77777777" w:rsidR="00313200" w:rsidRDefault="00313200" w:rsidP="0095777F">
      <w:pPr>
        <w:spacing w:line="480" w:lineRule="auto"/>
        <w:jc w:val="both"/>
      </w:pPr>
    </w:p>
    <w:p w14:paraId="2BA7035F" w14:textId="77777777" w:rsidR="00B352A6" w:rsidRPr="00AF6E98" w:rsidRDefault="00313200" w:rsidP="00AF6E98">
      <w:pPr>
        <w:spacing w:line="480" w:lineRule="auto"/>
        <w:jc w:val="both"/>
      </w:pPr>
      <w:r w:rsidRPr="00BA3C0B">
        <w:rPr>
          <w:b/>
        </w:rPr>
        <w:t xml:space="preserve">Table 1. </w:t>
      </w:r>
      <w:r w:rsidRPr="00AF6E98">
        <w:rPr>
          <w:b/>
        </w:rPr>
        <w:t>Antigens that were screened in this study.</w:t>
      </w:r>
    </w:p>
    <w:tbl>
      <w:tblPr>
        <w:tblStyle w:val="TableGrid"/>
        <w:tblW w:w="9817" w:type="dxa"/>
        <w:tblLook w:val="04A0" w:firstRow="1" w:lastRow="0" w:firstColumn="1" w:lastColumn="0" w:noHBand="0" w:noVBand="1"/>
      </w:tblPr>
      <w:tblGrid>
        <w:gridCol w:w="2469"/>
        <w:gridCol w:w="2031"/>
        <w:gridCol w:w="3302"/>
        <w:gridCol w:w="2015"/>
      </w:tblGrid>
      <w:tr w:rsidR="001A1AA7" w:rsidRPr="00AF6E98" w14:paraId="58F1E6EC" w14:textId="77777777" w:rsidTr="00AF6E98">
        <w:tc>
          <w:tcPr>
            <w:tcW w:w="2469" w:type="dxa"/>
            <w:vAlign w:val="bottom"/>
          </w:tcPr>
          <w:p w14:paraId="41390C9B" w14:textId="77777777" w:rsidR="00877611" w:rsidRPr="00AF6E98" w:rsidRDefault="00877611" w:rsidP="00AF6E98">
            <w:pPr>
              <w:spacing w:line="480" w:lineRule="auto"/>
              <w:rPr>
                <w:b/>
              </w:rPr>
            </w:pPr>
            <w:r w:rsidRPr="00AF6E98">
              <w:rPr>
                <w:b/>
              </w:rPr>
              <w:t>Antigen name (abbreviation)</w:t>
            </w:r>
          </w:p>
        </w:tc>
        <w:tc>
          <w:tcPr>
            <w:tcW w:w="2031" w:type="dxa"/>
            <w:vAlign w:val="bottom"/>
          </w:tcPr>
          <w:p w14:paraId="44A57FE2" w14:textId="77777777" w:rsidR="00877611" w:rsidRPr="00AF6E98" w:rsidRDefault="00877611" w:rsidP="00AF6E98">
            <w:pPr>
              <w:spacing w:line="480" w:lineRule="auto"/>
              <w:rPr>
                <w:b/>
              </w:rPr>
            </w:pPr>
            <w:r w:rsidRPr="00AF6E98">
              <w:rPr>
                <w:b/>
              </w:rPr>
              <w:t>Source</w:t>
            </w:r>
          </w:p>
        </w:tc>
        <w:tc>
          <w:tcPr>
            <w:tcW w:w="3302" w:type="dxa"/>
            <w:vAlign w:val="bottom"/>
          </w:tcPr>
          <w:p w14:paraId="1C27D852" w14:textId="77777777" w:rsidR="00877611" w:rsidRPr="00AF6E98" w:rsidRDefault="00877611" w:rsidP="00AF6E98">
            <w:pPr>
              <w:spacing w:line="480" w:lineRule="auto"/>
              <w:rPr>
                <w:b/>
              </w:rPr>
            </w:pPr>
            <w:r w:rsidRPr="00AF6E98">
              <w:rPr>
                <w:b/>
              </w:rPr>
              <w:t>Supplier</w:t>
            </w:r>
          </w:p>
        </w:tc>
        <w:tc>
          <w:tcPr>
            <w:tcW w:w="2015" w:type="dxa"/>
            <w:vAlign w:val="bottom"/>
          </w:tcPr>
          <w:p w14:paraId="3FA285C0" w14:textId="77777777" w:rsidR="00877611" w:rsidRPr="00AF6E98" w:rsidRDefault="0004654A" w:rsidP="00AF6E98">
            <w:pPr>
              <w:spacing w:line="480" w:lineRule="auto"/>
              <w:rPr>
                <w:b/>
              </w:rPr>
            </w:pPr>
            <w:r w:rsidRPr="00AF6E98">
              <w:rPr>
                <w:b/>
              </w:rPr>
              <w:t>Reference</w:t>
            </w:r>
          </w:p>
        </w:tc>
      </w:tr>
      <w:tr w:rsidR="001A1AA7" w:rsidRPr="00AF6E98" w14:paraId="4420DDDE" w14:textId="77777777" w:rsidTr="00AF6E98">
        <w:tc>
          <w:tcPr>
            <w:tcW w:w="2469" w:type="dxa"/>
          </w:tcPr>
          <w:p w14:paraId="5334D336" w14:textId="77777777" w:rsidR="00877611" w:rsidRPr="00AF6E98" w:rsidRDefault="002148A9" w:rsidP="00AF6E98">
            <w:pPr>
              <w:spacing w:line="480" w:lineRule="auto"/>
            </w:pPr>
            <w:r w:rsidRPr="00AF6E98">
              <w:t>P</w:t>
            </w:r>
            <w:r w:rsidR="00877611" w:rsidRPr="00AF6E98">
              <w:t>hosphofructokinase (PFK)</w:t>
            </w:r>
          </w:p>
        </w:tc>
        <w:tc>
          <w:tcPr>
            <w:tcW w:w="2031" w:type="dxa"/>
          </w:tcPr>
          <w:p w14:paraId="2C97928A" w14:textId="77777777" w:rsidR="00877611" w:rsidRPr="00AF6E98" w:rsidRDefault="001F736E" w:rsidP="00AF6E98">
            <w:pPr>
              <w:spacing w:line="480" w:lineRule="auto"/>
            </w:pPr>
            <w:r w:rsidRPr="00AF6E98">
              <w:rPr>
                <w:i/>
              </w:rPr>
              <w:t xml:space="preserve">Trypanosoma brucei </w:t>
            </w:r>
            <w:r w:rsidR="00877611" w:rsidRPr="00AF6E98">
              <w:rPr>
                <w:i/>
              </w:rPr>
              <w:t>brucei</w:t>
            </w:r>
          </w:p>
        </w:tc>
        <w:tc>
          <w:tcPr>
            <w:tcW w:w="3302" w:type="dxa"/>
          </w:tcPr>
          <w:p w14:paraId="4DDD7C64" w14:textId="4F45F7B6" w:rsidR="00877611" w:rsidRPr="00AF6E98" w:rsidRDefault="00877611" w:rsidP="00AF6E98">
            <w:pPr>
              <w:spacing w:line="480" w:lineRule="auto"/>
            </w:pPr>
            <w:r w:rsidRPr="00AF6E98">
              <w:t xml:space="preserve">Christian de Duve Institute </w:t>
            </w:r>
          </w:p>
        </w:tc>
        <w:tc>
          <w:tcPr>
            <w:tcW w:w="2015" w:type="dxa"/>
          </w:tcPr>
          <w:p w14:paraId="44F9F460" w14:textId="6265726B" w:rsidR="00877611" w:rsidRPr="00AF6E98" w:rsidRDefault="00C63060" w:rsidP="00C63060">
            <w:pPr>
              <w:spacing w:line="480" w:lineRule="auto"/>
            </w:pPr>
            <w:r>
              <w:t>[9]</w:t>
            </w:r>
          </w:p>
        </w:tc>
      </w:tr>
      <w:tr w:rsidR="001A1AA7" w:rsidRPr="00AF6E98" w14:paraId="090C33B9" w14:textId="77777777" w:rsidTr="00AF6E98">
        <w:tc>
          <w:tcPr>
            <w:tcW w:w="2469" w:type="dxa"/>
          </w:tcPr>
          <w:p w14:paraId="3BEC6311" w14:textId="77777777" w:rsidR="00877611" w:rsidRPr="00AF6E98" w:rsidRDefault="001F736E" w:rsidP="00AF6E98">
            <w:pPr>
              <w:spacing w:line="480" w:lineRule="auto"/>
            </w:pPr>
            <w:r w:rsidRPr="00AF6E98">
              <w:t>F</w:t>
            </w:r>
            <w:r w:rsidR="00877611" w:rsidRPr="00AF6E98">
              <w:t>ructose-1 ,6-bisphosphate aldolase (ALD)</w:t>
            </w:r>
          </w:p>
        </w:tc>
        <w:tc>
          <w:tcPr>
            <w:tcW w:w="2031" w:type="dxa"/>
          </w:tcPr>
          <w:p w14:paraId="76A15FB6" w14:textId="77777777" w:rsidR="00877611" w:rsidRPr="00AF6E98" w:rsidRDefault="00877611" w:rsidP="00AF6E98">
            <w:pPr>
              <w:spacing w:line="480" w:lineRule="auto"/>
            </w:pPr>
            <w:r w:rsidRPr="00AF6E98">
              <w:rPr>
                <w:i/>
              </w:rPr>
              <w:t>Trypanosoma brucei</w:t>
            </w:r>
          </w:p>
        </w:tc>
        <w:tc>
          <w:tcPr>
            <w:tcW w:w="3302" w:type="dxa"/>
          </w:tcPr>
          <w:p w14:paraId="27E1AF79" w14:textId="4A3CD749" w:rsidR="00877611" w:rsidRPr="00AF6E98" w:rsidRDefault="00877611" w:rsidP="00AF6E98">
            <w:pPr>
              <w:spacing w:line="480" w:lineRule="auto"/>
            </w:pPr>
            <w:r w:rsidRPr="00AF6E98">
              <w:t>Christian de Duve Institute</w:t>
            </w:r>
          </w:p>
        </w:tc>
        <w:tc>
          <w:tcPr>
            <w:tcW w:w="2015" w:type="dxa"/>
          </w:tcPr>
          <w:p w14:paraId="18156D3B" w14:textId="3463B487" w:rsidR="00877611" w:rsidRPr="00AF6E98" w:rsidRDefault="00C63060" w:rsidP="00C63060">
            <w:pPr>
              <w:spacing w:line="480" w:lineRule="auto"/>
            </w:pPr>
            <w:r>
              <w:t>[</w:t>
            </w:r>
            <w:r w:rsidR="0074071B">
              <w:t>10</w:t>
            </w:r>
            <w:r>
              <w:t>]</w:t>
            </w:r>
          </w:p>
        </w:tc>
      </w:tr>
      <w:tr w:rsidR="001A1AA7" w:rsidRPr="00AF6E98" w14:paraId="659F74F8" w14:textId="77777777" w:rsidTr="00AF6E98">
        <w:tc>
          <w:tcPr>
            <w:tcW w:w="2469" w:type="dxa"/>
          </w:tcPr>
          <w:p w14:paraId="3428F808" w14:textId="77777777" w:rsidR="00877611" w:rsidRPr="00AF6E98" w:rsidRDefault="001F736E" w:rsidP="00AF6E98">
            <w:pPr>
              <w:spacing w:line="480" w:lineRule="auto"/>
            </w:pPr>
            <w:r w:rsidRPr="00AF6E98">
              <w:t>T</w:t>
            </w:r>
            <w:r w:rsidR="00877611" w:rsidRPr="00AF6E98">
              <w:t>riosephosphate isomerase (TIM)</w:t>
            </w:r>
          </w:p>
        </w:tc>
        <w:tc>
          <w:tcPr>
            <w:tcW w:w="2031" w:type="dxa"/>
          </w:tcPr>
          <w:p w14:paraId="22C00ABF" w14:textId="77777777" w:rsidR="00877611" w:rsidRPr="00AF6E98" w:rsidRDefault="00877611" w:rsidP="00AF6E98">
            <w:pPr>
              <w:spacing w:line="480" w:lineRule="auto"/>
            </w:pPr>
            <w:r w:rsidRPr="00AF6E98">
              <w:rPr>
                <w:i/>
              </w:rPr>
              <w:t>Trypanosoma brucei</w:t>
            </w:r>
          </w:p>
        </w:tc>
        <w:tc>
          <w:tcPr>
            <w:tcW w:w="3302" w:type="dxa"/>
          </w:tcPr>
          <w:p w14:paraId="3C6911EF" w14:textId="1B1BE104" w:rsidR="00877611" w:rsidRPr="00AF6E98" w:rsidRDefault="00877611" w:rsidP="00AF6E98">
            <w:pPr>
              <w:spacing w:line="480" w:lineRule="auto"/>
            </w:pPr>
            <w:r w:rsidRPr="00AF6E98">
              <w:t>Christian de Duve Institute</w:t>
            </w:r>
          </w:p>
        </w:tc>
        <w:tc>
          <w:tcPr>
            <w:tcW w:w="2015" w:type="dxa"/>
          </w:tcPr>
          <w:p w14:paraId="25E1E1C8" w14:textId="5631175A" w:rsidR="00877611" w:rsidRPr="00AF6E98" w:rsidRDefault="00C63060" w:rsidP="00C63060">
            <w:pPr>
              <w:spacing w:line="480" w:lineRule="auto"/>
            </w:pPr>
            <w:r>
              <w:t>[</w:t>
            </w:r>
            <w:r w:rsidR="0074071B">
              <w:t>11</w:t>
            </w:r>
            <w:r>
              <w:t>]</w:t>
            </w:r>
          </w:p>
        </w:tc>
      </w:tr>
      <w:tr w:rsidR="001A1AA7" w:rsidRPr="00AF6E98" w14:paraId="49644C71" w14:textId="77777777" w:rsidTr="00AF6E98">
        <w:tc>
          <w:tcPr>
            <w:tcW w:w="2469" w:type="dxa"/>
          </w:tcPr>
          <w:p w14:paraId="31573A97" w14:textId="77777777" w:rsidR="00877611" w:rsidRPr="00AF6E98" w:rsidRDefault="001F736E" w:rsidP="00AF6E98">
            <w:pPr>
              <w:spacing w:line="480" w:lineRule="auto"/>
            </w:pPr>
            <w:r w:rsidRPr="00AF6E98">
              <w:t>G</w:t>
            </w:r>
            <w:r w:rsidR="00877611" w:rsidRPr="00AF6E98">
              <w:t>lyceraldehyde-3-</w:t>
            </w:r>
            <w:r w:rsidR="001A5CAE" w:rsidRPr="00AF6E98">
              <w:t xml:space="preserve">phosphate </w:t>
            </w:r>
            <w:r w:rsidR="00877611" w:rsidRPr="00AF6E98">
              <w:t>dehydrogenase (GAPDH)</w:t>
            </w:r>
          </w:p>
        </w:tc>
        <w:tc>
          <w:tcPr>
            <w:tcW w:w="2031" w:type="dxa"/>
          </w:tcPr>
          <w:p w14:paraId="7A6F8D4A" w14:textId="77777777" w:rsidR="00877611" w:rsidRPr="00AF6E98" w:rsidRDefault="00877611" w:rsidP="00AF6E98">
            <w:pPr>
              <w:spacing w:line="480" w:lineRule="auto"/>
            </w:pPr>
            <w:r w:rsidRPr="00AF6E98">
              <w:rPr>
                <w:i/>
              </w:rPr>
              <w:t>Trypanosoma brucei</w:t>
            </w:r>
          </w:p>
        </w:tc>
        <w:tc>
          <w:tcPr>
            <w:tcW w:w="3302" w:type="dxa"/>
          </w:tcPr>
          <w:p w14:paraId="248C594E" w14:textId="17941399" w:rsidR="00877611" w:rsidRPr="00AF6E98" w:rsidRDefault="00877611" w:rsidP="00AF6E98">
            <w:pPr>
              <w:spacing w:line="480" w:lineRule="auto"/>
            </w:pPr>
            <w:r w:rsidRPr="00AF6E98">
              <w:t>Christian de Duve Institute</w:t>
            </w:r>
          </w:p>
        </w:tc>
        <w:tc>
          <w:tcPr>
            <w:tcW w:w="2015" w:type="dxa"/>
          </w:tcPr>
          <w:p w14:paraId="374ABDE8" w14:textId="118F8BFD" w:rsidR="00877611" w:rsidRPr="00AF6E98" w:rsidRDefault="00C63060" w:rsidP="00C63060">
            <w:pPr>
              <w:spacing w:line="480" w:lineRule="auto"/>
            </w:pPr>
            <w:r>
              <w:t>[</w:t>
            </w:r>
            <w:r w:rsidR="0074071B">
              <w:t>12</w:t>
            </w:r>
            <w:r>
              <w:t>]</w:t>
            </w:r>
          </w:p>
        </w:tc>
      </w:tr>
      <w:tr w:rsidR="001A1AA7" w:rsidRPr="00AF6E98" w14:paraId="3DDB1F10" w14:textId="77777777" w:rsidTr="00AF6E98">
        <w:tc>
          <w:tcPr>
            <w:tcW w:w="2469" w:type="dxa"/>
          </w:tcPr>
          <w:p w14:paraId="27D558C1" w14:textId="77777777" w:rsidR="00877611" w:rsidRPr="00AF6E98" w:rsidRDefault="001F736E" w:rsidP="00AF6E98">
            <w:pPr>
              <w:spacing w:line="480" w:lineRule="auto"/>
            </w:pPr>
            <w:r w:rsidRPr="00AF6E98">
              <w:t>P</w:t>
            </w:r>
            <w:r w:rsidR="00877611" w:rsidRPr="00AF6E98">
              <w:t>hosphoglycerate kinase (PGK)</w:t>
            </w:r>
          </w:p>
        </w:tc>
        <w:tc>
          <w:tcPr>
            <w:tcW w:w="2031" w:type="dxa"/>
          </w:tcPr>
          <w:p w14:paraId="3EBAA573" w14:textId="77777777" w:rsidR="00877611" w:rsidRPr="00AF6E98" w:rsidRDefault="00877611" w:rsidP="00AF6E98">
            <w:pPr>
              <w:spacing w:line="480" w:lineRule="auto"/>
            </w:pPr>
            <w:r w:rsidRPr="00AF6E98">
              <w:rPr>
                <w:i/>
              </w:rPr>
              <w:t>Trypanosoma brucei</w:t>
            </w:r>
          </w:p>
        </w:tc>
        <w:tc>
          <w:tcPr>
            <w:tcW w:w="3302" w:type="dxa"/>
          </w:tcPr>
          <w:p w14:paraId="196A159B" w14:textId="26C09074" w:rsidR="00877611" w:rsidRPr="00AF6E98" w:rsidRDefault="00877611" w:rsidP="00AF6E98">
            <w:pPr>
              <w:spacing w:line="480" w:lineRule="auto"/>
            </w:pPr>
            <w:r w:rsidRPr="00AF6E98">
              <w:t>Christian de Duve Institute</w:t>
            </w:r>
          </w:p>
        </w:tc>
        <w:tc>
          <w:tcPr>
            <w:tcW w:w="2015" w:type="dxa"/>
          </w:tcPr>
          <w:p w14:paraId="15CB9335" w14:textId="4D5E48D2" w:rsidR="00877611" w:rsidRPr="00AF6E98" w:rsidRDefault="00C63060" w:rsidP="00C63060">
            <w:pPr>
              <w:spacing w:line="480" w:lineRule="auto"/>
            </w:pPr>
            <w:r>
              <w:t>[</w:t>
            </w:r>
            <w:r w:rsidR="0074071B">
              <w:t>13</w:t>
            </w:r>
            <w:r>
              <w:t>]</w:t>
            </w:r>
          </w:p>
        </w:tc>
      </w:tr>
      <w:tr w:rsidR="001A1AA7" w:rsidRPr="00AF6E98" w14:paraId="68EC930F" w14:textId="77777777" w:rsidTr="00AF6E98">
        <w:tc>
          <w:tcPr>
            <w:tcW w:w="2469" w:type="dxa"/>
          </w:tcPr>
          <w:p w14:paraId="1A43753E" w14:textId="77777777" w:rsidR="00877611" w:rsidRPr="00AF6E98" w:rsidRDefault="001F736E" w:rsidP="00AF6E98">
            <w:pPr>
              <w:spacing w:line="480" w:lineRule="auto"/>
            </w:pPr>
            <w:r w:rsidRPr="00AF6E98">
              <w:t>P</w:t>
            </w:r>
            <w:r w:rsidR="00877611" w:rsidRPr="00AF6E98">
              <w:t>hosphoglycerate mutase (PGAM)</w:t>
            </w:r>
          </w:p>
        </w:tc>
        <w:tc>
          <w:tcPr>
            <w:tcW w:w="2031" w:type="dxa"/>
          </w:tcPr>
          <w:p w14:paraId="28F5897E" w14:textId="77777777" w:rsidR="00877611" w:rsidRPr="00AF6E98" w:rsidRDefault="00877611" w:rsidP="00AF6E98">
            <w:pPr>
              <w:spacing w:line="480" w:lineRule="auto"/>
            </w:pPr>
            <w:r w:rsidRPr="00AF6E98">
              <w:rPr>
                <w:i/>
              </w:rPr>
              <w:t>Trypanosoma brucei</w:t>
            </w:r>
          </w:p>
        </w:tc>
        <w:tc>
          <w:tcPr>
            <w:tcW w:w="3302" w:type="dxa"/>
          </w:tcPr>
          <w:p w14:paraId="6EA86290" w14:textId="44726AA3" w:rsidR="00877611" w:rsidRPr="00AF6E98" w:rsidRDefault="00877611" w:rsidP="00AF6E98">
            <w:pPr>
              <w:spacing w:line="480" w:lineRule="auto"/>
            </w:pPr>
            <w:r w:rsidRPr="00AF6E98">
              <w:t>Christian de Duve Institute</w:t>
            </w:r>
          </w:p>
        </w:tc>
        <w:tc>
          <w:tcPr>
            <w:tcW w:w="2015" w:type="dxa"/>
          </w:tcPr>
          <w:p w14:paraId="4CDA2C91" w14:textId="476AC170" w:rsidR="00877611" w:rsidRPr="00AF6E98" w:rsidRDefault="00C63060" w:rsidP="00C63060">
            <w:pPr>
              <w:spacing w:line="480" w:lineRule="auto"/>
            </w:pPr>
            <w:r>
              <w:t>[</w:t>
            </w:r>
            <w:r w:rsidR="0074071B">
              <w:t>14</w:t>
            </w:r>
            <w:r>
              <w:t>]</w:t>
            </w:r>
          </w:p>
        </w:tc>
      </w:tr>
      <w:tr w:rsidR="001A1AA7" w:rsidRPr="00A11852" w14:paraId="15CB921B" w14:textId="77777777" w:rsidTr="00AF6E98">
        <w:tc>
          <w:tcPr>
            <w:tcW w:w="2469" w:type="dxa"/>
          </w:tcPr>
          <w:p w14:paraId="56D2A53A" w14:textId="77777777" w:rsidR="00877611" w:rsidRPr="00AF6E98" w:rsidRDefault="001F736E" w:rsidP="00AF6E98">
            <w:pPr>
              <w:spacing w:line="480" w:lineRule="auto"/>
            </w:pPr>
            <w:r w:rsidRPr="00AF6E98">
              <w:t>E</w:t>
            </w:r>
            <w:r w:rsidR="00877611" w:rsidRPr="00AF6E98">
              <w:t>nolase (ENO)</w:t>
            </w:r>
          </w:p>
        </w:tc>
        <w:tc>
          <w:tcPr>
            <w:tcW w:w="2031" w:type="dxa"/>
          </w:tcPr>
          <w:p w14:paraId="6A1988CB" w14:textId="77777777" w:rsidR="00877611" w:rsidRPr="00AF6E98" w:rsidRDefault="00877611" w:rsidP="00AF6E98">
            <w:pPr>
              <w:spacing w:line="480" w:lineRule="auto"/>
            </w:pPr>
            <w:r w:rsidRPr="00AF6E98">
              <w:rPr>
                <w:i/>
              </w:rPr>
              <w:t>Trypanosoma brucei</w:t>
            </w:r>
          </w:p>
        </w:tc>
        <w:tc>
          <w:tcPr>
            <w:tcW w:w="3302" w:type="dxa"/>
          </w:tcPr>
          <w:p w14:paraId="70A1D512" w14:textId="7471C767" w:rsidR="00877611" w:rsidRPr="00AF6E98" w:rsidRDefault="00877611" w:rsidP="00AF6E98">
            <w:pPr>
              <w:spacing w:line="480" w:lineRule="auto"/>
            </w:pPr>
            <w:r w:rsidRPr="00AF6E98">
              <w:t>Christian de Duve Institute</w:t>
            </w:r>
          </w:p>
        </w:tc>
        <w:tc>
          <w:tcPr>
            <w:tcW w:w="2015" w:type="dxa"/>
          </w:tcPr>
          <w:p w14:paraId="0B780103" w14:textId="03E26295" w:rsidR="00877611" w:rsidRPr="002E5CEB" w:rsidRDefault="00C63060" w:rsidP="00C63060">
            <w:pPr>
              <w:spacing w:line="480" w:lineRule="auto"/>
              <w:rPr>
                <w:lang w:val="fr-CH"/>
              </w:rPr>
            </w:pPr>
            <w:r>
              <w:rPr>
                <w:lang w:val="fr-CH"/>
              </w:rPr>
              <w:t>[</w:t>
            </w:r>
            <w:r w:rsidR="0074071B">
              <w:rPr>
                <w:lang w:val="fr-CH"/>
              </w:rPr>
              <w:t>15</w:t>
            </w:r>
            <w:r>
              <w:rPr>
                <w:lang w:val="fr-CH"/>
              </w:rPr>
              <w:t>]</w:t>
            </w:r>
          </w:p>
        </w:tc>
      </w:tr>
      <w:tr w:rsidR="001A1AA7" w:rsidRPr="00AF6E98" w14:paraId="1A6FF22C" w14:textId="77777777" w:rsidTr="00AF6E98">
        <w:tc>
          <w:tcPr>
            <w:tcW w:w="2469" w:type="dxa"/>
          </w:tcPr>
          <w:p w14:paraId="3DB0CA42" w14:textId="77777777" w:rsidR="00877611" w:rsidRPr="00AF6E98" w:rsidRDefault="001F736E" w:rsidP="00AF6E98">
            <w:pPr>
              <w:spacing w:line="480" w:lineRule="auto"/>
            </w:pPr>
            <w:r w:rsidRPr="00AF6E98">
              <w:t xml:space="preserve">Glucose-6-phosphate </w:t>
            </w:r>
            <w:r w:rsidR="00602871" w:rsidRPr="00AF6E98">
              <w:t>d</w:t>
            </w:r>
            <w:r w:rsidR="00877611" w:rsidRPr="00AF6E98">
              <w:t>ehydrogenase (G6PDH)</w:t>
            </w:r>
          </w:p>
        </w:tc>
        <w:tc>
          <w:tcPr>
            <w:tcW w:w="2031" w:type="dxa"/>
          </w:tcPr>
          <w:p w14:paraId="424C2583" w14:textId="77777777" w:rsidR="00877611" w:rsidRPr="00AF6E98" w:rsidRDefault="00877611" w:rsidP="00AF6E98">
            <w:pPr>
              <w:spacing w:line="480" w:lineRule="auto"/>
            </w:pPr>
            <w:r w:rsidRPr="00AF6E98">
              <w:rPr>
                <w:i/>
              </w:rPr>
              <w:t>Trypanosoma brucei</w:t>
            </w:r>
          </w:p>
        </w:tc>
        <w:tc>
          <w:tcPr>
            <w:tcW w:w="3302" w:type="dxa"/>
          </w:tcPr>
          <w:p w14:paraId="7E47DCC4" w14:textId="4BFBB29A" w:rsidR="00877611" w:rsidRPr="00AF6E98" w:rsidRDefault="00877611" w:rsidP="00AF6E98">
            <w:pPr>
              <w:spacing w:line="480" w:lineRule="auto"/>
            </w:pPr>
            <w:r w:rsidRPr="00AF6E98">
              <w:t>Christian de Duve Institute</w:t>
            </w:r>
          </w:p>
        </w:tc>
        <w:tc>
          <w:tcPr>
            <w:tcW w:w="2015" w:type="dxa"/>
          </w:tcPr>
          <w:p w14:paraId="25ED44AA" w14:textId="7BF01D5C" w:rsidR="00877611" w:rsidRPr="00AF6E98" w:rsidRDefault="00C63060" w:rsidP="00C63060">
            <w:pPr>
              <w:spacing w:line="480" w:lineRule="auto"/>
            </w:pPr>
            <w:r>
              <w:t>[</w:t>
            </w:r>
            <w:r w:rsidR="0074071B">
              <w:t>16</w:t>
            </w:r>
            <w:r>
              <w:t>]</w:t>
            </w:r>
          </w:p>
        </w:tc>
      </w:tr>
      <w:tr w:rsidR="001A1AA7" w:rsidRPr="00AF6E98" w14:paraId="3D669A68" w14:textId="77777777" w:rsidTr="00AF6E98">
        <w:tc>
          <w:tcPr>
            <w:tcW w:w="2469" w:type="dxa"/>
          </w:tcPr>
          <w:p w14:paraId="53AA2F3D" w14:textId="77777777" w:rsidR="00877611" w:rsidRPr="00AF6E98" w:rsidRDefault="00602871" w:rsidP="00AF6E98">
            <w:pPr>
              <w:spacing w:line="480" w:lineRule="auto"/>
            </w:pPr>
            <w:r w:rsidRPr="00AF6E98">
              <w:t>F</w:t>
            </w:r>
            <w:r w:rsidR="001F736E" w:rsidRPr="00AF6E98">
              <w:t>ructose-1,6-</w:t>
            </w:r>
            <w:r w:rsidRPr="00AF6E98">
              <w:t>b</w:t>
            </w:r>
            <w:r w:rsidR="00877611" w:rsidRPr="00AF6E98">
              <w:t>isphosphatase (FBPase)</w:t>
            </w:r>
          </w:p>
        </w:tc>
        <w:tc>
          <w:tcPr>
            <w:tcW w:w="2031" w:type="dxa"/>
          </w:tcPr>
          <w:p w14:paraId="42E32C46" w14:textId="77777777" w:rsidR="00877611" w:rsidRPr="00AF6E98" w:rsidRDefault="00877611" w:rsidP="00AF6E98">
            <w:pPr>
              <w:spacing w:line="480" w:lineRule="auto"/>
            </w:pPr>
            <w:r w:rsidRPr="00AF6E98">
              <w:rPr>
                <w:i/>
              </w:rPr>
              <w:t>Trypanosoma brucei</w:t>
            </w:r>
          </w:p>
        </w:tc>
        <w:tc>
          <w:tcPr>
            <w:tcW w:w="3302" w:type="dxa"/>
          </w:tcPr>
          <w:p w14:paraId="20264F99" w14:textId="11FFA546" w:rsidR="00877611" w:rsidRPr="00AF6E98" w:rsidRDefault="00877611" w:rsidP="00AF6E98">
            <w:pPr>
              <w:spacing w:line="480" w:lineRule="auto"/>
            </w:pPr>
            <w:r w:rsidRPr="00AF6E98">
              <w:t>Christian de Duve Institute</w:t>
            </w:r>
          </w:p>
        </w:tc>
        <w:tc>
          <w:tcPr>
            <w:tcW w:w="2015" w:type="dxa"/>
          </w:tcPr>
          <w:p w14:paraId="78C87612" w14:textId="433D631D" w:rsidR="00877611" w:rsidRPr="00AF6E98" w:rsidRDefault="00C63060" w:rsidP="00C63060">
            <w:pPr>
              <w:spacing w:line="480" w:lineRule="auto"/>
            </w:pPr>
            <w:r>
              <w:t>[</w:t>
            </w:r>
            <w:r w:rsidR="0074071B">
              <w:t>17</w:t>
            </w:r>
            <w:r>
              <w:t>]</w:t>
            </w:r>
          </w:p>
        </w:tc>
      </w:tr>
      <w:tr w:rsidR="001A1AA7" w:rsidRPr="00AF6E98" w14:paraId="224733D6" w14:textId="77777777" w:rsidTr="00AF6E98">
        <w:tc>
          <w:tcPr>
            <w:tcW w:w="2469" w:type="dxa"/>
          </w:tcPr>
          <w:p w14:paraId="243E6A04" w14:textId="77777777" w:rsidR="00877611" w:rsidRPr="00AF6E98" w:rsidRDefault="00877611" w:rsidP="00AF6E98">
            <w:pPr>
              <w:spacing w:line="480" w:lineRule="auto"/>
            </w:pPr>
            <w:r w:rsidRPr="00AF6E98">
              <w:t>GM6 (GM6)</w:t>
            </w:r>
          </w:p>
        </w:tc>
        <w:tc>
          <w:tcPr>
            <w:tcW w:w="2031" w:type="dxa"/>
          </w:tcPr>
          <w:p w14:paraId="0975D3F4" w14:textId="77777777" w:rsidR="00877611" w:rsidRPr="00AF6E98" w:rsidRDefault="00877611" w:rsidP="00AF6E98">
            <w:pPr>
              <w:spacing w:line="480" w:lineRule="auto"/>
            </w:pPr>
            <w:r w:rsidRPr="00AF6E98">
              <w:rPr>
                <w:i/>
              </w:rPr>
              <w:t>Trypanosoma brucei</w:t>
            </w:r>
          </w:p>
        </w:tc>
        <w:tc>
          <w:tcPr>
            <w:tcW w:w="3302" w:type="dxa"/>
          </w:tcPr>
          <w:p w14:paraId="0850E979" w14:textId="77777777" w:rsidR="00877611" w:rsidRPr="00AF6E98" w:rsidRDefault="00877611" w:rsidP="00AF6E98">
            <w:pPr>
              <w:spacing w:line="480" w:lineRule="auto"/>
            </w:pPr>
            <w:r w:rsidRPr="00AF6E98">
              <w:t>International Livestock Research Institute</w:t>
            </w:r>
          </w:p>
        </w:tc>
        <w:tc>
          <w:tcPr>
            <w:tcW w:w="2015" w:type="dxa"/>
          </w:tcPr>
          <w:p w14:paraId="2319726B" w14:textId="42876DF6" w:rsidR="00877611" w:rsidRPr="00AF6E98" w:rsidRDefault="00C63060" w:rsidP="00C63060">
            <w:pPr>
              <w:spacing w:line="480" w:lineRule="auto"/>
            </w:pPr>
            <w:r>
              <w:t>[</w:t>
            </w:r>
            <w:r w:rsidR="0074071B">
              <w:t>18</w:t>
            </w:r>
            <w:r>
              <w:t>]</w:t>
            </w:r>
          </w:p>
        </w:tc>
      </w:tr>
      <w:tr w:rsidR="001A1AA7" w:rsidRPr="00AF6E98" w14:paraId="6AC8DC8E" w14:textId="77777777" w:rsidTr="00AF6E98">
        <w:tc>
          <w:tcPr>
            <w:tcW w:w="2469" w:type="dxa"/>
          </w:tcPr>
          <w:p w14:paraId="209C5EBA" w14:textId="77777777" w:rsidR="00877611" w:rsidRPr="00AF6E98" w:rsidRDefault="001F736E" w:rsidP="00AF6E98">
            <w:pPr>
              <w:spacing w:line="480" w:lineRule="auto"/>
            </w:pPr>
            <w:r w:rsidRPr="00AF6E98">
              <w:t>G</w:t>
            </w:r>
            <w:r w:rsidR="00877611" w:rsidRPr="00AF6E98">
              <w:t>lutathione S-transferase P1 (GSTP1)</w:t>
            </w:r>
          </w:p>
        </w:tc>
        <w:tc>
          <w:tcPr>
            <w:tcW w:w="2031" w:type="dxa"/>
          </w:tcPr>
          <w:p w14:paraId="29EAD213" w14:textId="1774346A" w:rsidR="00877611" w:rsidRPr="00AF6E98" w:rsidRDefault="00706E67" w:rsidP="00AF6E98">
            <w:pPr>
              <w:spacing w:line="480" w:lineRule="auto"/>
            </w:pPr>
            <w:r>
              <w:t>H</w:t>
            </w:r>
            <w:r w:rsidR="00877611" w:rsidRPr="00AF6E98">
              <w:t>uman</w:t>
            </w:r>
          </w:p>
        </w:tc>
        <w:tc>
          <w:tcPr>
            <w:tcW w:w="3302" w:type="dxa"/>
          </w:tcPr>
          <w:p w14:paraId="3089E7D6" w14:textId="77777777" w:rsidR="00877611" w:rsidRPr="00AF6E98" w:rsidRDefault="00877611" w:rsidP="00AF6E98">
            <w:pPr>
              <w:spacing w:line="480" w:lineRule="auto"/>
            </w:pPr>
            <w:r w:rsidRPr="00AF6E98">
              <w:t>University of Geneva</w:t>
            </w:r>
          </w:p>
        </w:tc>
        <w:tc>
          <w:tcPr>
            <w:tcW w:w="2015" w:type="dxa"/>
          </w:tcPr>
          <w:p w14:paraId="358FDAC7" w14:textId="628B48B8" w:rsidR="00877611" w:rsidRPr="00AF6E98" w:rsidRDefault="00C63060" w:rsidP="00C63060">
            <w:pPr>
              <w:spacing w:line="480" w:lineRule="auto"/>
            </w:pPr>
            <w:r>
              <w:t>[</w:t>
            </w:r>
            <w:r w:rsidR="0074071B">
              <w:t>19</w:t>
            </w:r>
            <w:r>
              <w:t>]</w:t>
            </w:r>
          </w:p>
        </w:tc>
      </w:tr>
      <w:tr w:rsidR="001A1AA7" w:rsidRPr="00AF6E98" w14:paraId="6C7765A5" w14:textId="77777777" w:rsidTr="00AF6E98">
        <w:tc>
          <w:tcPr>
            <w:tcW w:w="2469" w:type="dxa"/>
          </w:tcPr>
          <w:p w14:paraId="36C232BD" w14:textId="2ABF31CD" w:rsidR="00877611" w:rsidRPr="00AF6E98" w:rsidRDefault="00877611" w:rsidP="00AF6E98">
            <w:pPr>
              <w:spacing w:line="480" w:lineRule="auto"/>
            </w:pPr>
            <w:r w:rsidRPr="00AF6E98">
              <w:t>Invaria</w:t>
            </w:r>
            <w:r w:rsidR="006207A2" w:rsidRPr="00AF6E98">
              <w:t>nt</w:t>
            </w:r>
            <w:r w:rsidRPr="00AF6E98">
              <w:t xml:space="preserve"> Surface Glycoprotein 64</w:t>
            </w:r>
            <w:r w:rsidR="00E76B0C">
              <w:t>-1</w:t>
            </w:r>
            <w:r w:rsidRPr="00AF6E98">
              <w:t xml:space="preserve"> (ISG64)</w:t>
            </w:r>
          </w:p>
        </w:tc>
        <w:tc>
          <w:tcPr>
            <w:tcW w:w="2031" w:type="dxa"/>
          </w:tcPr>
          <w:p w14:paraId="53215FF0" w14:textId="77777777" w:rsidR="00877611" w:rsidRPr="00AF6E98" w:rsidRDefault="00877611" w:rsidP="00AF6E98">
            <w:pPr>
              <w:spacing w:line="480" w:lineRule="auto"/>
            </w:pPr>
            <w:r w:rsidRPr="00AF6E98">
              <w:rPr>
                <w:i/>
              </w:rPr>
              <w:t>Trypanosoma brucei</w:t>
            </w:r>
          </w:p>
        </w:tc>
        <w:tc>
          <w:tcPr>
            <w:tcW w:w="3302" w:type="dxa"/>
          </w:tcPr>
          <w:p w14:paraId="426A6DE1" w14:textId="77777777" w:rsidR="00877611" w:rsidRPr="00AF6E98" w:rsidRDefault="00877611" w:rsidP="00AF6E98">
            <w:pPr>
              <w:spacing w:line="480" w:lineRule="auto"/>
              <w:rPr>
                <w:lang w:val="fr-CH"/>
              </w:rPr>
            </w:pPr>
            <w:r w:rsidRPr="00AF6E98">
              <w:rPr>
                <w:lang w:val="fr-CH"/>
              </w:rPr>
              <w:t>University of Cambridge</w:t>
            </w:r>
          </w:p>
        </w:tc>
        <w:tc>
          <w:tcPr>
            <w:tcW w:w="2015" w:type="dxa"/>
          </w:tcPr>
          <w:p w14:paraId="0806159A" w14:textId="3387DEA2" w:rsidR="00877611" w:rsidRPr="00AF6E98" w:rsidRDefault="00C63060" w:rsidP="00C63060">
            <w:pPr>
              <w:spacing w:line="480" w:lineRule="auto"/>
            </w:pPr>
            <w:r>
              <w:t>[</w:t>
            </w:r>
            <w:r w:rsidR="0074071B">
              <w:t>20</w:t>
            </w:r>
            <w:r>
              <w:t>]</w:t>
            </w:r>
          </w:p>
        </w:tc>
      </w:tr>
      <w:tr w:rsidR="001A1AA7" w:rsidRPr="00AF6E98" w14:paraId="6A8395A7" w14:textId="77777777" w:rsidTr="00AF6E98">
        <w:tc>
          <w:tcPr>
            <w:tcW w:w="2469" w:type="dxa"/>
          </w:tcPr>
          <w:p w14:paraId="3B836DB1" w14:textId="03E63FB2" w:rsidR="00877611" w:rsidRPr="00AF6E98" w:rsidRDefault="006207A2" w:rsidP="00AF6E98">
            <w:pPr>
              <w:spacing w:line="480" w:lineRule="auto"/>
            </w:pPr>
            <w:r w:rsidRPr="00AF6E98">
              <w:t xml:space="preserve">Invariant </w:t>
            </w:r>
            <w:r w:rsidR="00877611" w:rsidRPr="00AF6E98">
              <w:t>Surface Glycoprotein 65</w:t>
            </w:r>
            <w:r w:rsidR="00E76B0C">
              <w:t>-1</w:t>
            </w:r>
            <w:r w:rsidR="00877611" w:rsidRPr="00AF6E98">
              <w:t xml:space="preserve"> (ISG65)</w:t>
            </w:r>
          </w:p>
        </w:tc>
        <w:tc>
          <w:tcPr>
            <w:tcW w:w="2031" w:type="dxa"/>
          </w:tcPr>
          <w:p w14:paraId="3C13F7CB" w14:textId="77777777" w:rsidR="00877611" w:rsidRPr="00AF6E98" w:rsidRDefault="00877611" w:rsidP="00AF6E98">
            <w:pPr>
              <w:spacing w:line="480" w:lineRule="auto"/>
            </w:pPr>
            <w:r w:rsidRPr="00AF6E98">
              <w:rPr>
                <w:i/>
              </w:rPr>
              <w:t>Trypanosoma brucei</w:t>
            </w:r>
          </w:p>
        </w:tc>
        <w:tc>
          <w:tcPr>
            <w:tcW w:w="3302" w:type="dxa"/>
          </w:tcPr>
          <w:p w14:paraId="6515EE13" w14:textId="77777777" w:rsidR="00877611" w:rsidRPr="00AF6E98" w:rsidRDefault="00877611" w:rsidP="00AF6E98">
            <w:pPr>
              <w:spacing w:line="480" w:lineRule="auto"/>
              <w:rPr>
                <w:lang w:val="fr-CH"/>
              </w:rPr>
            </w:pPr>
            <w:r w:rsidRPr="00AF6E98">
              <w:rPr>
                <w:lang w:val="fr-CH"/>
              </w:rPr>
              <w:t>University of Cambridge</w:t>
            </w:r>
          </w:p>
        </w:tc>
        <w:tc>
          <w:tcPr>
            <w:tcW w:w="2015" w:type="dxa"/>
          </w:tcPr>
          <w:p w14:paraId="155B4C1C" w14:textId="6B66D944" w:rsidR="00877611" w:rsidRPr="00AF6E98" w:rsidRDefault="00C63060" w:rsidP="00C63060">
            <w:pPr>
              <w:spacing w:line="480" w:lineRule="auto"/>
            </w:pPr>
            <w:r>
              <w:t>[</w:t>
            </w:r>
            <w:r w:rsidR="0074071B">
              <w:t>20</w:t>
            </w:r>
            <w:r>
              <w:t>]</w:t>
            </w:r>
          </w:p>
        </w:tc>
      </w:tr>
      <w:tr w:rsidR="001A1AA7" w:rsidRPr="00AF6E98" w14:paraId="53CCABB4" w14:textId="77777777" w:rsidTr="00AF6E98">
        <w:tc>
          <w:tcPr>
            <w:tcW w:w="2469" w:type="dxa"/>
          </w:tcPr>
          <w:p w14:paraId="55110C72" w14:textId="65739122" w:rsidR="00877611" w:rsidRPr="00AF6E98" w:rsidRDefault="006207A2" w:rsidP="00AF6E98">
            <w:pPr>
              <w:spacing w:line="480" w:lineRule="auto"/>
            </w:pPr>
            <w:r w:rsidRPr="00AF6E98">
              <w:t xml:space="preserve">Invariant </w:t>
            </w:r>
            <w:r w:rsidR="00877611" w:rsidRPr="00AF6E98">
              <w:t>Surface Glycoprotein 75</w:t>
            </w:r>
            <w:r w:rsidR="00E76B0C">
              <w:t>-1</w:t>
            </w:r>
            <w:r w:rsidR="00877611" w:rsidRPr="00AF6E98">
              <w:t xml:space="preserve"> (ISG75)</w:t>
            </w:r>
          </w:p>
        </w:tc>
        <w:tc>
          <w:tcPr>
            <w:tcW w:w="2031" w:type="dxa"/>
          </w:tcPr>
          <w:p w14:paraId="0A175705" w14:textId="77777777" w:rsidR="00877611" w:rsidRPr="00AF6E98" w:rsidRDefault="00877611" w:rsidP="00AF6E98">
            <w:pPr>
              <w:spacing w:line="480" w:lineRule="auto"/>
            </w:pPr>
            <w:r w:rsidRPr="00AF6E98">
              <w:rPr>
                <w:i/>
              </w:rPr>
              <w:t>Trypanosoma brucei</w:t>
            </w:r>
          </w:p>
        </w:tc>
        <w:tc>
          <w:tcPr>
            <w:tcW w:w="3302" w:type="dxa"/>
          </w:tcPr>
          <w:p w14:paraId="3C7219FB" w14:textId="77777777" w:rsidR="00877611" w:rsidRPr="00AF6E98" w:rsidRDefault="00877611" w:rsidP="00AF6E98">
            <w:pPr>
              <w:spacing w:line="480" w:lineRule="auto"/>
            </w:pPr>
            <w:r w:rsidRPr="00AF6E98">
              <w:rPr>
                <w:lang w:val="fr-CH"/>
              </w:rPr>
              <w:t>University of Cambridge</w:t>
            </w:r>
          </w:p>
        </w:tc>
        <w:tc>
          <w:tcPr>
            <w:tcW w:w="2015" w:type="dxa"/>
          </w:tcPr>
          <w:p w14:paraId="005B90BF" w14:textId="1355EFF9" w:rsidR="00877611" w:rsidRPr="00AF6E98" w:rsidRDefault="00C63060" w:rsidP="00C63060">
            <w:pPr>
              <w:spacing w:line="480" w:lineRule="auto"/>
            </w:pPr>
            <w:r>
              <w:t>[</w:t>
            </w:r>
            <w:r w:rsidR="0074071B">
              <w:t>20</w:t>
            </w:r>
            <w:r>
              <w:t>]</w:t>
            </w:r>
          </w:p>
        </w:tc>
      </w:tr>
      <w:tr w:rsidR="001A1AA7" w:rsidRPr="00A11852" w14:paraId="4F446F89" w14:textId="77777777" w:rsidTr="00AF6E98">
        <w:tc>
          <w:tcPr>
            <w:tcW w:w="2469" w:type="dxa"/>
          </w:tcPr>
          <w:p w14:paraId="6DE3FAB2" w14:textId="77777777" w:rsidR="00877611" w:rsidRPr="00AF6E98" w:rsidRDefault="001F736E" w:rsidP="00AF6E98">
            <w:pPr>
              <w:spacing w:line="480" w:lineRule="auto"/>
            </w:pPr>
            <w:r w:rsidRPr="00AF6E98">
              <w:t>S</w:t>
            </w:r>
            <w:r w:rsidR="00877611" w:rsidRPr="00AF6E98">
              <w:t>erum resistance associated protein (SRA)</w:t>
            </w:r>
          </w:p>
        </w:tc>
        <w:tc>
          <w:tcPr>
            <w:tcW w:w="2031" w:type="dxa"/>
          </w:tcPr>
          <w:p w14:paraId="5E1572E0" w14:textId="77777777" w:rsidR="00877611" w:rsidRPr="00AF6E98" w:rsidRDefault="00877611" w:rsidP="00AF6E98">
            <w:pPr>
              <w:spacing w:line="480" w:lineRule="auto"/>
              <w:rPr>
                <w:i/>
              </w:rPr>
            </w:pPr>
            <w:r w:rsidRPr="00AF6E98">
              <w:rPr>
                <w:i/>
              </w:rPr>
              <w:t>Trypanosoma brucei</w:t>
            </w:r>
            <w:r w:rsidR="00A5136F" w:rsidRPr="00AF6E98">
              <w:rPr>
                <w:i/>
              </w:rPr>
              <w:t xml:space="preserve"> rhodesiense</w:t>
            </w:r>
          </w:p>
        </w:tc>
        <w:tc>
          <w:tcPr>
            <w:tcW w:w="3302" w:type="dxa"/>
          </w:tcPr>
          <w:p w14:paraId="77E4F116" w14:textId="77777777" w:rsidR="00877611" w:rsidRPr="00AF6E98" w:rsidRDefault="00877611" w:rsidP="00AF6E98">
            <w:pPr>
              <w:spacing w:line="480" w:lineRule="auto"/>
              <w:rPr>
                <w:lang w:val="fr-CH"/>
              </w:rPr>
            </w:pPr>
            <w:r w:rsidRPr="00AF6E98">
              <w:rPr>
                <w:lang w:val="fr-CH"/>
              </w:rPr>
              <w:t>University of Cambridge</w:t>
            </w:r>
          </w:p>
        </w:tc>
        <w:tc>
          <w:tcPr>
            <w:tcW w:w="2015" w:type="dxa"/>
          </w:tcPr>
          <w:p w14:paraId="2501C08C" w14:textId="19C8B7AB" w:rsidR="00877611" w:rsidRPr="002E5CEB" w:rsidRDefault="00C63060" w:rsidP="00C63060">
            <w:pPr>
              <w:spacing w:line="480" w:lineRule="auto"/>
              <w:rPr>
                <w:lang w:val="fr-CH"/>
              </w:rPr>
            </w:pPr>
            <w:r>
              <w:rPr>
                <w:lang w:val="fr-CH"/>
              </w:rPr>
              <w:t>[</w:t>
            </w:r>
            <w:r w:rsidR="0074071B">
              <w:rPr>
                <w:lang w:val="fr-CH"/>
              </w:rPr>
              <w:t>21</w:t>
            </w:r>
            <w:r>
              <w:rPr>
                <w:lang w:val="fr-CH"/>
              </w:rPr>
              <w:t>,</w:t>
            </w:r>
            <w:r w:rsidR="0074071B">
              <w:rPr>
                <w:lang w:val="fr-CH"/>
              </w:rPr>
              <w:t>22</w:t>
            </w:r>
            <w:r>
              <w:rPr>
                <w:lang w:val="fr-CH"/>
              </w:rPr>
              <w:t>]</w:t>
            </w:r>
          </w:p>
        </w:tc>
      </w:tr>
      <w:tr w:rsidR="001A1AA7" w:rsidRPr="00AF6E98" w14:paraId="5B957120" w14:textId="77777777" w:rsidTr="00AF6E98">
        <w:tc>
          <w:tcPr>
            <w:tcW w:w="2469" w:type="dxa"/>
          </w:tcPr>
          <w:p w14:paraId="0F77A8D9" w14:textId="77777777" w:rsidR="00877611" w:rsidRPr="00AF6E98" w:rsidRDefault="00877611" w:rsidP="00AF6E98">
            <w:pPr>
              <w:spacing w:line="480" w:lineRule="auto"/>
              <w:rPr>
                <w:lang w:val="fr-CH"/>
              </w:rPr>
            </w:pPr>
            <w:r w:rsidRPr="00AF6E98">
              <w:rPr>
                <w:lang w:val="fr-CH"/>
              </w:rPr>
              <w:t xml:space="preserve">Variant Surface Glycoprotein LiTat 1.3 (VSG </w:t>
            </w:r>
            <w:r w:rsidR="00B504D1" w:rsidRPr="00CB32D7">
              <w:rPr>
                <w:rFonts w:cs="Arial"/>
                <w:lang w:val="fr-CH"/>
              </w:rPr>
              <w:t xml:space="preserve">LiTat </w:t>
            </w:r>
            <w:r w:rsidRPr="00AF6E98">
              <w:rPr>
                <w:lang w:val="fr-CH"/>
              </w:rPr>
              <w:t>1.3)</w:t>
            </w:r>
            <w:r w:rsidR="0004654A" w:rsidRPr="002E5CEB">
              <w:rPr>
                <w:lang w:val="fr-CH"/>
              </w:rPr>
              <w:t>†</w:t>
            </w:r>
          </w:p>
        </w:tc>
        <w:tc>
          <w:tcPr>
            <w:tcW w:w="2031" w:type="dxa"/>
          </w:tcPr>
          <w:p w14:paraId="7C954AA5" w14:textId="77777777" w:rsidR="00877611" w:rsidRPr="00AF6E98" w:rsidRDefault="00877611" w:rsidP="00AF6E98">
            <w:pPr>
              <w:spacing w:line="480" w:lineRule="auto"/>
              <w:rPr>
                <w:lang w:val="fr-CH"/>
              </w:rPr>
            </w:pPr>
            <w:r w:rsidRPr="00AF6E98">
              <w:rPr>
                <w:i/>
              </w:rPr>
              <w:t>Trypanosoma brucei</w:t>
            </w:r>
            <w:r w:rsidR="00A5136F" w:rsidRPr="00AF6E98">
              <w:rPr>
                <w:i/>
              </w:rPr>
              <w:t xml:space="preserve"> gambiense</w:t>
            </w:r>
          </w:p>
        </w:tc>
        <w:tc>
          <w:tcPr>
            <w:tcW w:w="3302" w:type="dxa"/>
          </w:tcPr>
          <w:p w14:paraId="065D9687" w14:textId="77777777" w:rsidR="00877611" w:rsidRPr="00AF6E98" w:rsidRDefault="00877611" w:rsidP="00AF6E98">
            <w:pPr>
              <w:spacing w:line="480" w:lineRule="auto"/>
            </w:pPr>
            <w:r w:rsidRPr="00AF6E98">
              <w:rPr>
                <w:lang w:val="fr-CH"/>
              </w:rPr>
              <w:t>Institute of Tropical Medicine</w:t>
            </w:r>
          </w:p>
        </w:tc>
        <w:tc>
          <w:tcPr>
            <w:tcW w:w="2015" w:type="dxa"/>
          </w:tcPr>
          <w:p w14:paraId="4F6472D0" w14:textId="228B3C9B" w:rsidR="00877611" w:rsidRPr="00AF6E98" w:rsidRDefault="00C63060" w:rsidP="00C63060">
            <w:pPr>
              <w:spacing w:line="480" w:lineRule="auto"/>
              <w:rPr>
                <w:lang w:val="fr-CH"/>
              </w:rPr>
            </w:pPr>
            <w:r>
              <w:rPr>
                <w:lang w:val="fr-CH"/>
              </w:rPr>
              <w:t>[</w:t>
            </w:r>
            <w:r w:rsidR="0074071B">
              <w:rPr>
                <w:lang w:val="fr-CH"/>
              </w:rPr>
              <w:t>23</w:t>
            </w:r>
            <w:r>
              <w:rPr>
                <w:lang w:val="fr-CH"/>
              </w:rPr>
              <w:t>]</w:t>
            </w:r>
          </w:p>
        </w:tc>
      </w:tr>
      <w:tr w:rsidR="001A1AA7" w:rsidRPr="00AF6E98" w14:paraId="44B5BE35" w14:textId="77777777" w:rsidTr="00AF6E98">
        <w:tc>
          <w:tcPr>
            <w:tcW w:w="2469" w:type="dxa"/>
          </w:tcPr>
          <w:p w14:paraId="0F21B11E" w14:textId="77777777" w:rsidR="00065736" w:rsidRPr="00AF6E98" w:rsidRDefault="00065736" w:rsidP="00AF6E98">
            <w:pPr>
              <w:spacing w:line="480" w:lineRule="auto"/>
              <w:rPr>
                <w:lang w:val="fr-CH"/>
              </w:rPr>
            </w:pPr>
            <w:r w:rsidRPr="00AF6E98">
              <w:rPr>
                <w:lang w:val="fr-CH"/>
              </w:rPr>
              <w:t xml:space="preserve">Variant Surface Glycoprotein LiTat 1.5 (VSG </w:t>
            </w:r>
            <w:r w:rsidR="00B504D1" w:rsidRPr="00CB32D7">
              <w:rPr>
                <w:rFonts w:cs="Arial"/>
                <w:lang w:val="fr-CH"/>
              </w:rPr>
              <w:t xml:space="preserve">LiTat </w:t>
            </w:r>
            <w:r w:rsidRPr="00AF6E98">
              <w:rPr>
                <w:lang w:val="fr-CH"/>
              </w:rPr>
              <w:t>1.5)</w:t>
            </w:r>
            <w:r w:rsidRPr="002E5CEB">
              <w:rPr>
                <w:lang w:val="fr-CH"/>
              </w:rPr>
              <w:t>†</w:t>
            </w:r>
          </w:p>
        </w:tc>
        <w:tc>
          <w:tcPr>
            <w:tcW w:w="2031" w:type="dxa"/>
          </w:tcPr>
          <w:p w14:paraId="1A94933C" w14:textId="77777777" w:rsidR="00065736" w:rsidRPr="00AF6E98" w:rsidRDefault="00065736" w:rsidP="00AF6E98">
            <w:pPr>
              <w:spacing w:line="480" w:lineRule="auto"/>
              <w:rPr>
                <w:lang w:val="fr-CH"/>
              </w:rPr>
            </w:pPr>
            <w:r w:rsidRPr="00AF6E98">
              <w:rPr>
                <w:i/>
              </w:rPr>
              <w:t>Trypanosoma brucei</w:t>
            </w:r>
            <w:r w:rsidR="00A5136F" w:rsidRPr="00AF6E98">
              <w:rPr>
                <w:i/>
              </w:rPr>
              <w:t xml:space="preserve"> gambiense</w:t>
            </w:r>
          </w:p>
        </w:tc>
        <w:tc>
          <w:tcPr>
            <w:tcW w:w="3302" w:type="dxa"/>
          </w:tcPr>
          <w:p w14:paraId="50E11546" w14:textId="77777777" w:rsidR="00065736" w:rsidRPr="00AF6E98" w:rsidRDefault="00065736" w:rsidP="00AF6E98">
            <w:pPr>
              <w:spacing w:line="480" w:lineRule="auto"/>
            </w:pPr>
            <w:r w:rsidRPr="00AF6E98">
              <w:rPr>
                <w:lang w:val="fr-CH"/>
              </w:rPr>
              <w:t>Institute of Tropical Medicine</w:t>
            </w:r>
          </w:p>
        </w:tc>
        <w:tc>
          <w:tcPr>
            <w:tcW w:w="2015" w:type="dxa"/>
          </w:tcPr>
          <w:p w14:paraId="65FA0C46" w14:textId="251EE481" w:rsidR="00065736" w:rsidRPr="00AF6E98" w:rsidRDefault="00C63060" w:rsidP="00AF6E98">
            <w:pPr>
              <w:spacing w:line="480" w:lineRule="auto"/>
              <w:rPr>
                <w:lang w:val="fr-CH"/>
              </w:rPr>
            </w:pPr>
            <w:r>
              <w:rPr>
                <w:lang w:val="fr-CH"/>
              </w:rPr>
              <w:t>[23]</w:t>
            </w:r>
          </w:p>
        </w:tc>
      </w:tr>
      <w:tr w:rsidR="001A1AA7" w:rsidRPr="00AF6E98" w14:paraId="11777FF8" w14:textId="77777777" w:rsidTr="00AF6E98">
        <w:tc>
          <w:tcPr>
            <w:tcW w:w="2469" w:type="dxa"/>
          </w:tcPr>
          <w:p w14:paraId="0B4EDCDC" w14:textId="77777777" w:rsidR="00065736" w:rsidRPr="00AF6E98" w:rsidRDefault="00065736" w:rsidP="00AF6E98">
            <w:pPr>
              <w:spacing w:line="480" w:lineRule="auto"/>
            </w:pPr>
            <w:r w:rsidRPr="00AF6E98">
              <w:t>6-phosphogluconate dehydrogenase (6PGDH)</w:t>
            </w:r>
          </w:p>
        </w:tc>
        <w:tc>
          <w:tcPr>
            <w:tcW w:w="2031" w:type="dxa"/>
          </w:tcPr>
          <w:p w14:paraId="6B7BA316" w14:textId="77777777" w:rsidR="00065736" w:rsidRPr="00AF6E98" w:rsidRDefault="00065736" w:rsidP="00AF6E98">
            <w:pPr>
              <w:spacing w:line="480" w:lineRule="auto"/>
            </w:pPr>
            <w:r w:rsidRPr="00AF6E98">
              <w:rPr>
                <w:i/>
              </w:rPr>
              <w:t>Trypanosoma brucei</w:t>
            </w:r>
          </w:p>
        </w:tc>
        <w:tc>
          <w:tcPr>
            <w:tcW w:w="3302" w:type="dxa"/>
          </w:tcPr>
          <w:p w14:paraId="012C618E" w14:textId="77777777" w:rsidR="00065736" w:rsidRPr="00AF6E98" w:rsidRDefault="00065736" w:rsidP="00AF6E98">
            <w:pPr>
              <w:spacing w:line="480" w:lineRule="auto"/>
              <w:rPr>
                <w:lang w:val="fr-CH"/>
              </w:rPr>
            </w:pPr>
            <w:r w:rsidRPr="00AF6E98">
              <w:t>University of Glasgow</w:t>
            </w:r>
          </w:p>
        </w:tc>
        <w:tc>
          <w:tcPr>
            <w:tcW w:w="2015" w:type="dxa"/>
          </w:tcPr>
          <w:p w14:paraId="1EA7410E" w14:textId="3812A657" w:rsidR="00065736" w:rsidRPr="00AF6E98" w:rsidRDefault="00C63060" w:rsidP="00C63060">
            <w:pPr>
              <w:spacing w:line="480" w:lineRule="auto"/>
              <w:rPr>
                <w:lang w:val="fr-CH"/>
              </w:rPr>
            </w:pPr>
            <w:r>
              <w:t>[</w:t>
            </w:r>
            <w:r w:rsidR="0074071B">
              <w:t>24</w:t>
            </w:r>
            <w:r>
              <w:t>]</w:t>
            </w:r>
          </w:p>
        </w:tc>
      </w:tr>
      <w:tr w:rsidR="001A1AA7" w:rsidRPr="00AF6E98" w14:paraId="132FB77D" w14:textId="77777777" w:rsidTr="00AF6E98">
        <w:tc>
          <w:tcPr>
            <w:tcW w:w="2469" w:type="dxa"/>
          </w:tcPr>
          <w:p w14:paraId="30750FD2" w14:textId="77777777" w:rsidR="00065736" w:rsidRPr="00AF6E98" w:rsidRDefault="00065736" w:rsidP="00AF6E98">
            <w:pPr>
              <w:spacing w:line="480" w:lineRule="auto"/>
              <w:rPr>
                <w:highlight w:val="yellow"/>
              </w:rPr>
            </w:pPr>
            <w:r w:rsidRPr="00AF6E98">
              <w:t>Primase small subunit (PriS)</w:t>
            </w:r>
          </w:p>
        </w:tc>
        <w:tc>
          <w:tcPr>
            <w:tcW w:w="2031" w:type="dxa"/>
          </w:tcPr>
          <w:p w14:paraId="15ECA865" w14:textId="77777777" w:rsidR="00065736" w:rsidRPr="00AF6E98" w:rsidRDefault="00065736" w:rsidP="00AF6E98">
            <w:pPr>
              <w:spacing w:line="480" w:lineRule="auto"/>
            </w:pPr>
            <w:r w:rsidRPr="00AF6E98">
              <w:rPr>
                <w:i/>
              </w:rPr>
              <w:t>Trypanosoma brucei</w:t>
            </w:r>
          </w:p>
        </w:tc>
        <w:tc>
          <w:tcPr>
            <w:tcW w:w="3302" w:type="dxa"/>
          </w:tcPr>
          <w:p w14:paraId="3304F642" w14:textId="77777777" w:rsidR="00065736" w:rsidRPr="00AF6E98" w:rsidRDefault="00065736" w:rsidP="00AF6E98">
            <w:pPr>
              <w:spacing w:line="480" w:lineRule="auto"/>
              <w:rPr>
                <w:lang w:val="fr-CH"/>
              </w:rPr>
            </w:pPr>
            <w:r w:rsidRPr="00AF6E98">
              <w:t>University of Glasgow</w:t>
            </w:r>
          </w:p>
        </w:tc>
        <w:tc>
          <w:tcPr>
            <w:tcW w:w="2015" w:type="dxa"/>
          </w:tcPr>
          <w:p w14:paraId="60680FB7" w14:textId="57B8A307" w:rsidR="00065736" w:rsidRPr="00AF6E98" w:rsidRDefault="00C63060" w:rsidP="00C63060">
            <w:pPr>
              <w:spacing w:line="480" w:lineRule="auto"/>
              <w:rPr>
                <w:lang w:val="fr-CH"/>
              </w:rPr>
            </w:pPr>
            <w:r>
              <w:t>[</w:t>
            </w:r>
            <w:r w:rsidR="0074071B">
              <w:t>25</w:t>
            </w:r>
            <w:r>
              <w:t>]</w:t>
            </w:r>
          </w:p>
        </w:tc>
      </w:tr>
      <w:tr w:rsidR="001A1AA7" w:rsidRPr="00AF6E98" w14:paraId="09EB8224" w14:textId="77777777" w:rsidTr="00AF6E98">
        <w:tc>
          <w:tcPr>
            <w:tcW w:w="2469" w:type="dxa"/>
          </w:tcPr>
          <w:p w14:paraId="289EE3AB" w14:textId="77777777" w:rsidR="00065736" w:rsidRPr="00AF6E98" w:rsidRDefault="00065736" w:rsidP="00AF6E98">
            <w:pPr>
              <w:spacing w:line="480" w:lineRule="auto"/>
              <w:rPr>
                <w:highlight w:val="yellow"/>
              </w:rPr>
            </w:pPr>
            <w:r w:rsidRPr="00AF6E98">
              <w:t>Rad51-4</w:t>
            </w:r>
          </w:p>
        </w:tc>
        <w:tc>
          <w:tcPr>
            <w:tcW w:w="2031" w:type="dxa"/>
          </w:tcPr>
          <w:p w14:paraId="7290E5DE" w14:textId="77777777" w:rsidR="00065736" w:rsidRPr="00AF6E98" w:rsidRDefault="00065736" w:rsidP="00AF6E98">
            <w:pPr>
              <w:spacing w:line="480" w:lineRule="auto"/>
            </w:pPr>
            <w:r w:rsidRPr="00AF6E98">
              <w:rPr>
                <w:i/>
              </w:rPr>
              <w:t>Trypanosoma brucei</w:t>
            </w:r>
          </w:p>
        </w:tc>
        <w:tc>
          <w:tcPr>
            <w:tcW w:w="3302" w:type="dxa"/>
          </w:tcPr>
          <w:p w14:paraId="3BCF722E" w14:textId="77777777" w:rsidR="00065736" w:rsidRPr="00AF6E98" w:rsidRDefault="00065736" w:rsidP="00AF6E98">
            <w:pPr>
              <w:spacing w:line="480" w:lineRule="auto"/>
              <w:rPr>
                <w:lang w:val="fr-CH"/>
              </w:rPr>
            </w:pPr>
            <w:r w:rsidRPr="00AF6E98">
              <w:t>University of Glasgow</w:t>
            </w:r>
          </w:p>
        </w:tc>
        <w:tc>
          <w:tcPr>
            <w:tcW w:w="2015" w:type="dxa"/>
          </w:tcPr>
          <w:p w14:paraId="205C245B" w14:textId="4EB81DF5" w:rsidR="00065736" w:rsidRPr="00AF6E98" w:rsidRDefault="00C63060" w:rsidP="00C63060">
            <w:pPr>
              <w:spacing w:line="480" w:lineRule="auto"/>
              <w:rPr>
                <w:lang w:val="fr-CH"/>
              </w:rPr>
            </w:pPr>
            <w:r>
              <w:t>[</w:t>
            </w:r>
            <w:r w:rsidR="0074071B">
              <w:t>26</w:t>
            </w:r>
            <w:r>
              <w:t>]</w:t>
            </w:r>
          </w:p>
        </w:tc>
      </w:tr>
      <w:tr w:rsidR="001A1AA7" w:rsidRPr="00AF6E98" w14:paraId="367C855E" w14:textId="77777777" w:rsidTr="00AF6E98">
        <w:tc>
          <w:tcPr>
            <w:tcW w:w="2469" w:type="dxa"/>
          </w:tcPr>
          <w:p w14:paraId="2AEC52B5" w14:textId="77777777" w:rsidR="00065736" w:rsidRPr="00AF6E98" w:rsidRDefault="00065736" w:rsidP="00AF6E98">
            <w:pPr>
              <w:spacing w:line="480" w:lineRule="auto"/>
            </w:pPr>
            <w:r w:rsidRPr="00AF6E98">
              <w:t>Calreticulin delta</w:t>
            </w:r>
            <w:r w:rsidR="00706E67">
              <w:t xml:space="preserve"> </w:t>
            </w:r>
            <w:r w:rsidRPr="00AF6E98">
              <w:t>(1-25) (CRT-D)</w:t>
            </w:r>
          </w:p>
        </w:tc>
        <w:tc>
          <w:tcPr>
            <w:tcW w:w="2031" w:type="dxa"/>
          </w:tcPr>
          <w:p w14:paraId="472DA300" w14:textId="09F586B3" w:rsidR="00065736" w:rsidRPr="00AF6E98" w:rsidRDefault="00065736" w:rsidP="002927AE">
            <w:pPr>
              <w:spacing w:line="480" w:lineRule="auto"/>
            </w:pPr>
            <w:r w:rsidRPr="00AF6E98">
              <w:rPr>
                <w:i/>
              </w:rPr>
              <w:t xml:space="preserve">Trypanosoma </w:t>
            </w:r>
            <w:r w:rsidR="002927AE">
              <w:rPr>
                <w:i/>
              </w:rPr>
              <w:t>cruzi</w:t>
            </w:r>
          </w:p>
        </w:tc>
        <w:tc>
          <w:tcPr>
            <w:tcW w:w="3302" w:type="dxa"/>
          </w:tcPr>
          <w:p w14:paraId="3CD30826" w14:textId="77777777" w:rsidR="00065736" w:rsidRPr="00AF6E98" w:rsidRDefault="00065736" w:rsidP="00AF6E98">
            <w:pPr>
              <w:spacing w:line="480" w:lineRule="auto"/>
            </w:pPr>
            <w:r w:rsidRPr="00AF6E98">
              <w:t>University of Leicester</w:t>
            </w:r>
          </w:p>
        </w:tc>
        <w:tc>
          <w:tcPr>
            <w:tcW w:w="2015" w:type="dxa"/>
          </w:tcPr>
          <w:p w14:paraId="06EC68C8" w14:textId="38128AA9" w:rsidR="00065736" w:rsidRPr="00AF6E98" w:rsidRDefault="00247491" w:rsidP="00247491">
            <w:pPr>
              <w:spacing w:line="480" w:lineRule="auto"/>
            </w:pPr>
            <w:r>
              <w:t>[27]</w:t>
            </w:r>
          </w:p>
        </w:tc>
      </w:tr>
      <w:tr w:rsidR="001A1AA7" w:rsidRPr="00AF6E98" w14:paraId="50D88CF6" w14:textId="77777777" w:rsidTr="00AF6E98">
        <w:tc>
          <w:tcPr>
            <w:tcW w:w="2469" w:type="dxa"/>
          </w:tcPr>
          <w:p w14:paraId="62153047" w14:textId="77777777" w:rsidR="00065736" w:rsidRPr="00AF6E98" w:rsidRDefault="00065736" w:rsidP="00AF6E98">
            <w:pPr>
              <w:spacing w:line="480" w:lineRule="auto"/>
            </w:pPr>
            <w:r w:rsidRPr="00AF6E98">
              <w:t>Calreticulin R-domain (CRT-R)</w:t>
            </w:r>
          </w:p>
        </w:tc>
        <w:tc>
          <w:tcPr>
            <w:tcW w:w="2031" w:type="dxa"/>
          </w:tcPr>
          <w:p w14:paraId="61E9F86B" w14:textId="788608F5" w:rsidR="00065736" w:rsidRPr="00AF6E98" w:rsidRDefault="00065736" w:rsidP="002927AE">
            <w:pPr>
              <w:spacing w:line="480" w:lineRule="auto"/>
            </w:pPr>
            <w:r w:rsidRPr="00AF6E98">
              <w:rPr>
                <w:i/>
              </w:rPr>
              <w:t xml:space="preserve">Trypanosoma </w:t>
            </w:r>
            <w:r w:rsidR="002927AE">
              <w:rPr>
                <w:i/>
              </w:rPr>
              <w:t>cruzi</w:t>
            </w:r>
          </w:p>
        </w:tc>
        <w:tc>
          <w:tcPr>
            <w:tcW w:w="3302" w:type="dxa"/>
          </w:tcPr>
          <w:p w14:paraId="67EC1EE6" w14:textId="77777777" w:rsidR="00065736" w:rsidRPr="00AF6E98" w:rsidRDefault="00065736" w:rsidP="00AF6E98">
            <w:pPr>
              <w:spacing w:line="480" w:lineRule="auto"/>
            </w:pPr>
            <w:r w:rsidRPr="00AF6E98">
              <w:t>University of Leicester</w:t>
            </w:r>
          </w:p>
        </w:tc>
        <w:tc>
          <w:tcPr>
            <w:tcW w:w="2015" w:type="dxa"/>
          </w:tcPr>
          <w:p w14:paraId="686A4B53" w14:textId="2840FD96" w:rsidR="00065736" w:rsidRPr="00AF6E98" w:rsidRDefault="00247491" w:rsidP="00AF6E98">
            <w:pPr>
              <w:spacing w:line="480" w:lineRule="auto"/>
            </w:pPr>
            <w:r>
              <w:t>[27]</w:t>
            </w:r>
          </w:p>
        </w:tc>
      </w:tr>
      <w:tr w:rsidR="001A1AA7" w:rsidRPr="00AF6E98" w14:paraId="523D2A32" w14:textId="77777777" w:rsidTr="00AF6E98">
        <w:tc>
          <w:tcPr>
            <w:tcW w:w="2469" w:type="dxa"/>
          </w:tcPr>
          <w:p w14:paraId="1EA4A318" w14:textId="77777777" w:rsidR="00065736" w:rsidRPr="00AF6E98" w:rsidRDefault="00065736" w:rsidP="00AF6E98">
            <w:pPr>
              <w:spacing w:line="480" w:lineRule="auto"/>
              <w:rPr>
                <w:i/>
              </w:rPr>
            </w:pPr>
            <w:r w:rsidRPr="00AF6E98">
              <w:t>Rhodesain</w:t>
            </w:r>
            <w:r w:rsidR="005A7F81" w:rsidRPr="00AF6E98">
              <w:t>/TbrCatL</w:t>
            </w:r>
          </w:p>
        </w:tc>
        <w:tc>
          <w:tcPr>
            <w:tcW w:w="2031" w:type="dxa"/>
          </w:tcPr>
          <w:p w14:paraId="2D118E83" w14:textId="77777777" w:rsidR="00065736" w:rsidRPr="00AF6E98" w:rsidRDefault="00065736" w:rsidP="00AF6E98">
            <w:pPr>
              <w:spacing w:line="480" w:lineRule="auto"/>
            </w:pPr>
            <w:r w:rsidRPr="00AF6E98">
              <w:rPr>
                <w:i/>
              </w:rPr>
              <w:t>Trypanosoma brucei</w:t>
            </w:r>
            <w:r w:rsidR="0015229D" w:rsidRPr="00AF6E98">
              <w:rPr>
                <w:i/>
              </w:rPr>
              <w:t xml:space="preserve"> rhodesiense</w:t>
            </w:r>
          </w:p>
        </w:tc>
        <w:tc>
          <w:tcPr>
            <w:tcW w:w="3302" w:type="dxa"/>
          </w:tcPr>
          <w:p w14:paraId="1594F350" w14:textId="77777777" w:rsidR="00065736" w:rsidRPr="00AF6E98" w:rsidRDefault="00065736" w:rsidP="00AF6E98">
            <w:pPr>
              <w:spacing w:line="480" w:lineRule="auto"/>
            </w:pPr>
            <w:r w:rsidRPr="00AF6E98">
              <w:t>University of California</w:t>
            </w:r>
          </w:p>
        </w:tc>
        <w:tc>
          <w:tcPr>
            <w:tcW w:w="2015" w:type="dxa"/>
          </w:tcPr>
          <w:p w14:paraId="0E46EEA0" w14:textId="47934641" w:rsidR="00065736" w:rsidRPr="00AF6E98" w:rsidRDefault="00C63060" w:rsidP="00C63060">
            <w:pPr>
              <w:spacing w:line="480" w:lineRule="auto"/>
            </w:pPr>
            <w:r>
              <w:t>[</w:t>
            </w:r>
            <w:r w:rsidR="00247491">
              <w:t>28</w:t>
            </w:r>
            <w:r>
              <w:t>]</w:t>
            </w:r>
          </w:p>
        </w:tc>
      </w:tr>
      <w:tr w:rsidR="001A1AA7" w:rsidRPr="00AF6E98" w14:paraId="15EE0258" w14:textId="77777777" w:rsidTr="00AF6E98">
        <w:tc>
          <w:tcPr>
            <w:tcW w:w="2469" w:type="dxa"/>
          </w:tcPr>
          <w:p w14:paraId="0F88913D" w14:textId="77777777" w:rsidR="00065736" w:rsidRPr="00AF6E98" w:rsidRDefault="00065736" w:rsidP="00AF6E98">
            <w:pPr>
              <w:spacing w:line="480" w:lineRule="auto"/>
            </w:pPr>
            <w:r w:rsidRPr="00AF6E98">
              <w:t>Ornithine decarboxylase (ODC)</w:t>
            </w:r>
          </w:p>
        </w:tc>
        <w:tc>
          <w:tcPr>
            <w:tcW w:w="2031" w:type="dxa"/>
          </w:tcPr>
          <w:p w14:paraId="0538992C" w14:textId="77777777" w:rsidR="00065736" w:rsidRPr="00AF6E98" w:rsidRDefault="00065736" w:rsidP="00AF6E98">
            <w:pPr>
              <w:spacing w:line="480" w:lineRule="auto"/>
            </w:pPr>
            <w:r w:rsidRPr="00AF6E98">
              <w:rPr>
                <w:i/>
              </w:rPr>
              <w:t>Trypanosoma brucei</w:t>
            </w:r>
          </w:p>
        </w:tc>
        <w:tc>
          <w:tcPr>
            <w:tcW w:w="3302" w:type="dxa"/>
          </w:tcPr>
          <w:p w14:paraId="6758CF73" w14:textId="77777777" w:rsidR="00065736" w:rsidRPr="00AF6E98" w:rsidRDefault="00065736" w:rsidP="00AF6E98">
            <w:pPr>
              <w:spacing w:line="480" w:lineRule="auto"/>
            </w:pPr>
            <w:r w:rsidRPr="00AF6E98">
              <w:rPr>
                <w:rFonts w:cs="Arial"/>
                <w:lang w:val="en-GB"/>
              </w:rPr>
              <w:t>University of Texas Southwestern Medical Center</w:t>
            </w:r>
          </w:p>
        </w:tc>
        <w:tc>
          <w:tcPr>
            <w:tcW w:w="2015" w:type="dxa"/>
          </w:tcPr>
          <w:p w14:paraId="551B5DE5" w14:textId="21882D2E" w:rsidR="00065736" w:rsidRPr="00AF6E98" w:rsidRDefault="00C63060" w:rsidP="00C63060">
            <w:pPr>
              <w:spacing w:line="480" w:lineRule="auto"/>
            </w:pPr>
            <w:r>
              <w:t>[</w:t>
            </w:r>
            <w:r w:rsidR="00247491">
              <w:t>29</w:t>
            </w:r>
            <w:r>
              <w:t>]</w:t>
            </w:r>
          </w:p>
        </w:tc>
      </w:tr>
      <w:tr w:rsidR="001A1AA7" w:rsidRPr="00A11852" w14:paraId="5398AB8A" w14:textId="77777777" w:rsidTr="00AF6E98">
        <w:tc>
          <w:tcPr>
            <w:tcW w:w="2469" w:type="dxa"/>
          </w:tcPr>
          <w:p w14:paraId="66DCAFE0" w14:textId="77777777" w:rsidR="00065736" w:rsidRPr="00AF6E98" w:rsidRDefault="00065736" w:rsidP="00AF6E98">
            <w:pPr>
              <w:spacing w:line="480" w:lineRule="auto"/>
            </w:pPr>
            <w:r w:rsidRPr="00AF6E98">
              <w:t xml:space="preserve">S-adenosylmethionine </w:t>
            </w:r>
            <w:r w:rsidR="00E70035" w:rsidRPr="00AF6E98">
              <w:t>d</w:t>
            </w:r>
            <w:r w:rsidRPr="00AF6E98">
              <w:t>ecarboxylase (AdoMetDC)</w:t>
            </w:r>
          </w:p>
        </w:tc>
        <w:tc>
          <w:tcPr>
            <w:tcW w:w="2031" w:type="dxa"/>
          </w:tcPr>
          <w:p w14:paraId="3B541046" w14:textId="77777777" w:rsidR="00065736" w:rsidRPr="00AF6E98" w:rsidRDefault="00065736" w:rsidP="00AF6E98">
            <w:pPr>
              <w:spacing w:line="480" w:lineRule="auto"/>
            </w:pPr>
            <w:r w:rsidRPr="00AF6E98">
              <w:rPr>
                <w:i/>
              </w:rPr>
              <w:t>Trypanosoma brucei</w:t>
            </w:r>
          </w:p>
        </w:tc>
        <w:tc>
          <w:tcPr>
            <w:tcW w:w="3302" w:type="dxa"/>
          </w:tcPr>
          <w:p w14:paraId="2301167D" w14:textId="77777777" w:rsidR="00065736" w:rsidRPr="00AF6E98" w:rsidRDefault="00065736" w:rsidP="00AF6E98">
            <w:pPr>
              <w:spacing w:line="480" w:lineRule="auto"/>
            </w:pPr>
            <w:r w:rsidRPr="00AF6E98">
              <w:rPr>
                <w:rFonts w:cs="Arial"/>
                <w:lang w:val="en-GB"/>
              </w:rPr>
              <w:t>University of Texas Southwestern Medical Center</w:t>
            </w:r>
          </w:p>
        </w:tc>
        <w:tc>
          <w:tcPr>
            <w:tcW w:w="2015" w:type="dxa"/>
          </w:tcPr>
          <w:p w14:paraId="7BC870B4" w14:textId="3AA9ED9A" w:rsidR="00065736" w:rsidRPr="002E5CEB" w:rsidRDefault="00C63060" w:rsidP="00C63060">
            <w:pPr>
              <w:spacing w:line="480" w:lineRule="auto"/>
              <w:rPr>
                <w:lang w:val="fr-CH"/>
              </w:rPr>
            </w:pPr>
            <w:r>
              <w:rPr>
                <w:lang w:val="fr-CH"/>
              </w:rPr>
              <w:t>[</w:t>
            </w:r>
            <w:r w:rsidR="00247491">
              <w:rPr>
                <w:lang w:val="fr-CH"/>
              </w:rPr>
              <w:t>29</w:t>
            </w:r>
            <w:r>
              <w:rPr>
                <w:lang w:val="fr-CH"/>
              </w:rPr>
              <w:t>,</w:t>
            </w:r>
            <w:r w:rsidR="00247491">
              <w:rPr>
                <w:lang w:val="fr-CH"/>
              </w:rPr>
              <w:t>30</w:t>
            </w:r>
            <w:r>
              <w:rPr>
                <w:lang w:val="fr-CH"/>
              </w:rPr>
              <w:t>]</w:t>
            </w:r>
          </w:p>
        </w:tc>
      </w:tr>
      <w:tr w:rsidR="001A1AA7" w:rsidRPr="00AF6E98" w14:paraId="1C9039AA" w14:textId="77777777" w:rsidTr="00AF6E98">
        <w:tc>
          <w:tcPr>
            <w:tcW w:w="2469" w:type="dxa"/>
          </w:tcPr>
          <w:p w14:paraId="22F9BA9B" w14:textId="77777777" w:rsidR="00065736" w:rsidRPr="00AF6E98" w:rsidRDefault="00065736" w:rsidP="00AF6E98">
            <w:pPr>
              <w:spacing w:line="480" w:lineRule="auto"/>
            </w:pPr>
            <w:r w:rsidRPr="00AF6E98">
              <w:t>Dihydroorotate dehydrogenase (DHODH)</w:t>
            </w:r>
          </w:p>
        </w:tc>
        <w:tc>
          <w:tcPr>
            <w:tcW w:w="2031" w:type="dxa"/>
          </w:tcPr>
          <w:p w14:paraId="61788E3E" w14:textId="77777777" w:rsidR="00065736" w:rsidRPr="00AF6E98" w:rsidRDefault="00065736" w:rsidP="00AF6E98">
            <w:pPr>
              <w:spacing w:line="480" w:lineRule="auto"/>
            </w:pPr>
            <w:r w:rsidRPr="00AF6E98">
              <w:rPr>
                <w:i/>
              </w:rPr>
              <w:t>Trypanosoma brucei</w:t>
            </w:r>
          </w:p>
        </w:tc>
        <w:tc>
          <w:tcPr>
            <w:tcW w:w="3302" w:type="dxa"/>
          </w:tcPr>
          <w:p w14:paraId="68F5DABB" w14:textId="77777777" w:rsidR="00065736" w:rsidRPr="00AF6E98" w:rsidRDefault="00065736" w:rsidP="00AF6E98">
            <w:pPr>
              <w:spacing w:line="480" w:lineRule="auto"/>
            </w:pPr>
            <w:r w:rsidRPr="00AF6E98">
              <w:rPr>
                <w:rFonts w:cs="Arial"/>
                <w:lang w:val="en-GB"/>
              </w:rPr>
              <w:t>University of Texas Southwestern Medical Center</w:t>
            </w:r>
          </w:p>
        </w:tc>
        <w:tc>
          <w:tcPr>
            <w:tcW w:w="2015" w:type="dxa"/>
          </w:tcPr>
          <w:p w14:paraId="3AD51B97" w14:textId="56047A4A" w:rsidR="00065736" w:rsidRPr="00AF6E98" w:rsidRDefault="00C63060" w:rsidP="00C63060">
            <w:pPr>
              <w:spacing w:line="480" w:lineRule="auto"/>
            </w:pPr>
            <w:r>
              <w:t>[</w:t>
            </w:r>
            <w:r w:rsidR="00247491">
              <w:t>31</w:t>
            </w:r>
            <w:r>
              <w:t>]</w:t>
            </w:r>
          </w:p>
        </w:tc>
      </w:tr>
      <w:tr w:rsidR="001A1AA7" w:rsidRPr="00AF6E98" w14:paraId="088EF8E5" w14:textId="77777777" w:rsidTr="00AF6E98">
        <w:tc>
          <w:tcPr>
            <w:tcW w:w="2469" w:type="dxa"/>
          </w:tcPr>
          <w:p w14:paraId="6400DF02" w14:textId="77777777" w:rsidR="00065736" w:rsidRPr="00AF6E98" w:rsidRDefault="00065736" w:rsidP="00AF6E98">
            <w:pPr>
              <w:spacing w:line="480" w:lineRule="auto"/>
            </w:pPr>
            <w:r w:rsidRPr="00AF6E98">
              <w:t>γ-glutamylcystein synthetase (GCS)</w:t>
            </w:r>
          </w:p>
        </w:tc>
        <w:tc>
          <w:tcPr>
            <w:tcW w:w="2031" w:type="dxa"/>
          </w:tcPr>
          <w:p w14:paraId="10784F08" w14:textId="77777777" w:rsidR="00065736" w:rsidRPr="00AF6E98" w:rsidRDefault="00065736" w:rsidP="00AF6E98">
            <w:pPr>
              <w:spacing w:line="480" w:lineRule="auto"/>
            </w:pPr>
            <w:r w:rsidRPr="00AF6E98">
              <w:rPr>
                <w:i/>
              </w:rPr>
              <w:t>Trypanosoma brucei</w:t>
            </w:r>
          </w:p>
        </w:tc>
        <w:tc>
          <w:tcPr>
            <w:tcW w:w="3302" w:type="dxa"/>
          </w:tcPr>
          <w:p w14:paraId="727CB0AF" w14:textId="77777777" w:rsidR="00065736" w:rsidRPr="00AF6E98" w:rsidRDefault="00065736" w:rsidP="00AF6E98">
            <w:pPr>
              <w:spacing w:line="480" w:lineRule="auto"/>
            </w:pPr>
            <w:r w:rsidRPr="00AF6E98">
              <w:rPr>
                <w:rFonts w:cs="Arial"/>
                <w:lang w:val="en-GB"/>
              </w:rPr>
              <w:t>University of Texas Southwestern Medical Center</w:t>
            </w:r>
          </w:p>
        </w:tc>
        <w:tc>
          <w:tcPr>
            <w:tcW w:w="2015" w:type="dxa"/>
          </w:tcPr>
          <w:p w14:paraId="34930E0E" w14:textId="6300F259" w:rsidR="00065736" w:rsidRPr="00AF6E98" w:rsidRDefault="00C63060" w:rsidP="00C63060">
            <w:pPr>
              <w:spacing w:line="480" w:lineRule="auto"/>
            </w:pPr>
            <w:r>
              <w:t>[</w:t>
            </w:r>
            <w:r w:rsidR="00247491">
              <w:t>29</w:t>
            </w:r>
            <w:r>
              <w:t>]</w:t>
            </w:r>
          </w:p>
        </w:tc>
      </w:tr>
      <w:tr w:rsidR="001A1AA7" w:rsidRPr="00AF6E98" w14:paraId="7B35C079" w14:textId="77777777" w:rsidTr="00AF6E98">
        <w:tc>
          <w:tcPr>
            <w:tcW w:w="2469" w:type="dxa"/>
          </w:tcPr>
          <w:p w14:paraId="6FEF1971" w14:textId="77777777" w:rsidR="00065736" w:rsidRPr="00AF6E98" w:rsidRDefault="00065736" w:rsidP="00AF6E98">
            <w:pPr>
              <w:spacing w:line="480" w:lineRule="auto"/>
            </w:pPr>
            <w:r w:rsidRPr="00AF6E98">
              <w:t>Acyl-coA binding protein (ACBP)</w:t>
            </w:r>
          </w:p>
        </w:tc>
        <w:tc>
          <w:tcPr>
            <w:tcW w:w="2031" w:type="dxa"/>
          </w:tcPr>
          <w:p w14:paraId="42B0035B" w14:textId="77777777" w:rsidR="00065736" w:rsidRPr="00AF6E98" w:rsidRDefault="00065736" w:rsidP="00AF6E98">
            <w:pPr>
              <w:spacing w:line="480" w:lineRule="auto"/>
            </w:pPr>
            <w:r w:rsidRPr="00AF6E98">
              <w:rPr>
                <w:i/>
              </w:rPr>
              <w:t>Trypanosoma brucei</w:t>
            </w:r>
          </w:p>
        </w:tc>
        <w:tc>
          <w:tcPr>
            <w:tcW w:w="3302" w:type="dxa"/>
          </w:tcPr>
          <w:p w14:paraId="757D84E9" w14:textId="77777777" w:rsidR="00065736" w:rsidRPr="00AF6E98" w:rsidRDefault="00065736" w:rsidP="00AF6E98">
            <w:pPr>
              <w:spacing w:line="480" w:lineRule="auto"/>
            </w:pPr>
            <w:r w:rsidRPr="00AF6E98">
              <w:t>University of Dundee</w:t>
            </w:r>
          </w:p>
        </w:tc>
        <w:tc>
          <w:tcPr>
            <w:tcW w:w="2015" w:type="dxa"/>
          </w:tcPr>
          <w:p w14:paraId="6B60CA17" w14:textId="5D6CB9F0" w:rsidR="00065736" w:rsidRPr="00AF6E98" w:rsidRDefault="00C63060" w:rsidP="00C63060">
            <w:pPr>
              <w:spacing w:line="480" w:lineRule="auto"/>
            </w:pPr>
            <w:r>
              <w:t>[</w:t>
            </w:r>
            <w:r w:rsidR="00247491">
              <w:t>32</w:t>
            </w:r>
            <w:r>
              <w:t>]</w:t>
            </w:r>
          </w:p>
        </w:tc>
      </w:tr>
      <w:tr w:rsidR="001A1AA7" w:rsidRPr="00AF6E98" w14:paraId="7D5BDE09" w14:textId="77777777" w:rsidTr="00AF6E98">
        <w:tc>
          <w:tcPr>
            <w:tcW w:w="2469" w:type="dxa"/>
          </w:tcPr>
          <w:p w14:paraId="5825E65B" w14:textId="77777777" w:rsidR="00065736" w:rsidRPr="00AF6E98" w:rsidRDefault="00065736" w:rsidP="00AF6E98">
            <w:pPr>
              <w:spacing w:line="480" w:lineRule="auto"/>
            </w:pPr>
            <w:r w:rsidRPr="00AF6E98">
              <w:t>70 kilodalton heat shock protein (HSP70)</w:t>
            </w:r>
          </w:p>
        </w:tc>
        <w:tc>
          <w:tcPr>
            <w:tcW w:w="2031" w:type="dxa"/>
          </w:tcPr>
          <w:p w14:paraId="41030966" w14:textId="77777777" w:rsidR="00065736" w:rsidRPr="00AF6E98" w:rsidRDefault="00065736" w:rsidP="00AF6E98">
            <w:pPr>
              <w:spacing w:line="480" w:lineRule="auto"/>
            </w:pPr>
            <w:r w:rsidRPr="00AF6E98">
              <w:rPr>
                <w:i/>
              </w:rPr>
              <w:t>Trypanosoma brucei</w:t>
            </w:r>
          </w:p>
        </w:tc>
        <w:tc>
          <w:tcPr>
            <w:tcW w:w="3302" w:type="dxa"/>
          </w:tcPr>
          <w:p w14:paraId="2C8C6DD1" w14:textId="77777777" w:rsidR="00065736" w:rsidRPr="00AF6E98" w:rsidRDefault="00065736" w:rsidP="00AF6E98">
            <w:pPr>
              <w:spacing w:line="480" w:lineRule="auto"/>
              <w:rPr>
                <w:highlight w:val="yellow"/>
              </w:rPr>
            </w:pPr>
            <w:r w:rsidRPr="00AF6E98">
              <w:t>University of Wisconsin-Madison</w:t>
            </w:r>
          </w:p>
        </w:tc>
        <w:tc>
          <w:tcPr>
            <w:tcW w:w="2015" w:type="dxa"/>
          </w:tcPr>
          <w:p w14:paraId="225DA3A6" w14:textId="4351DA01" w:rsidR="00065736" w:rsidRPr="00AF6E98" w:rsidRDefault="00C63060" w:rsidP="00C63060">
            <w:pPr>
              <w:spacing w:line="480" w:lineRule="auto"/>
            </w:pPr>
            <w:r>
              <w:t>[</w:t>
            </w:r>
            <w:r w:rsidR="00247491">
              <w:t>33</w:t>
            </w:r>
            <w:r>
              <w:t>]</w:t>
            </w:r>
          </w:p>
        </w:tc>
      </w:tr>
      <w:tr w:rsidR="001A1AA7" w:rsidRPr="00AF6E98" w14:paraId="222CCB10" w14:textId="77777777" w:rsidTr="00AF6E98">
        <w:tc>
          <w:tcPr>
            <w:tcW w:w="2469" w:type="dxa"/>
          </w:tcPr>
          <w:p w14:paraId="4861EB17" w14:textId="77777777" w:rsidR="00065736" w:rsidRPr="00AF6E98" w:rsidRDefault="00065736" w:rsidP="00AF6E98">
            <w:pPr>
              <w:spacing w:line="480" w:lineRule="auto"/>
            </w:pPr>
            <w:r w:rsidRPr="00AF6E98">
              <w:t>Trypanopain</w:t>
            </w:r>
            <w:r w:rsidR="005A7F81" w:rsidRPr="00AF6E98">
              <w:t>/TbbCatL</w:t>
            </w:r>
          </w:p>
        </w:tc>
        <w:tc>
          <w:tcPr>
            <w:tcW w:w="2031" w:type="dxa"/>
          </w:tcPr>
          <w:p w14:paraId="6F84B9E1" w14:textId="77777777" w:rsidR="00065736" w:rsidRPr="00AF6E98" w:rsidRDefault="00065736" w:rsidP="00AF6E98">
            <w:pPr>
              <w:spacing w:line="480" w:lineRule="auto"/>
            </w:pPr>
            <w:r w:rsidRPr="00AF6E98">
              <w:rPr>
                <w:i/>
              </w:rPr>
              <w:t>Trypanosoma brucei</w:t>
            </w:r>
            <w:r w:rsidR="0015229D" w:rsidRPr="00AF6E98">
              <w:rPr>
                <w:i/>
              </w:rPr>
              <w:t xml:space="preserve"> gambiense</w:t>
            </w:r>
          </w:p>
        </w:tc>
        <w:tc>
          <w:tcPr>
            <w:tcW w:w="3302" w:type="dxa"/>
          </w:tcPr>
          <w:p w14:paraId="51DBD57D" w14:textId="77777777" w:rsidR="00065736" w:rsidRPr="00AF6E98" w:rsidRDefault="00065736" w:rsidP="00AF6E98">
            <w:pPr>
              <w:spacing w:line="480" w:lineRule="auto"/>
              <w:rPr>
                <w:highlight w:val="yellow"/>
              </w:rPr>
            </w:pPr>
            <w:r w:rsidRPr="00AF6E98">
              <w:t>University of Wisconsin-Madison</w:t>
            </w:r>
          </w:p>
        </w:tc>
        <w:tc>
          <w:tcPr>
            <w:tcW w:w="2015" w:type="dxa"/>
          </w:tcPr>
          <w:p w14:paraId="7999F3D9" w14:textId="4790C2FA" w:rsidR="00065736" w:rsidRPr="00AF6E98" w:rsidRDefault="00C63060" w:rsidP="00247491">
            <w:pPr>
              <w:spacing w:line="480" w:lineRule="auto"/>
            </w:pPr>
            <w:r>
              <w:t>[</w:t>
            </w:r>
            <w:r w:rsidR="009648D5">
              <w:t>3</w:t>
            </w:r>
            <w:r w:rsidR="00247491">
              <w:t>4</w:t>
            </w:r>
            <w:r>
              <w:t>]</w:t>
            </w:r>
          </w:p>
        </w:tc>
      </w:tr>
      <w:tr w:rsidR="001A1AA7" w:rsidRPr="00AF6E98" w14:paraId="3DD9BE4B" w14:textId="77777777" w:rsidTr="00AF6E98">
        <w:tc>
          <w:tcPr>
            <w:tcW w:w="2469" w:type="dxa"/>
          </w:tcPr>
          <w:p w14:paraId="2B76E8C6" w14:textId="77777777" w:rsidR="00065736" w:rsidRPr="00AF6E98" w:rsidRDefault="00065736" w:rsidP="00AF6E98">
            <w:pPr>
              <w:spacing w:line="480" w:lineRule="auto"/>
            </w:pPr>
            <w:r w:rsidRPr="00AF6E98">
              <w:t>Paraflagellar rod protein 2 (PFR2)</w:t>
            </w:r>
          </w:p>
        </w:tc>
        <w:tc>
          <w:tcPr>
            <w:tcW w:w="2031" w:type="dxa"/>
          </w:tcPr>
          <w:p w14:paraId="0BCCC41B" w14:textId="77777777" w:rsidR="00065736" w:rsidRPr="00AF6E98" w:rsidRDefault="00065736" w:rsidP="00AF6E98">
            <w:pPr>
              <w:spacing w:line="480" w:lineRule="auto"/>
              <w:rPr>
                <w:i/>
              </w:rPr>
            </w:pPr>
            <w:r w:rsidRPr="00AF6E98">
              <w:rPr>
                <w:i/>
              </w:rPr>
              <w:t>Trypanosoma brucei</w:t>
            </w:r>
          </w:p>
        </w:tc>
        <w:tc>
          <w:tcPr>
            <w:tcW w:w="3302" w:type="dxa"/>
          </w:tcPr>
          <w:p w14:paraId="498C00EC" w14:textId="77777777" w:rsidR="00065736" w:rsidRPr="00AF6E98" w:rsidRDefault="00065736" w:rsidP="00AF6E98">
            <w:pPr>
              <w:spacing w:line="480" w:lineRule="auto"/>
            </w:pPr>
            <w:r w:rsidRPr="00AF6E98">
              <w:t>University of Bordeaux</w:t>
            </w:r>
          </w:p>
        </w:tc>
        <w:tc>
          <w:tcPr>
            <w:tcW w:w="2015" w:type="dxa"/>
          </w:tcPr>
          <w:p w14:paraId="1B0C31A8" w14:textId="5C070086" w:rsidR="00065736" w:rsidRPr="00AF6E98" w:rsidRDefault="00C63060" w:rsidP="00C63060">
            <w:pPr>
              <w:spacing w:line="480" w:lineRule="auto"/>
            </w:pPr>
            <w:r>
              <w:t>[</w:t>
            </w:r>
            <w:r w:rsidR="0074071B">
              <w:t>3</w:t>
            </w:r>
            <w:r w:rsidR="00247491">
              <w:t>5</w:t>
            </w:r>
            <w:r>
              <w:t>]</w:t>
            </w:r>
          </w:p>
        </w:tc>
      </w:tr>
      <w:tr w:rsidR="001A1AA7" w:rsidRPr="00AF6E98" w14:paraId="45239966" w14:textId="77777777" w:rsidTr="00AF6E98">
        <w:tc>
          <w:tcPr>
            <w:tcW w:w="2469" w:type="dxa"/>
          </w:tcPr>
          <w:p w14:paraId="656608ED" w14:textId="77777777" w:rsidR="00065736" w:rsidRPr="00AF6E98" w:rsidRDefault="00065736" w:rsidP="00AF6E98">
            <w:pPr>
              <w:spacing w:line="480" w:lineRule="auto"/>
            </w:pPr>
            <w:r w:rsidRPr="00AF6E98">
              <w:t>Inhibitor of cysteine peptidase (ICP)</w:t>
            </w:r>
          </w:p>
        </w:tc>
        <w:tc>
          <w:tcPr>
            <w:tcW w:w="2031" w:type="dxa"/>
          </w:tcPr>
          <w:p w14:paraId="16716975" w14:textId="77777777" w:rsidR="00065736" w:rsidRPr="00AF6E98" w:rsidRDefault="00065736" w:rsidP="00AF6E98">
            <w:pPr>
              <w:spacing w:line="480" w:lineRule="auto"/>
              <w:rPr>
                <w:i/>
              </w:rPr>
            </w:pPr>
            <w:r w:rsidRPr="00AF6E98">
              <w:rPr>
                <w:i/>
              </w:rPr>
              <w:t>Trypanosoma brucei</w:t>
            </w:r>
          </w:p>
        </w:tc>
        <w:tc>
          <w:tcPr>
            <w:tcW w:w="3302" w:type="dxa"/>
          </w:tcPr>
          <w:p w14:paraId="17E75C90" w14:textId="77777777" w:rsidR="00065736" w:rsidRPr="00AF6E98" w:rsidRDefault="00065736" w:rsidP="00AF6E98">
            <w:pPr>
              <w:spacing w:line="480" w:lineRule="auto"/>
            </w:pPr>
            <w:r w:rsidRPr="00AF6E98">
              <w:t>University of Glasgow</w:t>
            </w:r>
          </w:p>
        </w:tc>
        <w:tc>
          <w:tcPr>
            <w:tcW w:w="2015" w:type="dxa"/>
          </w:tcPr>
          <w:p w14:paraId="21D6B67D" w14:textId="7EC292F0" w:rsidR="00065736" w:rsidRPr="00AF6E98" w:rsidRDefault="00C63060" w:rsidP="00247491">
            <w:pPr>
              <w:spacing w:line="480" w:lineRule="auto"/>
            </w:pPr>
            <w:r>
              <w:t>[</w:t>
            </w:r>
            <w:r w:rsidR="00BE0820">
              <w:t>3</w:t>
            </w:r>
            <w:r w:rsidR="00247491">
              <w:t>6</w:t>
            </w:r>
            <w:r>
              <w:t>]</w:t>
            </w:r>
          </w:p>
        </w:tc>
      </w:tr>
      <w:tr w:rsidR="001A1AA7" w:rsidRPr="00AF6E98" w14:paraId="1E2E34D5" w14:textId="77777777" w:rsidTr="00AF6E98">
        <w:tc>
          <w:tcPr>
            <w:tcW w:w="2469" w:type="dxa"/>
          </w:tcPr>
          <w:p w14:paraId="01C0BC8B" w14:textId="77777777" w:rsidR="00065736" w:rsidRPr="00AF6E98" w:rsidRDefault="00065736" w:rsidP="00AF6E98">
            <w:pPr>
              <w:spacing w:line="480" w:lineRule="auto"/>
            </w:pPr>
            <w:r w:rsidRPr="00AF6E98">
              <w:t>MARP1*</w:t>
            </w:r>
          </w:p>
        </w:tc>
        <w:tc>
          <w:tcPr>
            <w:tcW w:w="2031" w:type="dxa"/>
          </w:tcPr>
          <w:p w14:paraId="5A0DD5D8" w14:textId="77777777" w:rsidR="00065736" w:rsidRPr="00AF6E98" w:rsidRDefault="00065736" w:rsidP="00AF6E98">
            <w:pPr>
              <w:spacing w:line="480" w:lineRule="auto"/>
              <w:rPr>
                <w:i/>
              </w:rPr>
            </w:pPr>
            <w:r w:rsidRPr="00AF6E98">
              <w:rPr>
                <w:i/>
              </w:rPr>
              <w:t>Trypanosoma brucei</w:t>
            </w:r>
          </w:p>
        </w:tc>
        <w:tc>
          <w:tcPr>
            <w:tcW w:w="3302" w:type="dxa"/>
          </w:tcPr>
          <w:p w14:paraId="5FD1A5E5" w14:textId="77777777" w:rsidR="00065736" w:rsidRPr="00AF6E98" w:rsidRDefault="00065736" w:rsidP="00AF6E98">
            <w:pPr>
              <w:spacing w:line="480" w:lineRule="auto"/>
            </w:pPr>
            <w:r w:rsidRPr="00AF6E98">
              <w:t>University of Bern</w:t>
            </w:r>
          </w:p>
        </w:tc>
        <w:tc>
          <w:tcPr>
            <w:tcW w:w="2015" w:type="dxa"/>
          </w:tcPr>
          <w:p w14:paraId="08D63EA7" w14:textId="3EF3670C" w:rsidR="00065736" w:rsidRPr="00AF6E98" w:rsidRDefault="00C63060" w:rsidP="00C63060">
            <w:pPr>
              <w:spacing w:line="480" w:lineRule="auto"/>
            </w:pPr>
            <w:r>
              <w:t>[</w:t>
            </w:r>
            <w:r w:rsidR="0074071B">
              <w:t>3</w:t>
            </w:r>
            <w:r w:rsidR="00247491">
              <w:t>7</w:t>
            </w:r>
            <w:r>
              <w:t>]</w:t>
            </w:r>
          </w:p>
        </w:tc>
      </w:tr>
      <w:tr w:rsidR="001A1AA7" w:rsidRPr="00AF6E98" w14:paraId="6BA9E02A" w14:textId="77777777" w:rsidTr="00AF6E98">
        <w:tc>
          <w:tcPr>
            <w:tcW w:w="2469" w:type="dxa"/>
          </w:tcPr>
          <w:p w14:paraId="6DAD90A4" w14:textId="77777777" w:rsidR="00065736" w:rsidRPr="00AF6E98" w:rsidRDefault="00065736" w:rsidP="00AF6E98">
            <w:pPr>
              <w:spacing w:line="480" w:lineRule="auto"/>
            </w:pPr>
            <w:r w:rsidRPr="00AF6E98">
              <w:t>Tb09.211.1800 (L14-6)*</w:t>
            </w:r>
          </w:p>
        </w:tc>
        <w:tc>
          <w:tcPr>
            <w:tcW w:w="2031" w:type="dxa"/>
          </w:tcPr>
          <w:p w14:paraId="3692C56F" w14:textId="77777777" w:rsidR="00065736" w:rsidRPr="00AF6E98" w:rsidRDefault="00065736" w:rsidP="00AF6E98">
            <w:pPr>
              <w:spacing w:line="480" w:lineRule="auto"/>
              <w:rPr>
                <w:i/>
              </w:rPr>
            </w:pPr>
            <w:r w:rsidRPr="00AF6E98">
              <w:rPr>
                <w:i/>
              </w:rPr>
              <w:t>Trypanosoma brucei rhodesiense</w:t>
            </w:r>
          </w:p>
        </w:tc>
        <w:tc>
          <w:tcPr>
            <w:tcW w:w="3302" w:type="dxa"/>
          </w:tcPr>
          <w:p w14:paraId="37AD15DB" w14:textId="77777777" w:rsidR="00065736" w:rsidRPr="00AF6E98" w:rsidRDefault="00065736" w:rsidP="00AF6E98">
            <w:pPr>
              <w:spacing w:line="480" w:lineRule="auto"/>
            </w:pPr>
            <w:r w:rsidRPr="00AF6E98">
              <w:t>University of Bern</w:t>
            </w:r>
          </w:p>
        </w:tc>
        <w:tc>
          <w:tcPr>
            <w:tcW w:w="2015" w:type="dxa"/>
          </w:tcPr>
          <w:p w14:paraId="062C46EF" w14:textId="77777777" w:rsidR="00065736" w:rsidRPr="00AF6E98" w:rsidRDefault="00AB2F48" w:rsidP="00AF6E98">
            <w:pPr>
              <w:spacing w:line="480" w:lineRule="auto"/>
            </w:pPr>
            <w:r w:rsidRPr="00AF6E98">
              <w:t>Nerima B (unpublished)</w:t>
            </w:r>
          </w:p>
        </w:tc>
      </w:tr>
      <w:tr w:rsidR="001A1AA7" w:rsidRPr="00AF6E98" w14:paraId="1292FCD3" w14:textId="77777777" w:rsidTr="00AF6E98">
        <w:tc>
          <w:tcPr>
            <w:tcW w:w="2469" w:type="dxa"/>
          </w:tcPr>
          <w:p w14:paraId="6F09A4F0" w14:textId="77777777" w:rsidR="00065736" w:rsidRPr="00AF6E98" w:rsidRDefault="00065736" w:rsidP="00AF6E98">
            <w:pPr>
              <w:spacing w:line="480" w:lineRule="auto"/>
            </w:pPr>
            <w:r w:rsidRPr="00AF6E98">
              <w:t>Tb10.70.6570 (16-6)*</w:t>
            </w:r>
          </w:p>
        </w:tc>
        <w:tc>
          <w:tcPr>
            <w:tcW w:w="2031" w:type="dxa"/>
          </w:tcPr>
          <w:p w14:paraId="60098ACA" w14:textId="77777777" w:rsidR="00065736" w:rsidRPr="00AF6E98" w:rsidRDefault="00065736" w:rsidP="00AF6E98">
            <w:pPr>
              <w:spacing w:line="480" w:lineRule="auto"/>
              <w:rPr>
                <w:i/>
              </w:rPr>
            </w:pPr>
            <w:r w:rsidRPr="00AF6E98">
              <w:rPr>
                <w:i/>
              </w:rPr>
              <w:t>Trypanosoma brucei rhodesiense</w:t>
            </w:r>
          </w:p>
        </w:tc>
        <w:tc>
          <w:tcPr>
            <w:tcW w:w="3302" w:type="dxa"/>
          </w:tcPr>
          <w:p w14:paraId="691E4E1B" w14:textId="77777777" w:rsidR="00065736" w:rsidRPr="00AF6E98" w:rsidRDefault="00065736" w:rsidP="00AF6E98">
            <w:pPr>
              <w:spacing w:line="480" w:lineRule="auto"/>
            </w:pPr>
            <w:r w:rsidRPr="00AF6E98">
              <w:t>University of Bern</w:t>
            </w:r>
          </w:p>
        </w:tc>
        <w:tc>
          <w:tcPr>
            <w:tcW w:w="2015" w:type="dxa"/>
          </w:tcPr>
          <w:p w14:paraId="4AA76322" w14:textId="77777777" w:rsidR="00065736" w:rsidRPr="00AF6E98" w:rsidRDefault="00AB2F48" w:rsidP="00AF6E98">
            <w:pPr>
              <w:spacing w:line="480" w:lineRule="auto"/>
            </w:pPr>
            <w:r w:rsidRPr="00AF6E98">
              <w:t>Nerima B (unpublished)</w:t>
            </w:r>
          </w:p>
        </w:tc>
      </w:tr>
    </w:tbl>
    <w:p w14:paraId="2BF9EC97" w14:textId="77777777" w:rsidR="00491CB9" w:rsidRPr="00AF6E98" w:rsidRDefault="00491CB9" w:rsidP="00AF6E98">
      <w:pPr>
        <w:autoSpaceDE w:val="0"/>
        <w:autoSpaceDN w:val="0"/>
        <w:adjustRightInd w:val="0"/>
        <w:spacing w:after="0" w:line="480" w:lineRule="auto"/>
      </w:pPr>
    </w:p>
    <w:p w14:paraId="2DF630B4" w14:textId="1897660B" w:rsidR="00491CB9" w:rsidRPr="000550FD" w:rsidRDefault="007F7754" w:rsidP="00AF6E98">
      <w:pPr>
        <w:autoSpaceDE w:val="0"/>
        <w:autoSpaceDN w:val="0"/>
        <w:adjustRightInd w:val="0"/>
        <w:spacing w:after="0" w:line="480" w:lineRule="auto"/>
        <w:jc w:val="both"/>
        <w:rPr>
          <w:i/>
        </w:rPr>
      </w:pPr>
      <w:r w:rsidRPr="000550FD">
        <w:rPr>
          <w:i/>
        </w:rPr>
        <w:t xml:space="preserve">Except for the native antigens that were </w:t>
      </w:r>
      <w:r w:rsidR="0004654A" w:rsidRPr="000550FD">
        <w:rPr>
          <w:i/>
        </w:rPr>
        <w:t>purified</w:t>
      </w:r>
      <w:r w:rsidRPr="000550FD">
        <w:rPr>
          <w:i/>
        </w:rPr>
        <w:t xml:space="preserve"> </w:t>
      </w:r>
      <w:r w:rsidR="0004654A" w:rsidRPr="000550FD">
        <w:rPr>
          <w:i/>
        </w:rPr>
        <w:t>from rodent infections</w:t>
      </w:r>
      <w:r w:rsidRPr="000550FD">
        <w:rPr>
          <w:i/>
        </w:rPr>
        <w:t xml:space="preserve"> (</w:t>
      </w:r>
      <w:r w:rsidR="0004654A" w:rsidRPr="000550FD">
        <w:rPr>
          <w:i/>
        </w:rPr>
        <w:t>†</w:t>
      </w:r>
      <w:r w:rsidRPr="000550FD">
        <w:rPr>
          <w:i/>
        </w:rPr>
        <w:t>)</w:t>
      </w:r>
      <w:r w:rsidR="0004654A" w:rsidRPr="000550FD">
        <w:rPr>
          <w:i/>
        </w:rPr>
        <w:t xml:space="preserve">, all </w:t>
      </w:r>
      <w:r w:rsidR="00706E67" w:rsidRPr="000550FD">
        <w:rPr>
          <w:i/>
        </w:rPr>
        <w:t xml:space="preserve">others </w:t>
      </w:r>
      <w:r w:rsidR="00C945AC" w:rsidRPr="000550FD">
        <w:rPr>
          <w:i/>
        </w:rPr>
        <w:t xml:space="preserve">were </w:t>
      </w:r>
      <w:r w:rsidR="0004654A" w:rsidRPr="000550FD">
        <w:rPr>
          <w:i/>
        </w:rPr>
        <w:t>recombinant</w:t>
      </w:r>
      <w:r w:rsidR="00706E67" w:rsidRPr="000550FD">
        <w:rPr>
          <w:i/>
        </w:rPr>
        <w:t xml:space="preserve"> antigens </w:t>
      </w:r>
      <w:r w:rsidR="00C11E64" w:rsidRPr="000550FD">
        <w:rPr>
          <w:i/>
        </w:rPr>
        <w:t>produced using an E</w:t>
      </w:r>
      <w:r w:rsidR="00C945AC" w:rsidRPr="000550FD">
        <w:rPr>
          <w:i/>
        </w:rPr>
        <w:t>.</w:t>
      </w:r>
      <w:r w:rsidR="00C11E64" w:rsidRPr="000550FD">
        <w:rPr>
          <w:i/>
        </w:rPr>
        <w:t xml:space="preserve"> coli expression system.</w:t>
      </w:r>
      <w:r w:rsidR="00093C1E" w:rsidRPr="000550FD">
        <w:rPr>
          <w:i/>
        </w:rPr>
        <w:t xml:space="preserve"> </w:t>
      </w:r>
      <w:r w:rsidR="00637241" w:rsidRPr="000550FD">
        <w:rPr>
          <w:i/>
        </w:rPr>
        <w:t xml:space="preserve">Antigens marked with an asterisk (*) were </w:t>
      </w:r>
      <w:r w:rsidR="00C945AC" w:rsidRPr="000550FD">
        <w:rPr>
          <w:i/>
        </w:rPr>
        <w:t xml:space="preserve">only </w:t>
      </w:r>
      <w:r w:rsidR="00637241" w:rsidRPr="000550FD">
        <w:rPr>
          <w:i/>
        </w:rPr>
        <w:t xml:space="preserve">included in the third round </w:t>
      </w:r>
      <w:r w:rsidR="00C945AC" w:rsidRPr="000550FD">
        <w:rPr>
          <w:i/>
        </w:rPr>
        <w:t>of screening</w:t>
      </w:r>
      <w:r w:rsidR="00637241" w:rsidRPr="000550FD">
        <w:rPr>
          <w:i/>
        </w:rPr>
        <w:t>.</w:t>
      </w:r>
    </w:p>
    <w:p w14:paraId="58B726AE" w14:textId="77777777" w:rsidR="001F5E46" w:rsidRPr="00D10697" w:rsidRDefault="001F5E46" w:rsidP="0095777F">
      <w:pPr>
        <w:autoSpaceDE w:val="0"/>
        <w:autoSpaceDN w:val="0"/>
        <w:adjustRightInd w:val="0"/>
        <w:spacing w:after="0" w:line="480" w:lineRule="auto"/>
        <w:jc w:val="both"/>
      </w:pPr>
    </w:p>
    <w:p w14:paraId="0553D162" w14:textId="77777777" w:rsidR="00EE52A6" w:rsidRPr="005C60AB" w:rsidRDefault="00860CC8" w:rsidP="0095777F">
      <w:pPr>
        <w:spacing w:line="480" w:lineRule="auto"/>
        <w:jc w:val="both"/>
        <w:rPr>
          <w:b/>
          <w:sz w:val="32"/>
          <w:szCs w:val="32"/>
        </w:rPr>
      </w:pPr>
      <w:r w:rsidRPr="005C60AB">
        <w:rPr>
          <w:b/>
          <w:sz w:val="32"/>
          <w:szCs w:val="32"/>
        </w:rPr>
        <w:t xml:space="preserve">Serum </w:t>
      </w:r>
      <w:r w:rsidR="00EE52A6" w:rsidRPr="005C60AB">
        <w:rPr>
          <w:b/>
          <w:sz w:val="32"/>
          <w:szCs w:val="32"/>
        </w:rPr>
        <w:t>samples</w:t>
      </w:r>
    </w:p>
    <w:p w14:paraId="7B944CDA" w14:textId="77777777" w:rsidR="00093C1E" w:rsidRPr="00D10697" w:rsidRDefault="00860CC8" w:rsidP="0095777F">
      <w:pPr>
        <w:spacing w:line="480" w:lineRule="auto"/>
        <w:jc w:val="both"/>
      </w:pPr>
      <w:r>
        <w:t>Three rounds of screening were carried out, and for each round a di</w:t>
      </w:r>
      <w:r w:rsidR="00567721" w:rsidRPr="00D10697">
        <w:t xml:space="preserve">fferent set of </w:t>
      </w:r>
      <w:r w:rsidR="008F6DA5">
        <w:t xml:space="preserve">positive </w:t>
      </w:r>
      <w:r w:rsidR="00093C1E" w:rsidRPr="00D10697">
        <w:t xml:space="preserve">serum </w:t>
      </w:r>
      <w:r w:rsidR="00567721" w:rsidRPr="00D10697">
        <w:t>samples</w:t>
      </w:r>
      <w:r w:rsidR="00093C1E" w:rsidRPr="00D10697">
        <w:t xml:space="preserve"> from </w:t>
      </w:r>
      <w:r w:rsidR="00093C1E" w:rsidRPr="00D10697">
        <w:rPr>
          <w:i/>
        </w:rPr>
        <w:t>T. b. gambiense</w:t>
      </w:r>
      <w:r w:rsidR="00093C1E" w:rsidRPr="00D10697">
        <w:t xml:space="preserve"> </w:t>
      </w:r>
      <w:r>
        <w:t xml:space="preserve">and </w:t>
      </w:r>
      <w:r w:rsidR="00832032" w:rsidRPr="00D10697">
        <w:rPr>
          <w:i/>
        </w:rPr>
        <w:t>T. b. rhodesiense</w:t>
      </w:r>
      <w:r w:rsidR="00832032" w:rsidRPr="00D10697">
        <w:t xml:space="preserve"> HAT cases</w:t>
      </w:r>
      <w:r>
        <w:t>,</w:t>
      </w:r>
      <w:r w:rsidR="00093C1E" w:rsidRPr="00D10697">
        <w:t xml:space="preserve"> and </w:t>
      </w:r>
      <w:r w:rsidR="008F6DA5">
        <w:t xml:space="preserve">negative </w:t>
      </w:r>
      <w:r w:rsidR="00093C1E" w:rsidRPr="00D10697">
        <w:t>controls</w:t>
      </w:r>
      <w:r w:rsidR="00567721" w:rsidRPr="00D10697">
        <w:t xml:space="preserve"> were used.</w:t>
      </w:r>
      <w:r w:rsidR="00093C1E" w:rsidRPr="00D10697">
        <w:t xml:space="preserve"> </w:t>
      </w:r>
      <w:r w:rsidR="00832032" w:rsidRPr="00D10697">
        <w:rPr>
          <w:i/>
        </w:rPr>
        <w:t>T. b. gambiense</w:t>
      </w:r>
      <w:r w:rsidR="00832032" w:rsidRPr="00D10697">
        <w:t xml:space="preserve"> HAT </w:t>
      </w:r>
      <w:r w:rsidR="00767F18" w:rsidRPr="00D10697">
        <w:t xml:space="preserve">cases were defined as </w:t>
      </w:r>
      <w:r>
        <w:t xml:space="preserve">patients who were </w:t>
      </w:r>
      <w:r w:rsidR="00767F18" w:rsidRPr="00D10697">
        <w:t xml:space="preserve">positive </w:t>
      </w:r>
      <w:r>
        <w:t>by</w:t>
      </w:r>
      <w:r w:rsidRPr="00D10697">
        <w:t xml:space="preserve"> </w:t>
      </w:r>
      <w:r w:rsidR="00767F18" w:rsidRPr="00D10697">
        <w:t xml:space="preserve">CATT and positive by </w:t>
      </w:r>
      <w:r>
        <w:t xml:space="preserve">any of the </w:t>
      </w:r>
      <w:r w:rsidR="00767F18" w:rsidRPr="00D10697">
        <w:t xml:space="preserve">microscopy </w:t>
      </w:r>
      <w:r>
        <w:t xml:space="preserve">methods in </w:t>
      </w:r>
      <w:r w:rsidR="00767F18" w:rsidRPr="00D10697">
        <w:t xml:space="preserve">routine </w:t>
      </w:r>
      <w:r>
        <w:t>use</w:t>
      </w:r>
      <w:r w:rsidR="00767F18" w:rsidRPr="00D10697">
        <w:t>.</w:t>
      </w:r>
      <w:r w:rsidR="00832032" w:rsidRPr="00D10697">
        <w:rPr>
          <w:i/>
        </w:rPr>
        <w:t xml:space="preserve"> T. b. rhodesiense</w:t>
      </w:r>
      <w:r w:rsidR="00832032" w:rsidRPr="00D10697">
        <w:t xml:space="preserve"> HAT cases were defined as </w:t>
      </w:r>
      <w:r w:rsidRPr="00D10697">
        <w:t xml:space="preserve">positive by </w:t>
      </w:r>
      <w:r>
        <w:t xml:space="preserve">any of the </w:t>
      </w:r>
      <w:r w:rsidRPr="00D10697">
        <w:t xml:space="preserve">microscopy </w:t>
      </w:r>
      <w:r>
        <w:t xml:space="preserve">methods in </w:t>
      </w:r>
      <w:r w:rsidRPr="00D10697">
        <w:t xml:space="preserve">routine </w:t>
      </w:r>
      <w:r>
        <w:t>use</w:t>
      </w:r>
      <w:r w:rsidR="00832032" w:rsidRPr="00D10697">
        <w:t>.</w:t>
      </w:r>
      <w:r w:rsidR="00767F18" w:rsidRPr="00D10697">
        <w:t xml:space="preserve"> </w:t>
      </w:r>
      <w:r w:rsidR="00BF318C">
        <w:t>C</w:t>
      </w:r>
      <w:r w:rsidR="00767F18" w:rsidRPr="00D10697">
        <w:t>ontrols were negative by CATT</w:t>
      </w:r>
      <w:r w:rsidR="00832032" w:rsidRPr="00D10697">
        <w:t xml:space="preserve"> (for</w:t>
      </w:r>
      <w:r>
        <w:t xml:space="preserve"> samples collected in </w:t>
      </w:r>
      <w:r w:rsidR="00832032" w:rsidRPr="00D10697">
        <w:rPr>
          <w:i/>
        </w:rPr>
        <w:t>T. b. gambiense</w:t>
      </w:r>
      <w:r w:rsidR="00832032" w:rsidRPr="00D10697">
        <w:t xml:space="preserve"> endemic </w:t>
      </w:r>
      <w:r>
        <w:t>regions</w:t>
      </w:r>
      <w:r w:rsidR="00832032" w:rsidRPr="00D10697">
        <w:t>)</w:t>
      </w:r>
      <w:r w:rsidR="00767F18" w:rsidRPr="00D10697">
        <w:t xml:space="preserve"> and</w:t>
      </w:r>
      <w:r w:rsidR="00832032" w:rsidRPr="00D10697">
        <w:t xml:space="preserve"> by</w:t>
      </w:r>
      <w:r w:rsidR="00452167">
        <w:t xml:space="preserve"> microscopy.</w:t>
      </w:r>
    </w:p>
    <w:p w14:paraId="03554681" w14:textId="4A8F5DEA" w:rsidR="00976073" w:rsidRPr="005A16ED" w:rsidRDefault="00832032" w:rsidP="0095777F">
      <w:pPr>
        <w:spacing w:line="480" w:lineRule="auto"/>
        <w:jc w:val="both"/>
      </w:pPr>
      <w:r w:rsidRPr="00D10697">
        <w:t xml:space="preserve">For the </w:t>
      </w:r>
      <w:r w:rsidR="00567721" w:rsidRPr="00D10697">
        <w:t>first</w:t>
      </w:r>
      <w:r w:rsidRPr="00D10697">
        <w:t xml:space="preserve"> </w:t>
      </w:r>
      <w:r w:rsidR="00860CC8" w:rsidRPr="00D10697">
        <w:t xml:space="preserve">round </w:t>
      </w:r>
      <w:r w:rsidR="00860CC8">
        <w:t>of screening</w:t>
      </w:r>
      <w:r w:rsidR="00567721" w:rsidRPr="00D10697">
        <w:t xml:space="preserve">, </w:t>
      </w:r>
      <w:r w:rsidRPr="00D10697">
        <w:t>s</w:t>
      </w:r>
      <w:r w:rsidR="00093C1E" w:rsidRPr="00D10697">
        <w:t xml:space="preserve">erum samples from </w:t>
      </w:r>
      <w:r w:rsidRPr="00D10697">
        <w:t>4</w:t>
      </w:r>
      <w:r w:rsidR="00440362">
        <w:t>0</w:t>
      </w:r>
      <w:r w:rsidR="00093C1E" w:rsidRPr="00D10697">
        <w:t xml:space="preserve"> </w:t>
      </w:r>
      <w:r w:rsidRPr="00D10697">
        <w:rPr>
          <w:i/>
        </w:rPr>
        <w:t>T. b. gambiense</w:t>
      </w:r>
      <w:r w:rsidRPr="00D10697">
        <w:t xml:space="preserve"> HAT </w:t>
      </w:r>
      <w:r w:rsidR="00093C1E" w:rsidRPr="00D10697">
        <w:t>cases</w:t>
      </w:r>
      <w:r w:rsidR="0073252F">
        <w:t xml:space="preserve"> (collected between 2002 and 2004)</w:t>
      </w:r>
      <w:r w:rsidRPr="00D10697">
        <w:t xml:space="preserve"> </w:t>
      </w:r>
      <w:r w:rsidR="00093C1E" w:rsidRPr="00D10697">
        <w:t>and 60 controls</w:t>
      </w:r>
      <w:r w:rsidRPr="00D10697">
        <w:t xml:space="preserve"> </w:t>
      </w:r>
      <w:r w:rsidR="00440362">
        <w:t>(including 50</w:t>
      </w:r>
      <w:r w:rsidR="0073252F">
        <w:t xml:space="preserve"> samples</w:t>
      </w:r>
      <w:r w:rsidR="00440362">
        <w:t xml:space="preserve"> </w:t>
      </w:r>
      <w:r w:rsidR="0073252F">
        <w:t xml:space="preserve">collected in 2004 </w:t>
      </w:r>
      <w:r w:rsidR="00440362">
        <w:t xml:space="preserve">from HAT endemic regions and 10 from European donors) </w:t>
      </w:r>
      <w:r w:rsidR="00093C1E" w:rsidRPr="00D10697">
        <w:t>were supplied by the I</w:t>
      </w:r>
      <w:r w:rsidRPr="00D10697">
        <w:t>nstitute of Tropical Medicine (</w:t>
      </w:r>
      <w:r w:rsidR="00416ABD">
        <w:t xml:space="preserve">ITM, </w:t>
      </w:r>
      <w:r w:rsidR="00093C1E" w:rsidRPr="00D10697">
        <w:t>Antwerp,</w:t>
      </w:r>
      <w:r w:rsidR="006D7E9D" w:rsidRPr="00D10697">
        <w:t xml:space="preserve"> Belgium</w:t>
      </w:r>
      <w:r w:rsidRPr="00D10697">
        <w:t>)</w:t>
      </w:r>
      <w:r w:rsidR="00093C1E" w:rsidRPr="00D10697">
        <w:t>.</w:t>
      </w:r>
      <w:r w:rsidRPr="00D10697">
        <w:t xml:space="preserve"> Serum samples from 10 </w:t>
      </w:r>
      <w:r w:rsidRPr="00D10697">
        <w:rPr>
          <w:i/>
        </w:rPr>
        <w:t>T. b. rhodesiense</w:t>
      </w:r>
      <w:r w:rsidRPr="00D10697">
        <w:t xml:space="preserve"> HAT cases </w:t>
      </w:r>
      <w:r w:rsidR="0073252F">
        <w:t xml:space="preserve">collected </w:t>
      </w:r>
      <w:r w:rsidR="00BC6BE2">
        <w:t>between 1990 and 2003</w:t>
      </w:r>
      <w:r w:rsidR="0073252F">
        <w:t xml:space="preserve"> in Uganda </w:t>
      </w:r>
      <w:r w:rsidRPr="00D10697">
        <w:t>were supplied by the N</w:t>
      </w:r>
      <w:r w:rsidR="006D7E9D" w:rsidRPr="00D10697">
        <w:t>ational Livestock Resources Research Institute</w:t>
      </w:r>
      <w:r w:rsidR="000E08FF" w:rsidRPr="00D10697">
        <w:t xml:space="preserve"> (</w:t>
      </w:r>
      <w:r w:rsidR="00416ABD">
        <w:t xml:space="preserve">NALIRRI, </w:t>
      </w:r>
      <w:r w:rsidR="000E08FF" w:rsidRPr="00D10697">
        <w:t>Tororo,</w:t>
      </w:r>
      <w:r w:rsidR="006D7E9D" w:rsidRPr="00D10697">
        <w:t xml:space="preserve"> Uganda</w:t>
      </w:r>
      <w:r w:rsidR="000E08FF" w:rsidRPr="00D10697">
        <w:t>)</w:t>
      </w:r>
      <w:r w:rsidR="00BC6BE2">
        <w:t xml:space="preserve">; due to logistical </w:t>
      </w:r>
      <w:r w:rsidR="00706E67">
        <w:t>challenges</w:t>
      </w:r>
      <w:r w:rsidR="00BC6BE2">
        <w:t xml:space="preserve">, these samples were thawed during transport and arrived at </w:t>
      </w:r>
      <w:r w:rsidR="009D6BA4">
        <w:t xml:space="preserve">Microcoat at </w:t>
      </w:r>
      <w:r w:rsidR="00BC6BE2">
        <w:t>room temperature</w:t>
      </w:r>
      <w:r w:rsidRPr="00D10697">
        <w:t>.</w:t>
      </w:r>
      <w:r w:rsidR="00416ABD">
        <w:t xml:space="preserve"> </w:t>
      </w:r>
      <w:r w:rsidRPr="00D10697">
        <w:t xml:space="preserve">For the second round, </w:t>
      </w:r>
      <w:r w:rsidR="00C52327">
        <w:t>the same controls were used as in the first round</w:t>
      </w:r>
      <w:r w:rsidR="00416ABD">
        <w:t xml:space="preserve">, while NALIRRI supplied </w:t>
      </w:r>
      <w:r w:rsidR="00C52327">
        <w:t xml:space="preserve">new </w:t>
      </w:r>
      <w:r w:rsidR="00416ABD">
        <w:t xml:space="preserve">sera from </w:t>
      </w:r>
      <w:r w:rsidR="00954F09">
        <w:t>35</w:t>
      </w:r>
      <w:r w:rsidR="00D31309">
        <w:t xml:space="preserve"> </w:t>
      </w:r>
      <w:r w:rsidR="00D31309" w:rsidRPr="00D10697">
        <w:rPr>
          <w:i/>
        </w:rPr>
        <w:t>T. b. gambiense</w:t>
      </w:r>
      <w:r w:rsidR="00D31309" w:rsidRPr="00D10697">
        <w:t xml:space="preserve"> </w:t>
      </w:r>
      <w:r w:rsidR="00D31309">
        <w:t>HAT</w:t>
      </w:r>
      <w:r w:rsidR="00C52327">
        <w:t xml:space="preserve"> (collected in Uganda between 1998 and 2006</w:t>
      </w:r>
      <w:r w:rsidR="00F13CE8">
        <w:t>)</w:t>
      </w:r>
      <w:r w:rsidR="00D31309">
        <w:t xml:space="preserve"> and 2</w:t>
      </w:r>
      <w:r w:rsidR="00D31309" w:rsidRPr="00D10697">
        <w:t>0</w:t>
      </w:r>
      <w:r w:rsidR="00D31309">
        <w:t xml:space="preserve"> </w:t>
      </w:r>
      <w:r w:rsidR="00D31309" w:rsidRPr="00D10697">
        <w:rPr>
          <w:i/>
        </w:rPr>
        <w:t>T. b. rhodesiense</w:t>
      </w:r>
      <w:r w:rsidR="00D31309" w:rsidRPr="00D10697">
        <w:t xml:space="preserve"> HAT cases</w:t>
      </w:r>
      <w:r w:rsidR="00C52327">
        <w:t xml:space="preserve"> (collected in Uganda between 2003 and 2008)</w:t>
      </w:r>
      <w:r w:rsidR="00D31309" w:rsidRPr="00D10697">
        <w:t>.</w:t>
      </w:r>
      <w:r w:rsidR="00416ABD">
        <w:t xml:space="preserve"> </w:t>
      </w:r>
      <w:r w:rsidR="00C52327">
        <w:t xml:space="preserve">Western blot and probing with an anti-human IgG conjugate revealed that nine of the </w:t>
      </w:r>
      <w:r w:rsidR="00C52327" w:rsidRPr="00D10697">
        <w:rPr>
          <w:i/>
        </w:rPr>
        <w:t>T. b. gambiense</w:t>
      </w:r>
      <w:r w:rsidR="00C52327" w:rsidRPr="00D10697">
        <w:t xml:space="preserve"> </w:t>
      </w:r>
      <w:r w:rsidR="00C52327">
        <w:t xml:space="preserve">HAT samples that were obtained from NALIRRI for the </w:t>
      </w:r>
      <w:r w:rsidR="00DE1748">
        <w:t xml:space="preserve">second </w:t>
      </w:r>
      <w:r w:rsidR="00C52327">
        <w:t xml:space="preserve">round were </w:t>
      </w:r>
      <w:r w:rsidR="00BC03AB">
        <w:t>significantly</w:t>
      </w:r>
      <w:r w:rsidR="00DE1748">
        <w:t xml:space="preserve"> </w:t>
      </w:r>
      <w:r w:rsidR="00C52327">
        <w:t>degraded</w:t>
      </w:r>
      <w:r w:rsidR="009D6BA4">
        <w:t xml:space="preserve">, </w:t>
      </w:r>
      <w:r w:rsidR="00BD628B">
        <w:t xml:space="preserve">but these were </w:t>
      </w:r>
      <w:r w:rsidR="00487907">
        <w:t>kept in the study</w:t>
      </w:r>
      <w:r w:rsidR="005C5266">
        <w:t xml:space="preserve">. </w:t>
      </w:r>
      <w:r w:rsidR="00416ABD">
        <w:t>T</w:t>
      </w:r>
      <w:r w:rsidR="00DF3721">
        <w:t>he third round</w:t>
      </w:r>
      <w:r w:rsidR="00416ABD">
        <w:t xml:space="preserve"> of screening was carried out using </w:t>
      </w:r>
      <w:r w:rsidR="00DF3721">
        <w:t>serum samples</w:t>
      </w:r>
      <w:r w:rsidR="002C35AD">
        <w:t xml:space="preserve"> that were </w:t>
      </w:r>
      <w:r w:rsidR="002C35AD" w:rsidRPr="002C35AD">
        <w:t xml:space="preserve">collected </w:t>
      </w:r>
      <w:r w:rsidR="002C35AD">
        <w:t>in</w:t>
      </w:r>
      <w:r w:rsidR="002C35AD" w:rsidRPr="002C35AD">
        <w:t xml:space="preserve"> 2008</w:t>
      </w:r>
      <w:r w:rsidR="002C35AD">
        <w:t xml:space="preserve"> and 2009</w:t>
      </w:r>
      <w:r w:rsidR="00DF3721">
        <w:t xml:space="preserve"> from 150</w:t>
      </w:r>
      <w:r w:rsidR="00DF3721" w:rsidRPr="00D10697">
        <w:t xml:space="preserve"> </w:t>
      </w:r>
      <w:r w:rsidR="00DF3721" w:rsidRPr="00D10697">
        <w:rPr>
          <w:i/>
        </w:rPr>
        <w:t>T. b. gambiense</w:t>
      </w:r>
      <w:r w:rsidR="00DF3721" w:rsidRPr="00D10697">
        <w:t xml:space="preserve"> HAT cases</w:t>
      </w:r>
      <w:r w:rsidR="00DF3721">
        <w:t xml:space="preserve">, 33 </w:t>
      </w:r>
      <w:r w:rsidR="00DF3721" w:rsidRPr="00D10697">
        <w:rPr>
          <w:i/>
        </w:rPr>
        <w:t>T. b. rhodesiense</w:t>
      </w:r>
      <w:r w:rsidR="00DF3721">
        <w:t xml:space="preserve"> HAT cases</w:t>
      </w:r>
      <w:r w:rsidR="00DF3721" w:rsidRPr="00D10697">
        <w:t xml:space="preserve"> and </w:t>
      </w:r>
      <w:r w:rsidR="00DF3721">
        <w:t>1</w:t>
      </w:r>
      <w:r w:rsidR="00A84D4C">
        <w:t>43</w:t>
      </w:r>
      <w:r w:rsidR="00DF3721" w:rsidRPr="00D10697">
        <w:t xml:space="preserve"> </w:t>
      </w:r>
      <w:r w:rsidR="00416ABD" w:rsidRPr="00D10697">
        <w:t xml:space="preserve">controls </w:t>
      </w:r>
      <w:r w:rsidR="00416ABD">
        <w:t xml:space="preserve">from a </w:t>
      </w:r>
      <w:r w:rsidR="00A67330" w:rsidRPr="00A67330">
        <w:rPr>
          <w:i/>
        </w:rPr>
        <w:t>T. b. gambiense</w:t>
      </w:r>
      <w:r w:rsidR="00A67330" w:rsidRPr="00A67330">
        <w:t xml:space="preserve"> </w:t>
      </w:r>
      <w:r w:rsidR="00416ABD" w:rsidRPr="00D10697">
        <w:t xml:space="preserve">endemic </w:t>
      </w:r>
      <w:r w:rsidR="00416ABD">
        <w:t>region</w:t>
      </w:r>
      <w:r w:rsidR="002C35AD">
        <w:t>, which were</w:t>
      </w:r>
      <w:r w:rsidR="00416ABD">
        <w:t xml:space="preserve"> </w:t>
      </w:r>
      <w:r w:rsidR="00A67330">
        <w:t xml:space="preserve">obtained from the HAT </w:t>
      </w:r>
      <w:r w:rsidR="00A67330" w:rsidRPr="005A16ED">
        <w:t xml:space="preserve">Specimen Bank of </w:t>
      </w:r>
      <w:r w:rsidR="00DF3721" w:rsidRPr="005A16ED">
        <w:t xml:space="preserve">the </w:t>
      </w:r>
      <w:r w:rsidR="007B2D57" w:rsidRPr="005A16ED">
        <w:t>WHO</w:t>
      </w:r>
      <w:r w:rsidR="00A67330" w:rsidRPr="005A16ED">
        <w:t>.</w:t>
      </w:r>
    </w:p>
    <w:p w14:paraId="49A9BFBC" w14:textId="56006B3C" w:rsidR="007D557C" w:rsidRPr="005A16ED" w:rsidRDefault="0014356A" w:rsidP="0014356A">
      <w:pPr>
        <w:spacing w:line="480" w:lineRule="auto"/>
        <w:jc w:val="both"/>
      </w:pPr>
      <w:r w:rsidRPr="005A16ED">
        <w:t xml:space="preserve">Serum samples from </w:t>
      </w:r>
      <w:r w:rsidR="007D557C" w:rsidRPr="005A16ED">
        <w:t xml:space="preserve">the HAT Specimen Bank of the WHO </w:t>
      </w:r>
      <w:r w:rsidRPr="005A16ED">
        <w:t>were collected after approval</w:t>
      </w:r>
      <w:r w:rsidR="007D557C" w:rsidRPr="005A16ED">
        <w:t xml:space="preserve"> by the WHO Research Ethics Review Committee and written informed consent from all participants.</w:t>
      </w:r>
      <w:r w:rsidR="004B28D6" w:rsidRPr="005A16ED">
        <w:t xml:space="preserve"> </w:t>
      </w:r>
      <w:r w:rsidRPr="005A16ED">
        <w:t xml:space="preserve">The samples from HAT endemic countries </w:t>
      </w:r>
      <w:r w:rsidR="004B28D6" w:rsidRPr="005A16ED">
        <w:t xml:space="preserve">supplied by ITM were collected </w:t>
      </w:r>
      <w:r w:rsidR="005A16ED">
        <w:t xml:space="preserve">in 2004 </w:t>
      </w:r>
      <w:r w:rsidR="004B28D6" w:rsidRPr="005A16ED">
        <w:t xml:space="preserve">during routine </w:t>
      </w:r>
      <w:r w:rsidR="00D00BC1" w:rsidRPr="005A16ED">
        <w:t xml:space="preserve">screening of patients by </w:t>
      </w:r>
      <w:r w:rsidRPr="005A16ED">
        <w:t>the national HAT control prog</w:t>
      </w:r>
      <w:r w:rsidR="004B28D6" w:rsidRPr="005A16ED">
        <w:t>ram</w:t>
      </w:r>
      <w:r w:rsidRPr="005A16ED">
        <w:t>s</w:t>
      </w:r>
      <w:r w:rsidR="004B28D6" w:rsidRPr="005A16ED">
        <w:t xml:space="preserve"> of the Democratic Republic of the Congo </w:t>
      </w:r>
      <w:r w:rsidR="00870997">
        <w:t xml:space="preserve">(DRC) </w:t>
      </w:r>
      <w:r w:rsidR="004B28D6" w:rsidRPr="005A16ED">
        <w:t xml:space="preserve">and </w:t>
      </w:r>
      <w:r w:rsidRPr="005A16ED">
        <w:t xml:space="preserve">of </w:t>
      </w:r>
      <w:r w:rsidR="004B28D6" w:rsidRPr="005A16ED">
        <w:t>Benin</w:t>
      </w:r>
      <w:r w:rsidR="00D00BC1" w:rsidRPr="005A16ED">
        <w:t xml:space="preserve">, for which </w:t>
      </w:r>
      <w:r w:rsidR="004B28D6" w:rsidRPr="005A16ED">
        <w:t>ethical approval or informed consent</w:t>
      </w:r>
      <w:r w:rsidR="00D00BC1" w:rsidRPr="005A16ED">
        <w:t xml:space="preserve"> was not required</w:t>
      </w:r>
      <w:r w:rsidR="004B28D6" w:rsidRPr="005A16ED">
        <w:t xml:space="preserve">. The samples from European donors supplied by ITM were obtained </w:t>
      </w:r>
      <w:r w:rsidR="00405A53" w:rsidRPr="005A16ED">
        <w:t xml:space="preserve">in 2002 </w:t>
      </w:r>
      <w:r w:rsidR="004B28D6" w:rsidRPr="005A16ED">
        <w:t xml:space="preserve">from the Red Cross for development of an RDT, and no information about ethical clearance could be found. </w:t>
      </w:r>
      <w:r w:rsidRPr="005A16ED">
        <w:t xml:space="preserve">The samples from NALIRRI were collected in Uganda between 1990 and 2008, and </w:t>
      </w:r>
      <w:r w:rsidR="004B28D6" w:rsidRPr="005A16ED">
        <w:t xml:space="preserve">information about ethical approval </w:t>
      </w:r>
      <w:r w:rsidR="00D00BC1" w:rsidRPr="005A16ED">
        <w:t xml:space="preserve">for </w:t>
      </w:r>
      <w:r w:rsidR="004B28D6" w:rsidRPr="005A16ED">
        <w:t>the</w:t>
      </w:r>
      <w:r w:rsidRPr="005A16ED">
        <w:t>ir</w:t>
      </w:r>
      <w:r w:rsidR="004B28D6" w:rsidRPr="005A16ED">
        <w:t xml:space="preserve"> </w:t>
      </w:r>
      <w:r w:rsidRPr="005A16ED">
        <w:t>collection</w:t>
      </w:r>
      <w:r w:rsidR="00D00BC1" w:rsidRPr="005A16ED">
        <w:t xml:space="preserve"> could not be found</w:t>
      </w:r>
      <w:r w:rsidRPr="005A16ED">
        <w:t>.</w:t>
      </w:r>
    </w:p>
    <w:p w14:paraId="014FD326" w14:textId="77777777" w:rsidR="00EE52A6" w:rsidRPr="005C60AB" w:rsidRDefault="00EE52A6" w:rsidP="00752B12">
      <w:pPr>
        <w:spacing w:before="120" w:after="0" w:line="480" w:lineRule="auto"/>
        <w:jc w:val="both"/>
        <w:rPr>
          <w:sz w:val="32"/>
          <w:szCs w:val="32"/>
        </w:rPr>
      </w:pPr>
      <w:r w:rsidRPr="005A16ED">
        <w:rPr>
          <w:b/>
          <w:sz w:val="32"/>
          <w:szCs w:val="32"/>
        </w:rPr>
        <w:t>Slot blot</w:t>
      </w:r>
    </w:p>
    <w:p w14:paraId="6E640F20" w14:textId="5669A54B" w:rsidR="006E21B4" w:rsidRPr="00D10697" w:rsidRDefault="008348A3" w:rsidP="0095777F">
      <w:pPr>
        <w:spacing w:line="480" w:lineRule="auto"/>
        <w:jc w:val="both"/>
      </w:pPr>
      <w:r>
        <w:t>S</w:t>
      </w:r>
      <w:r w:rsidRPr="00233C50">
        <w:t>lot blot</w:t>
      </w:r>
      <w:r w:rsidR="008F6DA5">
        <w:t>ting</w:t>
      </w:r>
      <w:r w:rsidRPr="00233C50">
        <w:t xml:space="preserve"> was </w:t>
      </w:r>
      <w:r>
        <w:t xml:space="preserve">used to test the reactivity of antigens </w:t>
      </w:r>
      <w:r w:rsidRPr="00233C50">
        <w:t>as this method uses a matrix (nitrocellulose) that is close to the membrane of a</w:t>
      </w:r>
      <w:r w:rsidR="004A7FC1">
        <w:t>n</w:t>
      </w:r>
      <w:r w:rsidRPr="00233C50">
        <w:t xml:space="preserve"> RDT and is therefore expected to provide informat</w:t>
      </w:r>
      <w:r w:rsidRPr="008C6CB2">
        <w:t>ion that is directly related to the performance of an RDT.</w:t>
      </w:r>
      <w:r w:rsidR="004A7FC1">
        <w:t xml:space="preserve"> </w:t>
      </w:r>
      <w:r w:rsidR="00E91ECE" w:rsidRPr="00D10697">
        <w:t xml:space="preserve">One μg of each antigen was transferred onto a 0.2 μm nitrocellulose membrane (Protran BA 83, Schleicher &amp; Schüll) using a </w:t>
      </w:r>
      <w:r w:rsidR="00926FB8" w:rsidRPr="00D10697">
        <w:t>filtration manifold s</w:t>
      </w:r>
      <w:r w:rsidR="00F536F7" w:rsidRPr="00D10697">
        <w:t>ystem</w:t>
      </w:r>
      <w:r w:rsidR="00926FB8" w:rsidRPr="00D10697">
        <w:t xml:space="preserve"> (Whatman)</w:t>
      </w:r>
      <w:r w:rsidR="00E91ECE" w:rsidRPr="00D10697">
        <w:t xml:space="preserve">. </w:t>
      </w:r>
      <w:r w:rsidR="00926FB8" w:rsidRPr="00D10697">
        <w:t xml:space="preserve">The membrane was washed twice with </w:t>
      </w:r>
      <w:r w:rsidR="007B2D57">
        <w:t>T</w:t>
      </w:r>
      <w:r w:rsidR="00926FB8" w:rsidRPr="00D10697">
        <w:t xml:space="preserve">ris-buffered saline (TBS) </w:t>
      </w:r>
      <w:r w:rsidR="00F21C46">
        <w:t xml:space="preserve">pH 7.6 </w:t>
      </w:r>
      <w:r w:rsidR="00926FB8" w:rsidRPr="00D10697">
        <w:t>and</w:t>
      </w:r>
      <w:r w:rsidR="00E91ECE" w:rsidRPr="00D10697">
        <w:t xml:space="preserve"> </w:t>
      </w:r>
      <w:r w:rsidR="00926FB8" w:rsidRPr="00D10697">
        <w:t xml:space="preserve">incubated in blocking </w:t>
      </w:r>
      <w:r w:rsidR="006E21B4" w:rsidRPr="00D10697">
        <w:t>buffer</w:t>
      </w:r>
      <w:r w:rsidR="00926FB8" w:rsidRPr="00D10697">
        <w:t xml:space="preserve"> (TBS, </w:t>
      </w:r>
      <w:r w:rsidR="00F21C46">
        <w:t xml:space="preserve">1% </w:t>
      </w:r>
      <w:r w:rsidR="00926FB8" w:rsidRPr="00D10697">
        <w:t xml:space="preserve">PVP, </w:t>
      </w:r>
      <w:r w:rsidR="00F21C46">
        <w:t xml:space="preserve">0.1% </w:t>
      </w:r>
      <w:r w:rsidR="00926FB8" w:rsidRPr="00D10697">
        <w:t>Tween</w:t>
      </w:r>
      <w:r w:rsidR="00E91D62">
        <w:t xml:space="preserve"> </w:t>
      </w:r>
      <w:r w:rsidR="00926FB8" w:rsidRPr="00D10697">
        <w:t xml:space="preserve">20, </w:t>
      </w:r>
      <w:r w:rsidR="00F21C46">
        <w:t xml:space="preserve">5% </w:t>
      </w:r>
      <w:r w:rsidR="00E91D62">
        <w:t>bovine serum albumin</w:t>
      </w:r>
      <w:r w:rsidR="00926FB8" w:rsidRPr="00D10697">
        <w:t>) for 1.5 hours at room temperature</w:t>
      </w:r>
      <w:r w:rsidR="00E91ECE" w:rsidRPr="00D10697">
        <w:t>.</w:t>
      </w:r>
      <w:r w:rsidR="00926FB8" w:rsidRPr="00D10697">
        <w:t xml:space="preserve"> The serum sample was diluted 1:250 in phosphate buffered saline (PBS) supplemented with </w:t>
      </w:r>
      <w:r w:rsidR="008F7DA3" w:rsidRPr="00D10697">
        <w:t xml:space="preserve">5 mg/ml </w:t>
      </w:r>
      <w:r w:rsidR="00926FB8" w:rsidRPr="00D10697">
        <w:rPr>
          <w:i/>
        </w:rPr>
        <w:t>E</w:t>
      </w:r>
      <w:r w:rsidR="00C945AC">
        <w:rPr>
          <w:i/>
        </w:rPr>
        <w:t xml:space="preserve">. </w:t>
      </w:r>
      <w:r w:rsidR="00926FB8" w:rsidRPr="00D10697">
        <w:rPr>
          <w:i/>
        </w:rPr>
        <w:t>coli</w:t>
      </w:r>
      <w:r w:rsidR="00926FB8" w:rsidRPr="00D10697">
        <w:t xml:space="preserve"> lysate and </w:t>
      </w:r>
      <w:r w:rsidR="00C945AC">
        <w:t xml:space="preserve">left to stand </w:t>
      </w:r>
      <w:r w:rsidR="00926FB8" w:rsidRPr="00D10697">
        <w:t>for</w:t>
      </w:r>
      <w:r w:rsidR="008F7DA3" w:rsidRPr="00D10697">
        <w:t xml:space="preserve"> 30 minutes (</w:t>
      </w:r>
      <w:r w:rsidR="00926FB8" w:rsidRPr="00D10697">
        <w:t>15 minutes</w:t>
      </w:r>
      <w:r w:rsidR="008F7DA3" w:rsidRPr="00D10697">
        <w:t xml:space="preserve"> in the first </w:t>
      </w:r>
      <w:r w:rsidR="009D6BA4" w:rsidRPr="00D10697">
        <w:t xml:space="preserve">round </w:t>
      </w:r>
      <w:r w:rsidR="009D6BA4">
        <w:t xml:space="preserve">of </w:t>
      </w:r>
      <w:r w:rsidR="007549F9">
        <w:t>screening</w:t>
      </w:r>
      <w:r w:rsidR="008F7DA3" w:rsidRPr="00D10697">
        <w:t>)</w:t>
      </w:r>
      <w:r w:rsidR="00926FB8" w:rsidRPr="00D10697">
        <w:t xml:space="preserve"> at room temperature. The membrane was then incubated with th</w:t>
      </w:r>
      <w:r w:rsidR="00C945AC">
        <w:t xml:space="preserve">e </w:t>
      </w:r>
      <w:r w:rsidR="00926FB8" w:rsidRPr="00D10697">
        <w:t xml:space="preserve">diluted </w:t>
      </w:r>
      <w:r w:rsidR="0080671F">
        <w:t xml:space="preserve">serum </w:t>
      </w:r>
      <w:r w:rsidR="00926FB8" w:rsidRPr="00D10697">
        <w:t>for 1 hour at room temperature</w:t>
      </w:r>
      <w:r w:rsidR="0080671F">
        <w:t xml:space="preserve">, and washed </w:t>
      </w:r>
      <w:r w:rsidR="00926FB8" w:rsidRPr="00D10697">
        <w:t>3 times for 5 minutes in TBS</w:t>
      </w:r>
      <w:r w:rsidR="00B862AE" w:rsidRPr="00D10697">
        <w:t>-</w:t>
      </w:r>
      <w:r w:rsidR="00926FB8" w:rsidRPr="00D10697">
        <w:t>T</w:t>
      </w:r>
      <w:r w:rsidR="00B862AE" w:rsidRPr="00D10697">
        <w:t xml:space="preserve"> (TBS supplemented with 0.1% Tween 20)</w:t>
      </w:r>
      <w:r w:rsidR="0080671F">
        <w:t xml:space="preserve">. This was followed by </w:t>
      </w:r>
      <w:r w:rsidR="006E21B4" w:rsidRPr="00D10697">
        <w:t>incubat</w:t>
      </w:r>
      <w:r w:rsidR="0080671F">
        <w:t>ion f</w:t>
      </w:r>
      <w:r w:rsidR="006E21B4" w:rsidRPr="00D10697">
        <w:t>or 30 minutes at room temperature with a</w:t>
      </w:r>
      <w:r w:rsidR="00F21C46">
        <w:t xml:space="preserve"> goat anti-</w:t>
      </w:r>
      <w:r w:rsidR="00BC55EF" w:rsidRPr="00D10697">
        <w:t>human IgG</w:t>
      </w:r>
      <w:r w:rsidR="00F21C46">
        <w:t xml:space="preserve"> (Jackson Immuno Research Nr. 109-036-098)</w:t>
      </w:r>
      <w:r w:rsidR="00BC55EF" w:rsidRPr="00D10697">
        <w:t xml:space="preserve"> or IgM</w:t>
      </w:r>
      <w:r w:rsidR="00F21C46">
        <w:t xml:space="preserve"> (Jackson Immuno Research Nr. 109-035-129) </w:t>
      </w:r>
      <w:r w:rsidR="006E21B4" w:rsidRPr="00D10697">
        <w:t>horseradish peroxidase</w:t>
      </w:r>
      <w:r w:rsidR="00BC55EF" w:rsidRPr="00D10697">
        <w:t xml:space="preserve"> (HRP)</w:t>
      </w:r>
      <w:r w:rsidR="006E21B4" w:rsidRPr="00D10697">
        <w:t xml:space="preserve"> conjugate</w:t>
      </w:r>
      <w:r w:rsidR="00A53D85" w:rsidRPr="00D10697">
        <w:t xml:space="preserve"> </w:t>
      </w:r>
      <w:r w:rsidR="006E21B4" w:rsidRPr="00D10697">
        <w:t xml:space="preserve">diluted </w:t>
      </w:r>
      <w:r w:rsidR="00A53D85" w:rsidRPr="00D10697">
        <w:t>at 0.01 µg/ml (0.02 µg/ml in the first round</w:t>
      </w:r>
      <w:r w:rsidR="0080671F">
        <w:t xml:space="preserve"> of screening</w:t>
      </w:r>
      <w:r w:rsidR="00A53D85" w:rsidRPr="00D10697">
        <w:t xml:space="preserve">) </w:t>
      </w:r>
      <w:r w:rsidR="006E21B4" w:rsidRPr="00D10697">
        <w:t xml:space="preserve">in blocking buffer. </w:t>
      </w:r>
      <w:r w:rsidR="0080671F">
        <w:t xml:space="preserve">It </w:t>
      </w:r>
      <w:r w:rsidR="00B73057" w:rsidRPr="00D10697">
        <w:t>was then washed 3 times for 5 minutes in TBS-T and 3 times for 5 minutes in</w:t>
      </w:r>
      <w:r w:rsidR="0080671F">
        <w:t xml:space="preserve"> water</w:t>
      </w:r>
      <w:r w:rsidR="00B73057" w:rsidRPr="00D10697">
        <w:t>. Finally, the membrane was incubated for 3 minutes at 21°C with</w:t>
      </w:r>
      <w:r w:rsidR="001577C6">
        <w:t xml:space="preserve"> precipitating</w:t>
      </w:r>
      <w:r w:rsidR="00B73057" w:rsidRPr="00D10697">
        <w:t xml:space="preserve"> </w:t>
      </w:r>
      <w:r w:rsidR="007701DA" w:rsidRPr="00D10697">
        <w:t>tetramethylbenzidine</w:t>
      </w:r>
      <w:r w:rsidR="00BC55EF" w:rsidRPr="00D10697">
        <w:t xml:space="preserve"> (TM</w:t>
      </w:r>
      <w:r w:rsidR="001577C6">
        <w:t>B</w:t>
      </w:r>
      <w:r w:rsidR="00BC55EF" w:rsidRPr="00D10697">
        <w:t>)</w:t>
      </w:r>
      <w:r w:rsidR="007701DA" w:rsidRPr="00D10697">
        <w:t xml:space="preserve"> </w:t>
      </w:r>
      <w:r w:rsidR="00B73057" w:rsidRPr="00D10697">
        <w:t>(Sigma)</w:t>
      </w:r>
      <w:r w:rsidR="00A61E64" w:rsidRPr="00D10697">
        <w:t xml:space="preserve"> and</w:t>
      </w:r>
      <w:r w:rsidR="00536A55" w:rsidRPr="00D10697">
        <w:t xml:space="preserve"> washed with </w:t>
      </w:r>
      <w:r w:rsidR="0080671F">
        <w:t>water</w:t>
      </w:r>
      <w:r w:rsidR="00A61E64" w:rsidRPr="00D10697">
        <w:t xml:space="preserve">. </w:t>
      </w:r>
      <w:r w:rsidR="0080671F">
        <w:t xml:space="preserve">The resulting reaction bands were analysed in duplicate using a </w:t>
      </w:r>
      <w:r w:rsidR="00A61E64" w:rsidRPr="00D10697">
        <w:t>flatbed scanner and the Tina 2.09 soft</w:t>
      </w:r>
      <w:r w:rsidR="007701DA" w:rsidRPr="00D10697">
        <w:t>ware, and the ratio of the densitometric value</w:t>
      </w:r>
      <w:r w:rsidR="008F7DA3" w:rsidRPr="00D10697">
        <w:t xml:space="preserve"> (optical density/mm</w:t>
      </w:r>
      <w:r w:rsidR="008F7DA3" w:rsidRPr="00D10697">
        <w:rPr>
          <w:vertAlign w:val="superscript"/>
        </w:rPr>
        <w:t>2</w:t>
      </w:r>
      <w:r w:rsidR="008F7DA3" w:rsidRPr="00D10697">
        <w:t>)</w:t>
      </w:r>
      <w:r w:rsidR="007701DA" w:rsidRPr="00D10697">
        <w:t xml:space="preserve"> of each reactive band to </w:t>
      </w:r>
      <w:r w:rsidR="00410ADA">
        <w:t>the</w:t>
      </w:r>
      <w:r w:rsidR="00410ADA" w:rsidRPr="00D10697">
        <w:t xml:space="preserve"> </w:t>
      </w:r>
      <w:r w:rsidR="007701DA" w:rsidRPr="00D10697">
        <w:t>background calculated.</w:t>
      </w:r>
      <w:r w:rsidR="00F13CE8">
        <w:t xml:space="preserve"> The three rounds of testing </w:t>
      </w:r>
      <w:r w:rsidR="005D1DCC">
        <w:t>were performed in 2007, 2008 and 2009, respectively.</w:t>
      </w:r>
    </w:p>
    <w:p w14:paraId="0FA532EB" w14:textId="77777777" w:rsidR="00EE52A6" w:rsidRPr="005C60AB" w:rsidRDefault="00EE52A6" w:rsidP="00752B12">
      <w:pPr>
        <w:spacing w:before="120" w:after="0" w:line="480" w:lineRule="auto"/>
        <w:jc w:val="both"/>
        <w:rPr>
          <w:b/>
          <w:sz w:val="32"/>
          <w:szCs w:val="32"/>
        </w:rPr>
      </w:pPr>
      <w:r w:rsidRPr="005C60AB">
        <w:rPr>
          <w:b/>
          <w:sz w:val="32"/>
          <w:szCs w:val="32"/>
        </w:rPr>
        <w:t>ELISA</w:t>
      </w:r>
    </w:p>
    <w:p w14:paraId="4F9F1CCA" w14:textId="5016D0F4" w:rsidR="008F7DA3" w:rsidRDefault="004A7FC1" w:rsidP="0095777F">
      <w:pPr>
        <w:spacing w:line="480" w:lineRule="auto"/>
        <w:jc w:val="both"/>
      </w:pPr>
      <w:r>
        <w:t xml:space="preserve">In addition to slot blot, </w:t>
      </w:r>
      <w:r w:rsidR="008348A3">
        <w:t xml:space="preserve">ELISA </w:t>
      </w:r>
      <w:r w:rsidR="008348A3" w:rsidRPr="00233C50">
        <w:t xml:space="preserve">testing was included as this method is more suitable </w:t>
      </w:r>
      <w:r w:rsidR="009D6BA4">
        <w:t>in</w:t>
      </w:r>
      <w:r w:rsidR="009D6BA4" w:rsidRPr="00233C50">
        <w:t xml:space="preserve"> </w:t>
      </w:r>
      <w:r w:rsidR="008348A3" w:rsidRPr="00233C50">
        <w:t>pro</w:t>
      </w:r>
      <w:r>
        <w:t>vid</w:t>
      </w:r>
      <w:r w:rsidR="009D6BA4">
        <w:t>ing</w:t>
      </w:r>
      <w:r>
        <w:t xml:space="preserve"> accurate quantitative data</w:t>
      </w:r>
      <w:r w:rsidR="008348A3" w:rsidRPr="008C6CB2">
        <w:t>.</w:t>
      </w:r>
      <w:r>
        <w:t xml:space="preserve"> </w:t>
      </w:r>
      <w:r w:rsidR="008F7DA3" w:rsidRPr="00D10697">
        <w:t>Polystyrene microplates (N</w:t>
      </w:r>
      <w:r w:rsidR="00C622E4" w:rsidRPr="00D10697">
        <w:t>unc</w:t>
      </w:r>
      <w:r w:rsidR="008F7DA3" w:rsidRPr="00D10697">
        <w:t xml:space="preserve"> Maxi</w:t>
      </w:r>
      <w:r w:rsidR="00C622E4" w:rsidRPr="00D10697">
        <w:t>S</w:t>
      </w:r>
      <w:r w:rsidR="008F7DA3" w:rsidRPr="00D10697">
        <w:t xml:space="preserve">orp) were coated </w:t>
      </w:r>
      <w:r w:rsidR="00C622E4" w:rsidRPr="00D10697">
        <w:t>by adding 120</w:t>
      </w:r>
      <w:r w:rsidR="00E91D62">
        <w:t xml:space="preserve"> </w:t>
      </w:r>
      <w:r w:rsidR="00C622E4" w:rsidRPr="00D10697">
        <w:t>µl of antigen at a concentration of</w:t>
      </w:r>
      <w:r w:rsidR="008F7DA3" w:rsidRPr="00D10697">
        <w:t xml:space="preserve"> 10</w:t>
      </w:r>
      <w:r w:rsidR="00E91D62">
        <w:t xml:space="preserve"> </w:t>
      </w:r>
      <w:r w:rsidR="00BC55EF" w:rsidRPr="00D10697">
        <w:t>µ</w:t>
      </w:r>
      <w:r w:rsidR="008F7DA3" w:rsidRPr="00D10697">
        <w:t xml:space="preserve">g/ml </w:t>
      </w:r>
      <w:r w:rsidR="00410ADA">
        <w:t>in</w:t>
      </w:r>
      <w:r w:rsidR="00410ADA" w:rsidRPr="00D10697">
        <w:t xml:space="preserve">to each well </w:t>
      </w:r>
      <w:r w:rsidR="00C622E4" w:rsidRPr="00D10697">
        <w:t>and incubating</w:t>
      </w:r>
      <w:r w:rsidR="008F7DA3" w:rsidRPr="00D10697">
        <w:t xml:space="preserve"> for 16 hours at 20°C without shaking.</w:t>
      </w:r>
      <w:r w:rsidR="00BC55EF" w:rsidRPr="00D10697">
        <w:t xml:space="preserve"> </w:t>
      </w:r>
      <w:r w:rsidR="00410ADA">
        <w:t xml:space="preserve">They were then washed </w:t>
      </w:r>
      <w:r w:rsidR="00C622E4" w:rsidRPr="00D10697">
        <w:t>with PBS</w:t>
      </w:r>
      <w:r w:rsidR="00410ADA">
        <w:t xml:space="preserve"> and</w:t>
      </w:r>
      <w:r w:rsidR="00BC55EF" w:rsidRPr="00D10697">
        <w:t xml:space="preserve"> incubat</w:t>
      </w:r>
      <w:r w:rsidR="00C622E4" w:rsidRPr="00D10697">
        <w:t>ed with blocking buffer (2.5% bovine serum albumin, 2.5% casein</w:t>
      </w:r>
      <w:r w:rsidR="001577C6">
        <w:t xml:space="preserve"> in PBS</w:t>
      </w:r>
      <w:r w:rsidR="00C622E4" w:rsidRPr="00D10697">
        <w:t xml:space="preserve">) </w:t>
      </w:r>
      <w:r w:rsidR="00BC55EF" w:rsidRPr="00D10697">
        <w:t xml:space="preserve">for </w:t>
      </w:r>
      <w:r w:rsidR="00C622E4" w:rsidRPr="00D10697">
        <w:t>1</w:t>
      </w:r>
      <w:r w:rsidR="00BC55EF" w:rsidRPr="00D10697">
        <w:t xml:space="preserve"> hour at </w:t>
      </w:r>
      <w:r w:rsidR="00C622E4" w:rsidRPr="00D10697">
        <w:t>room temperature with shaking. After pre</w:t>
      </w:r>
      <w:r w:rsidR="0072416A" w:rsidRPr="00D10697">
        <w:t>-</w:t>
      </w:r>
      <w:r w:rsidR="00C622E4" w:rsidRPr="00D10697">
        <w:t>incubating</w:t>
      </w:r>
      <w:r w:rsidR="00B862AE" w:rsidRPr="00D10697">
        <w:t xml:space="preserve"> with </w:t>
      </w:r>
      <w:r w:rsidR="00B862AE" w:rsidRPr="00D10697">
        <w:rPr>
          <w:i/>
        </w:rPr>
        <w:t>E. coli</w:t>
      </w:r>
      <w:r w:rsidR="00B862AE" w:rsidRPr="00D10697">
        <w:t xml:space="preserve"> lysate as described above,</w:t>
      </w:r>
      <w:r w:rsidR="00C622E4" w:rsidRPr="00D10697">
        <w:t xml:space="preserve"> 100</w:t>
      </w:r>
      <w:r w:rsidR="00E91D62">
        <w:t xml:space="preserve"> </w:t>
      </w:r>
      <w:r w:rsidR="0072416A" w:rsidRPr="00D10697">
        <w:t>µ</w:t>
      </w:r>
      <w:r w:rsidR="00C622E4" w:rsidRPr="00D10697">
        <w:t xml:space="preserve">l of </w:t>
      </w:r>
      <w:r w:rsidR="00410ADA">
        <w:t xml:space="preserve">a </w:t>
      </w:r>
      <w:r w:rsidR="00C622E4" w:rsidRPr="00D10697">
        <w:t xml:space="preserve">serum sample diluted 1:250 in PBS was added </w:t>
      </w:r>
      <w:r w:rsidR="00B862AE" w:rsidRPr="00D10697">
        <w:t xml:space="preserve">and incubated for 1 hour at room temperature with shaking. </w:t>
      </w:r>
      <w:r w:rsidR="00410ADA">
        <w:t xml:space="preserve">The plates were washed </w:t>
      </w:r>
      <w:r w:rsidR="00B862AE" w:rsidRPr="00D10697">
        <w:t xml:space="preserve">three times with 300 µl/well of TBS-T, </w:t>
      </w:r>
      <w:r w:rsidR="00410ADA">
        <w:t xml:space="preserve">then </w:t>
      </w:r>
      <w:r w:rsidR="00B862AE" w:rsidRPr="00D10697">
        <w:t xml:space="preserve">100 µl of </w:t>
      </w:r>
      <w:r w:rsidR="00F21C46">
        <w:t>anti-</w:t>
      </w:r>
      <w:r w:rsidR="00B862AE" w:rsidRPr="00D10697">
        <w:t>human IgG</w:t>
      </w:r>
      <w:r w:rsidR="00F21C46">
        <w:t xml:space="preserve"> </w:t>
      </w:r>
      <w:r w:rsidR="00B862AE" w:rsidRPr="00D10697">
        <w:t xml:space="preserve">HRP </w:t>
      </w:r>
      <w:r w:rsidR="00F21C46">
        <w:t xml:space="preserve">conjugate </w:t>
      </w:r>
      <w:r w:rsidR="00B862AE" w:rsidRPr="00D10697">
        <w:t xml:space="preserve">diluted 1:160,000 in blocking buffer was added and incubated for 30 minutes at room temperature with shaking. </w:t>
      </w:r>
      <w:r w:rsidR="00410ADA">
        <w:t xml:space="preserve">This was followed by three rounds of </w:t>
      </w:r>
      <w:r w:rsidR="00B862AE" w:rsidRPr="00D10697">
        <w:t xml:space="preserve">washing with </w:t>
      </w:r>
      <w:r w:rsidR="00410ADA" w:rsidRPr="00D10697">
        <w:t xml:space="preserve">TBS-T </w:t>
      </w:r>
      <w:r w:rsidR="00410ADA">
        <w:t xml:space="preserve">at </w:t>
      </w:r>
      <w:r w:rsidR="00B862AE" w:rsidRPr="00D10697">
        <w:t>300</w:t>
      </w:r>
      <w:r w:rsidR="00E91D62">
        <w:t xml:space="preserve"> </w:t>
      </w:r>
      <w:r w:rsidR="00B862AE" w:rsidRPr="00D10697">
        <w:t>µl/well</w:t>
      </w:r>
      <w:r w:rsidR="00410ADA">
        <w:t xml:space="preserve">, then </w:t>
      </w:r>
      <w:r w:rsidR="00B862AE" w:rsidRPr="00D10697">
        <w:t>100</w:t>
      </w:r>
      <w:r w:rsidR="00E91D62">
        <w:t xml:space="preserve"> </w:t>
      </w:r>
      <w:r w:rsidR="0072416A" w:rsidRPr="00D10697">
        <w:t>µ</w:t>
      </w:r>
      <w:r w:rsidR="00B862AE" w:rsidRPr="00D10697">
        <w:t>l of TMB was added and incubated for 10 minutes at room temperature with shaking. The reaction was stopped by adding 50</w:t>
      </w:r>
      <w:r w:rsidR="00E91D62">
        <w:t xml:space="preserve"> </w:t>
      </w:r>
      <w:r w:rsidR="0072416A" w:rsidRPr="00D10697">
        <w:t>µ</w:t>
      </w:r>
      <w:r w:rsidR="00B862AE" w:rsidRPr="00D10697">
        <w:t>l of 1M H</w:t>
      </w:r>
      <w:r w:rsidR="00B862AE" w:rsidRPr="00D10697">
        <w:rPr>
          <w:vertAlign w:val="subscript"/>
        </w:rPr>
        <w:t>2</w:t>
      </w:r>
      <w:r w:rsidR="00B862AE" w:rsidRPr="00D10697">
        <w:t>SO</w:t>
      </w:r>
      <w:r w:rsidR="00B862AE" w:rsidRPr="00D10697">
        <w:rPr>
          <w:vertAlign w:val="subscript"/>
        </w:rPr>
        <w:t>4</w:t>
      </w:r>
      <w:r w:rsidR="00B862AE" w:rsidRPr="00D10697">
        <w:t xml:space="preserve"> and incubating for 1 minute at room temperature with shaking.</w:t>
      </w:r>
      <w:r w:rsidR="0072416A" w:rsidRPr="00D10697">
        <w:t xml:space="preserve"> </w:t>
      </w:r>
      <w:r w:rsidR="007C5F90">
        <w:t>The o</w:t>
      </w:r>
      <w:r w:rsidR="0072416A" w:rsidRPr="00D10697">
        <w:t xml:space="preserve">ptical density was measured at 450 and 690 nm. </w:t>
      </w:r>
      <w:r w:rsidR="007C5F90">
        <w:t>The</w:t>
      </w:r>
      <w:r w:rsidR="007C5F90" w:rsidRPr="00D10697">
        <w:t xml:space="preserve"> </w:t>
      </w:r>
      <w:r w:rsidR="00BC55EF" w:rsidRPr="00D10697">
        <w:t xml:space="preserve">antigens were evaluated </w:t>
      </w:r>
      <w:r w:rsidR="007C5F90">
        <w:t xml:space="preserve">based on the </w:t>
      </w:r>
      <w:r w:rsidR="00BC55EF" w:rsidRPr="00D10697">
        <w:t xml:space="preserve">absolute </w:t>
      </w:r>
      <w:r w:rsidR="007C5F90">
        <w:t xml:space="preserve">value of the </w:t>
      </w:r>
      <w:r w:rsidR="00BC55EF" w:rsidRPr="00D10697">
        <w:t>signal as long as the signal to noise ratio was above 5</w:t>
      </w:r>
      <w:r w:rsidR="007F01B5">
        <w:t>:1</w:t>
      </w:r>
      <w:r w:rsidR="008A1E85">
        <w:t>, and otherwise were recorded as having no reactivity</w:t>
      </w:r>
      <w:r w:rsidR="00BC55EF" w:rsidRPr="00D10697">
        <w:t>.</w:t>
      </w:r>
    </w:p>
    <w:p w14:paraId="26204CCC" w14:textId="77777777" w:rsidR="00DF525C" w:rsidRPr="005C60AB" w:rsidRDefault="007253B2" w:rsidP="00752B12">
      <w:pPr>
        <w:spacing w:before="120" w:after="0" w:line="480" w:lineRule="auto"/>
        <w:jc w:val="both"/>
        <w:rPr>
          <w:b/>
          <w:sz w:val="32"/>
          <w:szCs w:val="32"/>
        </w:rPr>
      </w:pPr>
      <w:r w:rsidRPr="005C60AB">
        <w:rPr>
          <w:b/>
          <w:sz w:val="32"/>
          <w:szCs w:val="32"/>
        </w:rPr>
        <w:t>Data analysis</w:t>
      </w:r>
    </w:p>
    <w:p w14:paraId="402EF8AA" w14:textId="2A25D909" w:rsidR="00DF525C" w:rsidRDefault="007C5F90" w:rsidP="0095777F">
      <w:pPr>
        <w:spacing w:line="480" w:lineRule="auto"/>
        <w:jc w:val="both"/>
      </w:pPr>
      <w:r>
        <w:t>An individual cut</w:t>
      </w:r>
      <w:r w:rsidR="003B3080">
        <w:t>-</w:t>
      </w:r>
      <w:r>
        <w:t>off f</w:t>
      </w:r>
      <w:r w:rsidR="00DF525C">
        <w:t>or each antigen and for each method (slot blot or ELISA) was calculated as the mean value obtained using all the control sera plus two standard deviations.</w:t>
      </w:r>
      <w:r w:rsidR="00CE2954">
        <w:t xml:space="preserve"> </w:t>
      </w:r>
      <w:r w:rsidR="006207A2">
        <w:t>T</w:t>
      </w:r>
      <w:r w:rsidR="00CE2954">
        <w:t xml:space="preserve">he reactivity of each antigen was expressed as </w:t>
      </w:r>
      <w:r w:rsidR="006207A2">
        <w:t xml:space="preserve">the </w:t>
      </w:r>
      <w:r w:rsidR="00CE2954">
        <w:t>percentage</w:t>
      </w:r>
      <w:r w:rsidR="006207A2">
        <w:t xml:space="preserve"> of samples from HAT cases for which the value was above the cut-off</w:t>
      </w:r>
      <w:r w:rsidR="00CE2954">
        <w:t>.</w:t>
      </w:r>
      <w:r w:rsidR="00B34265">
        <w:t xml:space="preserve"> Antigens were analyzed in duplicate, and </w:t>
      </w:r>
      <w:r w:rsidR="009D6BA4">
        <w:t>the mean value recorded</w:t>
      </w:r>
      <w:r w:rsidR="00B34265">
        <w:t>.</w:t>
      </w:r>
      <w:r w:rsidR="00176C91">
        <w:t xml:space="preserve"> </w:t>
      </w:r>
      <w:r w:rsidR="00202723">
        <w:t xml:space="preserve">In addition, </w:t>
      </w:r>
      <w:r w:rsidR="00176C91" w:rsidRPr="00176C91">
        <w:t xml:space="preserve">Receiver Operating Characteristic </w:t>
      </w:r>
      <w:r w:rsidR="00176C91">
        <w:t>(ROC) analysis was performed using the MedCalc statistical software (MedCalc Software bvba)</w:t>
      </w:r>
      <w:r w:rsidR="00202723">
        <w:t xml:space="preserve"> to compute the sensitivity and specificity of each antigen by varying the cut-off.</w:t>
      </w:r>
      <w:r w:rsidR="003942E1">
        <w:t xml:space="preserve"> Youden’s index was calculated to evaluate accuracy [</w:t>
      </w:r>
      <w:r w:rsidR="0074071B">
        <w:t>3</w:t>
      </w:r>
      <w:r w:rsidR="00247491">
        <w:t>8</w:t>
      </w:r>
      <w:r w:rsidR="003942E1">
        <w:t>].</w:t>
      </w:r>
    </w:p>
    <w:p w14:paraId="65066154" w14:textId="77777777" w:rsidR="00CE2954" w:rsidRDefault="00CE2954" w:rsidP="0095777F">
      <w:pPr>
        <w:spacing w:line="480" w:lineRule="auto"/>
        <w:jc w:val="both"/>
        <w:rPr>
          <w:b/>
          <w:sz w:val="24"/>
          <w:szCs w:val="24"/>
        </w:rPr>
      </w:pPr>
    </w:p>
    <w:p w14:paraId="40D0CFF9" w14:textId="77777777" w:rsidR="00EE52A6" w:rsidRPr="005C60AB" w:rsidRDefault="00EE52A6" w:rsidP="0095777F">
      <w:pPr>
        <w:spacing w:line="480" w:lineRule="auto"/>
        <w:jc w:val="both"/>
        <w:rPr>
          <w:b/>
          <w:sz w:val="36"/>
          <w:szCs w:val="36"/>
        </w:rPr>
      </w:pPr>
      <w:r w:rsidRPr="005C60AB">
        <w:rPr>
          <w:b/>
          <w:sz w:val="36"/>
          <w:szCs w:val="36"/>
        </w:rPr>
        <w:t>Results</w:t>
      </w:r>
    </w:p>
    <w:p w14:paraId="25C751FC" w14:textId="6DBAFEC9" w:rsidR="00070B00" w:rsidRDefault="009F67E6" w:rsidP="0095777F">
      <w:pPr>
        <w:tabs>
          <w:tab w:val="left" w:pos="6750"/>
        </w:tabs>
        <w:spacing w:line="480" w:lineRule="auto"/>
        <w:jc w:val="both"/>
      </w:pPr>
      <w:r>
        <w:t xml:space="preserve">The </w:t>
      </w:r>
      <w:r w:rsidR="0085524C">
        <w:t>r</w:t>
      </w:r>
      <w:r w:rsidR="00CE2954">
        <w:t xml:space="preserve">eactivity of </w:t>
      </w:r>
      <w:r w:rsidR="00520EC9">
        <w:t xml:space="preserve">32 </w:t>
      </w:r>
      <w:r w:rsidR="00CE2954">
        <w:t>antigens against</w:t>
      </w:r>
      <w:r w:rsidR="0085524C">
        <w:t xml:space="preserve"> IgG and IgM in samples from HAT cases </w:t>
      </w:r>
      <w:r w:rsidR="00CE2954">
        <w:t>was evaluated by slot</w:t>
      </w:r>
      <w:r w:rsidR="0085524C">
        <w:t xml:space="preserve"> </w:t>
      </w:r>
      <w:r w:rsidR="00CE2954">
        <w:t>blot</w:t>
      </w:r>
      <w:r w:rsidR="008F6DA5">
        <w:t>ting</w:t>
      </w:r>
      <w:r>
        <w:t xml:space="preserve"> in the first round of screening (Fig 1)</w:t>
      </w:r>
      <w:r w:rsidR="00CE2954">
        <w:t xml:space="preserve">. </w:t>
      </w:r>
      <w:r>
        <w:t>The</w:t>
      </w:r>
      <w:r w:rsidR="009D6BA4">
        <w:t>re was a significant difference in the</w:t>
      </w:r>
      <w:r>
        <w:t xml:space="preserve"> IgG and IgM reactivity </w:t>
      </w:r>
      <w:r w:rsidR="009D6BA4">
        <w:t xml:space="preserve">of </w:t>
      </w:r>
      <w:r w:rsidR="00070B00">
        <w:t xml:space="preserve">samples from </w:t>
      </w:r>
      <w:r w:rsidR="00070B00" w:rsidRPr="00070B00">
        <w:rPr>
          <w:i/>
        </w:rPr>
        <w:t>T.</w:t>
      </w:r>
      <w:r w:rsidR="005C2D44">
        <w:rPr>
          <w:i/>
        </w:rPr>
        <w:t xml:space="preserve"> </w:t>
      </w:r>
      <w:r w:rsidR="00070B00" w:rsidRPr="00070B00">
        <w:rPr>
          <w:i/>
        </w:rPr>
        <w:t>b. gambiense</w:t>
      </w:r>
      <w:r w:rsidR="00070B00">
        <w:t xml:space="preserve"> cases</w:t>
      </w:r>
      <w:r w:rsidR="00D01693">
        <w:t xml:space="preserve">. While </w:t>
      </w:r>
      <w:r w:rsidR="000C56D4">
        <w:t xml:space="preserve">the </w:t>
      </w:r>
      <w:r w:rsidR="00D01693">
        <w:t xml:space="preserve">three </w:t>
      </w:r>
      <w:r w:rsidR="000C56D4">
        <w:t xml:space="preserve">most reactive </w:t>
      </w:r>
      <w:r w:rsidR="00D01693">
        <w:t xml:space="preserve">antigens </w:t>
      </w:r>
      <w:r w:rsidR="000C56D4">
        <w:t xml:space="preserve">to IgG </w:t>
      </w:r>
      <w:r w:rsidR="00D01693">
        <w:t>were ISG64 (100%), ISG6</w:t>
      </w:r>
      <w:r w:rsidR="000C56D4">
        <w:t>5</w:t>
      </w:r>
      <w:r w:rsidR="00D01693">
        <w:t xml:space="preserve"> (100%)</w:t>
      </w:r>
      <w:r w:rsidR="00F91BB9">
        <w:t xml:space="preserve"> </w:t>
      </w:r>
      <w:r w:rsidR="00D01693">
        <w:t xml:space="preserve">and VSG </w:t>
      </w:r>
      <w:r w:rsidR="000C56D4">
        <w:t xml:space="preserve">LiTat </w:t>
      </w:r>
      <w:r w:rsidR="00D01693">
        <w:t xml:space="preserve">1.3 (100%), </w:t>
      </w:r>
      <w:r w:rsidR="000C56D4">
        <w:t xml:space="preserve">IgM reactivity was highest to </w:t>
      </w:r>
      <w:r w:rsidR="00D01693">
        <w:t xml:space="preserve">GSTP1 (90%), </w:t>
      </w:r>
      <w:r w:rsidR="000C56D4">
        <w:t xml:space="preserve">ALD </w:t>
      </w:r>
      <w:r w:rsidR="00D01693">
        <w:t xml:space="preserve">(85%) and </w:t>
      </w:r>
      <w:r w:rsidR="000C56D4">
        <w:t xml:space="preserve">Rad51-4 </w:t>
      </w:r>
      <w:r w:rsidR="00D01693">
        <w:t xml:space="preserve">(85%). </w:t>
      </w:r>
      <w:r w:rsidR="00070B00">
        <w:t>T</w:t>
      </w:r>
      <w:r w:rsidR="00D61C1B">
        <w:t>he three antigens that performed best with IgG (100%) only ranked</w:t>
      </w:r>
      <w:r w:rsidR="00070B00">
        <w:t xml:space="preserve"> 9</w:t>
      </w:r>
      <w:r w:rsidR="00070B00" w:rsidRPr="00070B00">
        <w:rPr>
          <w:vertAlign w:val="superscript"/>
        </w:rPr>
        <w:t>th</w:t>
      </w:r>
      <w:r w:rsidR="00070B00">
        <w:t>, 19</w:t>
      </w:r>
      <w:r w:rsidR="00070B00" w:rsidRPr="00070B00">
        <w:rPr>
          <w:vertAlign w:val="superscript"/>
        </w:rPr>
        <w:t>th</w:t>
      </w:r>
      <w:r w:rsidR="00070B00">
        <w:t xml:space="preserve"> and 28</w:t>
      </w:r>
      <w:r w:rsidR="00070B00" w:rsidRPr="00070B00">
        <w:rPr>
          <w:vertAlign w:val="superscript"/>
        </w:rPr>
        <w:t>th</w:t>
      </w:r>
      <w:r w:rsidR="00070B00">
        <w:t xml:space="preserve"> with IgM.</w:t>
      </w:r>
      <w:r w:rsidR="00D61C1B">
        <w:t xml:space="preserve"> </w:t>
      </w:r>
      <w:r w:rsidR="000C56D4">
        <w:t xml:space="preserve">When the </w:t>
      </w:r>
      <w:r w:rsidR="007B2D57">
        <w:t xml:space="preserve">14 </w:t>
      </w:r>
      <w:r w:rsidR="000C56D4">
        <w:t>best antigens were compared</w:t>
      </w:r>
      <w:r w:rsidR="009D6BA4">
        <w:t>,</w:t>
      </w:r>
      <w:r w:rsidR="000C56D4">
        <w:t xml:space="preserve"> t</w:t>
      </w:r>
      <w:r w:rsidR="00D61C1B">
        <w:t>he</w:t>
      </w:r>
      <w:r w:rsidR="00D01693">
        <w:t xml:space="preserve"> percentage </w:t>
      </w:r>
      <w:r w:rsidR="000C56D4">
        <w:t xml:space="preserve">reactivity </w:t>
      </w:r>
      <w:r w:rsidR="00D01693">
        <w:t>was higher with IgG than with IgM</w:t>
      </w:r>
      <w:r w:rsidR="00D61C1B">
        <w:t xml:space="preserve"> (9% higher on average).</w:t>
      </w:r>
    </w:p>
    <w:p w14:paraId="6AA0F1CF" w14:textId="77777777" w:rsidR="00BA3C0B" w:rsidRDefault="00BA3C0B" w:rsidP="0095777F">
      <w:pPr>
        <w:tabs>
          <w:tab w:val="left" w:pos="6750"/>
        </w:tabs>
        <w:spacing w:line="480" w:lineRule="auto"/>
        <w:jc w:val="both"/>
      </w:pPr>
    </w:p>
    <w:p w14:paraId="3B69740E" w14:textId="77777777" w:rsidR="00BA3C0B" w:rsidRDefault="00BA3C0B" w:rsidP="00BA3C0B">
      <w:pPr>
        <w:spacing w:line="480" w:lineRule="auto"/>
        <w:jc w:val="both"/>
        <w:rPr>
          <w:rFonts w:cs="Arial"/>
          <w:lang w:val="en-GB"/>
        </w:rPr>
      </w:pPr>
      <w:r w:rsidRPr="00BA3C0B">
        <w:rPr>
          <w:rFonts w:cs="Arial"/>
          <w:b/>
          <w:lang w:val="en-GB"/>
        </w:rPr>
        <w:t xml:space="preserve">Fig 1. Percentage IgG (A) and IgM (B) reactivity of 32 antigens on sera from </w:t>
      </w:r>
      <w:r w:rsidRPr="00BA3C0B">
        <w:rPr>
          <w:rFonts w:cs="Arial"/>
          <w:b/>
          <w:i/>
          <w:lang w:val="en-GB"/>
        </w:rPr>
        <w:t>T. b. gambiense</w:t>
      </w:r>
      <w:r w:rsidRPr="00BA3C0B">
        <w:rPr>
          <w:rFonts w:cs="Arial"/>
          <w:b/>
          <w:lang w:val="en-GB"/>
        </w:rPr>
        <w:t xml:space="preserve"> HAT cases (N=40) assessed by slot blot (first round of screening).</w:t>
      </w:r>
      <w:r w:rsidRPr="00BA3C0B">
        <w:rPr>
          <w:rFonts w:cs="Arial"/>
          <w:lang w:val="en-GB"/>
        </w:rPr>
        <w:t xml:space="preserve"> Antigens are shown in descending order of reactivity. Antigens marked with an asterisk (*) were only partially soluble.</w:t>
      </w:r>
    </w:p>
    <w:p w14:paraId="57961F77" w14:textId="77777777" w:rsidR="00BA3C0B" w:rsidRPr="00BA3C0B" w:rsidRDefault="00BA3C0B" w:rsidP="00BA3C0B">
      <w:pPr>
        <w:spacing w:line="480" w:lineRule="auto"/>
        <w:jc w:val="both"/>
        <w:rPr>
          <w:rFonts w:cs="Arial"/>
          <w:lang w:val="en-GB"/>
        </w:rPr>
      </w:pPr>
    </w:p>
    <w:p w14:paraId="35420507" w14:textId="7912B125" w:rsidR="00CE2954" w:rsidRPr="00CE2954" w:rsidRDefault="000C56D4" w:rsidP="0095777F">
      <w:pPr>
        <w:spacing w:line="480" w:lineRule="auto"/>
        <w:jc w:val="both"/>
      </w:pPr>
      <w:r>
        <w:t>The r</w:t>
      </w:r>
      <w:r w:rsidR="00070B00">
        <w:t xml:space="preserve">esults </w:t>
      </w:r>
      <w:r>
        <w:t xml:space="preserve">of testing the antigens on </w:t>
      </w:r>
      <w:r w:rsidR="00070B00" w:rsidRPr="00070B00">
        <w:rPr>
          <w:i/>
        </w:rPr>
        <w:t>T.</w:t>
      </w:r>
      <w:r w:rsidR="005C2D44">
        <w:rPr>
          <w:i/>
        </w:rPr>
        <w:t xml:space="preserve"> </w:t>
      </w:r>
      <w:r w:rsidR="00070B00" w:rsidRPr="00070B00">
        <w:rPr>
          <w:i/>
        </w:rPr>
        <w:t>b. rhodesiense</w:t>
      </w:r>
      <w:r w:rsidR="00070B00">
        <w:t xml:space="preserve"> </w:t>
      </w:r>
      <w:r>
        <w:t xml:space="preserve">HAT samples </w:t>
      </w:r>
      <w:r w:rsidR="00070B00">
        <w:t xml:space="preserve">are shown in </w:t>
      </w:r>
      <w:r w:rsidR="002F6CB3">
        <w:t xml:space="preserve">Fig </w:t>
      </w:r>
      <w:r w:rsidR="00A94A28">
        <w:t>2</w:t>
      </w:r>
      <w:r w:rsidR="00070B00">
        <w:t xml:space="preserve">. </w:t>
      </w:r>
      <w:r>
        <w:t>T</w:t>
      </w:r>
      <w:r w:rsidR="00070B00">
        <w:t xml:space="preserve">wo </w:t>
      </w:r>
      <w:r>
        <w:t xml:space="preserve">of the </w:t>
      </w:r>
      <w:r w:rsidR="00070B00">
        <w:t xml:space="preserve">antigens </w:t>
      </w:r>
      <w:r w:rsidR="007D40BC">
        <w:t xml:space="preserve">that performed best in </w:t>
      </w:r>
      <w:r>
        <w:t xml:space="preserve">reactivity to </w:t>
      </w:r>
      <w:r w:rsidR="00070B00">
        <w:t xml:space="preserve">either IgG or IgM </w:t>
      </w:r>
      <w:r w:rsidR="007549F9">
        <w:t xml:space="preserve">(ISG64 and ISG65, and GSTP1 and ALD, respectively) </w:t>
      </w:r>
      <w:r w:rsidR="00070B00">
        <w:t xml:space="preserve">were </w:t>
      </w:r>
      <w:r w:rsidR="007D40BC">
        <w:t xml:space="preserve">also the best on </w:t>
      </w:r>
      <w:r w:rsidR="00070B00" w:rsidRPr="00070B00">
        <w:rPr>
          <w:i/>
        </w:rPr>
        <w:t>T.</w:t>
      </w:r>
      <w:r w:rsidR="005C2D44">
        <w:rPr>
          <w:i/>
        </w:rPr>
        <w:t xml:space="preserve"> </w:t>
      </w:r>
      <w:r w:rsidR="00070B00" w:rsidRPr="00070B00">
        <w:rPr>
          <w:i/>
        </w:rPr>
        <w:t>b. gambiense</w:t>
      </w:r>
      <w:r w:rsidR="00070B00">
        <w:t xml:space="preserve"> </w:t>
      </w:r>
      <w:r w:rsidR="007D40BC">
        <w:t>HAT samples</w:t>
      </w:r>
      <w:r w:rsidR="007549F9">
        <w:t>.</w:t>
      </w:r>
      <w:r w:rsidR="007D40BC">
        <w:t xml:space="preserve"> </w:t>
      </w:r>
      <w:r w:rsidR="00081F84">
        <w:t xml:space="preserve">The </w:t>
      </w:r>
      <w:r w:rsidR="007D40BC">
        <w:t xml:space="preserve">performance </w:t>
      </w:r>
      <w:r w:rsidR="00081F84">
        <w:t xml:space="preserve">of </w:t>
      </w:r>
      <w:r w:rsidR="007549F9">
        <w:t>other</w:t>
      </w:r>
      <w:r w:rsidR="00070B00">
        <w:t xml:space="preserve"> less reactive antigens</w:t>
      </w:r>
      <w:r w:rsidR="00081F84">
        <w:t xml:space="preserve"> exhibited some differences when </w:t>
      </w:r>
      <w:r w:rsidR="007D40BC">
        <w:t>the results of the t</w:t>
      </w:r>
      <w:r w:rsidR="00081F84">
        <w:t xml:space="preserve">wo sets of HAT </w:t>
      </w:r>
      <w:r w:rsidR="007D40BC">
        <w:t>sera were compared</w:t>
      </w:r>
      <w:r w:rsidR="00081F84">
        <w:t xml:space="preserve">, although the overall ranking was quite similar. </w:t>
      </w:r>
      <w:r w:rsidR="00F91BB9">
        <w:t>T</w:t>
      </w:r>
      <w:r w:rsidR="00081F84">
        <w:t xml:space="preserve">he reactivity was </w:t>
      </w:r>
      <w:r w:rsidR="007214C4">
        <w:t xml:space="preserve">on average higher with </w:t>
      </w:r>
      <w:r w:rsidR="007214C4" w:rsidRPr="007214C4">
        <w:rPr>
          <w:i/>
        </w:rPr>
        <w:t>T.</w:t>
      </w:r>
      <w:r w:rsidR="005C2D44">
        <w:rPr>
          <w:i/>
        </w:rPr>
        <w:t xml:space="preserve"> </w:t>
      </w:r>
      <w:r w:rsidR="007214C4" w:rsidRPr="007214C4">
        <w:rPr>
          <w:i/>
        </w:rPr>
        <w:t>b. gambiense</w:t>
      </w:r>
      <w:r w:rsidR="007214C4">
        <w:t xml:space="preserve"> than with </w:t>
      </w:r>
      <w:r w:rsidR="007214C4" w:rsidRPr="00F91BB9">
        <w:rPr>
          <w:i/>
        </w:rPr>
        <w:t>T.</w:t>
      </w:r>
      <w:r w:rsidR="005C2D44">
        <w:rPr>
          <w:i/>
        </w:rPr>
        <w:t xml:space="preserve"> </w:t>
      </w:r>
      <w:r w:rsidR="007214C4" w:rsidRPr="00F91BB9">
        <w:rPr>
          <w:i/>
        </w:rPr>
        <w:t>b. rhodesiense</w:t>
      </w:r>
      <w:r w:rsidR="007214C4">
        <w:t xml:space="preserve"> </w:t>
      </w:r>
      <w:r w:rsidR="007D40BC">
        <w:t xml:space="preserve">HAT samples </w:t>
      </w:r>
      <w:r w:rsidR="007214C4">
        <w:t>(by 5.1% and 2.7% with IgG and IgM, respectively).</w:t>
      </w:r>
    </w:p>
    <w:p w14:paraId="40C7AD7E" w14:textId="77777777" w:rsidR="00313200" w:rsidRDefault="00313200" w:rsidP="0095777F">
      <w:pPr>
        <w:spacing w:line="480" w:lineRule="auto"/>
        <w:jc w:val="both"/>
        <w:rPr>
          <w:rFonts w:cs="Arial"/>
          <w:b/>
          <w:lang w:val="en-GB"/>
        </w:rPr>
      </w:pPr>
    </w:p>
    <w:p w14:paraId="1F806D2A" w14:textId="2AD273E6" w:rsidR="009376ED" w:rsidRDefault="009376ED" w:rsidP="009376ED">
      <w:pPr>
        <w:spacing w:line="480" w:lineRule="auto"/>
        <w:jc w:val="both"/>
        <w:rPr>
          <w:rFonts w:cs="Arial"/>
          <w:lang w:val="en-GB"/>
        </w:rPr>
      </w:pPr>
      <w:r w:rsidRPr="00BA3C0B">
        <w:rPr>
          <w:rFonts w:cs="Arial"/>
          <w:b/>
          <w:lang w:val="en-GB"/>
        </w:rPr>
        <w:t xml:space="preserve">Fig </w:t>
      </w:r>
      <w:r>
        <w:rPr>
          <w:rFonts w:cs="Arial"/>
          <w:b/>
          <w:lang w:val="en-GB"/>
        </w:rPr>
        <w:t>2</w:t>
      </w:r>
      <w:r w:rsidRPr="00E41890">
        <w:rPr>
          <w:rFonts w:cs="Arial"/>
          <w:b/>
          <w:lang w:val="en-GB"/>
        </w:rPr>
        <w:t>. Percentage IgG</w:t>
      </w:r>
      <w:r w:rsidR="00BF5026">
        <w:rPr>
          <w:rFonts w:cs="Arial"/>
          <w:b/>
          <w:lang w:val="en-GB"/>
        </w:rPr>
        <w:t xml:space="preserve"> (A)</w:t>
      </w:r>
      <w:r w:rsidRPr="00E41890">
        <w:rPr>
          <w:rFonts w:cs="Arial"/>
          <w:b/>
          <w:lang w:val="en-GB"/>
        </w:rPr>
        <w:t xml:space="preserve"> and IgM </w:t>
      </w:r>
      <w:r w:rsidR="00BF5026">
        <w:rPr>
          <w:rFonts w:cs="Arial"/>
          <w:b/>
          <w:lang w:val="en-GB"/>
        </w:rPr>
        <w:t xml:space="preserve">(B) </w:t>
      </w:r>
      <w:r w:rsidRPr="00E41890">
        <w:rPr>
          <w:rFonts w:cs="Arial"/>
          <w:b/>
          <w:lang w:val="en-GB"/>
        </w:rPr>
        <w:t xml:space="preserve">reactivity of 32 antigens on sera from </w:t>
      </w:r>
      <w:r w:rsidRPr="00E41890">
        <w:rPr>
          <w:rFonts w:cs="Arial"/>
          <w:b/>
          <w:i/>
          <w:lang w:val="en-GB"/>
        </w:rPr>
        <w:t>T. b. rhodesiense</w:t>
      </w:r>
      <w:r w:rsidRPr="00E41890">
        <w:rPr>
          <w:rFonts w:cs="Arial"/>
          <w:b/>
          <w:lang w:val="en-GB"/>
        </w:rPr>
        <w:t xml:space="preserve"> HAT cases (N=10) assessed by slot blot (first round of screening).</w:t>
      </w:r>
      <w:r w:rsidRPr="00BA3C0B">
        <w:rPr>
          <w:rFonts w:cs="Arial"/>
          <w:lang w:val="en-GB"/>
        </w:rPr>
        <w:t xml:space="preserve"> Antigens are shown in descending order of reactivity. Antigens marked with an asterisk (*) were only partially soluble.</w:t>
      </w:r>
    </w:p>
    <w:p w14:paraId="58C3566C" w14:textId="77777777" w:rsidR="0045764B" w:rsidRPr="00E41890" w:rsidRDefault="0045764B" w:rsidP="00E41890">
      <w:pPr>
        <w:spacing w:line="480" w:lineRule="auto"/>
        <w:jc w:val="both"/>
        <w:rPr>
          <w:rFonts w:cs="Arial"/>
          <w:b/>
          <w:lang w:val="en-GB"/>
        </w:rPr>
      </w:pPr>
    </w:p>
    <w:p w14:paraId="58D753CF" w14:textId="6052965D" w:rsidR="0045764B" w:rsidRDefault="00433E86" w:rsidP="0095777F">
      <w:pPr>
        <w:spacing w:line="480" w:lineRule="auto"/>
        <w:jc w:val="both"/>
      </w:pPr>
      <w:r>
        <w:t xml:space="preserve">A </w:t>
      </w:r>
      <w:r w:rsidR="007549F9">
        <w:t>new</w:t>
      </w:r>
      <w:r w:rsidR="008F6DA5">
        <w:t xml:space="preserve"> </w:t>
      </w:r>
      <w:r w:rsidR="007549F9">
        <w:t>set</w:t>
      </w:r>
      <w:r w:rsidR="008F6DA5">
        <w:t xml:space="preserve"> </w:t>
      </w:r>
      <w:r>
        <w:t>of 18</w:t>
      </w:r>
      <w:r w:rsidR="00520EC9" w:rsidRPr="00155764">
        <w:t xml:space="preserve"> antigens </w:t>
      </w:r>
      <w:r w:rsidR="00E73AD0">
        <w:t>was</w:t>
      </w:r>
      <w:r w:rsidR="00E73AD0" w:rsidRPr="00155764">
        <w:t xml:space="preserve"> </w:t>
      </w:r>
      <w:r w:rsidR="00520EC9" w:rsidRPr="00155764">
        <w:t xml:space="preserve">included in the second round of </w:t>
      </w:r>
      <w:r w:rsidR="007D40BC">
        <w:t>screening</w:t>
      </w:r>
      <w:r w:rsidR="00520EC9" w:rsidRPr="00155764">
        <w:t>.</w:t>
      </w:r>
      <w:r w:rsidR="002751E5" w:rsidRPr="00155764">
        <w:t xml:space="preserve"> </w:t>
      </w:r>
      <w:r>
        <w:t>These included 14 that in the first round</w:t>
      </w:r>
      <w:r w:rsidRPr="00155764">
        <w:t xml:space="preserve"> </w:t>
      </w:r>
      <w:r>
        <w:t>of screening</w:t>
      </w:r>
      <w:r w:rsidRPr="00155764">
        <w:t xml:space="preserve"> </w:t>
      </w:r>
      <w:r>
        <w:t>had an</w:t>
      </w:r>
      <w:r w:rsidRPr="00155764">
        <w:t xml:space="preserve"> </w:t>
      </w:r>
      <w:r w:rsidR="00520EC9" w:rsidRPr="00155764">
        <w:t xml:space="preserve">IgG </w:t>
      </w:r>
      <w:r w:rsidR="002751E5" w:rsidRPr="00155764">
        <w:t xml:space="preserve">reactivity </w:t>
      </w:r>
      <w:r>
        <w:t>higher</w:t>
      </w:r>
      <w:r w:rsidR="002751E5" w:rsidRPr="00155764">
        <w:t xml:space="preserve"> than 50% </w:t>
      </w:r>
      <w:r w:rsidR="007549F9">
        <w:t>on</w:t>
      </w:r>
      <w:r w:rsidR="005A5093" w:rsidRPr="00155764">
        <w:t xml:space="preserve"> </w:t>
      </w:r>
      <w:r w:rsidR="002751E5" w:rsidRPr="00155764">
        <w:t>patient sera</w:t>
      </w:r>
      <w:r>
        <w:t>, and 4 that were only partially soluble in the first round</w:t>
      </w:r>
      <w:r w:rsidR="007549F9">
        <w:t xml:space="preserve"> of screening</w:t>
      </w:r>
      <w:r>
        <w:t>.</w:t>
      </w:r>
      <w:r w:rsidR="002751E5" w:rsidRPr="00155764">
        <w:t xml:space="preserve"> </w:t>
      </w:r>
      <w:r>
        <w:t xml:space="preserve">As the </w:t>
      </w:r>
      <w:r w:rsidR="00CA3B69">
        <w:t xml:space="preserve">IgG </w:t>
      </w:r>
      <w:r>
        <w:t xml:space="preserve">reactivity to </w:t>
      </w:r>
      <w:r>
        <w:rPr>
          <w:i/>
        </w:rPr>
        <w:t>T.</w:t>
      </w:r>
      <w:r w:rsidR="00E73AD0">
        <w:rPr>
          <w:i/>
        </w:rPr>
        <w:t xml:space="preserve"> </w:t>
      </w:r>
      <w:r>
        <w:rPr>
          <w:i/>
        </w:rPr>
        <w:t>b.</w:t>
      </w:r>
      <w:r w:rsidR="009C04F9">
        <w:rPr>
          <w:i/>
        </w:rPr>
        <w:t xml:space="preserve"> gambiense</w:t>
      </w:r>
      <w:r w:rsidR="009C04F9">
        <w:t xml:space="preserve"> sera </w:t>
      </w:r>
      <w:r w:rsidR="007549F9">
        <w:t xml:space="preserve">in the first round of screening </w:t>
      </w:r>
      <w:r w:rsidR="009C04F9">
        <w:t>was higher</w:t>
      </w:r>
      <w:r w:rsidR="00CA3B69">
        <w:t xml:space="preserve"> than IgM </w:t>
      </w:r>
      <w:r w:rsidR="009C04F9">
        <w:t>reactivity</w:t>
      </w:r>
      <w:r w:rsidR="00CA3B69">
        <w:t xml:space="preserve">, and </w:t>
      </w:r>
      <w:r w:rsidR="005A5093">
        <w:t xml:space="preserve">given </w:t>
      </w:r>
      <w:r w:rsidR="00CA3B69">
        <w:t xml:space="preserve">that IgG molecules are more stable and therefore more suitable for developing a diagnostic test than IgM, </w:t>
      </w:r>
      <w:r w:rsidR="009C04F9">
        <w:t xml:space="preserve">subsequent </w:t>
      </w:r>
      <w:r w:rsidR="00CA3B69">
        <w:t>round</w:t>
      </w:r>
      <w:r w:rsidR="009C04F9">
        <w:t xml:space="preserve">s of screening </w:t>
      </w:r>
      <w:r w:rsidR="00CA3B69">
        <w:t>included</w:t>
      </w:r>
      <w:r w:rsidR="007549F9">
        <w:t xml:space="preserve"> testing for</w:t>
      </w:r>
      <w:r w:rsidR="00CA3B69">
        <w:t xml:space="preserve"> IgG</w:t>
      </w:r>
      <w:r w:rsidR="007549F9">
        <w:t xml:space="preserve"> only</w:t>
      </w:r>
      <w:r w:rsidR="008348A3">
        <w:t xml:space="preserve">. It was also assumed that </w:t>
      </w:r>
      <w:r w:rsidR="007549F9">
        <w:t xml:space="preserve">detection of </w:t>
      </w:r>
      <w:r w:rsidR="008348A3">
        <w:t xml:space="preserve">IgG would be more suitable </w:t>
      </w:r>
      <w:r w:rsidR="007549F9">
        <w:t xml:space="preserve">in </w:t>
      </w:r>
      <w:r w:rsidR="008348A3">
        <w:t>screen</w:t>
      </w:r>
      <w:r w:rsidR="007549F9">
        <w:t>ing</w:t>
      </w:r>
      <w:r w:rsidR="008348A3">
        <w:t xml:space="preserve"> </w:t>
      </w:r>
      <w:r w:rsidR="008348A3" w:rsidRPr="008348A3">
        <w:t>for</w:t>
      </w:r>
      <w:r w:rsidR="008348A3" w:rsidRPr="004A7FC1">
        <w:rPr>
          <w:i/>
        </w:rPr>
        <w:t xml:space="preserve"> T.</w:t>
      </w:r>
      <w:r w:rsidR="008348A3">
        <w:rPr>
          <w:i/>
        </w:rPr>
        <w:t xml:space="preserve"> </w:t>
      </w:r>
      <w:r w:rsidR="008348A3" w:rsidRPr="004A7FC1">
        <w:rPr>
          <w:i/>
        </w:rPr>
        <w:t>b. gambiense</w:t>
      </w:r>
      <w:r w:rsidR="008348A3">
        <w:t xml:space="preserve"> HAT due to the chronic nature of this form of the disease. </w:t>
      </w:r>
      <w:r w:rsidR="002C35AD">
        <w:t xml:space="preserve">In addition to slot blots, antigens were also screened by ELISA in </w:t>
      </w:r>
      <w:r w:rsidR="005A5093">
        <w:t>this</w:t>
      </w:r>
      <w:r w:rsidR="007F01B5">
        <w:t xml:space="preserve"> second</w:t>
      </w:r>
      <w:r w:rsidR="005A5093">
        <w:t xml:space="preserve"> round</w:t>
      </w:r>
      <w:r w:rsidR="009C04F9">
        <w:t xml:space="preserve"> </w:t>
      </w:r>
      <w:r w:rsidR="002C35AD">
        <w:t xml:space="preserve">in order to </w:t>
      </w:r>
      <w:r w:rsidR="00870997">
        <w:t>generate</w:t>
      </w:r>
      <w:r w:rsidR="002C35AD">
        <w:t xml:space="preserve"> quantitative results.</w:t>
      </w:r>
    </w:p>
    <w:p w14:paraId="57B71F96" w14:textId="72BB863E" w:rsidR="00081BD9" w:rsidRDefault="009C04F9" w:rsidP="0095777F">
      <w:pPr>
        <w:spacing w:line="480" w:lineRule="auto"/>
        <w:jc w:val="both"/>
      </w:pPr>
      <w:r>
        <w:t xml:space="preserve">The reactivity of antigens to </w:t>
      </w:r>
      <w:r w:rsidR="003F6223" w:rsidRPr="003F6223">
        <w:rPr>
          <w:i/>
        </w:rPr>
        <w:t>T.</w:t>
      </w:r>
      <w:r w:rsidR="005C2D44">
        <w:rPr>
          <w:i/>
        </w:rPr>
        <w:t xml:space="preserve"> </w:t>
      </w:r>
      <w:r w:rsidR="003F6223" w:rsidRPr="003F6223">
        <w:rPr>
          <w:i/>
        </w:rPr>
        <w:t>b. gambiense</w:t>
      </w:r>
      <w:r w:rsidR="003F6223">
        <w:t xml:space="preserve"> </w:t>
      </w:r>
      <w:r>
        <w:t>sera</w:t>
      </w:r>
      <w:r w:rsidR="003F6223">
        <w:t xml:space="preserve"> </w:t>
      </w:r>
      <w:r w:rsidR="00081BD9">
        <w:t xml:space="preserve">was </w:t>
      </w:r>
      <w:r w:rsidR="00E73AD0">
        <w:t xml:space="preserve">higher </w:t>
      </w:r>
      <w:r w:rsidR="005A5093">
        <w:t xml:space="preserve">using </w:t>
      </w:r>
      <w:r>
        <w:t xml:space="preserve">ELISA (Fig </w:t>
      </w:r>
      <w:r w:rsidR="002F6CB3">
        <w:t>3B</w:t>
      </w:r>
      <w:r>
        <w:t xml:space="preserve">) than </w:t>
      </w:r>
      <w:r w:rsidR="00081BD9">
        <w:t xml:space="preserve">by slot blot (Fig </w:t>
      </w:r>
      <w:r w:rsidR="002F6CB3">
        <w:t>3A</w:t>
      </w:r>
      <w:r w:rsidR="00081BD9">
        <w:t>)</w:t>
      </w:r>
      <w:r w:rsidR="0051708D">
        <w:t>, with an average difference of 14%</w:t>
      </w:r>
      <w:r w:rsidR="00081BD9">
        <w:t>.</w:t>
      </w:r>
      <w:r w:rsidR="00081BD9" w:rsidRPr="00081BD9">
        <w:t xml:space="preserve"> </w:t>
      </w:r>
      <w:r w:rsidR="00081BD9">
        <w:t xml:space="preserve">The three best antigens </w:t>
      </w:r>
      <w:r>
        <w:t xml:space="preserve">with both methods </w:t>
      </w:r>
      <w:r w:rsidR="00081BD9">
        <w:t xml:space="preserve">were VSG </w:t>
      </w:r>
      <w:r>
        <w:t xml:space="preserve">LiTat </w:t>
      </w:r>
      <w:r w:rsidR="00081BD9">
        <w:t>1.3, VSG</w:t>
      </w:r>
      <w:r>
        <w:t xml:space="preserve"> LiTat</w:t>
      </w:r>
      <w:r w:rsidR="00081BD9">
        <w:t xml:space="preserve"> 1.5 and ISG64, although their ranking was different. </w:t>
      </w:r>
      <w:r w:rsidR="008C6CB2">
        <w:t>ISG64 performed best (71%) in ELISA followed by VSG LiTat 1.3 (</w:t>
      </w:r>
      <w:r w:rsidR="00E73AD0">
        <w:t>69</w:t>
      </w:r>
      <w:r w:rsidR="008C6CB2">
        <w:t xml:space="preserve">%) and VSG LiTat 1.5 (69%), while </w:t>
      </w:r>
      <w:r w:rsidR="00081BD9">
        <w:t xml:space="preserve">VSG </w:t>
      </w:r>
      <w:r w:rsidR="008C6CB2">
        <w:t xml:space="preserve">LiTat </w:t>
      </w:r>
      <w:r w:rsidR="00081BD9">
        <w:t xml:space="preserve">1.3 </w:t>
      </w:r>
      <w:r w:rsidR="008C6CB2">
        <w:t xml:space="preserve">was the </w:t>
      </w:r>
      <w:r w:rsidR="00081BD9">
        <w:t xml:space="preserve">best (60%) </w:t>
      </w:r>
      <w:r w:rsidR="008C6CB2">
        <w:t xml:space="preserve">in slot blot, </w:t>
      </w:r>
      <w:r w:rsidR="00081BD9">
        <w:t xml:space="preserve">followed by VSG </w:t>
      </w:r>
      <w:r w:rsidR="008C6CB2">
        <w:t xml:space="preserve">LiTat </w:t>
      </w:r>
      <w:r w:rsidR="00081BD9">
        <w:t>1.5 (49%) and ISG64 (40%).</w:t>
      </w:r>
      <w:r w:rsidR="0051708D">
        <w:t xml:space="preserve"> Significant differences were </w:t>
      </w:r>
      <w:r w:rsidR="008C6CB2">
        <w:t xml:space="preserve">observed </w:t>
      </w:r>
      <w:r w:rsidR="0051708D">
        <w:t xml:space="preserve">in the ranking of the other antigens </w:t>
      </w:r>
      <w:r w:rsidR="008C6CB2">
        <w:t>depending on</w:t>
      </w:r>
      <w:r w:rsidR="0051708D">
        <w:t xml:space="preserve"> the test method that was used. For example, while PFK was the fifth best antigen by slot blot, it was only the 17</w:t>
      </w:r>
      <w:r w:rsidR="0051708D" w:rsidRPr="0051708D">
        <w:rPr>
          <w:vertAlign w:val="superscript"/>
        </w:rPr>
        <w:t>th</w:t>
      </w:r>
      <w:r w:rsidR="0051708D">
        <w:t xml:space="preserve"> by ELISA.</w:t>
      </w:r>
    </w:p>
    <w:p w14:paraId="2743B335" w14:textId="77777777" w:rsidR="00BA3C0B" w:rsidRPr="00BA3C0B" w:rsidRDefault="00BA3C0B" w:rsidP="00BA3C0B">
      <w:pPr>
        <w:spacing w:line="480" w:lineRule="auto"/>
        <w:jc w:val="both"/>
      </w:pPr>
    </w:p>
    <w:p w14:paraId="6B3EB970" w14:textId="1F19DB82" w:rsidR="00BA3C0B" w:rsidRPr="00BA3C0B" w:rsidRDefault="00BA3C0B" w:rsidP="00BA3C0B">
      <w:pPr>
        <w:spacing w:line="480" w:lineRule="auto"/>
        <w:jc w:val="both"/>
        <w:rPr>
          <w:rFonts w:cs="Arial"/>
          <w:lang w:val="en-GB"/>
        </w:rPr>
      </w:pPr>
      <w:r w:rsidRPr="00BA3C0B">
        <w:rPr>
          <w:rFonts w:cs="Arial"/>
          <w:b/>
          <w:lang w:val="en-GB"/>
        </w:rPr>
        <w:t xml:space="preserve">Fig </w:t>
      </w:r>
      <w:r w:rsidR="002F6CB3">
        <w:rPr>
          <w:rFonts w:cs="Arial"/>
          <w:b/>
          <w:lang w:val="en-GB"/>
        </w:rPr>
        <w:t>3</w:t>
      </w:r>
      <w:r w:rsidRPr="00BA3C0B">
        <w:rPr>
          <w:rFonts w:cs="Arial"/>
          <w:b/>
          <w:lang w:val="en-GB"/>
        </w:rPr>
        <w:t>. Percentage IgG reactivity of 18 antigens on sera from</w:t>
      </w:r>
      <w:r w:rsidRPr="00BA3C0B">
        <w:rPr>
          <w:rFonts w:cs="Arial"/>
          <w:b/>
          <w:i/>
          <w:lang w:val="en-GB"/>
        </w:rPr>
        <w:t xml:space="preserve"> T. b. gambiense</w:t>
      </w:r>
      <w:r w:rsidRPr="00BA3C0B">
        <w:rPr>
          <w:rFonts w:cs="Arial"/>
          <w:b/>
          <w:lang w:val="en-GB"/>
        </w:rPr>
        <w:t xml:space="preserve"> HAT cases (N=35) assessed by slot blot (A) and by ELISA (B) (second round of screening).</w:t>
      </w:r>
      <w:r w:rsidRPr="00BA3C0B">
        <w:rPr>
          <w:rFonts w:cs="Arial"/>
          <w:lang w:val="en-GB"/>
        </w:rPr>
        <w:t xml:space="preserve"> Antigens are shown in descending order of reactivity.</w:t>
      </w:r>
    </w:p>
    <w:p w14:paraId="605CFEF0" w14:textId="77777777" w:rsidR="00BA3C0B" w:rsidRDefault="00BA3C0B" w:rsidP="0095777F">
      <w:pPr>
        <w:spacing w:line="480" w:lineRule="auto"/>
        <w:jc w:val="both"/>
      </w:pPr>
    </w:p>
    <w:p w14:paraId="6AAD23C3" w14:textId="235DB76D" w:rsidR="00D271A1" w:rsidRDefault="002B1924" w:rsidP="0095777F">
      <w:pPr>
        <w:spacing w:line="480" w:lineRule="auto"/>
        <w:jc w:val="both"/>
      </w:pPr>
      <w:r>
        <w:t>The r</w:t>
      </w:r>
      <w:r w:rsidR="00081BD9">
        <w:t xml:space="preserve">esults </w:t>
      </w:r>
      <w:r>
        <w:t xml:space="preserve">of screening antigens on </w:t>
      </w:r>
      <w:r w:rsidR="00081BD9" w:rsidRPr="00070B00">
        <w:rPr>
          <w:i/>
        </w:rPr>
        <w:t>T.</w:t>
      </w:r>
      <w:r w:rsidR="005C2D44">
        <w:rPr>
          <w:i/>
        </w:rPr>
        <w:t xml:space="preserve"> </w:t>
      </w:r>
      <w:r w:rsidR="00081BD9" w:rsidRPr="00070B00">
        <w:rPr>
          <w:i/>
        </w:rPr>
        <w:t>b. rhodesiense</w:t>
      </w:r>
      <w:r w:rsidR="00081BD9">
        <w:t xml:space="preserve"> </w:t>
      </w:r>
      <w:r>
        <w:t>sera</w:t>
      </w:r>
      <w:r w:rsidR="00081BD9">
        <w:t xml:space="preserve"> are shown in </w:t>
      </w:r>
      <w:r w:rsidR="002F6CB3">
        <w:t>Fig 4</w:t>
      </w:r>
      <w:r w:rsidR="00081BD9">
        <w:t xml:space="preserve">. </w:t>
      </w:r>
      <w:r w:rsidR="00FB341E">
        <w:t xml:space="preserve">As observed with </w:t>
      </w:r>
      <w:r w:rsidR="00FB341E">
        <w:rPr>
          <w:i/>
        </w:rPr>
        <w:t>T.</w:t>
      </w:r>
      <w:r w:rsidR="00E73AD0">
        <w:rPr>
          <w:i/>
        </w:rPr>
        <w:t xml:space="preserve"> </w:t>
      </w:r>
      <w:r w:rsidR="00FB341E">
        <w:rPr>
          <w:i/>
        </w:rPr>
        <w:t xml:space="preserve">b. gambiense </w:t>
      </w:r>
      <w:r w:rsidR="00FB341E">
        <w:t>sera</w:t>
      </w:r>
      <w:r>
        <w:t>, the</w:t>
      </w:r>
      <w:r w:rsidR="00081BD9">
        <w:t xml:space="preserve"> antigens </w:t>
      </w:r>
      <w:r>
        <w:t>performed</w:t>
      </w:r>
      <w:r w:rsidR="00AB1C16">
        <w:t xml:space="preserve"> different</w:t>
      </w:r>
      <w:r>
        <w:t>ly</w:t>
      </w:r>
      <w:r w:rsidR="00AB1C16">
        <w:t xml:space="preserve"> </w:t>
      </w:r>
      <w:r>
        <w:t xml:space="preserve">depending on </w:t>
      </w:r>
      <w:r w:rsidR="00AB1C16">
        <w:t>the test method</w:t>
      </w:r>
      <w:r>
        <w:t xml:space="preserve"> used</w:t>
      </w:r>
      <w:r w:rsidR="00AB1C16">
        <w:t xml:space="preserve">. </w:t>
      </w:r>
      <w:r w:rsidR="005A5093">
        <w:t xml:space="preserve">Using </w:t>
      </w:r>
      <w:r w:rsidR="00AB1C16">
        <w:t>slot blot</w:t>
      </w:r>
      <w:r w:rsidR="005A5093">
        <w:t>ting</w:t>
      </w:r>
      <w:r w:rsidR="00AB1C16">
        <w:t xml:space="preserve">, VSG </w:t>
      </w:r>
      <w:r>
        <w:t xml:space="preserve">LiTat </w:t>
      </w:r>
      <w:r w:rsidR="00AB1C16">
        <w:t xml:space="preserve">1.3 (80%) </w:t>
      </w:r>
      <w:r>
        <w:t xml:space="preserve">had the highest reactivity, </w:t>
      </w:r>
      <w:r w:rsidR="00AB1C16">
        <w:t xml:space="preserve">followed by SRA (75%) and VSG </w:t>
      </w:r>
      <w:r>
        <w:t xml:space="preserve">LiTat </w:t>
      </w:r>
      <w:r w:rsidR="00AB1C16">
        <w:t xml:space="preserve">1.5 (65%). By ELISA, SRA performed </w:t>
      </w:r>
      <w:r w:rsidR="00437FC6">
        <w:t>best</w:t>
      </w:r>
      <w:r w:rsidR="00AB1C16">
        <w:t xml:space="preserve"> (85%), followed by ISG65 (65%) and ISG64 (60%). </w:t>
      </w:r>
      <w:r w:rsidR="00FB341E">
        <w:t>T</w:t>
      </w:r>
      <w:r w:rsidR="00FB341E" w:rsidRPr="0032786F">
        <w:t xml:space="preserve">he percentage reactivity by slot blot was on average 16.6% higher with </w:t>
      </w:r>
      <w:r w:rsidR="00FB341E" w:rsidRPr="0032786F">
        <w:rPr>
          <w:i/>
        </w:rPr>
        <w:t>T.</w:t>
      </w:r>
      <w:r w:rsidR="00FB341E">
        <w:rPr>
          <w:i/>
        </w:rPr>
        <w:t xml:space="preserve"> </w:t>
      </w:r>
      <w:r w:rsidR="00FB341E" w:rsidRPr="0032786F">
        <w:rPr>
          <w:i/>
        </w:rPr>
        <w:t>b. rhodesiense</w:t>
      </w:r>
      <w:r w:rsidR="00FB341E" w:rsidRPr="0032786F">
        <w:t xml:space="preserve"> than with </w:t>
      </w:r>
      <w:r w:rsidR="00FB341E" w:rsidRPr="0032786F">
        <w:rPr>
          <w:i/>
        </w:rPr>
        <w:t>T.</w:t>
      </w:r>
      <w:r w:rsidR="00FB341E">
        <w:rPr>
          <w:i/>
        </w:rPr>
        <w:t xml:space="preserve"> </w:t>
      </w:r>
      <w:r w:rsidR="00FB341E" w:rsidRPr="0032786F">
        <w:rPr>
          <w:i/>
        </w:rPr>
        <w:t>b. gambiense</w:t>
      </w:r>
      <w:r w:rsidR="00FB341E" w:rsidRPr="0032786F">
        <w:t xml:space="preserve"> cases</w:t>
      </w:r>
      <w:r w:rsidR="00FB341E">
        <w:t>, which was</w:t>
      </w:r>
      <w:r w:rsidR="00FB341E" w:rsidRPr="0032786F">
        <w:t xml:space="preserve"> </w:t>
      </w:r>
      <w:r w:rsidR="00FB341E">
        <w:t>u</w:t>
      </w:r>
      <w:r w:rsidR="00AB1C16" w:rsidRPr="0032786F">
        <w:t xml:space="preserve">nlike </w:t>
      </w:r>
      <w:r w:rsidR="005A5093">
        <w:t>the observations</w:t>
      </w:r>
      <w:r w:rsidR="00FB341E" w:rsidRPr="0032786F">
        <w:t xml:space="preserve"> </w:t>
      </w:r>
      <w:r w:rsidR="007F01B5">
        <w:t xml:space="preserve">obtained </w:t>
      </w:r>
      <w:r w:rsidR="00AB1C16" w:rsidRPr="0032786F">
        <w:t>in the first round</w:t>
      </w:r>
      <w:r w:rsidR="00FB341E">
        <w:t xml:space="preserve"> of screening</w:t>
      </w:r>
      <w:r w:rsidR="00AB1C16" w:rsidRPr="0032786F">
        <w:t>.</w:t>
      </w:r>
      <w:r w:rsidR="00AC7AC9" w:rsidRPr="0032786F">
        <w:t xml:space="preserve"> By contrast, reactivity by ELISA was on average 4.2% lower with </w:t>
      </w:r>
      <w:r w:rsidR="00AC7AC9" w:rsidRPr="0032786F">
        <w:rPr>
          <w:i/>
        </w:rPr>
        <w:t>T.</w:t>
      </w:r>
      <w:r w:rsidR="005C2D44">
        <w:rPr>
          <w:i/>
        </w:rPr>
        <w:t xml:space="preserve"> </w:t>
      </w:r>
      <w:r w:rsidR="00AC7AC9" w:rsidRPr="0032786F">
        <w:rPr>
          <w:i/>
        </w:rPr>
        <w:t>b. rhodesiense</w:t>
      </w:r>
      <w:r w:rsidR="00AC7AC9" w:rsidRPr="0032786F">
        <w:t xml:space="preserve"> than with </w:t>
      </w:r>
      <w:r w:rsidR="00AC7AC9" w:rsidRPr="0032786F">
        <w:rPr>
          <w:i/>
        </w:rPr>
        <w:t>T.</w:t>
      </w:r>
      <w:r w:rsidR="005C2D44">
        <w:rPr>
          <w:i/>
        </w:rPr>
        <w:t xml:space="preserve"> </w:t>
      </w:r>
      <w:r w:rsidR="00AC7AC9" w:rsidRPr="0032786F">
        <w:rPr>
          <w:i/>
        </w:rPr>
        <w:t>b. gambiense</w:t>
      </w:r>
      <w:r w:rsidR="00AC7AC9" w:rsidRPr="0032786F">
        <w:t xml:space="preserve"> </w:t>
      </w:r>
      <w:r w:rsidR="00FB341E">
        <w:t>sera</w:t>
      </w:r>
      <w:r w:rsidR="00AC7AC9" w:rsidRPr="0032786F">
        <w:t>.</w:t>
      </w:r>
      <w:r w:rsidR="00D271A1">
        <w:t xml:space="preserve"> SRA was the antigen t</w:t>
      </w:r>
      <w:r w:rsidR="005A5093">
        <w:t>hat</w:t>
      </w:r>
      <w:r w:rsidR="00D271A1">
        <w:t xml:space="preserve"> exhibit</w:t>
      </w:r>
      <w:r w:rsidR="005A5093">
        <w:t>ed</w:t>
      </w:r>
      <w:r w:rsidR="00D271A1">
        <w:t xml:space="preserve"> the greatest difference in reactivity between the two disease forms. While the reactivity of SRA by slot blot was 75% with </w:t>
      </w:r>
      <w:r w:rsidR="00D271A1" w:rsidRPr="001A4479">
        <w:rPr>
          <w:i/>
        </w:rPr>
        <w:t>T. b. rhodesiense</w:t>
      </w:r>
      <w:r w:rsidR="00D271A1">
        <w:t xml:space="preserve">, it was only 17% with </w:t>
      </w:r>
      <w:r w:rsidR="00D271A1" w:rsidRPr="001A4479">
        <w:rPr>
          <w:i/>
        </w:rPr>
        <w:t>T. b. gambiense</w:t>
      </w:r>
      <w:r w:rsidR="00D271A1">
        <w:t>.</w:t>
      </w:r>
    </w:p>
    <w:p w14:paraId="0F41E33C" w14:textId="77777777" w:rsidR="00313200" w:rsidRPr="00661393" w:rsidRDefault="00313200" w:rsidP="0095777F">
      <w:pPr>
        <w:spacing w:line="480" w:lineRule="auto"/>
        <w:jc w:val="both"/>
        <w:rPr>
          <w:rFonts w:cs="Arial"/>
          <w:lang w:val="en-GB"/>
        </w:rPr>
      </w:pPr>
    </w:p>
    <w:p w14:paraId="6DB71DC8" w14:textId="461F6AD8" w:rsidR="00C76F4A" w:rsidRPr="00AF6E98" w:rsidRDefault="002F6CB3" w:rsidP="00AF6E98">
      <w:pPr>
        <w:spacing w:line="480" w:lineRule="auto"/>
        <w:jc w:val="both"/>
      </w:pPr>
      <w:r>
        <w:rPr>
          <w:rFonts w:cs="Arial"/>
          <w:b/>
          <w:lang w:val="en-GB"/>
        </w:rPr>
        <w:t>Fig</w:t>
      </w:r>
      <w:r w:rsidRPr="00BA3C0B">
        <w:rPr>
          <w:rFonts w:cs="Arial"/>
          <w:b/>
          <w:lang w:val="en-GB"/>
        </w:rPr>
        <w:t xml:space="preserve"> </w:t>
      </w:r>
      <w:r>
        <w:rPr>
          <w:rFonts w:cs="Arial"/>
          <w:b/>
          <w:lang w:val="en-GB"/>
        </w:rPr>
        <w:t>4</w:t>
      </w:r>
      <w:r w:rsidR="00313200" w:rsidRPr="00BA3C0B">
        <w:rPr>
          <w:rFonts w:cs="Arial"/>
          <w:b/>
          <w:lang w:val="en-GB"/>
        </w:rPr>
        <w:t xml:space="preserve">. Percentage IgG reactivity of 18 antigens on sera from </w:t>
      </w:r>
      <w:r w:rsidR="00313200" w:rsidRPr="00BA3C0B">
        <w:rPr>
          <w:rFonts w:cs="Arial"/>
          <w:b/>
          <w:i/>
          <w:lang w:val="en-GB"/>
        </w:rPr>
        <w:t>T. b. rhodesiense</w:t>
      </w:r>
      <w:r w:rsidR="00313200" w:rsidRPr="00BA3C0B">
        <w:rPr>
          <w:rFonts w:cs="Arial"/>
          <w:b/>
          <w:lang w:val="en-GB"/>
        </w:rPr>
        <w:t xml:space="preserve"> HAT cases (N=10) </w:t>
      </w:r>
      <w:r w:rsidR="00313200" w:rsidRPr="00AF6E98">
        <w:rPr>
          <w:rFonts w:cs="Arial"/>
          <w:b/>
          <w:lang w:val="en-GB"/>
        </w:rPr>
        <w:t>assessed by slot blot</w:t>
      </w:r>
      <w:r>
        <w:rPr>
          <w:rFonts w:cs="Arial"/>
          <w:b/>
          <w:lang w:val="en-GB"/>
        </w:rPr>
        <w:t xml:space="preserve"> (A)</w:t>
      </w:r>
      <w:r w:rsidR="00313200" w:rsidRPr="00AF6E98">
        <w:rPr>
          <w:rFonts w:cs="Arial"/>
          <w:b/>
          <w:lang w:val="en-GB"/>
        </w:rPr>
        <w:t xml:space="preserve"> and by ELISA</w:t>
      </w:r>
      <w:r>
        <w:rPr>
          <w:rFonts w:cs="Arial"/>
          <w:b/>
          <w:lang w:val="en-GB"/>
        </w:rPr>
        <w:t xml:space="preserve"> (B)</w:t>
      </w:r>
      <w:r w:rsidR="00313200" w:rsidRPr="00AF6E98">
        <w:rPr>
          <w:rFonts w:cs="Arial"/>
          <w:b/>
          <w:lang w:val="en-GB"/>
        </w:rPr>
        <w:t xml:space="preserve"> (second round of screening).</w:t>
      </w:r>
      <w:r w:rsidRPr="002F6CB3">
        <w:rPr>
          <w:rFonts w:cs="Arial"/>
          <w:lang w:val="en-GB"/>
        </w:rPr>
        <w:t xml:space="preserve"> </w:t>
      </w:r>
      <w:r w:rsidRPr="00BA3C0B">
        <w:rPr>
          <w:rFonts w:cs="Arial"/>
          <w:lang w:val="en-GB"/>
        </w:rPr>
        <w:t>Antigens are shown in descending order of reactivity.</w:t>
      </w:r>
    </w:p>
    <w:p w14:paraId="660CF45C" w14:textId="77777777" w:rsidR="00C76F4A" w:rsidRPr="00BA3C0B" w:rsidRDefault="00C76F4A" w:rsidP="0095777F">
      <w:pPr>
        <w:spacing w:line="480" w:lineRule="auto"/>
        <w:jc w:val="both"/>
      </w:pPr>
    </w:p>
    <w:p w14:paraId="1A0761CA" w14:textId="3E52BB0F" w:rsidR="003906FC" w:rsidRDefault="00A1323A" w:rsidP="0095777F">
      <w:pPr>
        <w:spacing w:line="480" w:lineRule="auto"/>
        <w:jc w:val="both"/>
      </w:pPr>
      <w:r>
        <w:t xml:space="preserve">The </w:t>
      </w:r>
      <w:r w:rsidR="00494DBA">
        <w:t xml:space="preserve">third </w:t>
      </w:r>
      <w:r>
        <w:t xml:space="preserve">round </w:t>
      </w:r>
      <w:r w:rsidR="00494DBA">
        <w:t xml:space="preserve">of screening </w:t>
      </w:r>
      <w:r>
        <w:t xml:space="preserve">was </w:t>
      </w:r>
      <w:r w:rsidR="00494DBA">
        <w:t xml:space="preserve">carried out using a larger collection of clinical samples, in order to generate </w:t>
      </w:r>
      <w:r w:rsidR="005A5093">
        <w:t xml:space="preserve">more </w:t>
      </w:r>
      <w:r w:rsidR="007F01B5">
        <w:t>significant</w:t>
      </w:r>
      <w:r w:rsidR="005A5093">
        <w:t xml:space="preserve"> </w:t>
      </w:r>
      <w:r w:rsidR="00494DBA">
        <w:t xml:space="preserve">data on the most promising antigens </w:t>
      </w:r>
      <w:r w:rsidR="005A5093">
        <w:t xml:space="preserve">using both </w:t>
      </w:r>
      <w:r w:rsidR="003906FC">
        <w:t>slot blot and ELISA</w:t>
      </w:r>
      <w:r>
        <w:t xml:space="preserve">. </w:t>
      </w:r>
      <w:r w:rsidR="00AE1A72">
        <w:t>Thirteen</w:t>
      </w:r>
      <w:r w:rsidR="001749E1" w:rsidRPr="00155764">
        <w:t xml:space="preserve"> antigens</w:t>
      </w:r>
      <w:r w:rsidR="00494DBA">
        <w:t>,</w:t>
      </w:r>
      <w:r w:rsidR="001749E1" w:rsidRPr="00155764">
        <w:t xml:space="preserve"> </w:t>
      </w:r>
      <w:r w:rsidR="00494DBA">
        <w:t>including 10 that had</w:t>
      </w:r>
      <w:r w:rsidR="003C1742">
        <w:t xml:space="preserve"> the highest reactivity </w:t>
      </w:r>
      <w:r w:rsidR="009221B5">
        <w:t xml:space="preserve">on </w:t>
      </w:r>
      <w:r w:rsidR="003C1742">
        <w:t xml:space="preserve">patient sera </w:t>
      </w:r>
      <w:r w:rsidR="00494DBA">
        <w:t xml:space="preserve">in </w:t>
      </w:r>
      <w:r w:rsidR="003C1742">
        <w:t>the second round (</w:t>
      </w:r>
      <w:r w:rsidR="00494DBA">
        <w:t xml:space="preserve">results of both </w:t>
      </w:r>
      <w:r w:rsidR="003C1742">
        <w:t xml:space="preserve">slot blot and ELISA </w:t>
      </w:r>
      <w:r w:rsidR="00494DBA">
        <w:t>combined</w:t>
      </w:r>
      <w:r w:rsidR="003C1742">
        <w:t>)</w:t>
      </w:r>
      <w:r>
        <w:t xml:space="preserve">, and </w:t>
      </w:r>
      <w:r w:rsidR="00494DBA">
        <w:t xml:space="preserve">3 new ones </w:t>
      </w:r>
      <w:r>
        <w:t>(MARP1, L14-6 and 16-6)</w:t>
      </w:r>
      <w:r w:rsidR="00494DBA">
        <w:t xml:space="preserve"> </w:t>
      </w:r>
      <w:r w:rsidR="00494DBA" w:rsidRPr="00155764">
        <w:t xml:space="preserve">were </w:t>
      </w:r>
      <w:r w:rsidR="009221B5">
        <w:t>screened</w:t>
      </w:r>
      <w:r w:rsidR="00494DBA" w:rsidRPr="00155764">
        <w:t xml:space="preserve"> in </w:t>
      </w:r>
      <w:r w:rsidR="00494DBA">
        <w:t>this round</w:t>
      </w:r>
      <w:r w:rsidR="00AE1A72">
        <w:t>.</w:t>
      </w:r>
      <w:r>
        <w:t xml:space="preserve"> </w:t>
      </w:r>
      <w:r w:rsidR="009221B5">
        <w:t xml:space="preserve">The 3 new antigens were supplied after the first two rounds of screening had been completed. </w:t>
      </w:r>
      <w:r>
        <w:t xml:space="preserve">Fig </w:t>
      </w:r>
      <w:r w:rsidR="00545745">
        <w:t xml:space="preserve">5 </w:t>
      </w:r>
      <w:r w:rsidR="007F01B5">
        <w:t>illustrates</w:t>
      </w:r>
      <w:r>
        <w:t xml:space="preserve"> that </w:t>
      </w:r>
      <w:r w:rsidR="009221B5">
        <w:t xml:space="preserve">when the antigens were screened </w:t>
      </w:r>
      <w:r w:rsidR="003F6223">
        <w:t xml:space="preserve">using </w:t>
      </w:r>
      <w:r w:rsidR="003F6223" w:rsidRPr="00A1323A">
        <w:rPr>
          <w:i/>
        </w:rPr>
        <w:t>T.</w:t>
      </w:r>
      <w:r w:rsidR="005C2D44">
        <w:rPr>
          <w:i/>
        </w:rPr>
        <w:t xml:space="preserve"> </w:t>
      </w:r>
      <w:r w:rsidR="003F6223" w:rsidRPr="00A1323A">
        <w:rPr>
          <w:i/>
        </w:rPr>
        <w:t>b. gambiense</w:t>
      </w:r>
      <w:r w:rsidR="003F6223" w:rsidRPr="00A1323A">
        <w:t xml:space="preserve"> </w:t>
      </w:r>
      <w:r w:rsidR="009221B5">
        <w:t>sera</w:t>
      </w:r>
      <w:r w:rsidR="003F6223">
        <w:t xml:space="preserve">, </w:t>
      </w:r>
      <w:r>
        <w:t>the three best antigens</w:t>
      </w:r>
      <w:r w:rsidR="003906FC">
        <w:t xml:space="preserve"> </w:t>
      </w:r>
      <w:r w:rsidR="005A5093">
        <w:t xml:space="preserve">using </w:t>
      </w:r>
      <w:r w:rsidR="003906FC">
        <w:t>both test</w:t>
      </w:r>
      <w:r w:rsidR="009221B5">
        <w:t>s</w:t>
      </w:r>
      <w:r w:rsidR="003906FC">
        <w:t xml:space="preserve"> were the same as in the second round.</w:t>
      </w:r>
      <w:r w:rsidR="003906FC" w:rsidRPr="003906FC">
        <w:t xml:space="preserve"> </w:t>
      </w:r>
      <w:r w:rsidR="003906FC">
        <w:t xml:space="preserve">Using slot blot, VSG </w:t>
      </w:r>
      <w:r w:rsidR="009221B5">
        <w:t xml:space="preserve">LiTat </w:t>
      </w:r>
      <w:r w:rsidR="003906FC">
        <w:t xml:space="preserve">1.3 performed best (91%) followed by VSG </w:t>
      </w:r>
      <w:r w:rsidR="009221B5">
        <w:t xml:space="preserve">LiTat </w:t>
      </w:r>
      <w:r w:rsidR="003906FC">
        <w:t xml:space="preserve">1.5 (81%) and ISG64 (70%), while by ELISA, VSG </w:t>
      </w:r>
      <w:r w:rsidR="009221B5">
        <w:t xml:space="preserve">LiTat </w:t>
      </w:r>
      <w:r w:rsidR="003906FC">
        <w:t xml:space="preserve">1.5 was first (92%) followed by VSG </w:t>
      </w:r>
      <w:r w:rsidR="009221B5">
        <w:t xml:space="preserve">LiTat </w:t>
      </w:r>
      <w:r w:rsidR="003906FC">
        <w:t xml:space="preserve">1.3 (82%) and ISG64 (48%). The </w:t>
      </w:r>
      <w:r w:rsidR="004D4EC2">
        <w:t>next</w:t>
      </w:r>
      <w:r w:rsidR="0065246F">
        <w:t xml:space="preserve"> three antigens </w:t>
      </w:r>
      <w:r w:rsidR="009221B5">
        <w:t xml:space="preserve">behaved in </w:t>
      </w:r>
      <w:r w:rsidR="00826BF7">
        <w:t xml:space="preserve">a similar </w:t>
      </w:r>
      <w:r w:rsidR="009221B5">
        <w:t>manner</w:t>
      </w:r>
      <w:r w:rsidR="0065246F">
        <w:t xml:space="preserve"> with both </w:t>
      </w:r>
      <w:r w:rsidR="009221B5">
        <w:t>tests</w:t>
      </w:r>
      <w:r w:rsidR="0065246F">
        <w:t xml:space="preserve">, but in </w:t>
      </w:r>
      <w:r w:rsidR="00980E89">
        <w:t xml:space="preserve">a </w:t>
      </w:r>
      <w:r w:rsidR="0065246F">
        <w:t>different order. Using slot blot, ISG65 (37%) was followed by GM6 (28%) and ISG75 (24%), while by ELISA, GM6 (28%) was followed by ISG65 (25%) and ISG75 (9%).</w:t>
      </w:r>
    </w:p>
    <w:p w14:paraId="283F393B" w14:textId="77777777" w:rsidR="00BA3C0B" w:rsidRPr="00BA3C0B" w:rsidRDefault="00BA3C0B" w:rsidP="00BA3C0B">
      <w:pPr>
        <w:spacing w:line="480" w:lineRule="auto"/>
        <w:jc w:val="both"/>
        <w:rPr>
          <w:rFonts w:cs="Arial"/>
          <w:lang w:val="en-GB"/>
        </w:rPr>
      </w:pPr>
    </w:p>
    <w:p w14:paraId="77BDDFAF" w14:textId="33064ACF" w:rsidR="00BA3C0B" w:rsidRDefault="00BA3C0B" w:rsidP="0095777F">
      <w:pPr>
        <w:spacing w:line="480" w:lineRule="auto"/>
        <w:jc w:val="both"/>
      </w:pPr>
      <w:r w:rsidRPr="00BA3C0B">
        <w:rPr>
          <w:rFonts w:cs="Arial"/>
          <w:b/>
          <w:lang w:val="en-GB"/>
        </w:rPr>
        <w:t xml:space="preserve">Fig </w:t>
      </w:r>
      <w:r w:rsidR="00545745">
        <w:rPr>
          <w:rFonts w:cs="Arial"/>
          <w:b/>
          <w:lang w:val="en-GB"/>
        </w:rPr>
        <w:t>5</w:t>
      </w:r>
      <w:r w:rsidRPr="00BA3C0B">
        <w:rPr>
          <w:rFonts w:cs="Arial"/>
          <w:b/>
          <w:lang w:val="en-GB"/>
        </w:rPr>
        <w:t xml:space="preserve">. Percentage IgG reactivity of 13 antigens on sera from </w:t>
      </w:r>
      <w:r w:rsidRPr="00BA3C0B">
        <w:rPr>
          <w:rFonts w:cs="Arial"/>
          <w:b/>
          <w:i/>
          <w:lang w:val="en-GB"/>
        </w:rPr>
        <w:t>T. b. gambiense</w:t>
      </w:r>
      <w:r w:rsidRPr="00BA3C0B">
        <w:rPr>
          <w:rFonts w:cs="Arial"/>
          <w:b/>
          <w:lang w:val="en-GB"/>
        </w:rPr>
        <w:t xml:space="preserve"> HAT cases (N=150) assessed by slot blot (A) and by ELISA (B) (third round</w:t>
      </w:r>
      <w:r w:rsidR="00980E89">
        <w:rPr>
          <w:rFonts w:cs="Arial"/>
          <w:b/>
          <w:lang w:val="en-GB"/>
        </w:rPr>
        <w:t xml:space="preserve"> of screening</w:t>
      </w:r>
      <w:r w:rsidRPr="00BA3C0B">
        <w:rPr>
          <w:rFonts w:cs="Arial"/>
          <w:b/>
          <w:lang w:val="en-GB"/>
        </w:rPr>
        <w:t>).</w:t>
      </w:r>
      <w:r w:rsidRPr="00BA3C0B">
        <w:rPr>
          <w:rFonts w:cs="Arial"/>
          <w:lang w:val="en-GB"/>
        </w:rPr>
        <w:t xml:space="preserve"> Antigens are shown in descending order of reactivity.</w:t>
      </w:r>
    </w:p>
    <w:p w14:paraId="4A3B4205" w14:textId="667C9BE2" w:rsidR="0065246F" w:rsidRDefault="009221B5" w:rsidP="0095777F">
      <w:pPr>
        <w:spacing w:line="480" w:lineRule="auto"/>
        <w:jc w:val="both"/>
      </w:pPr>
      <w:r>
        <w:t xml:space="preserve">When the antigens were screened </w:t>
      </w:r>
      <w:r w:rsidR="00980E89">
        <w:t xml:space="preserve">using </w:t>
      </w:r>
      <w:r w:rsidR="0065246F" w:rsidRPr="00070B00">
        <w:rPr>
          <w:i/>
        </w:rPr>
        <w:t>T.</w:t>
      </w:r>
      <w:r w:rsidR="005C2D44">
        <w:rPr>
          <w:i/>
        </w:rPr>
        <w:t xml:space="preserve"> </w:t>
      </w:r>
      <w:r w:rsidR="0065246F" w:rsidRPr="00070B00">
        <w:rPr>
          <w:i/>
        </w:rPr>
        <w:t>b. rhodesiense</w:t>
      </w:r>
      <w:r w:rsidR="0065246F">
        <w:t xml:space="preserve"> </w:t>
      </w:r>
      <w:r>
        <w:t>sera, the three best antigens were the same ones irrespective of the test</w:t>
      </w:r>
      <w:r w:rsidR="005A5093">
        <w:t xml:space="preserve"> used</w:t>
      </w:r>
      <w:r>
        <w:t xml:space="preserve"> (</w:t>
      </w:r>
      <w:r w:rsidR="00545745">
        <w:t>Fig 6</w:t>
      </w:r>
      <w:r>
        <w:t>)</w:t>
      </w:r>
      <w:r w:rsidR="0065246F">
        <w:t>.</w:t>
      </w:r>
      <w:r>
        <w:t xml:space="preserve"> T</w:t>
      </w:r>
      <w:r w:rsidR="0065246F">
        <w:t xml:space="preserve">hese were </w:t>
      </w:r>
      <w:r>
        <w:t>also</w:t>
      </w:r>
      <w:r w:rsidR="0065246F">
        <w:t xml:space="preserve"> the same antigens as </w:t>
      </w:r>
      <w:r w:rsidR="005A5093">
        <w:t xml:space="preserve">observed </w:t>
      </w:r>
      <w:r w:rsidR="0065246F">
        <w:t>in the second round</w:t>
      </w:r>
      <w:r w:rsidR="005A5093">
        <w:t xml:space="preserve"> of screening</w:t>
      </w:r>
      <w:r w:rsidR="0065246F">
        <w:t xml:space="preserve"> </w:t>
      </w:r>
      <w:r>
        <w:t>by slot blot</w:t>
      </w:r>
      <w:r w:rsidR="005A5093">
        <w:t>ting</w:t>
      </w:r>
      <w:r w:rsidR="0065246F">
        <w:t xml:space="preserve">. </w:t>
      </w:r>
      <w:r w:rsidR="005A5093">
        <w:t xml:space="preserve">According to </w:t>
      </w:r>
      <w:r w:rsidR="0065246F">
        <w:t>slot blot</w:t>
      </w:r>
      <w:r w:rsidR="005A5093">
        <w:t>ting</w:t>
      </w:r>
      <w:r w:rsidR="0065246F">
        <w:t xml:space="preserve">, VSG </w:t>
      </w:r>
      <w:r>
        <w:t xml:space="preserve">LiTat </w:t>
      </w:r>
      <w:r w:rsidR="0065246F">
        <w:t xml:space="preserve">1.5 (45%) was followed by VSG </w:t>
      </w:r>
      <w:r>
        <w:t xml:space="preserve">LiTat </w:t>
      </w:r>
      <w:r w:rsidR="0065246F">
        <w:t>1.3</w:t>
      </w:r>
      <w:r w:rsidR="00EA0D52">
        <w:t xml:space="preserve"> (39%)</w:t>
      </w:r>
      <w:r w:rsidR="0065246F">
        <w:t xml:space="preserve"> and SRA (</w:t>
      </w:r>
      <w:r w:rsidR="002A0943">
        <w:t>39</w:t>
      </w:r>
      <w:r w:rsidR="0065246F">
        <w:t xml:space="preserve">%). By ELISA, SRA performed </w:t>
      </w:r>
      <w:r w:rsidR="002A0943">
        <w:t>best</w:t>
      </w:r>
      <w:r w:rsidR="0065246F">
        <w:t xml:space="preserve"> (</w:t>
      </w:r>
      <w:r w:rsidR="002A0943">
        <w:t>39</w:t>
      </w:r>
      <w:r w:rsidR="0065246F">
        <w:t xml:space="preserve">%), followed by VSG </w:t>
      </w:r>
      <w:r w:rsidR="00276437">
        <w:rPr>
          <w:rFonts w:cs="Arial"/>
        </w:rPr>
        <w:t xml:space="preserve">LiTat </w:t>
      </w:r>
      <w:r w:rsidR="0065246F">
        <w:t>1.3 (</w:t>
      </w:r>
      <w:r w:rsidR="002A0943">
        <w:t>33</w:t>
      </w:r>
      <w:r w:rsidR="0065246F">
        <w:t xml:space="preserve">%) and VSG </w:t>
      </w:r>
      <w:r w:rsidR="00276437">
        <w:rPr>
          <w:rFonts w:cs="Arial"/>
        </w:rPr>
        <w:t xml:space="preserve">LiTat </w:t>
      </w:r>
      <w:r w:rsidR="0065246F">
        <w:t>1.5 (</w:t>
      </w:r>
      <w:r w:rsidR="002A0943">
        <w:t>27</w:t>
      </w:r>
      <w:r w:rsidR="0065246F">
        <w:t xml:space="preserve">%). </w:t>
      </w:r>
      <w:r w:rsidR="002F39BC">
        <w:t>In a s</w:t>
      </w:r>
      <w:r w:rsidR="002A0943">
        <w:t>imilar</w:t>
      </w:r>
      <w:r w:rsidR="002F39BC">
        <w:t xml:space="preserve"> manner</w:t>
      </w:r>
      <w:r w:rsidR="002A0943">
        <w:t xml:space="preserve"> to</w:t>
      </w:r>
      <w:r w:rsidR="0065246F">
        <w:t xml:space="preserve"> what was </w:t>
      </w:r>
      <w:r w:rsidR="00244C77">
        <w:t xml:space="preserve">observed </w:t>
      </w:r>
      <w:r w:rsidR="0065246F">
        <w:t>when</w:t>
      </w:r>
      <w:r w:rsidR="00244C77">
        <w:t xml:space="preserve"> the</w:t>
      </w:r>
      <w:r w:rsidR="0065246F">
        <w:t xml:space="preserve"> results </w:t>
      </w:r>
      <w:r w:rsidR="00244C77">
        <w:t xml:space="preserve">of </w:t>
      </w:r>
      <w:r w:rsidR="0065246F">
        <w:t>the first round</w:t>
      </w:r>
      <w:r w:rsidR="00244C77">
        <w:t xml:space="preserve"> </w:t>
      </w:r>
      <w:r w:rsidR="00980E89">
        <w:t xml:space="preserve">of screening </w:t>
      </w:r>
      <w:r w:rsidR="00244C77">
        <w:t>were compared</w:t>
      </w:r>
      <w:r w:rsidR="0065246F">
        <w:t xml:space="preserve">, the </w:t>
      </w:r>
      <w:r w:rsidR="002A0943">
        <w:t xml:space="preserve">average </w:t>
      </w:r>
      <w:r w:rsidR="00244C77">
        <w:t xml:space="preserve">percentage </w:t>
      </w:r>
      <w:r w:rsidR="0065246F">
        <w:t xml:space="preserve">reactivity by slot blot </w:t>
      </w:r>
      <w:r w:rsidR="002A0943">
        <w:t xml:space="preserve">and by ELISA </w:t>
      </w:r>
      <w:r w:rsidR="0065246F">
        <w:t xml:space="preserve">was higher with </w:t>
      </w:r>
      <w:r w:rsidR="0065246F" w:rsidRPr="00F91BB9">
        <w:rPr>
          <w:i/>
        </w:rPr>
        <w:t>T.</w:t>
      </w:r>
      <w:r w:rsidR="005C2D44">
        <w:rPr>
          <w:i/>
        </w:rPr>
        <w:t xml:space="preserve"> </w:t>
      </w:r>
      <w:r w:rsidR="0065246F" w:rsidRPr="00F91BB9">
        <w:rPr>
          <w:i/>
        </w:rPr>
        <w:t xml:space="preserve">b. </w:t>
      </w:r>
      <w:r w:rsidR="002A0943" w:rsidRPr="007214C4">
        <w:rPr>
          <w:i/>
        </w:rPr>
        <w:t>gambiense</w:t>
      </w:r>
      <w:r w:rsidR="002A0943">
        <w:t xml:space="preserve"> </w:t>
      </w:r>
      <w:r w:rsidR="0065246F">
        <w:t xml:space="preserve">than with </w:t>
      </w:r>
      <w:r w:rsidR="0065246F" w:rsidRPr="007214C4">
        <w:rPr>
          <w:i/>
        </w:rPr>
        <w:t>T.</w:t>
      </w:r>
      <w:r w:rsidR="005C2D44">
        <w:rPr>
          <w:i/>
        </w:rPr>
        <w:t xml:space="preserve"> </w:t>
      </w:r>
      <w:r w:rsidR="0065246F" w:rsidRPr="007214C4">
        <w:rPr>
          <w:i/>
        </w:rPr>
        <w:t xml:space="preserve">b. </w:t>
      </w:r>
      <w:r w:rsidR="002A0943" w:rsidRPr="00070B00">
        <w:rPr>
          <w:i/>
        </w:rPr>
        <w:t>rhodesiense</w:t>
      </w:r>
      <w:r w:rsidR="002A0943">
        <w:t xml:space="preserve"> </w:t>
      </w:r>
      <w:r w:rsidR="00244C77">
        <w:t>sera</w:t>
      </w:r>
      <w:r w:rsidR="002A0943">
        <w:t>, with differences of 11.2% and 10.1%, respectively</w:t>
      </w:r>
      <w:r w:rsidR="0065246F">
        <w:t>.</w:t>
      </w:r>
    </w:p>
    <w:p w14:paraId="5E60A6FC" w14:textId="77777777" w:rsidR="00313200" w:rsidRDefault="00313200" w:rsidP="0095777F">
      <w:pPr>
        <w:spacing w:line="480" w:lineRule="auto"/>
        <w:jc w:val="both"/>
      </w:pPr>
    </w:p>
    <w:p w14:paraId="3CF30456" w14:textId="55751134" w:rsidR="00BA3C0B" w:rsidRPr="006C5B1D" w:rsidRDefault="00EF2A92" w:rsidP="00AF6E98">
      <w:pPr>
        <w:spacing w:line="480" w:lineRule="auto"/>
        <w:jc w:val="both"/>
      </w:pPr>
      <w:r w:rsidRPr="00661393">
        <w:rPr>
          <w:rFonts w:cs="Arial"/>
          <w:b/>
          <w:lang w:val="en-GB"/>
        </w:rPr>
        <w:t xml:space="preserve">Fig </w:t>
      </w:r>
      <w:r w:rsidR="00545745" w:rsidRPr="00661393">
        <w:rPr>
          <w:rFonts w:cs="Arial"/>
          <w:b/>
          <w:lang w:val="en-GB"/>
        </w:rPr>
        <w:t>6</w:t>
      </w:r>
      <w:r w:rsidR="00313200" w:rsidRPr="00661393">
        <w:rPr>
          <w:rFonts w:cs="Arial"/>
          <w:b/>
          <w:lang w:val="en-GB"/>
        </w:rPr>
        <w:t xml:space="preserve">. Percentage IgG reactivity of 13 antigens on sera from </w:t>
      </w:r>
      <w:r w:rsidR="00313200" w:rsidRPr="00661393">
        <w:rPr>
          <w:rFonts w:cs="Arial"/>
          <w:b/>
          <w:i/>
          <w:lang w:val="en-GB"/>
        </w:rPr>
        <w:t>T. b. rhodesiense</w:t>
      </w:r>
      <w:r w:rsidR="00313200" w:rsidRPr="00661393">
        <w:rPr>
          <w:rFonts w:cs="Arial"/>
          <w:b/>
          <w:lang w:val="en-GB"/>
        </w:rPr>
        <w:t xml:space="preserve"> HAT cases (N=33) assessed by slot blot</w:t>
      </w:r>
      <w:r w:rsidRPr="00661393">
        <w:rPr>
          <w:rFonts w:cs="Arial"/>
          <w:b/>
          <w:lang w:val="en-GB"/>
        </w:rPr>
        <w:t xml:space="preserve"> (A)</w:t>
      </w:r>
      <w:r w:rsidR="00313200" w:rsidRPr="00661393">
        <w:rPr>
          <w:rFonts w:cs="Arial"/>
          <w:b/>
          <w:lang w:val="en-GB"/>
        </w:rPr>
        <w:t xml:space="preserve"> and by ELISA</w:t>
      </w:r>
      <w:r w:rsidRPr="00661393">
        <w:rPr>
          <w:rFonts w:cs="Arial"/>
          <w:b/>
          <w:lang w:val="en-GB"/>
        </w:rPr>
        <w:t xml:space="preserve"> (B)</w:t>
      </w:r>
      <w:r w:rsidR="00313200" w:rsidRPr="00661393">
        <w:rPr>
          <w:rFonts w:cs="Arial"/>
          <w:b/>
          <w:lang w:val="en-GB"/>
        </w:rPr>
        <w:t xml:space="preserve"> (third </w:t>
      </w:r>
      <w:r w:rsidR="00313200" w:rsidRPr="00E11FEB">
        <w:rPr>
          <w:rFonts w:cs="Arial"/>
          <w:b/>
          <w:lang w:val="en-GB"/>
        </w:rPr>
        <w:t>round</w:t>
      </w:r>
      <w:r w:rsidR="002F39BC">
        <w:rPr>
          <w:rFonts w:cs="Arial"/>
          <w:b/>
          <w:lang w:val="en-GB"/>
        </w:rPr>
        <w:t xml:space="preserve"> of screening</w:t>
      </w:r>
      <w:r w:rsidR="00313200" w:rsidRPr="00AF6E98">
        <w:rPr>
          <w:rFonts w:cs="Arial"/>
          <w:b/>
          <w:lang w:val="en-GB"/>
        </w:rPr>
        <w:t>).</w:t>
      </w:r>
      <w:r w:rsidRPr="006C5B1D">
        <w:rPr>
          <w:rFonts w:cs="Arial"/>
          <w:lang w:val="en-GB"/>
        </w:rPr>
        <w:t xml:space="preserve"> Antigens are shown in descending order of reactivity.</w:t>
      </w:r>
    </w:p>
    <w:p w14:paraId="6C8459A3" w14:textId="5B6A630D" w:rsidR="0049087F" w:rsidRPr="000550FD" w:rsidRDefault="0049087F" w:rsidP="00661393">
      <w:pPr>
        <w:spacing w:before="240" w:line="480" w:lineRule="auto"/>
        <w:jc w:val="both"/>
        <w:rPr>
          <w:rFonts w:cs="Arial"/>
          <w:i/>
          <w:lang w:val="en-GB"/>
        </w:rPr>
      </w:pPr>
    </w:p>
    <w:p w14:paraId="13C6EB5E" w14:textId="0721EB82" w:rsidR="003942E1" w:rsidRDefault="00462971" w:rsidP="00661393">
      <w:pPr>
        <w:spacing w:line="480" w:lineRule="auto"/>
        <w:jc w:val="both"/>
      </w:pPr>
      <w:r w:rsidRPr="00AF6E98">
        <w:t xml:space="preserve">ROC analysis </w:t>
      </w:r>
      <w:r w:rsidR="00FA0F6E" w:rsidRPr="00AF6E98">
        <w:t>of the results</w:t>
      </w:r>
      <w:r w:rsidR="00FA0F6E">
        <w:t xml:space="preserve"> obtained </w:t>
      </w:r>
      <w:r w:rsidR="007F01B5">
        <w:t>by</w:t>
      </w:r>
      <w:r w:rsidR="00FA0F6E">
        <w:t xml:space="preserve"> ELISA </w:t>
      </w:r>
      <w:r w:rsidRPr="007253B2">
        <w:t>show</w:t>
      </w:r>
      <w:r w:rsidR="002F39BC">
        <w:t>s</w:t>
      </w:r>
      <w:r w:rsidRPr="007253B2">
        <w:t xml:space="preserve"> that among the 13 antigens </w:t>
      </w:r>
      <w:r w:rsidR="002F39BC">
        <w:t>in</w:t>
      </w:r>
      <w:r w:rsidR="002F39BC" w:rsidRPr="007253B2">
        <w:t xml:space="preserve"> </w:t>
      </w:r>
      <w:r w:rsidRPr="007253B2">
        <w:t>the third round</w:t>
      </w:r>
      <w:r w:rsidR="002F39BC">
        <w:t xml:space="preserve"> of screening</w:t>
      </w:r>
      <w:r w:rsidRPr="007253B2">
        <w:t xml:space="preserve">, </w:t>
      </w:r>
      <w:r w:rsidR="002211DF" w:rsidRPr="007253B2">
        <w:t xml:space="preserve">the highest accuracy for </w:t>
      </w:r>
      <w:r w:rsidR="002211DF" w:rsidRPr="007253B2">
        <w:rPr>
          <w:i/>
        </w:rPr>
        <w:t>T.</w:t>
      </w:r>
      <w:r w:rsidR="0059371B">
        <w:rPr>
          <w:i/>
        </w:rPr>
        <w:t xml:space="preserve"> </w:t>
      </w:r>
      <w:r w:rsidR="002211DF" w:rsidRPr="007253B2">
        <w:rPr>
          <w:i/>
        </w:rPr>
        <w:t>b. gambiense</w:t>
      </w:r>
      <w:r w:rsidR="002211DF" w:rsidRPr="007253B2">
        <w:t xml:space="preserve"> was achieved using </w:t>
      </w:r>
      <w:r w:rsidRPr="007253B2">
        <w:t>VSG LiTat 1.5</w:t>
      </w:r>
      <w:r w:rsidR="002211DF" w:rsidRPr="007253B2">
        <w:t xml:space="preserve"> (9</w:t>
      </w:r>
      <w:r w:rsidR="0059371B">
        <w:t>3</w:t>
      </w:r>
      <w:r w:rsidR="002211DF" w:rsidRPr="007253B2">
        <w:t xml:space="preserve">%), </w:t>
      </w:r>
      <w:r w:rsidR="00703F19">
        <w:t>followed by VSG LiTat 1.3 (</w:t>
      </w:r>
      <w:r w:rsidR="0059371B">
        <w:t>79%) and ISG64 (67%)</w:t>
      </w:r>
      <w:r w:rsidR="003942E1">
        <w:t xml:space="preserve"> (Table </w:t>
      </w:r>
      <w:r w:rsidR="00A85C87">
        <w:t>2</w:t>
      </w:r>
      <w:r w:rsidR="003942E1">
        <w:t>)</w:t>
      </w:r>
      <w:r w:rsidR="0059371B">
        <w:t xml:space="preserve">. </w:t>
      </w:r>
      <w:r w:rsidR="0060315E">
        <w:t xml:space="preserve">This analysis also indicates that if a sensitivity of 90% is </w:t>
      </w:r>
      <w:r w:rsidR="003942E1">
        <w:t xml:space="preserve">considered to be </w:t>
      </w:r>
      <w:r w:rsidR="0060315E">
        <w:t xml:space="preserve">acceptable, using VSG LiTat 1.5 </w:t>
      </w:r>
      <w:r w:rsidR="003942E1">
        <w:t>w</w:t>
      </w:r>
      <w:r w:rsidR="0060315E">
        <w:t xml:space="preserve">ould result in a specificity as high as 98%. Conversely, if specificity is set at 90%, a sensitivity of 97% </w:t>
      </w:r>
      <w:r w:rsidR="003942E1">
        <w:t>can</w:t>
      </w:r>
      <w:r w:rsidR="0060315E">
        <w:t xml:space="preserve"> be reached with this antigen. VSG LiTat 1.3 </w:t>
      </w:r>
      <w:r w:rsidR="002F39BC">
        <w:t xml:space="preserve">could </w:t>
      </w:r>
      <w:r w:rsidR="0060315E">
        <w:t>also be used to develop a test with a high specificity, but due to the lower accuracy of this antigen, there would be a stronger trade-off in sensitivity. For example, a specificity of 97% could be achieved using VSG LiTat 1.3 with a sensitivity of 70%.</w:t>
      </w:r>
      <w:r w:rsidR="00BE484F">
        <w:t xml:space="preserve"> Using the less accurate ISG64 antigen would only result in a specificity of 91% with a sensitivity of 70%.</w:t>
      </w:r>
    </w:p>
    <w:p w14:paraId="3B03DA4B" w14:textId="77777777" w:rsidR="001C52C1" w:rsidRDefault="001C52C1" w:rsidP="00661393">
      <w:pPr>
        <w:spacing w:line="480" w:lineRule="auto"/>
        <w:jc w:val="both"/>
        <w:rPr>
          <w:rFonts w:cs="Arial"/>
          <w:sz w:val="20"/>
          <w:szCs w:val="20"/>
          <w:lang w:val="en-GB"/>
        </w:rPr>
      </w:pPr>
    </w:p>
    <w:p w14:paraId="43328FA5" w14:textId="3B54981E" w:rsidR="00313200" w:rsidRDefault="00313200" w:rsidP="0095777F">
      <w:pPr>
        <w:spacing w:line="480" w:lineRule="auto"/>
        <w:rPr>
          <w:rFonts w:cs="Arial"/>
          <w:sz w:val="20"/>
          <w:szCs w:val="20"/>
          <w:lang w:val="en-GB"/>
        </w:rPr>
      </w:pPr>
      <w:r w:rsidRPr="00BA3C0B">
        <w:rPr>
          <w:rFonts w:cs="Arial"/>
          <w:b/>
          <w:lang w:val="en-GB"/>
        </w:rPr>
        <w:t xml:space="preserve">Table </w:t>
      </w:r>
      <w:r w:rsidR="00A85C87">
        <w:rPr>
          <w:rFonts w:cs="Arial"/>
          <w:b/>
          <w:lang w:val="en-GB"/>
        </w:rPr>
        <w:t>2</w:t>
      </w:r>
      <w:r w:rsidRPr="00BA3C0B">
        <w:rPr>
          <w:rFonts w:cs="Arial"/>
          <w:b/>
          <w:lang w:val="en-GB"/>
        </w:rPr>
        <w:t>. ROC analysis of the reactivity of 13 antigens on sera from</w:t>
      </w:r>
      <w:r w:rsidRPr="00BA3C0B">
        <w:rPr>
          <w:rFonts w:cs="Arial"/>
          <w:b/>
          <w:i/>
          <w:lang w:val="en-GB"/>
        </w:rPr>
        <w:t xml:space="preserve"> T. b. gambiense</w:t>
      </w:r>
      <w:r w:rsidRPr="00BA3C0B">
        <w:rPr>
          <w:rFonts w:cs="Arial"/>
          <w:b/>
          <w:lang w:val="en-GB"/>
        </w:rPr>
        <w:t xml:space="preserve"> HAT cases (N=150) and controls (N=143) assessed by ELISA (third study round).</w:t>
      </w:r>
    </w:p>
    <w:tbl>
      <w:tblPr>
        <w:tblStyle w:val="TableGrid"/>
        <w:tblW w:w="0" w:type="auto"/>
        <w:tblLayout w:type="fixed"/>
        <w:tblLook w:val="04A0" w:firstRow="1" w:lastRow="0" w:firstColumn="1" w:lastColumn="0" w:noHBand="0" w:noVBand="1"/>
      </w:tblPr>
      <w:tblGrid>
        <w:gridCol w:w="976"/>
        <w:gridCol w:w="414"/>
        <w:gridCol w:w="1206"/>
        <w:gridCol w:w="639"/>
        <w:gridCol w:w="684"/>
        <w:gridCol w:w="504"/>
        <w:gridCol w:w="432"/>
        <w:gridCol w:w="540"/>
        <w:gridCol w:w="504"/>
        <w:gridCol w:w="414"/>
        <w:gridCol w:w="540"/>
        <w:gridCol w:w="594"/>
        <w:gridCol w:w="584"/>
        <w:gridCol w:w="418"/>
        <w:gridCol w:w="505"/>
        <w:gridCol w:w="454"/>
      </w:tblGrid>
      <w:tr w:rsidR="00AF704F" w:rsidRPr="00AF704F" w14:paraId="515F823F" w14:textId="77777777" w:rsidTr="001C52C1">
        <w:trPr>
          <w:trHeight w:val="360"/>
        </w:trPr>
        <w:tc>
          <w:tcPr>
            <w:tcW w:w="1390" w:type="dxa"/>
            <w:gridSpan w:val="2"/>
            <w:noWrap/>
            <w:hideMark/>
          </w:tcPr>
          <w:p w14:paraId="05BD92FF" w14:textId="77777777" w:rsidR="00C953CA" w:rsidRPr="00AF704F" w:rsidRDefault="00C953CA" w:rsidP="00C953CA">
            <w:pPr>
              <w:spacing w:line="480" w:lineRule="auto"/>
              <w:rPr>
                <w:rFonts w:cs="Arial"/>
                <w:b/>
                <w:bCs/>
                <w:sz w:val="12"/>
                <w:szCs w:val="12"/>
              </w:rPr>
            </w:pPr>
            <w:r w:rsidRPr="00AF704F">
              <w:rPr>
                <w:rFonts w:cs="Arial"/>
                <w:b/>
                <w:bCs/>
                <w:sz w:val="12"/>
                <w:szCs w:val="12"/>
              </w:rPr>
              <w:t> </w:t>
            </w:r>
          </w:p>
        </w:tc>
        <w:tc>
          <w:tcPr>
            <w:tcW w:w="1206" w:type="dxa"/>
            <w:hideMark/>
          </w:tcPr>
          <w:p w14:paraId="54BD033F" w14:textId="77777777" w:rsidR="00C953CA" w:rsidRPr="00AF704F" w:rsidRDefault="00C953CA" w:rsidP="00C953CA">
            <w:pPr>
              <w:spacing w:line="480" w:lineRule="auto"/>
              <w:rPr>
                <w:rFonts w:cs="Arial"/>
                <w:b/>
                <w:bCs/>
                <w:sz w:val="12"/>
                <w:szCs w:val="12"/>
              </w:rPr>
            </w:pPr>
            <w:r w:rsidRPr="00AF704F">
              <w:rPr>
                <w:rFonts w:cs="Arial"/>
                <w:b/>
                <w:bCs/>
                <w:sz w:val="12"/>
                <w:szCs w:val="12"/>
              </w:rPr>
              <w:t> </w:t>
            </w:r>
          </w:p>
        </w:tc>
        <w:tc>
          <w:tcPr>
            <w:tcW w:w="639" w:type="dxa"/>
            <w:noWrap/>
            <w:hideMark/>
          </w:tcPr>
          <w:p w14:paraId="72327415" w14:textId="77777777" w:rsidR="00C953CA" w:rsidRPr="00AF704F" w:rsidRDefault="00C953CA" w:rsidP="00C953CA">
            <w:pPr>
              <w:spacing w:line="480" w:lineRule="auto"/>
              <w:rPr>
                <w:rFonts w:cs="Arial"/>
                <w:b/>
                <w:bCs/>
                <w:sz w:val="12"/>
                <w:szCs w:val="12"/>
              </w:rPr>
            </w:pPr>
            <w:r w:rsidRPr="00AF704F">
              <w:rPr>
                <w:rFonts w:cs="Arial"/>
                <w:b/>
                <w:bCs/>
                <w:sz w:val="12"/>
                <w:szCs w:val="12"/>
              </w:rPr>
              <w:t xml:space="preserve">VSG </w:t>
            </w:r>
            <w:r w:rsidR="00D80D24">
              <w:rPr>
                <w:rFonts w:cs="Arial"/>
                <w:b/>
                <w:bCs/>
                <w:sz w:val="12"/>
                <w:szCs w:val="12"/>
              </w:rPr>
              <w:t xml:space="preserve">LiTat </w:t>
            </w:r>
            <w:r w:rsidRPr="00AF704F">
              <w:rPr>
                <w:rFonts w:cs="Arial"/>
                <w:b/>
                <w:bCs/>
                <w:sz w:val="12"/>
                <w:szCs w:val="12"/>
              </w:rPr>
              <w:t>1.5</w:t>
            </w:r>
          </w:p>
        </w:tc>
        <w:tc>
          <w:tcPr>
            <w:tcW w:w="684" w:type="dxa"/>
            <w:noWrap/>
            <w:hideMark/>
          </w:tcPr>
          <w:p w14:paraId="149C2E8F" w14:textId="77777777" w:rsidR="00C953CA" w:rsidRPr="00AF704F" w:rsidRDefault="00C953CA" w:rsidP="00C953CA">
            <w:pPr>
              <w:spacing w:line="480" w:lineRule="auto"/>
              <w:rPr>
                <w:rFonts w:cs="Arial"/>
                <w:b/>
                <w:bCs/>
                <w:sz w:val="12"/>
                <w:szCs w:val="12"/>
              </w:rPr>
            </w:pPr>
            <w:r w:rsidRPr="00AF704F">
              <w:rPr>
                <w:rFonts w:cs="Arial"/>
                <w:b/>
                <w:bCs/>
                <w:sz w:val="12"/>
                <w:szCs w:val="12"/>
              </w:rPr>
              <w:t>VSG</w:t>
            </w:r>
            <w:r w:rsidR="00D80D24">
              <w:rPr>
                <w:rFonts w:cs="Arial"/>
                <w:b/>
                <w:bCs/>
                <w:sz w:val="12"/>
                <w:szCs w:val="12"/>
              </w:rPr>
              <w:t xml:space="preserve"> LiTat </w:t>
            </w:r>
            <w:r w:rsidRPr="00AF704F">
              <w:rPr>
                <w:rFonts w:cs="Arial"/>
                <w:b/>
                <w:bCs/>
                <w:sz w:val="12"/>
                <w:szCs w:val="12"/>
              </w:rPr>
              <w:t xml:space="preserve"> 1.3</w:t>
            </w:r>
          </w:p>
        </w:tc>
        <w:tc>
          <w:tcPr>
            <w:tcW w:w="504" w:type="dxa"/>
            <w:noWrap/>
            <w:hideMark/>
          </w:tcPr>
          <w:p w14:paraId="46B2F133" w14:textId="77777777" w:rsidR="00C953CA" w:rsidRPr="00AF704F" w:rsidRDefault="00C953CA" w:rsidP="00C953CA">
            <w:pPr>
              <w:spacing w:line="480" w:lineRule="auto"/>
              <w:rPr>
                <w:rFonts w:cs="Arial"/>
                <w:b/>
                <w:bCs/>
                <w:sz w:val="12"/>
                <w:szCs w:val="12"/>
              </w:rPr>
            </w:pPr>
            <w:r w:rsidRPr="00AF704F">
              <w:rPr>
                <w:rFonts w:cs="Arial"/>
                <w:b/>
                <w:bCs/>
                <w:sz w:val="12"/>
                <w:szCs w:val="12"/>
              </w:rPr>
              <w:t>ISG64</w:t>
            </w:r>
          </w:p>
        </w:tc>
        <w:tc>
          <w:tcPr>
            <w:tcW w:w="432" w:type="dxa"/>
            <w:noWrap/>
            <w:hideMark/>
          </w:tcPr>
          <w:p w14:paraId="59DC15C8" w14:textId="77777777" w:rsidR="00C953CA" w:rsidRPr="00AF704F" w:rsidRDefault="00C953CA" w:rsidP="00C953CA">
            <w:pPr>
              <w:spacing w:line="480" w:lineRule="auto"/>
              <w:rPr>
                <w:rFonts w:cs="Arial"/>
                <w:b/>
                <w:bCs/>
                <w:sz w:val="12"/>
                <w:szCs w:val="12"/>
              </w:rPr>
            </w:pPr>
            <w:r w:rsidRPr="00AF704F">
              <w:rPr>
                <w:rFonts w:cs="Arial"/>
                <w:b/>
                <w:bCs/>
                <w:sz w:val="12"/>
                <w:szCs w:val="12"/>
              </w:rPr>
              <w:t>GM6</w:t>
            </w:r>
          </w:p>
        </w:tc>
        <w:tc>
          <w:tcPr>
            <w:tcW w:w="540" w:type="dxa"/>
            <w:noWrap/>
            <w:hideMark/>
          </w:tcPr>
          <w:p w14:paraId="6B3C74D7" w14:textId="77777777" w:rsidR="00C953CA" w:rsidRPr="00AF704F" w:rsidRDefault="00C953CA" w:rsidP="00C953CA">
            <w:pPr>
              <w:spacing w:line="480" w:lineRule="auto"/>
              <w:rPr>
                <w:rFonts w:cs="Arial"/>
                <w:b/>
                <w:bCs/>
                <w:sz w:val="12"/>
                <w:szCs w:val="12"/>
              </w:rPr>
            </w:pPr>
            <w:r w:rsidRPr="00AF704F">
              <w:rPr>
                <w:rFonts w:cs="Arial"/>
                <w:b/>
                <w:bCs/>
                <w:sz w:val="12"/>
                <w:szCs w:val="12"/>
              </w:rPr>
              <w:t>ISG65</w:t>
            </w:r>
          </w:p>
        </w:tc>
        <w:tc>
          <w:tcPr>
            <w:tcW w:w="504" w:type="dxa"/>
            <w:noWrap/>
            <w:hideMark/>
          </w:tcPr>
          <w:p w14:paraId="095B5E7C" w14:textId="77777777" w:rsidR="00C953CA" w:rsidRPr="00AF704F" w:rsidRDefault="00C953CA" w:rsidP="00C953CA">
            <w:pPr>
              <w:spacing w:line="480" w:lineRule="auto"/>
              <w:rPr>
                <w:rFonts w:cs="Arial"/>
                <w:b/>
                <w:bCs/>
                <w:sz w:val="12"/>
                <w:szCs w:val="12"/>
              </w:rPr>
            </w:pPr>
            <w:r w:rsidRPr="00AF704F">
              <w:rPr>
                <w:rFonts w:cs="Arial"/>
                <w:b/>
                <w:bCs/>
                <w:sz w:val="12"/>
                <w:szCs w:val="12"/>
              </w:rPr>
              <w:t>ISG75</w:t>
            </w:r>
          </w:p>
        </w:tc>
        <w:tc>
          <w:tcPr>
            <w:tcW w:w="414" w:type="dxa"/>
            <w:noWrap/>
            <w:hideMark/>
          </w:tcPr>
          <w:p w14:paraId="114470A0" w14:textId="77777777" w:rsidR="00C953CA" w:rsidRPr="00AF704F" w:rsidRDefault="00C953CA" w:rsidP="00C953CA">
            <w:pPr>
              <w:spacing w:line="480" w:lineRule="auto"/>
              <w:rPr>
                <w:rFonts w:cs="Arial"/>
                <w:b/>
                <w:bCs/>
                <w:sz w:val="12"/>
                <w:szCs w:val="12"/>
              </w:rPr>
            </w:pPr>
            <w:r w:rsidRPr="00AF704F">
              <w:rPr>
                <w:rFonts w:cs="Arial"/>
                <w:b/>
                <w:bCs/>
                <w:sz w:val="12"/>
                <w:szCs w:val="12"/>
              </w:rPr>
              <w:t>SRA</w:t>
            </w:r>
          </w:p>
        </w:tc>
        <w:tc>
          <w:tcPr>
            <w:tcW w:w="540" w:type="dxa"/>
            <w:noWrap/>
            <w:hideMark/>
          </w:tcPr>
          <w:p w14:paraId="09A158BC" w14:textId="77777777" w:rsidR="00C953CA" w:rsidRPr="00AF704F" w:rsidRDefault="00C953CA" w:rsidP="00C953CA">
            <w:pPr>
              <w:spacing w:line="480" w:lineRule="auto"/>
              <w:rPr>
                <w:rFonts w:cs="Arial"/>
                <w:b/>
                <w:bCs/>
                <w:sz w:val="12"/>
                <w:szCs w:val="12"/>
              </w:rPr>
            </w:pPr>
            <w:r w:rsidRPr="00AF704F">
              <w:rPr>
                <w:rFonts w:cs="Arial"/>
                <w:b/>
                <w:bCs/>
                <w:sz w:val="12"/>
                <w:szCs w:val="12"/>
              </w:rPr>
              <w:t>HSP70</w:t>
            </w:r>
          </w:p>
        </w:tc>
        <w:tc>
          <w:tcPr>
            <w:tcW w:w="594" w:type="dxa"/>
            <w:noWrap/>
            <w:hideMark/>
          </w:tcPr>
          <w:p w14:paraId="0DD5D707" w14:textId="77777777" w:rsidR="00C953CA" w:rsidRPr="00AF704F" w:rsidRDefault="00C953CA" w:rsidP="00C953CA">
            <w:pPr>
              <w:spacing w:line="480" w:lineRule="auto"/>
              <w:rPr>
                <w:rFonts w:cs="Arial"/>
                <w:b/>
                <w:bCs/>
                <w:sz w:val="12"/>
                <w:szCs w:val="12"/>
              </w:rPr>
            </w:pPr>
            <w:r w:rsidRPr="00AF704F">
              <w:rPr>
                <w:rFonts w:cs="Arial"/>
                <w:b/>
                <w:bCs/>
                <w:sz w:val="12"/>
                <w:szCs w:val="12"/>
              </w:rPr>
              <w:t>MARP1</w:t>
            </w:r>
          </w:p>
        </w:tc>
        <w:tc>
          <w:tcPr>
            <w:tcW w:w="584" w:type="dxa"/>
            <w:noWrap/>
            <w:hideMark/>
          </w:tcPr>
          <w:p w14:paraId="5FA6D9E5" w14:textId="77777777" w:rsidR="00C953CA" w:rsidRPr="00AF704F" w:rsidRDefault="00C953CA" w:rsidP="00C953CA">
            <w:pPr>
              <w:spacing w:line="480" w:lineRule="auto"/>
              <w:rPr>
                <w:rFonts w:cs="Arial"/>
                <w:b/>
                <w:bCs/>
                <w:sz w:val="12"/>
                <w:szCs w:val="12"/>
              </w:rPr>
            </w:pPr>
            <w:r w:rsidRPr="00AF704F">
              <w:rPr>
                <w:rFonts w:cs="Arial"/>
                <w:b/>
                <w:bCs/>
                <w:sz w:val="12"/>
                <w:szCs w:val="12"/>
              </w:rPr>
              <w:t>GAPDH</w:t>
            </w:r>
          </w:p>
        </w:tc>
        <w:tc>
          <w:tcPr>
            <w:tcW w:w="418" w:type="dxa"/>
            <w:noWrap/>
            <w:hideMark/>
          </w:tcPr>
          <w:p w14:paraId="1F02026E" w14:textId="77777777" w:rsidR="00C953CA" w:rsidRPr="00AF704F" w:rsidRDefault="00C953CA" w:rsidP="00C953CA">
            <w:pPr>
              <w:spacing w:line="480" w:lineRule="auto"/>
              <w:rPr>
                <w:rFonts w:cs="Arial"/>
                <w:b/>
                <w:bCs/>
                <w:sz w:val="12"/>
                <w:szCs w:val="12"/>
              </w:rPr>
            </w:pPr>
            <w:r w:rsidRPr="00AF704F">
              <w:rPr>
                <w:rFonts w:cs="Arial"/>
                <w:b/>
                <w:bCs/>
                <w:sz w:val="12"/>
                <w:szCs w:val="12"/>
              </w:rPr>
              <w:t>PFK</w:t>
            </w:r>
          </w:p>
        </w:tc>
        <w:tc>
          <w:tcPr>
            <w:tcW w:w="505" w:type="dxa"/>
            <w:noWrap/>
            <w:hideMark/>
          </w:tcPr>
          <w:p w14:paraId="2B240071" w14:textId="77777777" w:rsidR="00C953CA" w:rsidRPr="00AF704F" w:rsidRDefault="00C953CA" w:rsidP="00C953CA">
            <w:pPr>
              <w:spacing w:line="480" w:lineRule="auto"/>
              <w:rPr>
                <w:rFonts w:cs="Arial"/>
                <w:b/>
                <w:bCs/>
                <w:sz w:val="12"/>
                <w:szCs w:val="12"/>
              </w:rPr>
            </w:pPr>
            <w:r w:rsidRPr="00AF704F">
              <w:rPr>
                <w:rFonts w:cs="Arial"/>
                <w:b/>
                <w:bCs/>
                <w:sz w:val="12"/>
                <w:szCs w:val="12"/>
              </w:rPr>
              <w:t>L14-6</w:t>
            </w:r>
          </w:p>
        </w:tc>
        <w:tc>
          <w:tcPr>
            <w:tcW w:w="454" w:type="dxa"/>
            <w:noWrap/>
            <w:hideMark/>
          </w:tcPr>
          <w:p w14:paraId="1F31B7A9" w14:textId="77777777" w:rsidR="00C953CA" w:rsidRPr="00AF704F" w:rsidRDefault="00C953CA" w:rsidP="00C953CA">
            <w:pPr>
              <w:spacing w:line="480" w:lineRule="auto"/>
              <w:rPr>
                <w:rFonts w:cs="Arial"/>
                <w:b/>
                <w:bCs/>
                <w:sz w:val="12"/>
                <w:szCs w:val="12"/>
              </w:rPr>
            </w:pPr>
            <w:r w:rsidRPr="00AF704F">
              <w:rPr>
                <w:rFonts w:cs="Arial"/>
                <w:b/>
                <w:bCs/>
                <w:sz w:val="12"/>
                <w:szCs w:val="12"/>
              </w:rPr>
              <w:t>16-6</w:t>
            </w:r>
          </w:p>
        </w:tc>
      </w:tr>
      <w:tr w:rsidR="00AF704F" w:rsidRPr="00AF704F" w14:paraId="3CB405AD" w14:textId="77777777" w:rsidTr="001C52C1">
        <w:trPr>
          <w:trHeight w:val="332"/>
        </w:trPr>
        <w:tc>
          <w:tcPr>
            <w:tcW w:w="1390" w:type="dxa"/>
            <w:gridSpan w:val="2"/>
            <w:hideMark/>
          </w:tcPr>
          <w:p w14:paraId="58147909" w14:textId="3AF3F926" w:rsidR="00C953CA" w:rsidRPr="00AF704F" w:rsidRDefault="00C953CA" w:rsidP="00C953CA">
            <w:pPr>
              <w:spacing w:line="480" w:lineRule="auto"/>
              <w:rPr>
                <w:rFonts w:cs="Arial"/>
                <w:b/>
                <w:bCs/>
                <w:sz w:val="12"/>
                <w:szCs w:val="12"/>
              </w:rPr>
            </w:pPr>
            <w:r w:rsidRPr="00AF704F">
              <w:rPr>
                <w:rFonts w:cs="Arial"/>
                <w:b/>
                <w:bCs/>
                <w:sz w:val="12"/>
                <w:szCs w:val="12"/>
              </w:rPr>
              <w:t>Maximum accuracy</w:t>
            </w:r>
          </w:p>
        </w:tc>
        <w:tc>
          <w:tcPr>
            <w:tcW w:w="1206" w:type="dxa"/>
            <w:noWrap/>
            <w:hideMark/>
          </w:tcPr>
          <w:p w14:paraId="2474396B" w14:textId="77777777" w:rsidR="00C953CA" w:rsidRPr="00AF704F" w:rsidRDefault="00C953CA" w:rsidP="00C953CA">
            <w:pPr>
              <w:spacing w:line="480" w:lineRule="auto"/>
              <w:rPr>
                <w:rFonts w:cs="Arial"/>
                <w:b/>
                <w:bCs/>
                <w:sz w:val="12"/>
                <w:szCs w:val="12"/>
              </w:rPr>
            </w:pPr>
            <w:r w:rsidRPr="00AF704F">
              <w:rPr>
                <w:rFonts w:cs="Arial"/>
                <w:b/>
                <w:bCs/>
                <w:sz w:val="12"/>
                <w:szCs w:val="12"/>
              </w:rPr>
              <w:t>Youden's index (%)</w:t>
            </w:r>
          </w:p>
        </w:tc>
        <w:tc>
          <w:tcPr>
            <w:tcW w:w="639" w:type="dxa"/>
            <w:noWrap/>
            <w:hideMark/>
          </w:tcPr>
          <w:p w14:paraId="19CB8DF9" w14:textId="77777777" w:rsidR="00C953CA" w:rsidRPr="00AF704F" w:rsidRDefault="00C953CA" w:rsidP="00C953CA">
            <w:pPr>
              <w:spacing w:line="480" w:lineRule="auto"/>
              <w:rPr>
                <w:rFonts w:cs="Arial"/>
                <w:sz w:val="12"/>
                <w:szCs w:val="12"/>
              </w:rPr>
            </w:pPr>
            <w:r w:rsidRPr="00AF704F">
              <w:rPr>
                <w:rFonts w:cs="Arial"/>
                <w:sz w:val="12"/>
                <w:szCs w:val="12"/>
              </w:rPr>
              <w:t>93</w:t>
            </w:r>
          </w:p>
        </w:tc>
        <w:tc>
          <w:tcPr>
            <w:tcW w:w="684" w:type="dxa"/>
            <w:noWrap/>
            <w:hideMark/>
          </w:tcPr>
          <w:p w14:paraId="3112439A" w14:textId="77777777" w:rsidR="00C953CA" w:rsidRPr="00AF704F" w:rsidRDefault="00C953CA" w:rsidP="00C953CA">
            <w:pPr>
              <w:spacing w:line="480" w:lineRule="auto"/>
              <w:rPr>
                <w:rFonts w:cs="Arial"/>
                <w:sz w:val="12"/>
                <w:szCs w:val="12"/>
              </w:rPr>
            </w:pPr>
            <w:r w:rsidRPr="00AF704F">
              <w:rPr>
                <w:rFonts w:cs="Arial"/>
                <w:sz w:val="12"/>
                <w:szCs w:val="12"/>
              </w:rPr>
              <w:t>79</w:t>
            </w:r>
          </w:p>
        </w:tc>
        <w:tc>
          <w:tcPr>
            <w:tcW w:w="504" w:type="dxa"/>
            <w:noWrap/>
            <w:hideMark/>
          </w:tcPr>
          <w:p w14:paraId="24B842FD" w14:textId="77777777" w:rsidR="00C953CA" w:rsidRPr="00AF704F" w:rsidRDefault="00C953CA" w:rsidP="00C953CA">
            <w:pPr>
              <w:spacing w:line="480" w:lineRule="auto"/>
              <w:rPr>
                <w:rFonts w:cs="Arial"/>
                <w:sz w:val="12"/>
                <w:szCs w:val="12"/>
              </w:rPr>
            </w:pPr>
            <w:r w:rsidRPr="00AF704F">
              <w:rPr>
                <w:rFonts w:cs="Arial"/>
                <w:sz w:val="12"/>
                <w:szCs w:val="12"/>
              </w:rPr>
              <w:t>67</w:t>
            </w:r>
          </w:p>
        </w:tc>
        <w:tc>
          <w:tcPr>
            <w:tcW w:w="432" w:type="dxa"/>
            <w:noWrap/>
            <w:hideMark/>
          </w:tcPr>
          <w:p w14:paraId="4BEEA7CB" w14:textId="77777777" w:rsidR="00C953CA" w:rsidRPr="00AF704F" w:rsidRDefault="00C953CA" w:rsidP="00C953CA">
            <w:pPr>
              <w:spacing w:line="480" w:lineRule="auto"/>
              <w:rPr>
                <w:rFonts w:cs="Arial"/>
                <w:sz w:val="12"/>
                <w:szCs w:val="12"/>
              </w:rPr>
            </w:pPr>
            <w:r w:rsidRPr="00AF704F">
              <w:rPr>
                <w:rFonts w:cs="Arial"/>
                <w:sz w:val="12"/>
                <w:szCs w:val="12"/>
              </w:rPr>
              <w:t>47</w:t>
            </w:r>
          </w:p>
        </w:tc>
        <w:tc>
          <w:tcPr>
            <w:tcW w:w="540" w:type="dxa"/>
            <w:noWrap/>
            <w:hideMark/>
          </w:tcPr>
          <w:p w14:paraId="1DA80651" w14:textId="77777777" w:rsidR="00C953CA" w:rsidRPr="00AF704F" w:rsidRDefault="00C953CA" w:rsidP="00C953CA">
            <w:pPr>
              <w:spacing w:line="480" w:lineRule="auto"/>
              <w:rPr>
                <w:rFonts w:cs="Arial"/>
                <w:sz w:val="12"/>
                <w:szCs w:val="12"/>
              </w:rPr>
            </w:pPr>
            <w:r w:rsidRPr="00AF704F">
              <w:rPr>
                <w:rFonts w:cs="Arial"/>
                <w:sz w:val="12"/>
                <w:szCs w:val="12"/>
              </w:rPr>
              <w:t>47</w:t>
            </w:r>
          </w:p>
        </w:tc>
        <w:tc>
          <w:tcPr>
            <w:tcW w:w="504" w:type="dxa"/>
            <w:noWrap/>
            <w:hideMark/>
          </w:tcPr>
          <w:p w14:paraId="520716A9" w14:textId="77777777" w:rsidR="00C953CA" w:rsidRPr="00AF704F" w:rsidRDefault="00C953CA" w:rsidP="00C953CA">
            <w:pPr>
              <w:spacing w:line="480" w:lineRule="auto"/>
              <w:rPr>
                <w:rFonts w:cs="Arial"/>
                <w:sz w:val="12"/>
                <w:szCs w:val="12"/>
              </w:rPr>
            </w:pPr>
            <w:r w:rsidRPr="00AF704F">
              <w:rPr>
                <w:rFonts w:cs="Arial"/>
                <w:sz w:val="12"/>
                <w:szCs w:val="12"/>
              </w:rPr>
              <w:t>34</w:t>
            </w:r>
          </w:p>
        </w:tc>
        <w:tc>
          <w:tcPr>
            <w:tcW w:w="414" w:type="dxa"/>
            <w:noWrap/>
            <w:hideMark/>
          </w:tcPr>
          <w:p w14:paraId="74FD24F0" w14:textId="77777777" w:rsidR="00C953CA" w:rsidRPr="00AF704F" w:rsidRDefault="00C953CA" w:rsidP="00C953CA">
            <w:pPr>
              <w:spacing w:line="480" w:lineRule="auto"/>
              <w:rPr>
                <w:rFonts w:cs="Arial"/>
                <w:sz w:val="12"/>
                <w:szCs w:val="12"/>
              </w:rPr>
            </w:pPr>
            <w:r w:rsidRPr="00AF704F">
              <w:rPr>
                <w:rFonts w:cs="Arial"/>
                <w:sz w:val="12"/>
                <w:szCs w:val="12"/>
              </w:rPr>
              <w:t>25</w:t>
            </w:r>
          </w:p>
        </w:tc>
        <w:tc>
          <w:tcPr>
            <w:tcW w:w="540" w:type="dxa"/>
            <w:noWrap/>
            <w:hideMark/>
          </w:tcPr>
          <w:p w14:paraId="2E7EF955" w14:textId="77777777" w:rsidR="00C953CA" w:rsidRPr="00AF704F" w:rsidRDefault="00C953CA" w:rsidP="00C953CA">
            <w:pPr>
              <w:spacing w:line="480" w:lineRule="auto"/>
              <w:rPr>
                <w:rFonts w:cs="Arial"/>
                <w:sz w:val="12"/>
                <w:szCs w:val="12"/>
              </w:rPr>
            </w:pPr>
            <w:r w:rsidRPr="00AF704F">
              <w:rPr>
                <w:rFonts w:cs="Arial"/>
                <w:sz w:val="12"/>
                <w:szCs w:val="12"/>
              </w:rPr>
              <w:t>22</w:t>
            </w:r>
          </w:p>
        </w:tc>
        <w:tc>
          <w:tcPr>
            <w:tcW w:w="594" w:type="dxa"/>
            <w:noWrap/>
            <w:hideMark/>
          </w:tcPr>
          <w:p w14:paraId="58300C51" w14:textId="77777777" w:rsidR="00C953CA" w:rsidRPr="00AF704F" w:rsidRDefault="00C953CA" w:rsidP="00C953CA">
            <w:pPr>
              <w:spacing w:line="480" w:lineRule="auto"/>
              <w:rPr>
                <w:rFonts w:cs="Arial"/>
                <w:sz w:val="12"/>
                <w:szCs w:val="12"/>
              </w:rPr>
            </w:pPr>
            <w:r w:rsidRPr="00AF704F">
              <w:rPr>
                <w:rFonts w:cs="Arial"/>
                <w:sz w:val="12"/>
                <w:szCs w:val="12"/>
              </w:rPr>
              <w:t>10</w:t>
            </w:r>
          </w:p>
        </w:tc>
        <w:tc>
          <w:tcPr>
            <w:tcW w:w="584" w:type="dxa"/>
            <w:noWrap/>
            <w:hideMark/>
          </w:tcPr>
          <w:p w14:paraId="4655627B" w14:textId="77777777" w:rsidR="00C953CA" w:rsidRPr="00AF704F" w:rsidRDefault="00C953CA" w:rsidP="00C953CA">
            <w:pPr>
              <w:spacing w:line="480" w:lineRule="auto"/>
              <w:rPr>
                <w:rFonts w:cs="Arial"/>
                <w:sz w:val="12"/>
                <w:szCs w:val="12"/>
              </w:rPr>
            </w:pPr>
            <w:r w:rsidRPr="00AF704F">
              <w:rPr>
                <w:rFonts w:cs="Arial"/>
                <w:sz w:val="12"/>
                <w:szCs w:val="12"/>
              </w:rPr>
              <w:t>6</w:t>
            </w:r>
          </w:p>
        </w:tc>
        <w:tc>
          <w:tcPr>
            <w:tcW w:w="418" w:type="dxa"/>
            <w:noWrap/>
            <w:hideMark/>
          </w:tcPr>
          <w:p w14:paraId="54AFE778"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505" w:type="dxa"/>
            <w:noWrap/>
            <w:hideMark/>
          </w:tcPr>
          <w:p w14:paraId="7B4FB7D0"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454" w:type="dxa"/>
            <w:noWrap/>
            <w:hideMark/>
          </w:tcPr>
          <w:p w14:paraId="3C4BA2DE" w14:textId="77777777" w:rsidR="00C953CA" w:rsidRPr="00AF704F" w:rsidRDefault="00C953CA" w:rsidP="00C953CA">
            <w:pPr>
              <w:spacing w:line="480" w:lineRule="auto"/>
              <w:rPr>
                <w:rFonts w:cs="Arial"/>
                <w:sz w:val="12"/>
                <w:szCs w:val="12"/>
              </w:rPr>
            </w:pPr>
            <w:r w:rsidRPr="00AF704F">
              <w:rPr>
                <w:rFonts w:cs="Arial"/>
                <w:sz w:val="12"/>
                <w:szCs w:val="12"/>
              </w:rPr>
              <w:t>NA</w:t>
            </w:r>
          </w:p>
        </w:tc>
      </w:tr>
      <w:tr w:rsidR="00AF704F" w:rsidRPr="00AF704F" w14:paraId="232A6501" w14:textId="77777777" w:rsidTr="001C52C1">
        <w:trPr>
          <w:trHeight w:val="360"/>
        </w:trPr>
        <w:tc>
          <w:tcPr>
            <w:tcW w:w="1390" w:type="dxa"/>
            <w:gridSpan w:val="2"/>
            <w:hideMark/>
          </w:tcPr>
          <w:p w14:paraId="614A8E52" w14:textId="77777777" w:rsidR="00C953CA" w:rsidRPr="00AF704F" w:rsidRDefault="00C953CA" w:rsidP="00C953CA">
            <w:pPr>
              <w:spacing w:line="480" w:lineRule="auto"/>
              <w:rPr>
                <w:rFonts w:cs="Arial"/>
                <w:b/>
                <w:bCs/>
                <w:sz w:val="12"/>
                <w:szCs w:val="12"/>
              </w:rPr>
            </w:pPr>
            <w:r w:rsidRPr="00AF704F">
              <w:rPr>
                <w:rFonts w:cs="Arial"/>
                <w:b/>
                <w:bCs/>
                <w:sz w:val="12"/>
                <w:szCs w:val="12"/>
              </w:rPr>
              <w:t> </w:t>
            </w:r>
          </w:p>
        </w:tc>
        <w:tc>
          <w:tcPr>
            <w:tcW w:w="1206" w:type="dxa"/>
            <w:noWrap/>
            <w:hideMark/>
          </w:tcPr>
          <w:p w14:paraId="0442BCC7" w14:textId="3CA9EB97" w:rsidR="00C953CA" w:rsidRPr="00AF704F" w:rsidRDefault="002F39BC" w:rsidP="00C953CA">
            <w:pPr>
              <w:spacing w:line="480" w:lineRule="auto"/>
              <w:rPr>
                <w:rFonts w:cs="Arial"/>
                <w:b/>
                <w:bCs/>
                <w:sz w:val="12"/>
                <w:szCs w:val="12"/>
              </w:rPr>
            </w:pPr>
            <w:r w:rsidRPr="00AF704F">
              <w:rPr>
                <w:rFonts w:cs="Arial"/>
                <w:b/>
                <w:bCs/>
                <w:sz w:val="12"/>
                <w:szCs w:val="12"/>
              </w:rPr>
              <w:t>S</w:t>
            </w:r>
            <w:r w:rsidR="00C953CA" w:rsidRPr="00AF704F">
              <w:rPr>
                <w:rFonts w:cs="Arial"/>
                <w:b/>
                <w:bCs/>
                <w:sz w:val="12"/>
                <w:szCs w:val="12"/>
              </w:rPr>
              <w:t>ensitivity (%)</w:t>
            </w:r>
          </w:p>
        </w:tc>
        <w:tc>
          <w:tcPr>
            <w:tcW w:w="639" w:type="dxa"/>
            <w:noWrap/>
            <w:hideMark/>
          </w:tcPr>
          <w:p w14:paraId="0F50E1BB" w14:textId="77777777" w:rsidR="00C953CA" w:rsidRPr="00AF704F" w:rsidRDefault="00C953CA" w:rsidP="00C953CA">
            <w:pPr>
              <w:spacing w:line="480" w:lineRule="auto"/>
              <w:rPr>
                <w:rFonts w:cs="Arial"/>
                <w:sz w:val="12"/>
                <w:szCs w:val="12"/>
              </w:rPr>
            </w:pPr>
            <w:r w:rsidRPr="00AF704F">
              <w:rPr>
                <w:rFonts w:cs="Arial"/>
                <w:sz w:val="12"/>
                <w:szCs w:val="12"/>
              </w:rPr>
              <w:t>96</w:t>
            </w:r>
          </w:p>
        </w:tc>
        <w:tc>
          <w:tcPr>
            <w:tcW w:w="684" w:type="dxa"/>
            <w:noWrap/>
            <w:hideMark/>
          </w:tcPr>
          <w:p w14:paraId="2CF088B1" w14:textId="77777777" w:rsidR="00C953CA" w:rsidRPr="00AF704F" w:rsidRDefault="00C953CA" w:rsidP="00C953CA">
            <w:pPr>
              <w:spacing w:line="480" w:lineRule="auto"/>
              <w:rPr>
                <w:rFonts w:cs="Arial"/>
                <w:sz w:val="12"/>
                <w:szCs w:val="12"/>
              </w:rPr>
            </w:pPr>
            <w:r w:rsidRPr="00AF704F">
              <w:rPr>
                <w:rFonts w:cs="Arial"/>
                <w:sz w:val="12"/>
                <w:szCs w:val="12"/>
              </w:rPr>
              <w:t>90</w:t>
            </w:r>
          </w:p>
        </w:tc>
        <w:tc>
          <w:tcPr>
            <w:tcW w:w="504" w:type="dxa"/>
            <w:noWrap/>
            <w:hideMark/>
          </w:tcPr>
          <w:p w14:paraId="22B8CC43" w14:textId="77777777" w:rsidR="00C953CA" w:rsidRPr="00AF704F" w:rsidRDefault="00C953CA" w:rsidP="00C953CA">
            <w:pPr>
              <w:spacing w:line="480" w:lineRule="auto"/>
              <w:rPr>
                <w:rFonts w:cs="Arial"/>
                <w:sz w:val="12"/>
                <w:szCs w:val="12"/>
              </w:rPr>
            </w:pPr>
            <w:r w:rsidRPr="00AF704F">
              <w:rPr>
                <w:rFonts w:cs="Arial"/>
                <w:sz w:val="12"/>
                <w:szCs w:val="12"/>
              </w:rPr>
              <w:t>85</w:t>
            </w:r>
          </w:p>
        </w:tc>
        <w:tc>
          <w:tcPr>
            <w:tcW w:w="432" w:type="dxa"/>
            <w:noWrap/>
            <w:hideMark/>
          </w:tcPr>
          <w:p w14:paraId="2680F7A4" w14:textId="77777777" w:rsidR="00C953CA" w:rsidRPr="00AF704F" w:rsidRDefault="00C953CA" w:rsidP="00C953CA">
            <w:pPr>
              <w:spacing w:line="480" w:lineRule="auto"/>
              <w:rPr>
                <w:rFonts w:cs="Arial"/>
                <w:sz w:val="12"/>
                <w:szCs w:val="12"/>
              </w:rPr>
            </w:pPr>
            <w:r w:rsidRPr="00AF704F">
              <w:rPr>
                <w:rFonts w:cs="Arial"/>
                <w:sz w:val="12"/>
                <w:szCs w:val="12"/>
              </w:rPr>
              <w:t>77</w:t>
            </w:r>
          </w:p>
        </w:tc>
        <w:tc>
          <w:tcPr>
            <w:tcW w:w="540" w:type="dxa"/>
            <w:noWrap/>
            <w:hideMark/>
          </w:tcPr>
          <w:p w14:paraId="3CA90520" w14:textId="77777777" w:rsidR="00C953CA" w:rsidRPr="00AF704F" w:rsidRDefault="00C953CA" w:rsidP="00C953CA">
            <w:pPr>
              <w:spacing w:line="480" w:lineRule="auto"/>
              <w:rPr>
                <w:rFonts w:cs="Arial"/>
                <w:sz w:val="12"/>
                <w:szCs w:val="12"/>
              </w:rPr>
            </w:pPr>
            <w:r w:rsidRPr="00AF704F">
              <w:rPr>
                <w:rFonts w:cs="Arial"/>
                <w:sz w:val="12"/>
                <w:szCs w:val="12"/>
              </w:rPr>
              <w:t>81</w:t>
            </w:r>
          </w:p>
        </w:tc>
        <w:tc>
          <w:tcPr>
            <w:tcW w:w="504" w:type="dxa"/>
            <w:noWrap/>
            <w:hideMark/>
          </w:tcPr>
          <w:p w14:paraId="3B367F75" w14:textId="77777777" w:rsidR="00C953CA" w:rsidRPr="00AF704F" w:rsidRDefault="00C953CA" w:rsidP="00C953CA">
            <w:pPr>
              <w:spacing w:line="480" w:lineRule="auto"/>
              <w:rPr>
                <w:rFonts w:cs="Arial"/>
                <w:sz w:val="12"/>
                <w:szCs w:val="12"/>
              </w:rPr>
            </w:pPr>
            <w:r w:rsidRPr="00AF704F">
              <w:rPr>
                <w:rFonts w:cs="Arial"/>
                <w:sz w:val="12"/>
                <w:szCs w:val="12"/>
              </w:rPr>
              <w:t>75</w:t>
            </w:r>
          </w:p>
        </w:tc>
        <w:tc>
          <w:tcPr>
            <w:tcW w:w="414" w:type="dxa"/>
            <w:noWrap/>
            <w:hideMark/>
          </w:tcPr>
          <w:p w14:paraId="34C47562" w14:textId="77777777" w:rsidR="00C953CA" w:rsidRPr="00AF704F" w:rsidRDefault="00C953CA" w:rsidP="00C953CA">
            <w:pPr>
              <w:spacing w:line="480" w:lineRule="auto"/>
              <w:rPr>
                <w:rFonts w:cs="Arial"/>
                <w:sz w:val="12"/>
                <w:szCs w:val="12"/>
              </w:rPr>
            </w:pPr>
            <w:r w:rsidRPr="00AF704F">
              <w:rPr>
                <w:rFonts w:cs="Arial"/>
                <w:sz w:val="12"/>
                <w:szCs w:val="12"/>
              </w:rPr>
              <w:t>68</w:t>
            </w:r>
          </w:p>
        </w:tc>
        <w:tc>
          <w:tcPr>
            <w:tcW w:w="540" w:type="dxa"/>
            <w:noWrap/>
            <w:hideMark/>
          </w:tcPr>
          <w:p w14:paraId="6FD80E2F" w14:textId="77777777" w:rsidR="00C953CA" w:rsidRPr="00AF704F" w:rsidRDefault="00C953CA" w:rsidP="00C953CA">
            <w:pPr>
              <w:spacing w:line="480" w:lineRule="auto"/>
              <w:rPr>
                <w:rFonts w:cs="Arial"/>
                <w:sz w:val="12"/>
                <w:szCs w:val="12"/>
              </w:rPr>
            </w:pPr>
            <w:r w:rsidRPr="00AF704F">
              <w:rPr>
                <w:rFonts w:cs="Arial"/>
                <w:sz w:val="12"/>
                <w:szCs w:val="12"/>
              </w:rPr>
              <w:t>83</w:t>
            </w:r>
          </w:p>
        </w:tc>
        <w:tc>
          <w:tcPr>
            <w:tcW w:w="594" w:type="dxa"/>
            <w:noWrap/>
            <w:hideMark/>
          </w:tcPr>
          <w:p w14:paraId="4EA51C41" w14:textId="77777777" w:rsidR="00C953CA" w:rsidRPr="00AF704F" w:rsidRDefault="00C953CA" w:rsidP="00C953CA">
            <w:pPr>
              <w:spacing w:line="480" w:lineRule="auto"/>
              <w:rPr>
                <w:rFonts w:cs="Arial"/>
                <w:sz w:val="12"/>
                <w:szCs w:val="12"/>
              </w:rPr>
            </w:pPr>
            <w:r w:rsidRPr="00AF704F">
              <w:rPr>
                <w:rFonts w:cs="Arial"/>
                <w:sz w:val="12"/>
                <w:szCs w:val="12"/>
              </w:rPr>
              <w:t>91</w:t>
            </w:r>
          </w:p>
        </w:tc>
        <w:tc>
          <w:tcPr>
            <w:tcW w:w="584" w:type="dxa"/>
            <w:noWrap/>
            <w:hideMark/>
          </w:tcPr>
          <w:p w14:paraId="2F39DB22" w14:textId="77777777" w:rsidR="00C953CA" w:rsidRPr="00AF704F" w:rsidRDefault="00C953CA" w:rsidP="00C953CA">
            <w:pPr>
              <w:spacing w:line="480" w:lineRule="auto"/>
              <w:rPr>
                <w:rFonts w:cs="Arial"/>
                <w:sz w:val="12"/>
                <w:szCs w:val="12"/>
              </w:rPr>
            </w:pPr>
            <w:r w:rsidRPr="00AF704F">
              <w:rPr>
                <w:rFonts w:cs="Arial"/>
                <w:sz w:val="12"/>
                <w:szCs w:val="12"/>
              </w:rPr>
              <w:t>14</w:t>
            </w:r>
          </w:p>
        </w:tc>
        <w:tc>
          <w:tcPr>
            <w:tcW w:w="418" w:type="dxa"/>
            <w:noWrap/>
            <w:hideMark/>
          </w:tcPr>
          <w:p w14:paraId="599861F2"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505" w:type="dxa"/>
            <w:noWrap/>
            <w:hideMark/>
          </w:tcPr>
          <w:p w14:paraId="45F25C67"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454" w:type="dxa"/>
            <w:noWrap/>
            <w:hideMark/>
          </w:tcPr>
          <w:p w14:paraId="7DCFACF0" w14:textId="77777777" w:rsidR="00C953CA" w:rsidRPr="00AF704F" w:rsidRDefault="00C953CA" w:rsidP="00C953CA">
            <w:pPr>
              <w:spacing w:line="480" w:lineRule="auto"/>
              <w:rPr>
                <w:rFonts w:cs="Arial"/>
                <w:sz w:val="12"/>
                <w:szCs w:val="12"/>
              </w:rPr>
            </w:pPr>
            <w:r w:rsidRPr="00AF704F">
              <w:rPr>
                <w:rFonts w:cs="Arial"/>
                <w:sz w:val="12"/>
                <w:szCs w:val="12"/>
              </w:rPr>
              <w:t>NA</w:t>
            </w:r>
          </w:p>
        </w:tc>
      </w:tr>
      <w:tr w:rsidR="00AF704F" w:rsidRPr="00AF704F" w14:paraId="1A2F1AFB" w14:textId="77777777" w:rsidTr="001C52C1">
        <w:trPr>
          <w:trHeight w:val="360"/>
        </w:trPr>
        <w:tc>
          <w:tcPr>
            <w:tcW w:w="1390" w:type="dxa"/>
            <w:gridSpan w:val="2"/>
            <w:hideMark/>
          </w:tcPr>
          <w:p w14:paraId="2C71ADE8" w14:textId="77777777" w:rsidR="00C953CA" w:rsidRPr="00AF704F" w:rsidRDefault="00C953CA" w:rsidP="00C953CA">
            <w:pPr>
              <w:spacing w:line="480" w:lineRule="auto"/>
              <w:rPr>
                <w:rFonts w:cs="Arial"/>
                <w:b/>
                <w:bCs/>
                <w:sz w:val="12"/>
                <w:szCs w:val="12"/>
              </w:rPr>
            </w:pPr>
            <w:r w:rsidRPr="00AF704F">
              <w:rPr>
                <w:rFonts w:cs="Arial"/>
                <w:b/>
                <w:bCs/>
                <w:sz w:val="12"/>
                <w:szCs w:val="12"/>
              </w:rPr>
              <w:t> </w:t>
            </w:r>
          </w:p>
        </w:tc>
        <w:tc>
          <w:tcPr>
            <w:tcW w:w="1206" w:type="dxa"/>
            <w:noWrap/>
            <w:hideMark/>
          </w:tcPr>
          <w:p w14:paraId="20296F41" w14:textId="5DBFCFF4" w:rsidR="00C953CA" w:rsidRPr="00AF704F" w:rsidRDefault="002F39BC" w:rsidP="00C953CA">
            <w:pPr>
              <w:spacing w:line="480" w:lineRule="auto"/>
              <w:rPr>
                <w:rFonts w:cs="Arial"/>
                <w:b/>
                <w:bCs/>
                <w:sz w:val="12"/>
                <w:szCs w:val="12"/>
              </w:rPr>
            </w:pPr>
            <w:r w:rsidRPr="00AF704F">
              <w:rPr>
                <w:rFonts w:cs="Arial"/>
                <w:b/>
                <w:bCs/>
                <w:sz w:val="12"/>
                <w:szCs w:val="12"/>
              </w:rPr>
              <w:t>S</w:t>
            </w:r>
            <w:r w:rsidR="00C953CA" w:rsidRPr="00AF704F">
              <w:rPr>
                <w:rFonts w:cs="Arial"/>
                <w:b/>
                <w:bCs/>
                <w:sz w:val="12"/>
                <w:szCs w:val="12"/>
              </w:rPr>
              <w:t>pecificity (%)</w:t>
            </w:r>
          </w:p>
        </w:tc>
        <w:tc>
          <w:tcPr>
            <w:tcW w:w="639" w:type="dxa"/>
            <w:noWrap/>
            <w:hideMark/>
          </w:tcPr>
          <w:p w14:paraId="709DDF83" w14:textId="77777777" w:rsidR="00C953CA" w:rsidRPr="00AF704F" w:rsidRDefault="00C953CA" w:rsidP="00C953CA">
            <w:pPr>
              <w:spacing w:line="480" w:lineRule="auto"/>
              <w:rPr>
                <w:rFonts w:cs="Arial"/>
                <w:sz w:val="12"/>
                <w:szCs w:val="12"/>
              </w:rPr>
            </w:pPr>
            <w:r w:rsidRPr="00AF704F">
              <w:rPr>
                <w:rFonts w:cs="Arial"/>
                <w:sz w:val="12"/>
                <w:szCs w:val="12"/>
              </w:rPr>
              <w:t>97</w:t>
            </w:r>
          </w:p>
        </w:tc>
        <w:tc>
          <w:tcPr>
            <w:tcW w:w="684" w:type="dxa"/>
            <w:noWrap/>
            <w:hideMark/>
          </w:tcPr>
          <w:p w14:paraId="739488B1" w14:textId="77777777" w:rsidR="00C953CA" w:rsidRPr="00AF704F" w:rsidRDefault="00C953CA" w:rsidP="00C953CA">
            <w:pPr>
              <w:spacing w:line="480" w:lineRule="auto"/>
              <w:rPr>
                <w:rFonts w:cs="Arial"/>
                <w:sz w:val="12"/>
                <w:szCs w:val="12"/>
              </w:rPr>
            </w:pPr>
            <w:r w:rsidRPr="00AF704F">
              <w:rPr>
                <w:rFonts w:cs="Arial"/>
                <w:sz w:val="12"/>
                <w:szCs w:val="12"/>
              </w:rPr>
              <w:t>89</w:t>
            </w:r>
          </w:p>
        </w:tc>
        <w:tc>
          <w:tcPr>
            <w:tcW w:w="504" w:type="dxa"/>
            <w:noWrap/>
            <w:hideMark/>
          </w:tcPr>
          <w:p w14:paraId="244CE1EB" w14:textId="77777777" w:rsidR="00C953CA" w:rsidRPr="00AF704F" w:rsidRDefault="00C953CA" w:rsidP="00C953CA">
            <w:pPr>
              <w:spacing w:line="480" w:lineRule="auto"/>
              <w:rPr>
                <w:rFonts w:cs="Arial"/>
                <w:sz w:val="12"/>
                <w:szCs w:val="12"/>
              </w:rPr>
            </w:pPr>
            <w:r w:rsidRPr="00AF704F">
              <w:rPr>
                <w:rFonts w:cs="Arial"/>
                <w:sz w:val="12"/>
                <w:szCs w:val="12"/>
              </w:rPr>
              <w:t>81</w:t>
            </w:r>
          </w:p>
        </w:tc>
        <w:tc>
          <w:tcPr>
            <w:tcW w:w="432" w:type="dxa"/>
            <w:noWrap/>
            <w:hideMark/>
          </w:tcPr>
          <w:p w14:paraId="3483B256" w14:textId="77777777" w:rsidR="00C953CA" w:rsidRPr="00AF704F" w:rsidRDefault="00C953CA" w:rsidP="00C953CA">
            <w:pPr>
              <w:spacing w:line="480" w:lineRule="auto"/>
              <w:rPr>
                <w:rFonts w:cs="Arial"/>
                <w:sz w:val="12"/>
                <w:szCs w:val="12"/>
              </w:rPr>
            </w:pPr>
            <w:r w:rsidRPr="00AF704F">
              <w:rPr>
                <w:rFonts w:cs="Arial"/>
                <w:sz w:val="12"/>
                <w:szCs w:val="12"/>
              </w:rPr>
              <w:t>70</w:t>
            </w:r>
          </w:p>
        </w:tc>
        <w:tc>
          <w:tcPr>
            <w:tcW w:w="540" w:type="dxa"/>
            <w:noWrap/>
            <w:hideMark/>
          </w:tcPr>
          <w:p w14:paraId="3B5D6F66" w14:textId="77777777" w:rsidR="00C953CA" w:rsidRPr="00AF704F" w:rsidRDefault="00C953CA" w:rsidP="00C953CA">
            <w:pPr>
              <w:spacing w:line="480" w:lineRule="auto"/>
              <w:rPr>
                <w:rFonts w:cs="Arial"/>
                <w:sz w:val="12"/>
                <w:szCs w:val="12"/>
              </w:rPr>
            </w:pPr>
            <w:r w:rsidRPr="00AF704F">
              <w:rPr>
                <w:rFonts w:cs="Arial"/>
                <w:sz w:val="12"/>
                <w:szCs w:val="12"/>
              </w:rPr>
              <w:t>65</w:t>
            </w:r>
          </w:p>
        </w:tc>
        <w:tc>
          <w:tcPr>
            <w:tcW w:w="504" w:type="dxa"/>
            <w:noWrap/>
            <w:hideMark/>
          </w:tcPr>
          <w:p w14:paraId="0A8773F3" w14:textId="77777777" w:rsidR="00C953CA" w:rsidRPr="00AF704F" w:rsidRDefault="00C953CA" w:rsidP="00C953CA">
            <w:pPr>
              <w:spacing w:line="480" w:lineRule="auto"/>
              <w:rPr>
                <w:rFonts w:cs="Arial"/>
                <w:sz w:val="12"/>
                <w:szCs w:val="12"/>
              </w:rPr>
            </w:pPr>
            <w:r w:rsidRPr="00AF704F">
              <w:rPr>
                <w:rFonts w:cs="Arial"/>
                <w:sz w:val="12"/>
                <w:szCs w:val="12"/>
              </w:rPr>
              <w:t>59</w:t>
            </w:r>
          </w:p>
        </w:tc>
        <w:tc>
          <w:tcPr>
            <w:tcW w:w="414" w:type="dxa"/>
            <w:noWrap/>
            <w:hideMark/>
          </w:tcPr>
          <w:p w14:paraId="0977E73B" w14:textId="77777777" w:rsidR="00C953CA" w:rsidRPr="00AF704F" w:rsidRDefault="00C953CA" w:rsidP="00C953CA">
            <w:pPr>
              <w:spacing w:line="480" w:lineRule="auto"/>
              <w:rPr>
                <w:rFonts w:cs="Arial"/>
                <w:sz w:val="12"/>
                <w:szCs w:val="12"/>
              </w:rPr>
            </w:pPr>
            <w:r w:rsidRPr="00AF704F">
              <w:rPr>
                <w:rFonts w:cs="Arial"/>
                <w:sz w:val="12"/>
                <w:szCs w:val="12"/>
              </w:rPr>
              <w:t>57</w:t>
            </w:r>
          </w:p>
        </w:tc>
        <w:tc>
          <w:tcPr>
            <w:tcW w:w="540" w:type="dxa"/>
            <w:noWrap/>
            <w:hideMark/>
          </w:tcPr>
          <w:p w14:paraId="57EE6D84" w14:textId="77777777" w:rsidR="00C953CA" w:rsidRPr="00AF704F" w:rsidRDefault="00C953CA" w:rsidP="00C953CA">
            <w:pPr>
              <w:spacing w:line="480" w:lineRule="auto"/>
              <w:rPr>
                <w:rFonts w:cs="Arial"/>
                <w:sz w:val="12"/>
                <w:szCs w:val="12"/>
              </w:rPr>
            </w:pPr>
            <w:r w:rsidRPr="00AF704F">
              <w:rPr>
                <w:rFonts w:cs="Arial"/>
                <w:sz w:val="12"/>
                <w:szCs w:val="12"/>
              </w:rPr>
              <w:t>39</w:t>
            </w:r>
          </w:p>
        </w:tc>
        <w:tc>
          <w:tcPr>
            <w:tcW w:w="594" w:type="dxa"/>
            <w:noWrap/>
            <w:hideMark/>
          </w:tcPr>
          <w:p w14:paraId="70EC4BCC" w14:textId="77777777" w:rsidR="00C953CA" w:rsidRPr="00AF704F" w:rsidRDefault="00C953CA" w:rsidP="00C953CA">
            <w:pPr>
              <w:spacing w:line="480" w:lineRule="auto"/>
              <w:rPr>
                <w:rFonts w:cs="Arial"/>
                <w:sz w:val="12"/>
                <w:szCs w:val="12"/>
              </w:rPr>
            </w:pPr>
            <w:r w:rsidRPr="00AF704F">
              <w:rPr>
                <w:rFonts w:cs="Arial"/>
                <w:sz w:val="12"/>
                <w:szCs w:val="12"/>
              </w:rPr>
              <w:t>19</w:t>
            </w:r>
          </w:p>
        </w:tc>
        <w:tc>
          <w:tcPr>
            <w:tcW w:w="584" w:type="dxa"/>
            <w:noWrap/>
            <w:hideMark/>
          </w:tcPr>
          <w:p w14:paraId="3424D210" w14:textId="77777777" w:rsidR="00C953CA" w:rsidRPr="00AF704F" w:rsidRDefault="00C953CA" w:rsidP="00C953CA">
            <w:pPr>
              <w:spacing w:line="480" w:lineRule="auto"/>
              <w:rPr>
                <w:rFonts w:cs="Arial"/>
                <w:sz w:val="12"/>
                <w:szCs w:val="12"/>
              </w:rPr>
            </w:pPr>
            <w:r w:rsidRPr="00AF704F">
              <w:rPr>
                <w:rFonts w:cs="Arial"/>
                <w:sz w:val="12"/>
                <w:szCs w:val="12"/>
              </w:rPr>
              <w:t>92</w:t>
            </w:r>
          </w:p>
        </w:tc>
        <w:tc>
          <w:tcPr>
            <w:tcW w:w="418" w:type="dxa"/>
            <w:noWrap/>
            <w:hideMark/>
          </w:tcPr>
          <w:p w14:paraId="039B7A85"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505" w:type="dxa"/>
            <w:noWrap/>
            <w:hideMark/>
          </w:tcPr>
          <w:p w14:paraId="7EB7F776"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454" w:type="dxa"/>
            <w:noWrap/>
            <w:hideMark/>
          </w:tcPr>
          <w:p w14:paraId="729D5E14" w14:textId="77777777" w:rsidR="00C953CA" w:rsidRPr="00AF704F" w:rsidRDefault="00C953CA" w:rsidP="00C953CA">
            <w:pPr>
              <w:spacing w:line="480" w:lineRule="auto"/>
              <w:rPr>
                <w:rFonts w:cs="Arial"/>
                <w:sz w:val="12"/>
                <w:szCs w:val="12"/>
              </w:rPr>
            </w:pPr>
            <w:r w:rsidRPr="00AF704F">
              <w:rPr>
                <w:rFonts w:cs="Arial"/>
                <w:sz w:val="12"/>
                <w:szCs w:val="12"/>
              </w:rPr>
              <w:t>NA</w:t>
            </w:r>
          </w:p>
        </w:tc>
      </w:tr>
      <w:tr w:rsidR="00AF704F" w:rsidRPr="00AF704F" w14:paraId="47BDAEF7" w14:textId="77777777" w:rsidTr="001C52C1">
        <w:trPr>
          <w:trHeight w:val="360"/>
        </w:trPr>
        <w:tc>
          <w:tcPr>
            <w:tcW w:w="976" w:type="dxa"/>
            <w:hideMark/>
          </w:tcPr>
          <w:p w14:paraId="1C2AD073" w14:textId="77777777" w:rsidR="00C953CA" w:rsidRPr="00AF704F" w:rsidRDefault="00C953CA" w:rsidP="00C953CA">
            <w:pPr>
              <w:spacing w:line="480" w:lineRule="auto"/>
              <w:rPr>
                <w:rFonts w:cs="Arial"/>
                <w:b/>
                <w:bCs/>
                <w:sz w:val="12"/>
                <w:szCs w:val="12"/>
              </w:rPr>
            </w:pPr>
            <w:r w:rsidRPr="00AF704F">
              <w:rPr>
                <w:rFonts w:cs="Arial"/>
                <w:b/>
                <w:bCs/>
                <w:sz w:val="12"/>
                <w:szCs w:val="12"/>
              </w:rPr>
              <w:t>Specificity (%)</w:t>
            </w:r>
          </w:p>
        </w:tc>
        <w:tc>
          <w:tcPr>
            <w:tcW w:w="414" w:type="dxa"/>
            <w:hideMark/>
          </w:tcPr>
          <w:p w14:paraId="318B8746" w14:textId="77777777" w:rsidR="00C953CA" w:rsidRPr="00AF704F" w:rsidRDefault="00C953CA" w:rsidP="00C953CA">
            <w:pPr>
              <w:spacing w:line="480" w:lineRule="auto"/>
              <w:rPr>
                <w:rFonts w:cs="Arial"/>
                <w:b/>
                <w:bCs/>
                <w:sz w:val="12"/>
                <w:szCs w:val="12"/>
              </w:rPr>
            </w:pPr>
            <w:r w:rsidRPr="00AF704F">
              <w:rPr>
                <w:rFonts w:cs="Arial"/>
                <w:b/>
                <w:bCs/>
                <w:sz w:val="12"/>
                <w:szCs w:val="12"/>
              </w:rPr>
              <w:t>100</w:t>
            </w:r>
          </w:p>
        </w:tc>
        <w:tc>
          <w:tcPr>
            <w:tcW w:w="1206" w:type="dxa"/>
            <w:noWrap/>
            <w:hideMark/>
          </w:tcPr>
          <w:p w14:paraId="50D14472" w14:textId="2299A426" w:rsidR="00C953CA" w:rsidRPr="00AF704F" w:rsidRDefault="002F39BC" w:rsidP="00C953CA">
            <w:pPr>
              <w:spacing w:line="480" w:lineRule="auto"/>
              <w:rPr>
                <w:rFonts w:cs="Arial"/>
                <w:b/>
                <w:bCs/>
                <w:sz w:val="12"/>
                <w:szCs w:val="12"/>
              </w:rPr>
            </w:pPr>
            <w:r w:rsidRPr="00AF704F">
              <w:rPr>
                <w:rFonts w:cs="Arial"/>
                <w:b/>
                <w:bCs/>
                <w:sz w:val="12"/>
                <w:szCs w:val="12"/>
              </w:rPr>
              <w:t>S</w:t>
            </w:r>
            <w:r w:rsidR="00C953CA" w:rsidRPr="00AF704F">
              <w:rPr>
                <w:rFonts w:cs="Arial"/>
                <w:b/>
                <w:bCs/>
                <w:sz w:val="12"/>
                <w:szCs w:val="12"/>
              </w:rPr>
              <w:t>ensitivity (%)</w:t>
            </w:r>
          </w:p>
        </w:tc>
        <w:tc>
          <w:tcPr>
            <w:tcW w:w="639" w:type="dxa"/>
            <w:noWrap/>
            <w:hideMark/>
          </w:tcPr>
          <w:p w14:paraId="073BB637" w14:textId="77777777" w:rsidR="00C953CA" w:rsidRPr="00AF704F" w:rsidRDefault="00C953CA" w:rsidP="00C953CA">
            <w:pPr>
              <w:spacing w:line="480" w:lineRule="auto"/>
              <w:rPr>
                <w:rFonts w:cs="Arial"/>
                <w:sz w:val="12"/>
                <w:szCs w:val="12"/>
              </w:rPr>
            </w:pPr>
            <w:r w:rsidRPr="00AF704F">
              <w:rPr>
                <w:rFonts w:cs="Arial"/>
                <w:sz w:val="12"/>
                <w:szCs w:val="12"/>
              </w:rPr>
              <w:t>37</w:t>
            </w:r>
          </w:p>
        </w:tc>
        <w:tc>
          <w:tcPr>
            <w:tcW w:w="684" w:type="dxa"/>
            <w:noWrap/>
            <w:hideMark/>
          </w:tcPr>
          <w:p w14:paraId="18CA0592" w14:textId="77777777" w:rsidR="00C953CA" w:rsidRPr="00AF704F" w:rsidRDefault="00C953CA" w:rsidP="00C953CA">
            <w:pPr>
              <w:spacing w:line="480" w:lineRule="auto"/>
              <w:rPr>
                <w:rFonts w:cs="Arial"/>
                <w:sz w:val="12"/>
                <w:szCs w:val="12"/>
              </w:rPr>
            </w:pPr>
            <w:r w:rsidRPr="00AF704F">
              <w:rPr>
                <w:rFonts w:cs="Arial"/>
                <w:sz w:val="12"/>
                <w:szCs w:val="12"/>
              </w:rPr>
              <w:t>47</w:t>
            </w:r>
          </w:p>
        </w:tc>
        <w:tc>
          <w:tcPr>
            <w:tcW w:w="504" w:type="dxa"/>
            <w:noWrap/>
            <w:hideMark/>
          </w:tcPr>
          <w:p w14:paraId="19445E40" w14:textId="77777777" w:rsidR="00C953CA" w:rsidRPr="00AF704F" w:rsidRDefault="00C953CA" w:rsidP="00C953CA">
            <w:pPr>
              <w:spacing w:line="480" w:lineRule="auto"/>
              <w:rPr>
                <w:rFonts w:cs="Arial"/>
                <w:sz w:val="12"/>
                <w:szCs w:val="12"/>
              </w:rPr>
            </w:pPr>
            <w:r w:rsidRPr="00AF704F">
              <w:rPr>
                <w:rFonts w:cs="Arial"/>
                <w:sz w:val="12"/>
                <w:szCs w:val="12"/>
              </w:rPr>
              <w:t>3</w:t>
            </w:r>
          </w:p>
        </w:tc>
        <w:tc>
          <w:tcPr>
            <w:tcW w:w="432" w:type="dxa"/>
            <w:noWrap/>
            <w:hideMark/>
          </w:tcPr>
          <w:p w14:paraId="6EE0772B" w14:textId="77777777" w:rsidR="00C953CA" w:rsidRPr="00AF704F" w:rsidRDefault="00C953CA" w:rsidP="00C953CA">
            <w:pPr>
              <w:spacing w:line="480" w:lineRule="auto"/>
              <w:rPr>
                <w:rFonts w:cs="Arial"/>
                <w:sz w:val="12"/>
                <w:szCs w:val="12"/>
              </w:rPr>
            </w:pPr>
            <w:r w:rsidRPr="00AF704F">
              <w:rPr>
                <w:rFonts w:cs="Arial"/>
                <w:sz w:val="12"/>
                <w:szCs w:val="12"/>
              </w:rPr>
              <w:t>0</w:t>
            </w:r>
          </w:p>
        </w:tc>
        <w:tc>
          <w:tcPr>
            <w:tcW w:w="540" w:type="dxa"/>
            <w:noWrap/>
            <w:hideMark/>
          </w:tcPr>
          <w:p w14:paraId="3448961F" w14:textId="77777777" w:rsidR="00C953CA" w:rsidRPr="00AF704F" w:rsidRDefault="00C953CA" w:rsidP="00C953CA">
            <w:pPr>
              <w:spacing w:line="480" w:lineRule="auto"/>
              <w:rPr>
                <w:rFonts w:cs="Arial"/>
                <w:sz w:val="12"/>
                <w:szCs w:val="12"/>
              </w:rPr>
            </w:pPr>
            <w:r w:rsidRPr="00AF704F">
              <w:rPr>
                <w:rFonts w:cs="Arial"/>
                <w:sz w:val="12"/>
                <w:szCs w:val="12"/>
              </w:rPr>
              <w:t>0</w:t>
            </w:r>
          </w:p>
        </w:tc>
        <w:tc>
          <w:tcPr>
            <w:tcW w:w="504" w:type="dxa"/>
            <w:noWrap/>
            <w:hideMark/>
          </w:tcPr>
          <w:p w14:paraId="5FB3F382" w14:textId="77777777" w:rsidR="00C953CA" w:rsidRPr="00AF704F" w:rsidRDefault="00C953CA" w:rsidP="00C953CA">
            <w:pPr>
              <w:spacing w:line="480" w:lineRule="auto"/>
              <w:rPr>
                <w:rFonts w:cs="Arial"/>
                <w:sz w:val="12"/>
                <w:szCs w:val="12"/>
              </w:rPr>
            </w:pPr>
            <w:r w:rsidRPr="00AF704F">
              <w:rPr>
                <w:rFonts w:cs="Arial"/>
                <w:sz w:val="12"/>
                <w:szCs w:val="12"/>
              </w:rPr>
              <w:t>1</w:t>
            </w:r>
          </w:p>
        </w:tc>
        <w:tc>
          <w:tcPr>
            <w:tcW w:w="414" w:type="dxa"/>
            <w:noWrap/>
            <w:hideMark/>
          </w:tcPr>
          <w:p w14:paraId="1591B0AC" w14:textId="77777777" w:rsidR="00C953CA" w:rsidRPr="00AF704F" w:rsidRDefault="00C953CA" w:rsidP="00C953CA">
            <w:pPr>
              <w:spacing w:line="480" w:lineRule="auto"/>
              <w:rPr>
                <w:rFonts w:cs="Arial"/>
                <w:sz w:val="12"/>
                <w:szCs w:val="12"/>
              </w:rPr>
            </w:pPr>
            <w:r w:rsidRPr="00AF704F">
              <w:rPr>
                <w:rFonts w:cs="Arial"/>
                <w:sz w:val="12"/>
                <w:szCs w:val="12"/>
              </w:rPr>
              <w:t>1</w:t>
            </w:r>
          </w:p>
        </w:tc>
        <w:tc>
          <w:tcPr>
            <w:tcW w:w="540" w:type="dxa"/>
            <w:noWrap/>
            <w:hideMark/>
          </w:tcPr>
          <w:p w14:paraId="11338649" w14:textId="77777777" w:rsidR="00C953CA" w:rsidRPr="00AF704F" w:rsidRDefault="00C953CA" w:rsidP="00C953CA">
            <w:pPr>
              <w:spacing w:line="480" w:lineRule="auto"/>
              <w:rPr>
                <w:rFonts w:cs="Arial"/>
                <w:sz w:val="12"/>
                <w:szCs w:val="12"/>
              </w:rPr>
            </w:pPr>
            <w:r w:rsidRPr="00AF704F">
              <w:rPr>
                <w:rFonts w:cs="Arial"/>
                <w:sz w:val="12"/>
                <w:szCs w:val="12"/>
              </w:rPr>
              <w:t>0</w:t>
            </w:r>
          </w:p>
        </w:tc>
        <w:tc>
          <w:tcPr>
            <w:tcW w:w="594" w:type="dxa"/>
            <w:noWrap/>
            <w:hideMark/>
          </w:tcPr>
          <w:p w14:paraId="00B36328" w14:textId="77777777" w:rsidR="00C953CA" w:rsidRPr="00AF704F" w:rsidRDefault="00C953CA" w:rsidP="00C953CA">
            <w:pPr>
              <w:spacing w:line="480" w:lineRule="auto"/>
              <w:rPr>
                <w:rFonts w:cs="Arial"/>
                <w:sz w:val="12"/>
                <w:szCs w:val="12"/>
              </w:rPr>
            </w:pPr>
            <w:r w:rsidRPr="00AF704F">
              <w:rPr>
                <w:rFonts w:cs="Arial"/>
                <w:sz w:val="12"/>
                <w:szCs w:val="12"/>
              </w:rPr>
              <w:t>0</w:t>
            </w:r>
          </w:p>
        </w:tc>
        <w:tc>
          <w:tcPr>
            <w:tcW w:w="584" w:type="dxa"/>
            <w:noWrap/>
            <w:hideMark/>
          </w:tcPr>
          <w:p w14:paraId="7CEFB7B1" w14:textId="77777777" w:rsidR="00C953CA" w:rsidRPr="00AF704F" w:rsidRDefault="00C953CA" w:rsidP="00C953CA">
            <w:pPr>
              <w:spacing w:line="480" w:lineRule="auto"/>
              <w:rPr>
                <w:rFonts w:cs="Arial"/>
                <w:sz w:val="12"/>
                <w:szCs w:val="12"/>
              </w:rPr>
            </w:pPr>
            <w:r w:rsidRPr="00AF704F">
              <w:rPr>
                <w:rFonts w:cs="Arial"/>
                <w:sz w:val="12"/>
                <w:szCs w:val="12"/>
              </w:rPr>
              <w:t>1</w:t>
            </w:r>
          </w:p>
        </w:tc>
        <w:tc>
          <w:tcPr>
            <w:tcW w:w="418" w:type="dxa"/>
            <w:noWrap/>
            <w:hideMark/>
          </w:tcPr>
          <w:p w14:paraId="1366EA0E"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505" w:type="dxa"/>
            <w:noWrap/>
            <w:hideMark/>
          </w:tcPr>
          <w:p w14:paraId="6E2DD78D"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454" w:type="dxa"/>
            <w:noWrap/>
            <w:hideMark/>
          </w:tcPr>
          <w:p w14:paraId="6FB32C76" w14:textId="77777777" w:rsidR="00C953CA" w:rsidRPr="00AF704F" w:rsidRDefault="00C953CA" w:rsidP="00C953CA">
            <w:pPr>
              <w:spacing w:line="480" w:lineRule="auto"/>
              <w:rPr>
                <w:rFonts w:cs="Arial"/>
                <w:sz w:val="12"/>
                <w:szCs w:val="12"/>
              </w:rPr>
            </w:pPr>
            <w:r w:rsidRPr="00AF704F">
              <w:rPr>
                <w:rFonts w:cs="Arial"/>
                <w:sz w:val="12"/>
                <w:szCs w:val="12"/>
              </w:rPr>
              <w:t>NA</w:t>
            </w:r>
          </w:p>
        </w:tc>
      </w:tr>
      <w:tr w:rsidR="00AF704F" w:rsidRPr="00AF704F" w14:paraId="0C9AEB36" w14:textId="77777777" w:rsidTr="001C52C1">
        <w:trPr>
          <w:trHeight w:val="360"/>
        </w:trPr>
        <w:tc>
          <w:tcPr>
            <w:tcW w:w="976" w:type="dxa"/>
            <w:hideMark/>
          </w:tcPr>
          <w:p w14:paraId="52EE1C8F" w14:textId="77777777" w:rsidR="00C953CA" w:rsidRPr="00AF704F" w:rsidRDefault="00C953CA" w:rsidP="00C953CA">
            <w:pPr>
              <w:spacing w:line="480" w:lineRule="auto"/>
              <w:rPr>
                <w:rFonts w:cs="Arial"/>
                <w:b/>
                <w:bCs/>
                <w:sz w:val="12"/>
                <w:szCs w:val="12"/>
              </w:rPr>
            </w:pPr>
            <w:r w:rsidRPr="00AF704F">
              <w:rPr>
                <w:rFonts w:cs="Arial"/>
                <w:b/>
                <w:bCs/>
                <w:sz w:val="12"/>
                <w:szCs w:val="12"/>
              </w:rPr>
              <w:t> </w:t>
            </w:r>
          </w:p>
        </w:tc>
        <w:tc>
          <w:tcPr>
            <w:tcW w:w="414" w:type="dxa"/>
            <w:hideMark/>
          </w:tcPr>
          <w:p w14:paraId="13CA8A32" w14:textId="77777777" w:rsidR="00C953CA" w:rsidRPr="00AF704F" w:rsidRDefault="00C953CA" w:rsidP="00C953CA">
            <w:pPr>
              <w:spacing w:line="480" w:lineRule="auto"/>
              <w:rPr>
                <w:rFonts w:cs="Arial"/>
                <w:b/>
                <w:bCs/>
                <w:sz w:val="12"/>
                <w:szCs w:val="12"/>
              </w:rPr>
            </w:pPr>
            <w:r w:rsidRPr="00AF704F">
              <w:rPr>
                <w:rFonts w:cs="Arial"/>
                <w:b/>
                <w:bCs/>
                <w:sz w:val="12"/>
                <w:szCs w:val="12"/>
              </w:rPr>
              <w:t>90</w:t>
            </w:r>
          </w:p>
        </w:tc>
        <w:tc>
          <w:tcPr>
            <w:tcW w:w="1206" w:type="dxa"/>
            <w:noWrap/>
            <w:hideMark/>
          </w:tcPr>
          <w:p w14:paraId="5C245763" w14:textId="7B3B1DD8" w:rsidR="00C953CA" w:rsidRPr="00AF704F" w:rsidRDefault="002F39BC" w:rsidP="00C953CA">
            <w:pPr>
              <w:spacing w:line="480" w:lineRule="auto"/>
              <w:rPr>
                <w:rFonts w:cs="Arial"/>
                <w:b/>
                <w:bCs/>
                <w:sz w:val="12"/>
                <w:szCs w:val="12"/>
              </w:rPr>
            </w:pPr>
            <w:r w:rsidRPr="00AF704F">
              <w:rPr>
                <w:rFonts w:cs="Arial"/>
                <w:b/>
                <w:bCs/>
                <w:sz w:val="12"/>
                <w:szCs w:val="12"/>
              </w:rPr>
              <w:t>S</w:t>
            </w:r>
            <w:r w:rsidR="00C953CA" w:rsidRPr="00AF704F">
              <w:rPr>
                <w:rFonts w:cs="Arial"/>
                <w:b/>
                <w:bCs/>
                <w:sz w:val="12"/>
                <w:szCs w:val="12"/>
              </w:rPr>
              <w:t>ensitivity (%)</w:t>
            </w:r>
          </w:p>
        </w:tc>
        <w:tc>
          <w:tcPr>
            <w:tcW w:w="639" w:type="dxa"/>
            <w:noWrap/>
            <w:hideMark/>
          </w:tcPr>
          <w:p w14:paraId="793945C8" w14:textId="77777777" w:rsidR="00C953CA" w:rsidRPr="00AF704F" w:rsidRDefault="00C953CA" w:rsidP="00C953CA">
            <w:pPr>
              <w:spacing w:line="480" w:lineRule="auto"/>
              <w:rPr>
                <w:rFonts w:cs="Arial"/>
                <w:sz w:val="12"/>
                <w:szCs w:val="12"/>
              </w:rPr>
            </w:pPr>
            <w:r w:rsidRPr="00AF704F">
              <w:rPr>
                <w:rFonts w:cs="Arial"/>
                <w:sz w:val="12"/>
                <w:szCs w:val="12"/>
              </w:rPr>
              <w:t>97</w:t>
            </w:r>
          </w:p>
        </w:tc>
        <w:tc>
          <w:tcPr>
            <w:tcW w:w="684" w:type="dxa"/>
            <w:noWrap/>
            <w:hideMark/>
          </w:tcPr>
          <w:p w14:paraId="2536FB2D" w14:textId="77777777" w:rsidR="00C953CA" w:rsidRPr="00AF704F" w:rsidRDefault="00C953CA" w:rsidP="00C953CA">
            <w:pPr>
              <w:spacing w:line="480" w:lineRule="auto"/>
              <w:rPr>
                <w:rFonts w:cs="Arial"/>
                <w:sz w:val="12"/>
                <w:szCs w:val="12"/>
              </w:rPr>
            </w:pPr>
            <w:r w:rsidRPr="00AF704F">
              <w:rPr>
                <w:rFonts w:cs="Arial"/>
                <w:sz w:val="12"/>
                <w:szCs w:val="12"/>
              </w:rPr>
              <w:t>87</w:t>
            </w:r>
          </w:p>
        </w:tc>
        <w:tc>
          <w:tcPr>
            <w:tcW w:w="504" w:type="dxa"/>
            <w:noWrap/>
            <w:hideMark/>
          </w:tcPr>
          <w:p w14:paraId="494EA804" w14:textId="77777777" w:rsidR="00C953CA" w:rsidRPr="00AF704F" w:rsidRDefault="00C953CA" w:rsidP="00C953CA">
            <w:pPr>
              <w:spacing w:line="480" w:lineRule="auto"/>
              <w:rPr>
                <w:rFonts w:cs="Arial"/>
                <w:sz w:val="12"/>
                <w:szCs w:val="12"/>
              </w:rPr>
            </w:pPr>
            <w:r w:rsidRPr="00AF704F">
              <w:rPr>
                <w:rFonts w:cs="Arial"/>
                <w:sz w:val="12"/>
                <w:szCs w:val="12"/>
              </w:rPr>
              <w:t>71</w:t>
            </w:r>
          </w:p>
        </w:tc>
        <w:tc>
          <w:tcPr>
            <w:tcW w:w="432" w:type="dxa"/>
            <w:noWrap/>
            <w:hideMark/>
          </w:tcPr>
          <w:p w14:paraId="699083E8" w14:textId="77777777" w:rsidR="00C953CA" w:rsidRPr="00AF704F" w:rsidRDefault="00C953CA" w:rsidP="00C953CA">
            <w:pPr>
              <w:spacing w:line="480" w:lineRule="auto"/>
              <w:rPr>
                <w:rFonts w:cs="Arial"/>
                <w:sz w:val="12"/>
                <w:szCs w:val="12"/>
              </w:rPr>
            </w:pPr>
            <w:r w:rsidRPr="00AF704F">
              <w:rPr>
                <w:rFonts w:cs="Arial"/>
                <w:sz w:val="12"/>
                <w:szCs w:val="12"/>
              </w:rPr>
              <w:t>40</w:t>
            </w:r>
          </w:p>
        </w:tc>
        <w:tc>
          <w:tcPr>
            <w:tcW w:w="540" w:type="dxa"/>
            <w:noWrap/>
            <w:hideMark/>
          </w:tcPr>
          <w:p w14:paraId="68214F0B" w14:textId="77777777" w:rsidR="00C953CA" w:rsidRPr="00AF704F" w:rsidRDefault="00C953CA" w:rsidP="00C953CA">
            <w:pPr>
              <w:spacing w:line="480" w:lineRule="auto"/>
              <w:rPr>
                <w:rFonts w:cs="Arial"/>
                <w:sz w:val="12"/>
                <w:szCs w:val="12"/>
              </w:rPr>
            </w:pPr>
            <w:r w:rsidRPr="00AF704F">
              <w:rPr>
                <w:rFonts w:cs="Arial"/>
                <w:sz w:val="12"/>
                <w:szCs w:val="12"/>
              </w:rPr>
              <w:t>45</w:t>
            </w:r>
          </w:p>
        </w:tc>
        <w:tc>
          <w:tcPr>
            <w:tcW w:w="504" w:type="dxa"/>
            <w:noWrap/>
            <w:hideMark/>
          </w:tcPr>
          <w:p w14:paraId="60E24B2F" w14:textId="77777777" w:rsidR="00C953CA" w:rsidRPr="00AF704F" w:rsidRDefault="00C953CA" w:rsidP="00C953CA">
            <w:pPr>
              <w:spacing w:line="480" w:lineRule="auto"/>
              <w:rPr>
                <w:rFonts w:cs="Arial"/>
                <w:sz w:val="12"/>
                <w:szCs w:val="12"/>
              </w:rPr>
            </w:pPr>
            <w:r w:rsidRPr="00AF704F">
              <w:rPr>
                <w:rFonts w:cs="Arial"/>
                <w:sz w:val="12"/>
                <w:szCs w:val="12"/>
              </w:rPr>
              <w:t>19</w:t>
            </w:r>
          </w:p>
        </w:tc>
        <w:tc>
          <w:tcPr>
            <w:tcW w:w="414" w:type="dxa"/>
            <w:noWrap/>
            <w:hideMark/>
          </w:tcPr>
          <w:p w14:paraId="646B4362" w14:textId="77777777" w:rsidR="00C953CA" w:rsidRPr="00AF704F" w:rsidRDefault="00C953CA" w:rsidP="00C953CA">
            <w:pPr>
              <w:spacing w:line="480" w:lineRule="auto"/>
              <w:rPr>
                <w:rFonts w:cs="Arial"/>
                <w:sz w:val="12"/>
                <w:szCs w:val="12"/>
              </w:rPr>
            </w:pPr>
            <w:r w:rsidRPr="00AF704F">
              <w:rPr>
                <w:rFonts w:cs="Arial"/>
                <w:sz w:val="12"/>
                <w:szCs w:val="12"/>
              </w:rPr>
              <w:t>23</w:t>
            </w:r>
          </w:p>
        </w:tc>
        <w:tc>
          <w:tcPr>
            <w:tcW w:w="540" w:type="dxa"/>
            <w:noWrap/>
            <w:hideMark/>
          </w:tcPr>
          <w:p w14:paraId="0204E35E" w14:textId="77777777" w:rsidR="00C953CA" w:rsidRPr="00AF704F" w:rsidRDefault="00C953CA" w:rsidP="00C953CA">
            <w:pPr>
              <w:spacing w:line="480" w:lineRule="auto"/>
              <w:rPr>
                <w:rFonts w:cs="Arial"/>
                <w:sz w:val="12"/>
                <w:szCs w:val="12"/>
              </w:rPr>
            </w:pPr>
            <w:r w:rsidRPr="00AF704F">
              <w:rPr>
                <w:rFonts w:cs="Arial"/>
                <w:sz w:val="12"/>
                <w:szCs w:val="12"/>
              </w:rPr>
              <w:t>20</w:t>
            </w:r>
          </w:p>
        </w:tc>
        <w:tc>
          <w:tcPr>
            <w:tcW w:w="594" w:type="dxa"/>
            <w:noWrap/>
            <w:hideMark/>
          </w:tcPr>
          <w:p w14:paraId="10933BAF" w14:textId="77777777" w:rsidR="00C953CA" w:rsidRPr="00AF704F" w:rsidRDefault="00C953CA" w:rsidP="00C953CA">
            <w:pPr>
              <w:spacing w:line="480" w:lineRule="auto"/>
              <w:rPr>
                <w:rFonts w:cs="Arial"/>
                <w:sz w:val="12"/>
                <w:szCs w:val="12"/>
              </w:rPr>
            </w:pPr>
            <w:r w:rsidRPr="00AF704F">
              <w:rPr>
                <w:rFonts w:cs="Arial"/>
                <w:sz w:val="12"/>
                <w:szCs w:val="12"/>
              </w:rPr>
              <w:t>8</w:t>
            </w:r>
          </w:p>
        </w:tc>
        <w:tc>
          <w:tcPr>
            <w:tcW w:w="584" w:type="dxa"/>
            <w:noWrap/>
            <w:hideMark/>
          </w:tcPr>
          <w:p w14:paraId="7B655455" w14:textId="77777777" w:rsidR="00C953CA" w:rsidRPr="00AF704F" w:rsidRDefault="00C953CA" w:rsidP="00C953CA">
            <w:pPr>
              <w:spacing w:line="480" w:lineRule="auto"/>
              <w:rPr>
                <w:rFonts w:cs="Arial"/>
                <w:sz w:val="12"/>
                <w:szCs w:val="12"/>
              </w:rPr>
            </w:pPr>
            <w:r w:rsidRPr="00AF704F">
              <w:rPr>
                <w:rFonts w:cs="Arial"/>
                <w:sz w:val="12"/>
                <w:szCs w:val="12"/>
              </w:rPr>
              <w:t>14</w:t>
            </w:r>
          </w:p>
        </w:tc>
        <w:tc>
          <w:tcPr>
            <w:tcW w:w="418" w:type="dxa"/>
            <w:noWrap/>
            <w:hideMark/>
          </w:tcPr>
          <w:p w14:paraId="796134B7"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505" w:type="dxa"/>
            <w:noWrap/>
            <w:hideMark/>
          </w:tcPr>
          <w:p w14:paraId="213049CB"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454" w:type="dxa"/>
            <w:noWrap/>
            <w:hideMark/>
          </w:tcPr>
          <w:p w14:paraId="548BA738" w14:textId="77777777" w:rsidR="00C953CA" w:rsidRPr="00AF704F" w:rsidRDefault="00C953CA" w:rsidP="00C953CA">
            <w:pPr>
              <w:spacing w:line="480" w:lineRule="auto"/>
              <w:rPr>
                <w:rFonts w:cs="Arial"/>
                <w:sz w:val="12"/>
                <w:szCs w:val="12"/>
              </w:rPr>
            </w:pPr>
            <w:r w:rsidRPr="00AF704F">
              <w:rPr>
                <w:rFonts w:cs="Arial"/>
                <w:sz w:val="12"/>
                <w:szCs w:val="12"/>
              </w:rPr>
              <w:t>NA</w:t>
            </w:r>
          </w:p>
        </w:tc>
      </w:tr>
      <w:tr w:rsidR="00AF704F" w:rsidRPr="00AF704F" w14:paraId="2C0207D8" w14:textId="77777777" w:rsidTr="001C52C1">
        <w:trPr>
          <w:trHeight w:val="360"/>
        </w:trPr>
        <w:tc>
          <w:tcPr>
            <w:tcW w:w="976" w:type="dxa"/>
            <w:hideMark/>
          </w:tcPr>
          <w:p w14:paraId="2E3E1E41" w14:textId="77777777" w:rsidR="00C953CA" w:rsidRPr="00AF704F" w:rsidRDefault="00C953CA" w:rsidP="00C953CA">
            <w:pPr>
              <w:spacing w:line="480" w:lineRule="auto"/>
              <w:rPr>
                <w:rFonts w:cs="Arial"/>
                <w:b/>
                <w:bCs/>
                <w:sz w:val="12"/>
                <w:szCs w:val="12"/>
              </w:rPr>
            </w:pPr>
            <w:r w:rsidRPr="00AF704F">
              <w:rPr>
                <w:rFonts w:cs="Arial"/>
                <w:b/>
                <w:bCs/>
                <w:sz w:val="12"/>
                <w:szCs w:val="12"/>
              </w:rPr>
              <w:t> </w:t>
            </w:r>
          </w:p>
        </w:tc>
        <w:tc>
          <w:tcPr>
            <w:tcW w:w="414" w:type="dxa"/>
            <w:hideMark/>
          </w:tcPr>
          <w:p w14:paraId="201B80D4" w14:textId="77777777" w:rsidR="00C953CA" w:rsidRPr="00AF704F" w:rsidRDefault="00C953CA" w:rsidP="00C953CA">
            <w:pPr>
              <w:spacing w:line="480" w:lineRule="auto"/>
              <w:rPr>
                <w:rFonts w:cs="Arial"/>
                <w:b/>
                <w:bCs/>
                <w:sz w:val="12"/>
                <w:szCs w:val="12"/>
              </w:rPr>
            </w:pPr>
            <w:r w:rsidRPr="00AF704F">
              <w:rPr>
                <w:rFonts w:cs="Arial"/>
                <w:b/>
                <w:bCs/>
                <w:sz w:val="12"/>
                <w:szCs w:val="12"/>
              </w:rPr>
              <w:t>80</w:t>
            </w:r>
          </w:p>
        </w:tc>
        <w:tc>
          <w:tcPr>
            <w:tcW w:w="1206" w:type="dxa"/>
            <w:noWrap/>
            <w:hideMark/>
          </w:tcPr>
          <w:p w14:paraId="5A29F6FE" w14:textId="25F4D1B8" w:rsidR="00C953CA" w:rsidRPr="00AF704F" w:rsidRDefault="002F39BC" w:rsidP="00C953CA">
            <w:pPr>
              <w:spacing w:line="480" w:lineRule="auto"/>
              <w:rPr>
                <w:rFonts w:cs="Arial"/>
                <w:b/>
                <w:bCs/>
                <w:sz w:val="12"/>
                <w:szCs w:val="12"/>
              </w:rPr>
            </w:pPr>
            <w:r w:rsidRPr="00AF704F">
              <w:rPr>
                <w:rFonts w:cs="Arial"/>
                <w:b/>
                <w:bCs/>
                <w:sz w:val="12"/>
                <w:szCs w:val="12"/>
              </w:rPr>
              <w:t>S</w:t>
            </w:r>
            <w:r w:rsidR="00C953CA" w:rsidRPr="00AF704F">
              <w:rPr>
                <w:rFonts w:cs="Arial"/>
                <w:b/>
                <w:bCs/>
                <w:sz w:val="12"/>
                <w:szCs w:val="12"/>
              </w:rPr>
              <w:t>ensitivity (%)</w:t>
            </w:r>
          </w:p>
        </w:tc>
        <w:tc>
          <w:tcPr>
            <w:tcW w:w="639" w:type="dxa"/>
            <w:noWrap/>
            <w:hideMark/>
          </w:tcPr>
          <w:p w14:paraId="16F54E09" w14:textId="77777777" w:rsidR="00C953CA" w:rsidRPr="00AF704F" w:rsidRDefault="00C953CA" w:rsidP="00C953CA">
            <w:pPr>
              <w:spacing w:line="480" w:lineRule="auto"/>
              <w:rPr>
                <w:rFonts w:cs="Arial"/>
                <w:sz w:val="12"/>
                <w:szCs w:val="12"/>
              </w:rPr>
            </w:pPr>
            <w:r w:rsidRPr="00AF704F">
              <w:rPr>
                <w:rFonts w:cs="Arial"/>
                <w:sz w:val="12"/>
                <w:szCs w:val="12"/>
              </w:rPr>
              <w:t>98</w:t>
            </w:r>
          </w:p>
        </w:tc>
        <w:tc>
          <w:tcPr>
            <w:tcW w:w="684" w:type="dxa"/>
            <w:noWrap/>
            <w:hideMark/>
          </w:tcPr>
          <w:p w14:paraId="5BBF67FD" w14:textId="77777777" w:rsidR="00C953CA" w:rsidRPr="00AF704F" w:rsidRDefault="00C953CA" w:rsidP="00C953CA">
            <w:pPr>
              <w:spacing w:line="480" w:lineRule="auto"/>
              <w:rPr>
                <w:rFonts w:cs="Arial"/>
                <w:sz w:val="12"/>
                <w:szCs w:val="12"/>
              </w:rPr>
            </w:pPr>
            <w:r w:rsidRPr="00AF704F">
              <w:rPr>
                <w:rFonts w:cs="Arial"/>
                <w:sz w:val="12"/>
                <w:szCs w:val="12"/>
              </w:rPr>
              <w:t>93</w:t>
            </w:r>
          </w:p>
        </w:tc>
        <w:tc>
          <w:tcPr>
            <w:tcW w:w="504" w:type="dxa"/>
            <w:noWrap/>
            <w:hideMark/>
          </w:tcPr>
          <w:p w14:paraId="59054201" w14:textId="77777777" w:rsidR="00C953CA" w:rsidRPr="00AF704F" w:rsidRDefault="00C953CA" w:rsidP="00C953CA">
            <w:pPr>
              <w:spacing w:line="480" w:lineRule="auto"/>
              <w:rPr>
                <w:rFonts w:cs="Arial"/>
                <w:sz w:val="12"/>
                <w:szCs w:val="12"/>
              </w:rPr>
            </w:pPr>
            <w:r w:rsidRPr="00AF704F">
              <w:rPr>
                <w:rFonts w:cs="Arial"/>
                <w:sz w:val="12"/>
                <w:szCs w:val="12"/>
              </w:rPr>
              <w:t>87</w:t>
            </w:r>
          </w:p>
        </w:tc>
        <w:tc>
          <w:tcPr>
            <w:tcW w:w="432" w:type="dxa"/>
            <w:noWrap/>
            <w:hideMark/>
          </w:tcPr>
          <w:p w14:paraId="39C20C30" w14:textId="77777777" w:rsidR="00C953CA" w:rsidRPr="00AF704F" w:rsidRDefault="00C953CA" w:rsidP="00C953CA">
            <w:pPr>
              <w:spacing w:line="480" w:lineRule="auto"/>
              <w:rPr>
                <w:rFonts w:cs="Arial"/>
                <w:sz w:val="12"/>
                <w:szCs w:val="12"/>
              </w:rPr>
            </w:pPr>
            <w:r w:rsidRPr="00AF704F">
              <w:rPr>
                <w:rFonts w:cs="Arial"/>
                <w:sz w:val="12"/>
                <w:szCs w:val="12"/>
              </w:rPr>
              <w:t>61</w:t>
            </w:r>
          </w:p>
        </w:tc>
        <w:tc>
          <w:tcPr>
            <w:tcW w:w="540" w:type="dxa"/>
            <w:noWrap/>
            <w:hideMark/>
          </w:tcPr>
          <w:p w14:paraId="645A4F86" w14:textId="77777777" w:rsidR="00C953CA" w:rsidRPr="00AF704F" w:rsidRDefault="00C953CA" w:rsidP="00C953CA">
            <w:pPr>
              <w:spacing w:line="480" w:lineRule="auto"/>
              <w:rPr>
                <w:rFonts w:cs="Arial"/>
                <w:sz w:val="12"/>
                <w:szCs w:val="12"/>
              </w:rPr>
            </w:pPr>
            <w:r w:rsidRPr="00AF704F">
              <w:rPr>
                <w:rFonts w:cs="Arial"/>
                <w:sz w:val="12"/>
                <w:szCs w:val="12"/>
              </w:rPr>
              <w:t>63</w:t>
            </w:r>
          </w:p>
        </w:tc>
        <w:tc>
          <w:tcPr>
            <w:tcW w:w="504" w:type="dxa"/>
            <w:noWrap/>
            <w:hideMark/>
          </w:tcPr>
          <w:p w14:paraId="77A9A975" w14:textId="77777777" w:rsidR="00C953CA" w:rsidRPr="00AF704F" w:rsidRDefault="00C953CA" w:rsidP="00C953CA">
            <w:pPr>
              <w:spacing w:line="480" w:lineRule="auto"/>
              <w:rPr>
                <w:rFonts w:cs="Arial"/>
                <w:sz w:val="12"/>
                <w:szCs w:val="12"/>
              </w:rPr>
            </w:pPr>
            <w:r w:rsidRPr="00AF704F">
              <w:rPr>
                <w:rFonts w:cs="Arial"/>
                <w:sz w:val="12"/>
                <w:szCs w:val="12"/>
              </w:rPr>
              <w:t>36</w:t>
            </w:r>
          </w:p>
        </w:tc>
        <w:tc>
          <w:tcPr>
            <w:tcW w:w="414" w:type="dxa"/>
            <w:noWrap/>
            <w:hideMark/>
          </w:tcPr>
          <w:p w14:paraId="42D6EF48" w14:textId="77777777" w:rsidR="00C953CA" w:rsidRPr="00AF704F" w:rsidRDefault="00C953CA" w:rsidP="00C953CA">
            <w:pPr>
              <w:spacing w:line="480" w:lineRule="auto"/>
              <w:rPr>
                <w:rFonts w:cs="Arial"/>
                <w:sz w:val="12"/>
                <w:szCs w:val="12"/>
              </w:rPr>
            </w:pPr>
            <w:r w:rsidRPr="00AF704F">
              <w:rPr>
                <w:rFonts w:cs="Arial"/>
                <w:sz w:val="12"/>
                <w:szCs w:val="12"/>
              </w:rPr>
              <w:t>43</w:t>
            </w:r>
          </w:p>
        </w:tc>
        <w:tc>
          <w:tcPr>
            <w:tcW w:w="540" w:type="dxa"/>
            <w:noWrap/>
            <w:hideMark/>
          </w:tcPr>
          <w:p w14:paraId="4AA667B6" w14:textId="77777777" w:rsidR="00C953CA" w:rsidRPr="00AF704F" w:rsidRDefault="00C953CA" w:rsidP="00C953CA">
            <w:pPr>
              <w:spacing w:line="480" w:lineRule="auto"/>
              <w:rPr>
                <w:rFonts w:cs="Arial"/>
                <w:sz w:val="12"/>
                <w:szCs w:val="12"/>
              </w:rPr>
            </w:pPr>
            <w:r w:rsidRPr="00AF704F">
              <w:rPr>
                <w:rFonts w:cs="Arial"/>
                <w:sz w:val="12"/>
                <w:szCs w:val="12"/>
              </w:rPr>
              <w:t>36</w:t>
            </w:r>
          </w:p>
        </w:tc>
        <w:tc>
          <w:tcPr>
            <w:tcW w:w="594" w:type="dxa"/>
            <w:noWrap/>
            <w:hideMark/>
          </w:tcPr>
          <w:p w14:paraId="6CE580B0" w14:textId="77777777" w:rsidR="00C953CA" w:rsidRPr="00AF704F" w:rsidRDefault="00C953CA" w:rsidP="00C953CA">
            <w:pPr>
              <w:spacing w:line="480" w:lineRule="auto"/>
              <w:rPr>
                <w:rFonts w:cs="Arial"/>
                <w:sz w:val="12"/>
                <w:szCs w:val="12"/>
              </w:rPr>
            </w:pPr>
            <w:r w:rsidRPr="00AF704F">
              <w:rPr>
                <w:rFonts w:cs="Arial"/>
                <w:sz w:val="12"/>
                <w:szCs w:val="12"/>
              </w:rPr>
              <w:t>20</w:t>
            </w:r>
          </w:p>
        </w:tc>
        <w:tc>
          <w:tcPr>
            <w:tcW w:w="584" w:type="dxa"/>
            <w:noWrap/>
            <w:hideMark/>
          </w:tcPr>
          <w:p w14:paraId="3B86DC65" w14:textId="77777777" w:rsidR="00C953CA" w:rsidRPr="00AF704F" w:rsidRDefault="00C953CA" w:rsidP="00C953CA">
            <w:pPr>
              <w:spacing w:line="480" w:lineRule="auto"/>
              <w:rPr>
                <w:rFonts w:cs="Arial"/>
                <w:sz w:val="12"/>
                <w:szCs w:val="12"/>
              </w:rPr>
            </w:pPr>
            <w:r w:rsidRPr="00AF704F">
              <w:rPr>
                <w:rFonts w:cs="Arial"/>
                <w:sz w:val="12"/>
                <w:szCs w:val="12"/>
              </w:rPr>
              <w:t>19</w:t>
            </w:r>
          </w:p>
        </w:tc>
        <w:tc>
          <w:tcPr>
            <w:tcW w:w="418" w:type="dxa"/>
            <w:noWrap/>
            <w:hideMark/>
          </w:tcPr>
          <w:p w14:paraId="3FC1DD4B"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505" w:type="dxa"/>
            <w:noWrap/>
            <w:hideMark/>
          </w:tcPr>
          <w:p w14:paraId="0B534E7B"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454" w:type="dxa"/>
            <w:noWrap/>
            <w:hideMark/>
          </w:tcPr>
          <w:p w14:paraId="15F67C0F" w14:textId="77777777" w:rsidR="00C953CA" w:rsidRPr="00AF704F" w:rsidRDefault="00C953CA" w:rsidP="00C953CA">
            <w:pPr>
              <w:spacing w:line="480" w:lineRule="auto"/>
              <w:rPr>
                <w:rFonts w:cs="Arial"/>
                <w:sz w:val="12"/>
                <w:szCs w:val="12"/>
              </w:rPr>
            </w:pPr>
            <w:r w:rsidRPr="00AF704F">
              <w:rPr>
                <w:rFonts w:cs="Arial"/>
                <w:sz w:val="12"/>
                <w:szCs w:val="12"/>
              </w:rPr>
              <w:t>NA</w:t>
            </w:r>
          </w:p>
        </w:tc>
      </w:tr>
      <w:tr w:rsidR="00AF704F" w:rsidRPr="00AF704F" w14:paraId="043BB8F6" w14:textId="77777777" w:rsidTr="001C52C1">
        <w:trPr>
          <w:trHeight w:val="360"/>
        </w:trPr>
        <w:tc>
          <w:tcPr>
            <w:tcW w:w="976" w:type="dxa"/>
            <w:hideMark/>
          </w:tcPr>
          <w:p w14:paraId="64F3AC61" w14:textId="77777777" w:rsidR="00C953CA" w:rsidRPr="00AF704F" w:rsidRDefault="00C953CA" w:rsidP="00C953CA">
            <w:pPr>
              <w:spacing w:line="480" w:lineRule="auto"/>
              <w:rPr>
                <w:rFonts w:cs="Arial"/>
                <w:b/>
                <w:bCs/>
                <w:sz w:val="12"/>
                <w:szCs w:val="12"/>
              </w:rPr>
            </w:pPr>
            <w:r w:rsidRPr="00AF704F">
              <w:rPr>
                <w:rFonts w:cs="Arial"/>
                <w:b/>
                <w:bCs/>
                <w:sz w:val="12"/>
                <w:szCs w:val="12"/>
              </w:rPr>
              <w:t> </w:t>
            </w:r>
          </w:p>
        </w:tc>
        <w:tc>
          <w:tcPr>
            <w:tcW w:w="414" w:type="dxa"/>
            <w:hideMark/>
          </w:tcPr>
          <w:p w14:paraId="7328E6F1" w14:textId="77777777" w:rsidR="00C953CA" w:rsidRPr="00AF704F" w:rsidRDefault="00C953CA" w:rsidP="00C953CA">
            <w:pPr>
              <w:spacing w:line="480" w:lineRule="auto"/>
              <w:rPr>
                <w:rFonts w:cs="Arial"/>
                <w:b/>
                <w:bCs/>
                <w:sz w:val="12"/>
                <w:szCs w:val="12"/>
              </w:rPr>
            </w:pPr>
            <w:r w:rsidRPr="00AF704F">
              <w:rPr>
                <w:rFonts w:cs="Arial"/>
                <w:b/>
                <w:bCs/>
                <w:sz w:val="12"/>
                <w:szCs w:val="12"/>
              </w:rPr>
              <w:t>70</w:t>
            </w:r>
          </w:p>
        </w:tc>
        <w:tc>
          <w:tcPr>
            <w:tcW w:w="1206" w:type="dxa"/>
            <w:noWrap/>
            <w:hideMark/>
          </w:tcPr>
          <w:p w14:paraId="0330A65D" w14:textId="3C1E4933" w:rsidR="00C953CA" w:rsidRPr="00AF704F" w:rsidRDefault="002F39BC" w:rsidP="00C953CA">
            <w:pPr>
              <w:spacing w:line="480" w:lineRule="auto"/>
              <w:rPr>
                <w:rFonts w:cs="Arial"/>
                <w:b/>
                <w:bCs/>
                <w:sz w:val="12"/>
                <w:szCs w:val="12"/>
              </w:rPr>
            </w:pPr>
            <w:r w:rsidRPr="00AF704F">
              <w:rPr>
                <w:rFonts w:cs="Arial"/>
                <w:b/>
                <w:bCs/>
                <w:sz w:val="12"/>
                <w:szCs w:val="12"/>
              </w:rPr>
              <w:t>S</w:t>
            </w:r>
            <w:r w:rsidR="00C953CA" w:rsidRPr="00AF704F">
              <w:rPr>
                <w:rFonts w:cs="Arial"/>
                <w:b/>
                <w:bCs/>
                <w:sz w:val="12"/>
                <w:szCs w:val="12"/>
              </w:rPr>
              <w:t>ensitivity (%)</w:t>
            </w:r>
          </w:p>
        </w:tc>
        <w:tc>
          <w:tcPr>
            <w:tcW w:w="639" w:type="dxa"/>
            <w:noWrap/>
            <w:hideMark/>
          </w:tcPr>
          <w:p w14:paraId="7C6AE62B" w14:textId="77777777" w:rsidR="00C953CA" w:rsidRPr="00AF704F" w:rsidRDefault="00C953CA" w:rsidP="00C953CA">
            <w:pPr>
              <w:spacing w:line="480" w:lineRule="auto"/>
              <w:rPr>
                <w:rFonts w:cs="Arial"/>
                <w:sz w:val="12"/>
                <w:szCs w:val="12"/>
              </w:rPr>
            </w:pPr>
            <w:r w:rsidRPr="00AF704F">
              <w:rPr>
                <w:rFonts w:cs="Arial"/>
                <w:sz w:val="12"/>
                <w:szCs w:val="12"/>
              </w:rPr>
              <w:t>98</w:t>
            </w:r>
          </w:p>
        </w:tc>
        <w:tc>
          <w:tcPr>
            <w:tcW w:w="684" w:type="dxa"/>
            <w:noWrap/>
            <w:hideMark/>
          </w:tcPr>
          <w:p w14:paraId="2C0CFC28" w14:textId="77777777" w:rsidR="00C953CA" w:rsidRPr="00AF704F" w:rsidRDefault="00C953CA" w:rsidP="00C953CA">
            <w:pPr>
              <w:spacing w:line="480" w:lineRule="auto"/>
              <w:rPr>
                <w:rFonts w:cs="Arial"/>
                <w:sz w:val="12"/>
                <w:szCs w:val="12"/>
              </w:rPr>
            </w:pPr>
            <w:r w:rsidRPr="00AF704F">
              <w:rPr>
                <w:rFonts w:cs="Arial"/>
                <w:sz w:val="12"/>
                <w:szCs w:val="12"/>
              </w:rPr>
              <w:t>97</w:t>
            </w:r>
          </w:p>
        </w:tc>
        <w:tc>
          <w:tcPr>
            <w:tcW w:w="504" w:type="dxa"/>
            <w:noWrap/>
            <w:hideMark/>
          </w:tcPr>
          <w:p w14:paraId="093250BE" w14:textId="77777777" w:rsidR="00C953CA" w:rsidRPr="00AF704F" w:rsidRDefault="00C953CA" w:rsidP="00C953CA">
            <w:pPr>
              <w:spacing w:line="480" w:lineRule="auto"/>
              <w:rPr>
                <w:rFonts w:cs="Arial"/>
                <w:sz w:val="12"/>
                <w:szCs w:val="12"/>
              </w:rPr>
            </w:pPr>
            <w:r w:rsidRPr="00AF704F">
              <w:rPr>
                <w:rFonts w:cs="Arial"/>
                <w:sz w:val="12"/>
                <w:szCs w:val="12"/>
              </w:rPr>
              <w:t>91</w:t>
            </w:r>
          </w:p>
        </w:tc>
        <w:tc>
          <w:tcPr>
            <w:tcW w:w="432" w:type="dxa"/>
            <w:noWrap/>
            <w:hideMark/>
          </w:tcPr>
          <w:p w14:paraId="6A504411" w14:textId="77777777" w:rsidR="00C953CA" w:rsidRPr="00AF704F" w:rsidRDefault="00C953CA" w:rsidP="00C953CA">
            <w:pPr>
              <w:spacing w:line="480" w:lineRule="auto"/>
              <w:rPr>
                <w:rFonts w:cs="Arial"/>
                <w:sz w:val="12"/>
                <w:szCs w:val="12"/>
              </w:rPr>
            </w:pPr>
            <w:r w:rsidRPr="00AF704F">
              <w:rPr>
                <w:rFonts w:cs="Arial"/>
                <w:sz w:val="12"/>
                <w:szCs w:val="12"/>
              </w:rPr>
              <w:t>77</w:t>
            </w:r>
          </w:p>
        </w:tc>
        <w:tc>
          <w:tcPr>
            <w:tcW w:w="540" w:type="dxa"/>
            <w:noWrap/>
            <w:hideMark/>
          </w:tcPr>
          <w:p w14:paraId="24501F1D" w14:textId="77777777" w:rsidR="00C953CA" w:rsidRPr="00AF704F" w:rsidRDefault="00C953CA" w:rsidP="00C953CA">
            <w:pPr>
              <w:spacing w:line="480" w:lineRule="auto"/>
              <w:rPr>
                <w:rFonts w:cs="Arial"/>
                <w:sz w:val="12"/>
                <w:szCs w:val="12"/>
              </w:rPr>
            </w:pPr>
            <w:r w:rsidRPr="00AF704F">
              <w:rPr>
                <w:rFonts w:cs="Arial"/>
                <w:sz w:val="12"/>
                <w:szCs w:val="12"/>
              </w:rPr>
              <w:t>73</w:t>
            </w:r>
          </w:p>
        </w:tc>
        <w:tc>
          <w:tcPr>
            <w:tcW w:w="504" w:type="dxa"/>
            <w:noWrap/>
            <w:hideMark/>
          </w:tcPr>
          <w:p w14:paraId="30C65455" w14:textId="77777777" w:rsidR="00C953CA" w:rsidRPr="00AF704F" w:rsidRDefault="00C953CA" w:rsidP="00C953CA">
            <w:pPr>
              <w:spacing w:line="480" w:lineRule="auto"/>
              <w:rPr>
                <w:rFonts w:cs="Arial"/>
                <w:sz w:val="12"/>
                <w:szCs w:val="12"/>
              </w:rPr>
            </w:pPr>
            <w:r w:rsidRPr="00AF704F">
              <w:rPr>
                <w:rFonts w:cs="Arial"/>
                <w:sz w:val="12"/>
                <w:szCs w:val="12"/>
              </w:rPr>
              <w:t>59</w:t>
            </w:r>
          </w:p>
        </w:tc>
        <w:tc>
          <w:tcPr>
            <w:tcW w:w="414" w:type="dxa"/>
            <w:noWrap/>
            <w:hideMark/>
          </w:tcPr>
          <w:p w14:paraId="439E0E94" w14:textId="77777777" w:rsidR="00C953CA" w:rsidRPr="00AF704F" w:rsidRDefault="00C953CA" w:rsidP="00C953CA">
            <w:pPr>
              <w:spacing w:line="480" w:lineRule="auto"/>
              <w:rPr>
                <w:rFonts w:cs="Arial"/>
                <w:sz w:val="12"/>
                <w:szCs w:val="12"/>
              </w:rPr>
            </w:pPr>
            <w:r w:rsidRPr="00AF704F">
              <w:rPr>
                <w:rFonts w:cs="Arial"/>
                <w:sz w:val="12"/>
                <w:szCs w:val="12"/>
              </w:rPr>
              <w:t>49</w:t>
            </w:r>
          </w:p>
        </w:tc>
        <w:tc>
          <w:tcPr>
            <w:tcW w:w="540" w:type="dxa"/>
            <w:noWrap/>
            <w:hideMark/>
          </w:tcPr>
          <w:p w14:paraId="21A22B78" w14:textId="77777777" w:rsidR="00C953CA" w:rsidRPr="00AF704F" w:rsidRDefault="00C953CA" w:rsidP="00C953CA">
            <w:pPr>
              <w:spacing w:line="480" w:lineRule="auto"/>
              <w:rPr>
                <w:rFonts w:cs="Arial"/>
                <w:sz w:val="12"/>
                <w:szCs w:val="12"/>
              </w:rPr>
            </w:pPr>
            <w:r w:rsidRPr="00AF704F">
              <w:rPr>
                <w:rFonts w:cs="Arial"/>
                <w:sz w:val="12"/>
                <w:szCs w:val="12"/>
              </w:rPr>
              <w:t>49</w:t>
            </w:r>
          </w:p>
        </w:tc>
        <w:tc>
          <w:tcPr>
            <w:tcW w:w="594" w:type="dxa"/>
            <w:noWrap/>
            <w:hideMark/>
          </w:tcPr>
          <w:p w14:paraId="656A5D0E" w14:textId="77777777" w:rsidR="00C953CA" w:rsidRPr="00AF704F" w:rsidRDefault="00C953CA" w:rsidP="00C953CA">
            <w:pPr>
              <w:spacing w:line="480" w:lineRule="auto"/>
              <w:rPr>
                <w:rFonts w:cs="Arial"/>
                <w:sz w:val="12"/>
                <w:szCs w:val="12"/>
              </w:rPr>
            </w:pPr>
            <w:r w:rsidRPr="00AF704F">
              <w:rPr>
                <w:rFonts w:cs="Arial"/>
                <w:sz w:val="12"/>
                <w:szCs w:val="12"/>
              </w:rPr>
              <w:t>29</w:t>
            </w:r>
          </w:p>
        </w:tc>
        <w:tc>
          <w:tcPr>
            <w:tcW w:w="584" w:type="dxa"/>
            <w:noWrap/>
            <w:hideMark/>
          </w:tcPr>
          <w:p w14:paraId="3C80C059" w14:textId="77777777" w:rsidR="00C953CA" w:rsidRPr="00AF704F" w:rsidRDefault="00C953CA" w:rsidP="00C953CA">
            <w:pPr>
              <w:spacing w:line="480" w:lineRule="auto"/>
              <w:rPr>
                <w:rFonts w:cs="Arial"/>
                <w:sz w:val="12"/>
                <w:szCs w:val="12"/>
              </w:rPr>
            </w:pPr>
            <w:r w:rsidRPr="00AF704F">
              <w:rPr>
                <w:rFonts w:cs="Arial"/>
                <w:sz w:val="12"/>
                <w:szCs w:val="12"/>
              </w:rPr>
              <w:t>31</w:t>
            </w:r>
          </w:p>
        </w:tc>
        <w:tc>
          <w:tcPr>
            <w:tcW w:w="418" w:type="dxa"/>
            <w:noWrap/>
            <w:hideMark/>
          </w:tcPr>
          <w:p w14:paraId="325FDD24"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505" w:type="dxa"/>
            <w:noWrap/>
            <w:hideMark/>
          </w:tcPr>
          <w:p w14:paraId="22B37A82"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454" w:type="dxa"/>
            <w:noWrap/>
            <w:hideMark/>
          </w:tcPr>
          <w:p w14:paraId="5A6F8B31" w14:textId="77777777" w:rsidR="00C953CA" w:rsidRPr="00AF704F" w:rsidRDefault="00C953CA" w:rsidP="00C953CA">
            <w:pPr>
              <w:spacing w:line="480" w:lineRule="auto"/>
              <w:rPr>
                <w:rFonts w:cs="Arial"/>
                <w:sz w:val="12"/>
                <w:szCs w:val="12"/>
              </w:rPr>
            </w:pPr>
            <w:r w:rsidRPr="00AF704F">
              <w:rPr>
                <w:rFonts w:cs="Arial"/>
                <w:sz w:val="12"/>
                <w:szCs w:val="12"/>
              </w:rPr>
              <w:t>NA</w:t>
            </w:r>
          </w:p>
        </w:tc>
      </w:tr>
      <w:tr w:rsidR="00AF704F" w:rsidRPr="00AF704F" w14:paraId="687B189C" w14:textId="77777777" w:rsidTr="001C52C1">
        <w:trPr>
          <w:trHeight w:val="360"/>
        </w:trPr>
        <w:tc>
          <w:tcPr>
            <w:tcW w:w="976" w:type="dxa"/>
            <w:hideMark/>
          </w:tcPr>
          <w:p w14:paraId="023366E6" w14:textId="77777777" w:rsidR="00C953CA" w:rsidRPr="00AF704F" w:rsidRDefault="00C953CA" w:rsidP="00C953CA">
            <w:pPr>
              <w:spacing w:line="480" w:lineRule="auto"/>
              <w:rPr>
                <w:rFonts w:cs="Arial"/>
                <w:b/>
                <w:bCs/>
                <w:sz w:val="12"/>
                <w:szCs w:val="12"/>
              </w:rPr>
            </w:pPr>
            <w:r w:rsidRPr="00AF704F">
              <w:rPr>
                <w:rFonts w:cs="Arial"/>
                <w:b/>
                <w:bCs/>
                <w:sz w:val="12"/>
                <w:szCs w:val="12"/>
              </w:rPr>
              <w:t>Sensitivity (%)</w:t>
            </w:r>
          </w:p>
        </w:tc>
        <w:tc>
          <w:tcPr>
            <w:tcW w:w="414" w:type="dxa"/>
            <w:hideMark/>
          </w:tcPr>
          <w:p w14:paraId="08FF3B82" w14:textId="77777777" w:rsidR="00C953CA" w:rsidRPr="00AF704F" w:rsidRDefault="00C953CA" w:rsidP="00C953CA">
            <w:pPr>
              <w:spacing w:line="480" w:lineRule="auto"/>
              <w:rPr>
                <w:rFonts w:cs="Arial"/>
                <w:b/>
                <w:bCs/>
                <w:sz w:val="12"/>
                <w:szCs w:val="12"/>
              </w:rPr>
            </w:pPr>
            <w:r w:rsidRPr="00AF704F">
              <w:rPr>
                <w:rFonts w:cs="Arial"/>
                <w:b/>
                <w:bCs/>
                <w:sz w:val="12"/>
                <w:szCs w:val="12"/>
              </w:rPr>
              <w:t>100</w:t>
            </w:r>
          </w:p>
        </w:tc>
        <w:tc>
          <w:tcPr>
            <w:tcW w:w="1206" w:type="dxa"/>
            <w:noWrap/>
            <w:hideMark/>
          </w:tcPr>
          <w:p w14:paraId="429A9550" w14:textId="70EAFCB2" w:rsidR="00C953CA" w:rsidRPr="00AF704F" w:rsidRDefault="002F39BC" w:rsidP="00C953CA">
            <w:pPr>
              <w:spacing w:line="480" w:lineRule="auto"/>
              <w:rPr>
                <w:rFonts w:cs="Arial"/>
                <w:b/>
                <w:bCs/>
                <w:sz w:val="12"/>
                <w:szCs w:val="12"/>
              </w:rPr>
            </w:pPr>
            <w:r w:rsidRPr="00AF704F">
              <w:rPr>
                <w:rFonts w:cs="Arial"/>
                <w:b/>
                <w:bCs/>
                <w:sz w:val="12"/>
                <w:szCs w:val="12"/>
              </w:rPr>
              <w:t>S</w:t>
            </w:r>
            <w:r w:rsidR="00C953CA" w:rsidRPr="00AF704F">
              <w:rPr>
                <w:rFonts w:cs="Arial"/>
                <w:b/>
                <w:bCs/>
                <w:sz w:val="12"/>
                <w:szCs w:val="12"/>
              </w:rPr>
              <w:t>pecificity (%)</w:t>
            </w:r>
          </w:p>
        </w:tc>
        <w:tc>
          <w:tcPr>
            <w:tcW w:w="639" w:type="dxa"/>
            <w:noWrap/>
            <w:hideMark/>
          </w:tcPr>
          <w:p w14:paraId="3F5EF98A" w14:textId="77777777" w:rsidR="00C953CA" w:rsidRPr="00AF704F" w:rsidRDefault="00C953CA" w:rsidP="00C953CA">
            <w:pPr>
              <w:spacing w:line="480" w:lineRule="auto"/>
              <w:rPr>
                <w:rFonts w:cs="Arial"/>
                <w:sz w:val="12"/>
                <w:szCs w:val="12"/>
              </w:rPr>
            </w:pPr>
            <w:r w:rsidRPr="00AF704F">
              <w:rPr>
                <w:rFonts w:cs="Arial"/>
                <w:sz w:val="12"/>
                <w:szCs w:val="12"/>
              </w:rPr>
              <w:t>3</w:t>
            </w:r>
          </w:p>
        </w:tc>
        <w:tc>
          <w:tcPr>
            <w:tcW w:w="684" w:type="dxa"/>
            <w:noWrap/>
            <w:hideMark/>
          </w:tcPr>
          <w:p w14:paraId="39980BBC" w14:textId="77777777" w:rsidR="00C953CA" w:rsidRPr="00AF704F" w:rsidRDefault="00C953CA" w:rsidP="00C953CA">
            <w:pPr>
              <w:spacing w:line="480" w:lineRule="auto"/>
              <w:rPr>
                <w:rFonts w:cs="Arial"/>
                <w:sz w:val="12"/>
                <w:szCs w:val="12"/>
              </w:rPr>
            </w:pPr>
            <w:r w:rsidRPr="00AF704F">
              <w:rPr>
                <w:rFonts w:cs="Arial"/>
                <w:sz w:val="12"/>
                <w:szCs w:val="12"/>
              </w:rPr>
              <w:t>29</w:t>
            </w:r>
          </w:p>
        </w:tc>
        <w:tc>
          <w:tcPr>
            <w:tcW w:w="504" w:type="dxa"/>
            <w:noWrap/>
            <w:hideMark/>
          </w:tcPr>
          <w:p w14:paraId="1906F4A8" w14:textId="77777777" w:rsidR="00C953CA" w:rsidRPr="00AF704F" w:rsidRDefault="00C953CA" w:rsidP="00C953CA">
            <w:pPr>
              <w:spacing w:line="480" w:lineRule="auto"/>
              <w:rPr>
                <w:rFonts w:cs="Arial"/>
                <w:sz w:val="12"/>
                <w:szCs w:val="12"/>
              </w:rPr>
            </w:pPr>
            <w:r w:rsidRPr="00AF704F">
              <w:rPr>
                <w:rFonts w:cs="Arial"/>
                <w:sz w:val="12"/>
                <w:szCs w:val="12"/>
              </w:rPr>
              <w:t>47</w:t>
            </w:r>
          </w:p>
        </w:tc>
        <w:tc>
          <w:tcPr>
            <w:tcW w:w="432" w:type="dxa"/>
            <w:noWrap/>
            <w:hideMark/>
          </w:tcPr>
          <w:p w14:paraId="3AE47DD7" w14:textId="77777777" w:rsidR="00C953CA" w:rsidRPr="00AF704F" w:rsidRDefault="00C953CA" w:rsidP="00C953CA">
            <w:pPr>
              <w:spacing w:line="480" w:lineRule="auto"/>
              <w:rPr>
                <w:rFonts w:cs="Arial"/>
                <w:sz w:val="12"/>
                <w:szCs w:val="12"/>
              </w:rPr>
            </w:pPr>
            <w:r w:rsidRPr="00AF704F">
              <w:rPr>
                <w:rFonts w:cs="Arial"/>
                <w:sz w:val="12"/>
                <w:szCs w:val="12"/>
              </w:rPr>
              <w:t>3</w:t>
            </w:r>
          </w:p>
        </w:tc>
        <w:tc>
          <w:tcPr>
            <w:tcW w:w="540" w:type="dxa"/>
            <w:noWrap/>
            <w:hideMark/>
          </w:tcPr>
          <w:p w14:paraId="6ABC6C68" w14:textId="77777777" w:rsidR="00C953CA" w:rsidRPr="00AF704F" w:rsidRDefault="00C953CA" w:rsidP="00C953CA">
            <w:pPr>
              <w:spacing w:line="480" w:lineRule="auto"/>
              <w:rPr>
                <w:rFonts w:cs="Arial"/>
                <w:sz w:val="12"/>
                <w:szCs w:val="12"/>
              </w:rPr>
            </w:pPr>
            <w:r w:rsidRPr="00AF704F">
              <w:rPr>
                <w:rFonts w:cs="Arial"/>
                <w:sz w:val="12"/>
                <w:szCs w:val="12"/>
              </w:rPr>
              <w:t>11</w:t>
            </w:r>
          </w:p>
        </w:tc>
        <w:tc>
          <w:tcPr>
            <w:tcW w:w="504" w:type="dxa"/>
            <w:noWrap/>
            <w:hideMark/>
          </w:tcPr>
          <w:p w14:paraId="5997C0AD" w14:textId="77777777" w:rsidR="00C953CA" w:rsidRPr="00AF704F" w:rsidRDefault="00C953CA" w:rsidP="00C953CA">
            <w:pPr>
              <w:spacing w:line="480" w:lineRule="auto"/>
              <w:rPr>
                <w:rFonts w:cs="Arial"/>
                <w:sz w:val="12"/>
                <w:szCs w:val="12"/>
              </w:rPr>
            </w:pPr>
            <w:r w:rsidRPr="00AF704F">
              <w:rPr>
                <w:rFonts w:cs="Arial"/>
                <w:sz w:val="12"/>
                <w:szCs w:val="12"/>
              </w:rPr>
              <w:t>5</w:t>
            </w:r>
          </w:p>
        </w:tc>
        <w:tc>
          <w:tcPr>
            <w:tcW w:w="414" w:type="dxa"/>
            <w:noWrap/>
            <w:hideMark/>
          </w:tcPr>
          <w:p w14:paraId="2DC78018" w14:textId="77777777" w:rsidR="00C953CA" w:rsidRPr="00AF704F" w:rsidRDefault="00C953CA" w:rsidP="00C953CA">
            <w:pPr>
              <w:spacing w:line="480" w:lineRule="auto"/>
              <w:rPr>
                <w:rFonts w:cs="Arial"/>
                <w:sz w:val="12"/>
                <w:szCs w:val="12"/>
              </w:rPr>
            </w:pPr>
            <w:r w:rsidRPr="00AF704F">
              <w:rPr>
                <w:rFonts w:cs="Arial"/>
                <w:sz w:val="12"/>
                <w:szCs w:val="12"/>
              </w:rPr>
              <w:t>0</w:t>
            </w:r>
          </w:p>
        </w:tc>
        <w:tc>
          <w:tcPr>
            <w:tcW w:w="540" w:type="dxa"/>
            <w:noWrap/>
            <w:hideMark/>
          </w:tcPr>
          <w:p w14:paraId="5989EAFD" w14:textId="77777777" w:rsidR="00C953CA" w:rsidRPr="00AF704F" w:rsidRDefault="00C953CA" w:rsidP="00C953CA">
            <w:pPr>
              <w:spacing w:line="480" w:lineRule="auto"/>
              <w:rPr>
                <w:rFonts w:cs="Arial"/>
                <w:sz w:val="12"/>
                <w:szCs w:val="12"/>
              </w:rPr>
            </w:pPr>
            <w:r w:rsidRPr="00AF704F">
              <w:rPr>
                <w:rFonts w:cs="Arial"/>
                <w:sz w:val="12"/>
                <w:szCs w:val="12"/>
              </w:rPr>
              <w:t>3</w:t>
            </w:r>
          </w:p>
        </w:tc>
        <w:tc>
          <w:tcPr>
            <w:tcW w:w="594" w:type="dxa"/>
            <w:noWrap/>
            <w:hideMark/>
          </w:tcPr>
          <w:p w14:paraId="1B08D6B0" w14:textId="77777777" w:rsidR="00C953CA" w:rsidRPr="00AF704F" w:rsidRDefault="00C953CA" w:rsidP="00C953CA">
            <w:pPr>
              <w:spacing w:line="480" w:lineRule="auto"/>
              <w:rPr>
                <w:rFonts w:cs="Arial"/>
                <w:sz w:val="12"/>
                <w:szCs w:val="12"/>
              </w:rPr>
            </w:pPr>
            <w:r w:rsidRPr="00AF704F">
              <w:rPr>
                <w:rFonts w:cs="Arial"/>
                <w:sz w:val="12"/>
                <w:szCs w:val="12"/>
              </w:rPr>
              <w:t>3</w:t>
            </w:r>
          </w:p>
        </w:tc>
        <w:tc>
          <w:tcPr>
            <w:tcW w:w="584" w:type="dxa"/>
            <w:noWrap/>
            <w:hideMark/>
          </w:tcPr>
          <w:p w14:paraId="3D20CB32" w14:textId="77777777" w:rsidR="00C953CA" w:rsidRPr="00AF704F" w:rsidRDefault="00C953CA" w:rsidP="00C953CA">
            <w:pPr>
              <w:spacing w:line="480" w:lineRule="auto"/>
              <w:rPr>
                <w:rFonts w:cs="Arial"/>
                <w:sz w:val="12"/>
                <w:szCs w:val="12"/>
              </w:rPr>
            </w:pPr>
            <w:r w:rsidRPr="00AF704F">
              <w:rPr>
                <w:rFonts w:cs="Arial"/>
                <w:sz w:val="12"/>
                <w:szCs w:val="12"/>
              </w:rPr>
              <w:t>0</w:t>
            </w:r>
          </w:p>
        </w:tc>
        <w:tc>
          <w:tcPr>
            <w:tcW w:w="418" w:type="dxa"/>
            <w:noWrap/>
            <w:hideMark/>
          </w:tcPr>
          <w:p w14:paraId="2E200BEA"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505" w:type="dxa"/>
            <w:noWrap/>
            <w:hideMark/>
          </w:tcPr>
          <w:p w14:paraId="1E75E62D"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454" w:type="dxa"/>
            <w:noWrap/>
            <w:hideMark/>
          </w:tcPr>
          <w:p w14:paraId="2C0C21D8" w14:textId="77777777" w:rsidR="00C953CA" w:rsidRPr="00AF704F" w:rsidRDefault="00C953CA" w:rsidP="00C953CA">
            <w:pPr>
              <w:spacing w:line="480" w:lineRule="auto"/>
              <w:rPr>
                <w:rFonts w:cs="Arial"/>
                <w:sz w:val="12"/>
                <w:szCs w:val="12"/>
              </w:rPr>
            </w:pPr>
            <w:r w:rsidRPr="00AF704F">
              <w:rPr>
                <w:rFonts w:cs="Arial"/>
                <w:sz w:val="12"/>
                <w:szCs w:val="12"/>
              </w:rPr>
              <w:t>NA</w:t>
            </w:r>
          </w:p>
        </w:tc>
      </w:tr>
      <w:tr w:rsidR="00AF704F" w:rsidRPr="00AF704F" w14:paraId="7825C4D7" w14:textId="77777777" w:rsidTr="001C52C1">
        <w:trPr>
          <w:trHeight w:val="360"/>
        </w:trPr>
        <w:tc>
          <w:tcPr>
            <w:tcW w:w="976" w:type="dxa"/>
            <w:hideMark/>
          </w:tcPr>
          <w:p w14:paraId="556BFAE7" w14:textId="77777777" w:rsidR="00C953CA" w:rsidRPr="00AF704F" w:rsidRDefault="00C953CA" w:rsidP="00C953CA">
            <w:pPr>
              <w:spacing w:line="480" w:lineRule="auto"/>
              <w:rPr>
                <w:rFonts w:cs="Arial"/>
                <w:b/>
                <w:bCs/>
                <w:sz w:val="12"/>
                <w:szCs w:val="12"/>
              </w:rPr>
            </w:pPr>
            <w:r w:rsidRPr="00AF704F">
              <w:rPr>
                <w:rFonts w:cs="Arial"/>
                <w:b/>
                <w:bCs/>
                <w:sz w:val="12"/>
                <w:szCs w:val="12"/>
              </w:rPr>
              <w:t> </w:t>
            </w:r>
          </w:p>
        </w:tc>
        <w:tc>
          <w:tcPr>
            <w:tcW w:w="414" w:type="dxa"/>
            <w:hideMark/>
          </w:tcPr>
          <w:p w14:paraId="2A854EC7" w14:textId="77777777" w:rsidR="00C953CA" w:rsidRPr="00AF704F" w:rsidRDefault="00C953CA" w:rsidP="00C953CA">
            <w:pPr>
              <w:spacing w:line="480" w:lineRule="auto"/>
              <w:rPr>
                <w:rFonts w:cs="Arial"/>
                <w:b/>
                <w:bCs/>
                <w:sz w:val="12"/>
                <w:szCs w:val="12"/>
              </w:rPr>
            </w:pPr>
            <w:r w:rsidRPr="00AF704F">
              <w:rPr>
                <w:rFonts w:cs="Arial"/>
                <w:b/>
                <w:bCs/>
                <w:sz w:val="12"/>
                <w:szCs w:val="12"/>
              </w:rPr>
              <w:t>90</w:t>
            </w:r>
          </w:p>
        </w:tc>
        <w:tc>
          <w:tcPr>
            <w:tcW w:w="1206" w:type="dxa"/>
            <w:noWrap/>
            <w:hideMark/>
          </w:tcPr>
          <w:p w14:paraId="572C007C" w14:textId="01ED2A56" w:rsidR="00C953CA" w:rsidRPr="00AF704F" w:rsidRDefault="002F39BC" w:rsidP="00C953CA">
            <w:pPr>
              <w:spacing w:line="480" w:lineRule="auto"/>
              <w:rPr>
                <w:rFonts w:cs="Arial"/>
                <w:b/>
                <w:bCs/>
                <w:sz w:val="12"/>
                <w:szCs w:val="12"/>
              </w:rPr>
            </w:pPr>
            <w:r w:rsidRPr="00AF704F">
              <w:rPr>
                <w:rFonts w:cs="Arial"/>
                <w:b/>
                <w:bCs/>
                <w:sz w:val="12"/>
                <w:szCs w:val="12"/>
              </w:rPr>
              <w:t>S</w:t>
            </w:r>
            <w:r w:rsidR="00C953CA" w:rsidRPr="00AF704F">
              <w:rPr>
                <w:rFonts w:cs="Arial"/>
                <w:b/>
                <w:bCs/>
                <w:sz w:val="12"/>
                <w:szCs w:val="12"/>
              </w:rPr>
              <w:t>pecificity (%)</w:t>
            </w:r>
          </w:p>
        </w:tc>
        <w:tc>
          <w:tcPr>
            <w:tcW w:w="639" w:type="dxa"/>
            <w:noWrap/>
            <w:hideMark/>
          </w:tcPr>
          <w:p w14:paraId="4E1B66DE" w14:textId="77777777" w:rsidR="00C953CA" w:rsidRPr="00AF704F" w:rsidRDefault="00C953CA" w:rsidP="00C953CA">
            <w:pPr>
              <w:spacing w:line="480" w:lineRule="auto"/>
              <w:rPr>
                <w:rFonts w:cs="Arial"/>
                <w:sz w:val="12"/>
                <w:szCs w:val="12"/>
              </w:rPr>
            </w:pPr>
            <w:r w:rsidRPr="00AF704F">
              <w:rPr>
                <w:rFonts w:cs="Arial"/>
                <w:sz w:val="12"/>
                <w:szCs w:val="12"/>
              </w:rPr>
              <w:t>98</w:t>
            </w:r>
          </w:p>
        </w:tc>
        <w:tc>
          <w:tcPr>
            <w:tcW w:w="684" w:type="dxa"/>
            <w:noWrap/>
            <w:hideMark/>
          </w:tcPr>
          <w:p w14:paraId="0C4639FA" w14:textId="77777777" w:rsidR="00C953CA" w:rsidRPr="00AF704F" w:rsidRDefault="00C953CA" w:rsidP="00C953CA">
            <w:pPr>
              <w:spacing w:line="480" w:lineRule="auto"/>
              <w:rPr>
                <w:rFonts w:cs="Arial"/>
                <w:sz w:val="12"/>
                <w:szCs w:val="12"/>
              </w:rPr>
            </w:pPr>
            <w:r w:rsidRPr="00AF704F">
              <w:rPr>
                <w:rFonts w:cs="Arial"/>
                <w:sz w:val="12"/>
                <w:szCs w:val="12"/>
              </w:rPr>
              <w:t>89</w:t>
            </w:r>
          </w:p>
        </w:tc>
        <w:tc>
          <w:tcPr>
            <w:tcW w:w="504" w:type="dxa"/>
            <w:noWrap/>
            <w:hideMark/>
          </w:tcPr>
          <w:p w14:paraId="7D2AF1CD" w14:textId="77777777" w:rsidR="00C953CA" w:rsidRPr="00AF704F" w:rsidRDefault="00C953CA" w:rsidP="00C953CA">
            <w:pPr>
              <w:spacing w:line="480" w:lineRule="auto"/>
              <w:rPr>
                <w:rFonts w:cs="Arial"/>
                <w:sz w:val="12"/>
                <w:szCs w:val="12"/>
              </w:rPr>
            </w:pPr>
            <w:r w:rsidRPr="00AF704F">
              <w:rPr>
                <w:rFonts w:cs="Arial"/>
                <w:sz w:val="12"/>
                <w:szCs w:val="12"/>
              </w:rPr>
              <w:t>72</w:t>
            </w:r>
          </w:p>
        </w:tc>
        <w:tc>
          <w:tcPr>
            <w:tcW w:w="432" w:type="dxa"/>
            <w:noWrap/>
            <w:hideMark/>
          </w:tcPr>
          <w:p w14:paraId="738B3856" w14:textId="77777777" w:rsidR="00C953CA" w:rsidRPr="00AF704F" w:rsidRDefault="00C953CA" w:rsidP="00C953CA">
            <w:pPr>
              <w:spacing w:line="480" w:lineRule="auto"/>
              <w:rPr>
                <w:rFonts w:cs="Arial"/>
                <w:sz w:val="12"/>
                <w:szCs w:val="12"/>
              </w:rPr>
            </w:pPr>
            <w:r w:rsidRPr="00AF704F">
              <w:rPr>
                <w:rFonts w:cs="Arial"/>
                <w:sz w:val="12"/>
                <w:szCs w:val="12"/>
              </w:rPr>
              <w:t>31</w:t>
            </w:r>
          </w:p>
        </w:tc>
        <w:tc>
          <w:tcPr>
            <w:tcW w:w="540" w:type="dxa"/>
            <w:noWrap/>
            <w:hideMark/>
          </w:tcPr>
          <w:p w14:paraId="3EFD269D" w14:textId="77777777" w:rsidR="00C953CA" w:rsidRPr="00AF704F" w:rsidRDefault="00C953CA" w:rsidP="00C953CA">
            <w:pPr>
              <w:spacing w:line="480" w:lineRule="auto"/>
              <w:rPr>
                <w:rFonts w:cs="Arial"/>
                <w:sz w:val="12"/>
                <w:szCs w:val="12"/>
              </w:rPr>
            </w:pPr>
            <w:r w:rsidRPr="00AF704F">
              <w:rPr>
                <w:rFonts w:cs="Arial"/>
                <w:sz w:val="12"/>
                <w:szCs w:val="12"/>
              </w:rPr>
              <w:t>52</w:t>
            </w:r>
          </w:p>
        </w:tc>
        <w:tc>
          <w:tcPr>
            <w:tcW w:w="504" w:type="dxa"/>
            <w:noWrap/>
            <w:hideMark/>
          </w:tcPr>
          <w:p w14:paraId="10BF3A1E" w14:textId="77777777" w:rsidR="00C953CA" w:rsidRPr="00AF704F" w:rsidRDefault="00C953CA" w:rsidP="00C953CA">
            <w:pPr>
              <w:spacing w:line="480" w:lineRule="auto"/>
              <w:rPr>
                <w:rFonts w:cs="Arial"/>
                <w:sz w:val="12"/>
                <w:szCs w:val="12"/>
              </w:rPr>
            </w:pPr>
            <w:r w:rsidRPr="00AF704F">
              <w:rPr>
                <w:rFonts w:cs="Arial"/>
                <w:sz w:val="12"/>
                <w:szCs w:val="12"/>
              </w:rPr>
              <w:t>41</w:t>
            </w:r>
          </w:p>
        </w:tc>
        <w:tc>
          <w:tcPr>
            <w:tcW w:w="414" w:type="dxa"/>
            <w:noWrap/>
            <w:hideMark/>
          </w:tcPr>
          <w:p w14:paraId="132545A7" w14:textId="77777777" w:rsidR="00C953CA" w:rsidRPr="00AF704F" w:rsidRDefault="00C953CA" w:rsidP="00C953CA">
            <w:pPr>
              <w:spacing w:line="480" w:lineRule="auto"/>
              <w:rPr>
                <w:rFonts w:cs="Arial"/>
                <w:sz w:val="12"/>
                <w:szCs w:val="12"/>
              </w:rPr>
            </w:pPr>
            <w:r w:rsidRPr="00AF704F">
              <w:rPr>
                <w:rFonts w:cs="Arial"/>
                <w:sz w:val="12"/>
                <w:szCs w:val="12"/>
              </w:rPr>
              <w:t>33</w:t>
            </w:r>
          </w:p>
        </w:tc>
        <w:tc>
          <w:tcPr>
            <w:tcW w:w="540" w:type="dxa"/>
            <w:noWrap/>
            <w:hideMark/>
          </w:tcPr>
          <w:p w14:paraId="17EDC65A" w14:textId="77777777" w:rsidR="00C953CA" w:rsidRPr="00AF704F" w:rsidRDefault="00C953CA" w:rsidP="00C953CA">
            <w:pPr>
              <w:spacing w:line="480" w:lineRule="auto"/>
              <w:rPr>
                <w:rFonts w:cs="Arial"/>
                <w:sz w:val="12"/>
                <w:szCs w:val="12"/>
              </w:rPr>
            </w:pPr>
            <w:r w:rsidRPr="00AF704F">
              <w:rPr>
                <w:rFonts w:cs="Arial"/>
                <w:sz w:val="12"/>
                <w:szCs w:val="12"/>
              </w:rPr>
              <w:t>28</w:t>
            </w:r>
          </w:p>
        </w:tc>
        <w:tc>
          <w:tcPr>
            <w:tcW w:w="594" w:type="dxa"/>
            <w:noWrap/>
            <w:hideMark/>
          </w:tcPr>
          <w:p w14:paraId="17DF2465" w14:textId="77777777" w:rsidR="00C953CA" w:rsidRPr="00AF704F" w:rsidRDefault="00C953CA" w:rsidP="00C953CA">
            <w:pPr>
              <w:spacing w:line="480" w:lineRule="auto"/>
              <w:rPr>
                <w:rFonts w:cs="Arial"/>
                <w:sz w:val="12"/>
                <w:szCs w:val="12"/>
              </w:rPr>
            </w:pPr>
            <w:r w:rsidRPr="00AF704F">
              <w:rPr>
                <w:rFonts w:cs="Arial"/>
                <w:sz w:val="12"/>
                <w:szCs w:val="12"/>
              </w:rPr>
              <w:t>19</w:t>
            </w:r>
          </w:p>
        </w:tc>
        <w:tc>
          <w:tcPr>
            <w:tcW w:w="584" w:type="dxa"/>
            <w:noWrap/>
            <w:hideMark/>
          </w:tcPr>
          <w:p w14:paraId="6683E4EC" w14:textId="77777777" w:rsidR="00C953CA" w:rsidRPr="00AF704F" w:rsidRDefault="00C953CA" w:rsidP="00C953CA">
            <w:pPr>
              <w:spacing w:line="480" w:lineRule="auto"/>
              <w:rPr>
                <w:rFonts w:cs="Arial"/>
                <w:sz w:val="12"/>
                <w:szCs w:val="12"/>
              </w:rPr>
            </w:pPr>
            <w:r w:rsidRPr="00AF704F">
              <w:rPr>
                <w:rFonts w:cs="Arial"/>
                <w:sz w:val="12"/>
                <w:szCs w:val="12"/>
              </w:rPr>
              <w:t>18</w:t>
            </w:r>
          </w:p>
        </w:tc>
        <w:tc>
          <w:tcPr>
            <w:tcW w:w="418" w:type="dxa"/>
            <w:noWrap/>
            <w:hideMark/>
          </w:tcPr>
          <w:p w14:paraId="6CF20E58"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505" w:type="dxa"/>
            <w:noWrap/>
            <w:hideMark/>
          </w:tcPr>
          <w:p w14:paraId="1D1D334B"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454" w:type="dxa"/>
            <w:noWrap/>
            <w:hideMark/>
          </w:tcPr>
          <w:p w14:paraId="04457853" w14:textId="77777777" w:rsidR="00C953CA" w:rsidRPr="00AF704F" w:rsidRDefault="00C953CA" w:rsidP="00C953CA">
            <w:pPr>
              <w:spacing w:line="480" w:lineRule="auto"/>
              <w:rPr>
                <w:rFonts w:cs="Arial"/>
                <w:sz w:val="12"/>
                <w:szCs w:val="12"/>
              </w:rPr>
            </w:pPr>
            <w:r w:rsidRPr="00AF704F">
              <w:rPr>
                <w:rFonts w:cs="Arial"/>
                <w:sz w:val="12"/>
                <w:szCs w:val="12"/>
              </w:rPr>
              <w:t>NA</w:t>
            </w:r>
          </w:p>
        </w:tc>
      </w:tr>
      <w:tr w:rsidR="00AF704F" w:rsidRPr="00AF704F" w14:paraId="6C86C177" w14:textId="77777777" w:rsidTr="001C52C1">
        <w:trPr>
          <w:trHeight w:val="360"/>
        </w:trPr>
        <w:tc>
          <w:tcPr>
            <w:tcW w:w="976" w:type="dxa"/>
            <w:hideMark/>
          </w:tcPr>
          <w:p w14:paraId="5BFD7140" w14:textId="77777777" w:rsidR="00C953CA" w:rsidRPr="00AF704F" w:rsidRDefault="00C953CA" w:rsidP="00C953CA">
            <w:pPr>
              <w:spacing w:line="480" w:lineRule="auto"/>
              <w:rPr>
                <w:rFonts w:cs="Arial"/>
                <w:b/>
                <w:bCs/>
                <w:sz w:val="12"/>
                <w:szCs w:val="12"/>
              </w:rPr>
            </w:pPr>
            <w:r w:rsidRPr="00AF704F">
              <w:rPr>
                <w:rFonts w:cs="Arial"/>
                <w:b/>
                <w:bCs/>
                <w:sz w:val="12"/>
                <w:szCs w:val="12"/>
              </w:rPr>
              <w:t> </w:t>
            </w:r>
          </w:p>
        </w:tc>
        <w:tc>
          <w:tcPr>
            <w:tcW w:w="414" w:type="dxa"/>
            <w:hideMark/>
          </w:tcPr>
          <w:p w14:paraId="24EE9BEA" w14:textId="77777777" w:rsidR="00C953CA" w:rsidRPr="00AF704F" w:rsidRDefault="00C953CA" w:rsidP="00C953CA">
            <w:pPr>
              <w:spacing w:line="480" w:lineRule="auto"/>
              <w:rPr>
                <w:rFonts w:cs="Arial"/>
                <w:b/>
                <w:bCs/>
                <w:sz w:val="12"/>
                <w:szCs w:val="12"/>
              </w:rPr>
            </w:pPr>
            <w:r w:rsidRPr="00AF704F">
              <w:rPr>
                <w:rFonts w:cs="Arial"/>
                <w:b/>
                <w:bCs/>
                <w:sz w:val="12"/>
                <w:szCs w:val="12"/>
              </w:rPr>
              <w:t>80</w:t>
            </w:r>
          </w:p>
        </w:tc>
        <w:tc>
          <w:tcPr>
            <w:tcW w:w="1206" w:type="dxa"/>
            <w:noWrap/>
            <w:hideMark/>
          </w:tcPr>
          <w:p w14:paraId="70E0168E" w14:textId="027DC77D" w:rsidR="00C953CA" w:rsidRPr="00AF704F" w:rsidRDefault="002F39BC" w:rsidP="00C953CA">
            <w:pPr>
              <w:spacing w:line="480" w:lineRule="auto"/>
              <w:rPr>
                <w:rFonts w:cs="Arial"/>
                <w:b/>
                <w:bCs/>
                <w:sz w:val="12"/>
                <w:szCs w:val="12"/>
              </w:rPr>
            </w:pPr>
            <w:r w:rsidRPr="00AF704F">
              <w:rPr>
                <w:rFonts w:cs="Arial"/>
                <w:b/>
                <w:bCs/>
                <w:sz w:val="12"/>
                <w:szCs w:val="12"/>
              </w:rPr>
              <w:t>S</w:t>
            </w:r>
            <w:r w:rsidR="00C953CA" w:rsidRPr="00AF704F">
              <w:rPr>
                <w:rFonts w:cs="Arial"/>
                <w:b/>
                <w:bCs/>
                <w:sz w:val="12"/>
                <w:szCs w:val="12"/>
              </w:rPr>
              <w:t>pecificity (%)</w:t>
            </w:r>
          </w:p>
        </w:tc>
        <w:tc>
          <w:tcPr>
            <w:tcW w:w="639" w:type="dxa"/>
            <w:noWrap/>
            <w:hideMark/>
          </w:tcPr>
          <w:p w14:paraId="5FCE286A" w14:textId="77777777" w:rsidR="00C953CA" w:rsidRPr="00AF704F" w:rsidRDefault="00C953CA" w:rsidP="00C953CA">
            <w:pPr>
              <w:spacing w:line="480" w:lineRule="auto"/>
              <w:rPr>
                <w:rFonts w:cs="Arial"/>
                <w:sz w:val="12"/>
                <w:szCs w:val="12"/>
              </w:rPr>
            </w:pPr>
            <w:r w:rsidRPr="00AF704F">
              <w:rPr>
                <w:rFonts w:cs="Arial"/>
                <w:sz w:val="12"/>
                <w:szCs w:val="12"/>
              </w:rPr>
              <w:t>98</w:t>
            </w:r>
          </w:p>
        </w:tc>
        <w:tc>
          <w:tcPr>
            <w:tcW w:w="684" w:type="dxa"/>
            <w:noWrap/>
            <w:hideMark/>
          </w:tcPr>
          <w:p w14:paraId="02F15AD4" w14:textId="77777777" w:rsidR="00C953CA" w:rsidRPr="00AF704F" w:rsidRDefault="00C953CA" w:rsidP="00C953CA">
            <w:pPr>
              <w:spacing w:line="480" w:lineRule="auto"/>
              <w:rPr>
                <w:rFonts w:cs="Arial"/>
                <w:sz w:val="12"/>
                <w:szCs w:val="12"/>
              </w:rPr>
            </w:pPr>
            <w:r w:rsidRPr="00AF704F">
              <w:rPr>
                <w:rFonts w:cs="Arial"/>
                <w:sz w:val="12"/>
                <w:szCs w:val="12"/>
              </w:rPr>
              <w:t>95</w:t>
            </w:r>
          </w:p>
        </w:tc>
        <w:tc>
          <w:tcPr>
            <w:tcW w:w="504" w:type="dxa"/>
            <w:noWrap/>
            <w:hideMark/>
          </w:tcPr>
          <w:p w14:paraId="00363536" w14:textId="77777777" w:rsidR="00C953CA" w:rsidRPr="00AF704F" w:rsidRDefault="00C953CA" w:rsidP="00C953CA">
            <w:pPr>
              <w:spacing w:line="480" w:lineRule="auto"/>
              <w:rPr>
                <w:rFonts w:cs="Arial"/>
                <w:sz w:val="12"/>
                <w:szCs w:val="12"/>
              </w:rPr>
            </w:pPr>
            <w:r w:rsidRPr="00AF704F">
              <w:rPr>
                <w:rFonts w:cs="Arial"/>
                <w:sz w:val="12"/>
                <w:szCs w:val="12"/>
              </w:rPr>
              <w:t>85</w:t>
            </w:r>
          </w:p>
        </w:tc>
        <w:tc>
          <w:tcPr>
            <w:tcW w:w="432" w:type="dxa"/>
            <w:noWrap/>
            <w:hideMark/>
          </w:tcPr>
          <w:p w14:paraId="3AA402F4" w14:textId="77777777" w:rsidR="00C953CA" w:rsidRPr="00AF704F" w:rsidRDefault="00C953CA" w:rsidP="00C953CA">
            <w:pPr>
              <w:spacing w:line="480" w:lineRule="auto"/>
              <w:rPr>
                <w:rFonts w:cs="Arial"/>
                <w:sz w:val="12"/>
                <w:szCs w:val="12"/>
              </w:rPr>
            </w:pPr>
            <w:r w:rsidRPr="00AF704F">
              <w:rPr>
                <w:rFonts w:cs="Arial"/>
                <w:sz w:val="12"/>
                <w:szCs w:val="12"/>
              </w:rPr>
              <w:t>58</w:t>
            </w:r>
          </w:p>
        </w:tc>
        <w:tc>
          <w:tcPr>
            <w:tcW w:w="540" w:type="dxa"/>
            <w:noWrap/>
            <w:hideMark/>
          </w:tcPr>
          <w:p w14:paraId="41122D2B" w14:textId="77777777" w:rsidR="00C953CA" w:rsidRPr="00AF704F" w:rsidRDefault="00C953CA" w:rsidP="00C953CA">
            <w:pPr>
              <w:spacing w:line="480" w:lineRule="auto"/>
              <w:rPr>
                <w:rFonts w:cs="Arial"/>
                <w:sz w:val="12"/>
                <w:szCs w:val="12"/>
              </w:rPr>
            </w:pPr>
            <w:r w:rsidRPr="00AF704F">
              <w:rPr>
                <w:rFonts w:cs="Arial"/>
                <w:sz w:val="12"/>
                <w:szCs w:val="12"/>
              </w:rPr>
              <w:t>67</w:t>
            </w:r>
          </w:p>
        </w:tc>
        <w:tc>
          <w:tcPr>
            <w:tcW w:w="504" w:type="dxa"/>
            <w:noWrap/>
            <w:hideMark/>
          </w:tcPr>
          <w:p w14:paraId="715B8EBA" w14:textId="77777777" w:rsidR="00C953CA" w:rsidRPr="00AF704F" w:rsidRDefault="00C953CA" w:rsidP="00C953CA">
            <w:pPr>
              <w:spacing w:line="480" w:lineRule="auto"/>
              <w:rPr>
                <w:rFonts w:cs="Arial"/>
                <w:sz w:val="12"/>
                <w:szCs w:val="12"/>
              </w:rPr>
            </w:pPr>
            <w:r w:rsidRPr="00AF704F">
              <w:rPr>
                <w:rFonts w:cs="Arial"/>
                <w:sz w:val="12"/>
                <w:szCs w:val="12"/>
              </w:rPr>
              <w:t>54</w:t>
            </w:r>
          </w:p>
        </w:tc>
        <w:tc>
          <w:tcPr>
            <w:tcW w:w="414" w:type="dxa"/>
            <w:noWrap/>
            <w:hideMark/>
          </w:tcPr>
          <w:p w14:paraId="607F7A0B" w14:textId="77777777" w:rsidR="00C953CA" w:rsidRPr="00AF704F" w:rsidRDefault="00C953CA" w:rsidP="00C953CA">
            <w:pPr>
              <w:spacing w:line="480" w:lineRule="auto"/>
              <w:rPr>
                <w:rFonts w:cs="Arial"/>
                <w:sz w:val="12"/>
                <w:szCs w:val="12"/>
              </w:rPr>
            </w:pPr>
            <w:r w:rsidRPr="00AF704F">
              <w:rPr>
                <w:rFonts w:cs="Arial"/>
                <w:sz w:val="12"/>
                <w:szCs w:val="12"/>
              </w:rPr>
              <w:t>39</w:t>
            </w:r>
          </w:p>
        </w:tc>
        <w:tc>
          <w:tcPr>
            <w:tcW w:w="540" w:type="dxa"/>
            <w:noWrap/>
            <w:hideMark/>
          </w:tcPr>
          <w:p w14:paraId="1579D73C" w14:textId="77777777" w:rsidR="00C953CA" w:rsidRPr="00AF704F" w:rsidRDefault="00C953CA" w:rsidP="00C953CA">
            <w:pPr>
              <w:spacing w:line="480" w:lineRule="auto"/>
              <w:rPr>
                <w:rFonts w:cs="Arial"/>
                <w:sz w:val="12"/>
                <w:szCs w:val="12"/>
              </w:rPr>
            </w:pPr>
            <w:r w:rsidRPr="00AF704F">
              <w:rPr>
                <w:rFonts w:cs="Arial"/>
                <w:sz w:val="12"/>
                <w:szCs w:val="12"/>
              </w:rPr>
              <w:t>39</w:t>
            </w:r>
          </w:p>
        </w:tc>
        <w:tc>
          <w:tcPr>
            <w:tcW w:w="594" w:type="dxa"/>
            <w:noWrap/>
            <w:hideMark/>
          </w:tcPr>
          <w:p w14:paraId="7E42C719" w14:textId="77777777" w:rsidR="00C953CA" w:rsidRPr="00AF704F" w:rsidRDefault="00C953CA" w:rsidP="00C953CA">
            <w:pPr>
              <w:spacing w:line="480" w:lineRule="auto"/>
              <w:rPr>
                <w:rFonts w:cs="Arial"/>
                <w:sz w:val="12"/>
                <w:szCs w:val="12"/>
              </w:rPr>
            </w:pPr>
            <w:r w:rsidRPr="00AF704F">
              <w:rPr>
                <w:rFonts w:cs="Arial"/>
                <w:sz w:val="12"/>
                <w:szCs w:val="12"/>
              </w:rPr>
              <w:t>29</w:t>
            </w:r>
          </w:p>
        </w:tc>
        <w:tc>
          <w:tcPr>
            <w:tcW w:w="584" w:type="dxa"/>
            <w:noWrap/>
            <w:hideMark/>
          </w:tcPr>
          <w:p w14:paraId="62DD1406" w14:textId="77777777" w:rsidR="00C953CA" w:rsidRPr="00AF704F" w:rsidRDefault="00C953CA" w:rsidP="00C953CA">
            <w:pPr>
              <w:spacing w:line="480" w:lineRule="auto"/>
              <w:rPr>
                <w:rFonts w:cs="Arial"/>
                <w:sz w:val="12"/>
                <w:szCs w:val="12"/>
              </w:rPr>
            </w:pPr>
            <w:r w:rsidRPr="00AF704F">
              <w:rPr>
                <w:rFonts w:cs="Arial"/>
                <w:sz w:val="12"/>
                <w:szCs w:val="12"/>
              </w:rPr>
              <w:t>18</w:t>
            </w:r>
          </w:p>
        </w:tc>
        <w:tc>
          <w:tcPr>
            <w:tcW w:w="418" w:type="dxa"/>
            <w:noWrap/>
            <w:hideMark/>
          </w:tcPr>
          <w:p w14:paraId="56561374"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505" w:type="dxa"/>
            <w:noWrap/>
            <w:hideMark/>
          </w:tcPr>
          <w:p w14:paraId="3F352AD9"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454" w:type="dxa"/>
            <w:noWrap/>
            <w:hideMark/>
          </w:tcPr>
          <w:p w14:paraId="75B99B46" w14:textId="77777777" w:rsidR="00C953CA" w:rsidRPr="00AF704F" w:rsidRDefault="00C953CA" w:rsidP="00C953CA">
            <w:pPr>
              <w:spacing w:line="480" w:lineRule="auto"/>
              <w:rPr>
                <w:rFonts w:cs="Arial"/>
                <w:sz w:val="12"/>
                <w:szCs w:val="12"/>
              </w:rPr>
            </w:pPr>
            <w:r w:rsidRPr="00AF704F">
              <w:rPr>
                <w:rFonts w:cs="Arial"/>
                <w:sz w:val="12"/>
                <w:szCs w:val="12"/>
              </w:rPr>
              <w:t>NA</w:t>
            </w:r>
          </w:p>
        </w:tc>
      </w:tr>
      <w:tr w:rsidR="00AF704F" w:rsidRPr="00AF704F" w14:paraId="168DA123" w14:textId="77777777" w:rsidTr="001C52C1">
        <w:trPr>
          <w:trHeight w:val="360"/>
        </w:trPr>
        <w:tc>
          <w:tcPr>
            <w:tcW w:w="976" w:type="dxa"/>
            <w:hideMark/>
          </w:tcPr>
          <w:p w14:paraId="08B8E7F2" w14:textId="77777777" w:rsidR="00C953CA" w:rsidRPr="00AF704F" w:rsidRDefault="00C953CA" w:rsidP="00C953CA">
            <w:pPr>
              <w:spacing w:line="480" w:lineRule="auto"/>
              <w:rPr>
                <w:rFonts w:cs="Arial"/>
                <w:b/>
                <w:bCs/>
                <w:sz w:val="12"/>
                <w:szCs w:val="12"/>
              </w:rPr>
            </w:pPr>
            <w:r w:rsidRPr="00AF704F">
              <w:rPr>
                <w:rFonts w:cs="Arial"/>
                <w:b/>
                <w:bCs/>
                <w:sz w:val="12"/>
                <w:szCs w:val="12"/>
              </w:rPr>
              <w:t> </w:t>
            </w:r>
          </w:p>
        </w:tc>
        <w:tc>
          <w:tcPr>
            <w:tcW w:w="414" w:type="dxa"/>
            <w:hideMark/>
          </w:tcPr>
          <w:p w14:paraId="38A6F02D" w14:textId="77777777" w:rsidR="00C953CA" w:rsidRPr="00AF704F" w:rsidRDefault="00C953CA" w:rsidP="00C953CA">
            <w:pPr>
              <w:spacing w:line="480" w:lineRule="auto"/>
              <w:rPr>
                <w:rFonts w:cs="Arial"/>
                <w:b/>
                <w:bCs/>
                <w:sz w:val="12"/>
                <w:szCs w:val="12"/>
              </w:rPr>
            </w:pPr>
            <w:r w:rsidRPr="00AF704F">
              <w:rPr>
                <w:rFonts w:cs="Arial"/>
                <w:b/>
                <w:bCs/>
                <w:sz w:val="12"/>
                <w:szCs w:val="12"/>
              </w:rPr>
              <w:t>70</w:t>
            </w:r>
          </w:p>
        </w:tc>
        <w:tc>
          <w:tcPr>
            <w:tcW w:w="1206" w:type="dxa"/>
            <w:noWrap/>
            <w:hideMark/>
          </w:tcPr>
          <w:p w14:paraId="7758D033" w14:textId="2E5ABA44" w:rsidR="00C953CA" w:rsidRPr="00AF704F" w:rsidRDefault="002F39BC" w:rsidP="00C953CA">
            <w:pPr>
              <w:spacing w:line="480" w:lineRule="auto"/>
              <w:rPr>
                <w:rFonts w:cs="Arial"/>
                <w:b/>
                <w:bCs/>
                <w:sz w:val="12"/>
                <w:szCs w:val="12"/>
              </w:rPr>
            </w:pPr>
            <w:r w:rsidRPr="00AF704F">
              <w:rPr>
                <w:rFonts w:cs="Arial"/>
                <w:b/>
                <w:bCs/>
                <w:sz w:val="12"/>
                <w:szCs w:val="12"/>
              </w:rPr>
              <w:t>S</w:t>
            </w:r>
            <w:r w:rsidR="00C953CA" w:rsidRPr="00AF704F">
              <w:rPr>
                <w:rFonts w:cs="Arial"/>
                <w:b/>
                <w:bCs/>
                <w:sz w:val="12"/>
                <w:szCs w:val="12"/>
              </w:rPr>
              <w:t>pecificity (%)</w:t>
            </w:r>
          </w:p>
        </w:tc>
        <w:tc>
          <w:tcPr>
            <w:tcW w:w="639" w:type="dxa"/>
            <w:noWrap/>
            <w:hideMark/>
          </w:tcPr>
          <w:p w14:paraId="25383D46" w14:textId="77777777" w:rsidR="00C953CA" w:rsidRPr="00AF704F" w:rsidRDefault="00C953CA" w:rsidP="00C953CA">
            <w:pPr>
              <w:spacing w:line="480" w:lineRule="auto"/>
              <w:rPr>
                <w:rFonts w:cs="Arial"/>
                <w:sz w:val="12"/>
                <w:szCs w:val="12"/>
              </w:rPr>
            </w:pPr>
            <w:r w:rsidRPr="00AF704F">
              <w:rPr>
                <w:rFonts w:cs="Arial"/>
                <w:sz w:val="12"/>
                <w:szCs w:val="12"/>
              </w:rPr>
              <w:t>99</w:t>
            </w:r>
          </w:p>
        </w:tc>
        <w:tc>
          <w:tcPr>
            <w:tcW w:w="684" w:type="dxa"/>
            <w:noWrap/>
            <w:hideMark/>
          </w:tcPr>
          <w:p w14:paraId="79936CEF" w14:textId="77777777" w:rsidR="00C953CA" w:rsidRPr="00AF704F" w:rsidRDefault="00C953CA" w:rsidP="00C953CA">
            <w:pPr>
              <w:spacing w:line="480" w:lineRule="auto"/>
              <w:rPr>
                <w:rFonts w:cs="Arial"/>
                <w:sz w:val="12"/>
                <w:szCs w:val="12"/>
              </w:rPr>
            </w:pPr>
            <w:r w:rsidRPr="00AF704F">
              <w:rPr>
                <w:rFonts w:cs="Arial"/>
                <w:sz w:val="12"/>
                <w:szCs w:val="12"/>
              </w:rPr>
              <w:t>97</w:t>
            </w:r>
          </w:p>
        </w:tc>
        <w:tc>
          <w:tcPr>
            <w:tcW w:w="504" w:type="dxa"/>
            <w:noWrap/>
            <w:hideMark/>
          </w:tcPr>
          <w:p w14:paraId="27C70A1B" w14:textId="77777777" w:rsidR="00C953CA" w:rsidRPr="00AF704F" w:rsidRDefault="00C953CA" w:rsidP="00C953CA">
            <w:pPr>
              <w:spacing w:line="480" w:lineRule="auto"/>
              <w:rPr>
                <w:rFonts w:cs="Arial"/>
                <w:sz w:val="12"/>
                <w:szCs w:val="12"/>
              </w:rPr>
            </w:pPr>
            <w:r w:rsidRPr="00AF704F">
              <w:rPr>
                <w:rFonts w:cs="Arial"/>
                <w:sz w:val="12"/>
                <w:szCs w:val="12"/>
              </w:rPr>
              <w:t>91</w:t>
            </w:r>
          </w:p>
        </w:tc>
        <w:tc>
          <w:tcPr>
            <w:tcW w:w="432" w:type="dxa"/>
            <w:noWrap/>
            <w:hideMark/>
          </w:tcPr>
          <w:p w14:paraId="19DB7C43" w14:textId="77777777" w:rsidR="00C953CA" w:rsidRPr="00AF704F" w:rsidRDefault="00C953CA" w:rsidP="00C953CA">
            <w:pPr>
              <w:spacing w:line="480" w:lineRule="auto"/>
              <w:rPr>
                <w:rFonts w:cs="Arial"/>
                <w:sz w:val="12"/>
                <w:szCs w:val="12"/>
              </w:rPr>
            </w:pPr>
            <w:r w:rsidRPr="00AF704F">
              <w:rPr>
                <w:rFonts w:cs="Arial"/>
                <w:sz w:val="12"/>
                <w:szCs w:val="12"/>
              </w:rPr>
              <w:t>75</w:t>
            </w:r>
          </w:p>
        </w:tc>
        <w:tc>
          <w:tcPr>
            <w:tcW w:w="540" w:type="dxa"/>
            <w:noWrap/>
            <w:hideMark/>
          </w:tcPr>
          <w:p w14:paraId="143AD0A3" w14:textId="77777777" w:rsidR="00C953CA" w:rsidRPr="00AF704F" w:rsidRDefault="00C953CA" w:rsidP="00C953CA">
            <w:pPr>
              <w:spacing w:line="480" w:lineRule="auto"/>
              <w:rPr>
                <w:rFonts w:cs="Arial"/>
                <w:sz w:val="12"/>
                <w:szCs w:val="12"/>
              </w:rPr>
            </w:pPr>
            <w:r w:rsidRPr="00AF704F">
              <w:rPr>
                <w:rFonts w:cs="Arial"/>
                <w:sz w:val="12"/>
                <w:szCs w:val="12"/>
              </w:rPr>
              <w:t>76</w:t>
            </w:r>
          </w:p>
        </w:tc>
        <w:tc>
          <w:tcPr>
            <w:tcW w:w="504" w:type="dxa"/>
            <w:noWrap/>
            <w:hideMark/>
          </w:tcPr>
          <w:p w14:paraId="2F62BCD5" w14:textId="77777777" w:rsidR="00C953CA" w:rsidRPr="00AF704F" w:rsidRDefault="00C953CA" w:rsidP="00C953CA">
            <w:pPr>
              <w:spacing w:line="480" w:lineRule="auto"/>
              <w:rPr>
                <w:rFonts w:cs="Arial"/>
                <w:sz w:val="12"/>
                <w:szCs w:val="12"/>
              </w:rPr>
            </w:pPr>
            <w:r w:rsidRPr="00AF704F">
              <w:rPr>
                <w:rFonts w:cs="Arial"/>
                <w:sz w:val="12"/>
                <w:szCs w:val="12"/>
              </w:rPr>
              <w:t>65</w:t>
            </w:r>
          </w:p>
        </w:tc>
        <w:tc>
          <w:tcPr>
            <w:tcW w:w="414" w:type="dxa"/>
            <w:noWrap/>
            <w:hideMark/>
          </w:tcPr>
          <w:p w14:paraId="79F2F305" w14:textId="77777777" w:rsidR="00C953CA" w:rsidRPr="00AF704F" w:rsidRDefault="00C953CA" w:rsidP="00C953CA">
            <w:pPr>
              <w:spacing w:line="480" w:lineRule="auto"/>
              <w:rPr>
                <w:rFonts w:cs="Arial"/>
                <w:sz w:val="12"/>
                <w:szCs w:val="12"/>
              </w:rPr>
            </w:pPr>
            <w:r w:rsidRPr="00AF704F">
              <w:rPr>
                <w:rFonts w:cs="Arial"/>
                <w:sz w:val="12"/>
                <w:szCs w:val="12"/>
              </w:rPr>
              <w:t>53</w:t>
            </w:r>
          </w:p>
        </w:tc>
        <w:tc>
          <w:tcPr>
            <w:tcW w:w="540" w:type="dxa"/>
            <w:noWrap/>
            <w:hideMark/>
          </w:tcPr>
          <w:p w14:paraId="7861F721" w14:textId="77777777" w:rsidR="00C953CA" w:rsidRPr="00AF704F" w:rsidRDefault="00C953CA" w:rsidP="00C953CA">
            <w:pPr>
              <w:spacing w:line="480" w:lineRule="auto"/>
              <w:rPr>
                <w:rFonts w:cs="Arial"/>
                <w:sz w:val="12"/>
                <w:szCs w:val="12"/>
              </w:rPr>
            </w:pPr>
            <w:r w:rsidRPr="00AF704F">
              <w:rPr>
                <w:rFonts w:cs="Arial"/>
                <w:sz w:val="12"/>
                <w:szCs w:val="12"/>
              </w:rPr>
              <w:t>51</w:t>
            </w:r>
          </w:p>
        </w:tc>
        <w:tc>
          <w:tcPr>
            <w:tcW w:w="594" w:type="dxa"/>
            <w:noWrap/>
            <w:hideMark/>
          </w:tcPr>
          <w:p w14:paraId="6152B7FB" w14:textId="77777777" w:rsidR="00C953CA" w:rsidRPr="00AF704F" w:rsidRDefault="00C953CA" w:rsidP="00C953CA">
            <w:pPr>
              <w:spacing w:line="480" w:lineRule="auto"/>
              <w:rPr>
                <w:rFonts w:cs="Arial"/>
                <w:sz w:val="12"/>
                <w:szCs w:val="12"/>
              </w:rPr>
            </w:pPr>
            <w:r w:rsidRPr="00AF704F">
              <w:rPr>
                <w:rFonts w:cs="Arial"/>
                <w:sz w:val="12"/>
                <w:szCs w:val="12"/>
              </w:rPr>
              <w:t>33</w:t>
            </w:r>
          </w:p>
        </w:tc>
        <w:tc>
          <w:tcPr>
            <w:tcW w:w="584" w:type="dxa"/>
            <w:noWrap/>
            <w:hideMark/>
          </w:tcPr>
          <w:p w14:paraId="3D68EFED" w14:textId="77777777" w:rsidR="00C953CA" w:rsidRPr="00AF704F" w:rsidRDefault="00C953CA" w:rsidP="00C953CA">
            <w:pPr>
              <w:spacing w:line="480" w:lineRule="auto"/>
              <w:rPr>
                <w:rFonts w:cs="Arial"/>
                <w:sz w:val="12"/>
                <w:szCs w:val="12"/>
              </w:rPr>
            </w:pPr>
            <w:r w:rsidRPr="00AF704F">
              <w:rPr>
                <w:rFonts w:cs="Arial"/>
                <w:sz w:val="12"/>
                <w:szCs w:val="12"/>
              </w:rPr>
              <w:t>41</w:t>
            </w:r>
          </w:p>
        </w:tc>
        <w:tc>
          <w:tcPr>
            <w:tcW w:w="418" w:type="dxa"/>
            <w:noWrap/>
            <w:hideMark/>
          </w:tcPr>
          <w:p w14:paraId="7DC92578"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505" w:type="dxa"/>
            <w:noWrap/>
            <w:hideMark/>
          </w:tcPr>
          <w:p w14:paraId="28AF6CA6" w14:textId="77777777" w:rsidR="00C953CA" w:rsidRPr="00AF704F" w:rsidRDefault="00C953CA" w:rsidP="00C953CA">
            <w:pPr>
              <w:spacing w:line="480" w:lineRule="auto"/>
              <w:rPr>
                <w:rFonts w:cs="Arial"/>
                <w:sz w:val="12"/>
                <w:szCs w:val="12"/>
              </w:rPr>
            </w:pPr>
            <w:r w:rsidRPr="00AF704F">
              <w:rPr>
                <w:rFonts w:cs="Arial"/>
                <w:sz w:val="12"/>
                <w:szCs w:val="12"/>
              </w:rPr>
              <w:t>NA</w:t>
            </w:r>
          </w:p>
        </w:tc>
        <w:tc>
          <w:tcPr>
            <w:tcW w:w="454" w:type="dxa"/>
            <w:noWrap/>
            <w:hideMark/>
          </w:tcPr>
          <w:p w14:paraId="6CE7E01D" w14:textId="77777777" w:rsidR="00C953CA" w:rsidRPr="00AF704F" w:rsidRDefault="00C953CA" w:rsidP="00C953CA">
            <w:pPr>
              <w:spacing w:line="480" w:lineRule="auto"/>
              <w:rPr>
                <w:rFonts w:cs="Arial"/>
                <w:sz w:val="12"/>
                <w:szCs w:val="12"/>
              </w:rPr>
            </w:pPr>
            <w:r w:rsidRPr="00AF704F">
              <w:rPr>
                <w:rFonts w:cs="Arial"/>
                <w:sz w:val="12"/>
                <w:szCs w:val="12"/>
              </w:rPr>
              <w:t>NA</w:t>
            </w:r>
          </w:p>
        </w:tc>
      </w:tr>
    </w:tbl>
    <w:p w14:paraId="526B8512" w14:textId="69A8817C" w:rsidR="00462971" w:rsidRPr="000550FD" w:rsidRDefault="00462971" w:rsidP="00661393">
      <w:pPr>
        <w:spacing w:before="240" w:line="480" w:lineRule="auto"/>
        <w:jc w:val="both"/>
        <w:rPr>
          <w:rFonts w:cs="Arial"/>
          <w:i/>
          <w:lang w:val="en-GB"/>
        </w:rPr>
      </w:pPr>
      <w:r w:rsidRPr="000550FD">
        <w:rPr>
          <w:rFonts w:cs="Arial"/>
          <w:i/>
          <w:lang w:val="en-GB"/>
        </w:rPr>
        <w:t xml:space="preserve">For each antigen, </w:t>
      </w:r>
      <w:r w:rsidR="00CF1A76" w:rsidRPr="000550FD">
        <w:rPr>
          <w:rFonts w:cs="Arial"/>
          <w:i/>
          <w:lang w:val="en-GB"/>
        </w:rPr>
        <w:t xml:space="preserve">theoretical test performance was assessed by calculating </w:t>
      </w:r>
      <w:r w:rsidRPr="000550FD">
        <w:rPr>
          <w:rFonts w:cs="Arial"/>
          <w:i/>
          <w:lang w:val="en-GB"/>
        </w:rPr>
        <w:t>Youden’s index, sensitivity and specificity using a cut-off that results in the maximum accuracy (maximum Youden’s index). The sensitivity obtained by setting a cut-off corresponding to a specificity of 100%, 90%, 80% and 70%, as well as the specificity obtained by setting a cut-off corresponding to a sensitivity of 100%, 90%, 80% and 70% are also indicated. NA: values that could not be computed by the software.</w:t>
      </w:r>
    </w:p>
    <w:p w14:paraId="01DCD6B7" w14:textId="77777777" w:rsidR="00462971" w:rsidRPr="00BA3C0B" w:rsidRDefault="00462971" w:rsidP="0095777F">
      <w:pPr>
        <w:spacing w:line="480" w:lineRule="auto"/>
        <w:rPr>
          <w:rFonts w:cs="Arial"/>
          <w:lang w:val="en-GB"/>
        </w:rPr>
      </w:pPr>
    </w:p>
    <w:p w14:paraId="1025CF6C" w14:textId="375C9216" w:rsidR="007F7754" w:rsidRDefault="007F7754" w:rsidP="00661393">
      <w:pPr>
        <w:spacing w:line="480" w:lineRule="auto"/>
        <w:jc w:val="both"/>
      </w:pPr>
      <w:r w:rsidRPr="00BA3C0B">
        <w:t xml:space="preserve">With </w:t>
      </w:r>
      <w:r w:rsidRPr="00BA3C0B">
        <w:rPr>
          <w:i/>
        </w:rPr>
        <w:t>T. b. rhodesiense</w:t>
      </w:r>
      <w:r w:rsidRPr="00BA3C0B">
        <w:t xml:space="preserve"> samples, ROC analysis</w:t>
      </w:r>
      <w:r w:rsidR="00FA0F6E" w:rsidRPr="00BA3C0B">
        <w:t xml:space="preserve"> of the results obtained </w:t>
      </w:r>
      <w:r w:rsidR="007F01B5">
        <w:t>using</w:t>
      </w:r>
      <w:r w:rsidR="00FA0F6E" w:rsidRPr="00BA3C0B">
        <w:t xml:space="preserve"> ELISA</w:t>
      </w:r>
      <w:r w:rsidRPr="00BA3C0B">
        <w:t xml:space="preserve"> shows that among the 13 antigens of the third round</w:t>
      </w:r>
      <w:r w:rsidR="002F39BC">
        <w:t xml:space="preserve"> of screening</w:t>
      </w:r>
      <w:r w:rsidRPr="00BA3C0B">
        <w:t>,</w:t>
      </w:r>
      <w:r w:rsidRPr="007253B2">
        <w:t xml:space="preserve"> the highest accuracy was achieved </w:t>
      </w:r>
      <w:r>
        <w:t xml:space="preserve">with SRA (56%), followed by </w:t>
      </w:r>
      <w:r w:rsidRPr="007253B2">
        <w:t>VSG LiTat 1.</w:t>
      </w:r>
      <w:r>
        <w:t>3</w:t>
      </w:r>
      <w:r w:rsidRPr="007253B2">
        <w:t xml:space="preserve"> (</w:t>
      </w:r>
      <w:r>
        <w:t>43</w:t>
      </w:r>
      <w:r w:rsidRPr="007253B2">
        <w:t>%)</w:t>
      </w:r>
      <w:r>
        <w:t xml:space="preserve"> and VSG LiTat 1.5 (39%) (Table </w:t>
      </w:r>
      <w:r w:rsidR="00A85C87">
        <w:t>3</w:t>
      </w:r>
      <w:r>
        <w:t xml:space="preserve">). This analysis also indicates that if a sensitivity of 90% is targeted, using SRA would only result in a specificity of 33%. Conversely, if specificity is set at 90%, a sensitivity of 61% can be reached with this antigen. Using VSG LiTat 1.3 would not be appropriate to develop a test with a high specificity, even with a strong trade-off in sensitivity. For example, a specificity of </w:t>
      </w:r>
      <w:r w:rsidR="002F39BC">
        <w:t xml:space="preserve">only </w:t>
      </w:r>
      <w:r>
        <w:t xml:space="preserve">73% could be achieved using VSG LiTat 1.3 with a sensitivity of 70%. Using the less accurate VSG LiTat 1.5 antigen would result in a specificity of </w:t>
      </w:r>
      <w:r w:rsidR="00E87C46">
        <w:t xml:space="preserve">only </w:t>
      </w:r>
      <w:r>
        <w:t>64% with a sensitivity of 70%.</w:t>
      </w:r>
    </w:p>
    <w:p w14:paraId="15932AC5" w14:textId="77777777" w:rsidR="00462971" w:rsidRDefault="00462971" w:rsidP="00661393">
      <w:pPr>
        <w:spacing w:line="480" w:lineRule="auto"/>
        <w:jc w:val="both"/>
        <w:rPr>
          <w:rFonts w:cs="Arial"/>
          <w:sz w:val="20"/>
          <w:szCs w:val="20"/>
          <w:lang w:val="en-GB"/>
        </w:rPr>
      </w:pPr>
    </w:p>
    <w:p w14:paraId="49DC8B73" w14:textId="755D3200" w:rsidR="00313200" w:rsidRDefault="00313200" w:rsidP="0095777F">
      <w:pPr>
        <w:spacing w:line="480" w:lineRule="auto"/>
        <w:rPr>
          <w:rFonts w:cs="Arial"/>
          <w:b/>
          <w:lang w:val="en-GB"/>
        </w:rPr>
      </w:pPr>
      <w:r w:rsidRPr="00BA3C0B">
        <w:rPr>
          <w:rFonts w:cs="Arial"/>
          <w:b/>
          <w:lang w:val="en-GB"/>
        </w:rPr>
        <w:t xml:space="preserve">Table </w:t>
      </w:r>
      <w:r w:rsidR="00A85C87">
        <w:rPr>
          <w:rFonts w:cs="Arial"/>
          <w:b/>
          <w:lang w:val="en-GB"/>
        </w:rPr>
        <w:t>3</w:t>
      </w:r>
      <w:r w:rsidRPr="00BA3C0B">
        <w:rPr>
          <w:rFonts w:cs="Arial"/>
          <w:b/>
          <w:lang w:val="en-GB"/>
        </w:rPr>
        <w:t>. ROC analysis of the reactivity of 13 antigens on sera from</w:t>
      </w:r>
      <w:r w:rsidRPr="00BA3C0B">
        <w:rPr>
          <w:rFonts w:cs="Arial"/>
          <w:b/>
          <w:i/>
          <w:lang w:val="en-GB"/>
        </w:rPr>
        <w:t xml:space="preserve"> T. b. rhodesiense</w:t>
      </w:r>
      <w:r w:rsidRPr="00BA3C0B">
        <w:rPr>
          <w:rFonts w:cs="Arial"/>
          <w:b/>
          <w:lang w:val="en-GB"/>
        </w:rPr>
        <w:t xml:space="preserve"> HAT cases (N=33) and controls (N=143) assessed by ELISA (third round</w:t>
      </w:r>
      <w:r w:rsidR="00E87C46">
        <w:rPr>
          <w:rFonts w:cs="Arial"/>
          <w:b/>
          <w:lang w:val="en-GB"/>
        </w:rPr>
        <w:t xml:space="preserve"> of screening</w:t>
      </w:r>
      <w:r w:rsidRPr="00BA3C0B">
        <w:rPr>
          <w:rFonts w:cs="Arial"/>
          <w:b/>
          <w:lang w:val="en-GB"/>
        </w:rPr>
        <w:t>).</w:t>
      </w:r>
    </w:p>
    <w:tbl>
      <w:tblPr>
        <w:tblStyle w:val="TableGrid"/>
        <w:tblW w:w="9351" w:type="dxa"/>
        <w:tblInd w:w="-5" w:type="dxa"/>
        <w:tblLayout w:type="fixed"/>
        <w:tblLook w:val="04A0" w:firstRow="1" w:lastRow="0" w:firstColumn="1" w:lastColumn="0" w:noHBand="0" w:noVBand="1"/>
      </w:tblPr>
      <w:tblGrid>
        <w:gridCol w:w="936"/>
        <w:gridCol w:w="405"/>
        <w:gridCol w:w="1170"/>
        <w:gridCol w:w="414"/>
        <w:gridCol w:w="648"/>
        <w:gridCol w:w="675"/>
        <w:gridCol w:w="513"/>
        <w:gridCol w:w="513"/>
        <w:gridCol w:w="486"/>
        <w:gridCol w:w="513"/>
        <w:gridCol w:w="450"/>
        <w:gridCol w:w="594"/>
        <w:gridCol w:w="549"/>
        <w:gridCol w:w="405"/>
        <w:gridCol w:w="585"/>
        <w:gridCol w:w="495"/>
      </w:tblGrid>
      <w:tr w:rsidR="00855267" w:rsidRPr="001C52C1" w14:paraId="70BB6502" w14:textId="77777777" w:rsidTr="00855267">
        <w:trPr>
          <w:trHeight w:val="405"/>
        </w:trPr>
        <w:tc>
          <w:tcPr>
            <w:tcW w:w="1341" w:type="dxa"/>
            <w:gridSpan w:val="2"/>
            <w:noWrap/>
            <w:hideMark/>
          </w:tcPr>
          <w:p w14:paraId="2CDEAA59" w14:textId="77777777" w:rsidR="00814BF2" w:rsidRPr="001C52C1" w:rsidRDefault="00814BF2" w:rsidP="00814BF2">
            <w:pPr>
              <w:spacing w:line="480" w:lineRule="auto"/>
              <w:rPr>
                <w:rFonts w:cs="Arial"/>
                <w:b/>
                <w:bCs/>
                <w:sz w:val="12"/>
                <w:szCs w:val="12"/>
              </w:rPr>
            </w:pPr>
            <w:r w:rsidRPr="001C52C1">
              <w:rPr>
                <w:rFonts w:cs="Arial"/>
                <w:b/>
                <w:bCs/>
                <w:sz w:val="12"/>
                <w:szCs w:val="12"/>
              </w:rPr>
              <w:t> </w:t>
            </w:r>
          </w:p>
          <w:p w14:paraId="7539DD90" w14:textId="77777777" w:rsidR="00814BF2" w:rsidRPr="001C52C1" w:rsidRDefault="00814BF2" w:rsidP="00814BF2">
            <w:pPr>
              <w:spacing w:line="480" w:lineRule="auto"/>
              <w:rPr>
                <w:rFonts w:cs="Arial"/>
                <w:b/>
                <w:bCs/>
                <w:sz w:val="12"/>
                <w:szCs w:val="12"/>
              </w:rPr>
            </w:pPr>
            <w:r w:rsidRPr="001C52C1">
              <w:rPr>
                <w:rFonts w:cs="Arial"/>
                <w:b/>
                <w:bCs/>
                <w:sz w:val="12"/>
                <w:szCs w:val="12"/>
              </w:rPr>
              <w:t> </w:t>
            </w:r>
          </w:p>
        </w:tc>
        <w:tc>
          <w:tcPr>
            <w:tcW w:w="1170" w:type="dxa"/>
            <w:hideMark/>
          </w:tcPr>
          <w:p w14:paraId="47F5D738" w14:textId="77777777" w:rsidR="00814BF2" w:rsidRPr="001C52C1" w:rsidRDefault="00814BF2" w:rsidP="00814BF2">
            <w:pPr>
              <w:spacing w:line="480" w:lineRule="auto"/>
              <w:rPr>
                <w:rFonts w:cs="Arial"/>
                <w:b/>
                <w:bCs/>
                <w:sz w:val="12"/>
                <w:szCs w:val="12"/>
              </w:rPr>
            </w:pPr>
            <w:r w:rsidRPr="001C52C1">
              <w:rPr>
                <w:rFonts w:cs="Arial"/>
                <w:b/>
                <w:bCs/>
                <w:sz w:val="12"/>
                <w:szCs w:val="12"/>
              </w:rPr>
              <w:t> </w:t>
            </w:r>
          </w:p>
        </w:tc>
        <w:tc>
          <w:tcPr>
            <w:tcW w:w="414" w:type="dxa"/>
            <w:noWrap/>
            <w:hideMark/>
          </w:tcPr>
          <w:p w14:paraId="3D4E6D90" w14:textId="77777777" w:rsidR="00814BF2" w:rsidRPr="001C52C1" w:rsidRDefault="00814BF2" w:rsidP="00814BF2">
            <w:pPr>
              <w:spacing w:line="480" w:lineRule="auto"/>
              <w:rPr>
                <w:rFonts w:cs="Arial"/>
                <w:b/>
                <w:bCs/>
                <w:sz w:val="12"/>
                <w:szCs w:val="12"/>
              </w:rPr>
            </w:pPr>
            <w:r w:rsidRPr="001C52C1">
              <w:rPr>
                <w:rFonts w:cs="Arial"/>
                <w:b/>
                <w:bCs/>
                <w:sz w:val="12"/>
                <w:szCs w:val="12"/>
              </w:rPr>
              <w:t>SRA</w:t>
            </w:r>
          </w:p>
        </w:tc>
        <w:tc>
          <w:tcPr>
            <w:tcW w:w="648" w:type="dxa"/>
            <w:noWrap/>
            <w:hideMark/>
          </w:tcPr>
          <w:p w14:paraId="04CE0E93" w14:textId="77777777" w:rsidR="00814BF2" w:rsidRPr="001C52C1" w:rsidRDefault="00814BF2" w:rsidP="00814BF2">
            <w:pPr>
              <w:spacing w:line="480" w:lineRule="auto"/>
              <w:rPr>
                <w:rFonts w:cs="Arial"/>
                <w:b/>
                <w:bCs/>
                <w:sz w:val="12"/>
                <w:szCs w:val="12"/>
              </w:rPr>
            </w:pPr>
            <w:r w:rsidRPr="001C52C1">
              <w:rPr>
                <w:rFonts w:cs="Arial"/>
                <w:b/>
                <w:bCs/>
                <w:sz w:val="12"/>
                <w:szCs w:val="12"/>
              </w:rPr>
              <w:t xml:space="preserve">VSG </w:t>
            </w:r>
            <w:r w:rsidR="00D80D24" w:rsidRPr="001C52C1">
              <w:rPr>
                <w:rFonts w:cs="Arial"/>
                <w:b/>
                <w:bCs/>
                <w:sz w:val="12"/>
                <w:szCs w:val="12"/>
              </w:rPr>
              <w:t xml:space="preserve">LiTat </w:t>
            </w:r>
            <w:r w:rsidRPr="001C52C1">
              <w:rPr>
                <w:rFonts w:cs="Arial"/>
                <w:b/>
                <w:bCs/>
                <w:sz w:val="12"/>
                <w:szCs w:val="12"/>
              </w:rPr>
              <w:t>1.3</w:t>
            </w:r>
          </w:p>
        </w:tc>
        <w:tc>
          <w:tcPr>
            <w:tcW w:w="675" w:type="dxa"/>
            <w:noWrap/>
            <w:hideMark/>
          </w:tcPr>
          <w:p w14:paraId="7011C809" w14:textId="77777777" w:rsidR="00814BF2" w:rsidRPr="001C52C1" w:rsidRDefault="00814BF2" w:rsidP="00814BF2">
            <w:pPr>
              <w:spacing w:line="480" w:lineRule="auto"/>
              <w:rPr>
                <w:rFonts w:cs="Arial"/>
                <w:b/>
                <w:bCs/>
                <w:sz w:val="12"/>
                <w:szCs w:val="12"/>
              </w:rPr>
            </w:pPr>
            <w:r w:rsidRPr="001C52C1">
              <w:rPr>
                <w:rFonts w:cs="Arial"/>
                <w:b/>
                <w:bCs/>
                <w:sz w:val="12"/>
                <w:szCs w:val="12"/>
              </w:rPr>
              <w:t>VSG</w:t>
            </w:r>
            <w:r w:rsidR="00D80D24" w:rsidRPr="001C52C1">
              <w:rPr>
                <w:rFonts w:cs="Arial"/>
                <w:b/>
                <w:bCs/>
                <w:sz w:val="12"/>
                <w:szCs w:val="12"/>
              </w:rPr>
              <w:t xml:space="preserve"> LiTat</w:t>
            </w:r>
            <w:r w:rsidRPr="001C52C1">
              <w:rPr>
                <w:rFonts w:cs="Arial"/>
                <w:b/>
                <w:bCs/>
                <w:sz w:val="12"/>
                <w:szCs w:val="12"/>
              </w:rPr>
              <w:t xml:space="preserve"> 1.5</w:t>
            </w:r>
          </w:p>
        </w:tc>
        <w:tc>
          <w:tcPr>
            <w:tcW w:w="513" w:type="dxa"/>
            <w:noWrap/>
            <w:hideMark/>
          </w:tcPr>
          <w:p w14:paraId="7533E8AB" w14:textId="77777777" w:rsidR="00814BF2" w:rsidRPr="001C52C1" w:rsidRDefault="00814BF2" w:rsidP="00814BF2">
            <w:pPr>
              <w:spacing w:line="480" w:lineRule="auto"/>
              <w:rPr>
                <w:rFonts w:cs="Arial"/>
                <w:b/>
                <w:bCs/>
                <w:sz w:val="12"/>
                <w:szCs w:val="12"/>
              </w:rPr>
            </w:pPr>
            <w:r w:rsidRPr="001C52C1">
              <w:rPr>
                <w:rFonts w:cs="Arial"/>
                <w:b/>
                <w:bCs/>
                <w:sz w:val="12"/>
                <w:szCs w:val="12"/>
              </w:rPr>
              <w:t>ISG65</w:t>
            </w:r>
          </w:p>
        </w:tc>
        <w:tc>
          <w:tcPr>
            <w:tcW w:w="513" w:type="dxa"/>
            <w:noWrap/>
            <w:hideMark/>
          </w:tcPr>
          <w:p w14:paraId="6371DB6F" w14:textId="77777777" w:rsidR="00814BF2" w:rsidRPr="001C52C1" w:rsidRDefault="00814BF2" w:rsidP="00814BF2">
            <w:pPr>
              <w:spacing w:line="480" w:lineRule="auto"/>
              <w:rPr>
                <w:rFonts w:cs="Arial"/>
                <w:b/>
                <w:bCs/>
                <w:sz w:val="12"/>
                <w:szCs w:val="12"/>
              </w:rPr>
            </w:pPr>
            <w:r w:rsidRPr="001C52C1">
              <w:rPr>
                <w:rFonts w:cs="Arial"/>
                <w:b/>
                <w:bCs/>
                <w:sz w:val="12"/>
                <w:szCs w:val="12"/>
              </w:rPr>
              <w:t>ISG75</w:t>
            </w:r>
          </w:p>
        </w:tc>
        <w:tc>
          <w:tcPr>
            <w:tcW w:w="486" w:type="dxa"/>
            <w:noWrap/>
            <w:hideMark/>
          </w:tcPr>
          <w:p w14:paraId="21FC2025" w14:textId="77777777" w:rsidR="00814BF2" w:rsidRPr="001C52C1" w:rsidRDefault="00814BF2" w:rsidP="00814BF2">
            <w:pPr>
              <w:spacing w:line="480" w:lineRule="auto"/>
              <w:rPr>
                <w:rFonts w:cs="Arial"/>
                <w:b/>
                <w:bCs/>
                <w:sz w:val="12"/>
                <w:szCs w:val="12"/>
              </w:rPr>
            </w:pPr>
            <w:r w:rsidRPr="001C52C1">
              <w:rPr>
                <w:rFonts w:cs="Arial"/>
                <w:b/>
                <w:bCs/>
                <w:sz w:val="12"/>
                <w:szCs w:val="12"/>
              </w:rPr>
              <w:t>GM6</w:t>
            </w:r>
          </w:p>
        </w:tc>
        <w:tc>
          <w:tcPr>
            <w:tcW w:w="513" w:type="dxa"/>
            <w:noWrap/>
            <w:hideMark/>
          </w:tcPr>
          <w:p w14:paraId="6069F7B7" w14:textId="77777777" w:rsidR="00814BF2" w:rsidRPr="001C52C1" w:rsidRDefault="00814BF2" w:rsidP="00814BF2">
            <w:pPr>
              <w:spacing w:line="480" w:lineRule="auto"/>
              <w:rPr>
                <w:rFonts w:cs="Arial"/>
                <w:b/>
                <w:bCs/>
                <w:sz w:val="12"/>
                <w:szCs w:val="12"/>
              </w:rPr>
            </w:pPr>
            <w:r w:rsidRPr="001C52C1">
              <w:rPr>
                <w:rFonts w:cs="Arial"/>
                <w:b/>
                <w:bCs/>
                <w:sz w:val="12"/>
                <w:szCs w:val="12"/>
              </w:rPr>
              <w:t>ISG64</w:t>
            </w:r>
          </w:p>
        </w:tc>
        <w:tc>
          <w:tcPr>
            <w:tcW w:w="450" w:type="dxa"/>
            <w:noWrap/>
            <w:hideMark/>
          </w:tcPr>
          <w:p w14:paraId="5C51243C" w14:textId="77777777" w:rsidR="00814BF2" w:rsidRPr="001C52C1" w:rsidRDefault="00814BF2" w:rsidP="00814BF2">
            <w:pPr>
              <w:spacing w:line="480" w:lineRule="auto"/>
              <w:rPr>
                <w:rFonts w:cs="Arial"/>
                <w:b/>
                <w:bCs/>
                <w:sz w:val="12"/>
                <w:szCs w:val="12"/>
              </w:rPr>
            </w:pPr>
            <w:r w:rsidRPr="001C52C1">
              <w:rPr>
                <w:rFonts w:cs="Arial"/>
                <w:b/>
                <w:bCs/>
                <w:sz w:val="12"/>
                <w:szCs w:val="12"/>
              </w:rPr>
              <w:t>16-6</w:t>
            </w:r>
          </w:p>
        </w:tc>
        <w:tc>
          <w:tcPr>
            <w:tcW w:w="594" w:type="dxa"/>
            <w:noWrap/>
            <w:hideMark/>
          </w:tcPr>
          <w:p w14:paraId="2FE7FC32" w14:textId="77777777" w:rsidR="00814BF2" w:rsidRPr="001C52C1" w:rsidRDefault="00814BF2" w:rsidP="00814BF2">
            <w:pPr>
              <w:spacing w:line="480" w:lineRule="auto"/>
              <w:rPr>
                <w:rFonts w:cs="Arial"/>
                <w:b/>
                <w:bCs/>
                <w:sz w:val="12"/>
                <w:szCs w:val="12"/>
              </w:rPr>
            </w:pPr>
            <w:r w:rsidRPr="001C52C1">
              <w:rPr>
                <w:rFonts w:cs="Arial"/>
                <w:b/>
                <w:bCs/>
                <w:sz w:val="12"/>
                <w:szCs w:val="12"/>
              </w:rPr>
              <w:t>MARP1</w:t>
            </w:r>
          </w:p>
        </w:tc>
        <w:tc>
          <w:tcPr>
            <w:tcW w:w="549" w:type="dxa"/>
            <w:noWrap/>
            <w:hideMark/>
          </w:tcPr>
          <w:p w14:paraId="71C2E14E" w14:textId="77777777" w:rsidR="00814BF2" w:rsidRPr="001C52C1" w:rsidRDefault="00814BF2" w:rsidP="00814BF2">
            <w:pPr>
              <w:spacing w:line="480" w:lineRule="auto"/>
              <w:rPr>
                <w:rFonts w:cs="Arial"/>
                <w:b/>
                <w:bCs/>
                <w:sz w:val="12"/>
                <w:szCs w:val="12"/>
              </w:rPr>
            </w:pPr>
            <w:r w:rsidRPr="001C52C1">
              <w:rPr>
                <w:rFonts w:cs="Arial"/>
                <w:b/>
                <w:bCs/>
                <w:sz w:val="12"/>
                <w:szCs w:val="12"/>
              </w:rPr>
              <w:t>HSP70</w:t>
            </w:r>
          </w:p>
        </w:tc>
        <w:tc>
          <w:tcPr>
            <w:tcW w:w="405" w:type="dxa"/>
            <w:noWrap/>
            <w:hideMark/>
          </w:tcPr>
          <w:p w14:paraId="5C4A50B1" w14:textId="77777777" w:rsidR="00814BF2" w:rsidRPr="001C52C1" w:rsidRDefault="00814BF2" w:rsidP="00814BF2">
            <w:pPr>
              <w:spacing w:line="480" w:lineRule="auto"/>
              <w:rPr>
                <w:rFonts w:cs="Arial"/>
                <w:b/>
                <w:bCs/>
                <w:sz w:val="12"/>
                <w:szCs w:val="12"/>
              </w:rPr>
            </w:pPr>
            <w:r w:rsidRPr="001C52C1">
              <w:rPr>
                <w:rFonts w:cs="Arial"/>
                <w:b/>
                <w:bCs/>
                <w:sz w:val="12"/>
                <w:szCs w:val="12"/>
              </w:rPr>
              <w:t>PFK</w:t>
            </w:r>
          </w:p>
        </w:tc>
        <w:tc>
          <w:tcPr>
            <w:tcW w:w="585" w:type="dxa"/>
            <w:noWrap/>
            <w:hideMark/>
          </w:tcPr>
          <w:p w14:paraId="2A066ABF" w14:textId="77777777" w:rsidR="00814BF2" w:rsidRPr="001C52C1" w:rsidRDefault="00814BF2" w:rsidP="00814BF2">
            <w:pPr>
              <w:spacing w:line="480" w:lineRule="auto"/>
              <w:rPr>
                <w:rFonts w:cs="Arial"/>
                <w:b/>
                <w:bCs/>
                <w:sz w:val="12"/>
                <w:szCs w:val="12"/>
              </w:rPr>
            </w:pPr>
            <w:r w:rsidRPr="001C52C1">
              <w:rPr>
                <w:rFonts w:cs="Arial"/>
                <w:b/>
                <w:bCs/>
                <w:sz w:val="12"/>
                <w:szCs w:val="12"/>
              </w:rPr>
              <w:t>GAPDH</w:t>
            </w:r>
          </w:p>
        </w:tc>
        <w:tc>
          <w:tcPr>
            <w:tcW w:w="495" w:type="dxa"/>
            <w:noWrap/>
            <w:hideMark/>
          </w:tcPr>
          <w:p w14:paraId="5339F010" w14:textId="77777777" w:rsidR="00814BF2" w:rsidRPr="001C52C1" w:rsidRDefault="00814BF2" w:rsidP="00814BF2">
            <w:pPr>
              <w:spacing w:line="480" w:lineRule="auto"/>
              <w:rPr>
                <w:rFonts w:cs="Arial"/>
                <w:b/>
                <w:bCs/>
                <w:sz w:val="12"/>
                <w:szCs w:val="12"/>
              </w:rPr>
            </w:pPr>
            <w:r w:rsidRPr="001C52C1">
              <w:rPr>
                <w:rFonts w:cs="Arial"/>
                <w:b/>
                <w:bCs/>
                <w:sz w:val="12"/>
                <w:szCs w:val="12"/>
              </w:rPr>
              <w:t>L14-6</w:t>
            </w:r>
          </w:p>
        </w:tc>
      </w:tr>
      <w:tr w:rsidR="00855267" w:rsidRPr="001C52C1" w14:paraId="0ADF3AE5" w14:textId="77777777" w:rsidTr="00855267">
        <w:trPr>
          <w:trHeight w:val="360"/>
        </w:trPr>
        <w:tc>
          <w:tcPr>
            <w:tcW w:w="1341" w:type="dxa"/>
            <w:gridSpan w:val="2"/>
            <w:hideMark/>
          </w:tcPr>
          <w:p w14:paraId="601EFDB4" w14:textId="36A3DC1D" w:rsidR="00814BF2" w:rsidRPr="001C52C1" w:rsidRDefault="00814BF2" w:rsidP="00814BF2">
            <w:pPr>
              <w:spacing w:line="480" w:lineRule="auto"/>
              <w:rPr>
                <w:rFonts w:cs="Arial"/>
                <w:b/>
                <w:bCs/>
                <w:sz w:val="12"/>
                <w:szCs w:val="12"/>
              </w:rPr>
            </w:pPr>
            <w:r w:rsidRPr="001C52C1">
              <w:rPr>
                <w:rFonts w:cs="Arial"/>
                <w:b/>
                <w:bCs/>
                <w:sz w:val="12"/>
                <w:szCs w:val="12"/>
              </w:rPr>
              <w:t>Maximum accuracy</w:t>
            </w:r>
          </w:p>
        </w:tc>
        <w:tc>
          <w:tcPr>
            <w:tcW w:w="1170" w:type="dxa"/>
            <w:noWrap/>
            <w:hideMark/>
          </w:tcPr>
          <w:p w14:paraId="1FF7C586" w14:textId="77777777" w:rsidR="00814BF2" w:rsidRPr="001C52C1" w:rsidRDefault="00814BF2" w:rsidP="00814BF2">
            <w:pPr>
              <w:spacing w:line="480" w:lineRule="auto"/>
              <w:rPr>
                <w:rFonts w:cs="Arial"/>
                <w:b/>
                <w:bCs/>
                <w:sz w:val="12"/>
                <w:szCs w:val="12"/>
              </w:rPr>
            </w:pPr>
            <w:r w:rsidRPr="001C52C1">
              <w:rPr>
                <w:rFonts w:cs="Arial"/>
                <w:b/>
                <w:bCs/>
                <w:sz w:val="12"/>
                <w:szCs w:val="12"/>
              </w:rPr>
              <w:t>Youden's index (%)</w:t>
            </w:r>
          </w:p>
        </w:tc>
        <w:tc>
          <w:tcPr>
            <w:tcW w:w="414" w:type="dxa"/>
            <w:noWrap/>
            <w:hideMark/>
          </w:tcPr>
          <w:p w14:paraId="7F616511" w14:textId="77777777" w:rsidR="00814BF2" w:rsidRPr="00855267" w:rsidRDefault="00814BF2" w:rsidP="00814BF2">
            <w:pPr>
              <w:spacing w:line="480" w:lineRule="auto"/>
              <w:rPr>
                <w:rFonts w:cs="Arial"/>
                <w:sz w:val="12"/>
                <w:szCs w:val="12"/>
              </w:rPr>
            </w:pPr>
            <w:r w:rsidRPr="00855267">
              <w:rPr>
                <w:rFonts w:cs="Arial"/>
                <w:sz w:val="12"/>
                <w:szCs w:val="12"/>
              </w:rPr>
              <w:t>56</w:t>
            </w:r>
          </w:p>
        </w:tc>
        <w:tc>
          <w:tcPr>
            <w:tcW w:w="648" w:type="dxa"/>
            <w:noWrap/>
            <w:hideMark/>
          </w:tcPr>
          <w:p w14:paraId="566F30A4" w14:textId="77777777" w:rsidR="00814BF2" w:rsidRPr="00855267" w:rsidRDefault="00814BF2" w:rsidP="00814BF2">
            <w:pPr>
              <w:spacing w:line="480" w:lineRule="auto"/>
              <w:rPr>
                <w:rFonts w:cs="Arial"/>
                <w:sz w:val="12"/>
                <w:szCs w:val="12"/>
              </w:rPr>
            </w:pPr>
            <w:r w:rsidRPr="00855267">
              <w:rPr>
                <w:rFonts w:cs="Arial"/>
                <w:sz w:val="12"/>
                <w:szCs w:val="12"/>
              </w:rPr>
              <w:t>43</w:t>
            </w:r>
          </w:p>
        </w:tc>
        <w:tc>
          <w:tcPr>
            <w:tcW w:w="675" w:type="dxa"/>
            <w:noWrap/>
            <w:hideMark/>
          </w:tcPr>
          <w:p w14:paraId="02A9D9F9" w14:textId="77777777" w:rsidR="00814BF2" w:rsidRPr="00855267" w:rsidRDefault="00814BF2" w:rsidP="00814BF2">
            <w:pPr>
              <w:spacing w:line="480" w:lineRule="auto"/>
              <w:rPr>
                <w:rFonts w:cs="Arial"/>
                <w:sz w:val="12"/>
                <w:szCs w:val="12"/>
              </w:rPr>
            </w:pPr>
            <w:r w:rsidRPr="00855267">
              <w:rPr>
                <w:rFonts w:cs="Arial"/>
                <w:sz w:val="12"/>
                <w:szCs w:val="12"/>
              </w:rPr>
              <w:t>39</w:t>
            </w:r>
          </w:p>
        </w:tc>
        <w:tc>
          <w:tcPr>
            <w:tcW w:w="513" w:type="dxa"/>
            <w:noWrap/>
            <w:hideMark/>
          </w:tcPr>
          <w:p w14:paraId="491BE97E" w14:textId="77777777" w:rsidR="00814BF2" w:rsidRPr="00855267" w:rsidRDefault="00814BF2" w:rsidP="00814BF2">
            <w:pPr>
              <w:spacing w:line="480" w:lineRule="auto"/>
              <w:rPr>
                <w:rFonts w:cs="Arial"/>
                <w:sz w:val="12"/>
                <w:szCs w:val="12"/>
              </w:rPr>
            </w:pPr>
            <w:r w:rsidRPr="00855267">
              <w:rPr>
                <w:rFonts w:cs="Arial"/>
                <w:sz w:val="12"/>
                <w:szCs w:val="12"/>
              </w:rPr>
              <w:t>30</w:t>
            </w:r>
          </w:p>
        </w:tc>
        <w:tc>
          <w:tcPr>
            <w:tcW w:w="513" w:type="dxa"/>
            <w:noWrap/>
            <w:hideMark/>
          </w:tcPr>
          <w:p w14:paraId="4ED95DEB" w14:textId="77777777" w:rsidR="00814BF2" w:rsidRPr="00855267" w:rsidRDefault="00814BF2" w:rsidP="00814BF2">
            <w:pPr>
              <w:spacing w:line="480" w:lineRule="auto"/>
              <w:rPr>
                <w:rFonts w:cs="Arial"/>
                <w:sz w:val="12"/>
                <w:szCs w:val="12"/>
              </w:rPr>
            </w:pPr>
            <w:r w:rsidRPr="00855267">
              <w:rPr>
                <w:rFonts w:cs="Arial"/>
                <w:sz w:val="12"/>
                <w:szCs w:val="12"/>
              </w:rPr>
              <w:t>29</w:t>
            </w:r>
          </w:p>
        </w:tc>
        <w:tc>
          <w:tcPr>
            <w:tcW w:w="486" w:type="dxa"/>
            <w:noWrap/>
            <w:hideMark/>
          </w:tcPr>
          <w:p w14:paraId="03F4D45F" w14:textId="77777777" w:rsidR="00814BF2" w:rsidRPr="00855267" w:rsidRDefault="00814BF2" w:rsidP="00814BF2">
            <w:pPr>
              <w:spacing w:line="480" w:lineRule="auto"/>
              <w:rPr>
                <w:rFonts w:cs="Arial"/>
                <w:sz w:val="12"/>
                <w:szCs w:val="12"/>
              </w:rPr>
            </w:pPr>
            <w:r w:rsidRPr="00855267">
              <w:rPr>
                <w:rFonts w:cs="Arial"/>
                <w:sz w:val="12"/>
                <w:szCs w:val="12"/>
              </w:rPr>
              <w:t>27</w:t>
            </w:r>
          </w:p>
        </w:tc>
        <w:tc>
          <w:tcPr>
            <w:tcW w:w="513" w:type="dxa"/>
            <w:noWrap/>
            <w:hideMark/>
          </w:tcPr>
          <w:p w14:paraId="6283E560" w14:textId="77777777" w:rsidR="00814BF2" w:rsidRPr="00855267" w:rsidRDefault="00814BF2" w:rsidP="00814BF2">
            <w:pPr>
              <w:spacing w:line="480" w:lineRule="auto"/>
              <w:rPr>
                <w:rFonts w:cs="Arial"/>
                <w:sz w:val="12"/>
                <w:szCs w:val="12"/>
              </w:rPr>
            </w:pPr>
            <w:r w:rsidRPr="00855267">
              <w:rPr>
                <w:rFonts w:cs="Arial"/>
                <w:sz w:val="12"/>
                <w:szCs w:val="12"/>
              </w:rPr>
              <w:t>25</w:t>
            </w:r>
          </w:p>
        </w:tc>
        <w:tc>
          <w:tcPr>
            <w:tcW w:w="450" w:type="dxa"/>
            <w:noWrap/>
            <w:hideMark/>
          </w:tcPr>
          <w:p w14:paraId="79037BCC" w14:textId="77777777" w:rsidR="00814BF2" w:rsidRPr="00855267" w:rsidRDefault="00814BF2" w:rsidP="00814BF2">
            <w:pPr>
              <w:spacing w:line="480" w:lineRule="auto"/>
              <w:rPr>
                <w:rFonts w:cs="Arial"/>
                <w:sz w:val="12"/>
                <w:szCs w:val="12"/>
              </w:rPr>
            </w:pPr>
            <w:r w:rsidRPr="00855267">
              <w:rPr>
                <w:rFonts w:cs="Arial"/>
                <w:sz w:val="12"/>
                <w:szCs w:val="12"/>
              </w:rPr>
              <w:t>21</w:t>
            </w:r>
          </w:p>
        </w:tc>
        <w:tc>
          <w:tcPr>
            <w:tcW w:w="594" w:type="dxa"/>
            <w:noWrap/>
            <w:hideMark/>
          </w:tcPr>
          <w:p w14:paraId="15B13ED8" w14:textId="77777777" w:rsidR="00814BF2" w:rsidRPr="00855267" w:rsidRDefault="00814BF2" w:rsidP="00814BF2">
            <w:pPr>
              <w:spacing w:line="480" w:lineRule="auto"/>
              <w:rPr>
                <w:rFonts w:cs="Arial"/>
                <w:sz w:val="12"/>
                <w:szCs w:val="12"/>
              </w:rPr>
            </w:pPr>
            <w:r w:rsidRPr="00855267">
              <w:rPr>
                <w:rFonts w:cs="Arial"/>
                <w:sz w:val="12"/>
                <w:szCs w:val="12"/>
              </w:rPr>
              <w:t>12</w:t>
            </w:r>
          </w:p>
        </w:tc>
        <w:tc>
          <w:tcPr>
            <w:tcW w:w="549" w:type="dxa"/>
            <w:noWrap/>
            <w:hideMark/>
          </w:tcPr>
          <w:p w14:paraId="4BC49027" w14:textId="77777777" w:rsidR="00814BF2" w:rsidRPr="00855267" w:rsidRDefault="00814BF2" w:rsidP="00814BF2">
            <w:pPr>
              <w:spacing w:line="480" w:lineRule="auto"/>
              <w:rPr>
                <w:rFonts w:cs="Arial"/>
                <w:sz w:val="12"/>
                <w:szCs w:val="12"/>
              </w:rPr>
            </w:pPr>
            <w:r w:rsidRPr="00855267">
              <w:rPr>
                <w:rFonts w:cs="Arial"/>
                <w:sz w:val="12"/>
                <w:szCs w:val="12"/>
              </w:rPr>
              <w:t>8</w:t>
            </w:r>
          </w:p>
        </w:tc>
        <w:tc>
          <w:tcPr>
            <w:tcW w:w="405" w:type="dxa"/>
            <w:noWrap/>
            <w:hideMark/>
          </w:tcPr>
          <w:p w14:paraId="4EDAFE09" w14:textId="77777777" w:rsidR="00814BF2" w:rsidRPr="00855267" w:rsidRDefault="00814BF2" w:rsidP="00814BF2">
            <w:pPr>
              <w:spacing w:line="480" w:lineRule="auto"/>
              <w:rPr>
                <w:rFonts w:cs="Arial"/>
                <w:sz w:val="12"/>
                <w:szCs w:val="12"/>
              </w:rPr>
            </w:pPr>
            <w:r w:rsidRPr="00855267">
              <w:rPr>
                <w:rFonts w:cs="Arial"/>
                <w:sz w:val="12"/>
                <w:szCs w:val="12"/>
              </w:rPr>
              <w:t>7</w:t>
            </w:r>
          </w:p>
        </w:tc>
        <w:tc>
          <w:tcPr>
            <w:tcW w:w="585" w:type="dxa"/>
            <w:noWrap/>
            <w:hideMark/>
          </w:tcPr>
          <w:p w14:paraId="42507F41" w14:textId="77777777" w:rsidR="00814BF2" w:rsidRPr="00855267" w:rsidRDefault="00814BF2" w:rsidP="00814BF2">
            <w:pPr>
              <w:spacing w:line="480" w:lineRule="auto"/>
              <w:rPr>
                <w:rFonts w:cs="Arial"/>
                <w:sz w:val="12"/>
                <w:szCs w:val="12"/>
              </w:rPr>
            </w:pPr>
            <w:r w:rsidRPr="00855267">
              <w:rPr>
                <w:rFonts w:cs="Arial"/>
                <w:sz w:val="12"/>
                <w:szCs w:val="12"/>
              </w:rPr>
              <w:t>NA</w:t>
            </w:r>
          </w:p>
        </w:tc>
        <w:tc>
          <w:tcPr>
            <w:tcW w:w="495" w:type="dxa"/>
            <w:noWrap/>
            <w:hideMark/>
          </w:tcPr>
          <w:p w14:paraId="252EAE3E" w14:textId="77777777" w:rsidR="00814BF2" w:rsidRPr="00855267" w:rsidRDefault="00814BF2" w:rsidP="00814BF2">
            <w:pPr>
              <w:spacing w:line="480" w:lineRule="auto"/>
              <w:rPr>
                <w:rFonts w:cs="Arial"/>
                <w:sz w:val="12"/>
                <w:szCs w:val="12"/>
              </w:rPr>
            </w:pPr>
            <w:r w:rsidRPr="00855267">
              <w:rPr>
                <w:rFonts w:cs="Arial"/>
                <w:sz w:val="12"/>
                <w:szCs w:val="12"/>
              </w:rPr>
              <w:t>NA</w:t>
            </w:r>
          </w:p>
        </w:tc>
      </w:tr>
      <w:tr w:rsidR="00855267" w:rsidRPr="001C52C1" w14:paraId="112976F5" w14:textId="77777777" w:rsidTr="00855267">
        <w:trPr>
          <w:trHeight w:val="360"/>
        </w:trPr>
        <w:tc>
          <w:tcPr>
            <w:tcW w:w="1341" w:type="dxa"/>
            <w:gridSpan w:val="2"/>
            <w:hideMark/>
          </w:tcPr>
          <w:p w14:paraId="30E329C6" w14:textId="77777777" w:rsidR="00814BF2" w:rsidRPr="001C52C1" w:rsidRDefault="00814BF2" w:rsidP="00814BF2">
            <w:pPr>
              <w:spacing w:line="480" w:lineRule="auto"/>
              <w:rPr>
                <w:rFonts w:cs="Arial"/>
                <w:b/>
                <w:bCs/>
                <w:sz w:val="12"/>
                <w:szCs w:val="12"/>
              </w:rPr>
            </w:pPr>
            <w:r w:rsidRPr="001C52C1">
              <w:rPr>
                <w:rFonts w:cs="Arial"/>
                <w:b/>
                <w:bCs/>
                <w:sz w:val="12"/>
                <w:szCs w:val="12"/>
              </w:rPr>
              <w:t> </w:t>
            </w:r>
          </w:p>
        </w:tc>
        <w:tc>
          <w:tcPr>
            <w:tcW w:w="1170" w:type="dxa"/>
            <w:noWrap/>
            <w:hideMark/>
          </w:tcPr>
          <w:p w14:paraId="15C66ED1" w14:textId="47401AC7" w:rsidR="00814BF2" w:rsidRPr="001C52C1" w:rsidRDefault="00E87C46" w:rsidP="00814BF2">
            <w:pPr>
              <w:spacing w:line="480" w:lineRule="auto"/>
              <w:rPr>
                <w:rFonts w:cs="Arial"/>
                <w:b/>
                <w:bCs/>
                <w:sz w:val="12"/>
                <w:szCs w:val="12"/>
              </w:rPr>
            </w:pPr>
            <w:r w:rsidRPr="001C52C1">
              <w:rPr>
                <w:rFonts w:cs="Arial"/>
                <w:b/>
                <w:bCs/>
                <w:sz w:val="12"/>
                <w:szCs w:val="12"/>
              </w:rPr>
              <w:t>S</w:t>
            </w:r>
            <w:r w:rsidR="00814BF2" w:rsidRPr="001C52C1">
              <w:rPr>
                <w:rFonts w:cs="Arial"/>
                <w:b/>
                <w:bCs/>
                <w:sz w:val="12"/>
                <w:szCs w:val="12"/>
              </w:rPr>
              <w:t>ensitivity (%)</w:t>
            </w:r>
          </w:p>
        </w:tc>
        <w:tc>
          <w:tcPr>
            <w:tcW w:w="414" w:type="dxa"/>
            <w:noWrap/>
            <w:hideMark/>
          </w:tcPr>
          <w:p w14:paraId="78961240" w14:textId="77777777" w:rsidR="00814BF2" w:rsidRPr="00855267" w:rsidRDefault="00814BF2" w:rsidP="00814BF2">
            <w:pPr>
              <w:spacing w:line="480" w:lineRule="auto"/>
              <w:rPr>
                <w:rFonts w:cs="Arial"/>
                <w:sz w:val="12"/>
                <w:szCs w:val="12"/>
              </w:rPr>
            </w:pPr>
            <w:r w:rsidRPr="00855267">
              <w:rPr>
                <w:rFonts w:cs="Arial"/>
                <w:sz w:val="12"/>
                <w:szCs w:val="12"/>
              </w:rPr>
              <w:t>76</w:t>
            </w:r>
          </w:p>
        </w:tc>
        <w:tc>
          <w:tcPr>
            <w:tcW w:w="648" w:type="dxa"/>
            <w:noWrap/>
            <w:hideMark/>
          </w:tcPr>
          <w:p w14:paraId="304728A6" w14:textId="77777777" w:rsidR="00814BF2" w:rsidRPr="00855267" w:rsidRDefault="00814BF2" w:rsidP="00814BF2">
            <w:pPr>
              <w:spacing w:line="480" w:lineRule="auto"/>
              <w:rPr>
                <w:rFonts w:cs="Arial"/>
                <w:sz w:val="12"/>
                <w:szCs w:val="12"/>
              </w:rPr>
            </w:pPr>
            <w:r w:rsidRPr="00855267">
              <w:rPr>
                <w:rFonts w:cs="Arial"/>
                <w:sz w:val="12"/>
                <w:szCs w:val="12"/>
              </w:rPr>
              <w:t>70</w:t>
            </w:r>
          </w:p>
        </w:tc>
        <w:tc>
          <w:tcPr>
            <w:tcW w:w="675" w:type="dxa"/>
            <w:noWrap/>
            <w:hideMark/>
          </w:tcPr>
          <w:p w14:paraId="34EF2479" w14:textId="77777777" w:rsidR="00814BF2" w:rsidRPr="00855267" w:rsidRDefault="00814BF2" w:rsidP="00814BF2">
            <w:pPr>
              <w:spacing w:line="480" w:lineRule="auto"/>
              <w:rPr>
                <w:rFonts w:cs="Arial"/>
                <w:sz w:val="12"/>
                <w:szCs w:val="12"/>
              </w:rPr>
            </w:pPr>
            <w:r w:rsidRPr="00855267">
              <w:rPr>
                <w:rFonts w:cs="Arial"/>
                <w:sz w:val="12"/>
                <w:szCs w:val="12"/>
              </w:rPr>
              <w:t>79</w:t>
            </w:r>
          </w:p>
        </w:tc>
        <w:tc>
          <w:tcPr>
            <w:tcW w:w="513" w:type="dxa"/>
            <w:noWrap/>
            <w:hideMark/>
          </w:tcPr>
          <w:p w14:paraId="55570A53" w14:textId="77777777" w:rsidR="00814BF2" w:rsidRPr="00855267" w:rsidRDefault="00814BF2" w:rsidP="00814BF2">
            <w:pPr>
              <w:spacing w:line="480" w:lineRule="auto"/>
              <w:rPr>
                <w:rFonts w:cs="Arial"/>
                <w:sz w:val="12"/>
                <w:szCs w:val="12"/>
              </w:rPr>
            </w:pPr>
            <w:r w:rsidRPr="00855267">
              <w:rPr>
                <w:rFonts w:cs="Arial"/>
                <w:sz w:val="12"/>
                <w:szCs w:val="12"/>
              </w:rPr>
              <w:t>76</w:t>
            </w:r>
          </w:p>
        </w:tc>
        <w:tc>
          <w:tcPr>
            <w:tcW w:w="513" w:type="dxa"/>
            <w:noWrap/>
            <w:hideMark/>
          </w:tcPr>
          <w:p w14:paraId="0734003A" w14:textId="77777777" w:rsidR="00814BF2" w:rsidRPr="00855267" w:rsidRDefault="00814BF2" w:rsidP="00814BF2">
            <w:pPr>
              <w:spacing w:line="480" w:lineRule="auto"/>
              <w:rPr>
                <w:rFonts w:cs="Arial"/>
                <w:sz w:val="12"/>
                <w:szCs w:val="12"/>
              </w:rPr>
            </w:pPr>
            <w:r w:rsidRPr="00855267">
              <w:rPr>
                <w:rFonts w:cs="Arial"/>
                <w:sz w:val="12"/>
                <w:szCs w:val="12"/>
              </w:rPr>
              <w:t>85</w:t>
            </w:r>
          </w:p>
        </w:tc>
        <w:tc>
          <w:tcPr>
            <w:tcW w:w="486" w:type="dxa"/>
            <w:noWrap/>
            <w:hideMark/>
          </w:tcPr>
          <w:p w14:paraId="70F95E06" w14:textId="77777777" w:rsidR="00814BF2" w:rsidRPr="00855267" w:rsidRDefault="00814BF2" w:rsidP="00814BF2">
            <w:pPr>
              <w:spacing w:line="480" w:lineRule="auto"/>
              <w:rPr>
                <w:rFonts w:cs="Arial"/>
                <w:sz w:val="12"/>
                <w:szCs w:val="12"/>
              </w:rPr>
            </w:pPr>
            <w:r w:rsidRPr="00855267">
              <w:rPr>
                <w:rFonts w:cs="Arial"/>
                <w:sz w:val="12"/>
                <w:szCs w:val="12"/>
              </w:rPr>
              <w:t>48</w:t>
            </w:r>
          </w:p>
        </w:tc>
        <w:tc>
          <w:tcPr>
            <w:tcW w:w="513" w:type="dxa"/>
            <w:noWrap/>
            <w:hideMark/>
          </w:tcPr>
          <w:p w14:paraId="29990BC9" w14:textId="77777777" w:rsidR="00814BF2" w:rsidRPr="00855267" w:rsidRDefault="00814BF2" w:rsidP="00814BF2">
            <w:pPr>
              <w:spacing w:line="480" w:lineRule="auto"/>
              <w:rPr>
                <w:rFonts w:cs="Arial"/>
                <w:sz w:val="12"/>
                <w:szCs w:val="12"/>
              </w:rPr>
            </w:pPr>
            <w:r w:rsidRPr="00855267">
              <w:rPr>
                <w:rFonts w:cs="Arial"/>
                <w:sz w:val="12"/>
                <w:szCs w:val="12"/>
              </w:rPr>
              <w:t>45</w:t>
            </w:r>
          </w:p>
        </w:tc>
        <w:tc>
          <w:tcPr>
            <w:tcW w:w="450" w:type="dxa"/>
            <w:noWrap/>
            <w:hideMark/>
          </w:tcPr>
          <w:p w14:paraId="6F65DE61" w14:textId="77777777" w:rsidR="00814BF2" w:rsidRPr="00855267" w:rsidRDefault="00814BF2" w:rsidP="00814BF2">
            <w:pPr>
              <w:spacing w:line="480" w:lineRule="auto"/>
              <w:rPr>
                <w:rFonts w:cs="Arial"/>
                <w:sz w:val="12"/>
                <w:szCs w:val="12"/>
              </w:rPr>
            </w:pPr>
            <w:r w:rsidRPr="00855267">
              <w:rPr>
                <w:rFonts w:cs="Arial"/>
                <w:sz w:val="12"/>
                <w:szCs w:val="12"/>
              </w:rPr>
              <w:t>30</w:t>
            </w:r>
          </w:p>
        </w:tc>
        <w:tc>
          <w:tcPr>
            <w:tcW w:w="594" w:type="dxa"/>
            <w:noWrap/>
            <w:hideMark/>
          </w:tcPr>
          <w:p w14:paraId="32113091" w14:textId="77777777" w:rsidR="00814BF2" w:rsidRPr="00855267" w:rsidRDefault="00814BF2" w:rsidP="00814BF2">
            <w:pPr>
              <w:spacing w:line="480" w:lineRule="auto"/>
              <w:rPr>
                <w:rFonts w:cs="Arial"/>
                <w:sz w:val="12"/>
                <w:szCs w:val="12"/>
              </w:rPr>
            </w:pPr>
            <w:r w:rsidRPr="00855267">
              <w:rPr>
                <w:rFonts w:cs="Arial"/>
                <w:sz w:val="12"/>
                <w:szCs w:val="12"/>
              </w:rPr>
              <w:t>42</w:t>
            </w:r>
          </w:p>
        </w:tc>
        <w:tc>
          <w:tcPr>
            <w:tcW w:w="549" w:type="dxa"/>
            <w:noWrap/>
            <w:hideMark/>
          </w:tcPr>
          <w:p w14:paraId="5880F1EE" w14:textId="77777777" w:rsidR="00814BF2" w:rsidRPr="00855267" w:rsidRDefault="00814BF2" w:rsidP="00814BF2">
            <w:pPr>
              <w:spacing w:line="480" w:lineRule="auto"/>
              <w:rPr>
                <w:rFonts w:cs="Arial"/>
                <w:sz w:val="12"/>
                <w:szCs w:val="12"/>
              </w:rPr>
            </w:pPr>
            <w:r w:rsidRPr="00855267">
              <w:rPr>
                <w:rFonts w:cs="Arial"/>
                <w:sz w:val="12"/>
                <w:szCs w:val="12"/>
              </w:rPr>
              <w:t>18</w:t>
            </w:r>
          </w:p>
        </w:tc>
        <w:tc>
          <w:tcPr>
            <w:tcW w:w="405" w:type="dxa"/>
            <w:noWrap/>
            <w:hideMark/>
          </w:tcPr>
          <w:p w14:paraId="65CE2DB2" w14:textId="77777777" w:rsidR="00814BF2" w:rsidRPr="00855267" w:rsidRDefault="00814BF2" w:rsidP="00814BF2">
            <w:pPr>
              <w:spacing w:line="480" w:lineRule="auto"/>
              <w:rPr>
                <w:rFonts w:cs="Arial"/>
                <w:sz w:val="12"/>
                <w:szCs w:val="12"/>
              </w:rPr>
            </w:pPr>
            <w:r w:rsidRPr="00855267">
              <w:rPr>
                <w:rFonts w:cs="Arial"/>
                <w:sz w:val="12"/>
                <w:szCs w:val="12"/>
              </w:rPr>
              <w:t>33</w:t>
            </w:r>
          </w:p>
        </w:tc>
        <w:tc>
          <w:tcPr>
            <w:tcW w:w="585" w:type="dxa"/>
            <w:noWrap/>
            <w:hideMark/>
          </w:tcPr>
          <w:p w14:paraId="31BBF7A2" w14:textId="77777777" w:rsidR="00814BF2" w:rsidRPr="00855267" w:rsidRDefault="00814BF2" w:rsidP="00814BF2">
            <w:pPr>
              <w:spacing w:line="480" w:lineRule="auto"/>
              <w:rPr>
                <w:rFonts w:cs="Arial"/>
                <w:sz w:val="12"/>
                <w:szCs w:val="12"/>
              </w:rPr>
            </w:pPr>
            <w:r w:rsidRPr="00855267">
              <w:rPr>
                <w:rFonts w:cs="Arial"/>
                <w:sz w:val="12"/>
                <w:szCs w:val="12"/>
              </w:rPr>
              <w:t>NA</w:t>
            </w:r>
          </w:p>
        </w:tc>
        <w:tc>
          <w:tcPr>
            <w:tcW w:w="495" w:type="dxa"/>
            <w:noWrap/>
            <w:hideMark/>
          </w:tcPr>
          <w:p w14:paraId="1317BFE5" w14:textId="77777777" w:rsidR="00814BF2" w:rsidRPr="00855267" w:rsidRDefault="00814BF2" w:rsidP="00814BF2">
            <w:pPr>
              <w:spacing w:line="480" w:lineRule="auto"/>
              <w:rPr>
                <w:rFonts w:cs="Arial"/>
                <w:sz w:val="12"/>
                <w:szCs w:val="12"/>
              </w:rPr>
            </w:pPr>
            <w:r w:rsidRPr="00855267">
              <w:rPr>
                <w:rFonts w:cs="Arial"/>
                <w:sz w:val="12"/>
                <w:szCs w:val="12"/>
              </w:rPr>
              <w:t>NA</w:t>
            </w:r>
          </w:p>
        </w:tc>
      </w:tr>
      <w:tr w:rsidR="00855267" w:rsidRPr="001C52C1" w14:paraId="5B0B1AFD" w14:textId="77777777" w:rsidTr="00855267">
        <w:trPr>
          <w:trHeight w:val="360"/>
        </w:trPr>
        <w:tc>
          <w:tcPr>
            <w:tcW w:w="1341" w:type="dxa"/>
            <w:gridSpan w:val="2"/>
            <w:hideMark/>
          </w:tcPr>
          <w:p w14:paraId="7EC54268" w14:textId="77777777" w:rsidR="00814BF2" w:rsidRPr="001C52C1" w:rsidRDefault="00814BF2" w:rsidP="00814BF2">
            <w:pPr>
              <w:spacing w:line="480" w:lineRule="auto"/>
              <w:rPr>
                <w:rFonts w:cs="Arial"/>
                <w:b/>
                <w:bCs/>
                <w:sz w:val="12"/>
                <w:szCs w:val="12"/>
              </w:rPr>
            </w:pPr>
            <w:r w:rsidRPr="001C52C1">
              <w:rPr>
                <w:rFonts w:cs="Arial"/>
                <w:b/>
                <w:bCs/>
                <w:sz w:val="12"/>
                <w:szCs w:val="12"/>
              </w:rPr>
              <w:t> </w:t>
            </w:r>
          </w:p>
        </w:tc>
        <w:tc>
          <w:tcPr>
            <w:tcW w:w="1170" w:type="dxa"/>
            <w:noWrap/>
            <w:hideMark/>
          </w:tcPr>
          <w:p w14:paraId="709192D4" w14:textId="015020C2" w:rsidR="00814BF2" w:rsidRPr="001C52C1" w:rsidRDefault="00E87C46" w:rsidP="00814BF2">
            <w:pPr>
              <w:spacing w:line="480" w:lineRule="auto"/>
              <w:rPr>
                <w:rFonts w:cs="Arial"/>
                <w:b/>
                <w:bCs/>
                <w:sz w:val="12"/>
                <w:szCs w:val="12"/>
              </w:rPr>
            </w:pPr>
            <w:r w:rsidRPr="001C52C1">
              <w:rPr>
                <w:rFonts w:cs="Arial"/>
                <w:b/>
                <w:bCs/>
                <w:sz w:val="12"/>
                <w:szCs w:val="12"/>
              </w:rPr>
              <w:t>S</w:t>
            </w:r>
            <w:r w:rsidR="00814BF2" w:rsidRPr="001C52C1">
              <w:rPr>
                <w:rFonts w:cs="Arial"/>
                <w:b/>
                <w:bCs/>
                <w:sz w:val="12"/>
                <w:szCs w:val="12"/>
              </w:rPr>
              <w:t>pecificity (%)</w:t>
            </w:r>
          </w:p>
        </w:tc>
        <w:tc>
          <w:tcPr>
            <w:tcW w:w="414" w:type="dxa"/>
            <w:noWrap/>
            <w:hideMark/>
          </w:tcPr>
          <w:p w14:paraId="1BBAC362" w14:textId="77777777" w:rsidR="00814BF2" w:rsidRPr="00855267" w:rsidRDefault="00814BF2" w:rsidP="00814BF2">
            <w:pPr>
              <w:spacing w:line="480" w:lineRule="auto"/>
              <w:rPr>
                <w:rFonts w:cs="Arial"/>
                <w:sz w:val="12"/>
                <w:szCs w:val="12"/>
              </w:rPr>
            </w:pPr>
            <w:r w:rsidRPr="00855267">
              <w:rPr>
                <w:rFonts w:cs="Arial"/>
                <w:sz w:val="12"/>
                <w:szCs w:val="12"/>
              </w:rPr>
              <w:t>81</w:t>
            </w:r>
          </w:p>
        </w:tc>
        <w:tc>
          <w:tcPr>
            <w:tcW w:w="648" w:type="dxa"/>
            <w:noWrap/>
            <w:hideMark/>
          </w:tcPr>
          <w:p w14:paraId="66E63D86" w14:textId="77777777" w:rsidR="00814BF2" w:rsidRPr="00855267" w:rsidRDefault="00814BF2" w:rsidP="00814BF2">
            <w:pPr>
              <w:spacing w:line="480" w:lineRule="auto"/>
              <w:rPr>
                <w:rFonts w:cs="Arial"/>
                <w:sz w:val="12"/>
                <w:szCs w:val="12"/>
              </w:rPr>
            </w:pPr>
            <w:r w:rsidRPr="00855267">
              <w:rPr>
                <w:rFonts w:cs="Arial"/>
                <w:sz w:val="12"/>
                <w:szCs w:val="12"/>
              </w:rPr>
              <w:t>73</w:t>
            </w:r>
          </w:p>
        </w:tc>
        <w:tc>
          <w:tcPr>
            <w:tcW w:w="675" w:type="dxa"/>
            <w:noWrap/>
            <w:hideMark/>
          </w:tcPr>
          <w:p w14:paraId="29D31CFD" w14:textId="77777777" w:rsidR="00814BF2" w:rsidRPr="00855267" w:rsidRDefault="00814BF2" w:rsidP="00814BF2">
            <w:pPr>
              <w:spacing w:line="480" w:lineRule="auto"/>
              <w:rPr>
                <w:rFonts w:cs="Arial"/>
                <w:sz w:val="12"/>
                <w:szCs w:val="12"/>
              </w:rPr>
            </w:pPr>
            <w:r w:rsidRPr="00855267">
              <w:rPr>
                <w:rFonts w:cs="Arial"/>
                <w:sz w:val="12"/>
                <w:szCs w:val="12"/>
              </w:rPr>
              <w:t>61</w:t>
            </w:r>
          </w:p>
        </w:tc>
        <w:tc>
          <w:tcPr>
            <w:tcW w:w="513" w:type="dxa"/>
            <w:noWrap/>
            <w:hideMark/>
          </w:tcPr>
          <w:p w14:paraId="230BF18D" w14:textId="77777777" w:rsidR="00814BF2" w:rsidRPr="00855267" w:rsidRDefault="00814BF2" w:rsidP="00814BF2">
            <w:pPr>
              <w:spacing w:line="480" w:lineRule="auto"/>
              <w:rPr>
                <w:rFonts w:cs="Arial"/>
                <w:sz w:val="12"/>
                <w:szCs w:val="12"/>
              </w:rPr>
            </w:pPr>
            <w:r w:rsidRPr="00855267">
              <w:rPr>
                <w:rFonts w:cs="Arial"/>
                <w:sz w:val="12"/>
                <w:szCs w:val="12"/>
              </w:rPr>
              <w:t>55</w:t>
            </w:r>
          </w:p>
        </w:tc>
        <w:tc>
          <w:tcPr>
            <w:tcW w:w="513" w:type="dxa"/>
            <w:noWrap/>
            <w:hideMark/>
          </w:tcPr>
          <w:p w14:paraId="1C3E6752" w14:textId="77777777" w:rsidR="00814BF2" w:rsidRPr="00855267" w:rsidRDefault="00814BF2" w:rsidP="00814BF2">
            <w:pPr>
              <w:spacing w:line="480" w:lineRule="auto"/>
              <w:rPr>
                <w:rFonts w:cs="Arial"/>
                <w:sz w:val="12"/>
                <w:szCs w:val="12"/>
              </w:rPr>
            </w:pPr>
            <w:r w:rsidRPr="00855267">
              <w:rPr>
                <w:rFonts w:cs="Arial"/>
                <w:sz w:val="12"/>
                <w:szCs w:val="12"/>
              </w:rPr>
              <w:t>44</w:t>
            </w:r>
          </w:p>
        </w:tc>
        <w:tc>
          <w:tcPr>
            <w:tcW w:w="486" w:type="dxa"/>
            <w:noWrap/>
            <w:hideMark/>
          </w:tcPr>
          <w:p w14:paraId="210E7801" w14:textId="77777777" w:rsidR="00814BF2" w:rsidRPr="00855267" w:rsidRDefault="00814BF2" w:rsidP="00814BF2">
            <w:pPr>
              <w:spacing w:line="480" w:lineRule="auto"/>
              <w:rPr>
                <w:rFonts w:cs="Arial"/>
                <w:sz w:val="12"/>
                <w:szCs w:val="12"/>
              </w:rPr>
            </w:pPr>
            <w:r w:rsidRPr="00855267">
              <w:rPr>
                <w:rFonts w:cs="Arial"/>
                <w:sz w:val="12"/>
                <w:szCs w:val="12"/>
              </w:rPr>
              <w:t>79</w:t>
            </w:r>
          </w:p>
        </w:tc>
        <w:tc>
          <w:tcPr>
            <w:tcW w:w="513" w:type="dxa"/>
            <w:noWrap/>
            <w:hideMark/>
          </w:tcPr>
          <w:p w14:paraId="431E6F37" w14:textId="77777777" w:rsidR="00814BF2" w:rsidRPr="00855267" w:rsidRDefault="00814BF2" w:rsidP="00814BF2">
            <w:pPr>
              <w:spacing w:line="480" w:lineRule="auto"/>
              <w:rPr>
                <w:rFonts w:cs="Arial"/>
                <w:sz w:val="12"/>
                <w:szCs w:val="12"/>
              </w:rPr>
            </w:pPr>
            <w:r w:rsidRPr="00855267">
              <w:rPr>
                <w:rFonts w:cs="Arial"/>
                <w:sz w:val="12"/>
                <w:szCs w:val="12"/>
              </w:rPr>
              <w:t>79</w:t>
            </w:r>
          </w:p>
        </w:tc>
        <w:tc>
          <w:tcPr>
            <w:tcW w:w="450" w:type="dxa"/>
            <w:noWrap/>
            <w:hideMark/>
          </w:tcPr>
          <w:p w14:paraId="019D7B4F" w14:textId="77777777" w:rsidR="00814BF2" w:rsidRPr="00855267" w:rsidRDefault="00814BF2" w:rsidP="00814BF2">
            <w:pPr>
              <w:spacing w:line="480" w:lineRule="auto"/>
              <w:rPr>
                <w:rFonts w:cs="Arial"/>
                <w:sz w:val="12"/>
                <w:szCs w:val="12"/>
              </w:rPr>
            </w:pPr>
            <w:r w:rsidRPr="00855267">
              <w:rPr>
                <w:rFonts w:cs="Arial"/>
                <w:sz w:val="12"/>
                <w:szCs w:val="12"/>
              </w:rPr>
              <w:t>91</w:t>
            </w:r>
          </w:p>
        </w:tc>
        <w:tc>
          <w:tcPr>
            <w:tcW w:w="594" w:type="dxa"/>
            <w:noWrap/>
            <w:hideMark/>
          </w:tcPr>
          <w:p w14:paraId="11902F83" w14:textId="77777777" w:rsidR="00814BF2" w:rsidRPr="00855267" w:rsidRDefault="00814BF2" w:rsidP="00814BF2">
            <w:pPr>
              <w:spacing w:line="480" w:lineRule="auto"/>
              <w:rPr>
                <w:rFonts w:cs="Arial"/>
                <w:sz w:val="12"/>
                <w:szCs w:val="12"/>
              </w:rPr>
            </w:pPr>
            <w:r w:rsidRPr="00855267">
              <w:rPr>
                <w:rFonts w:cs="Arial"/>
                <w:sz w:val="12"/>
                <w:szCs w:val="12"/>
              </w:rPr>
              <w:t>70</w:t>
            </w:r>
          </w:p>
        </w:tc>
        <w:tc>
          <w:tcPr>
            <w:tcW w:w="549" w:type="dxa"/>
            <w:noWrap/>
            <w:hideMark/>
          </w:tcPr>
          <w:p w14:paraId="637B75B4" w14:textId="77777777" w:rsidR="00814BF2" w:rsidRPr="00855267" w:rsidRDefault="00814BF2" w:rsidP="00814BF2">
            <w:pPr>
              <w:spacing w:line="480" w:lineRule="auto"/>
              <w:rPr>
                <w:rFonts w:cs="Arial"/>
                <w:sz w:val="12"/>
                <w:szCs w:val="12"/>
              </w:rPr>
            </w:pPr>
            <w:r w:rsidRPr="00855267">
              <w:rPr>
                <w:rFonts w:cs="Arial"/>
                <w:sz w:val="12"/>
                <w:szCs w:val="12"/>
              </w:rPr>
              <w:t>89</w:t>
            </w:r>
          </w:p>
        </w:tc>
        <w:tc>
          <w:tcPr>
            <w:tcW w:w="405" w:type="dxa"/>
            <w:noWrap/>
            <w:hideMark/>
          </w:tcPr>
          <w:p w14:paraId="125F59D1" w14:textId="77777777" w:rsidR="00814BF2" w:rsidRPr="00855267" w:rsidRDefault="00814BF2" w:rsidP="00814BF2">
            <w:pPr>
              <w:spacing w:line="480" w:lineRule="auto"/>
              <w:rPr>
                <w:rFonts w:cs="Arial"/>
                <w:sz w:val="12"/>
                <w:szCs w:val="12"/>
              </w:rPr>
            </w:pPr>
            <w:r w:rsidRPr="00855267">
              <w:rPr>
                <w:rFonts w:cs="Arial"/>
                <w:sz w:val="12"/>
                <w:szCs w:val="12"/>
              </w:rPr>
              <w:t>73</w:t>
            </w:r>
          </w:p>
        </w:tc>
        <w:tc>
          <w:tcPr>
            <w:tcW w:w="585" w:type="dxa"/>
            <w:noWrap/>
            <w:hideMark/>
          </w:tcPr>
          <w:p w14:paraId="6F05536E" w14:textId="77777777" w:rsidR="00814BF2" w:rsidRPr="00855267" w:rsidRDefault="00814BF2" w:rsidP="00814BF2">
            <w:pPr>
              <w:spacing w:line="480" w:lineRule="auto"/>
              <w:rPr>
                <w:rFonts w:cs="Arial"/>
                <w:sz w:val="12"/>
                <w:szCs w:val="12"/>
              </w:rPr>
            </w:pPr>
            <w:r w:rsidRPr="00855267">
              <w:rPr>
                <w:rFonts w:cs="Arial"/>
                <w:sz w:val="12"/>
                <w:szCs w:val="12"/>
              </w:rPr>
              <w:t>NA</w:t>
            </w:r>
          </w:p>
        </w:tc>
        <w:tc>
          <w:tcPr>
            <w:tcW w:w="495" w:type="dxa"/>
            <w:noWrap/>
            <w:hideMark/>
          </w:tcPr>
          <w:p w14:paraId="3A5E9F1E" w14:textId="77777777" w:rsidR="00814BF2" w:rsidRPr="00855267" w:rsidRDefault="00814BF2" w:rsidP="00814BF2">
            <w:pPr>
              <w:spacing w:line="480" w:lineRule="auto"/>
              <w:rPr>
                <w:rFonts w:cs="Arial"/>
                <w:sz w:val="12"/>
                <w:szCs w:val="12"/>
              </w:rPr>
            </w:pPr>
            <w:r w:rsidRPr="00855267">
              <w:rPr>
                <w:rFonts w:cs="Arial"/>
                <w:sz w:val="12"/>
                <w:szCs w:val="12"/>
              </w:rPr>
              <w:t>NA</w:t>
            </w:r>
          </w:p>
        </w:tc>
      </w:tr>
      <w:tr w:rsidR="001C52C1" w:rsidRPr="001C52C1" w14:paraId="21DAE905" w14:textId="77777777" w:rsidTr="00855267">
        <w:trPr>
          <w:trHeight w:val="360"/>
        </w:trPr>
        <w:tc>
          <w:tcPr>
            <w:tcW w:w="936" w:type="dxa"/>
            <w:hideMark/>
          </w:tcPr>
          <w:p w14:paraId="541734A0" w14:textId="77777777" w:rsidR="00814BF2" w:rsidRPr="001C52C1" w:rsidRDefault="00814BF2" w:rsidP="00814BF2">
            <w:pPr>
              <w:spacing w:line="480" w:lineRule="auto"/>
              <w:rPr>
                <w:rFonts w:cs="Arial"/>
                <w:b/>
                <w:bCs/>
                <w:sz w:val="12"/>
                <w:szCs w:val="12"/>
              </w:rPr>
            </w:pPr>
            <w:r w:rsidRPr="001C52C1">
              <w:rPr>
                <w:rFonts w:cs="Arial"/>
                <w:b/>
                <w:bCs/>
                <w:sz w:val="12"/>
                <w:szCs w:val="12"/>
              </w:rPr>
              <w:t>Specificity (%)</w:t>
            </w:r>
          </w:p>
        </w:tc>
        <w:tc>
          <w:tcPr>
            <w:tcW w:w="405" w:type="dxa"/>
            <w:hideMark/>
          </w:tcPr>
          <w:p w14:paraId="194ABA5D" w14:textId="77777777" w:rsidR="00814BF2" w:rsidRPr="001C52C1" w:rsidRDefault="00814BF2" w:rsidP="00814BF2">
            <w:pPr>
              <w:spacing w:line="480" w:lineRule="auto"/>
              <w:rPr>
                <w:rFonts w:cs="Arial"/>
                <w:b/>
                <w:bCs/>
                <w:sz w:val="12"/>
                <w:szCs w:val="12"/>
              </w:rPr>
            </w:pPr>
            <w:r w:rsidRPr="001C52C1">
              <w:rPr>
                <w:rFonts w:cs="Arial"/>
                <w:b/>
                <w:bCs/>
                <w:sz w:val="12"/>
                <w:szCs w:val="12"/>
              </w:rPr>
              <w:t>100</w:t>
            </w:r>
          </w:p>
        </w:tc>
        <w:tc>
          <w:tcPr>
            <w:tcW w:w="1170" w:type="dxa"/>
            <w:noWrap/>
            <w:hideMark/>
          </w:tcPr>
          <w:p w14:paraId="62DC4C43" w14:textId="7A056B7E" w:rsidR="00814BF2" w:rsidRPr="001C52C1" w:rsidRDefault="00E87C46" w:rsidP="00814BF2">
            <w:pPr>
              <w:spacing w:line="480" w:lineRule="auto"/>
              <w:rPr>
                <w:rFonts w:cs="Arial"/>
                <w:b/>
                <w:bCs/>
                <w:sz w:val="12"/>
                <w:szCs w:val="12"/>
              </w:rPr>
            </w:pPr>
            <w:r w:rsidRPr="001C52C1">
              <w:rPr>
                <w:rFonts w:cs="Arial"/>
                <w:b/>
                <w:bCs/>
                <w:sz w:val="12"/>
                <w:szCs w:val="12"/>
              </w:rPr>
              <w:t>S</w:t>
            </w:r>
            <w:r w:rsidR="00814BF2" w:rsidRPr="001C52C1">
              <w:rPr>
                <w:rFonts w:cs="Arial"/>
                <w:b/>
                <w:bCs/>
                <w:sz w:val="12"/>
                <w:szCs w:val="12"/>
              </w:rPr>
              <w:t>ensitivity (%)</w:t>
            </w:r>
          </w:p>
        </w:tc>
        <w:tc>
          <w:tcPr>
            <w:tcW w:w="414" w:type="dxa"/>
            <w:noWrap/>
            <w:hideMark/>
          </w:tcPr>
          <w:p w14:paraId="3866954F" w14:textId="77777777" w:rsidR="00814BF2" w:rsidRPr="00855267" w:rsidRDefault="00814BF2" w:rsidP="00814BF2">
            <w:pPr>
              <w:spacing w:line="480" w:lineRule="auto"/>
              <w:rPr>
                <w:rFonts w:cs="Arial"/>
                <w:sz w:val="12"/>
                <w:szCs w:val="12"/>
              </w:rPr>
            </w:pPr>
            <w:r w:rsidRPr="00855267">
              <w:rPr>
                <w:rFonts w:cs="Arial"/>
                <w:sz w:val="12"/>
                <w:szCs w:val="12"/>
              </w:rPr>
              <w:t>15</w:t>
            </w:r>
          </w:p>
        </w:tc>
        <w:tc>
          <w:tcPr>
            <w:tcW w:w="648" w:type="dxa"/>
            <w:noWrap/>
            <w:hideMark/>
          </w:tcPr>
          <w:p w14:paraId="527AD1E9" w14:textId="77777777" w:rsidR="00814BF2" w:rsidRPr="00855267" w:rsidRDefault="00814BF2" w:rsidP="00814BF2">
            <w:pPr>
              <w:spacing w:line="480" w:lineRule="auto"/>
              <w:rPr>
                <w:rFonts w:cs="Arial"/>
                <w:sz w:val="12"/>
                <w:szCs w:val="12"/>
              </w:rPr>
            </w:pPr>
            <w:r w:rsidRPr="00855267">
              <w:rPr>
                <w:rFonts w:cs="Arial"/>
                <w:sz w:val="12"/>
                <w:szCs w:val="12"/>
              </w:rPr>
              <w:t>15</w:t>
            </w:r>
          </w:p>
        </w:tc>
        <w:tc>
          <w:tcPr>
            <w:tcW w:w="675" w:type="dxa"/>
            <w:noWrap/>
            <w:hideMark/>
          </w:tcPr>
          <w:p w14:paraId="4CD3CC28" w14:textId="77777777" w:rsidR="00814BF2" w:rsidRPr="00855267" w:rsidRDefault="00814BF2" w:rsidP="00814BF2">
            <w:pPr>
              <w:spacing w:line="480" w:lineRule="auto"/>
              <w:rPr>
                <w:rFonts w:cs="Arial"/>
                <w:sz w:val="12"/>
                <w:szCs w:val="12"/>
              </w:rPr>
            </w:pPr>
            <w:r w:rsidRPr="00855267">
              <w:rPr>
                <w:rFonts w:cs="Arial"/>
                <w:sz w:val="12"/>
                <w:szCs w:val="12"/>
              </w:rPr>
              <w:t>3</w:t>
            </w:r>
          </w:p>
        </w:tc>
        <w:tc>
          <w:tcPr>
            <w:tcW w:w="513" w:type="dxa"/>
            <w:noWrap/>
            <w:hideMark/>
          </w:tcPr>
          <w:p w14:paraId="744C05AD" w14:textId="77777777" w:rsidR="00814BF2" w:rsidRPr="00855267" w:rsidRDefault="00814BF2" w:rsidP="00814BF2">
            <w:pPr>
              <w:spacing w:line="480" w:lineRule="auto"/>
              <w:rPr>
                <w:rFonts w:cs="Arial"/>
                <w:sz w:val="12"/>
                <w:szCs w:val="12"/>
              </w:rPr>
            </w:pPr>
            <w:r w:rsidRPr="00855267">
              <w:rPr>
                <w:rFonts w:cs="Arial"/>
                <w:sz w:val="12"/>
                <w:szCs w:val="12"/>
              </w:rPr>
              <w:t>0</w:t>
            </w:r>
          </w:p>
        </w:tc>
        <w:tc>
          <w:tcPr>
            <w:tcW w:w="513" w:type="dxa"/>
            <w:noWrap/>
            <w:hideMark/>
          </w:tcPr>
          <w:p w14:paraId="2382B450" w14:textId="77777777" w:rsidR="00814BF2" w:rsidRPr="00855267" w:rsidRDefault="00814BF2" w:rsidP="00814BF2">
            <w:pPr>
              <w:spacing w:line="480" w:lineRule="auto"/>
              <w:rPr>
                <w:rFonts w:cs="Arial"/>
                <w:sz w:val="12"/>
                <w:szCs w:val="12"/>
              </w:rPr>
            </w:pPr>
            <w:r w:rsidRPr="00855267">
              <w:rPr>
                <w:rFonts w:cs="Arial"/>
                <w:sz w:val="12"/>
                <w:szCs w:val="12"/>
              </w:rPr>
              <w:t>3</w:t>
            </w:r>
          </w:p>
        </w:tc>
        <w:tc>
          <w:tcPr>
            <w:tcW w:w="486" w:type="dxa"/>
            <w:noWrap/>
            <w:hideMark/>
          </w:tcPr>
          <w:p w14:paraId="684C1B48" w14:textId="77777777" w:rsidR="00814BF2" w:rsidRPr="00855267" w:rsidRDefault="00814BF2" w:rsidP="00814BF2">
            <w:pPr>
              <w:spacing w:line="480" w:lineRule="auto"/>
              <w:rPr>
                <w:rFonts w:cs="Arial"/>
                <w:sz w:val="12"/>
                <w:szCs w:val="12"/>
              </w:rPr>
            </w:pPr>
            <w:r w:rsidRPr="00855267">
              <w:rPr>
                <w:rFonts w:cs="Arial"/>
                <w:sz w:val="12"/>
                <w:szCs w:val="12"/>
              </w:rPr>
              <w:t>0</w:t>
            </w:r>
          </w:p>
        </w:tc>
        <w:tc>
          <w:tcPr>
            <w:tcW w:w="513" w:type="dxa"/>
            <w:noWrap/>
            <w:hideMark/>
          </w:tcPr>
          <w:p w14:paraId="4ABF782A" w14:textId="77777777" w:rsidR="00814BF2" w:rsidRPr="00855267" w:rsidRDefault="00814BF2" w:rsidP="00814BF2">
            <w:pPr>
              <w:spacing w:line="480" w:lineRule="auto"/>
              <w:rPr>
                <w:rFonts w:cs="Arial"/>
                <w:sz w:val="12"/>
                <w:szCs w:val="12"/>
              </w:rPr>
            </w:pPr>
            <w:r w:rsidRPr="00855267">
              <w:rPr>
                <w:rFonts w:cs="Arial"/>
                <w:sz w:val="12"/>
                <w:szCs w:val="12"/>
              </w:rPr>
              <w:t>3</w:t>
            </w:r>
          </w:p>
        </w:tc>
        <w:tc>
          <w:tcPr>
            <w:tcW w:w="450" w:type="dxa"/>
            <w:noWrap/>
            <w:hideMark/>
          </w:tcPr>
          <w:p w14:paraId="2E71C963" w14:textId="77777777" w:rsidR="00814BF2" w:rsidRPr="00855267" w:rsidRDefault="00814BF2" w:rsidP="00814BF2">
            <w:pPr>
              <w:spacing w:line="480" w:lineRule="auto"/>
              <w:rPr>
                <w:rFonts w:cs="Arial"/>
                <w:sz w:val="12"/>
                <w:szCs w:val="12"/>
              </w:rPr>
            </w:pPr>
            <w:r w:rsidRPr="00855267">
              <w:rPr>
                <w:rFonts w:cs="Arial"/>
                <w:sz w:val="12"/>
                <w:szCs w:val="12"/>
              </w:rPr>
              <w:t>3</w:t>
            </w:r>
          </w:p>
        </w:tc>
        <w:tc>
          <w:tcPr>
            <w:tcW w:w="594" w:type="dxa"/>
            <w:noWrap/>
            <w:hideMark/>
          </w:tcPr>
          <w:p w14:paraId="5E47A48B" w14:textId="77777777" w:rsidR="00814BF2" w:rsidRPr="00855267" w:rsidRDefault="00814BF2" w:rsidP="00814BF2">
            <w:pPr>
              <w:spacing w:line="480" w:lineRule="auto"/>
              <w:rPr>
                <w:rFonts w:cs="Arial"/>
                <w:sz w:val="12"/>
                <w:szCs w:val="12"/>
              </w:rPr>
            </w:pPr>
            <w:r w:rsidRPr="00855267">
              <w:rPr>
                <w:rFonts w:cs="Arial"/>
                <w:sz w:val="12"/>
                <w:szCs w:val="12"/>
              </w:rPr>
              <w:t>0</w:t>
            </w:r>
          </w:p>
        </w:tc>
        <w:tc>
          <w:tcPr>
            <w:tcW w:w="549" w:type="dxa"/>
            <w:noWrap/>
            <w:hideMark/>
          </w:tcPr>
          <w:p w14:paraId="7D805091" w14:textId="77777777" w:rsidR="00814BF2" w:rsidRPr="00855267" w:rsidRDefault="00814BF2" w:rsidP="00814BF2">
            <w:pPr>
              <w:spacing w:line="480" w:lineRule="auto"/>
              <w:rPr>
                <w:rFonts w:cs="Arial"/>
                <w:sz w:val="12"/>
                <w:szCs w:val="12"/>
              </w:rPr>
            </w:pPr>
            <w:r w:rsidRPr="00855267">
              <w:rPr>
                <w:rFonts w:cs="Arial"/>
                <w:sz w:val="12"/>
                <w:szCs w:val="12"/>
              </w:rPr>
              <w:t>0</w:t>
            </w:r>
          </w:p>
        </w:tc>
        <w:tc>
          <w:tcPr>
            <w:tcW w:w="405" w:type="dxa"/>
            <w:noWrap/>
            <w:hideMark/>
          </w:tcPr>
          <w:p w14:paraId="3E9FD658" w14:textId="77777777" w:rsidR="00814BF2" w:rsidRPr="00855267" w:rsidRDefault="00814BF2" w:rsidP="00814BF2">
            <w:pPr>
              <w:spacing w:line="480" w:lineRule="auto"/>
              <w:rPr>
                <w:rFonts w:cs="Arial"/>
                <w:sz w:val="12"/>
                <w:szCs w:val="12"/>
              </w:rPr>
            </w:pPr>
            <w:r w:rsidRPr="00855267">
              <w:rPr>
                <w:rFonts w:cs="Arial"/>
                <w:sz w:val="12"/>
                <w:szCs w:val="12"/>
              </w:rPr>
              <w:t>0</w:t>
            </w:r>
          </w:p>
        </w:tc>
        <w:tc>
          <w:tcPr>
            <w:tcW w:w="585" w:type="dxa"/>
            <w:noWrap/>
            <w:hideMark/>
          </w:tcPr>
          <w:p w14:paraId="14EEB7A0" w14:textId="77777777" w:rsidR="00814BF2" w:rsidRPr="00855267" w:rsidRDefault="00814BF2" w:rsidP="00814BF2">
            <w:pPr>
              <w:spacing w:line="480" w:lineRule="auto"/>
              <w:rPr>
                <w:rFonts w:cs="Arial"/>
                <w:sz w:val="12"/>
                <w:szCs w:val="12"/>
              </w:rPr>
            </w:pPr>
            <w:r w:rsidRPr="00855267">
              <w:rPr>
                <w:rFonts w:cs="Arial"/>
                <w:sz w:val="12"/>
                <w:szCs w:val="12"/>
              </w:rPr>
              <w:t>NA</w:t>
            </w:r>
          </w:p>
        </w:tc>
        <w:tc>
          <w:tcPr>
            <w:tcW w:w="495" w:type="dxa"/>
            <w:noWrap/>
            <w:hideMark/>
          </w:tcPr>
          <w:p w14:paraId="25073DCF" w14:textId="77777777" w:rsidR="00814BF2" w:rsidRPr="00855267" w:rsidRDefault="00814BF2" w:rsidP="00814BF2">
            <w:pPr>
              <w:spacing w:line="480" w:lineRule="auto"/>
              <w:rPr>
                <w:rFonts w:cs="Arial"/>
                <w:sz w:val="12"/>
                <w:szCs w:val="12"/>
              </w:rPr>
            </w:pPr>
            <w:r w:rsidRPr="00855267">
              <w:rPr>
                <w:rFonts w:cs="Arial"/>
                <w:sz w:val="12"/>
                <w:szCs w:val="12"/>
              </w:rPr>
              <w:t>NA</w:t>
            </w:r>
          </w:p>
        </w:tc>
      </w:tr>
      <w:tr w:rsidR="001C52C1" w:rsidRPr="001C52C1" w14:paraId="34593EE2" w14:textId="77777777" w:rsidTr="00855267">
        <w:trPr>
          <w:trHeight w:val="360"/>
        </w:trPr>
        <w:tc>
          <w:tcPr>
            <w:tcW w:w="936" w:type="dxa"/>
            <w:hideMark/>
          </w:tcPr>
          <w:p w14:paraId="662A2ED8" w14:textId="77777777" w:rsidR="00814BF2" w:rsidRPr="001C52C1" w:rsidRDefault="00814BF2" w:rsidP="00814BF2">
            <w:pPr>
              <w:spacing w:line="480" w:lineRule="auto"/>
              <w:rPr>
                <w:rFonts w:cs="Arial"/>
                <w:b/>
                <w:bCs/>
                <w:sz w:val="12"/>
                <w:szCs w:val="12"/>
              </w:rPr>
            </w:pPr>
            <w:r w:rsidRPr="001C52C1">
              <w:rPr>
                <w:rFonts w:cs="Arial"/>
                <w:b/>
                <w:bCs/>
                <w:sz w:val="12"/>
                <w:szCs w:val="12"/>
              </w:rPr>
              <w:t> </w:t>
            </w:r>
          </w:p>
        </w:tc>
        <w:tc>
          <w:tcPr>
            <w:tcW w:w="405" w:type="dxa"/>
            <w:hideMark/>
          </w:tcPr>
          <w:p w14:paraId="7B53FFFD" w14:textId="77777777" w:rsidR="00814BF2" w:rsidRPr="001C52C1" w:rsidRDefault="00814BF2" w:rsidP="00814BF2">
            <w:pPr>
              <w:spacing w:line="480" w:lineRule="auto"/>
              <w:rPr>
                <w:rFonts w:cs="Arial"/>
                <w:b/>
                <w:bCs/>
                <w:sz w:val="12"/>
                <w:szCs w:val="12"/>
              </w:rPr>
            </w:pPr>
            <w:r w:rsidRPr="001C52C1">
              <w:rPr>
                <w:rFonts w:cs="Arial"/>
                <w:b/>
                <w:bCs/>
                <w:sz w:val="12"/>
                <w:szCs w:val="12"/>
              </w:rPr>
              <w:t>90</w:t>
            </w:r>
          </w:p>
        </w:tc>
        <w:tc>
          <w:tcPr>
            <w:tcW w:w="1170" w:type="dxa"/>
            <w:noWrap/>
            <w:hideMark/>
          </w:tcPr>
          <w:p w14:paraId="60907FD9" w14:textId="3CF9C9BE" w:rsidR="00814BF2" w:rsidRPr="001C52C1" w:rsidRDefault="00E87C46" w:rsidP="00814BF2">
            <w:pPr>
              <w:spacing w:line="480" w:lineRule="auto"/>
              <w:rPr>
                <w:rFonts w:cs="Arial"/>
                <w:b/>
                <w:bCs/>
                <w:sz w:val="12"/>
                <w:szCs w:val="12"/>
              </w:rPr>
            </w:pPr>
            <w:r w:rsidRPr="001C52C1">
              <w:rPr>
                <w:rFonts w:cs="Arial"/>
                <w:b/>
                <w:bCs/>
                <w:sz w:val="12"/>
                <w:szCs w:val="12"/>
              </w:rPr>
              <w:t>S</w:t>
            </w:r>
            <w:r w:rsidR="00814BF2" w:rsidRPr="001C52C1">
              <w:rPr>
                <w:rFonts w:cs="Arial"/>
                <w:b/>
                <w:bCs/>
                <w:sz w:val="12"/>
                <w:szCs w:val="12"/>
              </w:rPr>
              <w:t>ensitivity (%)</w:t>
            </w:r>
          </w:p>
        </w:tc>
        <w:tc>
          <w:tcPr>
            <w:tcW w:w="414" w:type="dxa"/>
            <w:noWrap/>
            <w:hideMark/>
          </w:tcPr>
          <w:p w14:paraId="22859A40" w14:textId="77777777" w:rsidR="00814BF2" w:rsidRPr="00855267" w:rsidRDefault="00814BF2" w:rsidP="00814BF2">
            <w:pPr>
              <w:spacing w:line="480" w:lineRule="auto"/>
              <w:rPr>
                <w:rFonts w:cs="Arial"/>
                <w:sz w:val="12"/>
                <w:szCs w:val="12"/>
              </w:rPr>
            </w:pPr>
            <w:r w:rsidRPr="00855267">
              <w:rPr>
                <w:rFonts w:cs="Arial"/>
                <w:sz w:val="12"/>
                <w:szCs w:val="12"/>
              </w:rPr>
              <w:t>61</w:t>
            </w:r>
          </w:p>
        </w:tc>
        <w:tc>
          <w:tcPr>
            <w:tcW w:w="648" w:type="dxa"/>
            <w:noWrap/>
            <w:hideMark/>
          </w:tcPr>
          <w:p w14:paraId="7A7B4ABC" w14:textId="77777777" w:rsidR="00814BF2" w:rsidRPr="00855267" w:rsidRDefault="00814BF2" w:rsidP="00814BF2">
            <w:pPr>
              <w:spacing w:line="480" w:lineRule="auto"/>
              <w:rPr>
                <w:rFonts w:cs="Arial"/>
                <w:sz w:val="12"/>
                <w:szCs w:val="12"/>
              </w:rPr>
            </w:pPr>
            <w:r w:rsidRPr="00855267">
              <w:rPr>
                <w:rFonts w:cs="Arial"/>
                <w:sz w:val="12"/>
                <w:szCs w:val="12"/>
              </w:rPr>
              <w:t>39</w:t>
            </w:r>
          </w:p>
        </w:tc>
        <w:tc>
          <w:tcPr>
            <w:tcW w:w="675" w:type="dxa"/>
            <w:noWrap/>
            <w:hideMark/>
          </w:tcPr>
          <w:p w14:paraId="66EF050E" w14:textId="77777777" w:rsidR="00814BF2" w:rsidRPr="00855267" w:rsidRDefault="00814BF2" w:rsidP="00814BF2">
            <w:pPr>
              <w:spacing w:line="480" w:lineRule="auto"/>
              <w:rPr>
                <w:rFonts w:cs="Arial"/>
                <w:sz w:val="12"/>
                <w:szCs w:val="12"/>
              </w:rPr>
            </w:pPr>
            <w:r w:rsidRPr="00855267">
              <w:rPr>
                <w:rFonts w:cs="Arial"/>
                <w:sz w:val="12"/>
                <w:szCs w:val="12"/>
              </w:rPr>
              <w:t>36</w:t>
            </w:r>
          </w:p>
        </w:tc>
        <w:tc>
          <w:tcPr>
            <w:tcW w:w="513" w:type="dxa"/>
            <w:noWrap/>
            <w:hideMark/>
          </w:tcPr>
          <w:p w14:paraId="7AA1E68A" w14:textId="77777777" w:rsidR="00814BF2" w:rsidRPr="00855267" w:rsidRDefault="00814BF2" w:rsidP="00814BF2">
            <w:pPr>
              <w:spacing w:line="480" w:lineRule="auto"/>
              <w:rPr>
                <w:rFonts w:cs="Arial"/>
                <w:sz w:val="12"/>
                <w:szCs w:val="12"/>
              </w:rPr>
            </w:pPr>
            <w:r w:rsidRPr="00855267">
              <w:rPr>
                <w:rFonts w:cs="Arial"/>
                <w:sz w:val="12"/>
                <w:szCs w:val="12"/>
              </w:rPr>
              <w:t>27</w:t>
            </w:r>
          </w:p>
        </w:tc>
        <w:tc>
          <w:tcPr>
            <w:tcW w:w="513" w:type="dxa"/>
            <w:noWrap/>
            <w:hideMark/>
          </w:tcPr>
          <w:p w14:paraId="30163106" w14:textId="77777777" w:rsidR="00814BF2" w:rsidRPr="00855267" w:rsidRDefault="00814BF2" w:rsidP="00814BF2">
            <w:pPr>
              <w:spacing w:line="480" w:lineRule="auto"/>
              <w:rPr>
                <w:rFonts w:cs="Arial"/>
                <w:sz w:val="12"/>
                <w:szCs w:val="12"/>
              </w:rPr>
            </w:pPr>
            <w:r w:rsidRPr="00855267">
              <w:rPr>
                <w:rFonts w:cs="Arial"/>
                <w:sz w:val="12"/>
                <w:szCs w:val="12"/>
              </w:rPr>
              <w:t>12</w:t>
            </w:r>
          </w:p>
        </w:tc>
        <w:tc>
          <w:tcPr>
            <w:tcW w:w="486" w:type="dxa"/>
            <w:noWrap/>
            <w:hideMark/>
          </w:tcPr>
          <w:p w14:paraId="5E637471" w14:textId="77777777" w:rsidR="00814BF2" w:rsidRPr="00855267" w:rsidRDefault="00814BF2" w:rsidP="00814BF2">
            <w:pPr>
              <w:spacing w:line="480" w:lineRule="auto"/>
              <w:rPr>
                <w:rFonts w:cs="Arial"/>
                <w:sz w:val="12"/>
                <w:szCs w:val="12"/>
              </w:rPr>
            </w:pPr>
            <w:r w:rsidRPr="00855267">
              <w:rPr>
                <w:rFonts w:cs="Arial"/>
                <w:sz w:val="12"/>
                <w:szCs w:val="12"/>
              </w:rPr>
              <w:t>36</w:t>
            </w:r>
          </w:p>
        </w:tc>
        <w:tc>
          <w:tcPr>
            <w:tcW w:w="513" w:type="dxa"/>
            <w:noWrap/>
            <w:hideMark/>
          </w:tcPr>
          <w:p w14:paraId="2876F4E9" w14:textId="77777777" w:rsidR="00814BF2" w:rsidRPr="00855267" w:rsidRDefault="00814BF2" w:rsidP="00814BF2">
            <w:pPr>
              <w:spacing w:line="480" w:lineRule="auto"/>
              <w:rPr>
                <w:rFonts w:cs="Arial"/>
                <w:sz w:val="12"/>
                <w:szCs w:val="12"/>
              </w:rPr>
            </w:pPr>
            <w:r w:rsidRPr="00855267">
              <w:rPr>
                <w:rFonts w:cs="Arial"/>
                <w:sz w:val="12"/>
                <w:szCs w:val="12"/>
              </w:rPr>
              <w:t>27</w:t>
            </w:r>
          </w:p>
        </w:tc>
        <w:tc>
          <w:tcPr>
            <w:tcW w:w="450" w:type="dxa"/>
            <w:noWrap/>
            <w:hideMark/>
          </w:tcPr>
          <w:p w14:paraId="769E4AA9" w14:textId="77777777" w:rsidR="00814BF2" w:rsidRPr="00855267" w:rsidRDefault="00814BF2" w:rsidP="00814BF2">
            <w:pPr>
              <w:spacing w:line="480" w:lineRule="auto"/>
              <w:rPr>
                <w:rFonts w:cs="Arial"/>
                <w:sz w:val="12"/>
                <w:szCs w:val="12"/>
              </w:rPr>
            </w:pPr>
            <w:r w:rsidRPr="00855267">
              <w:rPr>
                <w:rFonts w:cs="Arial"/>
                <w:sz w:val="12"/>
                <w:szCs w:val="12"/>
              </w:rPr>
              <w:t>30</w:t>
            </w:r>
          </w:p>
        </w:tc>
        <w:tc>
          <w:tcPr>
            <w:tcW w:w="594" w:type="dxa"/>
            <w:noWrap/>
            <w:hideMark/>
          </w:tcPr>
          <w:p w14:paraId="31A32231" w14:textId="77777777" w:rsidR="00814BF2" w:rsidRPr="00855267" w:rsidRDefault="00814BF2" w:rsidP="00814BF2">
            <w:pPr>
              <w:spacing w:line="480" w:lineRule="auto"/>
              <w:rPr>
                <w:rFonts w:cs="Arial"/>
                <w:sz w:val="12"/>
                <w:szCs w:val="12"/>
              </w:rPr>
            </w:pPr>
            <w:r w:rsidRPr="00855267">
              <w:rPr>
                <w:rFonts w:cs="Arial"/>
                <w:sz w:val="12"/>
                <w:szCs w:val="12"/>
              </w:rPr>
              <w:t>12</w:t>
            </w:r>
          </w:p>
        </w:tc>
        <w:tc>
          <w:tcPr>
            <w:tcW w:w="549" w:type="dxa"/>
            <w:noWrap/>
            <w:hideMark/>
          </w:tcPr>
          <w:p w14:paraId="5A6381BF" w14:textId="77777777" w:rsidR="00814BF2" w:rsidRPr="00855267" w:rsidRDefault="00814BF2" w:rsidP="00814BF2">
            <w:pPr>
              <w:spacing w:line="480" w:lineRule="auto"/>
              <w:rPr>
                <w:rFonts w:cs="Arial"/>
                <w:sz w:val="12"/>
                <w:szCs w:val="12"/>
              </w:rPr>
            </w:pPr>
            <w:r w:rsidRPr="00855267">
              <w:rPr>
                <w:rFonts w:cs="Arial"/>
                <w:sz w:val="12"/>
                <w:szCs w:val="12"/>
              </w:rPr>
              <w:t>18</w:t>
            </w:r>
          </w:p>
        </w:tc>
        <w:tc>
          <w:tcPr>
            <w:tcW w:w="405" w:type="dxa"/>
            <w:noWrap/>
            <w:hideMark/>
          </w:tcPr>
          <w:p w14:paraId="36757552" w14:textId="77777777" w:rsidR="00814BF2" w:rsidRPr="00855267" w:rsidRDefault="00814BF2" w:rsidP="00814BF2">
            <w:pPr>
              <w:spacing w:line="480" w:lineRule="auto"/>
              <w:rPr>
                <w:rFonts w:cs="Arial"/>
                <w:sz w:val="12"/>
                <w:szCs w:val="12"/>
              </w:rPr>
            </w:pPr>
            <w:r w:rsidRPr="00855267">
              <w:rPr>
                <w:rFonts w:cs="Arial"/>
                <w:sz w:val="12"/>
                <w:szCs w:val="12"/>
              </w:rPr>
              <w:t>12</w:t>
            </w:r>
          </w:p>
        </w:tc>
        <w:tc>
          <w:tcPr>
            <w:tcW w:w="585" w:type="dxa"/>
            <w:noWrap/>
            <w:hideMark/>
          </w:tcPr>
          <w:p w14:paraId="5322AB12" w14:textId="77777777" w:rsidR="00814BF2" w:rsidRPr="00855267" w:rsidRDefault="00814BF2" w:rsidP="00814BF2">
            <w:pPr>
              <w:spacing w:line="480" w:lineRule="auto"/>
              <w:rPr>
                <w:rFonts w:cs="Arial"/>
                <w:sz w:val="12"/>
                <w:szCs w:val="12"/>
              </w:rPr>
            </w:pPr>
            <w:r w:rsidRPr="00855267">
              <w:rPr>
                <w:rFonts w:cs="Arial"/>
                <w:sz w:val="12"/>
                <w:szCs w:val="12"/>
              </w:rPr>
              <w:t>NA</w:t>
            </w:r>
          </w:p>
        </w:tc>
        <w:tc>
          <w:tcPr>
            <w:tcW w:w="495" w:type="dxa"/>
            <w:noWrap/>
            <w:hideMark/>
          </w:tcPr>
          <w:p w14:paraId="7409BB09" w14:textId="77777777" w:rsidR="00814BF2" w:rsidRPr="00855267" w:rsidRDefault="00814BF2" w:rsidP="00814BF2">
            <w:pPr>
              <w:spacing w:line="480" w:lineRule="auto"/>
              <w:rPr>
                <w:rFonts w:cs="Arial"/>
                <w:sz w:val="12"/>
                <w:szCs w:val="12"/>
              </w:rPr>
            </w:pPr>
            <w:r w:rsidRPr="00855267">
              <w:rPr>
                <w:rFonts w:cs="Arial"/>
                <w:sz w:val="12"/>
                <w:szCs w:val="12"/>
              </w:rPr>
              <w:t>NA</w:t>
            </w:r>
          </w:p>
        </w:tc>
      </w:tr>
      <w:tr w:rsidR="001C52C1" w:rsidRPr="001C52C1" w14:paraId="785F4152" w14:textId="77777777" w:rsidTr="00855267">
        <w:trPr>
          <w:trHeight w:val="360"/>
        </w:trPr>
        <w:tc>
          <w:tcPr>
            <w:tcW w:w="936" w:type="dxa"/>
            <w:hideMark/>
          </w:tcPr>
          <w:p w14:paraId="5ECE2C42" w14:textId="77777777" w:rsidR="00814BF2" w:rsidRPr="001C52C1" w:rsidRDefault="00814BF2" w:rsidP="00814BF2">
            <w:pPr>
              <w:spacing w:line="480" w:lineRule="auto"/>
              <w:rPr>
                <w:rFonts w:cs="Arial"/>
                <w:b/>
                <w:bCs/>
                <w:sz w:val="12"/>
                <w:szCs w:val="12"/>
              </w:rPr>
            </w:pPr>
            <w:r w:rsidRPr="001C52C1">
              <w:rPr>
                <w:rFonts w:cs="Arial"/>
                <w:b/>
                <w:bCs/>
                <w:sz w:val="12"/>
                <w:szCs w:val="12"/>
              </w:rPr>
              <w:t> </w:t>
            </w:r>
          </w:p>
        </w:tc>
        <w:tc>
          <w:tcPr>
            <w:tcW w:w="405" w:type="dxa"/>
            <w:hideMark/>
          </w:tcPr>
          <w:p w14:paraId="2684B6BF" w14:textId="77777777" w:rsidR="00814BF2" w:rsidRPr="001C52C1" w:rsidRDefault="00814BF2" w:rsidP="00814BF2">
            <w:pPr>
              <w:spacing w:line="480" w:lineRule="auto"/>
              <w:rPr>
                <w:rFonts w:cs="Arial"/>
                <w:b/>
                <w:bCs/>
                <w:sz w:val="12"/>
                <w:szCs w:val="12"/>
              </w:rPr>
            </w:pPr>
            <w:r w:rsidRPr="001C52C1">
              <w:rPr>
                <w:rFonts w:cs="Arial"/>
                <w:b/>
                <w:bCs/>
                <w:sz w:val="12"/>
                <w:szCs w:val="12"/>
              </w:rPr>
              <w:t>80</w:t>
            </w:r>
          </w:p>
        </w:tc>
        <w:tc>
          <w:tcPr>
            <w:tcW w:w="1170" w:type="dxa"/>
            <w:noWrap/>
            <w:hideMark/>
          </w:tcPr>
          <w:p w14:paraId="4C637DE6" w14:textId="55BD64E6" w:rsidR="00814BF2" w:rsidRPr="001C52C1" w:rsidRDefault="00E87C46" w:rsidP="00814BF2">
            <w:pPr>
              <w:spacing w:line="480" w:lineRule="auto"/>
              <w:rPr>
                <w:rFonts w:cs="Arial"/>
                <w:b/>
                <w:bCs/>
                <w:sz w:val="12"/>
                <w:szCs w:val="12"/>
              </w:rPr>
            </w:pPr>
            <w:r w:rsidRPr="001C52C1">
              <w:rPr>
                <w:rFonts w:cs="Arial"/>
                <w:b/>
                <w:bCs/>
                <w:sz w:val="12"/>
                <w:szCs w:val="12"/>
              </w:rPr>
              <w:t>S</w:t>
            </w:r>
            <w:r w:rsidR="00814BF2" w:rsidRPr="001C52C1">
              <w:rPr>
                <w:rFonts w:cs="Arial"/>
                <w:b/>
                <w:bCs/>
                <w:sz w:val="12"/>
                <w:szCs w:val="12"/>
              </w:rPr>
              <w:t>ensitivity (%)</w:t>
            </w:r>
          </w:p>
        </w:tc>
        <w:tc>
          <w:tcPr>
            <w:tcW w:w="414" w:type="dxa"/>
            <w:noWrap/>
            <w:hideMark/>
          </w:tcPr>
          <w:p w14:paraId="1FE1C975" w14:textId="77777777" w:rsidR="00814BF2" w:rsidRPr="00855267" w:rsidRDefault="00814BF2" w:rsidP="00814BF2">
            <w:pPr>
              <w:spacing w:line="480" w:lineRule="auto"/>
              <w:rPr>
                <w:rFonts w:cs="Arial"/>
                <w:sz w:val="12"/>
                <w:szCs w:val="12"/>
              </w:rPr>
            </w:pPr>
            <w:r w:rsidRPr="00855267">
              <w:rPr>
                <w:rFonts w:cs="Arial"/>
                <w:sz w:val="12"/>
                <w:szCs w:val="12"/>
              </w:rPr>
              <w:t>76</w:t>
            </w:r>
          </w:p>
        </w:tc>
        <w:tc>
          <w:tcPr>
            <w:tcW w:w="648" w:type="dxa"/>
            <w:noWrap/>
            <w:hideMark/>
          </w:tcPr>
          <w:p w14:paraId="33FA4C5F" w14:textId="77777777" w:rsidR="00814BF2" w:rsidRPr="00855267" w:rsidRDefault="00814BF2" w:rsidP="00814BF2">
            <w:pPr>
              <w:spacing w:line="480" w:lineRule="auto"/>
              <w:rPr>
                <w:rFonts w:cs="Arial"/>
                <w:sz w:val="12"/>
                <w:szCs w:val="12"/>
              </w:rPr>
            </w:pPr>
            <w:r w:rsidRPr="00855267">
              <w:rPr>
                <w:rFonts w:cs="Arial"/>
                <w:sz w:val="12"/>
                <w:szCs w:val="12"/>
              </w:rPr>
              <w:t>58</w:t>
            </w:r>
          </w:p>
        </w:tc>
        <w:tc>
          <w:tcPr>
            <w:tcW w:w="675" w:type="dxa"/>
            <w:noWrap/>
            <w:hideMark/>
          </w:tcPr>
          <w:p w14:paraId="24509B33" w14:textId="77777777" w:rsidR="00814BF2" w:rsidRPr="00855267" w:rsidRDefault="00814BF2" w:rsidP="00814BF2">
            <w:pPr>
              <w:spacing w:line="480" w:lineRule="auto"/>
              <w:rPr>
                <w:rFonts w:cs="Arial"/>
                <w:sz w:val="12"/>
                <w:szCs w:val="12"/>
              </w:rPr>
            </w:pPr>
            <w:r w:rsidRPr="00855267">
              <w:rPr>
                <w:rFonts w:cs="Arial"/>
                <w:sz w:val="12"/>
                <w:szCs w:val="12"/>
              </w:rPr>
              <w:t>48</w:t>
            </w:r>
          </w:p>
        </w:tc>
        <w:tc>
          <w:tcPr>
            <w:tcW w:w="513" w:type="dxa"/>
            <w:noWrap/>
            <w:hideMark/>
          </w:tcPr>
          <w:p w14:paraId="435EC054" w14:textId="77777777" w:rsidR="00814BF2" w:rsidRPr="00855267" w:rsidRDefault="00814BF2" w:rsidP="00814BF2">
            <w:pPr>
              <w:spacing w:line="480" w:lineRule="auto"/>
              <w:rPr>
                <w:rFonts w:cs="Arial"/>
                <w:sz w:val="12"/>
                <w:szCs w:val="12"/>
              </w:rPr>
            </w:pPr>
            <w:r w:rsidRPr="00855267">
              <w:rPr>
                <w:rFonts w:cs="Arial"/>
                <w:sz w:val="12"/>
                <w:szCs w:val="12"/>
              </w:rPr>
              <w:t>42</w:t>
            </w:r>
          </w:p>
        </w:tc>
        <w:tc>
          <w:tcPr>
            <w:tcW w:w="513" w:type="dxa"/>
            <w:noWrap/>
            <w:hideMark/>
          </w:tcPr>
          <w:p w14:paraId="25053753" w14:textId="77777777" w:rsidR="00814BF2" w:rsidRPr="00855267" w:rsidRDefault="00814BF2" w:rsidP="00814BF2">
            <w:pPr>
              <w:spacing w:line="480" w:lineRule="auto"/>
              <w:rPr>
                <w:rFonts w:cs="Arial"/>
                <w:sz w:val="12"/>
                <w:szCs w:val="12"/>
              </w:rPr>
            </w:pPr>
            <w:r w:rsidRPr="00855267">
              <w:rPr>
                <w:rFonts w:cs="Arial"/>
                <w:sz w:val="12"/>
                <w:szCs w:val="12"/>
              </w:rPr>
              <w:t>39</w:t>
            </w:r>
          </w:p>
        </w:tc>
        <w:tc>
          <w:tcPr>
            <w:tcW w:w="486" w:type="dxa"/>
            <w:noWrap/>
            <w:hideMark/>
          </w:tcPr>
          <w:p w14:paraId="542838B4" w14:textId="77777777" w:rsidR="00814BF2" w:rsidRPr="00855267" w:rsidRDefault="00814BF2" w:rsidP="00814BF2">
            <w:pPr>
              <w:spacing w:line="480" w:lineRule="auto"/>
              <w:rPr>
                <w:rFonts w:cs="Arial"/>
                <w:sz w:val="12"/>
                <w:szCs w:val="12"/>
              </w:rPr>
            </w:pPr>
            <w:r w:rsidRPr="00855267">
              <w:rPr>
                <w:rFonts w:cs="Arial"/>
                <w:sz w:val="12"/>
                <w:szCs w:val="12"/>
              </w:rPr>
              <w:t>42</w:t>
            </w:r>
          </w:p>
        </w:tc>
        <w:tc>
          <w:tcPr>
            <w:tcW w:w="513" w:type="dxa"/>
            <w:noWrap/>
            <w:hideMark/>
          </w:tcPr>
          <w:p w14:paraId="26142B28" w14:textId="77777777" w:rsidR="00814BF2" w:rsidRPr="00855267" w:rsidRDefault="00814BF2" w:rsidP="00814BF2">
            <w:pPr>
              <w:spacing w:line="480" w:lineRule="auto"/>
              <w:rPr>
                <w:rFonts w:cs="Arial"/>
                <w:sz w:val="12"/>
                <w:szCs w:val="12"/>
              </w:rPr>
            </w:pPr>
            <w:r w:rsidRPr="00855267">
              <w:rPr>
                <w:rFonts w:cs="Arial"/>
                <w:sz w:val="12"/>
                <w:szCs w:val="12"/>
              </w:rPr>
              <w:t>45</w:t>
            </w:r>
          </w:p>
        </w:tc>
        <w:tc>
          <w:tcPr>
            <w:tcW w:w="450" w:type="dxa"/>
            <w:noWrap/>
            <w:hideMark/>
          </w:tcPr>
          <w:p w14:paraId="6EC8683B" w14:textId="77777777" w:rsidR="00814BF2" w:rsidRPr="00855267" w:rsidRDefault="00814BF2" w:rsidP="00814BF2">
            <w:pPr>
              <w:spacing w:line="480" w:lineRule="auto"/>
              <w:rPr>
                <w:rFonts w:cs="Arial"/>
                <w:sz w:val="12"/>
                <w:szCs w:val="12"/>
              </w:rPr>
            </w:pPr>
            <w:r w:rsidRPr="00855267">
              <w:rPr>
                <w:rFonts w:cs="Arial"/>
                <w:sz w:val="12"/>
                <w:szCs w:val="12"/>
              </w:rPr>
              <w:t>33</w:t>
            </w:r>
          </w:p>
        </w:tc>
        <w:tc>
          <w:tcPr>
            <w:tcW w:w="594" w:type="dxa"/>
            <w:noWrap/>
            <w:hideMark/>
          </w:tcPr>
          <w:p w14:paraId="1953A34F" w14:textId="77777777" w:rsidR="00814BF2" w:rsidRPr="00855267" w:rsidRDefault="00814BF2" w:rsidP="00814BF2">
            <w:pPr>
              <w:spacing w:line="480" w:lineRule="auto"/>
              <w:rPr>
                <w:rFonts w:cs="Arial"/>
                <w:sz w:val="12"/>
                <w:szCs w:val="12"/>
              </w:rPr>
            </w:pPr>
            <w:r w:rsidRPr="00855267">
              <w:rPr>
                <w:rFonts w:cs="Arial"/>
                <w:sz w:val="12"/>
                <w:szCs w:val="12"/>
              </w:rPr>
              <w:t>30</w:t>
            </w:r>
          </w:p>
        </w:tc>
        <w:tc>
          <w:tcPr>
            <w:tcW w:w="549" w:type="dxa"/>
            <w:noWrap/>
            <w:hideMark/>
          </w:tcPr>
          <w:p w14:paraId="38ACDB8D" w14:textId="77777777" w:rsidR="00814BF2" w:rsidRPr="00855267" w:rsidRDefault="00814BF2" w:rsidP="00814BF2">
            <w:pPr>
              <w:spacing w:line="480" w:lineRule="auto"/>
              <w:rPr>
                <w:rFonts w:cs="Arial"/>
                <w:sz w:val="12"/>
                <w:szCs w:val="12"/>
              </w:rPr>
            </w:pPr>
            <w:r w:rsidRPr="00855267">
              <w:rPr>
                <w:rFonts w:cs="Arial"/>
                <w:sz w:val="12"/>
                <w:szCs w:val="12"/>
              </w:rPr>
              <w:t>18</w:t>
            </w:r>
          </w:p>
        </w:tc>
        <w:tc>
          <w:tcPr>
            <w:tcW w:w="405" w:type="dxa"/>
            <w:noWrap/>
            <w:hideMark/>
          </w:tcPr>
          <w:p w14:paraId="5A6F7F7F" w14:textId="77777777" w:rsidR="00814BF2" w:rsidRPr="00855267" w:rsidRDefault="00814BF2" w:rsidP="00814BF2">
            <w:pPr>
              <w:spacing w:line="480" w:lineRule="auto"/>
              <w:rPr>
                <w:rFonts w:cs="Arial"/>
                <w:sz w:val="12"/>
                <w:szCs w:val="12"/>
              </w:rPr>
            </w:pPr>
            <w:r w:rsidRPr="00855267">
              <w:rPr>
                <w:rFonts w:cs="Arial"/>
                <w:sz w:val="12"/>
                <w:szCs w:val="12"/>
              </w:rPr>
              <w:t>24</w:t>
            </w:r>
          </w:p>
        </w:tc>
        <w:tc>
          <w:tcPr>
            <w:tcW w:w="585" w:type="dxa"/>
            <w:noWrap/>
            <w:hideMark/>
          </w:tcPr>
          <w:p w14:paraId="027B0BB9" w14:textId="77777777" w:rsidR="00814BF2" w:rsidRPr="00855267" w:rsidRDefault="00814BF2" w:rsidP="00814BF2">
            <w:pPr>
              <w:spacing w:line="480" w:lineRule="auto"/>
              <w:rPr>
                <w:rFonts w:cs="Arial"/>
                <w:sz w:val="12"/>
                <w:szCs w:val="12"/>
              </w:rPr>
            </w:pPr>
            <w:r w:rsidRPr="00855267">
              <w:rPr>
                <w:rFonts w:cs="Arial"/>
                <w:sz w:val="12"/>
                <w:szCs w:val="12"/>
              </w:rPr>
              <w:t>NA</w:t>
            </w:r>
          </w:p>
        </w:tc>
        <w:tc>
          <w:tcPr>
            <w:tcW w:w="495" w:type="dxa"/>
            <w:noWrap/>
            <w:hideMark/>
          </w:tcPr>
          <w:p w14:paraId="457D70DA" w14:textId="77777777" w:rsidR="00814BF2" w:rsidRPr="00855267" w:rsidRDefault="00814BF2" w:rsidP="00814BF2">
            <w:pPr>
              <w:spacing w:line="480" w:lineRule="auto"/>
              <w:rPr>
                <w:rFonts w:cs="Arial"/>
                <w:sz w:val="12"/>
                <w:szCs w:val="12"/>
              </w:rPr>
            </w:pPr>
            <w:r w:rsidRPr="00855267">
              <w:rPr>
                <w:rFonts w:cs="Arial"/>
                <w:sz w:val="12"/>
                <w:szCs w:val="12"/>
              </w:rPr>
              <w:t>NA</w:t>
            </w:r>
          </w:p>
        </w:tc>
      </w:tr>
      <w:tr w:rsidR="001C52C1" w:rsidRPr="001C52C1" w14:paraId="43DDC597" w14:textId="77777777" w:rsidTr="00855267">
        <w:trPr>
          <w:trHeight w:val="360"/>
        </w:trPr>
        <w:tc>
          <w:tcPr>
            <w:tcW w:w="936" w:type="dxa"/>
            <w:hideMark/>
          </w:tcPr>
          <w:p w14:paraId="7959EDBB" w14:textId="77777777" w:rsidR="00814BF2" w:rsidRPr="001C52C1" w:rsidRDefault="00814BF2" w:rsidP="00814BF2">
            <w:pPr>
              <w:spacing w:line="480" w:lineRule="auto"/>
              <w:rPr>
                <w:rFonts w:cs="Arial"/>
                <w:b/>
                <w:bCs/>
                <w:sz w:val="12"/>
                <w:szCs w:val="12"/>
              </w:rPr>
            </w:pPr>
            <w:r w:rsidRPr="001C52C1">
              <w:rPr>
                <w:rFonts w:cs="Arial"/>
                <w:b/>
                <w:bCs/>
                <w:sz w:val="12"/>
                <w:szCs w:val="12"/>
              </w:rPr>
              <w:t> </w:t>
            </w:r>
          </w:p>
        </w:tc>
        <w:tc>
          <w:tcPr>
            <w:tcW w:w="405" w:type="dxa"/>
            <w:hideMark/>
          </w:tcPr>
          <w:p w14:paraId="0A022462" w14:textId="77777777" w:rsidR="00814BF2" w:rsidRPr="001C52C1" w:rsidRDefault="00814BF2" w:rsidP="00814BF2">
            <w:pPr>
              <w:spacing w:line="480" w:lineRule="auto"/>
              <w:rPr>
                <w:rFonts w:cs="Arial"/>
                <w:b/>
                <w:bCs/>
                <w:sz w:val="12"/>
                <w:szCs w:val="12"/>
              </w:rPr>
            </w:pPr>
            <w:r w:rsidRPr="001C52C1">
              <w:rPr>
                <w:rFonts w:cs="Arial"/>
                <w:b/>
                <w:bCs/>
                <w:sz w:val="12"/>
                <w:szCs w:val="12"/>
              </w:rPr>
              <w:t>70</w:t>
            </w:r>
          </w:p>
        </w:tc>
        <w:tc>
          <w:tcPr>
            <w:tcW w:w="1170" w:type="dxa"/>
            <w:noWrap/>
            <w:hideMark/>
          </w:tcPr>
          <w:p w14:paraId="0F3A8A69" w14:textId="5DD4B474" w:rsidR="00814BF2" w:rsidRPr="001C52C1" w:rsidRDefault="00E87C46" w:rsidP="00814BF2">
            <w:pPr>
              <w:spacing w:line="480" w:lineRule="auto"/>
              <w:rPr>
                <w:rFonts w:cs="Arial"/>
                <w:b/>
                <w:bCs/>
                <w:sz w:val="12"/>
                <w:szCs w:val="12"/>
              </w:rPr>
            </w:pPr>
            <w:r w:rsidRPr="001C52C1">
              <w:rPr>
                <w:rFonts w:cs="Arial"/>
                <w:b/>
                <w:bCs/>
                <w:sz w:val="12"/>
                <w:szCs w:val="12"/>
              </w:rPr>
              <w:t>S</w:t>
            </w:r>
            <w:r w:rsidR="00814BF2" w:rsidRPr="001C52C1">
              <w:rPr>
                <w:rFonts w:cs="Arial"/>
                <w:b/>
                <w:bCs/>
                <w:sz w:val="12"/>
                <w:szCs w:val="12"/>
              </w:rPr>
              <w:t>ensitivity (%)</w:t>
            </w:r>
          </w:p>
        </w:tc>
        <w:tc>
          <w:tcPr>
            <w:tcW w:w="414" w:type="dxa"/>
            <w:noWrap/>
            <w:hideMark/>
          </w:tcPr>
          <w:p w14:paraId="53DCAA92" w14:textId="77777777" w:rsidR="00814BF2" w:rsidRPr="00855267" w:rsidRDefault="00814BF2" w:rsidP="00814BF2">
            <w:pPr>
              <w:spacing w:line="480" w:lineRule="auto"/>
              <w:rPr>
                <w:rFonts w:cs="Arial"/>
                <w:sz w:val="12"/>
                <w:szCs w:val="12"/>
              </w:rPr>
            </w:pPr>
            <w:r w:rsidRPr="00855267">
              <w:rPr>
                <w:rFonts w:cs="Arial"/>
                <w:sz w:val="12"/>
                <w:szCs w:val="12"/>
              </w:rPr>
              <w:t>79</w:t>
            </w:r>
          </w:p>
        </w:tc>
        <w:tc>
          <w:tcPr>
            <w:tcW w:w="648" w:type="dxa"/>
            <w:noWrap/>
            <w:hideMark/>
          </w:tcPr>
          <w:p w14:paraId="5388875E" w14:textId="77777777" w:rsidR="00814BF2" w:rsidRPr="00855267" w:rsidRDefault="00814BF2" w:rsidP="00814BF2">
            <w:pPr>
              <w:spacing w:line="480" w:lineRule="auto"/>
              <w:rPr>
                <w:rFonts w:cs="Arial"/>
                <w:sz w:val="12"/>
                <w:szCs w:val="12"/>
              </w:rPr>
            </w:pPr>
            <w:r w:rsidRPr="00855267">
              <w:rPr>
                <w:rFonts w:cs="Arial"/>
                <w:sz w:val="12"/>
                <w:szCs w:val="12"/>
              </w:rPr>
              <w:t>70</w:t>
            </w:r>
          </w:p>
        </w:tc>
        <w:tc>
          <w:tcPr>
            <w:tcW w:w="675" w:type="dxa"/>
            <w:noWrap/>
            <w:hideMark/>
          </w:tcPr>
          <w:p w14:paraId="37BE034E" w14:textId="77777777" w:rsidR="00814BF2" w:rsidRPr="00855267" w:rsidRDefault="00814BF2" w:rsidP="00814BF2">
            <w:pPr>
              <w:spacing w:line="480" w:lineRule="auto"/>
              <w:rPr>
                <w:rFonts w:cs="Arial"/>
                <w:sz w:val="12"/>
                <w:szCs w:val="12"/>
              </w:rPr>
            </w:pPr>
            <w:r w:rsidRPr="00855267">
              <w:rPr>
                <w:rFonts w:cs="Arial"/>
                <w:sz w:val="12"/>
                <w:szCs w:val="12"/>
              </w:rPr>
              <w:t>55</w:t>
            </w:r>
          </w:p>
        </w:tc>
        <w:tc>
          <w:tcPr>
            <w:tcW w:w="513" w:type="dxa"/>
            <w:noWrap/>
            <w:hideMark/>
          </w:tcPr>
          <w:p w14:paraId="0F919F3B" w14:textId="77777777" w:rsidR="00814BF2" w:rsidRPr="00855267" w:rsidRDefault="00814BF2" w:rsidP="00814BF2">
            <w:pPr>
              <w:spacing w:line="480" w:lineRule="auto"/>
              <w:rPr>
                <w:rFonts w:cs="Arial"/>
                <w:sz w:val="12"/>
                <w:szCs w:val="12"/>
              </w:rPr>
            </w:pPr>
            <w:r w:rsidRPr="00855267">
              <w:rPr>
                <w:rFonts w:cs="Arial"/>
                <w:sz w:val="12"/>
                <w:szCs w:val="12"/>
              </w:rPr>
              <w:t>55</w:t>
            </w:r>
          </w:p>
        </w:tc>
        <w:tc>
          <w:tcPr>
            <w:tcW w:w="513" w:type="dxa"/>
            <w:noWrap/>
            <w:hideMark/>
          </w:tcPr>
          <w:p w14:paraId="60965061" w14:textId="77777777" w:rsidR="00814BF2" w:rsidRPr="00855267" w:rsidRDefault="00814BF2" w:rsidP="00814BF2">
            <w:pPr>
              <w:spacing w:line="480" w:lineRule="auto"/>
              <w:rPr>
                <w:rFonts w:cs="Arial"/>
                <w:sz w:val="12"/>
                <w:szCs w:val="12"/>
              </w:rPr>
            </w:pPr>
            <w:r w:rsidRPr="00855267">
              <w:rPr>
                <w:rFonts w:cs="Arial"/>
                <w:sz w:val="12"/>
                <w:szCs w:val="12"/>
              </w:rPr>
              <w:t>55</w:t>
            </w:r>
          </w:p>
        </w:tc>
        <w:tc>
          <w:tcPr>
            <w:tcW w:w="486" w:type="dxa"/>
            <w:noWrap/>
            <w:hideMark/>
          </w:tcPr>
          <w:p w14:paraId="0196910E" w14:textId="77777777" w:rsidR="00814BF2" w:rsidRPr="00855267" w:rsidRDefault="00814BF2" w:rsidP="00814BF2">
            <w:pPr>
              <w:spacing w:line="480" w:lineRule="auto"/>
              <w:rPr>
                <w:rFonts w:cs="Arial"/>
                <w:sz w:val="12"/>
                <w:szCs w:val="12"/>
              </w:rPr>
            </w:pPr>
            <w:r w:rsidRPr="00855267">
              <w:rPr>
                <w:rFonts w:cs="Arial"/>
                <w:sz w:val="12"/>
                <w:szCs w:val="12"/>
              </w:rPr>
              <w:t>48</w:t>
            </w:r>
          </w:p>
        </w:tc>
        <w:tc>
          <w:tcPr>
            <w:tcW w:w="513" w:type="dxa"/>
            <w:noWrap/>
            <w:hideMark/>
          </w:tcPr>
          <w:p w14:paraId="08476436" w14:textId="77777777" w:rsidR="00814BF2" w:rsidRPr="00855267" w:rsidRDefault="00814BF2" w:rsidP="00814BF2">
            <w:pPr>
              <w:spacing w:line="480" w:lineRule="auto"/>
              <w:rPr>
                <w:rFonts w:cs="Arial"/>
                <w:sz w:val="12"/>
                <w:szCs w:val="12"/>
              </w:rPr>
            </w:pPr>
            <w:r w:rsidRPr="00855267">
              <w:rPr>
                <w:rFonts w:cs="Arial"/>
                <w:sz w:val="12"/>
                <w:szCs w:val="12"/>
              </w:rPr>
              <w:t>45</w:t>
            </w:r>
          </w:p>
        </w:tc>
        <w:tc>
          <w:tcPr>
            <w:tcW w:w="450" w:type="dxa"/>
            <w:noWrap/>
            <w:hideMark/>
          </w:tcPr>
          <w:p w14:paraId="35DC1FD8" w14:textId="77777777" w:rsidR="00814BF2" w:rsidRPr="00855267" w:rsidRDefault="00814BF2" w:rsidP="00814BF2">
            <w:pPr>
              <w:spacing w:line="480" w:lineRule="auto"/>
              <w:rPr>
                <w:rFonts w:cs="Arial"/>
                <w:sz w:val="12"/>
                <w:szCs w:val="12"/>
              </w:rPr>
            </w:pPr>
            <w:r w:rsidRPr="00855267">
              <w:rPr>
                <w:rFonts w:cs="Arial"/>
                <w:sz w:val="12"/>
                <w:szCs w:val="12"/>
              </w:rPr>
              <w:t>45</w:t>
            </w:r>
          </w:p>
        </w:tc>
        <w:tc>
          <w:tcPr>
            <w:tcW w:w="594" w:type="dxa"/>
            <w:noWrap/>
            <w:hideMark/>
          </w:tcPr>
          <w:p w14:paraId="58BE7799" w14:textId="77777777" w:rsidR="00814BF2" w:rsidRPr="00855267" w:rsidRDefault="00814BF2" w:rsidP="00814BF2">
            <w:pPr>
              <w:spacing w:line="480" w:lineRule="auto"/>
              <w:rPr>
                <w:rFonts w:cs="Arial"/>
                <w:sz w:val="12"/>
                <w:szCs w:val="12"/>
              </w:rPr>
            </w:pPr>
            <w:r w:rsidRPr="00855267">
              <w:rPr>
                <w:rFonts w:cs="Arial"/>
                <w:sz w:val="12"/>
                <w:szCs w:val="12"/>
              </w:rPr>
              <w:t>42</w:t>
            </w:r>
          </w:p>
        </w:tc>
        <w:tc>
          <w:tcPr>
            <w:tcW w:w="549" w:type="dxa"/>
            <w:noWrap/>
            <w:hideMark/>
          </w:tcPr>
          <w:p w14:paraId="1DFF0DBD" w14:textId="77777777" w:rsidR="00814BF2" w:rsidRPr="00855267" w:rsidRDefault="00814BF2" w:rsidP="00814BF2">
            <w:pPr>
              <w:spacing w:line="480" w:lineRule="auto"/>
              <w:rPr>
                <w:rFonts w:cs="Arial"/>
                <w:sz w:val="12"/>
                <w:szCs w:val="12"/>
              </w:rPr>
            </w:pPr>
            <w:r w:rsidRPr="00855267">
              <w:rPr>
                <w:rFonts w:cs="Arial"/>
                <w:sz w:val="12"/>
                <w:szCs w:val="12"/>
              </w:rPr>
              <w:t>33</w:t>
            </w:r>
          </w:p>
        </w:tc>
        <w:tc>
          <w:tcPr>
            <w:tcW w:w="405" w:type="dxa"/>
            <w:noWrap/>
            <w:hideMark/>
          </w:tcPr>
          <w:p w14:paraId="5CBEC760" w14:textId="77777777" w:rsidR="00814BF2" w:rsidRPr="00855267" w:rsidRDefault="00814BF2" w:rsidP="00814BF2">
            <w:pPr>
              <w:spacing w:line="480" w:lineRule="auto"/>
              <w:rPr>
                <w:rFonts w:cs="Arial"/>
                <w:sz w:val="12"/>
                <w:szCs w:val="12"/>
              </w:rPr>
            </w:pPr>
            <w:r w:rsidRPr="00855267">
              <w:rPr>
                <w:rFonts w:cs="Arial"/>
                <w:sz w:val="12"/>
                <w:szCs w:val="12"/>
              </w:rPr>
              <w:t>33</w:t>
            </w:r>
          </w:p>
        </w:tc>
        <w:tc>
          <w:tcPr>
            <w:tcW w:w="585" w:type="dxa"/>
            <w:noWrap/>
            <w:hideMark/>
          </w:tcPr>
          <w:p w14:paraId="1DF3A52A" w14:textId="77777777" w:rsidR="00814BF2" w:rsidRPr="00855267" w:rsidRDefault="00814BF2" w:rsidP="00814BF2">
            <w:pPr>
              <w:spacing w:line="480" w:lineRule="auto"/>
              <w:rPr>
                <w:rFonts w:cs="Arial"/>
                <w:sz w:val="12"/>
                <w:szCs w:val="12"/>
              </w:rPr>
            </w:pPr>
            <w:r w:rsidRPr="00855267">
              <w:rPr>
                <w:rFonts w:cs="Arial"/>
                <w:sz w:val="12"/>
                <w:szCs w:val="12"/>
              </w:rPr>
              <w:t>NA</w:t>
            </w:r>
          </w:p>
        </w:tc>
        <w:tc>
          <w:tcPr>
            <w:tcW w:w="495" w:type="dxa"/>
            <w:noWrap/>
            <w:hideMark/>
          </w:tcPr>
          <w:p w14:paraId="2713F654" w14:textId="77777777" w:rsidR="00814BF2" w:rsidRPr="00855267" w:rsidRDefault="00814BF2" w:rsidP="00814BF2">
            <w:pPr>
              <w:spacing w:line="480" w:lineRule="auto"/>
              <w:rPr>
                <w:rFonts w:cs="Arial"/>
                <w:sz w:val="12"/>
                <w:szCs w:val="12"/>
              </w:rPr>
            </w:pPr>
            <w:r w:rsidRPr="00855267">
              <w:rPr>
                <w:rFonts w:cs="Arial"/>
                <w:sz w:val="12"/>
                <w:szCs w:val="12"/>
              </w:rPr>
              <w:t>NA</w:t>
            </w:r>
          </w:p>
        </w:tc>
      </w:tr>
      <w:tr w:rsidR="001C52C1" w:rsidRPr="001C52C1" w14:paraId="5F2CF781" w14:textId="77777777" w:rsidTr="00855267">
        <w:trPr>
          <w:trHeight w:val="360"/>
        </w:trPr>
        <w:tc>
          <w:tcPr>
            <w:tcW w:w="936" w:type="dxa"/>
            <w:hideMark/>
          </w:tcPr>
          <w:p w14:paraId="2DF1F9DD" w14:textId="77777777" w:rsidR="00814BF2" w:rsidRPr="001C52C1" w:rsidRDefault="00814BF2" w:rsidP="00814BF2">
            <w:pPr>
              <w:spacing w:line="480" w:lineRule="auto"/>
              <w:rPr>
                <w:rFonts w:cs="Arial"/>
                <w:b/>
                <w:bCs/>
                <w:sz w:val="12"/>
                <w:szCs w:val="12"/>
              </w:rPr>
            </w:pPr>
            <w:r w:rsidRPr="001C52C1">
              <w:rPr>
                <w:rFonts w:cs="Arial"/>
                <w:b/>
                <w:bCs/>
                <w:sz w:val="12"/>
                <w:szCs w:val="12"/>
              </w:rPr>
              <w:t>Sensitivity (%)</w:t>
            </w:r>
          </w:p>
        </w:tc>
        <w:tc>
          <w:tcPr>
            <w:tcW w:w="405" w:type="dxa"/>
            <w:hideMark/>
          </w:tcPr>
          <w:p w14:paraId="370B5C1E" w14:textId="77777777" w:rsidR="00814BF2" w:rsidRPr="001C52C1" w:rsidRDefault="00814BF2" w:rsidP="00814BF2">
            <w:pPr>
              <w:spacing w:line="480" w:lineRule="auto"/>
              <w:rPr>
                <w:rFonts w:cs="Arial"/>
                <w:b/>
                <w:bCs/>
                <w:sz w:val="12"/>
                <w:szCs w:val="12"/>
              </w:rPr>
            </w:pPr>
            <w:r w:rsidRPr="001C52C1">
              <w:rPr>
                <w:rFonts w:cs="Arial"/>
                <w:b/>
                <w:bCs/>
                <w:sz w:val="12"/>
                <w:szCs w:val="12"/>
              </w:rPr>
              <w:t>100</w:t>
            </w:r>
          </w:p>
        </w:tc>
        <w:tc>
          <w:tcPr>
            <w:tcW w:w="1170" w:type="dxa"/>
            <w:noWrap/>
            <w:hideMark/>
          </w:tcPr>
          <w:p w14:paraId="49D9B3A7" w14:textId="441BAB5E" w:rsidR="00814BF2" w:rsidRPr="001C52C1" w:rsidRDefault="00E87C46" w:rsidP="00814BF2">
            <w:pPr>
              <w:spacing w:line="480" w:lineRule="auto"/>
              <w:rPr>
                <w:rFonts w:cs="Arial"/>
                <w:b/>
                <w:bCs/>
                <w:sz w:val="12"/>
                <w:szCs w:val="12"/>
              </w:rPr>
            </w:pPr>
            <w:r w:rsidRPr="001C52C1">
              <w:rPr>
                <w:rFonts w:cs="Arial"/>
                <w:b/>
                <w:bCs/>
                <w:sz w:val="12"/>
                <w:szCs w:val="12"/>
              </w:rPr>
              <w:t>S</w:t>
            </w:r>
            <w:r w:rsidR="00814BF2" w:rsidRPr="001C52C1">
              <w:rPr>
                <w:rFonts w:cs="Arial"/>
                <w:b/>
                <w:bCs/>
                <w:sz w:val="12"/>
                <w:szCs w:val="12"/>
              </w:rPr>
              <w:t>pecificity (%)</w:t>
            </w:r>
          </w:p>
        </w:tc>
        <w:tc>
          <w:tcPr>
            <w:tcW w:w="414" w:type="dxa"/>
            <w:noWrap/>
            <w:hideMark/>
          </w:tcPr>
          <w:p w14:paraId="3FCDF5D2" w14:textId="77777777" w:rsidR="00814BF2" w:rsidRPr="00855267" w:rsidRDefault="00814BF2" w:rsidP="00814BF2">
            <w:pPr>
              <w:spacing w:line="480" w:lineRule="auto"/>
              <w:rPr>
                <w:rFonts w:cs="Arial"/>
                <w:sz w:val="12"/>
                <w:szCs w:val="12"/>
              </w:rPr>
            </w:pPr>
            <w:r w:rsidRPr="00855267">
              <w:rPr>
                <w:rFonts w:cs="Arial"/>
                <w:sz w:val="12"/>
                <w:szCs w:val="12"/>
              </w:rPr>
              <w:t>19</w:t>
            </w:r>
          </w:p>
        </w:tc>
        <w:tc>
          <w:tcPr>
            <w:tcW w:w="648" w:type="dxa"/>
            <w:noWrap/>
            <w:hideMark/>
          </w:tcPr>
          <w:p w14:paraId="5B5C3F32" w14:textId="77777777" w:rsidR="00814BF2" w:rsidRPr="00855267" w:rsidRDefault="00814BF2" w:rsidP="00814BF2">
            <w:pPr>
              <w:spacing w:line="480" w:lineRule="auto"/>
              <w:rPr>
                <w:rFonts w:cs="Arial"/>
                <w:sz w:val="12"/>
                <w:szCs w:val="12"/>
              </w:rPr>
            </w:pPr>
            <w:r w:rsidRPr="00855267">
              <w:rPr>
                <w:rFonts w:cs="Arial"/>
                <w:sz w:val="12"/>
                <w:szCs w:val="12"/>
              </w:rPr>
              <w:t>0</w:t>
            </w:r>
          </w:p>
        </w:tc>
        <w:tc>
          <w:tcPr>
            <w:tcW w:w="675" w:type="dxa"/>
            <w:noWrap/>
            <w:hideMark/>
          </w:tcPr>
          <w:p w14:paraId="7CF14D0F" w14:textId="77777777" w:rsidR="00814BF2" w:rsidRPr="00855267" w:rsidRDefault="00814BF2" w:rsidP="00814BF2">
            <w:pPr>
              <w:spacing w:line="480" w:lineRule="auto"/>
              <w:rPr>
                <w:rFonts w:cs="Arial"/>
                <w:sz w:val="12"/>
                <w:szCs w:val="12"/>
              </w:rPr>
            </w:pPr>
            <w:r w:rsidRPr="00855267">
              <w:rPr>
                <w:rFonts w:cs="Arial"/>
                <w:sz w:val="12"/>
                <w:szCs w:val="12"/>
              </w:rPr>
              <w:t>8</w:t>
            </w:r>
          </w:p>
        </w:tc>
        <w:tc>
          <w:tcPr>
            <w:tcW w:w="513" w:type="dxa"/>
            <w:noWrap/>
            <w:hideMark/>
          </w:tcPr>
          <w:p w14:paraId="502627DE" w14:textId="77777777" w:rsidR="00814BF2" w:rsidRPr="00855267" w:rsidRDefault="00814BF2" w:rsidP="00814BF2">
            <w:pPr>
              <w:spacing w:line="480" w:lineRule="auto"/>
              <w:rPr>
                <w:rFonts w:cs="Arial"/>
                <w:sz w:val="12"/>
                <w:szCs w:val="12"/>
              </w:rPr>
            </w:pPr>
            <w:r w:rsidRPr="00855267">
              <w:rPr>
                <w:rFonts w:cs="Arial"/>
                <w:sz w:val="12"/>
                <w:szCs w:val="12"/>
              </w:rPr>
              <w:t>5</w:t>
            </w:r>
          </w:p>
        </w:tc>
        <w:tc>
          <w:tcPr>
            <w:tcW w:w="513" w:type="dxa"/>
            <w:noWrap/>
            <w:hideMark/>
          </w:tcPr>
          <w:p w14:paraId="62D44D62" w14:textId="77777777" w:rsidR="00814BF2" w:rsidRPr="00855267" w:rsidRDefault="00814BF2" w:rsidP="00814BF2">
            <w:pPr>
              <w:spacing w:line="480" w:lineRule="auto"/>
              <w:rPr>
                <w:rFonts w:cs="Arial"/>
                <w:sz w:val="12"/>
                <w:szCs w:val="12"/>
              </w:rPr>
            </w:pPr>
            <w:r w:rsidRPr="00855267">
              <w:rPr>
                <w:rFonts w:cs="Arial"/>
                <w:sz w:val="12"/>
                <w:szCs w:val="12"/>
              </w:rPr>
              <w:t>5</w:t>
            </w:r>
          </w:p>
        </w:tc>
        <w:tc>
          <w:tcPr>
            <w:tcW w:w="486" w:type="dxa"/>
            <w:noWrap/>
            <w:hideMark/>
          </w:tcPr>
          <w:p w14:paraId="05A98B5C" w14:textId="77777777" w:rsidR="00814BF2" w:rsidRPr="00855267" w:rsidRDefault="00814BF2" w:rsidP="00814BF2">
            <w:pPr>
              <w:spacing w:line="480" w:lineRule="auto"/>
              <w:rPr>
                <w:rFonts w:cs="Arial"/>
                <w:sz w:val="12"/>
                <w:szCs w:val="12"/>
              </w:rPr>
            </w:pPr>
            <w:r w:rsidRPr="00855267">
              <w:rPr>
                <w:rFonts w:cs="Arial"/>
                <w:sz w:val="12"/>
                <w:szCs w:val="12"/>
              </w:rPr>
              <w:t>3</w:t>
            </w:r>
          </w:p>
        </w:tc>
        <w:tc>
          <w:tcPr>
            <w:tcW w:w="513" w:type="dxa"/>
            <w:noWrap/>
            <w:hideMark/>
          </w:tcPr>
          <w:p w14:paraId="54540B55" w14:textId="77777777" w:rsidR="00814BF2" w:rsidRPr="00855267" w:rsidRDefault="00814BF2" w:rsidP="00814BF2">
            <w:pPr>
              <w:spacing w:line="480" w:lineRule="auto"/>
              <w:rPr>
                <w:rFonts w:cs="Arial"/>
                <w:sz w:val="12"/>
                <w:szCs w:val="12"/>
              </w:rPr>
            </w:pPr>
            <w:r w:rsidRPr="00855267">
              <w:rPr>
                <w:rFonts w:cs="Arial"/>
                <w:sz w:val="12"/>
                <w:szCs w:val="12"/>
              </w:rPr>
              <w:t>6</w:t>
            </w:r>
          </w:p>
        </w:tc>
        <w:tc>
          <w:tcPr>
            <w:tcW w:w="450" w:type="dxa"/>
            <w:noWrap/>
            <w:hideMark/>
          </w:tcPr>
          <w:p w14:paraId="37439D96" w14:textId="77777777" w:rsidR="00814BF2" w:rsidRPr="00855267" w:rsidRDefault="00814BF2" w:rsidP="00814BF2">
            <w:pPr>
              <w:spacing w:line="480" w:lineRule="auto"/>
              <w:rPr>
                <w:rFonts w:cs="Arial"/>
                <w:sz w:val="12"/>
                <w:szCs w:val="12"/>
              </w:rPr>
            </w:pPr>
            <w:r w:rsidRPr="00855267">
              <w:rPr>
                <w:rFonts w:cs="Arial"/>
                <w:sz w:val="12"/>
                <w:szCs w:val="12"/>
              </w:rPr>
              <w:t>0</w:t>
            </w:r>
          </w:p>
        </w:tc>
        <w:tc>
          <w:tcPr>
            <w:tcW w:w="594" w:type="dxa"/>
            <w:noWrap/>
            <w:hideMark/>
          </w:tcPr>
          <w:p w14:paraId="380157F0" w14:textId="77777777" w:rsidR="00814BF2" w:rsidRPr="00855267" w:rsidRDefault="00814BF2" w:rsidP="00814BF2">
            <w:pPr>
              <w:spacing w:line="480" w:lineRule="auto"/>
              <w:rPr>
                <w:rFonts w:cs="Arial"/>
                <w:sz w:val="12"/>
                <w:szCs w:val="12"/>
              </w:rPr>
            </w:pPr>
            <w:r w:rsidRPr="00855267">
              <w:rPr>
                <w:rFonts w:cs="Arial"/>
                <w:sz w:val="12"/>
                <w:szCs w:val="12"/>
              </w:rPr>
              <w:t>1</w:t>
            </w:r>
          </w:p>
        </w:tc>
        <w:tc>
          <w:tcPr>
            <w:tcW w:w="549" w:type="dxa"/>
            <w:noWrap/>
            <w:hideMark/>
          </w:tcPr>
          <w:p w14:paraId="269760DD" w14:textId="77777777" w:rsidR="00814BF2" w:rsidRPr="00855267" w:rsidRDefault="00814BF2" w:rsidP="00814BF2">
            <w:pPr>
              <w:spacing w:line="480" w:lineRule="auto"/>
              <w:rPr>
                <w:rFonts w:cs="Arial"/>
                <w:sz w:val="12"/>
                <w:szCs w:val="12"/>
              </w:rPr>
            </w:pPr>
            <w:r w:rsidRPr="00855267">
              <w:rPr>
                <w:rFonts w:cs="Arial"/>
                <w:sz w:val="12"/>
                <w:szCs w:val="12"/>
              </w:rPr>
              <w:t>0</w:t>
            </w:r>
          </w:p>
        </w:tc>
        <w:tc>
          <w:tcPr>
            <w:tcW w:w="405" w:type="dxa"/>
            <w:noWrap/>
            <w:hideMark/>
          </w:tcPr>
          <w:p w14:paraId="186BCD7D" w14:textId="77777777" w:rsidR="00814BF2" w:rsidRPr="00855267" w:rsidRDefault="00814BF2" w:rsidP="00814BF2">
            <w:pPr>
              <w:spacing w:line="480" w:lineRule="auto"/>
              <w:rPr>
                <w:rFonts w:cs="Arial"/>
                <w:sz w:val="12"/>
                <w:szCs w:val="12"/>
              </w:rPr>
            </w:pPr>
            <w:r w:rsidRPr="00855267">
              <w:rPr>
                <w:rFonts w:cs="Arial"/>
                <w:sz w:val="12"/>
                <w:szCs w:val="12"/>
              </w:rPr>
              <w:t>0</w:t>
            </w:r>
          </w:p>
        </w:tc>
        <w:tc>
          <w:tcPr>
            <w:tcW w:w="585" w:type="dxa"/>
            <w:noWrap/>
            <w:hideMark/>
          </w:tcPr>
          <w:p w14:paraId="7AB6E7A8" w14:textId="77777777" w:rsidR="00814BF2" w:rsidRPr="00855267" w:rsidRDefault="00814BF2" w:rsidP="00814BF2">
            <w:pPr>
              <w:spacing w:line="480" w:lineRule="auto"/>
              <w:rPr>
                <w:rFonts w:cs="Arial"/>
                <w:sz w:val="12"/>
                <w:szCs w:val="12"/>
              </w:rPr>
            </w:pPr>
            <w:r w:rsidRPr="00855267">
              <w:rPr>
                <w:rFonts w:cs="Arial"/>
                <w:sz w:val="12"/>
                <w:szCs w:val="12"/>
              </w:rPr>
              <w:t>NA</w:t>
            </w:r>
          </w:p>
        </w:tc>
        <w:tc>
          <w:tcPr>
            <w:tcW w:w="495" w:type="dxa"/>
            <w:noWrap/>
            <w:hideMark/>
          </w:tcPr>
          <w:p w14:paraId="55E22186" w14:textId="77777777" w:rsidR="00814BF2" w:rsidRPr="00855267" w:rsidRDefault="00814BF2" w:rsidP="00814BF2">
            <w:pPr>
              <w:spacing w:line="480" w:lineRule="auto"/>
              <w:rPr>
                <w:rFonts w:cs="Arial"/>
                <w:sz w:val="12"/>
                <w:szCs w:val="12"/>
              </w:rPr>
            </w:pPr>
            <w:r w:rsidRPr="00855267">
              <w:rPr>
                <w:rFonts w:cs="Arial"/>
                <w:sz w:val="12"/>
                <w:szCs w:val="12"/>
              </w:rPr>
              <w:t>NA</w:t>
            </w:r>
          </w:p>
        </w:tc>
      </w:tr>
      <w:tr w:rsidR="001C52C1" w:rsidRPr="001C52C1" w14:paraId="024EE43A" w14:textId="77777777" w:rsidTr="00855267">
        <w:trPr>
          <w:trHeight w:val="360"/>
        </w:trPr>
        <w:tc>
          <w:tcPr>
            <w:tcW w:w="936" w:type="dxa"/>
            <w:hideMark/>
          </w:tcPr>
          <w:p w14:paraId="5B200A4B" w14:textId="77777777" w:rsidR="00814BF2" w:rsidRPr="001C52C1" w:rsidRDefault="00814BF2" w:rsidP="00814BF2">
            <w:pPr>
              <w:spacing w:line="480" w:lineRule="auto"/>
              <w:rPr>
                <w:rFonts w:cs="Arial"/>
                <w:b/>
                <w:bCs/>
                <w:sz w:val="12"/>
                <w:szCs w:val="12"/>
              </w:rPr>
            </w:pPr>
            <w:r w:rsidRPr="001C52C1">
              <w:rPr>
                <w:rFonts w:cs="Arial"/>
                <w:b/>
                <w:bCs/>
                <w:sz w:val="12"/>
                <w:szCs w:val="12"/>
              </w:rPr>
              <w:t> </w:t>
            </w:r>
          </w:p>
        </w:tc>
        <w:tc>
          <w:tcPr>
            <w:tcW w:w="405" w:type="dxa"/>
            <w:hideMark/>
          </w:tcPr>
          <w:p w14:paraId="7737D7CD" w14:textId="77777777" w:rsidR="00814BF2" w:rsidRPr="001C52C1" w:rsidRDefault="00814BF2" w:rsidP="00814BF2">
            <w:pPr>
              <w:spacing w:line="480" w:lineRule="auto"/>
              <w:rPr>
                <w:rFonts w:cs="Arial"/>
                <w:b/>
                <w:bCs/>
                <w:sz w:val="12"/>
                <w:szCs w:val="12"/>
              </w:rPr>
            </w:pPr>
            <w:r w:rsidRPr="001C52C1">
              <w:rPr>
                <w:rFonts w:cs="Arial"/>
                <w:b/>
                <w:bCs/>
                <w:sz w:val="12"/>
                <w:szCs w:val="12"/>
              </w:rPr>
              <w:t>90</w:t>
            </w:r>
          </w:p>
        </w:tc>
        <w:tc>
          <w:tcPr>
            <w:tcW w:w="1170" w:type="dxa"/>
            <w:noWrap/>
            <w:hideMark/>
          </w:tcPr>
          <w:p w14:paraId="345EDDA4" w14:textId="748A1E32" w:rsidR="00814BF2" w:rsidRPr="001C52C1" w:rsidRDefault="00E87C46" w:rsidP="00814BF2">
            <w:pPr>
              <w:spacing w:line="480" w:lineRule="auto"/>
              <w:rPr>
                <w:rFonts w:cs="Arial"/>
                <w:b/>
                <w:bCs/>
                <w:sz w:val="12"/>
                <w:szCs w:val="12"/>
              </w:rPr>
            </w:pPr>
            <w:r w:rsidRPr="001C52C1">
              <w:rPr>
                <w:rFonts w:cs="Arial"/>
                <w:b/>
                <w:bCs/>
                <w:sz w:val="12"/>
                <w:szCs w:val="12"/>
              </w:rPr>
              <w:t>S</w:t>
            </w:r>
            <w:r w:rsidR="00814BF2" w:rsidRPr="001C52C1">
              <w:rPr>
                <w:rFonts w:cs="Arial"/>
                <w:b/>
                <w:bCs/>
                <w:sz w:val="12"/>
                <w:szCs w:val="12"/>
              </w:rPr>
              <w:t>pecificity (%)</w:t>
            </w:r>
          </w:p>
        </w:tc>
        <w:tc>
          <w:tcPr>
            <w:tcW w:w="414" w:type="dxa"/>
            <w:noWrap/>
            <w:hideMark/>
          </w:tcPr>
          <w:p w14:paraId="3669B452" w14:textId="77777777" w:rsidR="00814BF2" w:rsidRPr="00855267" w:rsidRDefault="00814BF2" w:rsidP="00814BF2">
            <w:pPr>
              <w:spacing w:line="480" w:lineRule="auto"/>
              <w:rPr>
                <w:rFonts w:cs="Arial"/>
                <w:sz w:val="12"/>
                <w:szCs w:val="12"/>
              </w:rPr>
            </w:pPr>
            <w:r w:rsidRPr="00855267">
              <w:rPr>
                <w:rFonts w:cs="Arial"/>
                <w:sz w:val="12"/>
                <w:szCs w:val="12"/>
              </w:rPr>
              <w:t>33</w:t>
            </w:r>
          </w:p>
        </w:tc>
        <w:tc>
          <w:tcPr>
            <w:tcW w:w="648" w:type="dxa"/>
            <w:noWrap/>
            <w:hideMark/>
          </w:tcPr>
          <w:p w14:paraId="10377C2B" w14:textId="77777777" w:rsidR="00814BF2" w:rsidRPr="00855267" w:rsidRDefault="00814BF2" w:rsidP="00814BF2">
            <w:pPr>
              <w:spacing w:line="480" w:lineRule="auto"/>
              <w:rPr>
                <w:rFonts w:cs="Arial"/>
                <w:sz w:val="12"/>
                <w:szCs w:val="12"/>
              </w:rPr>
            </w:pPr>
            <w:r w:rsidRPr="00855267">
              <w:rPr>
                <w:rFonts w:cs="Arial"/>
                <w:sz w:val="12"/>
                <w:szCs w:val="12"/>
              </w:rPr>
              <w:t>17</w:t>
            </w:r>
          </w:p>
        </w:tc>
        <w:tc>
          <w:tcPr>
            <w:tcW w:w="675" w:type="dxa"/>
            <w:noWrap/>
            <w:hideMark/>
          </w:tcPr>
          <w:p w14:paraId="3BA330F3" w14:textId="77777777" w:rsidR="00814BF2" w:rsidRPr="00855267" w:rsidRDefault="00814BF2" w:rsidP="00814BF2">
            <w:pPr>
              <w:spacing w:line="480" w:lineRule="auto"/>
              <w:rPr>
                <w:rFonts w:cs="Arial"/>
                <w:sz w:val="12"/>
                <w:szCs w:val="12"/>
              </w:rPr>
            </w:pPr>
            <w:r w:rsidRPr="00855267">
              <w:rPr>
                <w:rFonts w:cs="Arial"/>
                <w:sz w:val="12"/>
                <w:szCs w:val="12"/>
              </w:rPr>
              <w:t>35</w:t>
            </w:r>
          </w:p>
        </w:tc>
        <w:tc>
          <w:tcPr>
            <w:tcW w:w="513" w:type="dxa"/>
            <w:noWrap/>
            <w:hideMark/>
          </w:tcPr>
          <w:p w14:paraId="7E999E02" w14:textId="77777777" w:rsidR="00814BF2" w:rsidRPr="00855267" w:rsidRDefault="00814BF2" w:rsidP="00814BF2">
            <w:pPr>
              <w:spacing w:line="480" w:lineRule="auto"/>
              <w:rPr>
                <w:rFonts w:cs="Arial"/>
                <w:sz w:val="12"/>
                <w:szCs w:val="12"/>
              </w:rPr>
            </w:pPr>
            <w:r w:rsidRPr="00855267">
              <w:rPr>
                <w:rFonts w:cs="Arial"/>
                <w:sz w:val="12"/>
                <w:szCs w:val="12"/>
              </w:rPr>
              <w:t>11</w:t>
            </w:r>
          </w:p>
        </w:tc>
        <w:tc>
          <w:tcPr>
            <w:tcW w:w="513" w:type="dxa"/>
            <w:noWrap/>
            <w:hideMark/>
          </w:tcPr>
          <w:p w14:paraId="664FBAB8" w14:textId="77777777" w:rsidR="00814BF2" w:rsidRPr="00855267" w:rsidRDefault="00814BF2" w:rsidP="00814BF2">
            <w:pPr>
              <w:spacing w:line="480" w:lineRule="auto"/>
              <w:rPr>
                <w:rFonts w:cs="Arial"/>
                <w:sz w:val="12"/>
                <w:szCs w:val="12"/>
              </w:rPr>
            </w:pPr>
            <w:r w:rsidRPr="00855267">
              <w:rPr>
                <w:rFonts w:cs="Arial"/>
                <w:sz w:val="12"/>
                <w:szCs w:val="12"/>
              </w:rPr>
              <w:t>28</w:t>
            </w:r>
          </w:p>
        </w:tc>
        <w:tc>
          <w:tcPr>
            <w:tcW w:w="486" w:type="dxa"/>
            <w:noWrap/>
            <w:hideMark/>
          </w:tcPr>
          <w:p w14:paraId="1BBB18C3" w14:textId="77777777" w:rsidR="00814BF2" w:rsidRPr="00855267" w:rsidRDefault="00814BF2" w:rsidP="00814BF2">
            <w:pPr>
              <w:spacing w:line="480" w:lineRule="auto"/>
              <w:rPr>
                <w:rFonts w:cs="Arial"/>
                <w:sz w:val="12"/>
                <w:szCs w:val="12"/>
              </w:rPr>
            </w:pPr>
            <w:r w:rsidRPr="00855267">
              <w:rPr>
                <w:rFonts w:cs="Arial"/>
                <w:sz w:val="12"/>
                <w:szCs w:val="12"/>
              </w:rPr>
              <w:t>9</w:t>
            </w:r>
          </w:p>
        </w:tc>
        <w:tc>
          <w:tcPr>
            <w:tcW w:w="513" w:type="dxa"/>
            <w:noWrap/>
            <w:hideMark/>
          </w:tcPr>
          <w:p w14:paraId="73B1A43D" w14:textId="77777777" w:rsidR="00814BF2" w:rsidRPr="00855267" w:rsidRDefault="00814BF2" w:rsidP="00814BF2">
            <w:pPr>
              <w:spacing w:line="480" w:lineRule="auto"/>
              <w:rPr>
                <w:rFonts w:cs="Arial"/>
                <w:sz w:val="12"/>
                <w:szCs w:val="12"/>
              </w:rPr>
            </w:pPr>
            <w:r w:rsidRPr="00855267">
              <w:rPr>
                <w:rFonts w:cs="Arial"/>
                <w:sz w:val="12"/>
                <w:szCs w:val="12"/>
              </w:rPr>
              <w:t>16</w:t>
            </w:r>
          </w:p>
        </w:tc>
        <w:tc>
          <w:tcPr>
            <w:tcW w:w="450" w:type="dxa"/>
            <w:noWrap/>
            <w:hideMark/>
          </w:tcPr>
          <w:p w14:paraId="00F6A93B" w14:textId="77777777" w:rsidR="00814BF2" w:rsidRPr="00855267" w:rsidRDefault="00814BF2" w:rsidP="00814BF2">
            <w:pPr>
              <w:spacing w:line="480" w:lineRule="auto"/>
              <w:rPr>
                <w:rFonts w:cs="Arial"/>
                <w:sz w:val="12"/>
                <w:szCs w:val="12"/>
              </w:rPr>
            </w:pPr>
            <w:r w:rsidRPr="00855267">
              <w:rPr>
                <w:rFonts w:cs="Arial"/>
                <w:sz w:val="12"/>
                <w:szCs w:val="12"/>
              </w:rPr>
              <w:t>8</w:t>
            </w:r>
          </w:p>
        </w:tc>
        <w:tc>
          <w:tcPr>
            <w:tcW w:w="594" w:type="dxa"/>
            <w:noWrap/>
            <w:hideMark/>
          </w:tcPr>
          <w:p w14:paraId="11C6F3A9" w14:textId="77777777" w:rsidR="00814BF2" w:rsidRPr="00855267" w:rsidRDefault="00814BF2" w:rsidP="00814BF2">
            <w:pPr>
              <w:spacing w:line="480" w:lineRule="auto"/>
              <w:rPr>
                <w:rFonts w:cs="Arial"/>
                <w:sz w:val="12"/>
                <w:szCs w:val="12"/>
              </w:rPr>
            </w:pPr>
            <w:r w:rsidRPr="00855267">
              <w:rPr>
                <w:rFonts w:cs="Arial"/>
                <w:sz w:val="12"/>
                <w:szCs w:val="12"/>
              </w:rPr>
              <w:t>15</w:t>
            </w:r>
          </w:p>
        </w:tc>
        <w:tc>
          <w:tcPr>
            <w:tcW w:w="549" w:type="dxa"/>
            <w:noWrap/>
            <w:hideMark/>
          </w:tcPr>
          <w:p w14:paraId="187E48DB" w14:textId="77777777" w:rsidR="00814BF2" w:rsidRPr="00855267" w:rsidRDefault="00814BF2" w:rsidP="00814BF2">
            <w:pPr>
              <w:spacing w:line="480" w:lineRule="auto"/>
              <w:rPr>
                <w:rFonts w:cs="Arial"/>
                <w:sz w:val="12"/>
                <w:szCs w:val="12"/>
              </w:rPr>
            </w:pPr>
            <w:r w:rsidRPr="00855267">
              <w:rPr>
                <w:rFonts w:cs="Arial"/>
                <w:sz w:val="12"/>
                <w:szCs w:val="12"/>
              </w:rPr>
              <w:t>14</w:t>
            </w:r>
          </w:p>
        </w:tc>
        <w:tc>
          <w:tcPr>
            <w:tcW w:w="405" w:type="dxa"/>
            <w:noWrap/>
            <w:hideMark/>
          </w:tcPr>
          <w:p w14:paraId="3FBDA9DA" w14:textId="77777777" w:rsidR="00814BF2" w:rsidRPr="00855267" w:rsidRDefault="00814BF2" w:rsidP="00814BF2">
            <w:pPr>
              <w:spacing w:line="480" w:lineRule="auto"/>
              <w:rPr>
                <w:rFonts w:cs="Arial"/>
                <w:sz w:val="12"/>
                <w:szCs w:val="12"/>
              </w:rPr>
            </w:pPr>
            <w:r w:rsidRPr="00855267">
              <w:rPr>
                <w:rFonts w:cs="Arial"/>
                <w:sz w:val="12"/>
                <w:szCs w:val="12"/>
              </w:rPr>
              <w:t>1</w:t>
            </w:r>
          </w:p>
        </w:tc>
        <w:tc>
          <w:tcPr>
            <w:tcW w:w="585" w:type="dxa"/>
            <w:noWrap/>
            <w:hideMark/>
          </w:tcPr>
          <w:p w14:paraId="6A29D96F" w14:textId="77777777" w:rsidR="00814BF2" w:rsidRPr="00855267" w:rsidRDefault="00814BF2" w:rsidP="00814BF2">
            <w:pPr>
              <w:spacing w:line="480" w:lineRule="auto"/>
              <w:rPr>
                <w:rFonts w:cs="Arial"/>
                <w:sz w:val="12"/>
                <w:szCs w:val="12"/>
              </w:rPr>
            </w:pPr>
            <w:r w:rsidRPr="00855267">
              <w:rPr>
                <w:rFonts w:cs="Arial"/>
                <w:sz w:val="12"/>
                <w:szCs w:val="12"/>
              </w:rPr>
              <w:t>NA</w:t>
            </w:r>
          </w:p>
        </w:tc>
        <w:tc>
          <w:tcPr>
            <w:tcW w:w="495" w:type="dxa"/>
            <w:noWrap/>
            <w:hideMark/>
          </w:tcPr>
          <w:p w14:paraId="6287798C" w14:textId="77777777" w:rsidR="00814BF2" w:rsidRPr="00855267" w:rsidRDefault="00814BF2" w:rsidP="00814BF2">
            <w:pPr>
              <w:spacing w:line="480" w:lineRule="auto"/>
              <w:rPr>
                <w:rFonts w:cs="Arial"/>
                <w:sz w:val="12"/>
                <w:szCs w:val="12"/>
              </w:rPr>
            </w:pPr>
            <w:r w:rsidRPr="00855267">
              <w:rPr>
                <w:rFonts w:cs="Arial"/>
                <w:sz w:val="12"/>
                <w:szCs w:val="12"/>
              </w:rPr>
              <w:t>NA</w:t>
            </w:r>
          </w:p>
        </w:tc>
      </w:tr>
      <w:tr w:rsidR="001C52C1" w:rsidRPr="001C52C1" w14:paraId="1718E1B9" w14:textId="77777777" w:rsidTr="00855267">
        <w:trPr>
          <w:trHeight w:val="360"/>
        </w:trPr>
        <w:tc>
          <w:tcPr>
            <w:tcW w:w="936" w:type="dxa"/>
            <w:hideMark/>
          </w:tcPr>
          <w:p w14:paraId="27963BEB" w14:textId="77777777" w:rsidR="00814BF2" w:rsidRPr="001C52C1" w:rsidRDefault="00814BF2" w:rsidP="00814BF2">
            <w:pPr>
              <w:spacing w:line="480" w:lineRule="auto"/>
              <w:rPr>
                <w:rFonts w:cs="Arial"/>
                <w:b/>
                <w:bCs/>
                <w:sz w:val="12"/>
                <w:szCs w:val="12"/>
              </w:rPr>
            </w:pPr>
            <w:r w:rsidRPr="001C52C1">
              <w:rPr>
                <w:rFonts w:cs="Arial"/>
                <w:b/>
                <w:bCs/>
                <w:sz w:val="12"/>
                <w:szCs w:val="12"/>
              </w:rPr>
              <w:t> </w:t>
            </w:r>
          </w:p>
        </w:tc>
        <w:tc>
          <w:tcPr>
            <w:tcW w:w="405" w:type="dxa"/>
            <w:hideMark/>
          </w:tcPr>
          <w:p w14:paraId="49857EB7" w14:textId="77777777" w:rsidR="00814BF2" w:rsidRPr="001C52C1" w:rsidRDefault="00814BF2" w:rsidP="00814BF2">
            <w:pPr>
              <w:spacing w:line="480" w:lineRule="auto"/>
              <w:rPr>
                <w:rFonts w:cs="Arial"/>
                <w:b/>
                <w:bCs/>
                <w:sz w:val="12"/>
                <w:szCs w:val="12"/>
              </w:rPr>
            </w:pPr>
            <w:r w:rsidRPr="001C52C1">
              <w:rPr>
                <w:rFonts w:cs="Arial"/>
                <w:b/>
                <w:bCs/>
                <w:sz w:val="12"/>
                <w:szCs w:val="12"/>
              </w:rPr>
              <w:t>80</w:t>
            </w:r>
          </w:p>
        </w:tc>
        <w:tc>
          <w:tcPr>
            <w:tcW w:w="1170" w:type="dxa"/>
            <w:noWrap/>
            <w:hideMark/>
          </w:tcPr>
          <w:p w14:paraId="215B02E1" w14:textId="71B55753" w:rsidR="00814BF2" w:rsidRPr="001C52C1" w:rsidRDefault="00E87C46" w:rsidP="00814BF2">
            <w:pPr>
              <w:spacing w:line="480" w:lineRule="auto"/>
              <w:rPr>
                <w:rFonts w:cs="Arial"/>
                <w:b/>
                <w:bCs/>
                <w:sz w:val="12"/>
                <w:szCs w:val="12"/>
              </w:rPr>
            </w:pPr>
            <w:r w:rsidRPr="001C52C1">
              <w:rPr>
                <w:rFonts w:cs="Arial"/>
                <w:b/>
                <w:bCs/>
                <w:sz w:val="12"/>
                <w:szCs w:val="12"/>
              </w:rPr>
              <w:t>S</w:t>
            </w:r>
            <w:r w:rsidR="00814BF2" w:rsidRPr="001C52C1">
              <w:rPr>
                <w:rFonts w:cs="Arial"/>
                <w:b/>
                <w:bCs/>
                <w:sz w:val="12"/>
                <w:szCs w:val="12"/>
              </w:rPr>
              <w:t>pecificity (%)</w:t>
            </w:r>
          </w:p>
        </w:tc>
        <w:tc>
          <w:tcPr>
            <w:tcW w:w="414" w:type="dxa"/>
            <w:noWrap/>
            <w:hideMark/>
          </w:tcPr>
          <w:p w14:paraId="3B8A47C2" w14:textId="77777777" w:rsidR="00814BF2" w:rsidRPr="00855267" w:rsidRDefault="00814BF2" w:rsidP="00814BF2">
            <w:pPr>
              <w:spacing w:line="480" w:lineRule="auto"/>
              <w:rPr>
                <w:rFonts w:cs="Arial"/>
                <w:sz w:val="12"/>
                <w:szCs w:val="12"/>
              </w:rPr>
            </w:pPr>
            <w:r w:rsidRPr="00855267">
              <w:rPr>
                <w:rFonts w:cs="Arial"/>
                <w:sz w:val="12"/>
                <w:szCs w:val="12"/>
              </w:rPr>
              <w:t>71</w:t>
            </w:r>
          </w:p>
        </w:tc>
        <w:tc>
          <w:tcPr>
            <w:tcW w:w="648" w:type="dxa"/>
            <w:noWrap/>
            <w:hideMark/>
          </w:tcPr>
          <w:p w14:paraId="42EFA509" w14:textId="77777777" w:rsidR="00814BF2" w:rsidRPr="00855267" w:rsidRDefault="00814BF2" w:rsidP="00814BF2">
            <w:pPr>
              <w:spacing w:line="480" w:lineRule="auto"/>
              <w:rPr>
                <w:rFonts w:cs="Arial"/>
                <w:sz w:val="12"/>
                <w:szCs w:val="12"/>
              </w:rPr>
            </w:pPr>
            <w:r w:rsidRPr="00855267">
              <w:rPr>
                <w:rFonts w:cs="Arial"/>
                <w:sz w:val="12"/>
                <w:szCs w:val="12"/>
              </w:rPr>
              <w:t>55</w:t>
            </w:r>
          </w:p>
        </w:tc>
        <w:tc>
          <w:tcPr>
            <w:tcW w:w="675" w:type="dxa"/>
            <w:noWrap/>
            <w:hideMark/>
          </w:tcPr>
          <w:p w14:paraId="7E9B0FA6" w14:textId="77777777" w:rsidR="00814BF2" w:rsidRPr="00855267" w:rsidRDefault="00814BF2" w:rsidP="00814BF2">
            <w:pPr>
              <w:spacing w:line="480" w:lineRule="auto"/>
              <w:rPr>
                <w:rFonts w:cs="Arial"/>
                <w:sz w:val="12"/>
                <w:szCs w:val="12"/>
              </w:rPr>
            </w:pPr>
            <w:r w:rsidRPr="00855267">
              <w:rPr>
                <w:rFonts w:cs="Arial"/>
                <w:sz w:val="12"/>
                <w:szCs w:val="12"/>
              </w:rPr>
              <w:t>61</w:t>
            </w:r>
          </w:p>
        </w:tc>
        <w:tc>
          <w:tcPr>
            <w:tcW w:w="513" w:type="dxa"/>
            <w:noWrap/>
            <w:hideMark/>
          </w:tcPr>
          <w:p w14:paraId="1DB45B27" w14:textId="77777777" w:rsidR="00814BF2" w:rsidRPr="00855267" w:rsidRDefault="00814BF2" w:rsidP="00814BF2">
            <w:pPr>
              <w:spacing w:line="480" w:lineRule="auto"/>
              <w:rPr>
                <w:rFonts w:cs="Arial"/>
                <w:sz w:val="12"/>
                <w:szCs w:val="12"/>
              </w:rPr>
            </w:pPr>
            <w:r w:rsidRPr="00855267">
              <w:rPr>
                <w:rFonts w:cs="Arial"/>
                <w:sz w:val="12"/>
                <w:szCs w:val="12"/>
              </w:rPr>
              <w:t>45</w:t>
            </w:r>
          </w:p>
        </w:tc>
        <w:tc>
          <w:tcPr>
            <w:tcW w:w="513" w:type="dxa"/>
            <w:noWrap/>
            <w:hideMark/>
          </w:tcPr>
          <w:p w14:paraId="2B19A6C9" w14:textId="77777777" w:rsidR="00814BF2" w:rsidRPr="00855267" w:rsidRDefault="00814BF2" w:rsidP="00814BF2">
            <w:pPr>
              <w:spacing w:line="480" w:lineRule="auto"/>
              <w:rPr>
                <w:rFonts w:cs="Arial"/>
                <w:sz w:val="12"/>
                <w:szCs w:val="12"/>
              </w:rPr>
            </w:pPr>
            <w:r w:rsidRPr="00855267">
              <w:rPr>
                <w:rFonts w:cs="Arial"/>
                <w:sz w:val="12"/>
                <w:szCs w:val="12"/>
              </w:rPr>
              <w:t>45</w:t>
            </w:r>
          </w:p>
        </w:tc>
        <w:tc>
          <w:tcPr>
            <w:tcW w:w="486" w:type="dxa"/>
            <w:noWrap/>
            <w:hideMark/>
          </w:tcPr>
          <w:p w14:paraId="122028AA" w14:textId="77777777" w:rsidR="00814BF2" w:rsidRPr="00855267" w:rsidRDefault="00814BF2" w:rsidP="00814BF2">
            <w:pPr>
              <w:spacing w:line="480" w:lineRule="auto"/>
              <w:rPr>
                <w:rFonts w:cs="Arial"/>
                <w:sz w:val="12"/>
                <w:szCs w:val="12"/>
              </w:rPr>
            </w:pPr>
            <w:r w:rsidRPr="00855267">
              <w:rPr>
                <w:rFonts w:cs="Arial"/>
                <w:sz w:val="12"/>
                <w:szCs w:val="12"/>
              </w:rPr>
              <w:t>27</w:t>
            </w:r>
          </w:p>
        </w:tc>
        <w:tc>
          <w:tcPr>
            <w:tcW w:w="513" w:type="dxa"/>
            <w:noWrap/>
            <w:hideMark/>
          </w:tcPr>
          <w:p w14:paraId="76C4CBB6" w14:textId="77777777" w:rsidR="00814BF2" w:rsidRPr="00855267" w:rsidRDefault="00814BF2" w:rsidP="00814BF2">
            <w:pPr>
              <w:spacing w:line="480" w:lineRule="auto"/>
              <w:rPr>
                <w:rFonts w:cs="Arial"/>
                <w:sz w:val="12"/>
                <w:szCs w:val="12"/>
              </w:rPr>
            </w:pPr>
            <w:r w:rsidRPr="00855267">
              <w:rPr>
                <w:rFonts w:cs="Arial"/>
                <w:sz w:val="12"/>
                <w:szCs w:val="12"/>
              </w:rPr>
              <w:t>27</w:t>
            </w:r>
          </w:p>
        </w:tc>
        <w:tc>
          <w:tcPr>
            <w:tcW w:w="450" w:type="dxa"/>
            <w:noWrap/>
            <w:hideMark/>
          </w:tcPr>
          <w:p w14:paraId="76C7E9AB" w14:textId="77777777" w:rsidR="00814BF2" w:rsidRPr="00855267" w:rsidRDefault="00814BF2" w:rsidP="00814BF2">
            <w:pPr>
              <w:spacing w:line="480" w:lineRule="auto"/>
              <w:rPr>
                <w:rFonts w:cs="Arial"/>
                <w:sz w:val="12"/>
                <w:szCs w:val="12"/>
              </w:rPr>
            </w:pPr>
            <w:r w:rsidRPr="00855267">
              <w:rPr>
                <w:rFonts w:cs="Arial"/>
                <w:sz w:val="12"/>
                <w:szCs w:val="12"/>
              </w:rPr>
              <w:t>21</w:t>
            </w:r>
          </w:p>
        </w:tc>
        <w:tc>
          <w:tcPr>
            <w:tcW w:w="594" w:type="dxa"/>
            <w:noWrap/>
            <w:hideMark/>
          </w:tcPr>
          <w:p w14:paraId="6E5C3C54" w14:textId="77777777" w:rsidR="00814BF2" w:rsidRPr="00855267" w:rsidRDefault="00814BF2" w:rsidP="00814BF2">
            <w:pPr>
              <w:spacing w:line="480" w:lineRule="auto"/>
              <w:rPr>
                <w:rFonts w:cs="Arial"/>
                <w:sz w:val="12"/>
                <w:szCs w:val="12"/>
              </w:rPr>
            </w:pPr>
            <w:r w:rsidRPr="00855267">
              <w:rPr>
                <w:rFonts w:cs="Arial"/>
                <w:sz w:val="12"/>
                <w:szCs w:val="12"/>
              </w:rPr>
              <w:t>30</w:t>
            </w:r>
          </w:p>
        </w:tc>
        <w:tc>
          <w:tcPr>
            <w:tcW w:w="549" w:type="dxa"/>
            <w:noWrap/>
            <w:hideMark/>
          </w:tcPr>
          <w:p w14:paraId="6383626B" w14:textId="77777777" w:rsidR="00814BF2" w:rsidRPr="00855267" w:rsidRDefault="00814BF2" w:rsidP="00814BF2">
            <w:pPr>
              <w:spacing w:line="480" w:lineRule="auto"/>
              <w:rPr>
                <w:rFonts w:cs="Arial"/>
                <w:sz w:val="12"/>
                <w:szCs w:val="12"/>
              </w:rPr>
            </w:pPr>
            <w:r w:rsidRPr="00855267">
              <w:rPr>
                <w:rFonts w:cs="Arial"/>
                <w:sz w:val="12"/>
                <w:szCs w:val="12"/>
              </w:rPr>
              <w:t>14</w:t>
            </w:r>
          </w:p>
        </w:tc>
        <w:tc>
          <w:tcPr>
            <w:tcW w:w="405" w:type="dxa"/>
            <w:noWrap/>
            <w:hideMark/>
          </w:tcPr>
          <w:p w14:paraId="42637F1C" w14:textId="77777777" w:rsidR="00814BF2" w:rsidRPr="00855267" w:rsidRDefault="00814BF2" w:rsidP="00814BF2">
            <w:pPr>
              <w:spacing w:line="480" w:lineRule="auto"/>
              <w:rPr>
                <w:rFonts w:cs="Arial"/>
                <w:sz w:val="12"/>
                <w:szCs w:val="12"/>
              </w:rPr>
            </w:pPr>
            <w:r w:rsidRPr="00855267">
              <w:rPr>
                <w:rFonts w:cs="Arial"/>
                <w:sz w:val="12"/>
                <w:szCs w:val="12"/>
              </w:rPr>
              <w:t>21</w:t>
            </w:r>
          </w:p>
        </w:tc>
        <w:tc>
          <w:tcPr>
            <w:tcW w:w="585" w:type="dxa"/>
            <w:noWrap/>
            <w:hideMark/>
          </w:tcPr>
          <w:p w14:paraId="7E101FA6" w14:textId="77777777" w:rsidR="00814BF2" w:rsidRPr="00855267" w:rsidRDefault="00814BF2" w:rsidP="00814BF2">
            <w:pPr>
              <w:spacing w:line="480" w:lineRule="auto"/>
              <w:rPr>
                <w:rFonts w:cs="Arial"/>
                <w:sz w:val="12"/>
                <w:szCs w:val="12"/>
              </w:rPr>
            </w:pPr>
            <w:r w:rsidRPr="00855267">
              <w:rPr>
                <w:rFonts w:cs="Arial"/>
                <w:sz w:val="12"/>
                <w:szCs w:val="12"/>
              </w:rPr>
              <w:t>NA</w:t>
            </w:r>
          </w:p>
        </w:tc>
        <w:tc>
          <w:tcPr>
            <w:tcW w:w="495" w:type="dxa"/>
            <w:noWrap/>
            <w:hideMark/>
          </w:tcPr>
          <w:p w14:paraId="4B9B1246" w14:textId="77777777" w:rsidR="00814BF2" w:rsidRPr="00855267" w:rsidRDefault="00814BF2" w:rsidP="00814BF2">
            <w:pPr>
              <w:spacing w:line="480" w:lineRule="auto"/>
              <w:rPr>
                <w:rFonts w:cs="Arial"/>
                <w:sz w:val="12"/>
                <w:szCs w:val="12"/>
              </w:rPr>
            </w:pPr>
            <w:r w:rsidRPr="00855267">
              <w:rPr>
                <w:rFonts w:cs="Arial"/>
                <w:sz w:val="12"/>
                <w:szCs w:val="12"/>
              </w:rPr>
              <w:t>NA</w:t>
            </w:r>
          </w:p>
        </w:tc>
      </w:tr>
      <w:tr w:rsidR="001C52C1" w:rsidRPr="001C52C1" w14:paraId="65860A37" w14:textId="77777777" w:rsidTr="00855267">
        <w:trPr>
          <w:trHeight w:val="360"/>
        </w:trPr>
        <w:tc>
          <w:tcPr>
            <w:tcW w:w="936" w:type="dxa"/>
            <w:hideMark/>
          </w:tcPr>
          <w:p w14:paraId="309824F7" w14:textId="77777777" w:rsidR="00814BF2" w:rsidRPr="001C52C1" w:rsidRDefault="00814BF2" w:rsidP="00814BF2">
            <w:pPr>
              <w:spacing w:line="480" w:lineRule="auto"/>
              <w:rPr>
                <w:rFonts w:cs="Arial"/>
                <w:b/>
                <w:bCs/>
                <w:sz w:val="12"/>
                <w:szCs w:val="12"/>
              </w:rPr>
            </w:pPr>
            <w:r w:rsidRPr="001C52C1">
              <w:rPr>
                <w:rFonts w:cs="Arial"/>
                <w:b/>
                <w:bCs/>
                <w:sz w:val="12"/>
                <w:szCs w:val="12"/>
              </w:rPr>
              <w:t> </w:t>
            </w:r>
          </w:p>
        </w:tc>
        <w:tc>
          <w:tcPr>
            <w:tcW w:w="405" w:type="dxa"/>
            <w:hideMark/>
          </w:tcPr>
          <w:p w14:paraId="57CED864" w14:textId="77777777" w:rsidR="00814BF2" w:rsidRPr="001C52C1" w:rsidRDefault="00814BF2" w:rsidP="00814BF2">
            <w:pPr>
              <w:spacing w:line="480" w:lineRule="auto"/>
              <w:rPr>
                <w:rFonts w:cs="Arial"/>
                <w:b/>
                <w:bCs/>
                <w:sz w:val="12"/>
                <w:szCs w:val="12"/>
              </w:rPr>
            </w:pPr>
            <w:r w:rsidRPr="001C52C1">
              <w:rPr>
                <w:rFonts w:cs="Arial"/>
                <w:b/>
                <w:bCs/>
                <w:sz w:val="12"/>
                <w:szCs w:val="12"/>
              </w:rPr>
              <w:t>70</w:t>
            </w:r>
          </w:p>
        </w:tc>
        <w:tc>
          <w:tcPr>
            <w:tcW w:w="1170" w:type="dxa"/>
            <w:noWrap/>
            <w:hideMark/>
          </w:tcPr>
          <w:p w14:paraId="35506B2A" w14:textId="54E41266" w:rsidR="00814BF2" w:rsidRPr="001C52C1" w:rsidRDefault="00E87C46" w:rsidP="00814BF2">
            <w:pPr>
              <w:spacing w:line="480" w:lineRule="auto"/>
              <w:rPr>
                <w:rFonts w:cs="Arial"/>
                <w:b/>
                <w:bCs/>
                <w:sz w:val="12"/>
                <w:szCs w:val="12"/>
              </w:rPr>
            </w:pPr>
            <w:r w:rsidRPr="001C52C1">
              <w:rPr>
                <w:rFonts w:cs="Arial"/>
                <w:b/>
                <w:bCs/>
                <w:sz w:val="12"/>
                <w:szCs w:val="12"/>
              </w:rPr>
              <w:t>S</w:t>
            </w:r>
            <w:r w:rsidR="00814BF2" w:rsidRPr="001C52C1">
              <w:rPr>
                <w:rFonts w:cs="Arial"/>
                <w:b/>
                <w:bCs/>
                <w:sz w:val="12"/>
                <w:szCs w:val="12"/>
              </w:rPr>
              <w:t>pecificity (%)</w:t>
            </w:r>
          </w:p>
        </w:tc>
        <w:tc>
          <w:tcPr>
            <w:tcW w:w="414" w:type="dxa"/>
            <w:noWrap/>
            <w:hideMark/>
          </w:tcPr>
          <w:p w14:paraId="692C073E" w14:textId="77777777" w:rsidR="00814BF2" w:rsidRPr="00855267" w:rsidRDefault="00814BF2" w:rsidP="00814BF2">
            <w:pPr>
              <w:spacing w:line="480" w:lineRule="auto"/>
              <w:rPr>
                <w:rFonts w:cs="Arial"/>
                <w:sz w:val="12"/>
                <w:szCs w:val="12"/>
              </w:rPr>
            </w:pPr>
            <w:r w:rsidRPr="00855267">
              <w:rPr>
                <w:rFonts w:cs="Arial"/>
                <w:sz w:val="12"/>
                <w:szCs w:val="12"/>
              </w:rPr>
              <w:t>82</w:t>
            </w:r>
          </w:p>
        </w:tc>
        <w:tc>
          <w:tcPr>
            <w:tcW w:w="648" w:type="dxa"/>
            <w:noWrap/>
            <w:hideMark/>
          </w:tcPr>
          <w:p w14:paraId="591EBF52" w14:textId="77777777" w:rsidR="00814BF2" w:rsidRPr="00855267" w:rsidRDefault="00814BF2" w:rsidP="00814BF2">
            <w:pPr>
              <w:spacing w:line="480" w:lineRule="auto"/>
              <w:rPr>
                <w:rFonts w:cs="Arial"/>
                <w:sz w:val="12"/>
                <w:szCs w:val="12"/>
              </w:rPr>
            </w:pPr>
            <w:r w:rsidRPr="00855267">
              <w:rPr>
                <w:rFonts w:cs="Arial"/>
                <w:sz w:val="12"/>
                <w:szCs w:val="12"/>
              </w:rPr>
              <w:t>73</w:t>
            </w:r>
          </w:p>
        </w:tc>
        <w:tc>
          <w:tcPr>
            <w:tcW w:w="675" w:type="dxa"/>
            <w:noWrap/>
            <w:hideMark/>
          </w:tcPr>
          <w:p w14:paraId="0B9E98EA" w14:textId="77777777" w:rsidR="00814BF2" w:rsidRPr="00855267" w:rsidRDefault="00814BF2" w:rsidP="00814BF2">
            <w:pPr>
              <w:spacing w:line="480" w:lineRule="auto"/>
              <w:rPr>
                <w:rFonts w:cs="Arial"/>
                <w:sz w:val="12"/>
                <w:szCs w:val="12"/>
              </w:rPr>
            </w:pPr>
            <w:r w:rsidRPr="00855267">
              <w:rPr>
                <w:rFonts w:cs="Arial"/>
                <w:sz w:val="12"/>
                <w:szCs w:val="12"/>
              </w:rPr>
              <w:t>64</w:t>
            </w:r>
          </w:p>
        </w:tc>
        <w:tc>
          <w:tcPr>
            <w:tcW w:w="513" w:type="dxa"/>
            <w:noWrap/>
            <w:hideMark/>
          </w:tcPr>
          <w:p w14:paraId="5E5D009A" w14:textId="77777777" w:rsidR="00814BF2" w:rsidRPr="00855267" w:rsidRDefault="00814BF2" w:rsidP="00814BF2">
            <w:pPr>
              <w:spacing w:line="480" w:lineRule="auto"/>
              <w:rPr>
                <w:rFonts w:cs="Arial"/>
                <w:sz w:val="12"/>
                <w:szCs w:val="12"/>
              </w:rPr>
            </w:pPr>
            <w:r w:rsidRPr="00855267">
              <w:rPr>
                <w:rFonts w:cs="Arial"/>
                <w:sz w:val="12"/>
                <w:szCs w:val="12"/>
              </w:rPr>
              <w:t>57</w:t>
            </w:r>
          </w:p>
        </w:tc>
        <w:tc>
          <w:tcPr>
            <w:tcW w:w="513" w:type="dxa"/>
            <w:noWrap/>
            <w:hideMark/>
          </w:tcPr>
          <w:p w14:paraId="30ED0B9B" w14:textId="77777777" w:rsidR="00814BF2" w:rsidRPr="00855267" w:rsidRDefault="00814BF2" w:rsidP="00814BF2">
            <w:pPr>
              <w:spacing w:line="480" w:lineRule="auto"/>
              <w:rPr>
                <w:rFonts w:cs="Arial"/>
                <w:sz w:val="12"/>
                <w:szCs w:val="12"/>
              </w:rPr>
            </w:pPr>
            <w:r w:rsidRPr="00855267">
              <w:rPr>
                <w:rFonts w:cs="Arial"/>
                <w:sz w:val="12"/>
                <w:szCs w:val="12"/>
              </w:rPr>
              <w:t>54</w:t>
            </w:r>
          </w:p>
        </w:tc>
        <w:tc>
          <w:tcPr>
            <w:tcW w:w="486" w:type="dxa"/>
            <w:noWrap/>
            <w:hideMark/>
          </w:tcPr>
          <w:p w14:paraId="10E31639" w14:textId="77777777" w:rsidR="00814BF2" w:rsidRPr="00855267" w:rsidRDefault="00814BF2" w:rsidP="00814BF2">
            <w:pPr>
              <w:spacing w:line="480" w:lineRule="auto"/>
              <w:rPr>
                <w:rFonts w:cs="Arial"/>
                <w:sz w:val="12"/>
                <w:szCs w:val="12"/>
              </w:rPr>
            </w:pPr>
            <w:r w:rsidRPr="00855267">
              <w:rPr>
                <w:rFonts w:cs="Arial"/>
                <w:sz w:val="12"/>
                <w:szCs w:val="12"/>
              </w:rPr>
              <w:t>31</w:t>
            </w:r>
          </w:p>
        </w:tc>
        <w:tc>
          <w:tcPr>
            <w:tcW w:w="513" w:type="dxa"/>
            <w:noWrap/>
            <w:hideMark/>
          </w:tcPr>
          <w:p w14:paraId="72D8452C" w14:textId="77777777" w:rsidR="00814BF2" w:rsidRPr="00855267" w:rsidRDefault="00814BF2" w:rsidP="00814BF2">
            <w:pPr>
              <w:spacing w:line="480" w:lineRule="auto"/>
              <w:rPr>
                <w:rFonts w:cs="Arial"/>
                <w:sz w:val="12"/>
                <w:szCs w:val="12"/>
              </w:rPr>
            </w:pPr>
            <w:r w:rsidRPr="00855267">
              <w:rPr>
                <w:rFonts w:cs="Arial"/>
                <w:sz w:val="12"/>
                <w:szCs w:val="12"/>
              </w:rPr>
              <w:t>41</w:t>
            </w:r>
          </w:p>
        </w:tc>
        <w:tc>
          <w:tcPr>
            <w:tcW w:w="450" w:type="dxa"/>
            <w:noWrap/>
            <w:hideMark/>
          </w:tcPr>
          <w:p w14:paraId="6DE29939" w14:textId="77777777" w:rsidR="00814BF2" w:rsidRPr="00855267" w:rsidRDefault="00814BF2" w:rsidP="00814BF2">
            <w:pPr>
              <w:spacing w:line="480" w:lineRule="auto"/>
              <w:rPr>
                <w:rFonts w:cs="Arial"/>
                <w:sz w:val="12"/>
                <w:szCs w:val="12"/>
              </w:rPr>
            </w:pPr>
            <w:r w:rsidRPr="00855267">
              <w:rPr>
                <w:rFonts w:cs="Arial"/>
                <w:sz w:val="12"/>
                <w:szCs w:val="12"/>
              </w:rPr>
              <w:t>33</w:t>
            </w:r>
          </w:p>
        </w:tc>
        <w:tc>
          <w:tcPr>
            <w:tcW w:w="594" w:type="dxa"/>
            <w:noWrap/>
            <w:hideMark/>
          </w:tcPr>
          <w:p w14:paraId="291D23CF" w14:textId="77777777" w:rsidR="00814BF2" w:rsidRPr="00855267" w:rsidRDefault="00814BF2" w:rsidP="00814BF2">
            <w:pPr>
              <w:spacing w:line="480" w:lineRule="auto"/>
              <w:rPr>
                <w:rFonts w:cs="Arial"/>
                <w:sz w:val="12"/>
                <w:szCs w:val="12"/>
              </w:rPr>
            </w:pPr>
            <w:r w:rsidRPr="00855267">
              <w:rPr>
                <w:rFonts w:cs="Arial"/>
                <w:sz w:val="12"/>
                <w:szCs w:val="12"/>
              </w:rPr>
              <w:t>37</w:t>
            </w:r>
          </w:p>
        </w:tc>
        <w:tc>
          <w:tcPr>
            <w:tcW w:w="549" w:type="dxa"/>
            <w:noWrap/>
            <w:hideMark/>
          </w:tcPr>
          <w:p w14:paraId="5DF378AA" w14:textId="77777777" w:rsidR="00814BF2" w:rsidRPr="00855267" w:rsidRDefault="00814BF2" w:rsidP="00814BF2">
            <w:pPr>
              <w:spacing w:line="480" w:lineRule="auto"/>
              <w:rPr>
                <w:rFonts w:cs="Arial"/>
                <w:sz w:val="12"/>
                <w:szCs w:val="12"/>
              </w:rPr>
            </w:pPr>
            <w:r w:rsidRPr="00855267">
              <w:rPr>
                <w:rFonts w:cs="Arial"/>
                <w:sz w:val="12"/>
                <w:szCs w:val="12"/>
              </w:rPr>
              <w:t>28</w:t>
            </w:r>
          </w:p>
        </w:tc>
        <w:tc>
          <w:tcPr>
            <w:tcW w:w="405" w:type="dxa"/>
            <w:noWrap/>
            <w:hideMark/>
          </w:tcPr>
          <w:p w14:paraId="60690200" w14:textId="77777777" w:rsidR="00814BF2" w:rsidRPr="00855267" w:rsidRDefault="00814BF2" w:rsidP="00814BF2">
            <w:pPr>
              <w:spacing w:line="480" w:lineRule="auto"/>
              <w:rPr>
                <w:rFonts w:cs="Arial"/>
                <w:sz w:val="12"/>
                <w:szCs w:val="12"/>
              </w:rPr>
            </w:pPr>
            <w:r w:rsidRPr="00855267">
              <w:rPr>
                <w:rFonts w:cs="Arial"/>
                <w:sz w:val="12"/>
                <w:szCs w:val="12"/>
              </w:rPr>
              <w:t>37</w:t>
            </w:r>
          </w:p>
        </w:tc>
        <w:tc>
          <w:tcPr>
            <w:tcW w:w="585" w:type="dxa"/>
            <w:noWrap/>
            <w:hideMark/>
          </w:tcPr>
          <w:p w14:paraId="377E9796" w14:textId="77777777" w:rsidR="00814BF2" w:rsidRPr="00855267" w:rsidRDefault="00814BF2" w:rsidP="00814BF2">
            <w:pPr>
              <w:spacing w:line="480" w:lineRule="auto"/>
              <w:rPr>
                <w:rFonts w:cs="Arial"/>
                <w:sz w:val="12"/>
                <w:szCs w:val="12"/>
              </w:rPr>
            </w:pPr>
            <w:r w:rsidRPr="00855267">
              <w:rPr>
                <w:rFonts w:cs="Arial"/>
                <w:sz w:val="12"/>
                <w:szCs w:val="12"/>
              </w:rPr>
              <w:t>NA</w:t>
            </w:r>
          </w:p>
        </w:tc>
        <w:tc>
          <w:tcPr>
            <w:tcW w:w="495" w:type="dxa"/>
            <w:noWrap/>
            <w:hideMark/>
          </w:tcPr>
          <w:p w14:paraId="0E8A2A50" w14:textId="77777777" w:rsidR="00814BF2" w:rsidRPr="00855267" w:rsidRDefault="00814BF2" w:rsidP="00814BF2">
            <w:pPr>
              <w:spacing w:line="480" w:lineRule="auto"/>
              <w:rPr>
                <w:rFonts w:cs="Arial"/>
                <w:sz w:val="12"/>
                <w:szCs w:val="12"/>
              </w:rPr>
            </w:pPr>
            <w:r w:rsidRPr="00855267">
              <w:rPr>
                <w:rFonts w:cs="Arial"/>
                <w:sz w:val="12"/>
                <w:szCs w:val="12"/>
              </w:rPr>
              <w:t>NA</w:t>
            </w:r>
          </w:p>
        </w:tc>
      </w:tr>
    </w:tbl>
    <w:p w14:paraId="6242C0F0" w14:textId="77777777" w:rsidR="00462971" w:rsidRPr="007B1EFE" w:rsidRDefault="00462971" w:rsidP="00661393">
      <w:pPr>
        <w:spacing w:before="240" w:line="480" w:lineRule="auto"/>
        <w:jc w:val="both"/>
        <w:rPr>
          <w:rFonts w:cs="Arial"/>
          <w:i/>
          <w:lang w:val="en-GB"/>
        </w:rPr>
      </w:pPr>
      <w:r w:rsidRPr="007B1EFE">
        <w:rPr>
          <w:rFonts w:cs="Arial"/>
          <w:i/>
          <w:lang w:val="en-GB"/>
        </w:rPr>
        <w:t>For each antigen, Youden’s index, sensitivity and specificity are shown using a cut-off that results in the maximum accuracy (maximum Youden’s index). The sensitivity obtained by setting a cut-off corresponding to a specificity of 100%, 90%, 80% and 70%, as well as the specificity obtained by setting a cut-off corresponding to a sensitivity of 100%, 90%, 80% and 70% are also indicated. NA: values that could not be computed by the software.</w:t>
      </w:r>
    </w:p>
    <w:p w14:paraId="35F092AD" w14:textId="77777777" w:rsidR="007F7754" w:rsidRDefault="007F7754" w:rsidP="0095777F">
      <w:pPr>
        <w:spacing w:line="480" w:lineRule="auto"/>
        <w:jc w:val="both"/>
      </w:pPr>
    </w:p>
    <w:p w14:paraId="6937C85E" w14:textId="7B45DE2E" w:rsidR="00A66363" w:rsidRDefault="00A66363" w:rsidP="0095777F">
      <w:pPr>
        <w:spacing w:line="480" w:lineRule="auto"/>
        <w:jc w:val="both"/>
      </w:pPr>
      <w:r>
        <w:t>While the performance of some antigens</w:t>
      </w:r>
      <w:r w:rsidR="00244C77">
        <w:t xml:space="preserve"> in detecting </w:t>
      </w:r>
      <w:r w:rsidR="00244C77" w:rsidRPr="002C1786">
        <w:rPr>
          <w:i/>
        </w:rPr>
        <w:t>T.</w:t>
      </w:r>
      <w:r w:rsidR="00244C77">
        <w:rPr>
          <w:i/>
        </w:rPr>
        <w:t xml:space="preserve"> </w:t>
      </w:r>
      <w:r w:rsidR="00244C77" w:rsidRPr="002C1786">
        <w:rPr>
          <w:i/>
        </w:rPr>
        <w:t>b. gambiense</w:t>
      </w:r>
      <w:r w:rsidR="00244C77">
        <w:t xml:space="preserve"> HAT </w:t>
      </w:r>
      <w:r>
        <w:t>was very promising, combining two antigens in one test could theor</w:t>
      </w:r>
      <w:r w:rsidR="00244C77">
        <w:t>etically</w:t>
      </w:r>
      <w:r>
        <w:t xml:space="preserve"> result in </w:t>
      </w:r>
      <w:r w:rsidR="00E87C46">
        <w:t xml:space="preserve">a diagnostic sensitivity that is </w:t>
      </w:r>
      <w:r>
        <w:t xml:space="preserve">even higher. </w:t>
      </w:r>
      <w:r w:rsidR="00244C77">
        <w:t>T</w:t>
      </w:r>
      <w:r>
        <w:t xml:space="preserve">he results obtained in the third round </w:t>
      </w:r>
      <w:r w:rsidR="00244C77">
        <w:t>of screening of</w:t>
      </w:r>
      <w:r>
        <w:t xml:space="preserve"> 13 antigens</w:t>
      </w:r>
      <w:r w:rsidR="00244C77">
        <w:t xml:space="preserve"> were used to compute 78 possible antigen pairs</w:t>
      </w:r>
      <w:r w:rsidR="00AD1315">
        <w:t xml:space="preserve"> that could be used to develop </w:t>
      </w:r>
      <w:r>
        <w:t>hypothetical tests</w:t>
      </w:r>
      <w:r w:rsidR="00E87D61">
        <w:t xml:space="preserve">. </w:t>
      </w:r>
      <w:r w:rsidR="00AD1315">
        <w:t xml:space="preserve">A combination of </w:t>
      </w:r>
      <w:r w:rsidR="005D18A8">
        <w:t xml:space="preserve">VSG </w:t>
      </w:r>
      <w:r w:rsidR="00AD1315">
        <w:t xml:space="preserve">LiTat </w:t>
      </w:r>
      <w:r w:rsidR="005D18A8">
        <w:t>1.3</w:t>
      </w:r>
      <w:r w:rsidR="00AD1315">
        <w:t>, which detected</w:t>
      </w:r>
      <w:r w:rsidR="005D18A8">
        <w:t xml:space="preserve"> </w:t>
      </w:r>
      <w:r w:rsidR="00AD1315">
        <w:t xml:space="preserve">91% of the </w:t>
      </w:r>
      <w:r w:rsidR="005D18A8" w:rsidRPr="005D18A8">
        <w:rPr>
          <w:i/>
        </w:rPr>
        <w:t>T.</w:t>
      </w:r>
      <w:r w:rsidR="005C2D44">
        <w:rPr>
          <w:i/>
        </w:rPr>
        <w:t xml:space="preserve"> </w:t>
      </w:r>
      <w:r w:rsidR="005D18A8" w:rsidRPr="005D18A8">
        <w:rPr>
          <w:i/>
        </w:rPr>
        <w:t>b. gambiense</w:t>
      </w:r>
      <w:r w:rsidR="005D18A8">
        <w:t xml:space="preserve"> </w:t>
      </w:r>
      <w:r w:rsidR="00AD1315">
        <w:t xml:space="preserve">sera </w:t>
      </w:r>
      <w:r w:rsidR="005D18A8">
        <w:t>(</w:t>
      </w:r>
      <w:r w:rsidR="00D009D1">
        <w:t>Fig 3A</w:t>
      </w:r>
      <w:r w:rsidR="005D18A8">
        <w:t>)</w:t>
      </w:r>
      <w:r w:rsidR="00AD1315">
        <w:t xml:space="preserve"> and </w:t>
      </w:r>
      <w:r w:rsidR="005D18A8">
        <w:t>ISG75 resulted in the highest reactivity (97%)</w:t>
      </w:r>
      <w:r w:rsidR="00E87D61">
        <w:t xml:space="preserve"> using slot blot </w:t>
      </w:r>
      <w:r w:rsidR="00D009D1">
        <w:t>(</w:t>
      </w:r>
      <w:r w:rsidR="00B27A3F">
        <w:t xml:space="preserve">Table 4 and </w:t>
      </w:r>
      <w:r w:rsidR="00ED4EAF">
        <w:t xml:space="preserve">S1 </w:t>
      </w:r>
      <w:r w:rsidR="00202723">
        <w:t>Table</w:t>
      </w:r>
      <w:r w:rsidR="00D009D1">
        <w:t>)</w:t>
      </w:r>
      <w:r w:rsidR="005D18A8">
        <w:t xml:space="preserve">. This was followed by VSG </w:t>
      </w:r>
      <w:r w:rsidR="00AD1315">
        <w:t xml:space="preserve">LiTat </w:t>
      </w:r>
      <w:r w:rsidR="005D18A8">
        <w:t xml:space="preserve">1.3 combined with ISG64 (95%) and by VSG </w:t>
      </w:r>
      <w:r w:rsidR="00AD1315">
        <w:t xml:space="preserve">LiTat </w:t>
      </w:r>
      <w:r w:rsidR="005D18A8">
        <w:t xml:space="preserve">1.3 combined with either GM6 or VSG </w:t>
      </w:r>
      <w:r w:rsidR="00AD1315">
        <w:t xml:space="preserve">LiTat </w:t>
      </w:r>
      <w:r w:rsidR="005D18A8">
        <w:t>1.5 (93%)</w:t>
      </w:r>
      <w:r w:rsidR="00E87D61">
        <w:t xml:space="preserve">. Using ELISA </w:t>
      </w:r>
      <w:r w:rsidR="00A94A28">
        <w:t>(</w:t>
      </w:r>
      <w:r w:rsidR="000F26A0">
        <w:t xml:space="preserve">S2 </w:t>
      </w:r>
      <w:r w:rsidR="00202723">
        <w:t>Table</w:t>
      </w:r>
      <w:r w:rsidR="00D009D1">
        <w:t>)</w:t>
      </w:r>
      <w:r w:rsidR="00E87D61">
        <w:t xml:space="preserve">, the best antigen pair to detect </w:t>
      </w:r>
      <w:r w:rsidR="00E87D61" w:rsidRPr="00E87D61">
        <w:rPr>
          <w:i/>
        </w:rPr>
        <w:t>T.</w:t>
      </w:r>
      <w:r w:rsidR="005C2D44">
        <w:rPr>
          <w:i/>
        </w:rPr>
        <w:t xml:space="preserve"> </w:t>
      </w:r>
      <w:r w:rsidR="00E87D61" w:rsidRPr="00E87D61">
        <w:rPr>
          <w:i/>
        </w:rPr>
        <w:t>b. gambiense</w:t>
      </w:r>
      <w:r w:rsidR="00E87D61">
        <w:t xml:space="preserve"> </w:t>
      </w:r>
      <w:r w:rsidR="00AD1315">
        <w:t xml:space="preserve">sera </w:t>
      </w:r>
      <w:r w:rsidR="00E87D61">
        <w:t xml:space="preserve">was </w:t>
      </w:r>
      <w:r w:rsidR="00D009D1" w:rsidRPr="00D009D1">
        <w:t xml:space="preserve">VSG </w:t>
      </w:r>
      <w:r w:rsidR="00AD1315">
        <w:t xml:space="preserve">LiTat </w:t>
      </w:r>
      <w:r w:rsidR="00D009D1" w:rsidRPr="00D009D1">
        <w:t xml:space="preserve">1.5 </w:t>
      </w:r>
      <w:r w:rsidR="00D009D1">
        <w:t>and</w:t>
      </w:r>
      <w:r w:rsidR="00D009D1" w:rsidRPr="00D009D1">
        <w:t xml:space="preserve"> VSG </w:t>
      </w:r>
      <w:r w:rsidR="00AD1315">
        <w:t xml:space="preserve">LiTat </w:t>
      </w:r>
      <w:r w:rsidR="00D009D1" w:rsidRPr="00D009D1">
        <w:t>1.3</w:t>
      </w:r>
      <w:r w:rsidR="00D009D1">
        <w:t xml:space="preserve"> (95%), followed by </w:t>
      </w:r>
      <w:r w:rsidR="00D009D1" w:rsidRPr="00D009D1">
        <w:t xml:space="preserve">VSG </w:t>
      </w:r>
      <w:r w:rsidR="00AD1315">
        <w:t xml:space="preserve">LiTat </w:t>
      </w:r>
      <w:r w:rsidR="00D009D1" w:rsidRPr="00D009D1">
        <w:t>1.5</w:t>
      </w:r>
      <w:r w:rsidR="00D009D1">
        <w:t xml:space="preserve"> and </w:t>
      </w:r>
      <w:r w:rsidR="00D009D1" w:rsidRPr="00D009D1">
        <w:t>16-6</w:t>
      </w:r>
      <w:r w:rsidR="00D009D1">
        <w:t xml:space="preserve"> (94%), and by </w:t>
      </w:r>
      <w:r w:rsidR="00D009D1" w:rsidRPr="00D009D1">
        <w:t xml:space="preserve">VSG </w:t>
      </w:r>
      <w:r w:rsidR="00AD1315">
        <w:t xml:space="preserve">LiTat </w:t>
      </w:r>
      <w:r w:rsidR="00D009D1" w:rsidRPr="00D009D1">
        <w:t xml:space="preserve">1.5 </w:t>
      </w:r>
      <w:r w:rsidR="00D009D1">
        <w:t xml:space="preserve">combined with either </w:t>
      </w:r>
      <w:r w:rsidR="00D009D1" w:rsidRPr="00D009D1">
        <w:t>GM6</w:t>
      </w:r>
      <w:r w:rsidR="00D009D1">
        <w:t xml:space="preserve"> or ISG64 (93%).</w:t>
      </w:r>
      <w:r w:rsidR="00D009D1" w:rsidRPr="00D009D1">
        <w:t xml:space="preserve"> </w:t>
      </w:r>
      <w:r w:rsidR="00D009D1">
        <w:t xml:space="preserve">The reactivity of these pairs </w:t>
      </w:r>
      <w:r w:rsidR="00AD1315">
        <w:t xml:space="preserve">in ELISA </w:t>
      </w:r>
      <w:r w:rsidR="00D009D1">
        <w:t>was higher tha</w:t>
      </w:r>
      <w:r w:rsidR="00AD1315">
        <w:t>n</w:t>
      </w:r>
      <w:r w:rsidR="00D009D1">
        <w:t xml:space="preserve"> using </w:t>
      </w:r>
      <w:r w:rsidR="00D009D1" w:rsidRPr="00D009D1">
        <w:t xml:space="preserve">VSG </w:t>
      </w:r>
      <w:r w:rsidR="00AD1315">
        <w:t xml:space="preserve">LiTat </w:t>
      </w:r>
      <w:r w:rsidR="00D009D1" w:rsidRPr="00D009D1">
        <w:t xml:space="preserve">1.5 </w:t>
      </w:r>
      <w:r w:rsidR="00D009D1">
        <w:t>alone (</w:t>
      </w:r>
      <w:r w:rsidR="00D009D1" w:rsidRPr="00D009D1">
        <w:t>92%</w:t>
      </w:r>
      <w:r w:rsidR="00D009D1">
        <w:t>, Fig 3B</w:t>
      </w:r>
      <w:r w:rsidR="00D009D1" w:rsidRPr="00D009D1">
        <w:t>)</w:t>
      </w:r>
      <w:r w:rsidR="00D009D1">
        <w:t>.</w:t>
      </w:r>
    </w:p>
    <w:p w14:paraId="19C42BED" w14:textId="07A959AD" w:rsidR="00D009D1" w:rsidRPr="00F225F4" w:rsidRDefault="00AD1315" w:rsidP="0095777F">
      <w:pPr>
        <w:spacing w:line="480" w:lineRule="auto"/>
        <w:jc w:val="both"/>
      </w:pPr>
      <w:r>
        <w:t>A c</w:t>
      </w:r>
      <w:r w:rsidR="00BB17B8">
        <w:t>ombin</w:t>
      </w:r>
      <w:r>
        <w:t>ation of</w:t>
      </w:r>
      <w:r w:rsidR="00BB17B8">
        <w:t xml:space="preserve"> antigens </w:t>
      </w:r>
      <w:r>
        <w:t xml:space="preserve">also </w:t>
      </w:r>
      <w:r w:rsidR="00BB17B8">
        <w:t>result</w:t>
      </w:r>
      <w:r>
        <w:t>ed</w:t>
      </w:r>
      <w:r w:rsidR="00BB17B8">
        <w:t xml:space="preserve"> in a stronger reactivity </w:t>
      </w:r>
      <w:r>
        <w:t>o</w:t>
      </w:r>
      <w:r w:rsidR="00BB17B8">
        <w:t xml:space="preserve">n </w:t>
      </w:r>
      <w:r w:rsidR="00BB17B8" w:rsidRPr="00BB17B8">
        <w:rPr>
          <w:i/>
        </w:rPr>
        <w:t>T.</w:t>
      </w:r>
      <w:r w:rsidR="005C2D44">
        <w:rPr>
          <w:i/>
        </w:rPr>
        <w:t xml:space="preserve"> </w:t>
      </w:r>
      <w:r w:rsidR="00BB17B8" w:rsidRPr="00BB17B8">
        <w:rPr>
          <w:i/>
        </w:rPr>
        <w:t>b. rhodesiense</w:t>
      </w:r>
      <w:r w:rsidR="00BB17B8">
        <w:t xml:space="preserve"> </w:t>
      </w:r>
      <w:r>
        <w:t>sera</w:t>
      </w:r>
      <w:r w:rsidR="00BB17B8">
        <w:t xml:space="preserve">. Reactivity </w:t>
      </w:r>
      <w:r w:rsidR="00E86C91">
        <w:t xml:space="preserve">increased </w:t>
      </w:r>
      <w:r w:rsidR="00BB17B8">
        <w:t xml:space="preserve">to </w:t>
      </w:r>
      <w:r w:rsidR="009C3065">
        <w:t xml:space="preserve">67% when SRA </w:t>
      </w:r>
      <w:r>
        <w:t xml:space="preserve">was combined </w:t>
      </w:r>
      <w:r w:rsidR="009C3065">
        <w:t xml:space="preserve">with either </w:t>
      </w:r>
      <w:r w:rsidR="00BB17B8">
        <w:t xml:space="preserve">VSG </w:t>
      </w:r>
      <w:r>
        <w:t xml:space="preserve">LiTat </w:t>
      </w:r>
      <w:r w:rsidR="00BB17B8">
        <w:t xml:space="preserve">1.3 </w:t>
      </w:r>
      <w:r w:rsidR="009C3065">
        <w:t xml:space="preserve">or VSG </w:t>
      </w:r>
      <w:r>
        <w:t xml:space="preserve">LiTat </w:t>
      </w:r>
      <w:r w:rsidR="009C3065">
        <w:t xml:space="preserve">1.5 </w:t>
      </w:r>
      <w:r w:rsidR="00BB17B8">
        <w:t>in slot blot (</w:t>
      </w:r>
      <w:r w:rsidR="00B27A3F">
        <w:t xml:space="preserve">Table 4 and </w:t>
      </w:r>
      <w:r w:rsidR="000F26A0">
        <w:t xml:space="preserve">S3 </w:t>
      </w:r>
      <w:r w:rsidR="00202723">
        <w:t>Table</w:t>
      </w:r>
      <w:r w:rsidR="00BB17B8">
        <w:t xml:space="preserve">), and to 61% </w:t>
      </w:r>
      <w:r w:rsidR="009C3065">
        <w:t xml:space="preserve">when </w:t>
      </w:r>
      <w:r w:rsidR="00BB17B8">
        <w:t xml:space="preserve">SRA </w:t>
      </w:r>
      <w:r>
        <w:t xml:space="preserve">was combined </w:t>
      </w:r>
      <w:r w:rsidR="009C3065">
        <w:t>with either</w:t>
      </w:r>
      <w:r w:rsidR="00BB17B8">
        <w:t xml:space="preserve"> GM6 </w:t>
      </w:r>
      <w:r w:rsidR="009C3065">
        <w:t xml:space="preserve">or VSG </w:t>
      </w:r>
      <w:r>
        <w:t xml:space="preserve">LiTat </w:t>
      </w:r>
      <w:r w:rsidR="009C3065">
        <w:t xml:space="preserve">1.3 </w:t>
      </w:r>
      <w:r w:rsidR="00A94A28">
        <w:t>in ELISA (</w:t>
      </w:r>
      <w:r w:rsidR="000F26A0">
        <w:t>S</w:t>
      </w:r>
      <w:r w:rsidR="00ED4EAF">
        <w:t>4</w:t>
      </w:r>
      <w:r w:rsidR="000F26A0">
        <w:t xml:space="preserve"> Table</w:t>
      </w:r>
      <w:r w:rsidR="00BB17B8">
        <w:t>). These were significant improvements</w:t>
      </w:r>
      <w:r w:rsidR="00E87C46">
        <w:t xml:space="preserve"> when </w:t>
      </w:r>
      <w:r w:rsidR="00BB17B8">
        <w:t>compar</w:t>
      </w:r>
      <w:r w:rsidR="00E87C46">
        <w:t xml:space="preserve">ed </w:t>
      </w:r>
      <w:r w:rsidR="00BB17B8">
        <w:t xml:space="preserve">to the reactivity of the best single antigens, which were VSG </w:t>
      </w:r>
      <w:r>
        <w:t xml:space="preserve">LiTat </w:t>
      </w:r>
      <w:r w:rsidR="00BB17B8">
        <w:t>1.5 (</w:t>
      </w:r>
      <w:r w:rsidR="00BB17B8" w:rsidRPr="00F225F4">
        <w:t xml:space="preserve">45%) and SRA (39%) </w:t>
      </w:r>
      <w:r w:rsidR="002F20D0" w:rsidRPr="00F225F4">
        <w:t>in</w:t>
      </w:r>
      <w:r w:rsidR="00BB17B8" w:rsidRPr="00F225F4">
        <w:t xml:space="preserve"> slot blot and ELISA respectively.</w:t>
      </w:r>
    </w:p>
    <w:p w14:paraId="2816DE14" w14:textId="77777777" w:rsidR="00F225F4" w:rsidRPr="00F225F4" w:rsidRDefault="00F225F4" w:rsidP="00702230">
      <w:pPr>
        <w:spacing w:line="480" w:lineRule="auto"/>
        <w:jc w:val="both"/>
        <w:rPr>
          <w:rFonts w:cs="Arial"/>
          <w:lang w:val="en-GB"/>
        </w:rPr>
      </w:pPr>
    </w:p>
    <w:p w14:paraId="6720B07E" w14:textId="06E1FE65" w:rsidR="00B27A3F" w:rsidRDefault="00B27A3F" w:rsidP="00B27A3F">
      <w:pPr>
        <w:spacing w:line="480" w:lineRule="auto"/>
        <w:jc w:val="both"/>
        <w:rPr>
          <w:rFonts w:cs="Arial"/>
          <w:b/>
          <w:lang w:val="en-GB"/>
        </w:rPr>
      </w:pPr>
      <w:r w:rsidRPr="00BA3C0B">
        <w:rPr>
          <w:rFonts w:cs="Arial"/>
          <w:b/>
          <w:lang w:val="en-GB"/>
        </w:rPr>
        <w:t xml:space="preserve">Table </w:t>
      </w:r>
      <w:r>
        <w:rPr>
          <w:rFonts w:cs="Arial"/>
          <w:b/>
          <w:lang w:val="en-GB"/>
        </w:rPr>
        <w:t>4</w:t>
      </w:r>
      <w:r w:rsidRPr="00BA3C0B">
        <w:rPr>
          <w:rFonts w:cs="Arial"/>
          <w:b/>
          <w:lang w:val="en-GB"/>
        </w:rPr>
        <w:t xml:space="preserve">. Percentage IgG reactivity of </w:t>
      </w:r>
      <w:r>
        <w:rPr>
          <w:rFonts w:cs="Arial"/>
          <w:b/>
          <w:lang w:val="en-GB"/>
        </w:rPr>
        <w:t>the five most reactive</w:t>
      </w:r>
      <w:r w:rsidRPr="00BA3C0B">
        <w:rPr>
          <w:rFonts w:cs="Arial"/>
          <w:b/>
          <w:lang w:val="en-GB"/>
        </w:rPr>
        <w:t xml:space="preserve"> antigen</w:t>
      </w:r>
      <w:r>
        <w:rPr>
          <w:rFonts w:cs="Arial"/>
          <w:b/>
          <w:lang w:val="en-GB"/>
        </w:rPr>
        <w:t xml:space="preserve"> pairs as well as the five most reactive individual antigens </w:t>
      </w:r>
      <w:r w:rsidRPr="00BA3C0B">
        <w:rPr>
          <w:rFonts w:cs="Arial"/>
          <w:b/>
          <w:lang w:val="en-GB"/>
        </w:rPr>
        <w:t xml:space="preserve">on sera from </w:t>
      </w:r>
      <w:r w:rsidRPr="00BA3C0B">
        <w:rPr>
          <w:rFonts w:cs="Arial"/>
          <w:b/>
          <w:i/>
          <w:lang w:val="en-GB"/>
        </w:rPr>
        <w:t>T. b. gambiense</w:t>
      </w:r>
      <w:r>
        <w:rPr>
          <w:rFonts w:cs="Arial"/>
          <w:b/>
          <w:lang w:val="en-GB"/>
        </w:rPr>
        <w:t xml:space="preserve"> HAT cases </w:t>
      </w:r>
      <w:r w:rsidRPr="00BA3C0B">
        <w:rPr>
          <w:rFonts w:cs="Arial"/>
          <w:b/>
          <w:lang w:val="en-GB"/>
        </w:rPr>
        <w:t>(N=150)</w:t>
      </w:r>
      <w:r>
        <w:rPr>
          <w:rFonts w:cs="Arial"/>
          <w:b/>
          <w:lang w:val="en-GB"/>
        </w:rPr>
        <w:t xml:space="preserve"> and </w:t>
      </w:r>
      <w:r w:rsidRPr="00AD7BDF">
        <w:rPr>
          <w:rFonts w:cs="Arial"/>
          <w:b/>
          <w:i/>
          <w:lang w:val="en-GB"/>
        </w:rPr>
        <w:t>T .b. rhodesiense</w:t>
      </w:r>
      <w:r>
        <w:rPr>
          <w:rFonts w:cs="Arial"/>
          <w:b/>
          <w:lang w:val="en-GB"/>
        </w:rPr>
        <w:t xml:space="preserve"> HAT cases (N=33) </w:t>
      </w:r>
      <w:r w:rsidRPr="00BA3C0B">
        <w:rPr>
          <w:rFonts w:cs="Arial"/>
          <w:b/>
          <w:lang w:val="en-GB"/>
        </w:rPr>
        <w:t>assessed by slot blot</w:t>
      </w:r>
      <w:r>
        <w:rPr>
          <w:rFonts w:cs="Arial"/>
          <w:b/>
          <w:lang w:val="en-GB"/>
        </w:rPr>
        <w:t xml:space="preserve"> (third round of screening).</w:t>
      </w:r>
    </w:p>
    <w:tbl>
      <w:tblPr>
        <w:tblStyle w:val="TableGrid"/>
        <w:tblW w:w="9175" w:type="dxa"/>
        <w:tblLayout w:type="fixed"/>
        <w:tblLook w:val="04A0" w:firstRow="1" w:lastRow="0" w:firstColumn="1" w:lastColumn="0" w:noHBand="0" w:noVBand="1"/>
      </w:tblPr>
      <w:tblGrid>
        <w:gridCol w:w="2875"/>
        <w:gridCol w:w="1710"/>
        <w:gridCol w:w="450"/>
        <w:gridCol w:w="2340"/>
        <w:gridCol w:w="1800"/>
      </w:tblGrid>
      <w:tr w:rsidR="00B27A3F" w:rsidRPr="00AF6E98" w14:paraId="6BF0863A" w14:textId="77777777" w:rsidTr="00EC7612">
        <w:tc>
          <w:tcPr>
            <w:tcW w:w="2875" w:type="dxa"/>
          </w:tcPr>
          <w:p w14:paraId="6C1FD1AC" w14:textId="77777777" w:rsidR="00B27A3F" w:rsidRPr="00AF6E98" w:rsidRDefault="00B27A3F" w:rsidP="00EC7612">
            <w:pPr>
              <w:spacing w:line="480" w:lineRule="auto"/>
              <w:rPr>
                <w:b/>
              </w:rPr>
            </w:pPr>
            <w:r w:rsidRPr="00AF6E98">
              <w:rPr>
                <w:b/>
              </w:rPr>
              <w:t>Antigen</w:t>
            </w:r>
            <w:r>
              <w:rPr>
                <w:b/>
              </w:rPr>
              <w:t xml:space="preserve"> pair/ antigen</w:t>
            </w:r>
          </w:p>
        </w:tc>
        <w:tc>
          <w:tcPr>
            <w:tcW w:w="1710" w:type="dxa"/>
          </w:tcPr>
          <w:p w14:paraId="1BBBB603" w14:textId="77777777" w:rsidR="00B27A3F" w:rsidRPr="00AF6E98" w:rsidRDefault="00B27A3F" w:rsidP="00EC7612">
            <w:pPr>
              <w:spacing w:line="480" w:lineRule="auto"/>
              <w:rPr>
                <w:b/>
              </w:rPr>
            </w:pPr>
            <w:r w:rsidRPr="00AD7BDF">
              <w:rPr>
                <w:b/>
                <w:i/>
              </w:rPr>
              <w:t xml:space="preserve">T. b. gambiense </w:t>
            </w:r>
            <w:r w:rsidRPr="00AF6E98">
              <w:rPr>
                <w:b/>
              </w:rPr>
              <w:t>reactivity (%)</w:t>
            </w:r>
          </w:p>
        </w:tc>
        <w:tc>
          <w:tcPr>
            <w:tcW w:w="450" w:type="dxa"/>
          </w:tcPr>
          <w:p w14:paraId="0B4254C1" w14:textId="77777777" w:rsidR="00B27A3F" w:rsidRPr="00AF6E98" w:rsidRDefault="00B27A3F" w:rsidP="00EC7612">
            <w:pPr>
              <w:spacing w:line="480" w:lineRule="auto"/>
              <w:rPr>
                <w:b/>
              </w:rPr>
            </w:pPr>
          </w:p>
        </w:tc>
        <w:tc>
          <w:tcPr>
            <w:tcW w:w="2340" w:type="dxa"/>
          </w:tcPr>
          <w:p w14:paraId="0ABA246B" w14:textId="77777777" w:rsidR="00B27A3F" w:rsidRPr="00AF6E98" w:rsidRDefault="00B27A3F" w:rsidP="00EC7612">
            <w:pPr>
              <w:spacing w:line="480" w:lineRule="auto"/>
              <w:rPr>
                <w:b/>
              </w:rPr>
            </w:pPr>
            <w:r w:rsidRPr="00AF6E98">
              <w:rPr>
                <w:b/>
              </w:rPr>
              <w:t>Antigen</w:t>
            </w:r>
            <w:r>
              <w:rPr>
                <w:b/>
              </w:rPr>
              <w:t xml:space="preserve"> pair/ antigen</w:t>
            </w:r>
          </w:p>
        </w:tc>
        <w:tc>
          <w:tcPr>
            <w:tcW w:w="1800" w:type="dxa"/>
          </w:tcPr>
          <w:p w14:paraId="2213C81B" w14:textId="77777777" w:rsidR="00B27A3F" w:rsidRPr="00AF6E98" w:rsidRDefault="00B27A3F" w:rsidP="00EC7612">
            <w:pPr>
              <w:spacing w:line="480" w:lineRule="auto"/>
              <w:rPr>
                <w:b/>
              </w:rPr>
            </w:pPr>
            <w:r w:rsidRPr="00AD7BDF">
              <w:rPr>
                <w:b/>
                <w:i/>
              </w:rPr>
              <w:t xml:space="preserve">T. b. </w:t>
            </w:r>
            <w:r>
              <w:rPr>
                <w:b/>
                <w:i/>
              </w:rPr>
              <w:t>rhodesiense</w:t>
            </w:r>
            <w:r w:rsidRPr="00AD7BDF">
              <w:rPr>
                <w:b/>
              </w:rPr>
              <w:t xml:space="preserve"> </w:t>
            </w:r>
            <w:r w:rsidRPr="00AF6E98">
              <w:rPr>
                <w:b/>
              </w:rPr>
              <w:t>reactivity (%)</w:t>
            </w:r>
          </w:p>
        </w:tc>
      </w:tr>
      <w:tr w:rsidR="00B27A3F" w:rsidRPr="00AF6E98" w14:paraId="52CD1977" w14:textId="77777777" w:rsidTr="00EC7612">
        <w:tc>
          <w:tcPr>
            <w:tcW w:w="2875" w:type="dxa"/>
          </w:tcPr>
          <w:p w14:paraId="055A57C9" w14:textId="77777777" w:rsidR="00B27A3F" w:rsidRPr="002C0310" w:rsidRDefault="00B27A3F" w:rsidP="00EC7612">
            <w:r w:rsidRPr="002C0310">
              <w:t>VSG LiTat 1.3 &amp; ISG75</w:t>
            </w:r>
          </w:p>
        </w:tc>
        <w:tc>
          <w:tcPr>
            <w:tcW w:w="1710" w:type="dxa"/>
          </w:tcPr>
          <w:p w14:paraId="75E65F1B" w14:textId="77777777" w:rsidR="00B27A3F" w:rsidRPr="002C0310" w:rsidRDefault="00B27A3F" w:rsidP="00EC7612">
            <w:r w:rsidRPr="002C0310">
              <w:t>97</w:t>
            </w:r>
          </w:p>
        </w:tc>
        <w:tc>
          <w:tcPr>
            <w:tcW w:w="450" w:type="dxa"/>
          </w:tcPr>
          <w:p w14:paraId="21DB8BA4" w14:textId="77777777" w:rsidR="00B27A3F" w:rsidRPr="00AF6E98" w:rsidRDefault="00B27A3F" w:rsidP="00EC7612">
            <w:pPr>
              <w:spacing w:line="480" w:lineRule="auto"/>
            </w:pPr>
          </w:p>
        </w:tc>
        <w:tc>
          <w:tcPr>
            <w:tcW w:w="2340" w:type="dxa"/>
          </w:tcPr>
          <w:p w14:paraId="7E88DDBA" w14:textId="77777777" w:rsidR="00B27A3F" w:rsidRPr="0099499D" w:rsidRDefault="00B27A3F" w:rsidP="00EC7612">
            <w:r w:rsidRPr="0099499D">
              <w:t>VSG LiTat 1.3 &amp; SRA</w:t>
            </w:r>
          </w:p>
        </w:tc>
        <w:tc>
          <w:tcPr>
            <w:tcW w:w="1800" w:type="dxa"/>
          </w:tcPr>
          <w:p w14:paraId="63AF2FE4" w14:textId="77777777" w:rsidR="00B27A3F" w:rsidRPr="0099499D" w:rsidRDefault="00B27A3F" w:rsidP="00EC7612">
            <w:r w:rsidRPr="0099499D">
              <w:t>67</w:t>
            </w:r>
          </w:p>
        </w:tc>
      </w:tr>
      <w:tr w:rsidR="00B27A3F" w:rsidRPr="00AF6E98" w14:paraId="7EDE4BA6" w14:textId="77777777" w:rsidTr="00EC7612">
        <w:tc>
          <w:tcPr>
            <w:tcW w:w="2875" w:type="dxa"/>
          </w:tcPr>
          <w:p w14:paraId="2156C9B1" w14:textId="77777777" w:rsidR="00B27A3F" w:rsidRPr="002C0310" w:rsidRDefault="00B27A3F" w:rsidP="00EC7612">
            <w:r w:rsidRPr="002C0310">
              <w:t>VSG LiTat 1.3 &amp; ISG64</w:t>
            </w:r>
          </w:p>
        </w:tc>
        <w:tc>
          <w:tcPr>
            <w:tcW w:w="1710" w:type="dxa"/>
          </w:tcPr>
          <w:p w14:paraId="19844E84" w14:textId="77777777" w:rsidR="00B27A3F" w:rsidRPr="002C0310" w:rsidRDefault="00B27A3F" w:rsidP="00EC7612">
            <w:r w:rsidRPr="002C0310">
              <w:t>95</w:t>
            </w:r>
          </w:p>
        </w:tc>
        <w:tc>
          <w:tcPr>
            <w:tcW w:w="450" w:type="dxa"/>
          </w:tcPr>
          <w:p w14:paraId="03C4CECF" w14:textId="77777777" w:rsidR="00B27A3F" w:rsidRPr="00AF6E98" w:rsidRDefault="00B27A3F" w:rsidP="00EC7612">
            <w:pPr>
              <w:spacing w:line="480" w:lineRule="auto"/>
            </w:pPr>
          </w:p>
        </w:tc>
        <w:tc>
          <w:tcPr>
            <w:tcW w:w="2340" w:type="dxa"/>
          </w:tcPr>
          <w:p w14:paraId="303E9F29" w14:textId="77777777" w:rsidR="00B27A3F" w:rsidRPr="0099499D" w:rsidRDefault="00B27A3F" w:rsidP="00EC7612">
            <w:r w:rsidRPr="0099499D">
              <w:t>VSG LiTat 1.5 &amp; SRA</w:t>
            </w:r>
          </w:p>
        </w:tc>
        <w:tc>
          <w:tcPr>
            <w:tcW w:w="1800" w:type="dxa"/>
          </w:tcPr>
          <w:p w14:paraId="6D6CB811" w14:textId="77777777" w:rsidR="00B27A3F" w:rsidRPr="0099499D" w:rsidRDefault="00B27A3F" w:rsidP="00EC7612">
            <w:r w:rsidRPr="0099499D">
              <w:t>67</w:t>
            </w:r>
          </w:p>
        </w:tc>
      </w:tr>
      <w:tr w:rsidR="00B27A3F" w:rsidRPr="00AF6E98" w14:paraId="59C60D06" w14:textId="77777777" w:rsidTr="00EC7612">
        <w:tc>
          <w:tcPr>
            <w:tcW w:w="2875" w:type="dxa"/>
          </w:tcPr>
          <w:p w14:paraId="310919AA" w14:textId="77777777" w:rsidR="00B27A3F" w:rsidRPr="002C0310" w:rsidRDefault="00B27A3F" w:rsidP="00EC7612">
            <w:r w:rsidRPr="002C0310">
              <w:t>VSG LiTat 1.3 &amp; GM6</w:t>
            </w:r>
          </w:p>
        </w:tc>
        <w:tc>
          <w:tcPr>
            <w:tcW w:w="1710" w:type="dxa"/>
          </w:tcPr>
          <w:p w14:paraId="452A5A10" w14:textId="77777777" w:rsidR="00B27A3F" w:rsidRPr="002C0310" w:rsidRDefault="00B27A3F" w:rsidP="00EC7612">
            <w:r w:rsidRPr="002C0310">
              <w:t>93</w:t>
            </w:r>
          </w:p>
        </w:tc>
        <w:tc>
          <w:tcPr>
            <w:tcW w:w="450" w:type="dxa"/>
          </w:tcPr>
          <w:p w14:paraId="04CDE059" w14:textId="77777777" w:rsidR="00B27A3F" w:rsidRPr="00AF6E98" w:rsidRDefault="00B27A3F" w:rsidP="00EC7612">
            <w:pPr>
              <w:spacing w:line="480" w:lineRule="auto"/>
            </w:pPr>
          </w:p>
        </w:tc>
        <w:tc>
          <w:tcPr>
            <w:tcW w:w="2340" w:type="dxa"/>
          </w:tcPr>
          <w:p w14:paraId="69246336" w14:textId="77777777" w:rsidR="00B27A3F" w:rsidRPr="0099499D" w:rsidRDefault="00B27A3F" w:rsidP="00EC7612">
            <w:r w:rsidRPr="0099499D">
              <w:t>VSG LiTat 1.5 &amp; ISG64</w:t>
            </w:r>
          </w:p>
        </w:tc>
        <w:tc>
          <w:tcPr>
            <w:tcW w:w="1800" w:type="dxa"/>
          </w:tcPr>
          <w:p w14:paraId="33FF0741" w14:textId="77777777" w:rsidR="00B27A3F" w:rsidRPr="0099499D" w:rsidRDefault="00B27A3F" w:rsidP="00EC7612">
            <w:r w:rsidRPr="0099499D">
              <w:t>55</w:t>
            </w:r>
          </w:p>
        </w:tc>
      </w:tr>
      <w:tr w:rsidR="00B27A3F" w:rsidRPr="00AF6E98" w14:paraId="413FF966" w14:textId="77777777" w:rsidTr="00EC7612">
        <w:tc>
          <w:tcPr>
            <w:tcW w:w="2875" w:type="dxa"/>
          </w:tcPr>
          <w:p w14:paraId="1DEE72CD" w14:textId="77777777" w:rsidR="00B27A3F" w:rsidRPr="002C0310" w:rsidRDefault="00B27A3F" w:rsidP="00EC7612">
            <w:r w:rsidRPr="002C0310">
              <w:t>VSG LiTat 1.5 &amp; VSG LiTat 1.3</w:t>
            </w:r>
          </w:p>
        </w:tc>
        <w:tc>
          <w:tcPr>
            <w:tcW w:w="1710" w:type="dxa"/>
          </w:tcPr>
          <w:p w14:paraId="5FB6F138" w14:textId="77777777" w:rsidR="00B27A3F" w:rsidRPr="002C0310" w:rsidRDefault="00B27A3F" w:rsidP="00EC7612">
            <w:r w:rsidRPr="002C0310">
              <w:t>93</w:t>
            </w:r>
          </w:p>
        </w:tc>
        <w:tc>
          <w:tcPr>
            <w:tcW w:w="450" w:type="dxa"/>
          </w:tcPr>
          <w:p w14:paraId="0850EDE1" w14:textId="77777777" w:rsidR="00B27A3F" w:rsidRPr="00AF6E98" w:rsidRDefault="00B27A3F" w:rsidP="00EC7612">
            <w:pPr>
              <w:spacing w:line="480" w:lineRule="auto"/>
            </w:pPr>
          </w:p>
        </w:tc>
        <w:tc>
          <w:tcPr>
            <w:tcW w:w="2340" w:type="dxa"/>
          </w:tcPr>
          <w:p w14:paraId="23C27FDF" w14:textId="77777777" w:rsidR="00B27A3F" w:rsidRPr="0099499D" w:rsidRDefault="00B27A3F" w:rsidP="00EC7612">
            <w:r w:rsidRPr="0099499D">
              <w:t>MARP1 &amp; VSG LiTat 1.5</w:t>
            </w:r>
          </w:p>
        </w:tc>
        <w:tc>
          <w:tcPr>
            <w:tcW w:w="1800" w:type="dxa"/>
          </w:tcPr>
          <w:p w14:paraId="77B04B26" w14:textId="77777777" w:rsidR="00B27A3F" w:rsidRPr="0099499D" w:rsidRDefault="00B27A3F" w:rsidP="00EC7612">
            <w:r w:rsidRPr="0099499D">
              <w:t>55</w:t>
            </w:r>
          </w:p>
        </w:tc>
      </w:tr>
      <w:tr w:rsidR="00B27A3F" w:rsidRPr="00AF6E98" w14:paraId="6E6785A5" w14:textId="77777777" w:rsidTr="00EC7612">
        <w:tc>
          <w:tcPr>
            <w:tcW w:w="2875" w:type="dxa"/>
          </w:tcPr>
          <w:p w14:paraId="4E4F9CFD" w14:textId="77777777" w:rsidR="00B27A3F" w:rsidRPr="002C0310" w:rsidRDefault="00B27A3F" w:rsidP="00EC7612">
            <w:r w:rsidRPr="002C0310">
              <w:t>MARP1 &amp; VSG LiTat 1.3</w:t>
            </w:r>
          </w:p>
        </w:tc>
        <w:tc>
          <w:tcPr>
            <w:tcW w:w="1710" w:type="dxa"/>
          </w:tcPr>
          <w:p w14:paraId="5F467511" w14:textId="77777777" w:rsidR="00B27A3F" w:rsidRDefault="00B27A3F" w:rsidP="00EC7612">
            <w:r w:rsidRPr="002C0310">
              <w:t>92</w:t>
            </w:r>
          </w:p>
        </w:tc>
        <w:tc>
          <w:tcPr>
            <w:tcW w:w="450" w:type="dxa"/>
          </w:tcPr>
          <w:p w14:paraId="2D06013E" w14:textId="77777777" w:rsidR="00B27A3F" w:rsidRPr="00AF6E98" w:rsidRDefault="00B27A3F" w:rsidP="00EC7612">
            <w:pPr>
              <w:spacing w:line="480" w:lineRule="auto"/>
            </w:pPr>
          </w:p>
        </w:tc>
        <w:tc>
          <w:tcPr>
            <w:tcW w:w="2340" w:type="dxa"/>
          </w:tcPr>
          <w:p w14:paraId="5A6A68DC" w14:textId="77777777" w:rsidR="00B27A3F" w:rsidRPr="0099499D" w:rsidRDefault="00B27A3F" w:rsidP="00EC7612">
            <w:r w:rsidRPr="0099499D">
              <w:t>VSG LiTat 1.3 &amp; ISG64</w:t>
            </w:r>
          </w:p>
        </w:tc>
        <w:tc>
          <w:tcPr>
            <w:tcW w:w="1800" w:type="dxa"/>
          </w:tcPr>
          <w:p w14:paraId="3F45A8BF" w14:textId="77777777" w:rsidR="00B27A3F" w:rsidRDefault="00B27A3F" w:rsidP="00EC7612">
            <w:r w:rsidRPr="0099499D">
              <w:t>52</w:t>
            </w:r>
          </w:p>
        </w:tc>
      </w:tr>
      <w:tr w:rsidR="00B27A3F" w:rsidRPr="00AF6E98" w14:paraId="4C78E764" w14:textId="77777777" w:rsidTr="00EC7612">
        <w:tc>
          <w:tcPr>
            <w:tcW w:w="2875" w:type="dxa"/>
          </w:tcPr>
          <w:p w14:paraId="147EF81D" w14:textId="77777777" w:rsidR="00B27A3F" w:rsidRPr="00744C13" w:rsidRDefault="00B27A3F" w:rsidP="00EC7612">
            <w:r w:rsidRPr="00744C13">
              <w:t>VSG LiTat 1.3</w:t>
            </w:r>
          </w:p>
        </w:tc>
        <w:tc>
          <w:tcPr>
            <w:tcW w:w="1710" w:type="dxa"/>
          </w:tcPr>
          <w:p w14:paraId="66013D09" w14:textId="77777777" w:rsidR="00B27A3F" w:rsidRPr="00744C13" w:rsidRDefault="00B27A3F" w:rsidP="00EC7612">
            <w:r w:rsidRPr="00744C13">
              <w:t>91</w:t>
            </w:r>
          </w:p>
        </w:tc>
        <w:tc>
          <w:tcPr>
            <w:tcW w:w="450" w:type="dxa"/>
          </w:tcPr>
          <w:p w14:paraId="588F6D91" w14:textId="77777777" w:rsidR="00B27A3F" w:rsidRPr="00AF6E98" w:rsidRDefault="00B27A3F" w:rsidP="00EC7612">
            <w:pPr>
              <w:spacing w:line="480" w:lineRule="auto"/>
            </w:pPr>
          </w:p>
        </w:tc>
        <w:tc>
          <w:tcPr>
            <w:tcW w:w="2340" w:type="dxa"/>
          </w:tcPr>
          <w:p w14:paraId="116B31B7" w14:textId="77777777" w:rsidR="00B27A3F" w:rsidRPr="00833EFA" w:rsidRDefault="00B27A3F" w:rsidP="00EC7612">
            <w:r w:rsidRPr="00833EFA">
              <w:t>VSG LiTat 1.5</w:t>
            </w:r>
          </w:p>
        </w:tc>
        <w:tc>
          <w:tcPr>
            <w:tcW w:w="1800" w:type="dxa"/>
          </w:tcPr>
          <w:p w14:paraId="585EEB62" w14:textId="77777777" w:rsidR="00B27A3F" w:rsidRPr="00833EFA" w:rsidRDefault="00B27A3F" w:rsidP="00EC7612">
            <w:r w:rsidRPr="00833EFA">
              <w:t>45</w:t>
            </w:r>
          </w:p>
        </w:tc>
      </w:tr>
      <w:tr w:rsidR="00B27A3F" w:rsidRPr="00AF6E98" w14:paraId="7412E8FC" w14:textId="77777777" w:rsidTr="00EC7612">
        <w:tc>
          <w:tcPr>
            <w:tcW w:w="2875" w:type="dxa"/>
          </w:tcPr>
          <w:p w14:paraId="5551CA88" w14:textId="77777777" w:rsidR="00B27A3F" w:rsidRPr="00744C13" w:rsidRDefault="00B27A3F" w:rsidP="00EC7612">
            <w:r w:rsidRPr="00744C13">
              <w:t>VSG LiTat 1.5</w:t>
            </w:r>
          </w:p>
        </w:tc>
        <w:tc>
          <w:tcPr>
            <w:tcW w:w="1710" w:type="dxa"/>
          </w:tcPr>
          <w:p w14:paraId="3DD3B021" w14:textId="77777777" w:rsidR="00B27A3F" w:rsidRPr="00744C13" w:rsidRDefault="00B27A3F" w:rsidP="00EC7612">
            <w:r w:rsidRPr="00744C13">
              <w:t>81</w:t>
            </w:r>
          </w:p>
        </w:tc>
        <w:tc>
          <w:tcPr>
            <w:tcW w:w="450" w:type="dxa"/>
          </w:tcPr>
          <w:p w14:paraId="7D18AAF7" w14:textId="77777777" w:rsidR="00B27A3F" w:rsidRPr="00AF6E98" w:rsidRDefault="00B27A3F" w:rsidP="00EC7612">
            <w:pPr>
              <w:spacing w:line="480" w:lineRule="auto"/>
            </w:pPr>
          </w:p>
        </w:tc>
        <w:tc>
          <w:tcPr>
            <w:tcW w:w="2340" w:type="dxa"/>
          </w:tcPr>
          <w:p w14:paraId="3663C2C9" w14:textId="77777777" w:rsidR="00B27A3F" w:rsidRPr="00833EFA" w:rsidRDefault="00B27A3F" w:rsidP="00EC7612">
            <w:r w:rsidRPr="00833EFA">
              <w:t>VSG LiTat 1.3</w:t>
            </w:r>
          </w:p>
        </w:tc>
        <w:tc>
          <w:tcPr>
            <w:tcW w:w="1800" w:type="dxa"/>
          </w:tcPr>
          <w:p w14:paraId="2C347901" w14:textId="77777777" w:rsidR="00B27A3F" w:rsidRPr="00833EFA" w:rsidRDefault="00B27A3F" w:rsidP="00EC7612">
            <w:r w:rsidRPr="00833EFA">
              <w:t>39</w:t>
            </w:r>
          </w:p>
        </w:tc>
      </w:tr>
      <w:tr w:rsidR="00B27A3F" w:rsidRPr="00AF6E98" w14:paraId="6555B884" w14:textId="77777777" w:rsidTr="00EC7612">
        <w:tc>
          <w:tcPr>
            <w:tcW w:w="2875" w:type="dxa"/>
          </w:tcPr>
          <w:p w14:paraId="148112A5" w14:textId="77777777" w:rsidR="00B27A3F" w:rsidRPr="00744C13" w:rsidRDefault="00B27A3F" w:rsidP="00EC7612">
            <w:r w:rsidRPr="00744C13">
              <w:t>ISG64</w:t>
            </w:r>
          </w:p>
        </w:tc>
        <w:tc>
          <w:tcPr>
            <w:tcW w:w="1710" w:type="dxa"/>
          </w:tcPr>
          <w:p w14:paraId="36B50A9A" w14:textId="77777777" w:rsidR="00B27A3F" w:rsidRPr="00744C13" w:rsidRDefault="00B27A3F" w:rsidP="00EC7612">
            <w:r w:rsidRPr="00744C13">
              <w:t>70</w:t>
            </w:r>
          </w:p>
        </w:tc>
        <w:tc>
          <w:tcPr>
            <w:tcW w:w="450" w:type="dxa"/>
          </w:tcPr>
          <w:p w14:paraId="5A64746F" w14:textId="77777777" w:rsidR="00B27A3F" w:rsidRPr="00AF6E98" w:rsidRDefault="00B27A3F" w:rsidP="00EC7612">
            <w:pPr>
              <w:spacing w:line="480" w:lineRule="auto"/>
            </w:pPr>
          </w:p>
        </w:tc>
        <w:tc>
          <w:tcPr>
            <w:tcW w:w="2340" w:type="dxa"/>
          </w:tcPr>
          <w:p w14:paraId="5AD3B2E5" w14:textId="77777777" w:rsidR="00B27A3F" w:rsidRPr="00833EFA" w:rsidRDefault="00B27A3F" w:rsidP="00EC7612">
            <w:r w:rsidRPr="00833EFA">
              <w:t>SRA</w:t>
            </w:r>
          </w:p>
        </w:tc>
        <w:tc>
          <w:tcPr>
            <w:tcW w:w="1800" w:type="dxa"/>
          </w:tcPr>
          <w:p w14:paraId="0682DC9A" w14:textId="77777777" w:rsidR="00B27A3F" w:rsidRPr="00833EFA" w:rsidRDefault="00B27A3F" w:rsidP="00EC7612">
            <w:r w:rsidRPr="00833EFA">
              <w:t>39</w:t>
            </w:r>
          </w:p>
        </w:tc>
      </w:tr>
      <w:tr w:rsidR="00B27A3F" w:rsidRPr="00AF6E98" w14:paraId="2B98584C" w14:textId="77777777" w:rsidTr="00EC7612">
        <w:tc>
          <w:tcPr>
            <w:tcW w:w="2875" w:type="dxa"/>
          </w:tcPr>
          <w:p w14:paraId="24947F1D" w14:textId="77777777" w:rsidR="00B27A3F" w:rsidRPr="00744C13" w:rsidRDefault="00B27A3F" w:rsidP="00EC7612">
            <w:r w:rsidRPr="00744C13">
              <w:t>ISG65</w:t>
            </w:r>
          </w:p>
        </w:tc>
        <w:tc>
          <w:tcPr>
            <w:tcW w:w="1710" w:type="dxa"/>
          </w:tcPr>
          <w:p w14:paraId="6FDD493C" w14:textId="77777777" w:rsidR="00B27A3F" w:rsidRPr="00744C13" w:rsidRDefault="00B27A3F" w:rsidP="00EC7612">
            <w:r w:rsidRPr="00744C13">
              <w:t>37</w:t>
            </w:r>
          </w:p>
        </w:tc>
        <w:tc>
          <w:tcPr>
            <w:tcW w:w="450" w:type="dxa"/>
          </w:tcPr>
          <w:p w14:paraId="174F6A80" w14:textId="77777777" w:rsidR="00B27A3F" w:rsidRPr="00AF6E98" w:rsidRDefault="00B27A3F" w:rsidP="00EC7612">
            <w:pPr>
              <w:spacing w:line="480" w:lineRule="auto"/>
            </w:pPr>
          </w:p>
        </w:tc>
        <w:tc>
          <w:tcPr>
            <w:tcW w:w="2340" w:type="dxa"/>
          </w:tcPr>
          <w:p w14:paraId="5CB572F6" w14:textId="77777777" w:rsidR="00B27A3F" w:rsidRPr="00833EFA" w:rsidRDefault="00B27A3F" w:rsidP="00EC7612">
            <w:r w:rsidRPr="00833EFA">
              <w:t>ISG64</w:t>
            </w:r>
          </w:p>
        </w:tc>
        <w:tc>
          <w:tcPr>
            <w:tcW w:w="1800" w:type="dxa"/>
          </w:tcPr>
          <w:p w14:paraId="380825A1" w14:textId="77777777" w:rsidR="00B27A3F" w:rsidRPr="00833EFA" w:rsidRDefault="00B27A3F" w:rsidP="00EC7612">
            <w:r w:rsidRPr="00833EFA">
              <w:t>18</w:t>
            </w:r>
          </w:p>
        </w:tc>
      </w:tr>
      <w:tr w:rsidR="00B27A3F" w:rsidRPr="00AF6E98" w14:paraId="58F71C37" w14:textId="77777777" w:rsidTr="00EC7612">
        <w:tc>
          <w:tcPr>
            <w:tcW w:w="2875" w:type="dxa"/>
          </w:tcPr>
          <w:p w14:paraId="0E80280A" w14:textId="77777777" w:rsidR="00B27A3F" w:rsidRPr="00744C13" w:rsidRDefault="00B27A3F" w:rsidP="00EC7612">
            <w:r w:rsidRPr="00744C13">
              <w:t>GM6</w:t>
            </w:r>
          </w:p>
        </w:tc>
        <w:tc>
          <w:tcPr>
            <w:tcW w:w="1710" w:type="dxa"/>
          </w:tcPr>
          <w:p w14:paraId="658CC599" w14:textId="77777777" w:rsidR="00B27A3F" w:rsidRDefault="00B27A3F" w:rsidP="00EC7612">
            <w:r w:rsidRPr="00744C13">
              <w:t>28</w:t>
            </w:r>
          </w:p>
        </w:tc>
        <w:tc>
          <w:tcPr>
            <w:tcW w:w="450" w:type="dxa"/>
          </w:tcPr>
          <w:p w14:paraId="648560BC" w14:textId="77777777" w:rsidR="00B27A3F" w:rsidRPr="00AF6E98" w:rsidRDefault="00B27A3F" w:rsidP="00EC7612">
            <w:pPr>
              <w:spacing w:line="480" w:lineRule="auto"/>
            </w:pPr>
          </w:p>
        </w:tc>
        <w:tc>
          <w:tcPr>
            <w:tcW w:w="2340" w:type="dxa"/>
          </w:tcPr>
          <w:p w14:paraId="6BDD0A8C" w14:textId="77777777" w:rsidR="00B27A3F" w:rsidRPr="00833EFA" w:rsidRDefault="00B27A3F" w:rsidP="00EC7612">
            <w:r w:rsidRPr="00833EFA">
              <w:t>16-6</w:t>
            </w:r>
          </w:p>
        </w:tc>
        <w:tc>
          <w:tcPr>
            <w:tcW w:w="1800" w:type="dxa"/>
          </w:tcPr>
          <w:p w14:paraId="19EA9F89" w14:textId="77777777" w:rsidR="00B27A3F" w:rsidRDefault="00B27A3F" w:rsidP="00EC7612">
            <w:r w:rsidRPr="00833EFA">
              <w:t>18</w:t>
            </w:r>
          </w:p>
        </w:tc>
      </w:tr>
    </w:tbl>
    <w:p w14:paraId="1B0254D5" w14:textId="77777777" w:rsidR="00B27A3F" w:rsidRDefault="00B27A3F" w:rsidP="00B27A3F">
      <w:pPr>
        <w:spacing w:before="240" w:line="480" w:lineRule="auto"/>
        <w:jc w:val="both"/>
        <w:rPr>
          <w:rFonts w:cs="Arial"/>
          <w:i/>
          <w:lang w:val="en-GB"/>
        </w:rPr>
      </w:pPr>
      <w:r w:rsidRPr="000550FD">
        <w:rPr>
          <w:rFonts w:cs="Arial"/>
          <w:i/>
          <w:lang w:val="en-GB"/>
        </w:rPr>
        <w:t>Antigen</w:t>
      </w:r>
      <w:r>
        <w:rPr>
          <w:rFonts w:cs="Arial"/>
          <w:i/>
          <w:lang w:val="en-GB"/>
        </w:rPr>
        <w:t xml:space="preserve"> pairs and individual antigens </w:t>
      </w:r>
      <w:r w:rsidRPr="000550FD">
        <w:rPr>
          <w:rFonts w:cs="Arial"/>
          <w:i/>
          <w:lang w:val="en-GB"/>
        </w:rPr>
        <w:t>are shown in descending order of reactivity.</w:t>
      </w:r>
    </w:p>
    <w:p w14:paraId="7D999477" w14:textId="776912E2" w:rsidR="00702230" w:rsidRDefault="00702230" w:rsidP="00702230">
      <w:pPr>
        <w:spacing w:line="480" w:lineRule="auto"/>
        <w:rPr>
          <w:rFonts w:cs="Arial"/>
          <w:b/>
          <w:lang w:val="en-GB"/>
        </w:rPr>
      </w:pPr>
    </w:p>
    <w:p w14:paraId="3F474753" w14:textId="77777777" w:rsidR="00EE52A6" w:rsidRPr="005C60AB" w:rsidRDefault="00EE52A6" w:rsidP="0095777F">
      <w:pPr>
        <w:spacing w:line="480" w:lineRule="auto"/>
        <w:jc w:val="both"/>
        <w:rPr>
          <w:b/>
          <w:sz w:val="36"/>
          <w:szCs w:val="36"/>
        </w:rPr>
      </w:pPr>
      <w:r w:rsidRPr="005C60AB">
        <w:rPr>
          <w:b/>
          <w:sz w:val="36"/>
          <w:szCs w:val="36"/>
        </w:rPr>
        <w:t>Discussion</w:t>
      </w:r>
    </w:p>
    <w:p w14:paraId="2C881FDC" w14:textId="56917ED0" w:rsidR="00121A3D" w:rsidRPr="00C82028" w:rsidRDefault="00437FC6" w:rsidP="0095777F">
      <w:pPr>
        <w:spacing w:line="480" w:lineRule="auto"/>
        <w:jc w:val="both"/>
      </w:pPr>
      <w:r w:rsidRPr="00C82028">
        <w:t>Th</w:t>
      </w:r>
      <w:r w:rsidR="0046118A">
        <w:t xml:space="preserve">is study </w:t>
      </w:r>
      <w:r w:rsidR="00E86C91">
        <w:t xml:space="preserve">comprised </w:t>
      </w:r>
      <w:r w:rsidRPr="00C82028">
        <w:t>the first systematic</w:t>
      </w:r>
      <w:r w:rsidR="00011CBB">
        <w:t>,</w:t>
      </w:r>
      <w:r w:rsidR="008026A9" w:rsidRPr="00C82028">
        <w:t xml:space="preserve"> independent </w:t>
      </w:r>
      <w:r w:rsidRPr="00C82028">
        <w:t xml:space="preserve">assessment of the diagnostic potential of </w:t>
      </w:r>
      <w:r w:rsidR="008026A9" w:rsidRPr="00C82028">
        <w:t xml:space="preserve">a large panel of antigens that </w:t>
      </w:r>
      <w:r w:rsidR="0046118A">
        <w:t>could</w:t>
      </w:r>
      <w:r w:rsidR="008026A9" w:rsidRPr="00C82028">
        <w:t xml:space="preserve"> </w:t>
      </w:r>
      <w:r w:rsidR="00E86C91">
        <w:t xml:space="preserve">potentially be </w:t>
      </w:r>
      <w:r w:rsidR="00CB2AEB">
        <w:t>used</w:t>
      </w:r>
      <w:r w:rsidR="00E86C91" w:rsidRPr="00C82028">
        <w:t xml:space="preserve"> </w:t>
      </w:r>
      <w:r w:rsidR="008026A9" w:rsidRPr="00C82028">
        <w:t xml:space="preserve">for development of </w:t>
      </w:r>
      <w:r w:rsidR="0046118A">
        <w:t>a rapid diagnostic test</w:t>
      </w:r>
      <w:r w:rsidR="00677970">
        <w:t xml:space="preserve"> (RDT)</w:t>
      </w:r>
      <w:r w:rsidR="0046118A">
        <w:t xml:space="preserve"> </w:t>
      </w:r>
      <w:r w:rsidR="008026A9" w:rsidRPr="00C82028">
        <w:t xml:space="preserve">for HAT. </w:t>
      </w:r>
      <w:r w:rsidR="00A0531B">
        <w:t xml:space="preserve">Since this work was completed, </w:t>
      </w:r>
      <w:r w:rsidR="00CB2AEB">
        <w:t>a number of</w:t>
      </w:r>
      <w:r w:rsidR="00A0531B">
        <w:t xml:space="preserve"> RDTs have actually been developed, </w:t>
      </w:r>
      <w:r w:rsidR="00CB2AEB">
        <w:t>and</w:t>
      </w:r>
      <w:r w:rsidR="00A0531B">
        <w:t xml:space="preserve"> are briefly discussed below. </w:t>
      </w:r>
      <w:r w:rsidR="0046118A">
        <w:t xml:space="preserve">A number of </w:t>
      </w:r>
      <w:r w:rsidR="0046118A" w:rsidRPr="00C82028">
        <w:t xml:space="preserve">very promising </w:t>
      </w:r>
      <w:r w:rsidR="008026A9" w:rsidRPr="00C82028">
        <w:t xml:space="preserve">antigens </w:t>
      </w:r>
      <w:r w:rsidR="0046118A">
        <w:t>were</w:t>
      </w:r>
      <w:r w:rsidR="008026A9" w:rsidRPr="00C82028">
        <w:t xml:space="preserve"> identified, both for </w:t>
      </w:r>
      <w:r w:rsidR="008026A9" w:rsidRPr="00C82028">
        <w:rPr>
          <w:i/>
        </w:rPr>
        <w:t>gambiense</w:t>
      </w:r>
      <w:r w:rsidR="008026A9" w:rsidRPr="00C82028">
        <w:t xml:space="preserve"> and </w:t>
      </w:r>
      <w:r w:rsidR="000D7CE8" w:rsidRPr="00C82028">
        <w:t xml:space="preserve">for </w:t>
      </w:r>
      <w:r w:rsidR="008026A9" w:rsidRPr="00C82028">
        <w:rPr>
          <w:i/>
        </w:rPr>
        <w:t>rhodesiense</w:t>
      </w:r>
      <w:r w:rsidR="008026A9" w:rsidRPr="00C82028">
        <w:t xml:space="preserve"> HAT.</w:t>
      </w:r>
      <w:r w:rsidR="00C12C0E">
        <w:t xml:space="preserve"> </w:t>
      </w:r>
      <w:r w:rsidR="00121A3D">
        <w:t xml:space="preserve">While there were many similarities in </w:t>
      </w:r>
      <w:r w:rsidR="00C12C0E">
        <w:t>the results of</w:t>
      </w:r>
      <w:r w:rsidR="00121A3D">
        <w:t xml:space="preserve"> the three rounds</w:t>
      </w:r>
      <w:r w:rsidR="00CB2AEB">
        <w:t xml:space="preserve"> of screening</w:t>
      </w:r>
      <w:r w:rsidR="00121A3D">
        <w:t xml:space="preserve">, there were also a number of important differences, both in the ranking of antigens and in their absolute reactivity. </w:t>
      </w:r>
      <w:r w:rsidR="00C12C0E">
        <w:t>T</w:t>
      </w:r>
      <w:r w:rsidR="00121A3D">
        <w:t xml:space="preserve">he </w:t>
      </w:r>
      <w:r w:rsidR="00C12C0E">
        <w:t>reactivity</w:t>
      </w:r>
      <w:r w:rsidR="00121A3D">
        <w:t xml:space="preserve"> of the best antigens was significantly higher in the</w:t>
      </w:r>
      <w:r w:rsidR="00C12C0E">
        <w:t xml:space="preserve"> first and </w:t>
      </w:r>
      <w:r w:rsidR="00121A3D">
        <w:t>third round</w:t>
      </w:r>
      <w:r w:rsidR="00C12C0E">
        <w:t>s than in the second round</w:t>
      </w:r>
      <w:r w:rsidR="00121A3D">
        <w:t xml:space="preserve">, and differences between antigens were also more pronounced in </w:t>
      </w:r>
      <w:r w:rsidR="00C12C0E">
        <w:t>the third</w:t>
      </w:r>
      <w:r w:rsidR="00121A3D">
        <w:t xml:space="preserve"> round. These </w:t>
      </w:r>
      <w:r w:rsidR="00C12C0E">
        <w:t>differences</w:t>
      </w:r>
      <w:r w:rsidR="00126071">
        <w:t xml:space="preserve"> between study rounds</w:t>
      </w:r>
      <w:r w:rsidR="00121A3D">
        <w:t xml:space="preserve"> might be explained by two factors. First, the sample size was significantly larger in the third</w:t>
      </w:r>
      <w:r w:rsidR="00E86C91">
        <w:t xml:space="preserve"> round compared to</w:t>
      </w:r>
      <w:r w:rsidR="00121A3D">
        <w:t xml:space="preserve"> </w:t>
      </w:r>
      <w:r w:rsidR="00C12C0E">
        <w:t xml:space="preserve">other </w:t>
      </w:r>
      <w:r w:rsidR="00121A3D">
        <w:t>round</w:t>
      </w:r>
      <w:r w:rsidR="00C12C0E">
        <w:t>s</w:t>
      </w:r>
      <w:r w:rsidR="00121A3D">
        <w:t xml:space="preserve">, which enabled more accurate measurements. Second, the clinical </w:t>
      </w:r>
      <w:r w:rsidR="00DE1748">
        <w:t>samples used in the first and second rounds had been stored for lengthy periods, during which they could have gone through multiple unknown cycles of freezing and thawing</w:t>
      </w:r>
      <w:r w:rsidR="00121A3D">
        <w:t xml:space="preserve">, which could have caused some loss of immunoreactivity. </w:t>
      </w:r>
      <w:r w:rsidR="00487907">
        <w:t xml:space="preserve">Significant degradation was in fact observed in some of the samples that were supplied for the second round. </w:t>
      </w:r>
      <w:r w:rsidR="00EC7612">
        <w:t xml:space="preserve">This may have resulted in a biased assessment of the reactivity of some antigens and possibly exclusion </w:t>
      </w:r>
      <w:r w:rsidR="00870997">
        <w:t xml:space="preserve">of some of them </w:t>
      </w:r>
      <w:r w:rsidR="00EC7612">
        <w:t xml:space="preserve">from subsequent rounds. </w:t>
      </w:r>
      <w:r w:rsidR="00121A3D">
        <w:t xml:space="preserve">By contrast, samples used in the third round were collected recently, </w:t>
      </w:r>
      <w:r w:rsidR="00E86C91">
        <w:t>and subjected to</w:t>
      </w:r>
      <w:r w:rsidR="00121A3D">
        <w:t xml:space="preserve"> a maximum of two rounds of freezing and thawing. </w:t>
      </w:r>
      <w:r w:rsidR="00C12C0E">
        <w:t xml:space="preserve">Therefore, </w:t>
      </w:r>
      <w:r w:rsidR="00121A3D">
        <w:t xml:space="preserve">results from the third round of testing </w:t>
      </w:r>
      <w:r w:rsidR="00126071">
        <w:t>should be</w:t>
      </w:r>
      <w:r w:rsidR="00121A3D">
        <w:t xml:space="preserve"> considered </w:t>
      </w:r>
      <w:r w:rsidR="00126071">
        <w:t>as</w:t>
      </w:r>
      <w:r w:rsidR="00121A3D">
        <w:t xml:space="preserve"> </w:t>
      </w:r>
      <w:r w:rsidR="00E45ABC">
        <w:t xml:space="preserve">a </w:t>
      </w:r>
      <w:r w:rsidR="00121A3D">
        <w:t xml:space="preserve">more reliable </w:t>
      </w:r>
      <w:r w:rsidR="00E86C91">
        <w:t>indicator</w:t>
      </w:r>
      <w:r w:rsidR="00121A3D">
        <w:t xml:space="preserve"> of the reactivity of antigens.</w:t>
      </w:r>
      <w:r w:rsidR="004730DD">
        <w:t xml:space="preserve"> Also, results obtained with</w:t>
      </w:r>
      <w:r w:rsidR="00126071">
        <w:t xml:space="preserve"> </w:t>
      </w:r>
      <w:r w:rsidR="004730DD" w:rsidRPr="001A4479">
        <w:rPr>
          <w:i/>
        </w:rPr>
        <w:t>gambiense</w:t>
      </w:r>
      <w:r w:rsidR="004730DD">
        <w:t xml:space="preserve"> samples are likely to be more reliable than those obtained with </w:t>
      </w:r>
      <w:r w:rsidR="004730DD" w:rsidRPr="001A4479">
        <w:rPr>
          <w:i/>
        </w:rPr>
        <w:t>rhodesiense</w:t>
      </w:r>
      <w:r w:rsidR="004730DD">
        <w:t xml:space="preserve">, as they </w:t>
      </w:r>
      <w:r w:rsidR="00126071">
        <w:t>were</w:t>
      </w:r>
      <w:r w:rsidR="004730DD">
        <w:t xml:space="preserve"> based on a much larger sample set.</w:t>
      </w:r>
    </w:p>
    <w:p w14:paraId="10BE039F" w14:textId="2B0E99E2" w:rsidR="001B35CB" w:rsidRPr="00DF391D" w:rsidRDefault="00C12C0E" w:rsidP="0095777F">
      <w:pPr>
        <w:spacing w:line="480" w:lineRule="auto"/>
        <w:jc w:val="both"/>
        <w:rPr>
          <w:i/>
        </w:rPr>
      </w:pPr>
      <w:r>
        <w:t>The</w:t>
      </w:r>
      <w:r w:rsidR="003D1178">
        <w:t xml:space="preserve"> antigens that were most reactive were proteins that are known to be localized </w:t>
      </w:r>
      <w:r w:rsidR="00826BF7">
        <w:t xml:space="preserve">extracellularly, </w:t>
      </w:r>
      <w:r w:rsidR="00E86C91">
        <w:t xml:space="preserve">on </w:t>
      </w:r>
      <w:r w:rsidR="003D1178">
        <w:t xml:space="preserve">the surface of parasites, which may explain why strong immunoreactivity was </w:t>
      </w:r>
      <w:r w:rsidR="00C62864">
        <w:t>observed</w:t>
      </w:r>
      <w:r w:rsidR="003D1178">
        <w:t xml:space="preserve"> in plasma samples from infected patients. </w:t>
      </w:r>
      <w:r w:rsidR="00B1018D">
        <w:t xml:space="preserve">In particular, </w:t>
      </w:r>
      <w:r w:rsidR="003D1178">
        <w:t>VSG Li</w:t>
      </w:r>
      <w:r w:rsidR="00B1018D">
        <w:t xml:space="preserve">Tat 1.3 and VSG LiTat 1.5, which </w:t>
      </w:r>
      <w:r w:rsidR="00E45ABC">
        <w:t xml:space="preserve">belong to the group of VSGs that cover </w:t>
      </w:r>
      <w:r w:rsidR="00C0504F">
        <w:t xml:space="preserve">the external </w:t>
      </w:r>
      <w:r w:rsidR="00E45ABC">
        <w:t>sur</w:t>
      </w:r>
      <w:r w:rsidR="00C0504F">
        <w:t xml:space="preserve">face of the bloodstream form of </w:t>
      </w:r>
      <w:r w:rsidR="00C0504F" w:rsidRPr="001A4479">
        <w:rPr>
          <w:i/>
        </w:rPr>
        <w:t>T. brucei</w:t>
      </w:r>
      <w:r w:rsidR="00682C8F">
        <w:t xml:space="preserve"> [</w:t>
      </w:r>
      <w:r w:rsidR="009648D5">
        <w:t>3</w:t>
      </w:r>
      <w:r w:rsidR="00247491">
        <w:t>9</w:t>
      </w:r>
      <w:r w:rsidR="00682C8F">
        <w:t>]</w:t>
      </w:r>
      <w:r w:rsidR="00B1018D">
        <w:t xml:space="preserve">, were found to be the two most reactive antigens </w:t>
      </w:r>
      <w:r w:rsidR="00C62864">
        <w:t xml:space="preserve">against </w:t>
      </w:r>
      <w:r w:rsidR="00B1018D" w:rsidRPr="001A4479">
        <w:rPr>
          <w:i/>
        </w:rPr>
        <w:t>gambiense</w:t>
      </w:r>
      <w:r w:rsidR="00C62864">
        <w:t xml:space="preserve"> samples</w:t>
      </w:r>
      <w:r w:rsidR="00B1018D">
        <w:t xml:space="preserve">, and </w:t>
      </w:r>
      <w:r w:rsidR="00E45ABC">
        <w:t xml:space="preserve">among </w:t>
      </w:r>
      <w:r w:rsidR="00B1018D">
        <w:t xml:space="preserve">the three most reactive antigens </w:t>
      </w:r>
      <w:r w:rsidR="00C62864">
        <w:t xml:space="preserve">against </w:t>
      </w:r>
      <w:r w:rsidR="00B1018D" w:rsidRPr="001A4479">
        <w:rPr>
          <w:i/>
        </w:rPr>
        <w:t>rhodesiense</w:t>
      </w:r>
      <w:r w:rsidR="00C62864">
        <w:t xml:space="preserve"> samples</w:t>
      </w:r>
      <w:r w:rsidR="00B1018D">
        <w:t>.</w:t>
      </w:r>
      <w:r w:rsidR="001E5358">
        <w:t xml:space="preserve"> </w:t>
      </w:r>
      <w:r w:rsidR="00CE38E3">
        <w:t xml:space="preserve">Noteworthy, </w:t>
      </w:r>
      <w:r w:rsidR="00A03D8C" w:rsidRPr="00966D60">
        <w:rPr>
          <w:i/>
        </w:rPr>
        <w:t>T. b. gambiense</w:t>
      </w:r>
      <w:r w:rsidR="00A03D8C">
        <w:t xml:space="preserve"> c</w:t>
      </w:r>
      <w:r w:rsidR="00705EC3" w:rsidRPr="00AD711F">
        <w:t>lones</w:t>
      </w:r>
      <w:r w:rsidR="00705EC3">
        <w:t xml:space="preserve"> expressing t</w:t>
      </w:r>
      <w:r w:rsidR="00FC6C31" w:rsidRPr="00FC6C31">
        <w:t xml:space="preserve">hese VSGs were </w:t>
      </w:r>
      <w:r w:rsidR="00FC6C31">
        <w:t xml:space="preserve">also </w:t>
      </w:r>
      <w:r w:rsidR="00FC6C31" w:rsidRPr="00FC6C31">
        <w:t xml:space="preserve">among the most sensitive for detecting </w:t>
      </w:r>
      <w:r w:rsidR="00FC6C31" w:rsidRPr="00966D60">
        <w:rPr>
          <w:i/>
        </w:rPr>
        <w:t>gambiense</w:t>
      </w:r>
      <w:r w:rsidR="00FC6C31" w:rsidRPr="00FC6C31">
        <w:t xml:space="preserve"> patients </w:t>
      </w:r>
      <w:r w:rsidR="00FC6C31">
        <w:t>using</w:t>
      </w:r>
      <w:r w:rsidR="00FC6C31" w:rsidRPr="00FC6C31">
        <w:t xml:space="preserve"> immune trypanolysis</w:t>
      </w:r>
      <w:r w:rsidR="00705EC3">
        <w:t xml:space="preserve"> </w:t>
      </w:r>
      <w:r w:rsidR="00682C8F">
        <w:t>[</w:t>
      </w:r>
      <w:r w:rsidR="00247491">
        <w:t>40</w:t>
      </w:r>
      <w:r w:rsidR="00682C8F">
        <w:t>]</w:t>
      </w:r>
      <w:r w:rsidR="00FC6C31" w:rsidRPr="00FC6C31">
        <w:t>.</w:t>
      </w:r>
      <w:r w:rsidR="00705EC3">
        <w:t xml:space="preserve"> </w:t>
      </w:r>
      <w:r w:rsidR="004B5606">
        <w:t>However, VSGs</w:t>
      </w:r>
      <w:r w:rsidR="00C73CAE">
        <w:t xml:space="preserve"> have been reported to </w:t>
      </w:r>
      <w:r w:rsidR="004B5606">
        <w:t xml:space="preserve">exhibit </w:t>
      </w:r>
      <w:r w:rsidR="00C73CAE">
        <w:t>some</w:t>
      </w:r>
      <w:r w:rsidR="004B5606">
        <w:t xml:space="preserve"> heterogeneity in their expression </w:t>
      </w:r>
      <w:r w:rsidR="00C73CAE">
        <w:t>among</w:t>
      </w:r>
      <w:r w:rsidR="004B5606">
        <w:t xml:space="preserve"> parasite isolates</w:t>
      </w:r>
      <w:r w:rsidR="00E45ABC">
        <w:t>,</w:t>
      </w:r>
      <w:r w:rsidR="004B5606">
        <w:t xml:space="preserve"> and </w:t>
      </w:r>
      <w:r w:rsidR="00C73CAE">
        <w:t>could</w:t>
      </w:r>
      <w:r w:rsidR="004B5606">
        <w:t xml:space="preserve"> therefore present a risk in terms of sensitivity if they are included in a diagnostic test. In particular, </w:t>
      </w:r>
      <w:r w:rsidR="00C73CAE">
        <w:t xml:space="preserve">the gene encoding </w:t>
      </w:r>
      <w:r w:rsidR="004B5606">
        <w:t>VSG LiTat 1.3</w:t>
      </w:r>
      <w:r w:rsidR="00C73CAE">
        <w:t xml:space="preserve"> </w:t>
      </w:r>
      <w:r w:rsidR="004B5606">
        <w:t xml:space="preserve">was </w:t>
      </w:r>
      <w:r w:rsidR="00C73CAE">
        <w:t>found</w:t>
      </w:r>
      <w:r w:rsidR="004B5606">
        <w:t xml:space="preserve"> to be </w:t>
      </w:r>
      <w:r w:rsidR="00C73CAE">
        <w:t>absent in some</w:t>
      </w:r>
      <w:r w:rsidR="004B5606">
        <w:t xml:space="preserve"> </w:t>
      </w:r>
      <w:r w:rsidR="004B5606" w:rsidRPr="00966D60">
        <w:rPr>
          <w:i/>
        </w:rPr>
        <w:t>T. b. gambiense</w:t>
      </w:r>
      <w:r w:rsidR="004B5606">
        <w:t xml:space="preserve"> isolates from Cameroon [</w:t>
      </w:r>
      <w:r w:rsidR="00BE0820">
        <w:t>4</w:t>
      </w:r>
      <w:r w:rsidR="00247491">
        <w:t>1</w:t>
      </w:r>
      <w:r w:rsidR="004B5606">
        <w:t xml:space="preserve">]. </w:t>
      </w:r>
      <w:r w:rsidR="004730DD">
        <w:t>Other</w:t>
      </w:r>
      <w:r w:rsidR="001E5358">
        <w:t xml:space="preserve"> surface proteins such as ISG64, ISG65 and </w:t>
      </w:r>
      <w:r w:rsidR="004730DD">
        <w:t xml:space="preserve">to a lesser extent </w:t>
      </w:r>
      <w:r w:rsidR="001E5358">
        <w:t>ISG75 were also quite reactive</w:t>
      </w:r>
      <w:r w:rsidR="004730DD">
        <w:t xml:space="preserve">, </w:t>
      </w:r>
      <w:r w:rsidR="00E45ABC">
        <w:t xml:space="preserve">especially </w:t>
      </w:r>
      <w:r w:rsidR="004730DD">
        <w:t xml:space="preserve">to samples from </w:t>
      </w:r>
      <w:r w:rsidR="004730DD" w:rsidRPr="001A4479">
        <w:rPr>
          <w:i/>
        </w:rPr>
        <w:t>gambiense</w:t>
      </w:r>
      <w:r w:rsidR="004730DD">
        <w:t xml:space="preserve"> patients</w:t>
      </w:r>
      <w:r w:rsidR="001E5358">
        <w:t>. In contrast, proteins that are know</w:t>
      </w:r>
      <w:r w:rsidR="004730DD">
        <w:t>n</w:t>
      </w:r>
      <w:r w:rsidR="001E5358">
        <w:t xml:space="preserve"> to be intracellular,</w:t>
      </w:r>
      <w:r w:rsidR="004730DD">
        <w:t xml:space="preserve"> and therefore less accessible to the host</w:t>
      </w:r>
      <w:r w:rsidR="006E341F">
        <w:t>’s</w:t>
      </w:r>
      <w:r w:rsidR="004730DD">
        <w:t xml:space="preserve"> immune system</w:t>
      </w:r>
      <w:r w:rsidR="00B509BB">
        <w:t>, exhibited a very low reactivity. These include enzymes of the glycolytic pathway (</w:t>
      </w:r>
      <w:r w:rsidR="001E5358">
        <w:t>GAPDH</w:t>
      </w:r>
      <w:r w:rsidR="00B509BB">
        <w:t xml:space="preserve"> and </w:t>
      </w:r>
      <w:r w:rsidR="001E5358">
        <w:t>PFK</w:t>
      </w:r>
      <w:r w:rsidR="00B509BB">
        <w:t>), a cytoskeleton-associated protein (MARP1)</w:t>
      </w:r>
      <w:r w:rsidR="002F0A50">
        <w:t>, a pyrimidine biosynthetic enzyme (DHODH)</w:t>
      </w:r>
      <w:r w:rsidR="00B509BB">
        <w:t xml:space="preserve"> and a chaperone (</w:t>
      </w:r>
      <w:r w:rsidR="001E5358">
        <w:t>HSP70</w:t>
      </w:r>
      <w:r w:rsidR="007425B5">
        <w:t xml:space="preserve">). </w:t>
      </w:r>
      <w:r w:rsidR="001E5358">
        <w:t xml:space="preserve">However, </w:t>
      </w:r>
      <w:r w:rsidR="00D4194C">
        <w:t xml:space="preserve">there were also exceptions to this </w:t>
      </w:r>
      <w:r w:rsidR="00E86C91">
        <w:t xml:space="preserve">perhaps </w:t>
      </w:r>
      <w:r w:rsidR="00D4194C">
        <w:t xml:space="preserve">over-simplistic </w:t>
      </w:r>
      <w:r w:rsidR="00E86C91">
        <w:t>distinction</w:t>
      </w:r>
      <w:r w:rsidR="00D4194C">
        <w:t>. In particular, SRA e</w:t>
      </w:r>
      <w:r w:rsidR="00C5695A">
        <w:t>xhibit</w:t>
      </w:r>
      <w:r w:rsidR="00C62864">
        <w:t>ed</w:t>
      </w:r>
      <w:r w:rsidR="00C5695A">
        <w:t xml:space="preserve"> a strong reactivity to</w:t>
      </w:r>
      <w:r w:rsidR="00C62864">
        <w:t xml:space="preserve"> </w:t>
      </w:r>
      <w:r w:rsidR="00C5695A" w:rsidRPr="001A4479">
        <w:rPr>
          <w:i/>
        </w:rPr>
        <w:t>rhodesiense</w:t>
      </w:r>
      <w:r w:rsidR="00C5695A">
        <w:t xml:space="preserve"> samples</w:t>
      </w:r>
      <w:r w:rsidR="001E5358">
        <w:t xml:space="preserve">, although it </w:t>
      </w:r>
      <w:r w:rsidR="00C5695A">
        <w:t>has been shown to be an intracellular protein localized to the lyso</w:t>
      </w:r>
      <w:r w:rsidR="00682C8F">
        <w:t>some and the endocytic pathway [</w:t>
      </w:r>
      <w:r w:rsidR="00BE0820">
        <w:t>4</w:t>
      </w:r>
      <w:r w:rsidR="00247491">
        <w:t>2</w:t>
      </w:r>
      <w:r w:rsidR="00682C8F">
        <w:t>]</w:t>
      </w:r>
      <w:r w:rsidR="001E5358">
        <w:t>.</w:t>
      </w:r>
      <w:r w:rsidR="00D4194C">
        <w:t xml:space="preserve"> </w:t>
      </w:r>
      <w:r w:rsidR="001E4A6F">
        <w:t xml:space="preserve">It is </w:t>
      </w:r>
      <w:r w:rsidR="00795BA4">
        <w:t>also</w:t>
      </w:r>
      <w:r w:rsidR="001E4A6F">
        <w:t xml:space="preserve"> possible that the observed reactivity of SRA would relate to cross-reacting antibodies that were actually generated against VSGs, since SRA is closely related to VSGs [</w:t>
      </w:r>
      <w:r w:rsidR="0074071B">
        <w:t>4</w:t>
      </w:r>
      <w:r w:rsidR="00247491">
        <w:t>3</w:t>
      </w:r>
      <w:r w:rsidR="001E4A6F">
        <w:t xml:space="preserve">]. </w:t>
      </w:r>
      <w:r w:rsidR="00D4194C">
        <w:t>In addition, GM6, which is located on</w:t>
      </w:r>
      <w:r w:rsidR="00E86C91">
        <w:t xml:space="preserve"> flagellum attachment zone</w:t>
      </w:r>
      <w:r w:rsidR="00D4194C">
        <w:t xml:space="preserve"> fibres connecting</w:t>
      </w:r>
      <w:r w:rsidR="00682C8F">
        <w:t xml:space="preserve"> microtubules to the flagellum [</w:t>
      </w:r>
      <w:r w:rsidR="000A04A2">
        <w:t>18</w:t>
      </w:r>
      <w:r w:rsidR="00682C8F">
        <w:t>]</w:t>
      </w:r>
      <w:r w:rsidR="00D4194C">
        <w:t xml:space="preserve">, was moderately reactive to </w:t>
      </w:r>
      <w:r w:rsidR="00D4194C" w:rsidRPr="001A4479">
        <w:rPr>
          <w:i/>
        </w:rPr>
        <w:t>gambiense</w:t>
      </w:r>
      <w:r w:rsidR="00D4194C">
        <w:t xml:space="preserve"> samples.</w:t>
      </w:r>
      <w:r w:rsidR="007425B5">
        <w:t xml:space="preserve"> </w:t>
      </w:r>
      <w:r w:rsidR="00213541">
        <w:t xml:space="preserve">While they may not be very useful for serodiagnosis, some of the </w:t>
      </w:r>
      <w:r w:rsidR="007425B5" w:rsidRPr="007425B5">
        <w:t>intracellular proteins</w:t>
      </w:r>
      <w:r w:rsidR="00213541">
        <w:t xml:space="preserve"> that were tested</w:t>
      </w:r>
      <w:r w:rsidR="007425B5" w:rsidRPr="007425B5">
        <w:t xml:space="preserve"> </w:t>
      </w:r>
      <w:r w:rsidR="00213541">
        <w:t xml:space="preserve">in this study </w:t>
      </w:r>
      <w:r w:rsidR="007425B5" w:rsidRPr="007425B5">
        <w:t>might have utility as a means to detect response to therapy when parasites are ly</w:t>
      </w:r>
      <w:r w:rsidR="007F01B5">
        <w:t>sed after cidal effects of drug treatment</w:t>
      </w:r>
      <w:r w:rsidR="007425B5" w:rsidRPr="007425B5">
        <w:t>.</w:t>
      </w:r>
      <w:r w:rsidR="00911B17">
        <w:t xml:space="preserve"> </w:t>
      </w:r>
      <w:r w:rsidR="00CF1A76">
        <w:t>The fact that</w:t>
      </w:r>
      <w:r w:rsidR="005520A8">
        <w:t xml:space="preserve"> the human protein</w:t>
      </w:r>
      <w:r w:rsidR="00CF1A76">
        <w:t xml:space="preserve"> GSTP1 exhibited si</w:t>
      </w:r>
      <w:r w:rsidR="005520A8">
        <w:t>gnificant reactivity</w:t>
      </w:r>
      <w:r w:rsidR="00952AD7">
        <w:t xml:space="preserve"> to both </w:t>
      </w:r>
      <w:r w:rsidR="00952AD7" w:rsidRPr="00860F7E">
        <w:rPr>
          <w:i/>
        </w:rPr>
        <w:t>gambiense</w:t>
      </w:r>
      <w:r w:rsidR="00952AD7">
        <w:t xml:space="preserve"> and </w:t>
      </w:r>
      <w:r w:rsidR="00952AD7" w:rsidRPr="00860F7E">
        <w:rPr>
          <w:i/>
        </w:rPr>
        <w:t>rhodesiense</w:t>
      </w:r>
      <w:r w:rsidR="00952AD7">
        <w:t xml:space="preserve"> samples</w:t>
      </w:r>
      <w:r w:rsidR="005520A8">
        <w:t xml:space="preserve"> might be explained by non-specific activation of B lymphocytes, which has been reported to occur </w:t>
      </w:r>
      <w:r w:rsidR="00820610">
        <w:t>during</w:t>
      </w:r>
      <w:r w:rsidR="005520A8">
        <w:t xml:space="preserve"> trypanosomal infections</w:t>
      </w:r>
      <w:r w:rsidR="00820610">
        <w:t xml:space="preserve"> in mice and in cattle</w:t>
      </w:r>
      <w:r w:rsidR="005520A8">
        <w:t xml:space="preserve"> [</w:t>
      </w:r>
      <w:r w:rsidR="00247491">
        <w:t>44</w:t>
      </w:r>
      <w:r w:rsidR="00C63060">
        <w:t>-</w:t>
      </w:r>
      <w:r w:rsidR="0074071B">
        <w:t>4</w:t>
      </w:r>
      <w:r w:rsidR="00247491">
        <w:t>7</w:t>
      </w:r>
      <w:r w:rsidR="005520A8">
        <w:t>].</w:t>
      </w:r>
      <w:r w:rsidR="00820610">
        <w:t xml:space="preserve"> This phenomenon might also </w:t>
      </w:r>
      <w:r w:rsidR="00911B17">
        <w:t>be responsible</w:t>
      </w:r>
      <w:r w:rsidR="00820610">
        <w:t xml:space="preserve"> for the </w:t>
      </w:r>
      <w:r w:rsidR="00952AD7">
        <w:t>significant</w:t>
      </w:r>
      <w:r w:rsidR="00820610">
        <w:t xml:space="preserve"> reactivity of SRA </w:t>
      </w:r>
      <w:r w:rsidR="00911B17">
        <w:t xml:space="preserve">to </w:t>
      </w:r>
      <w:r w:rsidR="00911B17">
        <w:rPr>
          <w:i/>
        </w:rPr>
        <w:t>g</w:t>
      </w:r>
      <w:r w:rsidR="00911B17" w:rsidRPr="00860F7E">
        <w:rPr>
          <w:i/>
        </w:rPr>
        <w:t>ambiense</w:t>
      </w:r>
      <w:r w:rsidR="00911B17">
        <w:t xml:space="preserve"> samples that was found in this study.</w:t>
      </w:r>
    </w:p>
    <w:p w14:paraId="18CF821D" w14:textId="74C17E45" w:rsidR="00EA20D2" w:rsidRPr="00C82028" w:rsidRDefault="00EA20D2" w:rsidP="0095777F">
      <w:pPr>
        <w:spacing w:line="480" w:lineRule="auto"/>
        <w:jc w:val="both"/>
      </w:pPr>
      <w:r>
        <w:t xml:space="preserve">The chronic nature of </w:t>
      </w:r>
      <w:r>
        <w:rPr>
          <w:i/>
        </w:rPr>
        <w:t>gambiense</w:t>
      </w:r>
      <w:r>
        <w:t xml:space="preserve"> HAT could provide an explanation for the observation that IgG reactivity</w:t>
      </w:r>
      <w:r w:rsidRPr="00301528">
        <w:t xml:space="preserve"> was on average higher with </w:t>
      </w:r>
      <w:r w:rsidRPr="00D117DF">
        <w:rPr>
          <w:i/>
        </w:rPr>
        <w:t>gambiense</w:t>
      </w:r>
      <w:r w:rsidRPr="00301528">
        <w:t xml:space="preserve"> than with </w:t>
      </w:r>
      <w:r w:rsidRPr="00D117DF">
        <w:rPr>
          <w:i/>
        </w:rPr>
        <w:t>rhodesiense</w:t>
      </w:r>
      <w:r w:rsidRPr="00301528">
        <w:t xml:space="preserve"> samples</w:t>
      </w:r>
      <w:r>
        <w:t xml:space="preserve">, as patients infected with </w:t>
      </w:r>
      <w:r w:rsidRPr="00D117DF">
        <w:rPr>
          <w:i/>
        </w:rPr>
        <w:t xml:space="preserve">T. b. </w:t>
      </w:r>
      <w:r>
        <w:rPr>
          <w:i/>
        </w:rPr>
        <w:t>gambiense</w:t>
      </w:r>
      <w:r>
        <w:t xml:space="preserve"> are likely to have been diagnosed and sampled after a significantly longer infection time than in the case of the more acute </w:t>
      </w:r>
      <w:r w:rsidRPr="00D117DF">
        <w:rPr>
          <w:i/>
        </w:rPr>
        <w:t>T. b</w:t>
      </w:r>
      <w:r>
        <w:rPr>
          <w:i/>
        </w:rPr>
        <w:t>.</w:t>
      </w:r>
      <w:r w:rsidRPr="00D117DF">
        <w:rPr>
          <w:i/>
        </w:rPr>
        <w:t xml:space="preserve"> </w:t>
      </w:r>
      <w:r>
        <w:rPr>
          <w:i/>
        </w:rPr>
        <w:t>rhodesiense</w:t>
      </w:r>
      <w:r>
        <w:t xml:space="preserve"> infections. On the other hand, </w:t>
      </w:r>
      <w:r w:rsidRPr="00D117DF">
        <w:rPr>
          <w:i/>
        </w:rPr>
        <w:t>rhodesiense</w:t>
      </w:r>
      <w:r>
        <w:t xml:space="preserve"> patients may not have had sufficient time to mount a strong IgG response comparable to that observed in </w:t>
      </w:r>
      <w:r w:rsidRPr="00D117DF">
        <w:rPr>
          <w:i/>
        </w:rPr>
        <w:t>gambiense</w:t>
      </w:r>
      <w:r>
        <w:t xml:space="preserve"> patients. The fact that the difference in reactivity between the two forms of the disease was less pronounced in the case of IgM is consistent with this explanation, as IgM production occurs earlier in infections, and large amounts of this class of antibody may be produced </w:t>
      </w:r>
      <w:r w:rsidR="00AA3A33">
        <w:t>prior to</w:t>
      </w:r>
      <w:r w:rsidR="00E53532">
        <w:t xml:space="preserve"> diagnosis of</w:t>
      </w:r>
      <w:r>
        <w:t xml:space="preserve"> </w:t>
      </w:r>
      <w:r w:rsidRPr="00D117DF">
        <w:rPr>
          <w:i/>
        </w:rPr>
        <w:t>gambiense</w:t>
      </w:r>
      <w:r>
        <w:t xml:space="preserve"> or </w:t>
      </w:r>
      <w:r w:rsidRPr="00D117DF">
        <w:rPr>
          <w:i/>
        </w:rPr>
        <w:t>rhodesiense</w:t>
      </w:r>
      <w:r w:rsidR="006E341F">
        <w:t xml:space="preserve"> </w:t>
      </w:r>
      <w:r>
        <w:t>patients.</w:t>
      </w:r>
      <w:r w:rsidR="00682C8F">
        <w:t xml:space="preserve"> </w:t>
      </w:r>
      <w:r w:rsidR="00682C8F" w:rsidRPr="00682C8F">
        <w:t>An alternative explanation</w:t>
      </w:r>
      <w:r w:rsidR="00682C8F">
        <w:t xml:space="preserve"> for this less pronounced difference</w:t>
      </w:r>
      <w:r w:rsidR="00682C8F" w:rsidRPr="00682C8F">
        <w:t xml:space="preserve"> could be</w:t>
      </w:r>
      <w:r w:rsidR="00682C8F">
        <w:t xml:space="preserve"> the generally </w:t>
      </w:r>
      <w:r w:rsidR="00AD711F">
        <w:t xml:space="preserve">lower specificity of </w:t>
      </w:r>
      <w:r w:rsidR="00682C8F" w:rsidRPr="00682C8F">
        <w:t xml:space="preserve">IgM </w:t>
      </w:r>
      <w:r w:rsidR="00682C8F">
        <w:t>in comparison to IgG antibodies.</w:t>
      </w:r>
    </w:p>
    <w:p w14:paraId="6BBF604F" w14:textId="3EFF75B8" w:rsidR="000B17A5" w:rsidRDefault="000B17A5" w:rsidP="0095777F">
      <w:pPr>
        <w:spacing w:line="480" w:lineRule="auto"/>
        <w:jc w:val="both"/>
      </w:pPr>
      <w:r>
        <w:t xml:space="preserve">The reactivity values obtained in the three rounds using a fixed cut-off (mean reactivity of controls plus 2 standard deviations) correspond to sensitivity values that would theoretically be obtained with a test that is calibrated </w:t>
      </w:r>
      <w:r w:rsidR="00AA3A33">
        <w:t>as having</w:t>
      </w:r>
      <w:r>
        <w:t xml:space="preserve"> a specificity of 95.4%, </w:t>
      </w:r>
      <w:r w:rsidR="00AD711F">
        <w:t>assuming a normal distribution [</w:t>
      </w:r>
      <w:r w:rsidR="00BE0820">
        <w:t>4</w:t>
      </w:r>
      <w:r w:rsidR="00247491">
        <w:t>8</w:t>
      </w:r>
      <w:r w:rsidR="00AD711F">
        <w:t>]</w:t>
      </w:r>
      <w:r>
        <w:t xml:space="preserve">. </w:t>
      </w:r>
      <w:r w:rsidR="00DB7DB1">
        <w:t>The ROC analysis that was performed in the third round allow</w:t>
      </w:r>
      <w:r w:rsidR="006E341F">
        <w:t>ed</w:t>
      </w:r>
      <w:r w:rsidR="00DB7DB1">
        <w:t xml:space="preserve"> better </w:t>
      </w:r>
      <w:r w:rsidR="00AA3A33">
        <w:t xml:space="preserve">appreciation of </w:t>
      </w:r>
      <w:r w:rsidR="00DB7DB1">
        <w:t xml:space="preserve">the </w:t>
      </w:r>
      <w:r w:rsidR="004E0497">
        <w:t xml:space="preserve">full </w:t>
      </w:r>
      <w:r w:rsidR="00DB7DB1">
        <w:t xml:space="preserve">diagnostic potential of antigens by calculating the accuracy and the relationship between sensitivity and specificity of each antigen. </w:t>
      </w:r>
      <w:r w:rsidR="002525A0">
        <w:t>Although the ranking of antigens according to accuracy (Youden’</w:t>
      </w:r>
      <w:r w:rsidR="004E0497">
        <w:t xml:space="preserve">s index) </w:t>
      </w:r>
      <w:r w:rsidR="00DC3F24">
        <w:t>was</w:t>
      </w:r>
      <w:r w:rsidR="002525A0">
        <w:t xml:space="preserve"> very similar to that obtained with a fixed cut-off by ELISA, </w:t>
      </w:r>
      <w:r w:rsidR="004E0497">
        <w:t>this ROC analysis</w:t>
      </w:r>
      <w:r w:rsidR="002525A0">
        <w:t xml:space="preserve"> provides additional information </w:t>
      </w:r>
      <w:r w:rsidR="004E0497">
        <w:t xml:space="preserve">and shows </w:t>
      </w:r>
      <w:r w:rsidR="002525A0">
        <w:t xml:space="preserve">that </w:t>
      </w:r>
      <w:r w:rsidR="004E0497">
        <w:t>using</w:t>
      </w:r>
      <w:r w:rsidR="002525A0">
        <w:t xml:space="preserve"> </w:t>
      </w:r>
      <w:r w:rsidR="00AA3A33">
        <w:t xml:space="preserve">the </w:t>
      </w:r>
      <w:r w:rsidR="002525A0">
        <w:t>same antigen,</w:t>
      </w:r>
      <w:r w:rsidR="004E0497">
        <w:t xml:space="preserve"> tests with very different diagnostic properties could be developed. For example, using VSG LiTat 1.5</w:t>
      </w:r>
      <w:r w:rsidR="00EB488B">
        <w:t xml:space="preserve"> on </w:t>
      </w:r>
      <w:r w:rsidR="00EB488B" w:rsidRPr="001A4479">
        <w:rPr>
          <w:i/>
        </w:rPr>
        <w:t>gambiense</w:t>
      </w:r>
      <w:r w:rsidR="00EB488B">
        <w:t xml:space="preserve"> samples</w:t>
      </w:r>
      <w:r w:rsidR="004E0497">
        <w:t>,</w:t>
      </w:r>
      <w:r w:rsidR="002525A0">
        <w:t xml:space="preserve"> a test that is highly specific (98%)</w:t>
      </w:r>
      <w:r w:rsidR="004E0497">
        <w:t xml:space="preserve"> but moderately sensitive (90%) could be developed, as well as a test that is highly sensitive (97%) but moderately specific (90%). Therefore, information on the intended use of a test, including the target population, disease incidence, </w:t>
      </w:r>
      <w:r w:rsidR="00EB488B">
        <w:t xml:space="preserve">setting, </w:t>
      </w:r>
      <w:r w:rsidR="004E0497">
        <w:t xml:space="preserve">diagnostic algorithm as well as available treatments, will need to be </w:t>
      </w:r>
      <w:r w:rsidR="00AA3A33">
        <w:t xml:space="preserve">considered carefully </w:t>
      </w:r>
      <w:r w:rsidR="004E0497">
        <w:t>when defining target specifications to be achieved in test development using these antigens.</w:t>
      </w:r>
    </w:p>
    <w:p w14:paraId="27DEA55F" w14:textId="3425400B" w:rsidR="00437FC6" w:rsidRPr="00C82028" w:rsidRDefault="00682AA9" w:rsidP="0095777F">
      <w:pPr>
        <w:spacing w:line="480" w:lineRule="auto"/>
        <w:jc w:val="both"/>
      </w:pPr>
      <w:r>
        <w:t>As n</w:t>
      </w:r>
      <w:r w:rsidR="00B36C2B" w:rsidRPr="00C82028">
        <w:t>o</w:t>
      </w:r>
      <w:r w:rsidR="007F01B5">
        <w:t xml:space="preserve"> single antigen </w:t>
      </w:r>
      <w:r w:rsidR="00B36C2B" w:rsidRPr="00C82028">
        <w:t xml:space="preserve">assessed </w:t>
      </w:r>
      <w:r w:rsidR="00E53532">
        <w:t xml:space="preserve">in this study </w:t>
      </w:r>
      <w:r w:rsidR="00B36C2B" w:rsidRPr="00C82028">
        <w:t>react</w:t>
      </w:r>
      <w:r w:rsidR="00677970">
        <w:t>ed</w:t>
      </w:r>
      <w:r w:rsidR="00B36C2B" w:rsidRPr="00C82028">
        <w:t xml:space="preserve"> with all the positive </w:t>
      </w:r>
      <w:r w:rsidR="00677970">
        <w:t>sera</w:t>
      </w:r>
      <w:r w:rsidR="00B36C2B" w:rsidRPr="00C82028">
        <w:t xml:space="preserve">, combining </w:t>
      </w:r>
      <w:r w:rsidR="00677970">
        <w:t>two or more</w:t>
      </w:r>
      <w:r w:rsidR="00677970" w:rsidRPr="00C82028">
        <w:t xml:space="preserve"> </w:t>
      </w:r>
      <w:r w:rsidR="00B36C2B" w:rsidRPr="00C82028">
        <w:t>antigens might be necess</w:t>
      </w:r>
      <w:r w:rsidR="00677970">
        <w:t>ar</w:t>
      </w:r>
      <w:r w:rsidR="00B36C2B" w:rsidRPr="00C82028">
        <w:t xml:space="preserve">y in order to develop a test with a sensitivity that </w:t>
      </w:r>
      <w:r w:rsidR="00011CBB">
        <w:t>would be</w:t>
      </w:r>
      <w:r w:rsidR="00B36C2B" w:rsidRPr="00C82028">
        <w:t xml:space="preserve"> sufficiently high for </w:t>
      </w:r>
      <w:r w:rsidR="00636E96" w:rsidRPr="00C82028">
        <w:t xml:space="preserve">effective </w:t>
      </w:r>
      <w:r w:rsidR="00B36C2B" w:rsidRPr="00C82028">
        <w:t xml:space="preserve">disease </w:t>
      </w:r>
      <w:r w:rsidR="00636E96" w:rsidRPr="00C82028">
        <w:t xml:space="preserve">control and </w:t>
      </w:r>
      <w:r w:rsidR="00B36C2B" w:rsidRPr="00C82028">
        <w:t>elimination.</w:t>
      </w:r>
      <w:r w:rsidR="008026A9" w:rsidRPr="00C82028">
        <w:t xml:space="preserve"> </w:t>
      </w:r>
      <w:r w:rsidR="00677970">
        <w:t xml:space="preserve">An example is a combination of </w:t>
      </w:r>
      <w:r w:rsidR="008026A9" w:rsidRPr="00C82028">
        <w:t xml:space="preserve">VSG </w:t>
      </w:r>
      <w:r w:rsidR="00677970">
        <w:t xml:space="preserve">LiTat </w:t>
      </w:r>
      <w:r w:rsidR="008026A9" w:rsidRPr="00C82028">
        <w:t xml:space="preserve">1.3 and VSG </w:t>
      </w:r>
      <w:r w:rsidR="00677970">
        <w:t xml:space="preserve">LiTat </w:t>
      </w:r>
      <w:r w:rsidR="008026A9" w:rsidRPr="00C82028">
        <w:t>1.</w:t>
      </w:r>
      <w:r w:rsidR="000D7CE8" w:rsidRPr="00C82028">
        <w:t>5</w:t>
      </w:r>
      <w:r w:rsidR="00677970">
        <w:t>, which</w:t>
      </w:r>
      <w:r w:rsidR="000D7CE8" w:rsidRPr="00C82028">
        <w:t xml:space="preserve"> performed </w:t>
      </w:r>
      <w:r w:rsidR="004A7FC1">
        <w:t>best</w:t>
      </w:r>
      <w:r w:rsidR="008026A9" w:rsidRPr="00C82028">
        <w:t xml:space="preserve"> </w:t>
      </w:r>
      <w:r w:rsidR="00677970">
        <w:t>by slot blot</w:t>
      </w:r>
      <w:r w:rsidR="008026A9" w:rsidRPr="00C82028">
        <w:t xml:space="preserve"> </w:t>
      </w:r>
      <w:r w:rsidR="00677970">
        <w:t xml:space="preserve">on </w:t>
      </w:r>
      <w:r w:rsidR="00677970">
        <w:rPr>
          <w:i/>
        </w:rPr>
        <w:t>T.</w:t>
      </w:r>
      <w:r>
        <w:rPr>
          <w:i/>
        </w:rPr>
        <w:t xml:space="preserve"> </w:t>
      </w:r>
      <w:r w:rsidR="00677970">
        <w:rPr>
          <w:i/>
        </w:rPr>
        <w:t xml:space="preserve">b. </w:t>
      </w:r>
      <w:r w:rsidR="000D7CE8" w:rsidRPr="00C82028">
        <w:rPr>
          <w:i/>
        </w:rPr>
        <w:t>gambiense</w:t>
      </w:r>
      <w:r w:rsidR="000D7CE8" w:rsidRPr="00C82028">
        <w:t xml:space="preserve"> </w:t>
      </w:r>
      <w:r w:rsidR="00677970">
        <w:t>sera</w:t>
      </w:r>
      <w:r w:rsidR="008026A9" w:rsidRPr="00C82028">
        <w:t>.</w:t>
      </w:r>
      <w:r w:rsidR="004A7FC1">
        <w:t xml:space="preserve"> Since slot blot uses a nitrocellulose matrix that is similar to that used in RDTs, these antigens were considered as the best candidates for developing an RDT.</w:t>
      </w:r>
      <w:r w:rsidR="008026A9" w:rsidRPr="00C82028">
        <w:t xml:space="preserve"> </w:t>
      </w:r>
      <w:r w:rsidR="00E53532">
        <w:t>Indeed, s</w:t>
      </w:r>
      <w:r w:rsidR="008026A9" w:rsidRPr="00C82028">
        <w:t>ince</w:t>
      </w:r>
      <w:r w:rsidR="00636E96" w:rsidRPr="00C82028">
        <w:t xml:space="preserve"> </w:t>
      </w:r>
      <w:r w:rsidR="008026A9" w:rsidRPr="00C82028">
        <w:t xml:space="preserve">this </w:t>
      </w:r>
      <w:r w:rsidR="00677970">
        <w:t>study</w:t>
      </w:r>
      <w:r w:rsidR="00677970" w:rsidRPr="00C82028">
        <w:t xml:space="preserve"> </w:t>
      </w:r>
      <w:r w:rsidR="008026A9" w:rsidRPr="00C82028">
        <w:t xml:space="preserve">was carried out, two RDTs for </w:t>
      </w:r>
      <w:r w:rsidR="008026A9" w:rsidRPr="00C82028">
        <w:rPr>
          <w:i/>
        </w:rPr>
        <w:t>gambiense</w:t>
      </w:r>
      <w:r w:rsidR="008026A9" w:rsidRPr="00C82028">
        <w:t xml:space="preserve"> HAT have</w:t>
      </w:r>
      <w:r w:rsidR="004A7FC1">
        <w:t xml:space="preserve"> </w:t>
      </w:r>
      <w:r w:rsidR="008026A9" w:rsidRPr="00C82028">
        <w:t xml:space="preserve">been developed and commercialized, both </w:t>
      </w:r>
      <w:r w:rsidR="00677970">
        <w:t>using</w:t>
      </w:r>
      <w:r w:rsidR="008026A9" w:rsidRPr="00C82028">
        <w:t xml:space="preserve"> these two antigens. One is the</w:t>
      </w:r>
      <w:r w:rsidR="008C1730" w:rsidRPr="00C82028">
        <w:t xml:space="preserve"> HAT Sero-</w:t>
      </w:r>
      <w:r w:rsidR="008C1730" w:rsidRPr="00C82028">
        <w:rPr>
          <w:i/>
        </w:rPr>
        <w:t>K</w:t>
      </w:r>
      <w:r w:rsidR="008C1730" w:rsidRPr="00C82028">
        <w:t xml:space="preserve">-SeT </w:t>
      </w:r>
      <w:r w:rsidR="006F12D0">
        <w:t>manufactured</w:t>
      </w:r>
      <w:r w:rsidR="006F12D0" w:rsidRPr="00C82028">
        <w:t xml:space="preserve"> </w:t>
      </w:r>
      <w:r w:rsidR="008C1730" w:rsidRPr="00C82028">
        <w:t xml:space="preserve">by Coris BioConcept (Belgium), </w:t>
      </w:r>
      <w:r w:rsidR="006F12D0">
        <w:t>with a</w:t>
      </w:r>
      <w:r w:rsidR="008C1730" w:rsidRPr="00C82028">
        <w:t xml:space="preserve"> reported sensitivity of 93.9% and a specificity of 99.0% u</w:t>
      </w:r>
      <w:r w:rsidR="00F44AE1" w:rsidRPr="00C82028">
        <w:t xml:space="preserve">sing archived </w:t>
      </w:r>
      <w:r w:rsidR="006F12D0">
        <w:t>sera</w:t>
      </w:r>
      <w:r w:rsidR="00F44AE1" w:rsidRPr="00C82028">
        <w:t xml:space="preserve"> [</w:t>
      </w:r>
      <w:r w:rsidR="00CC14CC">
        <w:t>23</w:t>
      </w:r>
      <w:r w:rsidR="00F44AE1" w:rsidRPr="00C82028">
        <w:t>]</w:t>
      </w:r>
      <w:r w:rsidR="008C1730" w:rsidRPr="00C82028">
        <w:t xml:space="preserve">, </w:t>
      </w:r>
      <w:r w:rsidR="00E16934">
        <w:t>as well as</w:t>
      </w:r>
      <w:r w:rsidR="00E16934" w:rsidRPr="00C82028">
        <w:t xml:space="preserve"> </w:t>
      </w:r>
      <w:r w:rsidR="008C1730" w:rsidRPr="00C82028">
        <w:t>a sensitivity of 98.5</w:t>
      </w:r>
      <w:r w:rsidR="00D15B6E" w:rsidRPr="00C82028">
        <w:t xml:space="preserve">% and a specificity of 98.6% in a prospective </w:t>
      </w:r>
      <w:r w:rsidR="006F12D0">
        <w:t xml:space="preserve">passive screening </w:t>
      </w:r>
      <w:r w:rsidR="00D15B6E" w:rsidRPr="00C82028">
        <w:t xml:space="preserve">trial </w:t>
      </w:r>
      <w:r w:rsidR="00F44AE1" w:rsidRPr="00C82028">
        <w:t>[</w:t>
      </w:r>
      <w:r w:rsidR="00BE0820">
        <w:t>4</w:t>
      </w:r>
      <w:r w:rsidR="00247491">
        <w:t>9</w:t>
      </w:r>
      <w:r w:rsidR="00F44AE1" w:rsidRPr="00C82028">
        <w:t>]</w:t>
      </w:r>
      <w:r w:rsidR="00D15B6E" w:rsidRPr="00C82028">
        <w:t xml:space="preserve">. The other is the SD BIOLINE HAT produced by Alere/Standard Diagnostics (South Korea). A study that compared the performance of these two </w:t>
      </w:r>
      <w:r w:rsidR="00B36C2B" w:rsidRPr="00C82028">
        <w:t>RDTs</w:t>
      </w:r>
      <w:r w:rsidR="00D15B6E" w:rsidRPr="00C82028">
        <w:t xml:space="preserve"> on stored plasma originating from Guinea and Côte d’Ivoire</w:t>
      </w:r>
      <w:r w:rsidR="000D7CE8" w:rsidRPr="00C82028">
        <w:t xml:space="preserve"> reported sensitivities of 99.1% and 99.6%</w:t>
      </w:r>
      <w:r w:rsidR="00E16934">
        <w:t>,</w:t>
      </w:r>
      <w:r w:rsidR="000D7CE8" w:rsidRPr="00C82028">
        <w:t xml:space="preserve"> </w:t>
      </w:r>
      <w:r w:rsidR="006F12D0">
        <w:t>and</w:t>
      </w:r>
      <w:r w:rsidR="000D7CE8" w:rsidRPr="00C82028">
        <w:t xml:space="preserve"> specificities of 88.3% and 87.9% for the HAT Sero-K-SeT and the SD BIOLINE HAT</w:t>
      </w:r>
      <w:r w:rsidR="00E16934">
        <w:t>,</w:t>
      </w:r>
      <w:r w:rsidR="000D7CE8" w:rsidRPr="00C82028">
        <w:t xml:space="preserve"> respectively </w:t>
      </w:r>
      <w:r w:rsidR="00F44AE1" w:rsidRPr="00C82028">
        <w:t>[</w:t>
      </w:r>
      <w:r w:rsidR="00247491">
        <w:t>50</w:t>
      </w:r>
      <w:r w:rsidR="00F44AE1" w:rsidRPr="00C82028">
        <w:t>]</w:t>
      </w:r>
      <w:r w:rsidR="000D7CE8" w:rsidRPr="00C82028">
        <w:t>.</w:t>
      </w:r>
      <w:r w:rsidR="00B36C2B" w:rsidRPr="00C82028">
        <w:t xml:space="preserve"> </w:t>
      </w:r>
      <w:r w:rsidR="0038696E">
        <w:t xml:space="preserve">A prototype version of the SD BIOLINE HAT was also evaluated in a prospective study in </w:t>
      </w:r>
      <w:r w:rsidR="003E3BAB">
        <w:t xml:space="preserve">Angola, </w:t>
      </w:r>
      <w:r w:rsidR="0038696E">
        <w:t xml:space="preserve">the </w:t>
      </w:r>
      <w:r w:rsidR="00870997">
        <w:t>DRC</w:t>
      </w:r>
      <w:r w:rsidR="0038696E">
        <w:t xml:space="preserve"> and </w:t>
      </w:r>
      <w:r w:rsidR="003E3BAB">
        <w:t xml:space="preserve">the </w:t>
      </w:r>
      <w:r w:rsidR="0038696E">
        <w:t>Central African Republic [5</w:t>
      </w:r>
      <w:r w:rsidR="00DF391D">
        <w:t>1</w:t>
      </w:r>
      <w:r w:rsidR="0038696E">
        <w:t xml:space="preserve">], without pre-selecting participants using CATT. This study concluded that the sensitivity of the RDT </w:t>
      </w:r>
      <w:r w:rsidR="003E3BAB">
        <w:t>was not statisticall</w:t>
      </w:r>
      <w:r w:rsidR="0038696E">
        <w:t xml:space="preserve">y different from the sensitivity of CATT </w:t>
      </w:r>
      <w:r w:rsidR="00870997">
        <w:t xml:space="preserve">when </w:t>
      </w:r>
      <w:r w:rsidR="0038696E">
        <w:t>performed on whole blood</w:t>
      </w:r>
      <w:r w:rsidR="00885E14">
        <w:t>, while its specificity was 1.3% lower</w:t>
      </w:r>
      <w:r w:rsidR="0038696E">
        <w:t xml:space="preserve"> tha</w:t>
      </w:r>
      <w:r w:rsidR="003E3BAB">
        <w:t>n</w:t>
      </w:r>
      <w:r w:rsidR="00885E14">
        <w:t xml:space="preserve"> that of</w:t>
      </w:r>
      <w:r w:rsidR="0038696E">
        <w:t xml:space="preserve"> CATT. Tak</w:t>
      </w:r>
      <w:r w:rsidR="00C574BA">
        <w:t>en</w:t>
      </w:r>
      <w:r w:rsidR="0038696E">
        <w:t xml:space="preserve"> together, t</w:t>
      </w:r>
      <w:r w:rsidR="006F12D0">
        <w:t>hese r</w:t>
      </w:r>
      <w:r w:rsidR="00B36C2B" w:rsidRPr="00C82028">
        <w:t xml:space="preserve">esults </w:t>
      </w:r>
      <w:r w:rsidR="006F12D0">
        <w:t>demonstrate</w:t>
      </w:r>
      <w:r w:rsidR="00B36C2B" w:rsidRPr="00C82028">
        <w:t xml:space="preserve"> that the methodology that we used </w:t>
      </w:r>
      <w:r w:rsidR="006F12D0">
        <w:t>in the present study</w:t>
      </w:r>
      <w:r w:rsidR="006F12D0" w:rsidRPr="00C82028">
        <w:t xml:space="preserve"> </w:t>
      </w:r>
      <w:r w:rsidR="00B36C2B" w:rsidRPr="00C82028">
        <w:t xml:space="preserve">was </w:t>
      </w:r>
      <w:r w:rsidR="0031348C" w:rsidRPr="00C82028">
        <w:t xml:space="preserve">appropriate </w:t>
      </w:r>
      <w:r w:rsidR="006F12D0">
        <w:t>in</w:t>
      </w:r>
      <w:r w:rsidR="006F12D0" w:rsidRPr="00C82028">
        <w:t xml:space="preserve"> </w:t>
      </w:r>
      <w:r w:rsidR="00B36C2B" w:rsidRPr="00C82028">
        <w:t>identify</w:t>
      </w:r>
      <w:r w:rsidR="006F12D0">
        <w:t>ing</w:t>
      </w:r>
      <w:r w:rsidR="00B36C2B" w:rsidRPr="00C82028">
        <w:t xml:space="preserve"> </w:t>
      </w:r>
      <w:r w:rsidR="0031348C" w:rsidRPr="00C82028">
        <w:t>antigens</w:t>
      </w:r>
      <w:r w:rsidR="00B36C2B" w:rsidRPr="00C82028">
        <w:t xml:space="preserve"> with a high potential for development of a</w:t>
      </w:r>
      <w:r w:rsidR="00636E96" w:rsidRPr="00C82028">
        <w:t>n</w:t>
      </w:r>
      <w:r w:rsidR="00B36C2B" w:rsidRPr="00C82028">
        <w:t xml:space="preserve"> RDT for HAT.</w:t>
      </w:r>
    </w:p>
    <w:p w14:paraId="5C09326F" w14:textId="4CC6736B" w:rsidR="00AD3DF6" w:rsidRDefault="006E341F" w:rsidP="0095777F">
      <w:pPr>
        <w:spacing w:line="480" w:lineRule="auto"/>
        <w:jc w:val="both"/>
      </w:pPr>
      <w:r w:rsidRPr="0032786F">
        <w:t xml:space="preserve">Most of the antigens </w:t>
      </w:r>
      <w:r>
        <w:t xml:space="preserve">were found to react to both </w:t>
      </w:r>
      <w:r w:rsidRPr="0032786F">
        <w:rPr>
          <w:i/>
        </w:rPr>
        <w:t>gambiense</w:t>
      </w:r>
      <w:r w:rsidRPr="0032786F">
        <w:t xml:space="preserve"> </w:t>
      </w:r>
      <w:r>
        <w:t>and</w:t>
      </w:r>
      <w:r w:rsidRPr="0032786F">
        <w:t xml:space="preserve"> </w:t>
      </w:r>
      <w:r w:rsidRPr="0032786F">
        <w:rPr>
          <w:i/>
        </w:rPr>
        <w:t>rhodesiense</w:t>
      </w:r>
      <w:r w:rsidRPr="0032786F">
        <w:t xml:space="preserve"> infections, </w:t>
      </w:r>
      <w:r>
        <w:t>and</w:t>
      </w:r>
      <w:r w:rsidRPr="0032786F">
        <w:t xml:space="preserve"> the antigens that exhibited a strong reactivity with samples from one form of the disease were also reactive to the other form.</w:t>
      </w:r>
      <w:r w:rsidR="00AA4BB0">
        <w:t xml:space="preserve"> These results are consistent with the </w:t>
      </w:r>
      <w:r w:rsidR="00BB318E">
        <w:t>extremely high level of genomic similarity that has been reported between</w:t>
      </w:r>
      <w:r w:rsidR="00AA4BB0">
        <w:t xml:space="preserve"> </w:t>
      </w:r>
      <w:r w:rsidR="00AA4BB0" w:rsidRPr="00AA4BB0">
        <w:rPr>
          <w:i/>
        </w:rPr>
        <w:t>T. b. gambiense</w:t>
      </w:r>
      <w:r w:rsidR="00AA4BB0">
        <w:t xml:space="preserve"> and </w:t>
      </w:r>
      <w:r w:rsidR="00AA4BB0" w:rsidRPr="00AA4BB0">
        <w:rPr>
          <w:i/>
        </w:rPr>
        <w:t>T. b. rhodesiense</w:t>
      </w:r>
      <w:r w:rsidR="00BB318E" w:rsidRPr="00BB318E">
        <w:t xml:space="preserve"> [</w:t>
      </w:r>
      <w:r w:rsidR="00247491">
        <w:t>5</w:t>
      </w:r>
      <w:r w:rsidR="00DF391D">
        <w:t>2</w:t>
      </w:r>
      <w:r w:rsidR="00247491">
        <w:t>,5</w:t>
      </w:r>
      <w:r w:rsidR="00DF391D">
        <w:t>3</w:t>
      </w:r>
      <w:r w:rsidR="00BB318E" w:rsidRPr="00BB318E">
        <w:t>].</w:t>
      </w:r>
      <w:r w:rsidRPr="0032786F">
        <w:t xml:space="preserve"> </w:t>
      </w:r>
      <w:r w:rsidR="007845F8" w:rsidRPr="0032786F">
        <w:t xml:space="preserve">SRA </w:t>
      </w:r>
      <w:r w:rsidR="007845F8">
        <w:t>was</w:t>
      </w:r>
      <w:r w:rsidR="007845F8" w:rsidRPr="0032786F">
        <w:t xml:space="preserve"> an exception, since </w:t>
      </w:r>
      <w:r w:rsidR="007845F8">
        <w:t>this antigen was much more reactive to</w:t>
      </w:r>
      <w:r w:rsidR="007845F8" w:rsidRPr="0032786F">
        <w:t xml:space="preserve"> </w:t>
      </w:r>
      <w:r w:rsidR="007845F8" w:rsidRPr="0032786F">
        <w:rPr>
          <w:i/>
        </w:rPr>
        <w:t>rhodesiense</w:t>
      </w:r>
      <w:r w:rsidR="007845F8" w:rsidRPr="0032786F">
        <w:t xml:space="preserve"> </w:t>
      </w:r>
      <w:r w:rsidR="007845F8">
        <w:t xml:space="preserve">than to </w:t>
      </w:r>
      <w:r w:rsidR="007845F8" w:rsidRPr="0032786F">
        <w:rPr>
          <w:i/>
        </w:rPr>
        <w:t>gambiense</w:t>
      </w:r>
      <w:r w:rsidR="007845F8" w:rsidRPr="0032786F">
        <w:t xml:space="preserve"> samples.</w:t>
      </w:r>
      <w:r w:rsidR="007845F8">
        <w:t xml:space="preserve"> This finding is in agreement with the fact that SRA is a protein that is only expressed by </w:t>
      </w:r>
      <w:r w:rsidR="007845F8" w:rsidRPr="00D117DF">
        <w:rPr>
          <w:i/>
        </w:rPr>
        <w:t>T. b. rhodesiense</w:t>
      </w:r>
      <w:r w:rsidR="007845F8">
        <w:t xml:space="preserve"> and not by </w:t>
      </w:r>
      <w:r w:rsidR="007845F8" w:rsidRPr="00D117DF">
        <w:rPr>
          <w:i/>
        </w:rPr>
        <w:t>T. b. gambiense</w:t>
      </w:r>
      <w:r w:rsidR="007845F8">
        <w:rPr>
          <w:i/>
        </w:rPr>
        <w:t xml:space="preserve"> </w:t>
      </w:r>
      <w:r w:rsidR="007845F8" w:rsidRPr="00D117DF">
        <w:t>[</w:t>
      </w:r>
      <w:r w:rsidR="00CC14CC">
        <w:t>21</w:t>
      </w:r>
      <w:r w:rsidR="00C63060">
        <w:t>,</w:t>
      </w:r>
      <w:r w:rsidR="00CC14CC">
        <w:t>22</w:t>
      </w:r>
      <w:r w:rsidR="007845F8" w:rsidRPr="00C82028">
        <w:rPr>
          <w:color w:val="000000" w:themeColor="text1"/>
          <w:lang w:val="en-GB"/>
        </w:rPr>
        <w:t>]</w:t>
      </w:r>
      <w:r w:rsidR="007845F8" w:rsidRPr="00C82028">
        <w:t>.</w:t>
      </w:r>
      <w:r w:rsidR="001E4A6F">
        <w:t xml:space="preserve"> </w:t>
      </w:r>
      <w:r w:rsidR="007845F8">
        <w:t>Although</w:t>
      </w:r>
      <w:r>
        <w:t xml:space="preserve"> developing an RDT that would detect both </w:t>
      </w:r>
      <w:r w:rsidR="00E53532">
        <w:t xml:space="preserve">forms of </w:t>
      </w:r>
      <w:r>
        <w:t>disease using some of the antigens included in this panel could be considered</w:t>
      </w:r>
      <w:r w:rsidR="007845F8">
        <w:t xml:space="preserve">, </w:t>
      </w:r>
      <w:r w:rsidR="007B0AB6" w:rsidRPr="00C82028">
        <w:t xml:space="preserve">it </w:t>
      </w:r>
      <w:r w:rsidR="007B0AB6">
        <w:t xml:space="preserve">seems that even if two antigens are combined, the resulting </w:t>
      </w:r>
      <w:r w:rsidR="007B0AB6" w:rsidRPr="00C82028">
        <w:t>sensitivity</w:t>
      </w:r>
      <w:r w:rsidR="007B0AB6">
        <w:t xml:space="preserve"> for </w:t>
      </w:r>
      <w:r w:rsidR="007B0AB6" w:rsidRPr="00D117DF">
        <w:rPr>
          <w:i/>
        </w:rPr>
        <w:t>rhodesiense</w:t>
      </w:r>
      <w:r w:rsidR="007B0AB6">
        <w:t xml:space="preserve"> would not be sufficiently high</w:t>
      </w:r>
      <w:r w:rsidR="007B0AB6" w:rsidRPr="00C82028">
        <w:t xml:space="preserve">. </w:t>
      </w:r>
      <w:r w:rsidR="007B0AB6">
        <w:t xml:space="preserve">Further </w:t>
      </w:r>
      <w:r w:rsidR="007B0AB6" w:rsidRPr="00C82028">
        <w:t xml:space="preserve">research </w:t>
      </w:r>
      <w:r w:rsidR="00E53532">
        <w:t xml:space="preserve">is </w:t>
      </w:r>
      <w:r w:rsidR="007B0AB6">
        <w:t xml:space="preserve">therefore necessary </w:t>
      </w:r>
      <w:r w:rsidR="007B0AB6" w:rsidRPr="00C82028">
        <w:t xml:space="preserve">to identify other antigens </w:t>
      </w:r>
      <w:r w:rsidR="007B0AB6">
        <w:t xml:space="preserve">for use in developing a test for </w:t>
      </w:r>
      <w:r w:rsidR="007B0AB6" w:rsidRPr="00C82028">
        <w:rPr>
          <w:i/>
        </w:rPr>
        <w:t>rhodesiense</w:t>
      </w:r>
      <w:r w:rsidR="007B0AB6" w:rsidRPr="00C82028">
        <w:t xml:space="preserve"> HAT.</w:t>
      </w:r>
      <w:r w:rsidR="00951448">
        <w:t xml:space="preserve"> </w:t>
      </w:r>
      <w:r w:rsidR="00E6415F">
        <w:t>One approach might be to evaluate t</w:t>
      </w:r>
      <w:r w:rsidR="00951448">
        <w:t>he</w:t>
      </w:r>
      <w:r w:rsidR="00E6415F">
        <w:t xml:space="preserve"> diagnostic potential of the</w:t>
      </w:r>
      <w:r w:rsidR="00951448">
        <w:t xml:space="preserve"> 254 proteins that were identified by Eyford </w:t>
      </w:r>
      <w:r w:rsidR="00951448" w:rsidRPr="00661393">
        <w:rPr>
          <w:i/>
        </w:rPr>
        <w:t>et al.</w:t>
      </w:r>
      <w:r w:rsidR="00951448">
        <w:t xml:space="preserve"> [54] in the plasma from patients infected with </w:t>
      </w:r>
      <w:r w:rsidR="00951448" w:rsidRPr="00661393">
        <w:rPr>
          <w:i/>
        </w:rPr>
        <w:t>T. b. rhodesiense</w:t>
      </w:r>
      <w:r w:rsidR="00951448">
        <w:t>.</w:t>
      </w:r>
      <w:r w:rsidR="00AF3D3B">
        <w:t xml:space="preserve"> </w:t>
      </w:r>
      <w:r w:rsidR="009F1436">
        <w:t xml:space="preserve">Although </w:t>
      </w:r>
      <w:r w:rsidR="009F1436" w:rsidRPr="00661393">
        <w:rPr>
          <w:i/>
        </w:rPr>
        <w:t>gambiense</w:t>
      </w:r>
      <w:r w:rsidR="009F1436">
        <w:t xml:space="preserve"> and </w:t>
      </w:r>
      <w:r w:rsidR="009F1436" w:rsidRPr="00661393">
        <w:rPr>
          <w:i/>
        </w:rPr>
        <w:t>rhodesiense</w:t>
      </w:r>
      <w:r w:rsidR="009F1436">
        <w:t xml:space="preserve"> HAT are found in discrete geographical foci </w:t>
      </w:r>
      <w:r w:rsidR="00E03300">
        <w:t>[5</w:t>
      </w:r>
      <w:r w:rsidR="00951448">
        <w:t>5</w:t>
      </w:r>
      <w:r w:rsidR="00E03300">
        <w:t>]</w:t>
      </w:r>
      <w:r w:rsidR="009F1436">
        <w:t>, there ha</w:t>
      </w:r>
      <w:r w:rsidR="00C574BA">
        <w:t>ve</w:t>
      </w:r>
      <w:r w:rsidR="009F1436">
        <w:t xml:space="preserve"> been concerns that the two</w:t>
      </w:r>
      <w:r w:rsidR="009F1436" w:rsidRPr="009F1436">
        <w:t xml:space="preserve"> </w:t>
      </w:r>
      <w:r w:rsidR="00C574BA">
        <w:t xml:space="preserve">disease </w:t>
      </w:r>
      <w:r w:rsidR="009F1436" w:rsidRPr="00661393">
        <w:t xml:space="preserve">forms </w:t>
      </w:r>
      <w:r w:rsidR="009F1436" w:rsidRPr="009F1436">
        <w:t xml:space="preserve">may </w:t>
      </w:r>
      <w:r w:rsidR="00863C25">
        <w:t xml:space="preserve">eventually </w:t>
      </w:r>
      <w:r w:rsidR="009F1436" w:rsidRPr="009F1436">
        <w:t>coexist in the same region</w:t>
      </w:r>
      <w:r w:rsidR="009F1436">
        <w:t xml:space="preserve">. In particular, outbreaks of </w:t>
      </w:r>
      <w:r w:rsidR="009F1436" w:rsidRPr="00661393">
        <w:rPr>
          <w:i/>
        </w:rPr>
        <w:t>rhodesiense</w:t>
      </w:r>
      <w:r w:rsidR="009F1436">
        <w:t xml:space="preserve"> HAT in pr</w:t>
      </w:r>
      <w:r w:rsidR="00C574BA">
        <w:t>eviously unaffected districts of</w:t>
      </w:r>
      <w:r w:rsidR="009F1436">
        <w:t xml:space="preserve"> Uganda resulted in</w:t>
      </w:r>
      <w:r w:rsidR="00863C25">
        <w:t xml:space="preserve"> a significant expansion of the </w:t>
      </w:r>
      <w:r w:rsidR="00863C25" w:rsidRPr="00661393">
        <w:rPr>
          <w:i/>
        </w:rPr>
        <w:t>rhodesiense</w:t>
      </w:r>
      <w:r w:rsidR="00863C25">
        <w:t xml:space="preserve"> HAT endemic region from</w:t>
      </w:r>
      <w:r w:rsidR="00863C25" w:rsidRPr="00863C25">
        <w:t xml:space="preserve"> </w:t>
      </w:r>
      <w:r w:rsidR="00126DD7">
        <w:t>the s</w:t>
      </w:r>
      <w:r w:rsidR="00863C25">
        <w:t>outheast to</w:t>
      </w:r>
      <w:r w:rsidR="00126DD7">
        <w:t>wards the n</w:t>
      </w:r>
      <w:r w:rsidR="00863C25">
        <w:t>orthwest</w:t>
      </w:r>
      <w:r w:rsidR="00126DD7">
        <w:t>ern region</w:t>
      </w:r>
      <w:r w:rsidR="00863C25">
        <w:t xml:space="preserve"> of </w:t>
      </w:r>
      <w:r w:rsidR="00126DD7">
        <w:t>the country</w:t>
      </w:r>
      <w:r w:rsidR="00863C25">
        <w:t xml:space="preserve">, posing a risk of overlap with the other disease form </w:t>
      </w:r>
      <w:r w:rsidR="00E03300">
        <w:t>[5</w:t>
      </w:r>
      <w:r w:rsidR="00951448">
        <w:t>6</w:t>
      </w:r>
      <w:r w:rsidR="00E03300">
        <w:t>]</w:t>
      </w:r>
      <w:r w:rsidR="00C574BA">
        <w:t>. In such an event</w:t>
      </w:r>
      <w:r w:rsidR="009F1436">
        <w:t xml:space="preserve">, an RDT that would be specific for </w:t>
      </w:r>
      <w:r w:rsidR="009F1436" w:rsidRPr="00E954D3">
        <w:rPr>
          <w:i/>
        </w:rPr>
        <w:t>T.</w:t>
      </w:r>
      <w:r w:rsidR="009F1436">
        <w:rPr>
          <w:i/>
        </w:rPr>
        <w:t xml:space="preserve"> </w:t>
      </w:r>
      <w:r w:rsidR="009F1436" w:rsidRPr="00E954D3">
        <w:rPr>
          <w:i/>
        </w:rPr>
        <w:t>b. rhodesiense</w:t>
      </w:r>
      <w:r w:rsidR="009F1436">
        <w:t xml:space="preserve"> infections would be very useful, since treatments differ between t</w:t>
      </w:r>
      <w:r w:rsidR="00C574BA">
        <w:t>h</w:t>
      </w:r>
      <w:r w:rsidR="009F1436">
        <w:t xml:space="preserve">e two </w:t>
      </w:r>
      <w:r w:rsidR="00F41807">
        <w:t xml:space="preserve">disease </w:t>
      </w:r>
      <w:r w:rsidR="009F1436">
        <w:t>forms</w:t>
      </w:r>
      <w:r w:rsidR="00863C25">
        <w:t xml:space="preserve"> </w:t>
      </w:r>
      <w:r w:rsidR="00E03300">
        <w:t>[5</w:t>
      </w:r>
      <w:r w:rsidR="00951448">
        <w:t>7</w:t>
      </w:r>
      <w:r w:rsidR="00E03300">
        <w:t>]</w:t>
      </w:r>
      <w:r w:rsidR="009F1436">
        <w:t>.</w:t>
      </w:r>
      <w:r w:rsidR="008A68F3">
        <w:t xml:space="preserve"> </w:t>
      </w:r>
      <w:r>
        <w:t>It would also be worth test</w:t>
      </w:r>
      <w:r w:rsidRPr="007B0AB6">
        <w:t xml:space="preserve">ing </w:t>
      </w:r>
      <w:r w:rsidR="007B0AB6" w:rsidRPr="001A4479">
        <w:t xml:space="preserve">samples from </w:t>
      </w:r>
      <w:r w:rsidRPr="00F71B91">
        <w:rPr>
          <w:i/>
        </w:rPr>
        <w:t>rhodesiense</w:t>
      </w:r>
      <w:r>
        <w:t xml:space="preserve"> </w:t>
      </w:r>
      <w:r w:rsidR="007B0AB6">
        <w:t>patients</w:t>
      </w:r>
      <w:r>
        <w:t xml:space="preserve"> </w:t>
      </w:r>
      <w:r w:rsidR="00E53532">
        <w:t xml:space="preserve">with </w:t>
      </w:r>
      <w:r>
        <w:t xml:space="preserve">the RDTs that have been developed for </w:t>
      </w:r>
      <w:r w:rsidRPr="00D117DF">
        <w:rPr>
          <w:i/>
        </w:rPr>
        <w:t>gambiense</w:t>
      </w:r>
      <w:r w:rsidR="007B0AB6">
        <w:t xml:space="preserve"> HAT</w:t>
      </w:r>
      <w:r>
        <w:t xml:space="preserve">, as these tests might also prove useful as screening tools for </w:t>
      </w:r>
      <w:r w:rsidR="00E53532" w:rsidRPr="00966D60">
        <w:t>this</w:t>
      </w:r>
      <w:r w:rsidR="00E53532">
        <w:t xml:space="preserve"> form of disease</w:t>
      </w:r>
      <w:r>
        <w:t>.</w:t>
      </w:r>
      <w:r w:rsidR="00A0531B">
        <w:t xml:space="preserve"> </w:t>
      </w:r>
      <w:r w:rsidR="00881BD7">
        <w:t>Moreover, i</w:t>
      </w:r>
      <w:r w:rsidR="00F7256B">
        <w:t>t would be interesting to assess the diagnostic potential of t</w:t>
      </w:r>
      <w:r w:rsidR="00A0531B">
        <w:t xml:space="preserve">he </w:t>
      </w:r>
      <w:r w:rsidR="00881BD7" w:rsidRPr="00DF1E4B">
        <w:rPr>
          <w:i/>
        </w:rPr>
        <w:t>T. b. gambiense</w:t>
      </w:r>
      <w:r w:rsidR="00881BD7">
        <w:t>-specific</w:t>
      </w:r>
      <w:r w:rsidR="00881BD7">
        <w:rPr>
          <w:i/>
        </w:rPr>
        <w:t xml:space="preserve"> </w:t>
      </w:r>
      <w:r w:rsidR="00A0531B">
        <w:t>Tg</w:t>
      </w:r>
      <w:r w:rsidR="00F7256B">
        <w:t xml:space="preserve">sGP protein </w:t>
      </w:r>
      <w:r w:rsidR="00F7256B" w:rsidRPr="00966D60">
        <w:t>[</w:t>
      </w:r>
      <w:r w:rsidR="00E03300">
        <w:t>5</w:t>
      </w:r>
      <w:r w:rsidR="00951448">
        <w:t>8</w:t>
      </w:r>
      <w:r w:rsidR="00E03300">
        <w:t>,</w:t>
      </w:r>
      <w:r w:rsidR="00DF391D">
        <w:t>5</w:t>
      </w:r>
      <w:r w:rsidR="00951448">
        <w:t>9</w:t>
      </w:r>
      <w:r w:rsidR="00F7256B" w:rsidRPr="00966D60">
        <w:t>]</w:t>
      </w:r>
      <w:r w:rsidR="00F7256B">
        <w:t xml:space="preserve">, </w:t>
      </w:r>
      <w:r w:rsidR="00881BD7">
        <w:t>which</w:t>
      </w:r>
      <w:r w:rsidR="00F7256B">
        <w:t xml:space="preserve"> </w:t>
      </w:r>
      <w:r w:rsidR="00E53532">
        <w:t xml:space="preserve">was not available for inclusion in </w:t>
      </w:r>
      <w:r w:rsidR="00F7256B">
        <w:t>this study.</w:t>
      </w:r>
    </w:p>
    <w:p w14:paraId="3DB9C8B3" w14:textId="030A9CA9" w:rsidR="00602CC5" w:rsidRDefault="00602CC5" w:rsidP="0095777F">
      <w:pPr>
        <w:spacing w:line="480" w:lineRule="auto"/>
        <w:jc w:val="both"/>
      </w:pPr>
      <w:r w:rsidRPr="00C82028">
        <w:t xml:space="preserve">The results from the second and third rounds of </w:t>
      </w:r>
      <w:r w:rsidR="00EF1974">
        <w:t>screening</w:t>
      </w:r>
      <w:r w:rsidR="00EF1974" w:rsidRPr="00C82028">
        <w:t xml:space="preserve"> </w:t>
      </w:r>
      <w:r w:rsidRPr="00C82028">
        <w:t>were obtained using two different and complementary methods. Assessment by slot blot</w:t>
      </w:r>
      <w:r w:rsidR="00AA3A33">
        <w:t>ting</w:t>
      </w:r>
      <w:r w:rsidRPr="00C82028">
        <w:t xml:space="preserve"> gives an indication of the performance of antigens on a nitrocellulose membrane, which is a commonly used solid phase </w:t>
      </w:r>
      <w:r w:rsidR="00AA3A33">
        <w:t xml:space="preserve">platform </w:t>
      </w:r>
      <w:r w:rsidRPr="00C82028">
        <w:t xml:space="preserve">in lateral-flow </w:t>
      </w:r>
      <w:r w:rsidR="00EF1974">
        <w:t>RDTs</w:t>
      </w:r>
      <w:r w:rsidRPr="00C82028">
        <w:t xml:space="preserve">. On the other hand, ELISA relies on photometric measurements that </w:t>
      </w:r>
      <w:r w:rsidR="00AA3A33">
        <w:t xml:space="preserve">should </w:t>
      </w:r>
      <w:r w:rsidRPr="00C82028">
        <w:t xml:space="preserve">allow for a more precise quantification of the reactivity of antigens. Although there were some differences in the ranking of antigens using these two methods, the overall pattern of results </w:t>
      </w:r>
      <w:r w:rsidR="00EF1974">
        <w:t xml:space="preserve">for both </w:t>
      </w:r>
      <w:r w:rsidR="00EF1974" w:rsidRPr="00C82028">
        <w:t>slot blot</w:t>
      </w:r>
      <w:r w:rsidR="00AA3A33">
        <w:t>ting</w:t>
      </w:r>
      <w:r w:rsidR="00EF1974" w:rsidRPr="00C82028">
        <w:t xml:space="preserve"> and ELISA </w:t>
      </w:r>
      <w:r w:rsidRPr="00C82028">
        <w:t>was remarkably similar, reinforc</w:t>
      </w:r>
      <w:r w:rsidR="00EF1974">
        <w:t>ing</w:t>
      </w:r>
      <w:r w:rsidRPr="00C82028">
        <w:t xml:space="preserve"> the validity of the results </w:t>
      </w:r>
      <w:r w:rsidR="00AA3A33">
        <w:t>generated in</w:t>
      </w:r>
      <w:r w:rsidR="00AA3A33" w:rsidRPr="00C82028">
        <w:t xml:space="preserve"> </w:t>
      </w:r>
      <w:r w:rsidRPr="00C82028">
        <w:t xml:space="preserve">this study. However, some differences in reactivity were found using these two methods. For instance, ISG75 and GAPDH exhibited a much higher reactivity in slot blot than in ELISA. Although the reasons for such differences were not investigated, </w:t>
      </w:r>
      <w:r w:rsidR="00EF1974" w:rsidRPr="00C82028">
        <w:t xml:space="preserve">binding properties of </w:t>
      </w:r>
      <w:r w:rsidRPr="00C82028">
        <w:t>different antigen</w:t>
      </w:r>
      <w:r w:rsidR="00EF1974">
        <w:t>s</w:t>
      </w:r>
      <w:r w:rsidRPr="00C82028">
        <w:t xml:space="preserve"> </w:t>
      </w:r>
      <w:r w:rsidR="00EF1974">
        <w:t xml:space="preserve">to </w:t>
      </w:r>
      <w:r w:rsidRPr="00C82028">
        <w:t xml:space="preserve">the two matrices are likely to play a role, which may result in distinct affinity as well as different orientation or denaturation of antigens. When interpreting these results, it is therefore critical to also take into account </w:t>
      </w:r>
      <w:r w:rsidR="00EF1974">
        <w:t xml:space="preserve">the </w:t>
      </w:r>
      <w:r w:rsidR="00EF1974" w:rsidRPr="00C82028">
        <w:t xml:space="preserve">matrix </w:t>
      </w:r>
      <w:r w:rsidRPr="00C82028">
        <w:t xml:space="preserve">on which </w:t>
      </w:r>
      <w:r w:rsidR="00EF1974">
        <w:t xml:space="preserve">the </w:t>
      </w:r>
      <w:r w:rsidRPr="00C82028">
        <w:t xml:space="preserve">antigens </w:t>
      </w:r>
      <w:r w:rsidR="00EF1974">
        <w:t>would</w:t>
      </w:r>
      <w:r w:rsidR="00EF1974" w:rsidRPr="00C82028">
        <w:t xml:space="preserve"> </w:t>
      </w:r>
      <w:r w:rsidRPr="00C82028">
        <w:t xml:space="preserve">eventually be applied in a </w:t>
      </w:r>
      <w:r w:rsidR="00475C44">
        <w:t>serological</w:t>
      </w:r>
      <w:r w:rsidRPr="00C82028">
        <w:t xml:space="preserve"> test.</w:t>
      </w:r>
      <w:r w:rsidR="00EF1974">
        <w:t xml:space="preserve"> In our case, the target was to develop an RDT with a nitrocellulose matrix, and therefore the </w:t>
      </w:r>
      <w:r w:rsidR="007845F8">
        <w:t xml:space="preserve">slot blot </w:t>
      </w:r>
      <w:r w:rsidR="00EF1974">
        <w:t>results were given higher consideration.</w:t>
      </w:r>
    </w:p>
    <w:p w14:paraId="1B55608F" w14:textId="54B58474" w:rsidR="00F01657" w:rsidRDefault="00602CC5" w:rsidP="0095777F">
      <w:pPr>
        <w:spacing w:line="480" w:lineRule="auto"/>
        <w:jc w:val="both"/>
      </w:pPr>
      <w:r w:rsidRPr="00C82028">
        <w:t>While</w:t>
      </w:r>
      <w:r w:rsidR="00DC0771" w:rsidRPr="00C82028">
        <w:t xml:space="preserve"> efforts were made to be as comprehensive as possible and include all the antigens that had been previously reported </w:t>
      </w:r>
      <w:r w:rsidR="009C7AF4">
        <w:t>as</w:t>
      </w:r>
      <w:r w:rsidR="009C7AF4" w:rsidRPr="00C82028">
        <w:t xml:space="preserve"> </w:t>
      </w:r>
      <w:r w:rsidR="009C7AF4">
        <w:t>having a diagnostic</w:t>
      </w:r>
      <w:r w:rsidR="00DC0771" w:rsidRPr="00C82028">
        <w:t xml:space="preserve"> potential, this work only included 35 antigens. It is</w:t>
      </w:r>
      <w:r w:rsidR="00327B68" w:rsidRPr="00C82028">
        <w:t xml:space="preserve"> </w:t>
      </w:r>
      <w:r w:rsidR="00DC0771" w:rsidRPr="00C82028">
        <w:t xml:space="preserve">possible that other antigens that </w:t>
      </w:r>
      <w:r w:rsidR="009C7AF4">
        <w:t xml:space="preserve">were either not included or </w:t>
      </w:r>
      <w:r w:rsidR="00DC0771" w:rsidRPr="00C82028">
        <w:t>ha</w:t>
      </w:r>
      <w:r w:rsidR="00327B68" w:rsidRPr="00C82028">
        <w:t>d</w:t>
      </w:r>
      <w:r w:rsidR="00DC0771" w:rsidRPr="00C82028">
        <w:t xml:space="preserve"> not been identified</w:t>
      </w:r>
      <w:r w:rsidR="00327B68" w:rsidRPr="00C82028">
        <w:t xml:space="preserve"> </w:t>
      </w:r>
      <w:r w:rsidR="0031348C" w:rsidRPr="00C82028">
        <w:t xml:space="preserve">at </w:t>
      </w:r>
      <w:r w:rsidR="009C7AF4">
        <w:t>that</w:t>
      </w:r>
      <w:r w:rsidR="009C7AF4" w:rsidRPr="00C82028">
        <w:t xml:space="preserve"> </w:t>
      </w:r>
      <w:r w:rsidR="0031348C" w:rsidRPr="00C82028">
        <w:t xml:space="preserve">time </w:t>
      </w:r>
      <w:r w:rsidR="00DC0771" w:rsidRPr="00C82028">
        <w:t>could perform equally well o</w:t>
      </w:r>
      <w:r>
        <w:t>r</w:t>
      </w:r>
      <w:r w:rsidR="00DC0771" w:rsidRPr="00C82028">
        <w:t xml:space="preserve"> better than </w:t>
      </w:r>
      <w:r w:rsidR="0031348C" w:rsidRPr="00C82028">
        <w:t>assessed</w:t>
      </w:r>
      <w:r w:rsidR="009C7AF4">
        <w:t xml:space="preserve"> in the present study</w:t>
      </w:r>
      <w:r w:rsidR="00DC0771" w:rsidRPr="00C82028">
        <w:t>.</w:t>
      </w:r>
      <w:r w:rsidR="004D29C4" w:rsidRPr="00C82028">
        <w:t xml:space="preserve"> For example, the flagellar calcium-binding protein TB-17</w:t>
      </w:r>
      <w:r w:rsidR="00122863" w:rsidRPr="00C82028">
        <w:t xml:space="preserve"> </w:t>
      </w:r>
      <w:r w:rsidR="00F44AE1" w:rsidRPr="00C82028">
        <w:t>[</w:t>
      </w:r>
      <w:r w:rsidR="00ED756D">
        <w:t>20</w:t>
      </w:r>
      <w:r w:rsidR="00C63060">
        <w:t>,</w:t>
      </w:r>
      <w:r w:rsidR="00951448">
        <w:t>60</w:t>
      </w:r>
      <w:r w:rsidR="00F44AE1" w:rsidRPr="00C82028">
        <w:t>]</w:t>
      </w:r>
      <w:r w:rsidR="009C7AF4">
        <w:t>,</w:t>
      </w:r>
      <w:r w:rsidR="00327B68" w:rsidRPr="00C82028">
        <w:t xml:space="preserve"> t</w:t>
      </w:r>
      <w:r w:rsidR="00E91713" w:rsidRPr="00C82028">
        <w:t xml:space="preserve">he </w:t>
      </w:r>
      <w:r w:rsidR="00122863" w:rsidRPr="00C82028">
        <w:t>Gene Related to Expression Site Associated Gene</w:t>
      </w:r>
      <w:r w:rsidR="0031348C" w:rsidRPr="00C82028">
        <w:t xml:space="preserve"> </w:t>
      </w:r>
      <w:r w:rsidR="00122863" w:rsidRPr="00C82028">
        <w:t>(</w:t>
      </w:r>
      <w:r w:rsidR="00E91713" w:rsidRPr="00C82028">
        <w:t>GRESAG) 4</w:t>
      </w:r>
      <w:r w:rsidR="009C7AF4">
        <w:t>,</w:t>
      </w:r>
      <w:r w:rsidR="00E91713" w:rsidRPr="00C82028">
        <w:t xml:space="preserve"> and transferrin receptor subunits ESAG 6 and 7 have also been </w:t>
      </w:r>
      <w:r w:rsidR="0031348C" w:rsidRPr="00C82028">
        <w:t>suggested as potential candidates</w:t>
      </w:r>
      <w:r w:rsidR="00E91713" w:rsidRPr="00C82028">
        <w:t xml:space="preserve"> </w:t>
      </w:r>
      <w:r w:rsidR="00F44AE1" w:rsidRPr="00C82028">
        <w:t>[</w:t>
      </w:r>
      <w:r w:rsidR="00ED756D">
        <w:t>20</w:t>
      </w:r>
      <w:r w:rsidR="00F44AE1" w:rsidRPr="00C82028">
        <w:t>]</w:t>
      </w:r>
      <w:r w:rsidR="00E91713" w:rsidRPr="00C82028">
        <w:t>.</w:t>
      </w:r>
      <w:r w:rsidR="00545C75">
        <w:t xml:space="preserve"> Since the most </w:t>
      </w:r>
      <w:r w:rsidR="00980E81">
        <w:t>reactive</w:t>
      </w:r>
      <w:r w:rsidR="00545C75">
        <w:t xml:space="preserve"> antigens include the native </w:t>
      </w:r>
      <w:r w:rsidR="00545C75" w:rsidRPr="00545C75">
        <w:t>VSG LiTat 1.3 and VSG LiTat 1.5</w:t>
      </w:r>
      <w:r w:rsidR="00545C75">
        <w:t xml:space="preserve"> antigens, which are costly and difficult to produce, </w:t>
      </w:r>
      <w:r w:rsidR="00980E81">
        <w:t>one</w:t>
      </w:r>
      <w:r w:rsidR="00545C75">
        <w:t xml:space="preserve"> approach might be to generate recombinant versions of these proteins. This was attempted by Rogé </w:t>
      </w:r>
      <w:r w:rsidR="00545C75" w:rsidRPr="009B4D83">
        <w:rPr>
          <w:i/>
        </w:rPr>
        <w:t>et al.</w:t>
      </w:r>
      <w:r w:rsidR="0054227C">
        <w:t xml:space="preserve"> [</w:t>
      </w:r>
      <w:r w:rsidR="00E03300">
        <w:t>6</w:t>
      </w:r>
      <w:r w:rsidR="00951448">
        <w:t>1</w:t>
      </w:r>
      <w:r w:rsidR="0054227C">
        <w:t>]</w:t>
      </w:r>
      <w:r w:rsidR="003F6380">
        <w:t>,</w:t>
      </w:r>
      <w:r w:rsidR="00545C75">
        <w:t xml:space="preserve"> </w:t>
      </w:r>
      <w:r w:rsidR="00980E81">
        <w:t>who expressed</w:t>
      </w:r>
      <w:r w:rsidR="00545C75">
        <w:t xml:space="preserve"> the immunogenic N-terminal part of these antigens in </w:t>
      </w:r>
      <w:r w:rsidR="00545C75" w:rsidRPr="009B4D83">
        <w:rPr>
          <w:i/>
        </w:rPr>
        <w:t>Pichia pastoris</w:t>
      </w:r>
      <w:r w:rsidR="003F6380" w:rsidRPr="009B4D83">
        <w:t>,</w:t>
      </w:r>
      <w:r w:rsidR="003F6380">
        <w:t xml:space="preserve"> and by Rooney </w:t>
      </w:r>
      <w:r w:rsidR="003F6380" w:rsidRPr="009B4D83">
        <w:rPr>
          <w:i/>
        </w:rPr>
        <w:t>et al.</w:t>
      </w:r>
      <w:r w:rsidR="003F6380">
        <w:t xml:space="preserve"> </w:t>
      </w:r>
      <w:r w:rsidR="000A04A2">
        <w:t>[</w:t>
      </w:r>
      <w:r w:rsidR="00E03300">
        <w:t>6</w:t>
      </w:r>
      <w:r w:rsidR="00951448">
        <w:t>2</w:t>
      </w:r>
      <w:r w:rsidR="0054227C">
        <w:t>]</w:t>
      </w:r>
      <w:r w:rsidR="003F6380">
        <w:t xml:space="preserve">, who expressed these antigens and ISG65 in </w:t>
      </w:r>
      <w:r w:rsidR="003F6380" w:rsidRPr="009B4D83">
        <w:rPr>
          <w:i/>
        </w:rPr>
        <w:t>Leishmania tarentolae</w:t>
      </w:r>
      <w:r w:rsidR="00545C75">
        <w:t xml:space="preserve">. </w:t>
      </w:r>
      <w:r w:rsidR="00D3307A">
        <w:t xml:space="preserve">While </w:t>
      </w:r>
      <w:r w:rsidR="003F6380">
        <w:t>evaluation of these recombinant antigens by</w:t>
      </w:r>
      <w:r w:rsidR="00545C75">
        <w:t xml:space="preserve"> </w:t>
      </w:r>
      <w:r w:rsidR="00980E81">
        <w:t xml:space="preserve">ELISA </w:t>
      </w:r>
      <w:r w:rsidR="003F6380">
        <w:t xml:space="preserve">gave very promising </w:t>
      </w:r>
      <w:r w:rsidR="00545C75">
        <w:t>results, the</w:t>
      </w:r>
      <w:r w:rsidR="003F6380">
        <w:t>ir</w:t>
      </w:r>
      <w:r w:rsidR="00545C75">
        <w:t xml:space="preserve"> diagnostic potential</w:t>
      </w:r>
      <w:r w:rsidR="00980E81">
        <w:t xml:space="preserve"> </w:t>
      </w:r>
      <w:r w:rsidR="00545C75">
        <w:t>in a</w:t>
      </w:r>
      <w:r w:rsidR="007845F8">
        <w:t>n</w:t>
      </w:r>
      <w:r w:rsidR="00545C75">
        <w:t xml:space="preserve"> </w:t>
      </w:r>
      <w:r w:rsidR="003F6380">
        <w:t>RDT</w:t>
      </w:r>
      <w:r w:rsidR="00545C75">
        <w:t xml:space="preserve"> format remains to be confirmed.</w:t>
      </w:r>
      <w:r w:rsidR="00F01657">
        <w:t xml:space="preserve"> Another approach has been to produce synthetic </w:t>
      </w:r>
      <w:r w:rsidR="00D3307A">
        <w:t xml:space="preserve">peptide </w:t>
      </w:r>
      <w:r w:rsidR="00F01657">
        <w:t>mimotop</w:t>
      </w:r>
      <w:r w:rsidR="00D3307A">
        <w:t>es</w:t>
      </w:r>
      <w:r w:rsidR="00F01657">
        <w:t xml:space="preserve"> corresponding to epitopes of </w:t>
      </w:r>
      <w:r w:rsidR="00F01657" w:rsidRPr="00F01657">
        <w:t>VSG LiTat 1.3 and VSG LiTat 1.5</w:t>
      </w:r>
      <w:r w:rsidR="009B4D83">
        <w:t>; however, the diagnostic accuracy of these peptides was found to be lower than that</w:t>
      </w:r>
      <w:r w:rsidR="007845F8">
        <w:t xml:space="preserve"> of full-</w:t>
      </w:r>
      <w:r w:rsidR="009B4D83">
        <w:t xml:space="preserve">length native antigens </w:t>
      </w:r>
      <w:r w:rsidR="00F01657">
        <w:t>[</w:t>
      </w:r>
      <w:r w:rsidR="00E03300">
        <w:t>6</w:t>
      </w:r>
      <w:r w:rsidR="00951448">
        <w:t>3</w:t>
      </w:r>
      <w:r w:rsidR="00E03300">
        <w:t>-6</w:t>
      </w:r>
      <w:r w:rsidR="00951448">
        <w:t>5</w:t>
      </w:r>
      <w:r w:rsidR="00F01657">
        <w:t>]</w:t>
      </w:r>
      <w:r w:rsidR="009B4D83">
        <w:t>.</w:t>
      </w:r>
    </w:p>
    <w:p w14:paraId="35660625" w14:textId="753E66F4" w:rsidR="00437FC6" w:rsidRPr="00C82028" w:rsidRDefault="00327B68" w:rsidP="0095777F">
      <w:pPr>
        <w:autoSpaceDE w:val="0"/>
        <w:autoSpaceDN w:val="0"/>
        <w:adjustRightInd w:val="0"/>
        <w:spacing w:line="480" w:lineRule="auto"/>
        <w:jc w:val="both"/>
      </w:pPr>
      <w:r w:rsidRPr="00C82028">
        <w:t xml:space="preserve">An important limitation of this </w:t>
      </w:r>
      <w:r w:rsidR="009C7AF4">
        <w:t>study</w:t>
      </w:r>
      <w:r w:rsidR="009C7AF4" w:rsidRPr="00C82028">
        <w:t xml:space="preserve"> </w:t>
      </w:r>
      <w:r w:rsidR="009C7AF4">
        <w:t>was in</w:t>
      </w:r>
      <w:r w:rsidRPr="00C82028">
        <w:t xml:space="preserve"> the selection of</w:t>
      </w:r>
      <w:r w:rsidR="008341D6" w:rsidRPr="00C82028">
        <w:t xml:space="preserve"> the</w:t>
      </w:r>
      <w:r w:rsidRPr="00C82028">
        <w:t xml:space="preserve"> </w:t>
      </w:r>
      <w:r w:rsidR="007845F8">
        <w:t xml:space="preserve">clinical </w:t>
      </w:r>
      <w:r w:rsidRPr="00C82028">
        <w:t xml:space="preserve">samples that were used to </w:t>
      </w:r>
      <w:r w:rsidR="00233C50">
        <w:t>screen the</w:t>
      </w:r>
      <w:r w:rsidR="00233C50" w:rsidRPr="00C82028">
        <w:t xml:space="preserve"> </w:t>
      </w:r>
      <w:r w:rsidRPr="00C82028">
        <w:t>antigens.</w:t>
      </w:r>
      <w:r w:rsidR="00F44AE1" w:rsidRPr="00C82028">
        <w:t xml:space="preserve"> All </w:t>
      </w:r>
      <w:r w:rsidR="00F44AE1" w:rsidRPr="00C82028">
        <w:rPr>
          <w:i/>
        </w:rPr>
        <w:t>gambiense</w:t>
      </w:r>
      <w:r w:rsidR="00F44AE1" w:rsidRPr="00C82028">
        <w:t xml:space="preserve"> HAT cases were identified following screening using</w:t>
      </w:r>
      <w:r w:rsidR="00233C50">
        <w:t xml:space="preserve"> the</w:t>
      </w:r>
      <w:r w:rsidR="00F44AE1" w:rsidRPr="00C82028">
        <w:t xml:space="preserve"> CATT</w:t>
      </w:r>
      <w:r w:rsidR="00233C50">
        <w:t xml:space="preserve"> test</w:t>
      </w:r>
      <w:r w:rsidR="00F44AE1" w:rsidRPr="00C82028">
        <w:t xml:space="preserve">. CATT reagents consist of lyophilized bloodstream form </w:t>
      </w:r>
      <w:r w:rsidR="00F44AE1" w:rsidRPr="00C82028">
        <w:rPr>
          <w:i/>
        </w:rPr>
        <w:t>T.</w:t>
      </w:r>
      <w:r w:rsidR="00FA1168">
        <w:rPr>
          <w:i/>
        </w:rPr>
        <w:t xml:space="preserve"> </w:t>
      </w:r>
      <w:r w:rsidR="00F44AE1" w:rsidRPr="00C82028">
        <w:rPr>
          <w:i/>
        </w:rPr>
        <w:t>b. gambiense</w:t>
      </w:r>
      <w:r w:rsidR="00F44AE1" w:rsidRPr="00C82028">
        <w:t xml:space="preserve"> parasites expressing VSG LiTat 1.3 [</w:t>
      </w:r>
      <w:r w:rsidR="00C63060">
        <w:t>4</w:t>
      </w:r>
      <w:r w:rsidR="00F44AE1" w:rsidRPr="00C82028">
        <w:t xml:space="preserve">]. This means that by definition, all samples from </w:t>
      </w:r>
      <w:r w:rsidR="00F44AE1" w:rsidRPr="00C82028">
        <w:rPr>
          <w:i/>
        </w:rPr>
        <w:t>gambiense</w:t>
      </w:r>
      <w:r w:rsidR="00F44AE1" w:rsidRPr="00C82028">
        <w:t xml:space="preserve"> HAT cases </w:t>
      </w:r>
      <w:r w:rsidR="00636E96" w:rsidRPr="00C82028">
        <w:t>were sero</w:t>
      </w:r>
      <w:r w:rsidR="00233C50">
        <w:t>-</w:t>
      </w:r>
      <w:r w:rsidR="00636E96" w:rsidRPr="00C82028">
        <w:t>reactive to</w:t>
      </w:r>
      <w:r w:rsidR="00F44AE1" w:rsidRPr="00C82028">
        <w:t xml:space="preserve"> VSG LiTat 1.3</w:t>
      </w:r>
      <w:r w:rsidR="00760623" w:rsidRPr="00C82028">
        <w:t>. This selection bias c</w:t>
      </w:r>
      <w:r w:rsidR="00186C10" w:rsidRPr="00C82028">
        <w:t xml:space="preserve">ould explain why this antigen performed so well in this </w:t>
      </w:r>
      <w:r w:rsidR="00475C44">
        <w:t>study</w:t>
      </w:r>
      <w:r w:rsidR="00FA4430" w:rsidRPr="00C82028">
        <w:t xml:space="preserve">. In addition, it is conceivable </w:t>
      </w:r>
      <w:r w:rsidR="00186C10" w:rsidRPr="00C82028">
        <w:t xml:space="preserve">that samples from other </w:t>
      </w:r>
      <w:r w:rsidR="00186C10" w:rsidRPr="00C82028">
        <w:rPr>
          <w:i/>
        </w:rPr>
        <w:t>gambiense</w:t>
      </w:r>
      <w:r w:rsidR="00186C10" w:rsidRPr="00C82028">
        <w:t xml:space="preserve"> HAT cases with a different serological profile</w:t>
      </w:r>
      <w:r w:rsidR="00760623" w:rsidRPr="00C82028">
        <w:t xml:space="preserve"> and </w:t>
      </w:r>
      <w:r w:rsidR="00FA4430" w:rsidRPr="00C82028">
        <w:t xml:space="preserve">that would </w:t>
      </w:r>
      <w:r w:rsidR="00760623" w:rsidRPr="00C82028">
        <w:t xml:space="preserve">potentially </w:t>
      </w:r>
      <w:r w:rsidR="00FA4430" w:rsidRPr="00C82028">
        <w:t xml:space="preserve">be </w:t>
      </w:r>
      <w:r w:rsidR="00760623" w:rsidRPr="00C82028">
        <w:t xml:space="preserve">more reactive </w:t>
      </w:r>
      <w:r w:rsidR="008341D6" w:rsidRPr="00C82028">
        <w:t>to</w:t>
      </w:r>
      <w:r w:rsidR="00760623" w:rsidRPr="00C82028">
        <w:t xml:space="preserve"> other antigens</w:t>
      </w:r>
      <w:r w:rsidR="00186C10" w:rsidRPr="00C82028">
        <w:t xml:space="preserve"> could have been mis</w:t>
      </w:r>
      <w:r w:rsidR="00760623" w:rsidRPr="00C82028">
        <w:t xml:space="preserve">sed during screening with CATT. Similarly, all controls originating from </w:t>
      </w:r>
      <w:r w:rsidR="00760623" w:rsidRPr="00C82028">
        <w:rPr>
          <w:i/>
        </w:rPr>
        <w:t>gambiense</w:t>
      </w:r>
      <w:r w:rsidR="00760623" w:rsidRPr="00C82028">
        <w:t xml:space="preserve"> endemic countries </w:t>
      </w:r>
      <w:r w:rsidR="008341D6" w:rsidRPr="00C82028">
        <w:t>had to be</w:t>
      </w:r>
      <w:r w:rsidR="00760623" w:rsidRPr="00C82028">
        <w:t xml:space="preserve"> negative with CATT. This is likely to have introduced a bias resulting in an over</w:t>
      </w:r>
      <w:r w:rsidR="00233C50">
        <w:t>-</w:t>
      </w:r>
      <w:r w:rsidR="00760623" w:rsidRPr="00C82028">
        <w:t>estimate of the specificity of antigens that are related to CATT, such as VS</w:t>
      </w:r>
      <w:r w:rsidR="008341D6" w:rsidRPr="00C82028">
        <w:t>G LiTat 1.3</w:t>
      </w:r>
      <w:r w:rsidR="00760623" w:rsidRPr="00C82028">
        <w:t>.</w:t>
      </w:r>
      <w:r w:rsidR="00233C50">
        <w:t xml:space="preserve"> I</w:t>
      </w:r>
      <w:r w:rsidR="00760623" w:rsidRPr="00C82028">
        <w:t xml:space="preserve">t is </w:t>
      </w:r>
      <w:r w:rsidR="00233C50">
        <w:t>t</w:t>
      </w:r>
      <w:r w:rsidR="00233C50" w:rsidRPr="00C82028">
        <w:t xml:space="preserve">herefore </w:t>
      </w:r>
      <w:r w:rsidR="00760623" w:rsidRPr="00C82028">
        <w:t xml:space="preserve">possible that </w:t>
      </w:r>
      <w:r w:rsidR="008341D6" w:rsidRPr="00C82028">
        <w:t xml:space="preserve">the </w:t>
      </w:r>
      <w:r w:rsidR="00760623" w:rsidRPr="00C82028">
        <w:t>results</w:t>
      </w:r>
      <w:r w:rsidR="008341D6" w:rsidRPr="00C82028">
        <w:t xml:space="preserve"> of </w:t>
      </w:r>
      <w:r w:rsidR="00233C50">
        <w:t>this study</w:t>
      </w:r>
      <w:r w:rsidR="00760623" w:rsidRPr="00C82028">
        <w:t xml:space="preserve"> could have been significantly different if samples had not been pre-selected using </w:t>
      </w:r>
      <w:r w:rsidR="008341D6" w:rsidRPr="00C82028">
        <w:t>a</w:t>
      </w:r>
      <w:r w:rsidR="00233C50">
        <w:t>ny</w:t>
      </w:r>
      <w:r w:rsidR="00760623" w:rsidRPr="00C82028">
        <w:t xml:space="preserve"> serological test. Unfortunately, we </w:t>
      </w:r>
      <w:r w:rsidR="00233C50">
        <w:t>could</w:t>
      </w:r>
      <w:r w:rsidR="00233C50" w:rsidRPr="00C82028">
        <w:t xml:space="preserve"> </w:t>
      </w:r>
      <w:r w:rsidR="00760623" w:rsidRPr="00C82028">
        <w:t>not get access to samples that were not pre-selected by CATT, since virtually all the prospective studies involving sample collection that have been co</w:t>
      </w:r>
      <w:r w:rsidR="008341D6" w:rsidRPr="00C82028">
        <w:t>nducted over the last few decades involved selection of participan</w:t>
      </w:r>
      <w:r w:rsidR="00FA4430" w:rsidRPr="00C82028">
        <w:t>ts on the basis of CATT results.</w:t>
      </w:r>
      <w:r w:rsidR="00475C44">
        <w:t xml:space="preserve"> Future attempts to </w:t>
      </w:r>
      <w:r w:rsidR="003F0012">
        <w:t>evaluate</w:t>
      </w:r>
      <w:r w:rsidR="00475C44">
        <w:t xml:space="preserve"> </w:t>
      </w:r>
      <w:r w:rsidR="00233C50">
        <w:t xml:space="preserve">antigens for their </w:t>
      </w:r>
      <w:r w:rsidR="00475C44">
        <w:t>potential in diagnosi</w:t>
      </w:r>
      <w:r w:rsidR="00233C50">
        <w:t>s of</w:t>
      </w:r>
      <w:r w:rsidR="00475C44">
        <w:t xml:space="preserve"> HAT would benefit from new prospective</w:t>
      </w:r>
      <w:r w:rsidR="00D41507">
        <w:t xml:space="preserve"> collections of clinical samples whose selection would not rely on </w:t>
      </w:r>
      <w:r w:rsidR="00475C44">
        <w:t xml:space="preserve">serological </w:t>
      </w:r>
      <w:r w:rsidR="00233C50">
        <w:t>tests</w:t>
      </w:r>
      <w:r w:rsidR="00D41507">
        <w:t xml:space="preserve">, </w:t>
      </w:r>
      <w:r w:rsidR="003F0012">
        <w:t>but which could take advantage of</w:t>
      </w:r>
      <w:r w:rsidR="00D41507">
        <w:t xml:space="preserve"> </w:t>
      </w:r>
      <w:r w:rsidR="004B5D23">
        <w:t xml:space="preserve">new diagnostic tools, such as </w:t>
      </w:r>
      <w:r w:rsidR="00D41507">
        <w:t xml:space="preserve">the molecular detection </w:t>
      </w:r>
      <w:r w:rsidR="004B5D23">
        <w:t xml:space="preserve">tests </w:t>
      </w:r>
      <w:r w:rsidR="003F0012">
        <w:t xml:space="preserve">that have recently </w:t>
      </w:r>
      <w:r w:rsidR="00233C50">
        <w:t xml:space="preserve">been </w:t>
      </w:r>
      <w:r w:rsidR="003F0012">
        <w:t>made available [</w:t>
      </w:r>
      <w:r w:rsidR="00E03300">
        <w:t>6</w:t>
      </w:r>
      <w:r w:rsidR="00951448">
        <w:t>6</w:t>
      </w:r>
      <w:r w:rsidR="003F0012">
        <w:t>].</w:t>
      </w:r>
    </w:p>
    <w:p w14:paraId="26069C20" w14:textId="77777777" w:rsidR="00437FC6" w:rsidRDefault="00437FC6" w:rsidP="0095777F">
      <w:pPr>
        <w:spacing w:line="480" w:lineRule="auto"/>
        <w:jc w:val="both"/>
        <w:rPr>
          <w:b/>
        </w:rPr>
      </w:pPr>
    </w:p>
    <w:p w14:paraId="5289BD63" w14:textId="77777777" w:rsidR="00E11FEB" w:rsidRPr="00C82028" w:rsidRDefault="00E11FEB" w:rsidP="0095777F">
      <w:pPr>
        <w:spacing w:line="480" w:lineRule="auto"/>
        <w:jc w:val="both"/>
        <w:rPr>
          <w:b/>
        </w:rPr>
      </w:pPr>
    </w:p>
    <w:p w14:paraId="66A03391" w14:textId="77777777" w:rsidR="00975B09" w:rsidRPr="005C60AB" w:rsidRDefault="00D9414C" w:rsidP="0095777F">
      <w:pPr>
        <w:spacing w:line="480" w:lineRule="auto"/>
        <w:jc w:val="both"/>
        <w:rPr>
          <w:b/>
          <w:sz w:val="36"/>
          <w:szCs w:val="36"/>
        </w:rPr>
      </w:pPr>
      <w:r w:rsidRPr="005C60AB">
        <w:rPr>
          <w:b/>
          <w:sz w:val="36"/>
          <w:szCs w:val="36"/>
        </w:rPr>
        <w:t>Acknowledgments</w:t>
      </w:r>
    </w:p>
    <w:p w14:paraId="2AE72781" w14:textId="68BB563A" w:rsidR="00D9414C" w:rsidRDefault="00002A54" w:rsidP="0095777F">
      <w:pPr>
        <w:spacing w:line="480" w:lineRule="auto"/>
        <w:jc w:val="both"/>
        <w:rPr>
          <w:rFonts w:cs="Arial"/>
          <w:lang w:val="en-GB"/>
        </w:rPr>
      </w:pPr>
      <w:r>
        <w:rPr>
          <w:rFonts w:cs="Arial"/>
          <w:lang w:val="en-GB"/>
        </w:rPr>
        <w:t xml:space="preserve">We would like to thank the </w:t>
      </w:r>
      <w:r w:rsidRPr="00002A54">
        <w:rPr>
          <w:rFonts w:cs="Arial"/>
          <w:lang w:val="en-GB"/>
        </w:rPr>
        <w:t>National Livestock Resources Research Institute (</w:t>
      </w:r>
      <w:r w:rsidR="00E4518B">
        <w:rPr>
          <w:rFonts w:cs="Arial"/>
          <w:lang w:val="en-GB"/>
        </w:rPr>
        <w:t xml:space="preserve">NALIRRI, </w:t>
      </w:r>
      <w:r w:rsidRPr="00002A54">
        <w:rPr>
          <w:rFonts w:cs="Arial"/>
          <w:lang w:val="en-GB"/>
        </w:rPr>
        <w:t>Tororo, Uganda)</w:t>
      </w:r>
      <w:r w:rsidR="00F665DA">
        <w:rPr>
          <w:rFonts w:cs="Arial"/>
          <w:lang w:val="en-GB"/>
        </w:rPr>
        <w:t>,</w:t>
      </w:r>
      <w:r>
        <w:rPr>
          <w:rFonts w:cs="Arial"/>
          <w:lang w:val="en-GB"/>
        </w:rPr>
        <w:t xml:space="preserve"> the</w:t>
      </w:r>
      <w:r w:rsidRPr="00002A54">
        <w:t xml:space="preserve"> </w:t>
      </w:r>
      <w:r w:rsidRPr="00002A54">
        <w:rPr>
          <w:rFonts w:cs="Arial"/>
          <w:lang w:val="en-GB"/>
        </w:rPr>
        <w:t>Institute of Tropical Medicine (</w:t>
      </w:r>
      <w:r w:rsidR="007E7BCE">
        <w:rPr>
          <w:rFonts w:cs="Arial"/>
          <w:lang w:val="en-GB"/>
        </w:rPr>
        <w:t xml:space="preserve">ITM, </w:t>
      </w:r>
      <w:r w:rsidRPr="00002A54">
        <w:rPr>
          <w:rFonts w:cs="Arial"/>
          <w:lang w:val="en-GB"/>
        </w:rPr>
        <w:t>Antwerp, Belgium)</w:t>
      </w:r>
      <w:r w:rsidR="00F665DA">
        <w:rPr>
          <w:rFonts w:cs="Arial"/>
          <w:lang w:val="en-GB"/>
        </w:rPr>
        <w:t xml:space="preserve"> and</w:t>
      </w:r>
      <w:r>
        <w:rPr>
          <w:rFonts w:cs="Arial"/>
          <w:lang w:val="en-GB"/>
        </w:rPr>
        <w:t xml:space="preserve"> </w:t>
      </w:r>
      <w:r w:rsidR="00F665DA">
        <w:rPr>
          <w:rFonts w:cs="Arial"/>
          <w:lang w:val="en-GB"/>
        </w:rPr>
        <w:t xml:space="preserve">the World Health Organization (WHO) </w:t>
      </w:r>
      <w:r>
        <w:rPr>
          <w:rFonts w:cs="Arial"/>
          <w:lang w:val="en-GB"/>
        </w:rPr>
        <w:t>for supplying clinical samples.</w:t>
      </w:r>
      <w:r w:rsidR="007E7BCE">
        <w:rPr>
          <w:rFonts w:cs="Arial"/>
          <w:lang w:val="en-GB"/>
        </w:rPr>
        <w:t xml:space="preserve"> We also acknowledge the participation of FIND management and technical teams, the WHO HAT team, Dr. Veerle Lejon (ITM) and Prof. </w:t>
      </w:r>
      <w:r w:rsidR="007E7BCE" w:rsidRPr="007E7BCE">
        <w:rPr>
          <w:rFonts w:cs="Arial"/>
          <w:lang w:val="en-GB"/>
        </w:rPr>
        <w:t>Sanjeev Krishna</w:t>
      </w:r>
      <w:r w:rsidR="007E7BCE">
        <w:rPr>
          <w:rFonts w:cs="Arial"/>
          <w:lang w:val="en-GB"/>
        </w:rPr>
        <w:t xml:space="preserve"> (</w:t>
      </w:r>
      <w:r w:rsidR="007E7BCE" w:rsidRPr="00E4518B">
        <w:rPr>
          <w:rFonts w:cs="Arial"/>
          <w:lang w:val="en-GB"/>
        </w:rPr>
        <w:t>St George's, University of London</w:t>
      </w:r>
      <w:r w:rsidR="00E4518B">
        <w:rPr>
          <w:rFonts w:cs="Arial"/>
          <w:lang w:val="en-GB"/>
        </w:rPr>
        <w:t>,</w:t>
      </w:r>
      <w:r w:rsidR="00E4518B" w:rsidRPr="00E4518B">
        <w:t xml:space="preserve"> </w:t>
      </w:r>
      <w:r w:rsidR="00E4518B" w:rsidRPr="00E4518B">
        <w:rPr>
          <w:rFonts w:cs="Arial"/>
          <w:lang w:val="en-GB"/>
        </w:rPr>
        <w:t>United Kingdom</w:t>
      </w:r>
      <w:r w:rsidR="007E7BCE">
        <w:rPr>
          <w:rFonts w:cs="Arial"/>
          <w:lang w:val="en-GB"/>
        </w:rPr>
        <w:t xml:space="preserve">) for participating in monthly meetings to review and manage this work. </w:t>
      </w:r>
      <w:r w:rsidR="000637F7" w:rsidRPr="000637F7">
        <w:rPr>
          <w:rFonts w:cs="Arial"/>
          <w:lang w:val="en-GB"/>
        </w:rPr>
        <w:t>We are grateful to</w:t>
      </w:r>
      <w:r w:rsidR="00752B12">
        <w:rPr>
          <w:rFonts w:cs="Arial"/>
          <w:lang w:val="en-GB"/>
        </w:rPr>
        <w:t xml:space="preserve"> </w:t>
      </w:r>
      <w:r w:rsidR="000637F7" w:rsidRPr="000637F7">
        <w:rPr>
          <w:rFonts w:cs="Arial"/>
          <w:lang w:val="en-GB"/>
        </w:rPr>
        <w:t>Dr</w:t>
      </w:r>
      <w:r w:rsidR="000637F7">
        <w:rPr>
          <w:rFonts w:cs="Arial"/>
          <w:lang w:val="en-GB"/>
        </w:rPr>
        <w:t>.</w:t>
      </w:r>
      <w:r w:rsidR="000637F7" w:rsidRPr="000637F7">
        <w:rPr>
          <w:rFonts w:cs="Arial"/>
          <w:lang w:val="en-GB"/>
        </w:rPr>
        <w:t xml:space="preserve"> Robert Skilton</w:t>
      </w:r>
      <w:r w:rsidR="000637F7">
        <w:rPr>
          <w:rFonts w:cs="Arial"/>
          <w:lang w:val="en-GB"/>
        </w:rPr>
        <w:t xml:space="preserve"> (ILRI)</w:t>
      </w:r>
      <w:r w:rsidR="000637F7" w:rsidRPr="000637F7">
        <w:rPr>
          <w:rFonts w:cs="Arial"/>
          <w:lang w:val="en-GB"/>
        </w:rPr>
        <w:t xml:space="preserve"> for donation of the recombinant GM6 antigen</w:t>
      </w:r>
      <w:r w:rsidR="000637F7">
        <w:rPr>
          <w:rFonts w:cs="Arial"/>
          <w:lang w:val="en-GB"/>
        </w:rPr>
        <w:t xml:space="preserve">. </w:t>
      </w:r>
      <w:r w:rsidR="00E4518B">
        <w:rPr>
          <w:rFonts w:cs="Arial"/>
          <w:lang w:val="en-GB"/>
        </w:rPr>
        <w:t xml:space="preserve">Finally, we thank </w:t>
      </w:r>
      <w:r w:rsidR="005A5B54">
        <w:rPr>
          <w:rFonts w:cs="Arial"/>
          <w:lang w:val="en-GB"/>
        </w:rPr>
        <w:t>Dr. Patrice François’</w:t>
      </w:r>
      <w:r w:rsidR="00E4518B">
        <w:rPr>
          <w:rFonts w:cs="Arial"/>
          <w:lang w:val="en-GB"/>
        </w:rPr>
        <w:t xml:space="preserve"> team (University of Geneva</w:t>
      </w:r>
      <w:r w:rsidR="005A5B54">
        <w:rPr>
          <w:rFonts w:cs="Arial"/>
          <w:lang w:val="en-GB"/>
        </w:rPr>
        <w:t xml:space="preserve"> Hospitals</w:t>
      </w:r>
      <w:r w:rsidR="00E4518B">
        <w:rPr>
          <w:rFonts w:cs="Arial"/>
          <w:lang w:val="en-GB"/>
        </w:rPr>
        <w:t>, Switzerland) for blinding antigen samples</w:t>
      </w:r>
      <w:r w:rsidR="007F01B5">
        <w:rPr>
          <w:rFonts w:cs="Arial"/>
          <w:lang w:val="en-GB"/>
        </w:rPr>
        <w:t xml:space="preserve"> and</w:t>
      </w:r>
      <w:r w:rsidR="00E4518B">
        <w:rPr>
          <w:rFonts w:cs="Arial"/>
          <w:lang w:val="en-GB"/>
        </w:rPr>
        <w:t xml:space="preserve"> Nora Champouillon (FIND) for logistical support</w:t>
      </w:r>
      <w:r w:rsidR="00814BF2">
        <w:rPr>
          <w:rFonts w:cs="Arial"/>
          <w:lang w:val="en-GB"/>
        </w:rPr>
        <w:t>.</w:t>
      </w:r>
    </w:p>
    <w:p w14:paraId="7033A83B" w14:textId="77777777" w:rsidR="00855267" w:rsidRDefault="00855267" w:rsidP="0095777F">
      <w:pPr>
        <w:spacing w:line="480" w:lineRule="auto"/>
        <w:jc w:val="both"/>
        <w:rPr>
          <w:rFonts w:cs="Arial"/>
          <w:b/>
          <w:sz w:val="24"/>
          <w:szCs w:val="24"/>
          <w:lang w:val="en-GB"/>
        </w:rPr>
      </w:pPr>
    </w:p>
    <w:p w14:paraId="2C17CA06" w14:textId="77777777" w:rsidR="00D9414C" w:rsidRPr="005C60AB" w:rsidRDefault="00D9414C" w:rsidP="0095777F">
      <w:pPr>
        <w:spacing w:line="480" w:lineRule="auto"/>
        <w:jc w:val="both"/>
        <w:rPr>
          <w:b/>
          <w:sz w:val="36"/>
          <w:szCs w:val="36"/>
        </w:rPr>
      </w:pPr>
      <w:r w:rsidRPr="005C60AB">
        <w:rPr>
          <w:b/>
          <w:sz w:val="36"/>
          <w:szCs w:val="36"/>
        </w:rPr>
        <w:t>References</w:t>
      </w:r>
    </w:p>
    <w:p w14:paraId="32CC3202" w14:textId="77777777" w:rsidR="009A31A0" w:rsidRDefault="009A31A0" w:rsidP="00B039CB">
      <w:pPr>
        <w:pStyle w:val="ListParagraph"/>
        <w:numPr>
          <w:ilvl w:val="0"/>
          <w:numId w:val="8"/>
        </w:numPr>
        <w:spacing w:line="480" w:lineRule="auto"/>
        <w:jc w:val="both"/>
      </w:pPr>
      <w:r>
        <w:t>Franco JR, Simarro PP, Diarra A, Ruiz-Postigo JA, Jannin JG. The journey towards elimination of gambiense human African trypanosomiasis: not far, nor ea</w:t>
      </w:r>
      <w:r w:rsidRPr="00AD75D1">
        <w:t xml:space="preserve">sy. Parasitology. </w:t>
      </w:r>
      <w:r>
        <w:t>2014;141(6):748-60.</w:t>
      </w:r>
    </w:p>
    <w:p w14:paraId="60F5559A" w14:textId="77777777" w:rsidR="009A31A0" w:rsidRDefault="009A31A0" w:rsidP="003E3BAB">
      <w:pPr>
        <w:pStyle w:val="ListParagraph"/>
        <w:numPr>
          <w:ilvl w:val="0"/>
          <w:numId w:val="8"/>
        </w:numPr>
        <w:spacing w:line="480" w:lineRule="auto"/>
        <w:jc w:val="both"/>
        <w:rPr>
          <w:lang w:val="fr-CH"/>
        </w:rPr>
      </w:pPr>
      <w:r w:rsidRPr="002E5CEB">
        <w:rPr>
          <w:lang w:val="fr-CH"/>
        </w:rPr>
        <w:t xml:space="preserve">Simarro PP, Cecchi G, Franco JR, Paone M, Diarra A, Ruiz-Postigo JA et al. </w:t>
      </w:r>
      <w:r>
        <w:t>Estimating and mapping the population at risk of sleeping sick</w:t>
      </w:r>
      <w:r w:rsidRPr="00392D3C">
        <w:t xml:space="preserve">ness. </w:t>
      </w:r>
      <w:r w:rsidRPr="005A1A01">
        <w:rPr>
          <w:lang w:val="fr-CH"/>
        </w:rPr>
        <w:t xml:space="preserve">PLoS Negl Trop Dis. </w:t>
      </w:r>
      <w:r>
        <w:t>2012;</w:t>
      </w:r>
      <w:r w:rsidRPr="005A1A01">
        <w:rPr>
          <w:lang w:val="fr-CH"/>
        </w:rPr>
        <w:t>6(10):e1859.</w:t>
      </w:r>
    </w:p>
    <w:p w14:paraId="009F984F" w14:textId="77777777" w:rsidR="009A31A0" w:rsidRDefault="009A31A0">
      <w:pPr>
        <w:pStyle w:val="ListParagraph"/>
        <w:numPr>
          <w:ilvl w:val="0"/>
          <w:numId w:val="8"/>
        </w:numPr>
        <w:spacing w:line="480" w:lineRule="auto"/>
        <w:jc w:val="both"/>
      </w:pPr>
      <w:r>
        <w:t>Malvy D, Chappuis F. Sleeping sickn</w:t>
      </w:r>
      <w:r w:rsidRPr="00392D3C">
        <w:t>ess. Clin Microbiol Infect.</w:t>
      </w:r>
      <w:r w:rsidRPr="005A1A01">
        <w:rPr>
          <w:i/>
        </w:rPr>
        <w:t xml:space="preserve"> </w:t>
      </w:r>
      <w:r>
        <w:t>2011;17(7):986-95.</w:t>
      </w:r>
    </w:p>
    <w:p w14:paraId="097B5F02" w14:textId="77777777" w:rsidR="009A31A0" w:rsidRPr="00D10697" w:rsidRDefault="009A31A0">
      <w:pPr>
        <w:pStyle w:val="ListParagraph"/>
        <w:numPr>
          <w:ilvl w:val="0"/>
          <w:numId w:val="8"/>
        </w:numPr>
        <w:spacing w:line="480" w:lineRule="auto"/>
        <w:jc w:val="both"/>
      </w:pPr>
      <w:r w:rsidRPr="00D10697">
        <w:t>Magnus E, Vervoort T, Van Meirvenne N</w:t>
      </w:r>
      <w:r>
        <w:t>.</w:t>
      </w:r>
      <w:r w:rsidRPr="00D10697">
        <w:t xml:space="preserve"> A card agglutination test with stained trypanosomes (CATT) for the serological diagnosis of </w:t>
      </w:r>
      <w:r w:rsidRPr="005A1A01">
        <w:rPr>
          <w:i/>
        </w:rPr>
        <w:t>T. b. gambiense</w:t>
      </w:r>
      <w:r w:rsidRPr="00D10697">
        <w:t xml:space="preserve"> trypanosomi</w:t>
      </w:r>
      <w:r w:rsidRPr="00392D3C">
        <w:t>asis. Ann Soc Belg Med Trop</w:t>
      </w:r>
      <w:r>
        <w:t>.</w:t>
      </w:r>
      <w:r w:rsidRPr="00392D3C">
        <w:t xml:space="preserve"> 1978;5</w:t>
      </w:r>
      <w:r w:rsidRPr="00D10697">
        <w:t>8: 169-176.</w:t>
      </w:r>
    </w:p>
    <w:p w14:paraId="0DE1B5BB" w14:textId="77777777" w:rsidR="009A31A0" w:rsidRDefault="009A31A0">
      <w:pPr>
        <w:pStyle w:val="ListParagraph"/>
        <w:numPr>
          <w:ilvl w:val="0"/>
          <w:numId w:val="8"/>
        </w:numPr>
        <w:spacing w:line="480" w:lineRule="auto"/>
        <w:jc w:val="both"/>
      </w:pPr>
      <w:r w:rsidRPr="00D25AB0">
        <w:t>Chappuis F, Loutan L,</w:t>
      </w:r>
      <w:r>
        <w:t xml:space="preserve"> Simarro P, Lejon V, Büscher P</w:t>
      </w:r>
      <w:r w:rsidRPr="00D25AB0">
        <w:t xml:space="preserve">. </w:t>
      </w:r>
      <w:r w:rsidRPr="007B1D9C">
        <w:t xml:space="preserve">Options for field diagnosis of human </w:t>
      </w:r>
      <w:r>
        <w:t>A</w:t>
      </w:r>
      <w:r w:rsidRPr="007B1D9C">
        <w:t>frican trypanosomi</w:t>
      </w:r>
      <w:r w:rsidRPr="00AD75D1">
        <w:t xml:space="preserve">asis. Clin Microbiol Rev. </w:t>
      </w:r>
      <w:r w:rsidRPr="00D25AB0">
        <w:t>2005</w:t>
      </w:r>
      <w:r>
        <w:t>;18(1):133-46.</w:t>
      </w:r>
    </w:p>
    <w:p w14:paraId="5245857A" w14:textId="77777777" w:rsidR="009A31A0" w:rsidRDefault="009A31A0">
      <w:pPr>
        <w:pStyle w:val="ListParagraph"/>
        <w:numPr>
          <w:ilvl w:val="0"/>
          <w:numId w:val="8"/>
        </w:numPr>
        <w:spacing w:line="480" w:lineRule="auto"/>
        <w:jc w:val="both"/>
      </w:pPr>
      <w:r>
        <w:t>Jamonneau V, Truc P, Garcia A, Magnus E, Büscher P. Preliminary evaluation of LATEX/</w:t>
      </w:r>
      <w:r w:rsidRPr="005A1A01">
        <w:rPr>
          <w:i/>
        </w:rPr>
        <w:t>T. b. gambiense</w:t>
      </w:r>
      <w:r>
        <w:t xml:space="preserve"> and alternative versions of CATT/</w:t>
      </w:r>
      <w:r w:rsidRPr="005A1A01">
        <w:rPr>
          <w:i/>
        </w:rPr>
        <w:t>T. b. gambiense</w:t>
      </w:r>
      <w:r>
        <w:t xml:space="preserve"> for the serodiagnosis of human African trypanosomiasis of a population at risk in Côte d'Ivoire: considerations for mass-screen</w:t>
      </w:r>
      <w:r w:rsidRPr="00AD75D1">
        <w:t xml:space="preserve">ing. Acta Trop. </w:t>
      </w:r>
      <w:r>
        <w:t>2000;76(2):175-83.</w:t>
      </w:r>
    </w:p>
    <w:p w14:paraId="7CB3543E" w14:textId="77777777" w:rsidR="009A31A0" w:rsidRDefault="009A31A0">
      <w:pPr>
        <w:pStyle w:val="ListParagraph"/>
        <w:numPr>
          <w:ilvl w:val="0"/>
          <w:numId w:val="8"/>
        </w:numPr>
        <w:spacing w:line="480" w:lineRule="auto"/>
        <w:jc w:val="both"/>
      </w:pPr>
      <w:r>
        <w:t xml:space="preserve">Nantulya VM. TrypTect CIATT-a card indirect agglutination trypanosomiasis test for diagnosis of </w:t>
      </w:r>
      <w:r w:rsidRPr="005A1A01">
        <w:rPr>
          <w:i/>
        </w:rPr>
        <w:t>Trypanosoma brucei gambiense</w:t>
      </w:r>
      <w:r>
        <w:t xml:space="preserve"> and </w:t>
      </w:r>
      <w:r w:rsidRPr="005A1A01">
        <w:rPr>
          <w:i/>
        </w:rPr>
        <w:t>T. b. rhodesiense</w:t>
      </w:r>
      <w:r>
        <w:t xml:space="preserve"> infe</w:t>
      </w:r>
      <w:r w:rsidRPr="00392D3C">
        <w:t xml:space="preserve">ctions. Trans R Soc Trop Med Hyg. </w:t>
      </w:r>
      <w:r>
        <w:t>1997;91(5):551-3.</w:t>
      </w:r>
    </w:p>
    <w:p w14:paraId="53708166" w14:textId="77777777" w:rsidR="00A80BFA" w:rsidRDefault="00A80BFA">
      <w:pPr>
        <w:pStyle w:val="ListParagraph"/>
        <w:numPr>
          <w:ilvl w:val="0"/>
          <w:numId w:val="8"/>
        </w:numPr>
        <w:spacing w:line="480" w:lineRule="auto"/>
        <w:jc w:val="both"/>
      </w:pPr>
      <w:r>
        <w:t>Asonganyi T, Doua F, Kibona SN, Nyasulu YM, Masake R, Kuzoe F. A multi-centre evaluation of the card indirect agglutination test for trypanosomiasis (TrypTect CIAT</w:t>
      </w:r>
      <w:r w:rsidRPr="0095777F">
        <w:t xml:space="preserve">T). Ann Trop Med Parasitol. </w:t>
      </w:r>
      <w:r>
        <w:t>1998;92(8):837-44.</w:t>
      </w:r>
    </w:p>
    <w:p w14:paraId="46D93E53" w14:textId="77777777" w:rsidR="00A80BFA" w:rsidRDefault="00A80BFA">
      <w:pPr>
        <w:pStyle w:val="ListParagraph"/>
        <w:numPr>
          <w:ilvl w:val="0"/>
          <w:numId w:val="8"/>
        </w:numPr>
        <w:spacing w:line="480" w:lineRule="auto"/>
        <w:jc w:val="both"/>
      </w:pPr>
      <w:r>
        <w:t xml:space="preserve">McNae IW, Martinez-Oyanedel J, Keillor JW, Michels PA, Fothergill-Gilmore LA, Walkinshaw MD. The crystal structure of ATP-bound phosphofructokinase from </w:t>
      </w:r>
      <w:r w:rsidRPr="005A1A01">
        <w:rPr>
          <w:i/>
        </w:rPr>
        <w:t>Trypanosoma brucei</w:t>
      </w:r>
      <w:r>
        <w:t xml:space="preserve"> reveals conformational transitions different from those of other phosphofructokinas</w:t>
      </w:r>
      <w:r w:rsidRPr="00392D3C">
        <w:t>es. J Mol Biol. 2</w:t>
      </w:r>
      <w:r>
        <w:t>009;385(5):1519-33.</w:t>
      </w:r>
    </w:p>
    <w:p w14:paraId="1AD02FD5" w14:textId="77777777" w:rsidR="00A80BFA" w:rsidRDefault="00A80BFA">
      <w:pPr>
        <w:pStyle w:val="ListParagraph"/>
        <w:numPr>
          <w:ilvl w:val="0"/>
          <w:numId w:val="8"/>
        </w:numPr>
        <w:spacing w:line="480" w:lineRule="auto"/>
        <w:jc w:val="both"/>
      </w:pPr>
      <w:r>
        <w:t xml:space="preserve">Bakker BM, Michels PA, Opperdoes FR, Westerhoff HV. What controls glycolysis in bloodstream form </w:t>
      </w:r>
      <w:r w:rsidRPr="005A1A01">
        <w:rPr>
          <w:i/>
        </w:rPr>
        <w:t>Trypanosoma brucei</w:t>
      </w:r>
      <w:r>
        <w:t>?</w:t>
      </w:r>
      <w:r w:rsidRPr="0095777F">
        <w:t xml:space="preserve"> J Biol Chem. </w:t>
      </w:r>
      <w:r>
        <w:t>1999;274(21):14551-9.</w:t>
      </w:r>
    </w:p>
    <w:p w14:paraId="26CCB6D0" w14:textId="77777777" w:rsidR="00A80BFA" w:rsidRDefault="00A80BFA">
      <w:pPr>
        <w:pStyle w:val="ListParagraph"/>
        <w:numPr>
          <w:ilvl w:val="0"/>
          <w:numId w:val="8"/>
        </w:numPr>
        <w:spacing w:line="480" w:lineRule="auto"/>
        <w:jc w:val="both"/>
      </w:pPr>
      <w:r>
        <w:t xml:space="preserve">Malabanan MM, Go MK, Amyes TL, Richard JP. Wildtype and engineered monomeric triosephosphate isomerase from </w:t>
      </w:r>
      <w:r w:rsidRPr="005A1A01">
        <w:rPr>
          <w:i/>
        </w:rPr>
        <w:t>Trypanosoma brucei</w:t>
      </w:r>
      <w:r>
        <w:t>: partitioning of reaction intermediates in D</w:t>
      </w:r>
      <w:r w:rsidRPr="005A1A01">
        <w:rPr>
          <w:vertAlign w:val="subscript"/>
        </w:rPr>
        <w:t>2</w:t>
      </w:r>
      <w:r>
        <w:t>O and activation by phosphite diani</w:t>
      </w:r>
      <w:r w:rsidRPr="00392D3C">
        <w:t>on. Biochemistry. 2</w:t>
      </w:r>
      <w:r>
        <w:t>011;50(25):5767-79.</w:t>
      </w:r>
    </w:p>
    <w:p w14:paraId="0B6648FA" w14:textId="77777777" w:rsidR="00A80BFA" w:rsidRDefault="00A80BFA" w:rsidP="00DF391D">
      <w:pPr>
        <w:pStyle w:val="Cuerpo"/>
        <w:numPr>
          <w:ilvl w:val="0"/>
          <w:numId w:val="8"/>
        </w:numPr>
        <w:spacing w:after="160" w:line="480" w:lineRule="auto"/>
        <w:contextualSpacing/>
        <w:jc w:val="both"/>
        <w:rPr>
          <w:rFonts w:asciiTheme="minorHAnsi" w:hAnsiTheme="minorHAnsi"/>
          <w:color w:val="000000" w:themeColor="text1"/>
          <w:lang w:val="en-GB"/>
        </w:rPr>
      </w:pPr>
      <w:r w:rsidRPr="001A5CAE">
        <w:rPr>
          <w:rFonts w:asciiTheme="minorHAnsi" w:hAnsiTheme="minorHAnsi"/>
          <w:color w:val="000000" w:themeColor="text1"/>
          <w:lang w:val="en-GB"/>
        </w:rPr>
        <w:t>Cáceres AJ, Michels PA, Hannaert V. Genetic validation of aldolase and</w:t>
      </w:r>
      <w:r>
        <w:rPr>
          <w:rFonts w:asciiTheme="minorHAnsi" w:hAnsiTheme="minorHAnsi"/>
          <w:color w:val="000000" w:themeColor="text1"/>
          <w:lang w:val="en-GB"/>
        </w:rPr>
        <w:t xml:space="preserve"> </w:t>
      </w:r>
      <w:r w:rsidRPr="001A5CAE">
        <w:rPr>
          <w:rFonts w:asciiTheme="minorHAnsi" w:hAnsiTheme="minorHAnsi"/>
          <w:color w:val="000000" w:themeColor="text1"/>
          <w:lang w:val="en-GB"/>
        </w:rPr>
        <w:t xml:space="preserve">glyceraldehyde-3-phosphate dehydrogenase as drug targets in </w:t>
      </w:r>
      <w:r w:rsidRPr="001A4479">
        <w:rPr>
          <w:rFonts w:asciiTheme="minorHAnsi" w:hAnsiTheme="minorHAnsi"/>
          <w:i/>
          <w:color w:val="000000" w:themeColor="text1"/>
          <w:lang w:val="en-GB"/>
        </w:rPr>
        <w:t>Trypanosoma brucei</w:t>
      </w:r>
      <w:r w:rsidRPr="001A5CAE">
        <w:rPr>
          <w:rFonts w:asciiTheme="minorHAnsi" w:hAnsiTheme="minorHAnsi"/>
          <w:color w:val="000000" w:themeColor="text1"/>
          <w:lang w:val="en-GB"/>
        </w:rPr>
        <w:t>.</w:t>
      </w:r>
      <w:r w:rsidRPr="00AD75D1">
        <w:rPr>
          <w:rFonts w:asciiTheme="minorHAnsi" w:hAnsiTheme="minorHAnsi"/>
          <w:color w:val="000000" w:themeColor="text1"/>
          <w:lang w:val="en-GB"/>
        </w:rPr>
        <w:t xml:space="preserve"> Mol Biochem Parasitol. </w:t>
      </w:r>
      <w:r>
        <w:rPr>
          <w:rFonts w:asciiTheme="minorHAnsi" w:hAnsiTheme="minorHAnsi"/>
          <w:color w:val="000000" w:themeColor="text1"/>
          <w:lang w:val="en-GB"/>
        </w:rPr>
        <w:t>2010;</w:t>
      </w:r>
      <w:r w:rsidRPr="001A5CAE">
        <w:rPr>
          <w:rFonts w:asciiTheme="minorHAnsi" w:hAnsiTheme="minorHAnsi"/>
          <w:color w:val="000000" w:themeColor="text1"/>
          <w:lang w:val="en-GB"/>
        </w:rPr>
        <w:t>169(1):50-4.</w:t>
      </w:r>
    </w:p>
    <w:p w14:paraId="640A93F4" w14:textId="77777777" w:rsidR="00A80BFA" w:rsidRDefault="00A80BFA" w:rsidP="00DF391D">
      <w:pPr>
        <w:pStyle w:val="Cuerpo"/>
        <w:numPr>
          <w:ilvl w:val="0"/>
          <w:numId w:val="8"/>
        </w:numPr>
        <w:spacing w:after="160" w:line="480" w:lineRule="auto"/>
        <w:jc w:val="both"/>
        <w:rPr>
          <w:rFonts w:asciiTheme="minorHAnsi" w:hAnsiTheme="minorHAnsi"/>
          <w:color w:val="000000" w:themeColor="text1"/>
          <w:lang w:val="en-GB"/>
        </w:rPr>
      </w:pPr>
      <w:r w:rsidRPr="00080938">
        <w:rPr>
          <w:rFonts w:asciiTheme="minorHAnsi" w:hAnsiTheme="minorHAnsi"/>
          <w:color w:val="000000" w:themeColor="text1"/>
          <w:lang w:val="en-GB"/>
        </w:rPr>
        <w:t>Haanstra JR, Stewart M, Luu VD, van Tuijl A, Westerhoff HV, Clayton C</w:t>
      </w:r>
      <w:r>
        <w:rPr>
          <w:rFonts w:asciiTheme="minorHAnsi" w:hAnsiTheme="minorHAnsi"/>
          <w:color w:val="000000" w:themeColor="text1"/>
          <w:lang w:val="en-GB"/>
        </w:rPr>
        <w:t xml:space="preserve"> et al</w:t>
      </w:r>
      <w:r w:rsidRPr="00080938">
        <w:rPr>
          <w:rFonts w:asciiTheme="minorHAnsi" w:hAnsiTheme="minorHAnsi"/>
          <w:color w:val="000000" w:themeColor="text1"/>
          <w:lang w:val="en-GB"/>
        </w:rPr>
        <w:t>. Control and regulation of gene expression: quantitative analysis of the</w:t>
      </w:r>
      <w:r>
        <w:rPr>
          <w:rFonts w:asciiTheme="minorHAnsi" w:hAnsiTheme="minorHAnsi"/>
          <w:color w:val="000000" w:themeColor="text1"/>
          <w:lang w:val="en-GB"/>
        </w:rPr>
        <w:t xml:space="preserve"> </w:t>
      </w:r>
      <w:r w:rsidRPr="00080938">
        <w:rPr>
          <w:rFonts w:asciiTheme="minorHAnsi" w:hAnsiTheme="minorHAnsi"/>
          <w:color w:val="000000" w:themeColor="text1"/>
          <w:lang w:val="en-GB"/>
        </w:rPr>
        <w:t xml:space="preserve">expression of phosphoglycerate kinase in bloodstream form </w:t>
      </w:r>
      <w:r w:rsidRPr="001A4479">
        <w:rPr>
          <w:rFonts w:asciiTheme="minorHAnsi" w:hAnsiTheme="minorHAnsi"/>
          <w:i/>
          <w:color w:val="000000" w:themeColor="text1"/>
          <w:lang w:val="en-GB"/>
        </w:rPr>
        <w:t>Trypanosoma brucei</w:t>
      </w:r>
      <w:r w:rsidRPr="00080938">
        <w:rPr>
          <w:rFonts w:asciiTheme="minorHAnsi" w:hAnsiTheme="minorHAnsi"/>
          <w:color w:val="000000" w:themeColor="text1"/>
          <w:lang w:val="en-GB"/>
        </w:rPr>
        <w:t>.</w:t>
      </w:r>
      <w:r w:rsidRPr="00AD75D1">
        <w:rPr>
          <w:rFonts w:asciiTheme="minorHAnsi" w:hAnsiTheme="minorHAnsi"/>
          <w:color w:val="000000" w:themeColor="text1"/>
          <w:lang w:val="en-GB"/>
        </w:rPr>
        <w:t xml:space="preserve"> J Biol Chem. 2</w:t>
      </w:r>
      <w:r>
        <w:rPr>
          <w:rFonts w:asciiTheme="minorHAnsi" w:hAnsiTheme="minorHAnsi"/>
          <w:color w:val="000000" w:themeColor="text1"/>
          <w:lang w:val="en-GB"/>
        </w:rPr>
        <w:t>008;</w:t>
      </w:r>
      <w:r w:rsidRPr="00080938">
        <w:rPr>
          <w:rFonts w:asciiTheme="minorHAnsi" w:hAnsiTheme="minorHAnsi"/>
          <w:color w:val="000000" w:themeColor="text1"/>
          <w:lang w:val="en-GB"/>
        </w:rPr>
        <w:t>283(5):2495-507.</w:t>
      </w:r>
    </w:p>
    <w:p w14:paraId="360F3780" w14:textId="77777777" w:rsidR="00A80BFA" w:rsidRDefault="00A80BFA" w:rsidP="00B039CB">
      <w:pPr>
        <w:pStyle w:val="ListParagraph"/>
        <w:numPr>
          <w:ilvl w:val="0"/>
          <w:numId w:val="8"/>
        </w:numPr>
        <w:spacing w:line="480" w:lineRule="auto"/>
        <w:jc w:val="both"/>
      </w:pPr>
      <w:r>
        <w:t xml:space="preserve">Mercaldi GF, Pereira HM, Cordeiro AT, Michels PA, Thiemann OH. Structural role of the active-site metal in the conformation of </w:t>
      </w:r>
      <w:r w:rsidRPr="005A1A01">
        <w:rPr>
          <w:i/>
        </w:rPr>
        <w:t>Trypanosoma brucei</w:t>
      </w:r>
      <w:r>
        <w:t xml:space="preserve"> phosphoglycerate mutas</w:t>
      </w:r>
      <w:r w:rsidRPr="00392D3C">
        <w:t xml:space="preserve">e. FEBS J. </w:t>
      </w:r>
      <w:r>
        <w:t>2012;279(11):2012-21.</w:t>
      </w:r>
    </w:p>
    <w:p w14:paraId="428A1E4B" w14:textId="77777777" w:rsidR="00A80BFA" w:rsidRDefault="00A80BFA" w:rsidP="003E3BAB">
      <w:pPr>
        <w:pStyle w:val="ListParagraph"/>
        <w:numPr>
          <w:ilvl w:val="0"/>
          <w:numId w:val="8"/>
        </w:numPr>
        <w:spacing w:line="480" w:lineRule="auto"/>
        <w:jc w:val="both"/>
      </w:pPr>
      <w:r>
        <w:t xml:space="preserve">de A S Navarro MV, Gomes Dias SM, Mello LV, da Silva Giotto MT, Gavalda S, Blonski C et al. Structural flexibility in </w:t>
      </w:r>
      <w:r w:rsidRPr="005A1A01">
        <w:rPr>
          <w:i/>
        </w:rPr>
        <w:t>Trypanosoma brucei</w:t>
      </w:r>
      <w:r>
        <w:t xml:space="preserve"> enolase revealed by X-ray crystallography and molecular dynam</w:t>
      </w:r>
      <w:r w:rsidRPr="00AD75D1">
        <w:t>ics. FEBS J.</w:t>
      </w:r>
      <w:r w:rsidRPr="005A1A01">
        <w:rPr>
          <w:i/>
        </w:rPr>
        <w:t xml:space="preserve"> </w:t>
      </w:r>
      <w:r>
        <w:t>2007;274(19):5077-89.</w:t>
      </w:r>
    </w:p>
    <w:p w14:paraId="6B4C0E53" w14:textId="77777777" w:rsidR="00A80BFA" w:rsidRDefault="00A80BFA" w:rsidP="003E3BAB">
      <w:pPr>
        <w:pStyle w:val="ListParagraph"/>
        <w:numPr>
          <w:ilvl w:val="0"/>
          <w:numId w:val="8"/>
        </w:numPr>
        <w:spacing w:line="480" w:lineRule="auto"/>
        <w:jc w:val="both"/>
      </w:pPr>
      <w:r>
        <w:t xml:space="preserve">Cordeiro AT, Thiemann OH, Michels PA. Inhibition of </w:t>
      </w:r>
      <w:r w:rsidRPr="005A1A01">
        <w:rPr>
          <w:i/>
        </w:rPr>
        <w:t>Trypanosoma brucei</w:t>
      </w:r>
      <w:r w:rsidRPr="001A4479">
        <w:t xml:space="preserve"> </w:t>
      </w:r>
      <w:r>
        <w:t>glucose-6-phosphate dehydrogenase by human steroids and their effects on the viability of cultured parasit</w:t>
      </w:r>
      <w:r w:rsidRPr="00AD75D1">
        <w:t xml:space="preserve">es. Bioorg Med Chem. </w:t>
      </w:r>
      <w:r>
        <w:t>2009;17(6):2483-9.</w:t>
      </w:r>
    </w:p>
    <w:p w14:paraId="196C0E92" w14:textId="77777777" w:rsidR="00A80BFA" w:rsidRDefault="00A80BFA" w:rsidP="00DF391D">
      <w:pPr>
        <w:pStyle w:val="Cuerpo"/>
        <w:numPr>
          <w:ilvl w:val="0"/>
          <w:numId w:val="8"/>
        </w:numPr>
        <w:spacing w:after="160" w:line="480" w:lineRule="auto"/>
        <w:jc w:val="both"/>
        <w:rPr>
          <w:rFonts w:asciiTheme="minorHAnsi" w:hAnsiTheme="minorHAnsi"/>
          <w:color w:val="000000" w:themeColor="text1"/>
          <w:lang w:val="en-GB"/>
        </w:rPr>
      </w:pPr>
      <w:r w:rsidRPr="002E5CEB">
        <w:rPr>
          <w:rFonts w:asciiTheme="minorHAnsi" w:hAnsiTheme="minorHAnsi"/>
          <w:color w:val="000000" w:themeColor="text1"/>
          <w:lang w:val="fr-CH"/>
        </w:rPr>
        <w:t xml:space="preserve">Gualdrón-López M, Chevalier N, Van Der Smissen P, Courtoy PJ, Rigden DJ, Michels PA. </w:t>
      </w:r>
      <w:r w:rsidRPr="00D11F67">
        <w:rPr>
          <w:rFonts w:asciiTheme="minorHAnsi" w:hAnsiTheme="minorHAnsi"/>
          <w:color w:val="000000" w:themeColor="text1"/>
          <w:lang w:val="en-GB"/>
        </w:rPr>
        <w:t>Ubiquitination of the glycosomal matrix protein receptor PEX5 in</w:t>
      </w:r>
      <w:r>
        <w:rPr>
          <w:rFonts w:asciiTheme="minorHAnsi" w:hAnsiTheme="minorHAnsi"/>
          <w:color w:val="000000" w:themeColor="text1"/>
          <w:lang w:val="en-GB"/>
        </w:rPr>
        <w:t xml:space="preserve"> </w:t>
      </w:r>
      <w:r w:rsidRPr="001A4479">
        <w:rPr>
          <w:rFonts w:asciiTheme="minorHAnsi" w:hAnsiTheme="minorHAnsi"/>
          <w:i/>
          <w:color w:val="000000" w:themeColor="text1"/>
          <w:lang w:val="en-GB"/>
        </w:rPr>
        <w:t>Trypanosoma brucei</w:t>
      </w:r>
      <w:r w:rsidRPr="00D11F67">
        <w:rPr>
          <w:rFonts w:asciiTheme="minorHAnsi" w:hAnsiTheme="minorHAnsi"/>
          <w:color w:val="000000" w:themeColor="text1"/>
          <w:lang w:val="en-GB"/>
        </w:rPr>
        <w:t xml:space="preserve"> by PEX4 displays novel features</w:t>
      </w:r>
      <w:r w:rsidRPr="00AD75D1">
        <w:rPr>
          <w:rFonts w:asciiTheme="minorHAnsi" w:hAnsiTheme="minorHAnsi"/>
          <w:color w:val="000000" w:themeColor="text1"/>
          <w:lang w:val="en-GB"/>
        </w:rPr>
        <w:t>. Biochim Biophys Acta. 2</w:t>
      </w:r>
      <w:r>
        <w:rPr>
          <w:rFonts w:asciiTheme="minorHAnsi" w:hAnsiTheme="minorHAnsi"/>
          <w:color w:val="000000" w:themeColor="text1"/>
          <w:lang w:val="en-GB"/>
        </w:rPr>
        <w:t>013;</w:t>
      </w:r>
      <w:r w:rsidRPr="00D11F67">
        <w:rPr>
          <w:rFonts w:asciiTheme="minorHAnsi" w:hAnsiTheme="minorHAnsi"/>
          <w:color w:val="000000" w:themeColor="text1"/>
          <w:lang w:val="en-GB"/>
        </w:rPr>
        <w:t>1833(12):3076-92.</w:t>
      </w:r>
    </w:p>
    <w:p w14:paraId="5C22575A" w14:textId="77777777" w:rsidR="00A80BFA" w:rsidRDefault="00A80BFA" w:rsidP="00B039CB">
      <w:pPr>
        <w:pStyle w:val="ListParagraph"/>
        <w:numPr>
          <w:ilvl w:val="0"/>
          <w:numId w:val="8"/>
        </w:numPr>
        <w:spacing w:line="480" w:lineRule="auto"/>
        <w:jc w:val="both"/>
      </w:pPr>
      <w:r>
        <w:t>Müller N, Hemphill A, Imboden M, Duvallet G, Dwinger RH, Seebeck T. Identification and characterization of two repetitive non-variable antigens from African trypanosomes which are recognized early during infecti</w:t>
      </w:r>
      <w:r w:rsidRPr="00392D3C">
        <w:t>on. Parasitology. 1</w:t>
      </w:r>
      <w:r>
        <w:t>992;104(1):111-20.</w:t>
      </w:r>
    </w:p>
    <w:p w14:paraId="27AE05A0" w14:textId="56F2BDFF" w:rsidR="00477494" w:rsidRDefault="00A80BFA" w:rsidP="003E3BAB">
      <w:pPr>
        <w:pStyle w:val="ListParagraph"/>
        <w:numPr>
          <w:ilvl w:val="0"/>
          <w:numId w:val="8"/>
        </w:numPr>
        <w:spacing w:line="480" w:lineRule="auto"/>
        <w:jc w:val="both"/>
      </w:pPr>
      <w:r>
        <w:t>Schnekenburger M, Karius T, Diederich M. Regulation of epigenetic traits of the glutathione S-transferase P1 gene: from detoxification toward cancer prevention and diagnosi</w:t>
      </w:r>
      <w:r w:rsidRPr="00392D3C">
        <w:t>s. Front Pharmacol. 201</w:t>
      </w:r>
      <w:r>
        <w:t>4;16;5:170.</w:t>
      </w:r>
      <w:r w:rsidR="00477494">
        <w:t xml:space="preserve">Arakaki TL, Buckner FS, Gillespie JR, Malmquist NA, Phillips MA, Kalyuzhniy O </w:t>
      </w:r>
      <w:r w:rsidR="0095777F">
        <w:t>et al</w:t>
      </w:r>
      <w:r w:rsidR="00477494">
        <w:t xml:space="preserve">. Characterization of </w:t>
      </w:r>
      <w:r w:rsidR="00477494" w:rsidRPr="005A1A01">
        <w:rPr>
          <w:i/>
        </w:rPr>
        <w:t>Trypanosoma brucei</w:t>
      </w:r>
      <w:r w:rsidR="00477494">
        <w:t xml:space="preserve"> dihydroorotate dehydrogenase as a possible drug target; structural, kinetic and RNAi studies</w:t>
      </w:r>
      <w:r w:rsidR="00477494" w:rsidRPr="0095777F">
        <w:t>. Mol Microbiol</w:t>
      </w:r>
      <w:r w:rsidR="0095777F">
        <w:t>.</w:t>
      </w:r>
      <w:r w:rsidR="0095777F" w:rsidRPr="0095777F">
        <w:t xml:space="preserve"> </w:t>
      </w:r>
      <w:r w:rsidR="0095777F">
        <w:t>2008;68(1):37-50.</w:t>
      </w:r>
    </w:p>
    <w:p w14:paraId="2E90E6E4" w14:textId="77777777" w:rsidR="00A80BFA" w:rsidRPr="005A1A01" w:rsidRDefault="00A80BFA" w:rsidP="005B5C87">
      <w:pPr>
        <w:pStyle w:val="ListParagraph"/>
        <w:numPr>
          <w:ilvl w:val="0"/>
          <w:numId w:val="8"/>
        </w:numPr>
        <w:spacing w:line="480" w:lineRule="auto"/>
        <w:jc w:val="both"/>
        <w:rPr>
          <w:lang w:val="fr-CH"/>
        </w:rPr>
      </w:pPr>
      <w:r w:rsidRPr="002E5CEB">
        <w:t xml:space="preserve">Sullivan L, Wall SJ, Carrington M, Ferguson MA. </w:t>
      </w:r>
      <w:r w:rsidRPr="00122863">
        <w:t>Proteomic selection of immunodiagnostic antigens for human African trypanosomiasis and generation of a prototype lateral flow immunodiagnostic devic</w:t>
      </w:r>
      <w:r w:rsidRPr="00392D3C">
        <w:t xml:space="preserve">e. </w:t>
      </w:r>
      <w:r w:rsidRPr="005A1A01">
        <w:rPr>
          <w:lang w:val="fr-CH"/>
        </w:rPr>
        <w:t>PLoS Negl Trop Dis. 2013;7(2):e2087.</w:t>
      </w:r>
    </w:p>
    <w:p w14:paraId="4F1CD056" w14:textId="77777777" w:rsidR="00A80BFA" w:rsidRDefault="00A80BFA" w:rsidP="001147AE">
      <w:pPr>
        <w:pStyle w:val="ListParagraph"/>
        <w:numPr>
          <w:ilvl w:val="0"/>
          <w:numId w:val="8"/>
        </w:numPr>
        <w:spacing w:line="480" w:lineRule="auto"/>
        <w:jc w:val="both"/>
      </w:pPr>
      <w:r>
        <w:t xml:space="preserve">De Greef C, Imberechts H, Matthyssens G, Van Meirvenne N, Hamers R. A gene expressed only in serum-resistant variants of </w:t>
      </w:r>
      <w:r w:rsidRPr="005A1A01">
        <w:rPr>
          <w:i/>
        </w:rPr>
        <w:t>Trypanosoma brucei rhodesiense</w:t>
      </w:r>
      <w:r>
        <w:t>.</w:t>
      </w:r>
      <w:r w:rsidRPr="00AD75D1">
        <w:t xml:space="preserve"> Mol Biochem Parasitol. 19</w:t>
      </w:r>
      <w:r>
        <w:t>89;36(2):169-76.</w:t>
      </w:r>
    </w:p>
    <w:p w14:paraId="51D86978" w14:textId="77777777" w:rsidR="00A80BFA" w:rsidRDefault="00A80BFA" w:rsidP="00DF391D">
      <w:pPr>
        <w:pStyle w:val="Cuerpo"/>
        <w:numPr>
          <w:ilvl w:val="0"/>
          <w:numId w:val="8"/>
        </w:numPr>
        <w:spacing w:after="160" w:line="480" w:lineRule="auto"/>
        <w:jc w:val="both"/>
        <w:rPr>
          <w:rFonts w:asciiTheme="minorHAnsi" w:hAnsiTheme="minorHAnsi"/>
          <w:color w:val="000000" w:themeColor="text1"/>
          <w:lang w:val="en-GB"/>
        </w:rPr>
      </w:pPr>
      <w:r w:rsidRPr="00672E67">
        <w:rPr>
          <w:rFonts w:asciiTheme="minorHAnsi" w:hAnsiTheme="minorHAnsi"/>
          <w:color w:val="000000" w:themeColor="text1"/>
          <w:lang w:val="en-GB"/>
        </w:rPr>
        <w:t>Capewell P, Cooper A, Clucas C, Weir W, Macleod A.</w:t>
      </w:r>
      <w:r>
        <w:rPr>
          <w:rFonts w:asciiTheme="minorHAnsi" w:hAnsiTheme="minorHAnsi"/>
          <w:color w:val="000000" w:themeColor="text1"/>
          <w:lang w:val="en-GB"/>
        </w:rPr>
        <w:t xml:space="preserve"> </w:t>
      </w:r>
      <w:r w:rsidRPr="00672E67">
        <w:rPr>
          <w:rFonts w:asciiTheme="minorHAnsi" w:hAnsiTheme="minorHAnsi"/>
          <w:color w:val="000000" w:themeColor="text1"/>
          <w:lang w:val="en-GB"/>
        </w:rPr>
        <w:t>A co-evolutionary arms race: trypanosomes shaping the human genome, humans shaping the trypanosome genome</w:t>
      </w:r>
      <w:r w:rsidRPr="00AD75D1">
        <w:rPr>
          <w:rFonts w:asciiTheme="minorHAnsi" w:hAnsiTheme="minorHAnsi"/>
          <w:color w:val="000000" w:themeColor="text1"/>
          <w:lang w:val="en-GB"/>
        </w:rPr>
        <w:t>. Parasitology.</w:t>
      </w:r>
      <w:r>
        <w:rPr>
          <w:rFonts w:asciiTheme="minorHAnsi" w:hAnsiTheme="minorHAnsi"/>
          <w:i/>
          <w:color w:val="000000" w:themeColor="text1"/>
          <w:lang w:val="en-GB"/>
        </w:rPr>
        <w:t xml:space="preserve"> </w:t>
      </w:r>
      <w:r>
        <w:rPr>
          <w:rFonts w:asciiTheme="minorHAnsi" w:hAnsiTheme="minorHAnsi"/>
          <w:color w:val="000000" w:themeColor="text1"/>
          <w:lang w:val="en-GB"/>
        </w:rPr>
        <w:t>2015;</w:t>
      </w:r>
      <w:r w:rsidRPr="00672E67">
        <w:rPr>
          <w:rFonts w:asciiTheme="minorHAnsi" w:hAnsiTheme="minorHAnsi"/>
          <w:color w:val="000000" w:themeColor="text1"/>
          <w:lang w:val="en-GB"/>
        </w:rPr>
        <w:t>142 Suppl 1:S108-19.</w:t>
      </w:r>
    </w:p>
    <w:p w14:paraId="3E45552A" w14:textId="77777777" w:rsidR="00A80BFA" w:rsidRDefault="00A80BFA" w:rsidP="00B039CB">
      <w:pPr>
        <w:pStyle w:val="ListParagraph"/>
        <w:numPr>
          <w:ilvl w:val="0"/>
          <w:numId w:val="8"/>
        </w:numPr>
        <w:spacing w:line="480" w:lineRule="auto"/>
        <w:jc w:val="both"/>
      </w:pPr>
      <w:r w:rsidRPr="008C1730">
        <w:t>B</w:t>
      </w:r>
      <w:r>
        <w:t xml:space="preserve">üscher P, Gilleman Q, Lejon V. </w:t>
      </w:r>
      <w:r w:rsidRPr="008C1730">
        <w:t>Rapid diagnostic test for sleeping sickne</w:t>
      </w:r>
      <w:r w:rsidRPr="00AD75D1">
        <w:t xml:space="preserve">ss. N Engl J Med. </w:t>
      </w:r>
      <w:r w:rsidRPr="008C1730">
        <w:t>2013</w:t>
      </w:r>
      <w:r>
        <w:t>;368(11):1069-70.</w:t>
      </w:r>
    </w:p>
    <w:p w14:paraId="28151B48" w14:textId="77777777" w:rsidR="00A80BFA" w:rsidRDefault="00A80BFA" w:rsidP="003E3BAB">
      <w:pPr>
        <w:pStyle w:val="ListParagraph"/>
        <w:numPr>
          <w:ilvl w:val="0"/>
          <w:numId w:val="8"/>
        </w:numPr>
        <w:spacing w:line="480" w:lineRule="auto"/>
        <w:jc w:val="both"/>
      </w:pPr>
      <w:r>
        <w:t>Ruda GF, Campbell G, Alibu VP, Barrett MP, Brenk R, Gilbert IH. Virtual fragment screening for novel inhibitors of 6-phosphogluconate dehydrogen</w:t>
      </w:r>
      <w:r w:rsidRPr="00392D3C">
        <w:t xml:space="preserve">ase. Bioorg Med Chem. </w:t>
      </w:r>
      <w:r>
        <w:t>2010;18(14):5056-62.</w:t>
      </w:r>
    </w:p>
    <w:p w14:paraId="1A4C4D4C" w14:textId="77777777" w:rsidR="00A80BFA" w:rsidRDefault="00A80BFA">
      <w:pPr>
        <w:pStyle w:val="ListParagraph"/>
        <w:numPr>
          <w:ilvl w:val="0"/>
          <w:numId w:val="8"/>
        </w:numPr>
        <w:spacing w:line="480" w:lineRule="auto"/>
        <w:jc w:val="both"/>
      </w:pPr>
      <w:r>
        <w:t>Rudd SG, Glover L, Jozwiakowski SK, Horn D, Doherty AJ. PPL2 translesion polymerase is essential for the completion of chromosomal DNA replication in the African trypanosome</w:t>
      </w:r>
      <w:r w:rsidRPr="00392D3C">
        <w:t>. Mol Cell. 20</w:t>
      </w:r>
      <w:r>
        <w:t>13;52(4):554-65.</w:t>
      </w:r>
    </w:p>
    <w:p w14:paraId="7BB3711D" w14:textId="77777777" w:rsidR="00A80BFA" w:rsidRDefault="00A80BFA">
      <w:pPr>
        <w:pStyle w:val="ListParagraph"/>
        <w:numPr>
          <w:ilvl w:val="0"/>
          <w:numId w:val="8"/>
        </w:numPr>
        <w:spacing w:line="480" w:lineRule="auto"/>
        <w:jc w:val="both"/>
      </w:pPr>
      <w:r w:rsidRPr="00F3786E">
        <w:t xml:space="preserve">Dobson R, Stockdale C, Lapsley C, Wilkes J, McCulloch R. Interactions among </w:t>
      </w:r>
      <w:r w:rsidRPr="005A1A01">
        <w:rPr>
          <w:i/>
        </w:rPr>
        <w:t>Trypanosoma brucei</w:t>
      </w:r>
      <w:r w:rsidRPr="00F3786E">
        <w:t xml:space="preserve"> RAD51 paralogues in DNA repair and antigenic var</w:t>
      </w:r>
      <w:r w:rsidRPr="00AD75D1">
        <w:t xml:space="preserve">iation. Molecular Microbiology. </w:t>
      </w:r>
      <w:r>
        <w:t>2011;</w:t>
      </w:r>
      <w:r w:rsidRPr="00F3786E">
        <w:t>81(2):434-456.</w:t>
      </w:r>
    </w:p>
    <w:p w14:paraId="007DC198" w14:textId="385B21B4" w:rsidR="002927AE" w:rsidRDefault="002927AE">
      <w:pPr>
        <w:pStyle w:val="ListParagraph"/>
        <w:numPr>
          <w:ilvl w:val="0"/>
          <w:numId w:val="8"/>
        </w:numPr>
        <w:spacing w:line="480" w:lineRule="auto"/>
        <w:jc w:val="both"/>
      </w:pPr>
      <w:r>
        <w:t xml:space="preserve">Lynch NJ, Schneider H, Sim RB, Bickel U, Schwaeble WJ. </w:t>
      </w:r>
      <w:r w:rsidRPr="002927AE">
        <w:rPr>
          <w:i/>
        </w:rPr>
        <w:t>In vivo</w:t>
      </w:r>
      <w:r>
        <w:t xml:space="preserve"> pharmacokinetics of calreticulin S-domain, an inhibitor of the classical complement pathway. Int Immunopharmacol. 2002;2(4):415-22.</w:t>
      </w:r>
    </w:p>
    <w:p w14:paraId="762CC625" w14:textId="77777777" w:rsidR="00A80BFA" w:rsidRDefault="00A80BFA">
      <w:pPr>
        <w:pStyle w:val="ListParagraph"/>
        <w:numPr>
          <w:ilvl w:val="0"/>
          <w:numId w:val="8"/>
        </w:numPr>
        <w:spacing w:line="480" w:lineRule="auto"/>
        <w:jc w:val="both"/>
      </w:pPr>
      <w:r>
        <w:t xml:space="preserve">Mackey ZB, O'Brien TC, Greenbaum DC, Blank RB, McKerrow JH. A cathepsin B-like protease is required for host protein degradation in </w:t>
      </w:r>
      <w:r w:rsidRPr="005A1A01">
        <w:rPr>
          <w:i/>
        </w:rPr>
        <w:t>Trypanosoma brucei</w:t>
      </w:r>
      <w:r>
        <w:t>.</w:t>
      </w:r>
      <w:r w:rsidRPr="00392D3C">
        <w:t xml:space="preserve"> J Biol Chem. 2</w:t>
      </w:r>
      <w:r>
        <w:t>004;279(46):48426-33.</w:t>
      </w:r>
    </w:p>
    <w:p w14:paraId="5515C21D" w14:textId="77777777" w:rsidR="00A80BFA" w:rsidRPr="00CE1D5F" w:rsidRDefault="00A80BFA" w:rsidP="00DF391D">
      <w:pPr>
        <w:pStyle w:val="Cuerpo"/>
        <w:numPr>
          <w:ilvl w:val="0"/>
          <w:numId w:val="8"/>
        </w:numPr>
        <w:spacing w:after="160" w:line="480" w:lineRule="auto"/>
        <w:jc w:val="both"/>
        <w:rPr>
          <w:rFonts w:asciiTheme="minorHAnsi" w:hAnsiTheme="minorHAnsi"/>
          <w:color w:val="000000" w:themeColor="text1"/>
          <w:lang w:val="en-GB"/>
        </w:rPr>
      </w:pPr>
      <w:r w:rsidRPr="002E5CEB">
        <w:rPr>
          <w:rFonts w:asciiTheme="minorHAnsi" w:hAnsiTheme="minorHAnsi"/>
          <w:color w:val="000000" w:themeColor="text1"/>
          <w:lang w:val="fr-CH"/>
        </w:rPr>
        <w:t xml:space="preserve">Huynh TT, Huynh VT, Harmon MA, Phillips MA. </w:t>
      </w:r>
      <w:r w:rsidRPr="00457D4E">
        <w:rPr>
          <w:rFonts w:asciiTheme="minorHAnsi" w:hAnsiTheme="minorHAnsi"/>
          <w:color w:val="000000" w:themeColor="text1"/>
          <w:lang w:val="en-GB"/>
        </w:rPr>
        <w:t>Gene knockdown of</w:t>
      </w:r>
      <w:r>
        <w:rPr>
          <w:rFonts w:asciiTheme="minorHAnsi" w:hAnsiTheme="minorHAnsi"/>
          <w:color w:val="000000" w:themeColor="text1"/>
          <w:lang w:val="en-GB"/>
        </w:rPr>
        <w:t xml:space="preserve"> γ</w:t>
      </w:r>
      <w:r w:rsidRPr="00457D4E">
        <w:rPr>
          <w:rFonts w:asciiTheme="minorHAnsi" w:hAnsiTheme="minorHAnsi"/>
          <w:color w:val="000000" w:themeColor="text1"/>
          <w:lang w:val="en-GB"/>
        </w:rPr>
        <w:t xml:space="preserve">-glutamylcysteine synthetase by RNAi in the parasitic protozoa </w:t>
      </w:r>
      <w:r w:rsidRPr="001A4479">
        <w:rPr>
          <w:rFonts w:asciiTheme="minorHAnsi" w:hAnsiTheme="minorHAnsi"/>
          <w:i/>
          <w:color w:val="000000" w:themeColor="text1"/>
          <w:lang w:val="en-GB"/>
        </w:rPr>
        <w:t>Trypanosoma brucei</w:t>
      </w:r>
      <w:r w:rsidRPr="00457D4E">
        <w:rPr>
          <w:rFonts w:asciiTheme="minorHAnsi" w:hAnsiTheme="minorHAnsi"/>
          <w:color w:val="000000" w:themeColor="text1"/>
          <w:lang w:val="en-GB"/>
        </w:rPr>
        <w:t xml:space="preserve"> demonstrates that it is an essential enzy</w:t>
      </w:r>
      <w:r w:rsidRPr="00AD75D1">
        <w:rPr>
          <w:rFonts w:asciiTheme="minorHAnsi" w:hAnsiTheme="minorHAnsi"/>
          <w:color w:val="000000" w:themeColor="text1"/>
          <w:lang w:val="en-GB"/>
        </w:rPr>
        <w:t xml:space="preserve">me. J Biol Chem. </w:t>
      </w:r>
      <w:r w:rsidRPr="00CE1D5F">
        <w:rPr>
          <w:rFonts w:asciiTheme="minorHAnsi" w:hAnsiTheme="minorHAnsi"/>
          <w:color w:val="000000" w:themeColor="text1"/>
          <w:lang w:val="en-GB"/>
        </w:rPr>
        <w:t>2003;278(41):39794-800.</w:t>
      </w:r>
    </w:p>
    <w:p w14:paraId="6908D944" w14:textId="77777777" w:rsidR="00BE0820" w:rsidRPr="00CE1D5F" w:rsidRDefault="00BE0820" w:rsidP="00DF391D">
      <w:pPr>
        <w:pStyle w:val="ListParagraph"/>
        <w:numPr>
          <w:ilvl w:val="0"/>
          <w:numId w:val="8"/>
        </w:numPr>
        <w:spacing w:line="480" w:lineRule="auto"/>
        <w:jc w:val="both"/>
        <w:rPr>
          <w:lang w:val="fr-CH"/>
        </w:rPr>
      </w:pPr>
      <w:r w:rsidRPr="00CE1D5F">
        <w:t xml:space="preserve">Willert EK, Fitzpatrick R, Phillips MA. Allosteric regulation of an essential trypanosome polyamine biosynthetic enzyme by a catalytically dead homolog. </w:t>
      </w:r>
      <w:r w:rsidRPr="00CE1D5F">
        <w:rPr>
          <w:lang w:val="fr-CH"/>
        </w:rPr>
        <w:t>Proc Natl Acad Sci USA. 2007;104(20):8275-80.</w:t>
      </w:r>
    </w:p>
    <w:p w14:paraId="4873E7ED" w14:textId="77777777" w:rsidR="009648D5" w:rsidRDefault="009648D5" w:rsidP="00B039CB">
      <w:pPr>
        <w:pStyle w:val="ListParagraph"/>
        <w:numPr>
          <w:ilvl w:val="0"/>
          <w:numId w:val="8"/>
        </w:numPr>
        <w:spacing w:line="480" w:lineRule="auto"/>
        <w:jc w:val="both"/>
      </w:pPr>
      <w:r w:rsidRPr="00CB32D7">
        <w:rPr>
          <w:lang w:val="fr-CH"/>
        </w:rPr>
        <w:t xml:space="preserve">Arakaki TL, Buckner FS, Gillespie JR, Malmquist NA, Phillips MA, Kalyuzhniy O et al. </w:t>
      </w:r>
      <w:r>
        <w:t xml:space="preserve">Characterization of </w:t>
      </w:r>
      <w:r w:rsidRPr="005A1A01">
        <w:rPr>
          <w:i/>
        </w:rPr>
        <w:t>Trypanosoma brucei</w:t>
      </w:r>
      <w:r>
        <w:t xml:space="preserve"> dihydroorotate dehydrogenase as a possible drug target; structural, kinetic and RNAi studies</w:t>
      </w:r>
      <w:r w:rsidRPr="0095777F">
        <w:t>. Mol Microbiol</w:t>
      </w:r>
      <w:r>
        <w:t>.</w:t>
      </w:r>
      <w:r w:rsidRPr="0095777F">
        <w:t xml:space="preserve"> </w:t>
      </w:r>
      <w:r>
        <w:t>2008;68(1):37-50.</w:t>
      </w:r>
    </w:p>
    <w:p w14:paraId="37572BCA" w14:textId="77777777" w:rsidR="00556B53" w:rsidRDefault="00556B53" w:rsidP="003E3BAB">
      <w:pPr>
        <w:pStyle w:val="ListParagraph"/>
        <w:numPr>
          <w:ilvl w:val="0"/>
          <w:numId w:val="8"/>
        </w:numPr>
        <w:spacing w:line="480" w:lineRule="auto"/>
        <w:jc w:val="both"/>
      </w:pPr>
      <w:r>
        <w:t xml:space="preserve">Milne KG, Güther ML, Ferguson MA. Acyl-CoA binding protein is essential in bloodstream form </w:t>
      </w:r>
      <w:r w:rsidRPr="005A1A01">
        <w:rPr>
          <w:i/>
        </w:rPr>
        <w:t>Trypanosoma brucei</w:t>
      </w:r>
      <w:r>
        <w:t>.</w:t>
      </w:r>
      <w:r w:rsidRPr="00392D3C">
        <w:t xml:space="preserve"> Mol Biochem Parasitol. 2</w:t>
      </w:r>
      <w:r>
        <w:t>001;112(2):301-4.</w:t>
      </w:r>
    </w:p>
    <w:p w14:paraId="7D1920EB" w14:textId="77777777" w:rsidR="00556B53" w:rsidRDefault="00556B53">
      <w:pPr>
        <w:pStyle w:val="ListParagraph"/>
        <w:numPr>
          <w:ilvl w:val="0"/>
          <w:numId w:val="8"/>
        </w:numPr>
        <w:spacing w:line="480" w:lineRule="auto"/>
        <w:jc w:val="both"/>
      </w:pPr>
      <w:r>
        <w:t xml:space="preserve">McDowell MA, Ransom DM, Bangs JD. Glycosylphosphatidylinositol-dependent secretory transport in </w:t>
      </w:r>
      <w:r w:rsidRPr="00860F7E">
        <w:rPr>
          <w:i/>
        </w:rPr>
        <w:t>Trypanosoma brucei</w:t>
      </w:r>
      <w:r>
        <w:t>.</w:t>
      </w:r>
      <w:r w:rsidRPr="00392D3C">
        <w:t xml:space="preserve"> </w:t>
      </w:r>
      <w:r w:rsidRPr="002B5385">
        <w:t>Biochem J</w:t>
      </w:r>
      <w:r w:rsidRPr="00392D3C">
        <w:t>. 1</w:t>
      </w:r>
      <w:r>
        <w:t>998;335:681-9.</w:t>
      </w:r>
    </w:p>
    <w:p w14:paraId="3BE09D79" w14:textId="77777777" w:rsidR="00556B53" w:rsidRDefault="00556B53">
      <w:pPr>
        <w:pStyle w:val="ListParagraph"/>
        <w:numPr>
          <w:ilvl w:val="0"/>
          <w:numId w:val="8"/>
        </w:numPr>
        <w:spacing w:line="480" w:lineRule="auto"/>
        <w:jc w:val="both"/>
      </w:pPr>
      <w:r>
        <w:t>Peck RF, Shiflett AM, Schwartz KJ, McCann A, Hajduk SL, Bangs JD. The LAMP-like protein p67 plays an essential role in the lysosome of African trypanoso</w:t>
      </w:r>
      <w:r w:rsidRPr="00392D3C">
        <w:t xml:space="preserve">mes. </w:t>
      </w:r>
      <w:r w:rsidRPr="002B5385">
        <w:t>Mol Microbiol</w:t>
      </w:r>
      <w:r w:rsidRPr="00392D3C">
        <w:t xml:space="preserve">. </w:t>
      </w:r>
      <w:r>
        <w:t>2008;68(4):933-46.</w:t>
      </w:r>
    </w:p>
    <w:p w14:paraId="41E806C3" w14:textId="77777777" w:rsidR="00556B53" w:rsidRDefault="00556B53">
      <w:pPr>
        <w:pStyle w:val="ListParagraph"/>
        <w:numPr>
          <w:ilvl w:val="0"/>
          <w:numId w:val="8"/>
        </w:numPr>
        <w:spacing w:line="480" w:lineRule="auto"/>
        <w:jc w:val="both"/>
      </w:pPr>
      <w:r>
        <w:t xml:space="preserve">Schlaeppi K, Deflorin J, Seebeck T. The major component of the paraflagellar rod of </w:t>
      </w:r>
      <w:r w:rsidRPr="005A1A01">
        <w:rPr>
          <w:i/>
        </w:rPr>
        <w:t>Trypanosoma brucei</w:t>
      </w:r>
      <w:r>
        <w:t xml:space="preserve"> is a helical protein that is encoded by two identical, tandemly linked genes.</w:t>
      </w:r>
      <w:r w:rsidRPr="00392D3C">
        <w:t xml:space="preserve"> J Cell Biol. 1</w:t>
      </w:r>
      <w:r>
        <w:t>989;109(4 Pt 1):1695-709.</w:t>
      </w:r>
    </w:p>
    <w:p w14:paraId="28CAA3BD" w14:textId="77777777" w:rsidR="00556B53" w:rsidRDefault="00556B53">
      <w:pPr>
        <w:pStyle w:val="ListParagraph"/>
        <w:numPr>
          <w:ilvl w:val="0"/>
          <w:numId w:val="8"/>
        </w:numPr>
        <w:spacing w:line="480" w:lineRule="auto"/>
        <w:jc w:val="both"/>
      </w:pPr>
      <w:r>
        <w:t>Sanderson SJ, Westrop GD, Scharfstein J, Mottram JC, Coombs GH. Functional conservation of a natural cysteine peptidase inhibitor in protozoan and bacterial path</w:t>
      </w:r>
      <w:r w:rsidRPr="00392D3C">
        <w:t>ogens. FEBS Lett. 2</w:t>
      </w:r>
      <w:r>
        <w:t>003;8;542(1-3):12-6.</w:t>
      </w:r>
    </w:p>
    <w:p w14:paraId="0D477BB7" w14:textId="77777777" w:rsidR="00556B53" w:rsidRDefault="00556B53">
      <w:pPr>
        <w:pStyle w:val="ListParagraph"/>
        <w:numPr>
          <w:ilvl w:val="0"/>
          <w:numId w:val="8"/>
        </w:numPr>
        <w:spacing w:line="480" w:lineRule="auto"/>
        <w:jc w:val="both"/>
      </w:pPr>
      <w:r>
        <w:t>Müller N, Imboden M, Detmer E, Mansfield JM, Seebeck T. Cytoskeleton-associated antigens from African trypanosomes are recognized by self-reactive antibodies of uninfected mi</w:t>
      </w:r>
      <w:r w:rsidRPr="00392D3C">
        <w:t xml:space="preserve">ce. Parasitology. </w:t>
      </w:r>
      <w:r>
        <w:t>1993;107 (Pt 4):411-7.</w:t>
      </w:r>
    </w:p>
    <w:p w14:paraId="427470B2" w14:textId="77777777" w:rsidR="00556B53" w:rsidRDefault="00556B53">
      <w:pPr>
        <w:pStyle w:val="ListParagraph"/>
        <w:numPr>
          <w:ilvl w:val="0"/>
          <w:numId w:val="8"/>
        </w:numPr>
        <w:spacing w:line="480" w:lineRule="auto"/>
        <w:jc w:val="both"/>
      </w:pPr>
      <w:r w:rsidRPr="003942E1">
        <w:t>Eisenhart</w:t>
      </w:r>
      <w:r>
        <w:t xml:space="preserve"> C, </w:t>
      </w:r>
      <w:r w:rsidRPr="003942E1">
        <w:t>Rosenblatt</w:t>
      </w:r>
      <w:r>
        <w:t xml:space="preserve"> JR</w:t>
      </w:r>
      <w:r w:rsidRPr="003942E1">
        <w:t>. W. J. Youden, 1900</w:t>
      </w:r>
      <w:r w:rsidRPr="00AD75D1">
        <w:t xml:space="preserve">–1971. The Annals of Mathematical Statistics. </w:t>
      </w:r>
      <w:r>
        <w:t>1972;</w:t>
      </w:r>
      <w:r w:rsidRPr="003942E1">
        <w:t>43</w:t>
      </w:r>
      <w:r>
        <w:t>(</w:t>
      </w:r>
      <w:r w:rsidRPr="003942E1">
        <w:t>4</w:t>
      </w:r>
      <w:r>
        <w:t>):</w:t>
      </w:r>
      <w:r w:rsidRPr="003942E1">
        <w:t>1035</w:t>
      </w:r>
      <w:r>
        <w:t>-</w:t>
      </w:r>
      <w:r w:rsidRPr="003942E1">
        <w:t>40</w:t>
      </w:r>
      <w:r>
        <w:t>.</w:t>
      </w:r>
    </w:p>
    <w:p w14:paraId="72894653" w14:textId="77777777" w:rsidR="00556B53" w:rsidRDefault="00556B53">
      <w:pPr>
        <w:pStyle w:val="ListParagraph"/>
        <w:numPr>
          <w:ilvl w:val="0"/>
          <w:numId w:val="8"/>
        </w:numPr>
        <w:spacing w:line="480" w:lineRule="auto"/>
        <w:jc w:val="both"/>
      </w:pPr>
      <w:r>
        <w:t>Schwede A, Macleod OJ, MacGregor P, Carrington M. How does the VSG coat of bloodstream form African trypanosomes interact with external pr</w:t>
      </w:r>
      <w:r w:rsidRPr="00392D3C">
        <w:t>oteins?. PLoS Pathog. 2</w:t>
      </w:r>
      <w:r>
        <w:t>015;11(12):e1005259.</w:t>
      </w:r>
    </w:p>
    <w:p w14:paraId="7371E22E" w14:textId="77777777" w:rsidR="00556B53" w:rsidRDefault="00556B53" w:rsidP="00DF391D">
      <w:pPr>
        <w:pStyle w:val="ListParagraph"/>
        <w:numPr>
          <w:ilvl w:val="0"/>
          <w:numId w:val="8"/>
        </w:numPr>
        <w:spacing w:line="480" w:lineRule="auto"/>
        <w:jc w:val="both"/>
        <w:rPr>
          <w:lang w:val="fr-CH"/>
        </w:rPr>
      </w:pPr>
      <w:r w:rsidRPr="002E5CEB">
        <w:t xml:space="preserve">Van Meirvenne N, Magnus E, Buscher P. Evaluation of variant specific trypanolysis tests for serodiagnosis of human infections with </w:t>
      </w:r>
      <w:r w:rsidRPr="00860F7E">
        <w:rPr>
          <w:i/>
        </w:rPr>
        <w:t>Trypanosoma brucei gambiense</w:t>
      </w:r>
      <w:r w:rsidRPr="002E5CEB">
        <w:t xml:space="preserve">. </w:t>
      </w:r>
      <w:r w:rsidRPr="002B5385">
        <w:rPr>
          <w:lang w:val="fr-CH"/>
        </w:rPr>
        <w:t>Acta Trop</w:t>
      </w:r>
      <w:r w:rsidRPr="00392D3C">
        <w:rPr>
          <w:lang w:val="fr-CH"/>
        </w:rPr>
        <w:t xml:space="preserve">. </w:t>
      </w:r>
      <w:r>
        <w:rPr>
          <w:lang w:val="fr-CH"/>
        </w:rPr>
        <w:t>1995;</w:t>
      </w:r>
      <w:r w:rsidRPr="00705EC3">
        <w:rPr>
          <w:lang w:val="fr-CH"/>
        </w:rPr>
        <w:t>60(3):189-99.</w:t>
      </w:r>
    </w:p>
    <w:p w14:paraId="4DBA2639" w14:textId="77777777" w:rsidR="00556B53" w:rsidRDefault="00556B53" w:rsidP="00B039CB">
      <w:pPr>
        <w:pStyle w:val="ListParagraph"/>
        <w:numPr>
          <w:ilvl w:val="0"/>
          <w:numId w:val="8"/>
        </w:numPr>
        <w:spacing w:line="480" w:lineRule="auto"/>
        <w:jc w:val="both"/>
      </w:pPr>
      <w:r>
        <w:t xml:space="preserve">Dukes P, Gibson WC, Gashumba JK, Hudson KM, Bromidge TJ, Kaukus A et al. Absence of the LiTat 1.3 (CATT antigen) gene in </w:t>
      </w:r>
      <w:r w:rsidRPr="00860F7E">
        <w:rPr>
          <w:i/>
        </w:rPr>
        <w:t>Trypanosoma brucei gambiense</w:t>
      </w:r>
      <w:r>
        <w:t xml:space="preserve"> stocks from Cameroo</w:t>
      </w:r>
      <w:r w:rsidRPr="00AD75D1">
        <w:t xml:space="preserve">n. </w:t>
      </w:r>
      <w:r w:rsidRPr="002B5385">
        <w:t>Acta Trop</w:t>
      </w:r>
      <w:r w:rsidRPr="00AD75D1">
        <w:t xml:space="preserve">. </w:t>
      </w:r>
      <w:r>
        <w:t>1992;51(2):123-34.</w:t>
      </w:r>
    </w:p>
    <w:p w14:paraId="2A848F08" w14:textId="77777777" w:rsidR="0027760A" w:rsidRDefault="0027760A" w:rsidP="003E3BAB">
      <w:pPr>
        <w:pStyle w:val="ListParagraph"/>
        <w:numPr>
          <w:ilvl w:val="0"/>
          <w:numId w:val="8"/>
        </w:numPr>
        <w:spacing w:line="480" w:lineRule="auto"/>
        <w:jc w:val="both"/>
      </w:pPr>
      <w:r>
        <w:t xml:space="preserve">Bart JM, Cordon-Obras C, Vidal I, Reed J, Perez-Pastrana E, Cuevas L et al. Localization of serum resistance-associated protein in </w:t>
      </w:r>
      <w:r w:rsidRPr="00860F7E">
        <w:rPr>
          <w:i/>
        </w:rPr>
        <w:t>Trypanosoma brucei rhodesiense</w:t>
      </w:r>
      <w:r>
        <w:t xml:space="preserve"> and transgenic </w:t>
      </w:r>
      <w:r w:rsidRPr="00860F7E">
        <w:rPr>
          <w:i/>
        </w:rPr>
        <w:t>Trypanosoma brucei brucei</w:t>
      </w:r>
      <w:r>
        <w:t>. Cell Microbiol. 2015;17(10):1523-35.</w:t>
      </w:r>
    </w:p>
    <w:p w14:paraId="0F449E51" w14:textId="77777777" w:rsidR="00556B53" w:rsidRDefault="00556B53">
      <w:pPr>
        <w:pStyle w:val="ListParagraph"/>
        <w:numPr>
          <w:ilvl w:val="0"/>
          <w:numId w:val="8"/>
        </w:numPr>
        <w:spacing w:line="480" w:lineRule="auto"/>
        <w:jc w:val="both"/>
      </w:pPr>
      <w:r>
        <w:t xml:space="preserve">De Greef C, Hamers R. The serum resistance-associated (SRA) gene of </w:t>
      </w:r>
      <w:r w:rsidRPr="00860F7E">
        <w:rPr>
          <w:i/>
        </w:rPr>
        <w:t>Trypanosoma brucei rhodesiense</w:t>
      </w:r>
      <w:r>
        <w:t xml:space="preserve"> encodes a variant surface glycoprotein-like pro</w:t>
      </w:r>
      <w:r w:rsidRPr="00AD75D1">
        <w:t xml:space="preserve">tein. </w:t>
      </w:r>
      <w:r w:rsidRPr="002B5385">
        <w:t>Mol Biochem Parasitol</w:t>
      </w:r>
      <w:r w:rsidRPr="00AD75D1">
        <w:t xml:space="preserve"> </w:t>
      </w:r>
      <w:r w:rsidRPr="005A1A01">
        <w:rPr>
          <w:i/>
        </w:rPr>
        <w:t>.</w:t>
      </w:r>
      <w:r>
        <w:t>1994;68(2):277-84.</w:t>
      </w:r>
    </w:p>
    <w:p w14:paraId="43D1BDC2" w14:textId="77777777" w:rsidR="00ED756D" w:rsidRDefault="00ED756D">
      <w:pPr>
        <w:pStyle w:val="ListParagraph"/>
        <w:numPr>
          <w:ilvl w:val="0"/>
          <w:numId w:val="8"/>
        </w:numPr>
        <w:spacing w:line="480" w:lineRule="auto"/>
        <w:jc w:val="both"/>
      </w:pPr>
      <w:r>
        <w:t>Diffley P. Trypanosomal surface coat variant antigen causes polyclonal lymphocyte activation. J Immunol. 1983;131(4):1983-6.</w:t>
      </w:r>
    </w:p>
    <w:p w14:paraId="6D61D58E" w14:textId="77777777" w:rsidR="00ED756D" w:rsidRDefault="00ED756D">
      <w:pPr>
        <w:pStyle w:val="ListParagraph"/>
        <w:numPr>
          <w:ilvl w:val="0"/>
          <w:numId w:val="8"/>
        </w:numPr>
        <w:spacing w:line="480" w:lineRule="auto"/>
        <w:jc w:val="both"/>
      </w:pPr>
      <w:r>
        <w:t xml:space="preserve">Oka M, Yabu Y, Ito Y, Takayanagi T. Polyclonal B-cell stimulative and immunosuppressive activities at different developmental stages of </w:t>
      </w:r>
      <w:r w:rsidRPr="00860F7E">
        <w:rPr>
          <w:i/>
        </w:rPr>
        <w:t>Trypanosoma gambiense</w:t>
      </w:r>
      <w:r>
        <w:t>. Microbiol Immunol. 1988;32(11):1175-7.</w:t>
      </w:r>
    </w:p>
    <w:p w14:paraId="60171D80" w14:textId="77777777" w:rsidR="00ED756D" w:rsidRPr="00820610" w:rsidRDefault="00ED756D" w:rsidP="00DF391D">
      <w:pPr>
        <w:pStyle w:val="Cuerpo"/>
        <w:numPr>
          <w:ilvl w:val="0"/>
          <w:numId w:val="8"/>
        </w:numPr>
        <w:spacing w:after="160" w:line="480" w:lineRule="auto"/>
        <w:jc w:val="both"/>
        <w:rPr>
          <w:rFonts w:asciiTheme="minorHAnsi" w:hAnsiTheme="minorHAnsi"/>
          <w:color w:val="000000" w:themeColor="text1"/>
          <w:lang w:val="en-GB"/>
        </w:rPr>
      </w:pPr>
      <w:r w:rsidRPr="00820610">
        <w:rPr>
          <w:rFonts w:asciiTheme="minorHAnsi" w:hAnsiTheme="minorHAnsi"/>
          <w:color w:val="000000" w:themeColor="text1"/>
          <w:lang w:val="en-GB"/>
        </w:rPr>
        <w:t xml:space="preserve">Buza J, Naessens J. Trypanosome non-specific IgM antibodies detected in serum of </w:t>
      </w:r>
      <w:r w:rsidRPr="00860F7E">
        <w:rPr>
          <w:rFonts w:asciiTheme="minorHAnsi" w:hAnsiTheme="minorHAnsi"/>
          <w:i/>
          <w:color w:val="000000" w:themeColor="text1"/>
          <w:lang w:val="en-GB"/>
        </w:rPr>
        <w:t>Trypanosoma congolense</w:t>
      </w:r>
      <w:r w:rsidRPr="00820610">
        <w:rPr>
          <w:rFonts w:asciiTheme="minorHAnsi" w:hAnsiTheme="minorHAnsi"/>
          <w:color w:val="000000" w:themeColor="text1"/>
          <w:lang w:val="en-GB"/>
        </w:rPr>
        <w:t>-infected cattle are polyreactive. Vet Immunol</w:t>
      </w:r>
      <w:r>
        <w:rPr>
          <w:rFonts w:asciiTheme="minorHAnsi" w:hAnsiTheme="minorHAnsi"/>
          <w:color w:val="000000" w:themeColor="text1"/>
          <w:lang w:val="en-GB"/>
        </w:rPr>
        <w:t xml:space="preserve"> </w:t>
      </w:r>
      <w:r w:rsidRPr="00820610">
        <w:rPr>
          <w:rFonts w:asciiTheme="minorHAnsi" w:hAnsiTheme="minorHAnsi"/>
          <w:color w:val="000000" w:themeColor="text1"/>
          <w:lang w:val="en-GB"/>
        </w:rPr>
        <w:t>Immunopathol. 1999;69(1):1-9.</w:t>
      </w:r>
    </w:p>
    <w:p w14:paraId="2CF48C20" w14:textId="77777777" w:rsidR="00ED756D" w:rsidRDefault="00ED756D" w:rsidP="00B039CB">
      <w:pPr>
        <w:pStyle w:val="ListParagraph"/>
        <w:numPr>
          <w:ilvl w:val="0"/>
          <w:numId w:val="8"/>
        </w:numPr>
        <w:spacing w:line="480" w:lineRule="auto"/>
        <w:jc w:val="both"/>
      </w:pPr>
      <w:r>
        <w:t xml:space="preserve">Radwanska M, Magez S, Michel A, Stijlemans B, Geuskens M, Pays E. Comparative analysis of antibody responses against HSP60, invariant surface glycoprotein 70, and variant surface glycoprotein reveals a complex antigen-specific pattern of immunoglobulin isotype switching during infection by </w:t>
      </w:r>
      <w:r w:rsidRPr="00860F7E">
        <w:rPr>
          <w:i/>
        </w:rPr>
        <w:t>Trypanosoma brucei</w:t>
      </w:r>
      <w:r>
        <w:t>. Infect Immun. 2000;68(2):848-60.</w:t>
      </w:r>
    </w:p>
    <w:p w14:paraId="746F34B7" w14:textId="77777777" w:rsidR="00ED756D" w:rsidRPr="005A1A01" w:rsidRDefault="00ED756D" w:rsidP="003E3BAB">
      <w:pPr>
        <w:pStyle w:val="ListParagraph"/>
        <w:numPr>
          <w:ilvl w:val="0"/>
          <w:numId w:val="8"/>
        </w:numPr>
        <w:spacing w:line="480" w:lineRule="auto"/>
        <w:jc w:val="both"/>
        <w:rPr>
          <w:lang w:val="fr-CH"/>
        </w:rPr>
      </w:pPr>
      <w:r w:rsidRPr="002E5CEB">
        <w:t xml:space="preserve">Whitley E, Ball J. Statistics review 2: samples and populations. </w:t>
      </w:r>
      <w:r w:rsidRPr="005A1A01">
        <w:rPr>
          <w:lang w:val="fr-CH"/>
        </w:rPr>
        <w:t>Crit Care. 2002;6(2):143-8.</w:t>
      </w:r>
    </w:p>
    <w:p w14:paraId="78ACAE65" w14:textId="77777777" w:rsidR="00ED756D" w:rsidRDefault="00ED756D" w:rsidP="00DF391D">
      <w:pPr>
        <w:pStyle w:val="Cuerpo"/>
        <w:numPr>
          <w:ilvl w:val="0"/>
          <w:numId w:val="8"/>
        </w:numPr>
        <w:spacing w:after="160" w:line="480" w:lineRule="auto"/>
        <w:jc w:val="both"/>
        <w:rPr>
          <w:rFonts w:asciiTheme="minorHAnsi" w:hAnsiTheme="minorHAnsi"/>
          <w:color w:val="000000" w:themeColor="text1"/>
          <w:lang w:val="en-GB"/>
        </w:rPr>
      </w:pPr>
      <w:r w:rsidRPr="002E5CEB">
        <w:rPr>
          <w:rFonts w:asciiTheme="minorHAnsi" w:hAnsiTheme="minorHAnsi"/>
          <w:color w:val="000000" w:themeColor="text1"/>
          <w:lang w:val="fr-CH"/>
        </w:rPr>
        <w:t xml:space="preserve">Büscher P, Mertens P, Leclipteux T, Gilleman Q, Jacquet D, Mumba-Ngoyi D et al. </w:t>
      </w:r>
      <w:r w:rsidRPr="00155E84">
        <w:rPr>
          <w:rFonts w:asciiTheme="minorHAnsi" w:hAnsiTheme="minorHAnsi"/>
          <w:color w:val="000000" w:themeColor="text1"/>
          <w:lang w:val="en-GB"/>
        </w:rPr>
        <w:t xml:space="preserve">Sensitivity and specificity of HAT Sero-K-SeT, a rapid diagnostic test for serodiagnosis of sleeping sickness caused by </w:t>
      </w:r>
      <w:r w:rsidRPr="00860F7E">
        <w:rPr>
          <w:rFonts w:asciiTheme="minorHAnsi" w:hAnsiTheme="minorHAnsi"/>
          <w:i/>
          <w:color w:val="000000" w:themeColor="text1"/>
          <w:lang w:val="en-GB"/>
        </w:rPr>
        <w:t>Trypanosoma brucei gambiense</w:t>
      </w:r>
      <w:r w:rsidRPr="00155E84">
        <w:rPr>
          <w:rFonts w:asciiTheme="minorHAnsi" w:hAnsiTheme="minorHAnsi"/>
          <w:color w:val="000000" w:themeColor="text1"/>
          <w:lang w:val="en-GB"/>
        </w:rPr>
        <w:t>: a case-control stu</w:t>
      </w:r>
      <w:r w:rsidRPr="00AD75D1">
        <w:rPr>
          <w:rFonts w:asciiTheme="minorHAnsi" w:hAnsiTheme="minorHAnsi"/>
          <w:color w:val="000000" w:themeColor="text1"/>
          <w:lang w:val="en-GB"/>
        </w:rPr>
        <w:t xml:space="preserve">dy. Lancet Glob Health. </w:t>
      </w:r>
      <w:r>
        <w:rPr>
          <w:rFonts w:asciiTheme="minorHAnsi" w:hAnsiTheme="minorHAnsi"/>
          <w:color w:val="000000" w:themeColor="text1"/>
          <w:lang w:val="en-GB"/>
        </w:rPr>
        <w:t>2014;2(6):e359-63.</w:t>
      </w:r>
    </w:p>
    <w:p w14:paraId="76A405B0" w14:textId="77777777" w:rsidR="00ED756D" w:rsidRDefault="00ED756D" w:rsidP="00DF391D">
      <w:pPr>
        <w:pStyle w:val="Cuerpo"/>
        <w:numPr>
          <w:ilvl w:val="0"/>
          <w:numId w:val="8"/>
        </w:numPr>
        <w:spacing w:after="160" w:line="480" w:lineRule="auto"/>
        <w:contextualSpacing/>
        <w:jc w:val="both"/>
        <w:rPr>
          <w:rFonts w:asciiTheme="minorHAnsi" w:hAnsiTheme="minorHAnsi"/>
          <w:color w:val="000000" w:themeColor="text1"/>
          <w:lang w:val="en-US"/>
        </w:rPr>
      </w:pPr>
      <w:r w:rsidRPr="002E5CEB">
        <w:rPr>
          <w:rFonts w:asciiTheme="minorHAnsi" w:hAnsiTheme="minorHAnsi"/>
          <w:color w:val="000000" w:themeColor="text1"/>
          <w:lang w:val="fr-CH"/>
        </w:rPr>
        <w:t xml:space="preserve">Jamonneau V, Camara O, Ilboudo H, Peylhard M, Koffi M, Sakande H et al. </w:t>
      </w:r>
      <w:r w:rsidRPr="00155E84">
        <w:rPr>
          <w:rFonts w:asciiTheme="minorHAnsi" w:hAnsiTheme="minorHAnsi"/>
          <w:color w:val="000000" w:themeColor="text1"/>
          <w:lang w:val="en-GB"/>
        </w:rPr>
        <w:t xml:space="preserve">Accuracy of individual rapid tests for serodiagnosis of </w:t>
      </w:r>
      <w:r w:rsidRPr="00860F7E">
        <w:rPr>
          <w:rFonts w:asciiTheme="minorHAnsi" w:hAnsiTheme="minorHAnsi"/>
          <w:i/>
          <w:color w:val="000000" w:themeColor="text1"/>
          <w:lang w:val="en-GB"/>
        </w:rPr>
        <w:t>gambiense</w:t>
      </w:r>
      <w:r w:rsidRPr="00155E84">
        <w:rPr>
          <w:rFonts w:asciiTheme="minorHAnsi" w:hAnsiTheme="minorHAnsi"/>
          <w:color w:val="000000" w:themeColor="text1"/>
          <w:lang w:val="en-GB"/>
        </w:rPr>
        <w:t xml:space="preserve"> sleeping sickness in West Afr</w:t>
      </w:r>
      <w:r w:rsidRPr="00AD75D1">
        <w:rPr>
          <w:rFonts w:asciiTheme="minorHAnsi" w:hAnsiTheme="minorHAnsi"/>
          <w:color w:val="000000" w:themeColor="text1"/>
          <w:lang w:val="en-GB"/>
        </w:rPr>
        <w:t>ica.</w:t>
      </w:r>
      <w:r w:rsidRPr="00AD75D1">
        <w:rPr>
          <w:rFonts w:asciiTheme="minorHAnsi" w:hAnsiTheme="minorHAnsi"/>
          <w:color w:val="000000" w:themeColor="text1"/>
          <w:lang w:val="en-US"/>
        </w:rPr>
        <w:t xml:space="preserve"> PLoS Negl Trop Dis. </w:t>
      </w:r>
      <w:r w:rsidRPr="00AD75D1">
        <w:rPr>
          <w:rFonts w:asciiTheme="minorHAnsi" w:hAnsiTheme="minorHAnsi"/>
          <w:color w:val="000000" w:themeColor="text1"/>
          <w:lang w:val="en-GB"/>
        </w:rPr>
        <w:t>2</w:t>
      </w:r>
      <w:r>
        <w:rPr>
          <w:rFonts w:asciiTheme="minorHAnsi" w:hAnsiTheme="minorHAnsi"/>
          <w:color w:val="000000" w:themeColor="text1"/>
          <w:lang w:val="en-GB"/>
        </w:rPr>
        <w:t>015;</w:t>
      </w:r>
      <w:r w:rsidRPr="000D7CE8">
        <w:rPr>
          <w:rFonts w:asciiTheme="minorHAnsi" w:hAnsiTheme="minorHAnsi"/>
          <w:color w:val="000000" w:themeColor="text1"/>
          <w:lang w:val="en-US"/>
        </w:rPr>
        <w:t>9(2):e0003480.</w:t>
      </w:r>
    </w:p>
    <w:p w14:paraId="6527F489" w14:textId="258A26E2" w:rsidR="00B039CB" w:rsidRPr="00B039CB" w:rsidRDefault="00B039CB" w:rsidP="00DF391D">
      <w:pPr>
        <w:pStyle w:val="Cuerpo"/>
        <w:numPr>
          <w:ilvl w:val="0"/>
          <w:numId w:val="8"/>
        </w:numPr>
        <w:spacing w:after="160" w:line="480" w:lineRule="auto"/>
        <w:contextualSpacing/>
        <w:jc w:val="both"/>
        <w:rPr>
          <w:rFonts w:asciiTheme="minorHAnsi" w:hAnsiTheme="minorHAnsi"/>
          <w:color w:val="000000" w:themeColor="text1"/>
          <w:lang w:val="en-US"/>
        </w:rPr>
      </w:pPr>
      <w:r w:rsidRPr="00B039CB">
        <w:rPr>
          <w:rFonts w:asciiTheme="minorHAnsi" w:hAnsiTheme="minorHAnsi"/>
          <w:color w:val="000000" w:themeColor="text1"/>
          <w:lang w:val="en-US"/>
        </w:rPr>
        <w:t xml:space="preserve">Bisser S, Lumbala C, Nguertoum E, Kande V, Flevaud L, Vatunga G, Boelaert M, Büscher P, Josenando T, Bessell PR, Biéler S, Ndung'u JM. Sensitivity and specificity of a prototype rapid diagnostic </w:t>
      </w:r>
      <w:r>
        <w:rPr>
          <w:rFonts w:asciiTheme="minorHAnsi" w:hAnsiTheme="minorHAnsi"/>
          <w:color w:val="000000" w:themeColor="text1"/>
          <w:lang w:val="en-US"/>
        </w:rPr>
        <w:t>test for the d</w:t>
      </w:r>
      <w:r w:rsidRPr="00B039CB">
        <w:rPr>
          <w:rFonts w:asciiTheme="minorHAnsi" w:hAnsiTheme="minorHAnsi"/>
          <w:color w:val="000000" w:themeColor="text1"/>
          <w:lang w:val="en-US"/>
        </w:rPr>
        <w:t xml:space="preserve">etection of </w:t>
      </w:r>
      <w:r w:rsidRPr="00B039CB">
        <w:rPr>
          <w:rFonts w:asciiTheme="minorHAnsi" w:hAnsiTheme="minorHAnsi"/>
          <w:i/>
          <w:color w:val="000000" w:themeColor="text1"/>
          <w:lang w:val="en-US"/>
        </w:rPr>
        <w:t>Trypanosoma brucei gambiense</w:t>
      </w:r>
      <w:r w:rsidRPr="00B039CB">
        <w:rPr>
          <w:rFonts w:asciiTheme="minorHAnsi" w:hAnsiTheme="minorHAnsi"/>
          <w:color w:val="000000" w:themeColor="text1"/>
          <w:lang w:val="en-US"/>
        </w:rPr>
        <w:t xml:space="preserve"> </w:t>
      </w:r>
      <w:r>
        <w:rPr>
          <w:rFonts w:asciiTheme="minorHAnsi" w:hAnsiTheme="minorHAnsi"/>
          <w:color w:val="000000" w:themeColor="text1"/>
          <w:lang w:val="en-US"/>
        </w:rPr>
        <w:t>infection: A m</w:t>
      </w:r>
      <w:r w:rsidRPr="00B039CB">
        <w:rPr>
          <w:rFonts w:asciiTheme="minorHAnsi" w:hAnsiTheme="minorHAnsi"/>
          <w:color w:val="000000" w:themeColor="text1"/>
          <w:lang w:val="en-US"/>
        </w:rPr>
        <w:t xml:space="preserve">ulti-centric </w:t>
      </w:r>
      <w:r>
        <w:rPr>
          <w:rFonts w:asciiTheme="minorHAnsi" w:hAnsiTheme="minorHAnsi"/>
          <w:color w:val="000000" w:themeColor="text1"/>
          <w:lang w:val="en-US"/>
        </w:rPr>
        <w:t>prospective s</w:t>
      </w:r>
      <w:r w:rsidRPr="00B039CB">
        <w:rPr>
          <w:rFonts w:asciiTheme="minorHAnsi" w:hAnsiTheme="minorHAnsi"/>
          <w:color w:val="000000" w:themeColor="text1"/>
          <w:lang w:val="en-US"/>
        </w:rPr>
        <w:t>tudy. PLoS Negl Trop</w:t>
      </w:r>
      <w:r>
        <w:rPr>
          <w:rFonts w:asciiTheme="minorHAnsi" w:hAnsiTheme="minorHAnsi"/>
          <w:color w:val="000000" w:themeColor="text1"/>
          <w:lang w:val="en-US"/>
        </w:rPr>
        <w:t xml:space="preserve"> </w:t>
      </w:r>
      <w:r w:rsidRPr="00B039CB">
        <w:rPr>
          <w:rFonts w:asciiTheme="minorHAnsi" w:hAnsiTheme="minorHAnsi"/>
          <w:color w:val="000000" w:themeColor="text1"/>
          <w:lang w:val="en-US"/>
        </w:rPr>
        <w:t>Dis. 2016;10(4):e0004608.</w:t>
      </w:r>
    </w:p>
    <w:p w14:paraId="44DFDA55" w14:textId="77777777" w:rsidR="00ED756D" w:rsidRPr="00310B1E" w:rsidRDefault="00ED756D" w:rsidP="00B039CB">
      <w:pPr>
        <w:pStyle w:val="ListParagraph"/>
        <w:numPr>
          <w:ilvl w:val="0"/>
          <w:numId w:val="8"/>
        </w:numPr>
        <w:spacing w:line="480" w:lineRule="auto"/>
        <w:jc w:val="both"/>
        <w:rPr>
          <w:lang w:val="fr-CH"/>
        </w:rPr>
      </w:pPr>
      <w:r w:rsidRPr="005A16ED">
        <w:t xml:space="preserve">Sistrom M, Evans B, Bjornson R, Gibson W, Balmer O, Mäser P et al. Comparative genomics reveals multiple genetic backgrounds of human pathogenicity in the </w:t>
      </w:r>
      <w:r w:rsidRPr="005A16ED">
        <w:rPr>
          <w:i/>
        </w:rPr>
        <w:t>Trypanosoma brucei</w:t>
      </w:r>
      <w:r w:rsidRPr="005A16ED">
        <w:t xml:space="preserve"> complex. </w:t>
      </w:r>
      <w:r w:rsidRPr="00310B1E">
        <w:rPr>
          <w:lang w:val="fr-CH"/>
        </w:rPr>
        <w:t>Genome Biol Evol. 2014;6(10):2811-9.</w:t>
      </w:r>
    </w:p>
    <w:p w14:paraId="3142FB59" w14:textId="77777777" w:rsidR="00ED756D" w:rsidRDefault="00ED756D" w:rsidP="003E3BAB">
      <w:pPr>
        <w:pStyle w:val="ListParagraph"/>
        <w:numPr>
          <w:ilvl w:val="0"/>
          <w:numId w:val="8"/>
        </w:numPr>
        <w:spacing w:line="480" w:lineRule="auto"/>
        <w:jc w:val="both"/>
        <w:rPr>
          <w:lang w:val="fr-CH"/>
        </w:rPr>
      </w:pPr>
      <w:r w:rsidRPr="005A16ED">
        <w:t xml:space="preserve">Sistrom M, Evans B, Benoit J, Balmer O, Aksoy S, Caccone A. </w:t>
      </w:r>
      <w:r w:rsidRPr="005A16ED">
        <w:rPr>
          <w:i/>
        </w:rPr>
        <w:t>De novo</w:t>
      </w:r>
      <w:r w:rsidRPr="005A16ED">
        <w:t xml:space="preserve"> genome assembly shows genome wide similarity between </w:t>
      </w:r>
      <w:r w:rsidRPr="005A16ED">
        <w:rPr>
          <w:i/>
        </w:rPr>
        <w:t>Trypanosoma brucei brucei</w:t>
      </w:r>
      <w:r w:rsidRPr="005A16ED">
        <w:t xml:space="preserve"> and </w:t>
      </w:r>
      <w:r w:rsidRPr="005A16ED">
        <w:rPr>
          <w:i/>
        </w:rPr>
        <w:t>Trypanosoma brucei rhodesiense</w:t>
      </w:r>
      <w:r w:rsidRPr="005A16ED">
        <w:t xml:space="preserve">. </w:t>
      </w:r>
      <w:r w:rsidRPr="00CF557F">
        <w:rPr>
          <w:lang w:val="fr-CH"/>
        </w:rPr>
        <w:t>PLoS One. 2016;11(2):e0147660.</w:t>
      </w:r>
    </w:p>
    <w:p w14:paraId="16ECB841" w14:textId="322673F4" w:rsidR="00951448" w:rsidRPr="00951448" w:rsidRDefault="00951448" w:rsidP="00951448">
      <w:pPr>
        <w:pStyle w:val="ListParagraph"/>
        <w:numPr>
          <w:ilvl w:val="0"/>
          <w:numId w:val="8"/>
        </w:numPr>
        <w:spacing w:line="480" w:lineRule="auto"/>
        <w:jc w:val="both"/>
        <w:rPr>
          <w:lang w:val="fr-CH"/>
        </w:rPr>
      </w:pPr>
      <w:r w:rsidRPr="00951448">
        <w:rPr>
          <w:lang w:val="fr-CH"/>
        </w:rPr>
        <w:t xml:space="preserve">Eyford BA, Ahmad R, Enyaru JC, Carr SA, Pearson TW. Identification of </w:t>
      </w:r>
      <w:r>
        <w:rPr>
          <w:lang w:val="fr-CH"/>
        </w:rPr>
        <w:t>t</w:t>
      </w:r>
      <w:r w:rsidRPr="00951448">
        <w:rPr>
          <w:lang w:val="fr-CH"/>
        </w:rPr>
        <w:t>rypanosome proteins in plasma from African sleeping sickness patients infected</w:t>
      </w:r>
      <w:r>
        <w:rPr>
          <w:lang w:val="fr-CH"/>
        </w:rPr>
        <w:t xml:space="preserve"> </w:t>
      </w:r>
      <w:r w:rsidRPr="00951448">
        <w:rPr>
          <w:lang w:val="fr-CH"/>
        </w:rPr>
        <w:t xml:space="preserve">with </w:t>
      </w:r>
      <w:r w:rsidRPr="00951448">
        <w:rPr>
          <w:i/>
          <w:lang w:val="fr-CH"/>
        </w:rPr>
        <w:t>T. b. rhodesiense</w:t>
      </w:r>
      <w:r w:rsidRPr="00951448">
        <w:rPr>
          <w:lang w:val="fr-CH"/>
        </w:rPr>
        <w:t>. PLoS One. 2013;8(8):e71463.</w:t>
      </w:r>
    </w:p>
    <w:p w14:paraId="2D817B21" w14:textId="77777777" w:rsidR="00CD28EA" w:rsidRDefault="00CD28EA" w:rsidP="00B039CB">
      <w:pPr>
        <w:pStyle w:val="ListParagraph"/>
        <w:numPr>
          <w:ilvl w:val="0"/>
          <w:numId w:val="8"/>
        </w:numPr>
        <w:spacing w:line="480" w:lineRule="auto"/>
        <w:jc w:val="both"/>
        <w:rPr>
          <w:lang w:val="fr-CH"/>
        </w:rPr>
      </w:pPr>
      <w:r w:rsidRPr="00CD28EA">
        <w:rPr>
          <w:lang w:val="fr-CH"/>
        </w:rPr>
        <w:t>Simarro PP, Cecchi G, Paone M, Franco JR, Diarr</w:t>
      </w:r>
      <w:r>
        <w:rPr>
          <w:lang w:val="fr-CH"/>
        </w:rPr>
        <w:t>a A, Ruiz JA et al</w:t>
      </w:r>
      <w:r w:rsidRPr="00CD28EA">
        <w:rPr>
          <w:lang w:val="fr-CH"/>
        </w:rPr>
        <w:t xml:space="preserve">. </w:t>
      </w:r>
      <w:r w:rsidRPr="00661393">
        <w:t xml:space="preserve">The Atlas of human African trypanosomiasis: a contribution to global mapping of neglected tropical diseases. </w:t>
      </w:r>
      <w:r w:rsidRPr="00CD28EA">
        <w:rPr>
          <w:lang w:val="fr-CH"/>
        </w:rPr>
        <w:t>Int J Health</w:t>
      </w:r>
      <w:r>
        <w:rPr>
          <w:lang w:val="fr-CH"/>
        </w:rPr>
        <w:t xml:space="preserve"> </w:t>
      </w:r>
      <w:r w:rsidRPr="00CD28EA">
        <w:rPr>
          <w:lang w:val="fr-CH"/>
        </w:rPr>
        <w:t>Geogr. 2010;9:57.</w:t>
      </w:r>
    </w:p>
    <w:p w14:paraId="10A0CB66" w14:textId="4068AE0C" w:rsidR="00E03300" w:rsidRPr="00E03300" w:rsidRDefault="00E03300" w:rsidP="00B039CB">
      <w:pPr>
        <w:pStyle w:val="ListParagraph"/>
        <w:numPr>
          <w:ilvl w:val="0"/>
          <w:numId w:val="8"/>
        </w:numPr>
        <w:spacing w:line="480" w:lineRule="auto"/>
        <w:jc w:val="both"/>
        <w:rPr>
          <w:lang w:val="fr-CH"/>
        </w:rPr>
      </w:pPr>
      <w:r w:rsidRPr="00661393">
        <w:t xml:space="preserve">Fyfe J, Picozzi K, Waiswa C, Bardosh KL, Welburn SC. Impact of mass chemotherapy in domestic livestock for control of zoonotic </w:t>
      </w:r>
      <w:r w:rsidRPr="00661393">
        <w:rPr>
          <w:i/>
        </w:rPr>
        <w:t>T. b. rhodesiense</w:t>
      </w:r>
      <w:r w:rsidRPr="00661393">
        <w:t xml:space="preserve"> human African trypanosomiasis in Eastern Uganda. </w:t>
      </w:r>
      <w:r w:rsidRPr="00E03300">
        <w:rPr>
          <w:lang w:val="fr-CH"/>
        </w:rPr>
        <w:t>Acta Trop. 2016</w:t>
      </w:r>
      <w:r>
        <w:rPr>
          <w:lang w:val="fr-CH"/>
        </w:rPr>
        <w:t>;</w:t>
      </w:r>
      <w:r w:rsidRPr="00E03300">
        <w:rPr>
          <w:lang w:val="fr-CH"/>
        </w:rPr>
        <w:t>pii:S0001-706X(16)30644-1.</w:t>
      </w:r>
    </w:p>
    <w:p w14:paraId="12BBE3A1" w14:textId="4FAC5A82" w:rsidR="00CD28EA" w:rsidRDefault="00E03300" w:rsidP="003E3BAB">
      <w:pPr>
        <w:pStyle w:val="ListParagraph"/>
        <w:numPr>
          <w:ilvl w:val="0"/>
          <w:numId w:val="8"/>
        </w:numPr>
        <w:spacing w:line="480" w:lineRule="auto"/>
        <w:jc w:val="both"/>
        <w:rPr>
          <w:lang w:val="fr-CH"/>
        </w:rPr>
      </w:pPr>
      <w:r w:rsidRPr="00661393">
        <w:t xml:space="preserve">Brun R, Blum J, Chappuis F, Burri C. Human African trypanosomiasis. </w:t>
      </w:r>
      <w:r w:rsidRPr="00E03300">
        <w:rPr>
          <w:lang w:val="fr-CH"/>
        </w:rPr>
        <w:t>Lancet. 2010 ;375(9709):148-59.</w:t>
      </w:r>
    </w:p>
    <w:p w14:paraId="3A6FE61F" w14:textId="77777777" w:rsidR="00881BD7" w:rsidRDefault="00881BD7" w:rsidP="00B039CB">
      <w:pPr>
        <w:pStyle w:val="ListParagraph"/>
        <w:numPr>
          <w:ilvl w:val="0"/>
          <w:numId w:val="8"/>
        </w:numPr>
        <w:spacing w:line="480" w:lineRule="auto"/>
        <w:jc w:val="both"/>
      </w:pPr>
      <w:r>
        <w:t xml:space="preserve">Berberof M, Pérez-Morga D, Pays E. A receptor-like flagellar pocket glycoprotein specific to </w:t>
      </w:r>
      <w:r w:rsidRPr="00860F7E">
        <w:rPr>
          <w:i/>
        </w:rPr>
        <w:t>Trypanosoma brucei gambiense</w:t>
      </w:r>
      <w:r w:rsidRPr="0095777F">
        <w:t xml:space="preserve">. </w:t>
      </w:r>
      <w:r w:rsidRPr="002B5385">
        <w:t>Mol Biochem Parasitol</w:t>
      </w:r>
      <w:r w:rsidR="0095777F" w:rsidRPr="0095777F">
        <w:t xml:space="preserve">. </w:t>
      </w:r>
      <w:r w:rsidR="0095777F">
        <w:t>2001;</w:t>
      </w:r>
      <w:r>
        <w:t>113(1):127-38.</w:t>
      </w:r>
    </w:p>
    <w:p w14:paraId="6A227166" w14:textId="77777777" w:rsidR="00ED756D" w:rsidRDefault="00ED756D" w:rsidP="00DF391D">
      <w:pPr>
        <w:pStyle w:val="Cuerpo"/>
        <w:numPr>
          <w:ilvl w:val="0"/>
          <w:numId w:val="8"/>
        </w:numPr>
        <w:spacing w:after="160" w:line="480" w:lineRule="auto"/>
        <w:jc w:val="both"/>
        <w:rPr>
          <w:rFonts w:asciiTheme="minorHAnsi" w:hAnsiTheme="minorHAnsi"/>
          <w:color w:val="000000" w:themeColor="text1"/>
          <w:lang w:val="en-GB"/>
        </w:rPr>
      </w:pPr>
      <w:r w:rsidRPr="00F7256B">
        <w:rPr>
          <w:rFonts w:asciiTheme="minorHAnsi" w:hAnsiTheme="minorHAnsi"/>
          <w:color w:val="000000" w:themeColor="text1"/>
          <w:lang w:val="en-GB"/>
        </w:rPr>
        <w:t>Capewell P, Clucas C, DeJesus E, Kieft R, Hajduk S, Veitch N</w:t>
      </w:r>
      <w:r>
        <w:rPr>
          <w:rFonts w:asciiTheme="minorHAnsi" w:hAnsiTheme="minorHAnsi"/>
          <w:color w:val="000000" w:themeColor="text1"/>
          <w:lang w:val="en-GB"/>
        </w:rPr>
        <w:t xml:space="preserve"> et al.</w:t>
      </w:r>
      <w:r w:rsidRPr="00F7256B">
        <w:rPr>
          <w:rFonts w:asciiTheme="minorHAnsi" w:hAnsiTheme="minorHAnsi"/>
          <w:color w:val="000000" w:themeColor="text1"/>
          <w:lang w:val="en-GB"/>
        </w:rPr>
        <w:t xml:space="preserve"> The TgsGP gene is essential for resistance to human serum in </w:t>
      </w:r>
      <w:r w:rsidRPr="00860F7E">
        <w:rPr>
          <w:rFonts w:asciiTheme="minorHAnsi" w:hAnsiTheme="minorHAnsi"/>
          <w:i/>
          <w:color w:val="000000" w:themeColor="text1"/>
          <w:lang w:val="en-GB"/>
        </w:rPr>
        <w:t>Trypanosoma brucei gambiense</w:t>
      </w:r>
      <w:r w:rsidRPr="00AD75D1">
        <w:rPr>
          <w:rFonts w:asciiTheme="minorHAnsi" w:hAnsiTheme="minorHAnsi"/>
          <w:color w:val="000000" w:themeColor="text1"/>
          <w:lang w:val="en-GB"/>
        </w:rPr>
        <w:t xml:space="preserve">. </w:t>
      </w:r>
      <w:r w:rsidRPr="002B5385">
        <w:rPr>
          <w:rFonts w:asciiTheme="minorHAnsi" w:hAnsiTheme="minorHAnsi"/>
          <w:color w:val="000000" w:themeColor="text1"/>
          <w:lang w:val="en-GB"/>
        </w:rPr>
        <w:t>PLoS Pathog</w:t>
      </w:r>
      <w:r w:rsidRPr="00AD75D1">
        <w:rPr>
          <w:rFonts w:asciiTheme="minorHAnsi" w:hAnsiTheme="minorHAnsi"/>
          <w:color w:val="000000" w:themeColor="text1"/>
          <w:lang w:val="en-GB"/>
        </w:rPr>
        <w:t xml:space="preserve">. </w:t>
      </w:r>
      <w:r>
        <w:rPr>
          <w:rFonts w:asciiTheme="minorHAnsi" w:hAnsiTheme="minorHAnsi"/>
          <w:color w:val="000000" w:themeColor="text1"/>
          <w:lang w:val="en-GB"/>
        </w:rPr>
        <w:t>2013;</w:t>
      </w:r>
      <w:r w:rsidRPr="00F7256B">
        <w:rPr>
          <w:rFonts w:asciiTheme="minorHAnsi" w:hAnsiTheme="minorHAnsi"/>
          <w:color w:val="000000" w:themeColor="text1"/>
          <w:lang w:val="en-GB"/>
        </w:rPr>
        <w:t>9(10):e1003686.</w:t>
      </w:r>
    </w:p>
    <w:p w14:paraId="2E8FA632" w14:textId="77777777" w:rsidR="00997AC6" w:rsidRDefault="00997AC6" w:rsidP="00B039CB">
      <w:pPr>
        <w:pStyle w:val="ListParagraph"/>
        <w:numPr>
          <w:ilvl w:val="0"/>
          <w:numId w:val="8"/>
        </w:numPr>
        <w:spacing w:line="480" w:lineRule="auto"/>
        <w:jc w:val="both"/>
      </w:pPr>
      <w:r>
        <w:t>Nzou SM, Fujii Y, Miura M, Mwau M, Mwangi AW, Itoh M, Salam MA, Hamano S, Hirayama K, Kaneko S.</w:t>
      </w:r>
      <w:r w:rsidRPr="00327B68">
        <w:t xml:space="preserve"> </w:t>
      </w:r>
      <w:r>
        <w:t>Development of multiplex serological assay for the detection of human African trypanosomiasis</w:t>
      </w:r>
      <w:r w:rsidRPr="00392D3C">
        <w:t xml:space="preserve">. Parasitol Int. </w:t>
      </w:r>
      <w:r>
        <w:t>2015;65(2):121-127.</w:t>
      </w:r>
    </w:p>
    <w:p w14:paraId="3D3D8A99" w14:textId="77777777" w:rsidR="00997AC6" w:rsidRDefault="00997AC6" w:rsidP="003E3BAB">
      <w:pPr>
        <w:pStyle w:val="ListParagraph"/>
        <w:numPr>
          <w:ilvl w:val="0"/>
          <w:numId w:val="8"/>
        </w:numPr>
        <w:spacing w:line="480" w:lineRule="auto"/>
        <w:jc w:val="both"/>
      </w:pPr>
      <w:r>
        <w:t xml:space="preserve">Rogé S, Van Nieuwenhove L, Meul M, Heykers A, Brouwer de Koning A, Bebronne N et al. Recombinant antigens expressed in </w:t>
      </w:r>
      <w:r w:rsidRPr="005A1A01">
        <w:rPr>
          <w:i/>
        </w:rPr>
        <w:t>Pichia pastoris</w:t>
      </w:r>
      <w:r>
        <w:t xml:space="preserve"> for the diagnosis of sleeping sickness caused by </w:t>
      </w:r>
      <w:r w:rsidRPr="005A1A01">
        <w:rPr>
          <w:i/>
        </w:rPr>
        <w:t>Trypanosoma brucei gambiense</w:t>
      </w:r>
      <w:r>
        <w:t>.</w:t>
      </w:r>
      <w:r w:rsidRPr="00392D3C">
        <w:t xml:space="preserve"> PLoS Negl Trop Dis. </w:t>
      </w:r>
      <w:r>
        <w:t>2014;8(7):e3006.</w:t>
      </w:r>
    </w:p>
    <w:p w14:paraId="1F8EE8C7" w14:textId="77777777" w:rsidR="00997AC6" w:rsidRDefault="00997AC6" w:rsidP="001B35CB">
      <w:pPr>
        <w:pStyle w:val="ListParagraph"/>
        <w:numPr>
          <w:ilvl w:val="0"/>
          <w:numId w:val="8"/>
        </w:numPr>
        <w:spacing w:line="480" w:lineRule="auto"/>
        <w:jc w:val="both"/>
      </w:pPr>
      <w:r>
        <w:t xml:space="preserve">Rooney B, Piening T, Büscher P, Rogé S, Smales CM. Expression of </w:t>
      </w:r>
      <w:r w:rsidRPr="005A1A01">
        <w:rPr>
          <w:i/>
        </w:rPr>
        <w:t>Trypanosoma brucei gambiense</w:t>
      </w:r>
      <w:r>
        <w:t xml:space="preserve"> antigens in </w:t>
      </w:r>
      <w:r w:rsidRPr="005A1A01">
        <w:rPr>
          <w:i/>
        </w:rPr>
        <w:t>Leishmania tarentolae</w:t>
      </w:r>
      <w:r>
        <w:t>. Potential for use in rapid serodiagnostic tests (RD</w:t>
      </w:r>
      <w:r w:rsidRPr="00392D3C">
        <w:t xml:space="preserve">Ts). PLoS Negl Trop Dis. </w:t>
      </w:r>
      <w:r>
        <w:t>2015;9(12):e0004271.</w:t>
      </w:r>
    </w:p>
    <w:p w14:paraId="20DEAECA" w14:textId="77777777" w:rsidR="00997AC6" w:rsidRPr="005A1A01" w:rsidRDefault="00997AC6">
      <w:pPr>
        <w:pStyle w:val="ListParagraph"/>
        <w:numPr>
          <w:ilvl w:val="0"/>
          <w:numId w:val="8"/>
        </w:numPr>
        <w:spacing w:line="480" w:lineRule="auto"/>
        <w:jc w:val="both"/>
        <w:rPr>
          <w:lang w:val="fr-CH"/>
        </w:rPr>
      </w:pPr>
      <w:r w:rsidRPr="005A1A01">
        <w:rPr>
          <w:lang w:val="fr-CH"/>
        </w:rPr>
        <w:t xml:space="preserve">Van Nieuwenhove LC, Rogé S, Balharbi F, Dieltjens T, Laurent T, Guisez Y et al. </w:t>
      </w:r>
      <w:r w:rsidRPr="002E5CEB">
        <w:t xml:space="preserve">Identification of peptide mimotopes of </w:t>
      </w:r>
      <w:r w:rsidRPr="002E5CEB">
        <w:rPr>
          <w:i/>
        </w:rPr>
        <w:t>Trypanosoma brucei gambiense</w:t>
      </w:r>
      <w:r w:rsidRPr="002E5CEB">
        <w:t xml:space="preserve"> variant surface glycoproteins. </w:t>
      </w:r>
      <w:r w:rsidRPr="005A1A01">
        <w:rPr>
          <w:lang w:val="fr-CH"/>
        </w:rPr>
        <w:t>PLoS Negl Trop Dis. 2011;5(6):e1189.</w:t>
      </w:r>
    </w:p>
    <w:p w14:paraId="678F230C" w14:textId="77777777" w:rsidR="00997AC6" w:rsidRPr="005A1A01" w:rsidRDefault="00997AC6">
      <w:pPr>
        <w:pStyle w:val="ListParagraph"/>
        <w:numPr>
          <w:ilvl w:val="0"/>
          <w:numId w:val="8"/>
        </w:numPr>
        <w:spacing w:line="480" w:lineRule="auto"/>
        <w:jc w:val="both"/>
        <w:rPr>
          <w:lang w:val="fr-CH"/>
        </w:rPr>
      </w:pPr>
      <w:r w:rsidRPr="005A1A01">
        <w:rPr>
          <w:lang w:val="fr-CH"/>
        </w:rPr>
        <w:t xml:space="preserve">Van Nieuwenhove L, Büscher P, Balharbi F, Humbert M, Dieltjens T, Guisez Y et al. </w:t>
      </w:r>
      <w:r w:rsidRPr="002E5CEB">
        <w:t xml:space="preserve">Identification of mimotopes with diagnostic potential for </w:t>
      </w:r>
      <w:r w:rsidRPr="002E5CEB">
        <w:rPr>
          <w:i/>
        </w:rPr>
        <w:t>Trypanosoma brucei gambiense</w:t>
      </w:r>
      <w:r w:rsidRPr="002E5CEB">
        <w:t xml:space="preserve"> variant surface glycoproteins using human antibody fractions. </w:t>
      </w:r>
      <w:r w:rsidRPr="005A1A01">
        <w:rPr>
          <w:lang w:val="fr-CH"/>
        </w:rPr>
        <w:t>PLoS Negl Trop Dis. 2012;6(6):e1682.</w:t>
      </w:r>
    </w:p>
    <w:p w14:paraId="1AFD8704" w14:textId="77777777" w:rsidR="006C614B" w:rsidRPr="005A1A01" w:rsidRDefault="006C614B">
      <w:pPr>
        <w:pStyle w:val="ListParagraph"/>
        <w:numPr>
          <w:ilvl w:val="0"/>
          <w:numId w:val="8"/>
        </w:numPr>
        <w:spacing w:line="480" w:lineRule="auto"/>
        <w:jc w:val="both"/>
        <w:rPr>
          <w:lang w:val="fr-CH"/>
        </w:rPr>
      </w:pPr>
      <w:r w:rsidRPr="002E5CEB">
        <w:t xml:space="preserve">Van Nieuwenhove L, Büscher P, Balharbi F, Humbert M, Guisez Y, Lejon V. A LiTat 1.5 variant surface glycoprotein-derived peptide with diagnostic potential for </w:t>
      </w:r>
      <w:r w:rsidRPr="002E5CEB">
        <w:rPr>
          <w:i/>
        </w:rPr>
        <w:t>Trypanosoma brucei gambiense</w:t>
      </w:r>
      <w:r w:rsidRPr="002E5CEB">
        <w:t xml:space="preserve">. </w:t>
      </w:r>
      <w:r w:rsidRPr="005A1A01">
        <w:rPr>
          <w:lang w:val="fr-CH"/>
        </w:rPr>
        <w:t>Trop Med Int Health. 2013;18(4):461-5.</w:t>
      </w:r>
    </w:p>
    <w:p w14:paraId="558B9EFD" w14:textId="613A01B7" w:rsidR="00ED4EAF" w:rsidRDefault="003F0012" w:rsidP="00ED4EAF">
      <w:pPr>
        <w:pStyle w:val="ListParagraph"/>
        <w:numPr>
          <w:ilvl w:val="0"/>
          <w:numId w:val="8"/>
        </w:numPr>
        <w:spacing w:line="480" w:lineRule="auto"/>
        <w:jc w:val="both"/>
      </w:pPr>
      <w:r>
        <w:t>Büscher P, Deborggra</w:t>
      </w:r>
      <w:r w:rsidR="0095777F">
        <w:t>eve S.</w:t>
      </w:r>
      <w:r>
        <w:t xml:space="preserve"> How can molecular diagnostics contribute to the elimination of human African trypanosomiasis?</w:t>
      </w:r>
      <w:r w:rsidRPr="00AD75D1">
        <w:t xml:space="preserve"> Expert Rev Mol Diagn</w:t>
      </w:r>
      <w:r w:rsidR="0095777F" w:rsidRPr="00AD75D1">
        <w:t xml:space="preserve">. </w:t>
      </w:r>
      <w:r w:rsidR="0095777F">
        <w:t>2015</w:t>
      </w:r>
      <w:r w:rsidR="00AD75D1">
        <w:t>;</w:t>
      </w:r>
      <w:r>
        <w:t>15(5):607-15.</w:t>
      </w:r>
    </w:p>
    <w:p w14:paraId="5EEC8C1A" w14:textId="77777777" w:rsidR="003F7A50" w:rsidRDefault="003F7A50" w:rsidP="00661393">
      <w:pPr>
        <w:spacing w:line="480" w:lineRule="auto"/>
        <w:jc w:val="both"/>
        <w:rPr>
          <w:b/>
          <w:sz w:val="36"/>
          <w:szCs w:val="36"/>
        </w:rPr>
      </w:pPr>
    </w:p>
    <w:p w14:paraId="2214B9C9" w14:textId="187E04E1" w:rsidR="00ED4EAF" w:rsidRPr="00661393" w:rsidRDefault="00ED4EAF" w:rsidP="00661393">
      <w:pPr>
        <w:spacing w:line="480" w:lineRule="auto"/>
        <w:jc w:val="both"/>
        <w:rPr>
          <w:b/>
          <w:sz w:val="36"/>
          <w:szCs w:val="36"/>
        </w:rPr>
      </w:pPr>
      <w:r w:rsidRPr="00661393">
        <w:rPr>
          <w:b/>
          <w:sz w:val="36"/>
          <w:szCs w:val="36"/>
        </w:rPr>
        <w:t xml:space="preserve">Supporting </w:t>
      </w:r>
      <w:r w:rsidR="00DF1834">
        <w:rPr>
          <w:b/>
          <w:sz w:val="36"/>
          <w:szCs w:val="36"/>
        </w:rPr>
        <w:t>I</w:t>
      </w:r>
      <w:r w:rsidRPr="00661393">
        <w:rPr>
          <w:b/>
          <w:sz w:val="36"/>
          <w:szCs w:val="36"/>
        </w:rPr>
        <w:t>nformation</w:t>
      </w:r>
    </w:p>
    <w:p w14:paraId="096AB462" w14:textId="648D62FA" w:rsidR="00ED4EAF" w:rsidRDefault="00ED4EAF" w:rsidP="00661393">
      <w:pPr>
        <w:spacing w:line="480" w:lineRule="auto"/>
        <w:jc w:val="both"/>
      </w:pPr>
      <w:r>
        <w:rPr>
          <w:rFonts w:cs="Arial"/>
          <w:b/>
          <w:lang w:val="en-GB"/>
        </w:rPr>
        <w:t xml:space="preserve">S1 </w:t>
      </w:r>
      <w:r w:rsidRPr="00661393">
        <w:rPr>
          <w:rFonts w:cs="Arial"/>
          <w:b/>
          <w:lang w:val="en-GB"/>
        </w:rPr>
        <w:t>Table. Percentage IgG reactivity of antigen pairs on sera from</w:t>
      </w:r>
      <w:r w:rsidRPr="00661393">
        <w:rPr>
          <w:rFonts w:cs="Arial"/>
          <w:b/>
          <w:i/>
          <w:lang w:val="en-GB"/>
        </w:rPr>
        <w:t xml:space="preserve"> T. b. gambiense</w:t>
      </w:r>
      <w:r w:rsidRPr="00661393">
        <w:rPr>
          <w:rFonts w:cs="Arial"/>
          <w:b/>
          <w:lang w:val="en-GB"/>
        </w:rPr>
        <w:t xml:space="preserve"> HAT cases assessed by slot blot.</w:t>
      </w:r>
      <w:r w:rsidR="000F26A0" w:rsidRPr="000F26A0">
        <w:rPr>
          <w:rFonts w:cs="Arial"/>
          <w:b/>
          <w:lang w:val="en-GB"/>
        </w:rPr>
        <w:t xml:space="preserve"> </w:t>
      </w:r>
      <w:r w:rsidR="000F26A0" w:rsidRPr="00661393">
        <w:rPr>
          <w:rFonts w:cs="Arial"/>
          <w:lang w:val="en-GB"/>
        </w:rPr>
        <w:t>The 78 possible antigen pairs computed with the 13 antigens from the third round of screening are shown in descending order of reactivity.</w:t>
      </w:r>
    </w:p>
    <w:p w14:paraId="4670501A" w14:textId="77777777" w:rsidR="000F26A0" w:rsidRDefault="000F26A0" w:rsidP="000F26A0">
      <w:pPr>
        <w:spacing w:line="480" w:lineRule="auto"/>
        <w:rPr>
          <w:rFonts w:cs="Arial"/>
          <w:lang w:val="en-GB"/>
        </w:rPr>
      </w:pPr>
      <w:r>
        <w:rPr>
          <w:rFonts w:cs="Arial"/>
          <w:b/>
          <w:lang w:val="en-GB"/>
        </w:rPr>
        <w:t xml:space="preserve">S2 </w:t>
      </w:r>
      <w:r w:rsidRPr="00BA3C0B">
        <w:rPr>
          <w:rFonts w:cs="Arial"/>
          <w:b/>
          <w:lang w:val="en-GB"/>
        </w:rPr>
        <w:t>Table. Percentage IgG reactivity of antigen pairs on sera from</w:t>
      </w:r>
      <w:r w:rsidRPr="00BA3C0B">
        <w:rPr>
          <w:rFonts w:cs="Arial"/>
          <w:b/>
          <w:i/>
          <w:lang w:val="en-GB"/>
        </w:rPr>
        <w:t xml:space="preserve"> T. b. gambiense</w:t>
      </w:r>
      <w:r w:rsidRPr="00BA3C0B">
        <w:rPr>
          <w:rFonts w:cs="Arial"/>
          <w:b/>
          <w:lang w:val="en-GB"/>
        </w:rPr>
        <w:t xml:space="preserve"> HAT cases assessed </w:t>
      </w:r>
      <w:r>
        <w:rPr>
          <w:rFonts w:cs="Arial"/>
          <w:b/>
          <w:lang w:val="en-GB"/>
        </w:rPr>
        <w:t xml:space="preserve">by </w:t>
      </w:r>
      <w:r w:rsidRPr="00BA3C0B">
        <w:rPr>
          <w:rFonts w:cs="Arial"/>
          <w:b/>
          <w:lang w:val="en-GB"/>
        </w:rPr>
        <w:t>ELISA.</w:t>
      </w:r>
      <w:r w:rsidRPr="0033039A">
        <w:t xml:space="preserve"> </w:t>
      </w:r>
      <w:r w:rsidRPr="0033039A">
        <w:rPr>
          <w:rFonts w:cs="Arial"/>
          <w:lang w:val="en-GB"/>
        </w:rPr>
        <w:t>The 78 possible antigen pairs computed with the 13 antigens from the third round of screening are shown in descending order of reactivity.</w:t>
      </w:r>
    </w:p>
    <w:p w14:paraId="63EF1689" w14:textId="6640703E" w:rsidR="000F26A0" w:rsidRPr="00661393" w:rsidRDefault="000F26A0" w:rsidP="000F26A0">
      <w:pPr>
        <w:spacing w:before="240" w:line="480" w:lineRule="auto"/>
        <w:rPr>
          <w:rFonts w:cs="Arial"/>
          <w:lang w:val="en-GB"/>
        </w:rPr>
      </w:pPr>
      <w:r>
        <w:rPr>
          <w:rFonts w:cs="Arial"/>
          <w:b/>
          <w:lang w:val="en-GB"/>
        </w:rPr>
        <w:t>S3 Table</w:t>
      </w:r>
      <w:r w:rsidRPr="00BA3C0B">
        <w:rPr>
          <w:rFonts w:cs="Arial"/>
          <w:b/>
          <w:lang w:val="en-GB"/>
        </w:rPr>
        <w:t>. Percentage IgG reactivity of antigen pairs on sera from</w:t>
      </w:r>
      <w:r w:rsidRPr="00BA3C0B">
        <w:rPr>
          <w:rFonts w:cs="Arial"/>
          <w:b/>
          <w:i/>
          <w:lang w:val="en-GB"/>
        </w:rPr>
        <w:t xml:space="preserve"> T. b. rhodesiense</w:t>
      </w:r>
      <w:r w:rsidRPr="00BA3C0B">
        <w:rPr>
          <w:rFonts w:cs="Arial"/>
          <w:b/>
          <w:lang w:val="en-GB"/>
        </w:rPr>
        <w:t xml:space="preserve"> HAT cases assessed by slot </w:t>
      </w:r>
      <w:r w:rsidRPr="000F26A0">
        <w:rPr>
          <w:rFonts w:cs="Arial"/>
          <w:b/>
          <w:lang w:val="en-GB"/>
        </w:rPr>
        <w:t>blot.</w:t>
      </w:r>
      <w:r w:rsidRPr="00661393">
        <w:rPr>
          <w:rFonts w:cs="Arial"/>
          <w:lang w:val="en-GB"/>
        </w:rPr>
        <w:t xml:space="preserve"> The 78 possible antigen pairs computed with the 13 antigens from the third round of screening are shown in descending order of reactivity.</w:t>
      </w:r>
    </w:p>
    <w:p w14:paraId="3D31B6B2" w14:textId="501B4BFA" w:rsidR="000F26A0" w:rsidRPr="00661393" w:rsidRDefault="000F26A0" w:rsidP="00661393">
      <w:pPr>
        <w:spacing w:line="480" w:lineRule="auto"/>
        <w:rPr>
          <w:rFonts w:cs="Arial"/>
          <w:lang w:val="en-GB"/>
        </w:rPr>
      </w:pPr>
      <w:r>
        <w:rPr>
          <w:rFonts w:cs="Arial"/>
          <w:b/>
          <w:lang w:val="en-GB"/>
        </w:rPr>
        <w:t>S4 Table</w:t>
      </w:r>
      <w:r w:rsidRPr="00814BF2">
        <w:rPr>
          <w:rFonts w:cs="Arial"/>
          <w:b/>
          <w:lang w:val="en-GB"/>
        </w:rPr>
        <w:t>. Percentage IgG reactivity of antigen pairs on sera from</w:t>
      </w:r>
      <w:r w:rsidRPr="00814BF2">
        <w:rPr>
          <w:rFonts w:cs="Arial"/>
          <w:b/>
          <w:i/>
          <w:lang w:val="en-GB"/>
        </w:rPr>
        <w:t xml:space="preserve"> T. b. rhodesiense</w:t>
      </w:r>
      <w:r w:rsidRPr="00814BF2">
        <w:rPr>
          <w:rFonts w:cs="Arial"/>
          <w:b/>
          <w:lang w:val="en-GB"/>
        </w:rPr>
        <w:t xml:space="preserve"> HAT cases assessed by ELISA</w:t>
      </w:r>
      <w:r w:rsidRPr="000F26A0">
        <w:rPr>
          <w:rFonts w:cs="Arial"/>
          <w:b/>
          <w:lang w:val="en-GB"/>
        </w:rPr>
        <w:t xml:space="preserve">. </w:t>
      </w:r>
      <w:r w:rsidRPr="00661393">
        <w:rPr>
          <w:rFonts w:cs="Arial"/>
          <w:lang w:val="en-GB"/>
        </w:rPr>
        <w:t>The 78 possible antigen pairs computed with the 13 antigens from the third round of screening are shown in descending order of reactivity.</w:t>
      </w:r>
    </w:p>
    <w:p w14:paraId="6E771967" w14:textId="77777777" w:rsidR="00ED4EAF" w:rsidRPr="000F26A0" w:rsidRDefault="00ED4EAF" w:rsidP="00661393">
      <w:pPr>
        <w:spacing w:line="480" w:lineRule="auto"/>
        <w:jc w:val="both"/>
      </w:pPr>
    </w:p>
    <w:sectPr w:rsidR="00ED4EAF" w:rsidRPr="000F26A0" w:rsidSect="009E41B6">
      <w:footerReference w:type="default" r:id="rId9"/>
      <w:pgSz w:w="12240" w:h="15840"/>
      <w:pgMar w:top="1411" w:right="1411" w:bottom="1411" w:left="1411" w:header="720" w:footer="720" w:gutter="0"/>
      <w:lnNumType w:countBy="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D904C" w14:textId="77777777" w:rsidR="00E76B0C" w:rsidRDefault="00E76B0C" w:rsidP="009E41B6">
      <w:pPr>
        <w:spacing w:after="0" w:line="240" w:lineRule="auto"/>
      </w:pPr>
      <w:r>
        <w:separator/>
      </w:r>
    </w:p>
  </w:endnote>
  <w:endnote w:type="continuationSeparator" w:id="0">
    <w:p w14:paraId="3FDF8E02" w14:textId="77777777" w:rsidR="00E76B0C" w:rsidRDefault="00E76B0C" w:rsidP="009E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7367720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1C723F4" w14:textId="77777777" w:rsidR="00E76B0C" w:rsidRPr="009E41B6" w:rsidRDefault="00E76B0C">
            <w:pPr>
              <w:pStyle w:val="Footer"/>
              <w:jc w:val="right"/>
              <w:rPr>
                <w:sz w:val="18"/>
                <w:szCs w:val="18"/>
              </w:rPr>
            </w:pPr>
            <w:r w:rsidRPr="009E41B6">
              <w:rPr>
                <w:sz w:val="18"/>
                <w:szCs w:val="18"/>
              </w:rPr>
              <w:t xml:space="preserve">Page </w:t>
            </w:r>
            <w:r w:rsidRPr="009E41B6">
              <w:rPr>
                <w:bCs/>
                <w:sz w:val="18"/>
                <w:szCs w:val="18"/>
              </w:rPr>
              <w:fldChar w:fldCharType="begin"/>
            </w:r>
            <w:r w:rsidRPr="009E41B6">
              <w:rPr>
                <w:bCs/>
                <w:sz w:val="18"/>
                <w:szCs w:val="18"/>
              </w:rPr>
              <w:instrText xml:space="preserve"> PAGE </w:instrText>
            </w:r>
            <w:r w:rsidRPr="009E41B6">
              <w:rPr>
                <w:bCs/>
                <w:sz w:val="18"/>
                <w:szCs w:val="18"/>
              </w:rPr>
              <w:fldChar w:fldCharType="separate"/>
            </w:r>
            <w:r w:rsidR="0045111D">
              <w:rPr>
                <w:bCs/>
                <w:noProof/>
                <w:sz w:val="18"/>
                <w:szCs w:val="18"/>
              </w:rPr>
              <w:t>2</w:t>
            </w:r>
            <w:r w:rsidRPr="009E41B6">
              <w:rPr>
                <w:bCs/>
                <w:sz w:val="18"/>
                <w:szCs w:val="18"/>
              </w:rPr>
              <w:fldChar w:fldCharType="end"/>
            </w:r>
            <w:r w:rsidRPr="009E41B6">
              <w:rPr>
                <w:sz w:val="18"/>
                <w:szCs w:val="18"/>
              </w:rPr>
              <w:t xml:space="preserve"> of </w:t>
            </w:r>
            <w:r w:rsidRPr="009E41B6">
              <w:rPr>
                <w:bCs/>
                <w:sz w:val="18"/>
                <w:szCs w:val="18"/>
              </w:rPr>
              <w:fldChar w:fldCharType="begin"/>
            </w:r>
            <w:r w:rsidRPr="009E41B6">
              <w:rPr>
                <w:bCs/>
                <w:sz w:val="18"/>
                <w:szCs w:val="18"/>
              </w:rPr>
              <w:instrText xml:space="preserve"> NUMPAGES  </w:instrText>
            </w:r>
            <w:r w:rsidRPr="009E41B6">
              <w:rPr>
                <w:bCs/>
                <w:sz w:val="18"/>
                <w:szCs w:val="18"/>
              </w:rPr>
              <w:fldChar w:fldCharType="separate"/>
            </w:r>
            <w:r w:rsidR="0045111D">
              <w:rPr>
                <w:bCs/>
                <w:noProof/>
                <w:sz w:val="18"/>
                <w:szCs w:val="18"/>
              </w:rPr>
              <w:t>10</w:t>
            </w:r>
            <w:r w:rsidRPr="009E41B6">
              <w:rPr>
                <w:bCs/>
                <w:sz w:val="18"/>
                <w:szCs w:val="18"/>
              </w:rPr>
              <w:fldChar w:fldCharType="end"/>
            </w:r>
          </w:p>
        </w:sdtContent>
      </w:sdt>
    </w:sdtContent>
  </w:sdt>
  <w:p w14:paraId="6FBB011C" w14:textId="77777777" w:rsidR="00E76B0C" w:rsidRDefault="00E76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F6397" w14:textId="77777777" w:rsidR="00E76B0C" w:rsidRDefault="00E76B0C" w:rsidP="009E41B6">
      <w:pPr>
        <w:spacing w:after="0" w:line="240" w:lineRule="auto"/>
      </w:pPr>
      <w:r>
        <w:separator/>
      </w:r>
    </w:p>
  </w:footnote>
  <w:footnote w:type="continuationSeparator" w:id="0">
    <w:p w14:paraId="51A844ED" w14:textId="77777777" w:rsidR="00E76B0C" w:rsidRDefault="00E76B0C" w:rsidP="009E4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B5039"/>
    <w:multiLevelType w:val="hybridMultilevel"/>
    <w:tmpl w:val="17C41436"/>
    <w:lvl w:ilvl="0" w:tplc="48F412C2">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14A2E"/>
    <w:multiLevelType w:val="hybridMultilevel"/>
    <w:tmpl w:val="52F86C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58074E"/>
    <w:multiLevelType w:val="hybridMultilevel"/>
    <w:tmpl w:val="08B20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9474C5"/>
    <w:multiLevelType w:val="hybridMultilevel"/>
    <w:tmpl w:val="F0E2A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F02E43"/>
    <w:multiLevelType w:val="hybridMultilevel"/>
    <w:tmpl w:val="DA687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A64386"/>
    <w:multiLevelType w:val="hybridMultilevel"/>
    <w:tmpl w:val="4058DE08"/>
    <w:lvl w:ilvl="0" w:tplc="5D889F20">
      <w:start w:val="7"/>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0749DD"/>
    <w:multiLevelType w:val="hybridMultilevel"/>
    <w:tmpl w:val="A128E3EA"/>
    <w:lvl w:ilvl="0" w:tplc="1AAEF7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B258E5"/>
    <w:multiLevelType w:val="hybridMultilevel"/>
    <w:tmpl w:val="086C5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2A6"/>
    <w:rsid w:val="000001E1"/>
    <w:rsid w:val="000005A0"/>
    <w:rsid w:val="00002A54"/>
    <w:rsid w:val="00002D3D"/>
    <w:rsid w:val="00003BF8"/>
    <w:rsid w:val="00007AEB"/>
    <w:rsid w:val="00011CBB"/>
    <w:rsid w:val="0002724F"/>
    <w:rsid w:val="0004654A"/>
    <w:rsid w:val="00051F55"/>
    <w:rsid w:val="000550FD"/>
    <w:rsid w:val="00056790"/>
    <w:rsid w:val="000618D6"/>
    <w:rsid w:val="000637F7"/>
    <w:rsid w:val="00065736"/>
    <w:rsid w:val="00066674"/>
    <w:rsid w:val="00070B00"/>
    <w:rsid w:val="0007766E"/>
    <w:rsid w:val="00080938"/>
    <w:rsid w:val="00080CBC"/>
    <w:rsid w:val="00081BD9"/>
    <w:rsid w:val="00081F84"/>
    <w:rsid w:val="00090181"/>
    <w:rsid w:val="0009397A"/>
    <w:rsid w:val="00093C1E"/>
    <w:rsid w:val="000A04A2"/>
    <w:rsid w:val="000A3002"/>
    <w:rsid w:val="000B17A5"/>
    <w:rsid w:val="000B47A0"/>
    <w:rsid w:val="000C219D"/>
    <w:rsid w:val="000C56D4"/>
    <w:rsid w:val="000C6F88"/>
    <w:rsid w:val="000D7CE8"/>
    <w:rsid w:val="000E08FF"/>
    <w:rsid w:val="000E666A"/>
    <w:rsid w:val="000F26A0"/>
    <w:rsid w:val="00110894"/>
    <w:rsid w:val="001147AE"/>
    <w:rsid w:val="00117202"/>
    <w:rsid w:val="00120014"/>
    <w:rsid w:val="00121A3D"/>
    <w:rsid w:val="00122863"/>
    <w:rsid w:val="00122A16"/>
    <w:rsid w:val="00126071"/>
    <w:rsid w:val="00126A72"/>
    <w:rsid w:val="00126DD7"/>
    <w:rsid w:val="001335B4"/>
    <w:rsid w:val="001374C3"/>
    <w:rsid w:val="00141014"/>
    <w:rsid w:val="001420B9"/>
    <w:rsid w:val="0014356A"/>
    <w:rsid w:val="0015229D"/>
    <w:rsid w:val="0015551C"/>
    <w:rsid w:val="00155764"/>
    <w:rsid w:val="00155FDF"/>
    <w:rsid w:val="001569FC"/>
    <w:rsid w:val="001573C7"/>
    <w:rsid w:val="001577C6"/>
    <w:rsid w:val="001659F5"/>
    <w:rsid w:val="001661CD"/>
    <w:rsid w:val="0016732F"/>
    <w:rsid w:val="001749E1"/>
    <w:rsid w:val="00176C91"/>
    <w:rsid w:val="00176F59"/>
    <w:rsid w:val="00186C10"/>
    <w:rsid w:val="00192738"/>
    <w:rsid w:val="00192A3F"/>
    <w:rsid w:val="00193FCE"/>
    <w:rsid w:val="001A1AA7"/>
    <w:rsid w:val="001A4479"/>
    <w:rsid w:val="001A5CAE"/>
    <w:rsid w:val="001B35CB"/>
    <w:rsid w:val="001C52C1"/>
    <w:rsid w:val="001E4A6F"/>
    <w:rsid w:val="001E5358"/>
    <w:rsid w:val="001F5E46"/>
    <w:rsid w:val="001F736E"/>
    <w:rsid w:val="001F7BBE"/>
    <w:rsid w:val="00200765"/>
    <w:rsid w:val="00202723"/>
    <w:rsid w:val="002056B7"/>
    <w:rsid w:val="0020635D"/>
    <w:rsid w:val="00213541"/>
    <w:rsid w:val="002148A9"/>
    <w:rsid w:val="00220E2C"/>
    <w:rsid w:val="002211DF"/>
    <w:rsid w:val="00233C50"/>
    <w:rsid w:val="002438D1"/>
    <w:rsid w:val="00244C77"/>
    <w:rsid w:val="00247491"/>
    <w:rsid w:val="002525A0"/>
    <w:rsid w:val="002751E5"/>
    <w:rsid w:val="00275B42"/>
    <w:rsid w:val="00276437"/>
    <w:rsid w:val="0027760A"/>
    <w:rsid w:val="00283013"/>
    <w:rsid w:val="00284B90"/>
    <w:rsid w:val="002859C2"/>
    <w:rsid w:val="00290BB7"/>
    <w:rsid w:val="00291F7B"/>
    <w:rsid w:val="002927AE"/>
    <w:rsid w:val="002A0943"/>
    <w:rsid w:val="002A47E6"/>
    <w:rsid w:val="002A5A1C"/>
    <w:rsid w:val="002B1924"/>
    <w:rsid w:val="002B5385"/>
    <w:rsid w:val="002C1786"/>
    <w:rsid w:val="002C1B39"/>
    <w:rsid w:val="002C2E68"/>
    <w:rsid w:val="002C35AD"/>
    <w:rsid w:val="002E2542"/>
    <w:rsid w:val="002E5CEB"/>
    <w:rsid w:val="002E6800"/>
    <w:rsid w:val="002F0A50"/>
    <w:rsid w:val="002F20D0"/>
    <w:rsid w:val="002F39BC"/>
    <w:rsid w:val="002F6CB3"/>
    <w:rsid w:val="00301528"/>
    <w:rsid w:val="00310B1E"/>
    <w:rsid w:val="00310CC3"/>
    <w:rsid w:val="00313200"/>
    <w:rsid w:val="0031348C"/>
    <w:rsid w:val="00322D63"/>
    <w:rsid w:val="0032786F"/>
    <w:rsid w:val="00327B68"/>
    <w:rsid w:val="0033028D"/>
    <w:rsid w:val="003321EB"/>
    <w:rsid w:val="00332B00"/>
    <w:rsid w:val="00340516"/>
    <w:rsid w:val="003478F4"/>
    <w:rsid w:val="00354D08"/>
    <w:rsid w:val="00360F49"/>
    <w:rsid w:val="003618AC"/>
    <w:rsid w:val="0037083F"/>
    <w:rsid w:val="00377791"/>
    <w:rsid w:val="0038696E"/>
    <w:rsid w:val="003901DD"/>
    <w:rsid w:val="003906FC"/>
    <w:rsid w:val="00392D3C"/>
    <w:rsid w:val="00393B89"/>
    <w:rsid w:val="003942E1"/>
    <w:rsid w:val="00397DD7"/>
    <w:rsid w:val="003A5F32"/>
    <w:rsid w:val="003B3080"/>
    <w:rsid w:val="003C1742"/>
    <w:rsid w:val="003C549B"/>
    <w:rsid w:val="003C6061"/>
    <w:rsid w:val="003D1178"/>
    <w:rsid w:val="003E069B"/>
    <w:rsid w:val="003E3BAB"/>
    <w:rsid w:val="003F0012"/>
    <w:rsid w:val="003F5D22"/>
    <w:rsid w:val="003F6223"/>
    <w:rsid w:val="003F6380"/>
    <w:rsid w:val="003F70C3"/>
    <w:rsid w:val="003F7A50"/>
    <w:rsid w:val="00401226"/>
    <w:rsid w:val="00404678"/>
    <w:rsid w:val="00405A53"/>
    <w:rsid w:val="00410ADA"/>
    <w:rsid w:val="00416ABD"/>
    <w:rsid w:val="00426033"/>
    <w:rsid w:val="00426C26"/>
    <w:rsid w:val="00427C48"/>
    <w:rsid w:val="00431D94"/>
    <w:rsid w:val="00433E86"/>
    <w:rsid w:val="00437BEA"/>
    <w:rsid w:val="00437FC6"/>
    <w:rsid w:val="00440362"/>
    <w:rsid w:val="00445AAD"/>
    <w:rsid w:val="0045111D"/>
    <w:rsid w:val="00452167"/>
    <w:rsid w:val="00454541"/>
    <w:rsid w:val="0045764B"/>
    <w:rsid w:val="00457D4E"/>
    <w:rsid w:val="0046118A"/>
    <w:rsid w:val="00462971"/>
    <w:rsid w:val="0047167F"/>
    <w:rsid w:val="004730DD"/>
    <w:rsid w:val="00475561"/>
    <w:rsid w:val="00475C44"/>
    <w:rsid w:val="00477494"/>
    <w:rsid w:val="00480934"/>
    <w:rsid w:val="00487907"/>
    <w:rsid w:val="0049087F"/>
    <w:rsid w:val="00491CB9"/>
    <w:rsid w:val="00491F2D"/>
    <w:rsid w:val="00494DBA"/>
    <w:rsid w:val="004A7FC1"/>
    <w:rsid w:val="004B1BB4"/>
    <w:rsid w:val="004B28D6"/>
    <w:rsid w:val="004B5606"/>
    <w:rsid w:val="004B5651"/>
    <w:rsid w:val="004B5D23"/>
    <w:rsid w:val="004D29C4"/>
    <w:rsid w:val="004D4EC2"/>
    <w:rsid w:val="004D57D6"/>
    <w:rsid w:val="004D77F1"/>
    <w:rsid w:val="004E0497"/>
    <w:rsid w:val="004E1AD6"/>
    <w:rsid w:val="004E2CF5"/>
    <w:rsid w:val="004E3C22"/>
    <w:rsid w:val="00503B7F"/>
    <w:rsid w:val="00507E12"/>
    <w:rsid w:val="0051437D"/>
    <w:rsid w:val="0051708D"/>
    <w:rsid w:val="00520DBF"/>
    <w:rsid w:val="00520EC9"/>
    <w:rsid w:val="005259AE"/>
    <w:rsid w:val="005270AA"/>
    <w:rsid w:val="00536A55"/>
    <w:rsid w:val="005403AA"/>
    <w:rsid w:val="0054227C"/>
    <w:rsid w:val="0054406C"/>
    <w:rsid w:val="00545745"/>
    <w:rsid w:val="00545C75"/>
    <w:rsid w:val="005520A8"/>
    <w:rsid w:val="00556B53"/>
    <w:rsid w:val="00567721"/>
    <w:rsid w:val="00575FC5"/>
    <w:rsid w:val="005770C3"/>
    <w:rsid w:val="00581ECA"/>
    <w:rsid w:val="00583752"/>
    <w:rsid w:val="0059371B"/>
    <w:rsid w:val="005A03EB"/>
    <w:rsid w:val="005A16ED"/>
    <w:rsid w:val="005A1A01"/>
    <w:rsid w:val="005A5093"/>
    <w:rsid w:val="005A5B54"/>
    <w:rsid w:val="005A7F81"/>
    <w:rsid w:val="005B3C74"/>
    <w:rsid w:val="005B5C87"/>
    <w:rsid w:val="005C28BF"/>
    <w:rsid w:val="005C2D44"/>
    <w:rsid w:val="005C5266"/>
    <w:rsid w:val="005C60AB"/>
    <w:rsid w:val="005D18A8"/>
    <w:rsid w:val="005D1DCC"/>
    <w:rsid w:val="005D7FE9"/>
    <w:rsid w:val="006024F2"/>
    <w:rsid w:val="00602871"/>
    <w:rsid w:val="00602CC5"/>
    <w:rsid w:val="0060315E"/>
    <w:rsid w:val="006207A2"/>
    <w:rsid w:val="00625F04"/>
    <w:rsid w:val="00626A9F"/>
    <w:rsid w:val="00636E96"/>
    <w:rsid w:val="00637241"/>
    <w:rsid w:val="00643C8E"/>
    <w:rsid w:val="00651D2C"/>
    <w:rsid w:val="0065246F"/>
    <w:rsid w:val="00652C3F"/>
    <w:rsid w:val="00654E8E"/>
    <w:rsid w:val="00655714"/>
    <w:rsid w:val="00661393"/>
    <w:rsid w:val="00672E67"/>
    <w:rsid w:val="00673561"/>
    <w:rsid w:val="00673873"/>
    <w:rsid w:val="00677970"/>
    <w:rsid w:val="00682AA9"/>
    <w:rsid w:val="00682C8F"/>
    <w:rsid w:val="006905BD"/>
    <w:rsid w:val="006B14A2"/>
    <w:rsid w:val="006B3B8A"/>
    <w:rsid w:val="006B5725"/>
    <w:rsid w:val="006C52FC"/>
    <w:rsid w:val="006C5B1D"/>
    <w:rsid w:val="006C614B"/>
    <w:rsid w:val="006D5D8D"/>
    <w:rsid w:val="006D7E9D"/>
    <w:rsid w:val="006E1B86"/>
    <w:rsid w:val="006E21B4"/>
    <w:rsid w:val="006E341F"/>
    <w:rsid w:val="006E692B"/>
    <w:rsid w:val="006F12D0"/>
    <w:rsid w:val="006F6561"/>
    <w:rsid w:val="00702230"/>
    <w:rsid w:val="00703F19"/>
    <w:rsid w:val="00705EC3"/>
    <w:rsid w:val="00706E67"/>
    <w:rsid w:val="0072129E"/>
    <w:rsid w:val="007214C4"/>
    <w:rsid w:val="0072416A"/>
    <w:rsid w:val="007253B2"/>
    <w:rsid w:val="0073252F"/>
    <w:rsid w:val="0074071B"/>
    <w:rsid w:val="007425B5"/>
    <w:rsid w:val="007471B4"/>
    <w:rsid w:val="00750937"/>
    <w:rsid w:val="00752B12"/>
    <w:rsid w:val="007549F9"/>
    <w:rsid w:val="00760623"/>
    <w:rsid w:val="00764CA3"/>
    <w:rsid w:val="00767F18"/>
    <w:rsid w:val="007701DA"/>
    <w:rsid w:val="0077060A"/>
    <w:rsid w:val="007760DF"/>
    <w:rsid w:val="007845F8"/>
    <w:rsid w:val="00795BA4"/>
    <w:rsid w:val="007A0BCA"/>
    <w:rsid w:val="007B0705"/>
    <w:rsid w:val="007B0AB6"/>
    <w:rsid w:val="007B1D9C"/>
    <w:rsid w:val="007B1EFE"/>
    <w:rsid w:val="007B2D57"/>
    <w:rsid w:val="007C5F90"/>
    <w:rsid w:val="007C634D"/>
    <w:rsid w:val="007D40BC"/>
    <w:rsid w:val="007D557C"/>
    <w:rsid w:val="007D7B42"/>
    <w:rsid w:val="007E7BCE"/>
    <w:rsid w:val="007F01B5"/>
    <w:rsid w:val="007F2BAB"/>
    <w:rsid w:val="007F3504"/>
    <w:rsid w:val="007F7754"/>
    <w:rsid w:val="008026A9"/>
    <w:rsid w:val="008043BD"/>
    <w:rsid w:val="0080671F"/>
    <w:rsid w:val="00814BF2"/>
    <w:rsid w:val="008169FA"/>
    <w:rsid w:val="00820610"/>
    <w:rsid w:val="00826BF7"/>
    <w:rsid w:val="0082795B"/>
    <w:rsid w:val="00832032"/>
    <w:rsid w:val="00832F03"/>
    <w:rsid w:val="008341D6"/>
    <w:rsid w:val="008348A3"/>
    <w:rsid w:val="0083594C"/>
    <w:rsid w:val="0085298C"/>
    <w:rsid w:val="00854795"/>
    <w:rsid w:val="0085524C"/>
    <w:rsid w:val="00855267"/>
    <w:rsid w:val="008552E3"/>
    <w:rsid w:val="0085709C"/>
    <w:rsid w:val="00860CC8"/>
    <w:rsid w:val="00860F7E"/>
    <w:rsid w:val="00861B08"/>
    <w:rsid w:val="00863C25"/>
    <w:rsid w:val="00865F26"/>
    <w:rsid w:val="008674F6"/>
    <w:rsid w:val="00870997"/>
    <w:rsid w:val="00872195"/>
    <w:rsid w:val="0087308B"/>
    <w:rsid w:val="00877611"/>
    <w:rsid w:val="00880268"/>
    <w:rsid w:val="00881BD7"/>
    <w:rsid w:val="00884C31"/>
    <w:rsid w:val="00885529"/>
    <w:rsid w:val="00885E14"/>
    <w:rsid w:val="00896BA7"/>
    <w:rsid w:val="008A1E85"/>
    <w:rsid w:val="008A68F3"/>
    <w:rsid w:val="008A72B1"/>
    <w:rsid w:val="008B63FD"/>
    <w:rsid w:val="008C1730"/>
    <w:rsid w:val="008C6CB2"/>
    <w:rsid w:val="008E29C2"/>
    <w:rsid w:val="008F3E08"/>
    <w:rsid w:val="008F6193"/>
    <w:rsid w:val="008F6DA5"/>
    <w:rsid w:val="008F7DA3"/>
    <w:rsid w:val="00911B17"/>
    <w:rsid w:val="00921E2D"/>
    <w:rsid w:val="009221B5"/>
    <w:rsid w:val="00926FB8"/>
    <w:rsid w:val="009376ED"/>
    <w:rsid w:val="00951448"/>
    <w:rsid w:val="00951CEA"/>
    <w:rsid w:val="00952AD7"/>
    <w:rsid w:val="00954F09"/>
    <w:rsid w:val="0095777F"/>
    <w:rsid w:val="009648D5"/>
    <w:rsid w:val="00966D60"/>
    <w:rsid w:val="00975B09"/>
    <w:rsid w:val="00975BE4"/>
    <w:rsid w:val="00976073"/>
    <w:rsid w:val="00980E81"/>
    <w:rsid w:val="00980E89"/>
    <w:rsid w:val="00997AC6"/>
    <w:rsid w:val="009A0BC2"/>
    <w:rsid w:val="009A31A0"/>
    <w:rsid w:val="009A6299"/>
    <w:rsid w:val="009A7E41"/>
    <w:rsid w:val="009B2B1C"/>
    <w:rsid w:val="009B4D83"/>
    <w:rsid w:val="009C04F9"/>
    <w:rsid w:val="009C3065"/>
    <w:rsid w:val="009C7AF4"/>
    <w:rsid w:val="009D1CDC"/>
    <w:rsid w:val="009D2C05"/>
    <w:rsid w:val="009D39F3"/>
    <w:rsid w:val="009D5196"/>
    <w:rsid w:val="009D6BA4"/>
    <w:rsid w:val="009E41B6"/>
    <w:rsid w:val="009F1436"/>
    <w:rsid w:val="009F67E6"/>
    <w:rsid w:val="009F6D17"/>
    <w:rsid w:val="00A03D8C"/>
    <w:rsid w:val="00A0531B"/>
    <w:rsid w:val="00A07F01"/>
    <w:rsid w:val="00A11852"/>
    <w:rsid w:val="00A1258D"/>
    <w:rsid w:val="00A1289A"/>
    <w:rsid w:val="00A13061"/>
    <w:rsid w:val="00A1323A"/>
    <w:rsid w:val="00A158C4"/>
    <w:rsid w:val="00A37E74"/>
    <w:rsid w:val="00A46E58"/>
    <w:rsid w:val="00A5136F"/>
    <w:rsid w:val="00A51CD4"/>
    <w:rsid w:val="00A53D85"/>
    <w:rsid w:val="00A61E64"/>
    <w:rsid w:val="00A62F7B"/>
    <w:rsid w:val="00A66363"/>
    <w:rsid w:val="00A67330"/>
    <w:rsid w:val="00A75E84"/>
    <w:rsid w:val="00A80BFA"/>
    <w:rsid w:val="00A81B10"/>
    <w:rsid w:val="00A84D4C"/>
    <w:rsid w:val="00A85C87"/>
    <w:rsid w:val="00A906C9"/>
    <w:rsid w:val="00A94A28"/>
    <w:rsid w:val="00AA306D"/>
    <w:rsid w:val="00AA3A33"/>
    <w:rsid w:val="00AA4BB0"/>
    <w:rsid w:val="00AB02B7"/>
    <w:rsid w:val="00AB1C16"/>
    <w:rsid w:val="00AB2F48"/>
    <w:rsid w:val="00AC01AA"/>
    <w:rsid w:val="00AC7AC9"/>
    <w:rsid w:val="00AD047C"/>
    <w:rsid w:val="00AD1315"/>
    <w:rsid w:val="00AD20CF"/>
    <w:rsid w:val="00AD3DF6"/>
    <w:rsid w:val="00AD711F"/>
    <w:rsid w:val="00AD75D1"/>
    <w:rsid w:val="00AD7BDF"/>
    <w:rsid w:val="00AE1A72"/>
    <w:rsid w:val="00AE6759"/>
    <w:rsid w:val="00AF3D3B"/>
    <w:rsid w:val="00AF6E98"/>
    <w:rsid w:val="00AF704F"/>
    <w:rsid w:val="00B039CB"/>
    <w:rsid w:val="00B1018D"/>
    <w:rsid w:val="00B12C03"/>
    <w:rsid w:val="00B24227"/>
    <w:rsid w:val="00B27A3F"/>
    <w:rsid w:val="00B34265"/>
    <w:rsid w:val="00B352A6"/>
    <w:rsid w:val="00B35B7B"/>
    <w:rsid w:val="00B36C2B"/>
    <w:rsid w:val="00B47253"/>
    <w:rsid w:val="00B476F4"/>
    <w:rsid w:val="00B504D1"/>
    <w:rsid w:val="00B509BB"/>
    <w:rsid w:val="00B537C4"/>
    <w:rsid w:val="00B65159"/>
    <w:rsid w:val="00B73057"/>
    <w:rsid w:val="00B7502C"/>
    <w:rsid w:val="00B83B4B"/>
    <w:rsid w:val="00B862AE"/>
    <w:rsid w:val="00B92B2A"/>
    <w:rsid w:val="00B93D50"/>
    <w:rsid w:val="00B95545"/>
    <w:rsid w:val="00BA0496"/>
    <w:rsid w:val="00BA0FFE"/>
    <w:rsid w:val="00BA3C0B"/>
    <w:rsid w:val="00BA740C"/>
    <w:rsid w:val="00BB17B8"/>
    <w:rsid w:val="00BB318E"/>
    <w:rsid w:val="00BC00A0"/>
    <w:rsid w:val="00BC03AB"/>
    <w:rsid w:val="00BC55EF"/>
    <w:rsid w:val="00BC6BE2"/>
    <w:rsid w:val="00BD628B"/>
    <w:rsid w:val="00BE0820"/>
    <w:rsid w:val="00BE484F"/>
    <w:rsid w:val="00BF318C"/>
    <w:rsid w:val="00BF5026"/>
    <w:rsid w:val="00C0504F"/>
    <w:rsid w:val="00C07C28"/>
    <w:rsid w:val="00C11A0B"/>
    <w:rsid w:val="00C11E64"/>
    <w:rsid w:val="00C12C0E"/>
    <w:rsid w:val="00C425D8"/>
    <w:rsid w:val="00C52327"/>
    <w:rsid w:val="00C5695A"/>
    <w:rsid w:val="00C574BA"/>
    <w:rsid w:val="00C622E4"/>
    <w:rsid w:val="00C62864"/>
    <w:rsid w:val="00C63060"/>
    <w:rsid w:val="00C6757A"/>
    <w:rsid w:val="00C73CAE"/>
    <w:rsid w:val="00C76F4A"/>
    <w:rsid w:val="00C77162"/>
    <w:rsid w:val="00C82028"/>
    <w:rsid w:val="00C82D78"/>
    <w:rsid w:val="00C83FEB"/>
    <w:rsid w:val="00C85776"/>
    <w:rsid w:val="00C933E5"/>
    <w:rsid w:val="00C945AC"/>
    <w:rsid w:val="00C953CA"/>
    <w:rsid w:val="00CA3B69"/>
    <w:rsid w:val="00CA716C"/>
    <w:rsid w:val="00CB09EA"/>
    <w:rsid w:val="00CB2AEB"/>
    <w:rsid w:val="00CB32D7"/>
    <w:rsid w:val="00CB3499"/>
    <w:rsid w:val="00CC14CC"/>
    <w:rsid w:val="00CC7953"/>
    <w:rsid w:val="00CD28EA"/>
    <w:rsid w:val="00CE1D5F"/>
    <w:rsid w:val="00CE2954"/>
    <w:rsid w:val="00CE38E3"/>
    <w:rsid w:val="00CF0FF7"/>
    <w:rsid w:val="00CF1A76"/>
    <w:rsid w:val="00D009D1"/>
    <w:rsid w:val="00D00BC1"/>
    <w:rsid w:val="00D01693"/>
    <w:rsid w:val="00D074C0"/>
    <w:rsid w:val="00D10697"/>
    <w:rsid w:val="00D117DF"/>
    <w:rsid w:val="00D11F67"/>
    <w:rsid w:val="00D15B6E"/>
    <w:rsid w:val="00D20CFD"/>
    <w:rsid w:val="00D25AB0"/>
    <w:rsid w:val="00D271A1"/>
    <w:rsid w:val="00D31309"/>
    <w:rsid w:val="00D3307A"/>
    <w:rsid w:val="00D342DE"/>
    <w:rsid w:val="00D3768D"/>
    <w:rsid w:val="00D403FE"/>
    <w:rsid w:val="00D41507"/>
    <w:rsid w:val="00D4194C"/>
    <w:rsid w:val="00D556C7"/>
    <w:rsid w:val="00D57D7D"/>
    <w:rsid w:val="00D61C1B"/>
    <w:rsid w:val="00D6290E"/>
    <w:rsid w:val="00D80D24"/>
    <w:rsid w:val="00D81003"/>
    <w:rsid w:val="00D9414C"/>
    <w:rsid w:val="00DA3E6E"/>
    <w:rsid w:val="00DB3990"/>
    <w:rsid w:val="00DB5179"/>
    <w:rsid w:val="00DB7DB1"/>
    <w:rsid w:val="00DC0771"/>
    <w:rsid w:val="00DC3931"/>
    <w:rsid w:val="00DC3F24"/>
    <w:rsid w:val="00DD3124"/>
    <w:rsid w:val="00DE1748"/>
    <w:rsid w:val="00DF0881"/>
    <w:rsid w:val="00DF1834"/>
    <w:rsid w:val="00DF3721"/>
    <w:rsid w:val="00DF391D"/>
    <w:rsid w:val="00DF3AB1"/>
    <w:rsid w:val="00DF525C"/>
    <w:rsid w:val="00DF710D"/>
    <w:rsid w:val="00E03300"/>
    <w:rsid w:val="00E03552"/>
    <w:rsid w:val="00E11FEB"/>
    <w:rsid w:val="00E16934"/>
    <w:rsid w:val="00E20499"/>
    <w:rsid w:val="00E21FAB"/>
    <w:rsid w:val="00E24BAF"/>
    <w:rsid w:val="00E2768B"/>
    <w:rsid w:val="00E36B1C"/>
    <w:rsid w:val="00E4072E"/>
    <w:rsid w:val="00E40D22"/>
    <w:rsid w:val="00E41890"/>
    <w:rsid w:val="00E44671"/>
    <w:rsid w:val="00E4518B"/>
    <w:rsid w:val="00E45ABC"/>
    <w:rsid w:val="00E46B5B"/>
    <w:rsid w:val="00E51B0D"/>
    <w:rsid w:val="00E53532"/>
    <w:rsid w:val="00E6415F"/>
    <w:rsid w:val="00E70035"/>
    <w:rsid w:val="00E7089E"/>
    <w:rsid w:val="00E737CE"/>
    <w:rsid w:val="00E73AD0"/>
    <w:rsid w:val="00E76B0C"/>
    <w:rsid w:val="00E82BCD"/>
    <w:rsid w:val="00E86C91"/>
    <w:rsid w:val="00E87C46"/>
    <w:rsid w:val="00E87D61"/>
    <w:rsid w:val="00E91713"/>
    <w:rsid w:val="00E91D04"/>
    <w:rsid w:val="00E91D62"/>
    <w:rsid w:val="00E91ECE"/>
    <w:rsid w:val="00E94CDC"/>
    <w:rsid w:val="00E97A3A"/>
    <w:rsid w:val="00EA0D52"/>
    <w:rsid w:val="00EA20D2"/>
    <w:rsid w:val="00EA3A6A"/>
    <w:rsid w:val="00EB2F27"/>
    <w:rsid w:val="00EB488B"/>
    <w:rsid w:val="00EB4917"/>
    <w:rsid w:val="00EB588A"/>
    <w:rsid w:val="00EB60E4"/>
    <w:rsid w:val="00EB67EB"/>
    <w:rsid w:val="00EC0D6D"/>
    <w:rsid w:val="00EC44EC"/>
    <w:rsid w:val="00EC7406"/>
    <w:rsid w:val="00EC7612"/>
    <w:rsid w:val="00ED019B"/>
    <w:rsid w:val="00ED4EAF"/>
    <w:rsid w:val="00ED756D"/>
    <w:rsid w:val="00EE03B2"/>
    <w:rsid w:val="00EE4081"/>
    <w:rsid w:val="00EE522E"/>
    <w:rsid w:val="00EE52A6"/>
    <w:rsid w:val="00EE6505"/>
    <w:rsid w:val="00EE7132"/>
    <w:rsid w:val="00EF115A"/>
    <w:rsid w:val="00EF1974"/>
    <w:rsid w:val="00EF2A92"/>
    <w:rsid w:val="00EF59CE"/>
    <w:rsid w:val="00F01657"/>
    <w:rsid w:val="00F052A2"/>
    <w:rsid w:val="00F11BE4"/>
    <w:rsid w:val="00F13CE8"/>
    <w:rsid w:val="00F14776"/>
    <w:rsid w:val="00F14FF2"/>
    <w:rsid w:val="00F1585C"/>
    <w:rsid w:val="00F2046B"/>
    <w:rsid w:val="00F21C46"/>
    <w:rsid w:val="00F225F4"/>
    <w:rsid w:val="00F25FE3"/>
    <w:rsid w:val="00F3786E"/>
    <w:rsid w:val="00F41807"/>
    <w:rsid w:val="00F4215A"/>
    <w:rsid w:val="00F435FC"/>
    <w:rsid w:val="00F44AE1"/>
    <w:rsid w:val="00F51077"/>
    <w:rsid w:val="00F536F7"/>
    <w:rsid w:val="00F544FC"/>
    <w:rsid w:val="00F60F93"/>
    <w:rsid w:val="00F665DA"/>
    <w:rsid w:val="00F7256B"/>
    <w:rsid w:val="00F77DEF"/>
    <w:rsid w:val="00F917EE"/>
    <w:rsid w:val="00F91BB9"/>
    <w:rsid w:val="00F936E3"/>
    <w:rsid w:val="00F93E8C"/>
    <w:rsid w:val="00FA0F6E"/>
    <w:rsid w:val="00FA1168"/>
    <w:rsid w:val="00FA4430"/>
    <w:rsid w:val="00FB341E"/>
    <w:rsid w:val="00FC6C31"/>
    <w:rsid w:val="00FC7866"/>
    <w:rsid w:val="00FE0472"/>
    <w:rsid w:val="00FE24A1"/>
    <w:rsid w:val="00FE2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3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2A6"/>
    <w:pPr>
      <w:ind w:left="720"/>
      <w:contextualSpacing/>
    </w:pPr>
  </w:style>
  <w:style w:type="paragraph" w:styleId="PlainText">
    <w:name w:val="Plain Text"/>
    <w:basedOn w:val="Normal"/>
    <w:link w:val="PlainTextChar"/>
    <w:uiPriority w:val="99"/>
    <w:semiHidden/>
    <w:unhideWhenUsed/>
    <w:rsid w:val="00D9414C"/>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semiHidden/>
    <w:rsid w:val="00D9414C"/>
    <w:rPr>
      <w:rFonts w:ascii="Consolas" w:eastAsia="Calibri" w:hAnsi="Consolas" w:cs="Consolas"/>
      <w:sz w:val="21"/>
      <w:szCs w:val="21"/>
    </w:rPr>
  </w:style>
  <w:style w:type="paragraph" w:styleId="Header">
    <w:name w:val="header"/>
    <w:basedOn w:val="Normal"/>
    <w:link w:val="HeaderChar"/>
    <w:uiPriority w:val="99"/>
    <w:unhideWhenUsed/>
    <w:rsid w:val="009E41B6"/>
    <w:pPr>
      <w:tabs>
        <w:tab w:val="center" w:pos="4703"/>
        <w:tab w:val="right" w:pos="9406"/>
      </w:tabs>
      <w:spacing w:after="0" w:line="240" w:lineRule="auto"/>
    </w:pPr>
  </w:style>
  <w:style w:type="character" w:customStyle="1" w:styleId="HeaderChar">
    <w:name w:val="Header Char"/>
    <w:basedOn w:val="DefaultParagraphFont"/>
    <w:link w:val="Header"/>
    <w:uiPriority w:val="99"/>
    <w:rsid w:val="009E41B6"/>
  </w:style>
  <w:style w:type="paragraph" w:styleId="Footer">
    <w:name w:val="footer"/>
    <w:basedOn w:val="Normal"/>
    <w:link w:val="FooterChar"/>
    <w:uiPriority w:val="99"/>
    <w:unhideWhenUsed/>
    <w:rsid w:val="009E41B6"/>
    <w:pPr>
      <w:tabs>
        <w:tab w:val="center" w:pos="4703"/>
        <w:tab w:val="right" w:pos="9406"/>
      </w:tabs>
      <w:spacing w:after="0" w:line="240" w:lineRule="auto"/>
    </w:pPr>
  </w:style>
  <w:style w:type="character" w:customStyle="1" w:styleId="FooterChar">
    <w:name w:val="Footer Char"/>
    <w:basedOn w:val="DefaultParagraphFont"/>
    <w:link w:val="Footer"/>
    <w:uiPriority w:val="99"/>
    <w:rsid w:val="009E41B6"/>
  </w:style>
  <w:style w:type="character" w:styleId="LineNumber">
    <w:name w:val="line number"/>
    <w:basedOn w:val="DefaultParagraphFont"/>
    <w:uiPriority w:val="99"/>
    <w:semiHidden/>
    <w:unhideWhenUsed/>
    <w:rsid w:val="009E41B6"/>
  </w:style>
  <w:style w:type="table" w:styleId="TableGrid">
    <w:name w:val="Table Grid"/>
    <w:basedOn w:val="TableNormal"/>
    <w:uiPriority w:val="39"/>
    <w:rsid w:val="00B3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D15B6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fr-CH"/>
    </w:rPr>
  </w:style>
  <w:style w:type="character" w:styleId="CommentReference">
    <w:name w:val="annotation reference"/>
    <w:basedOn w:val="DefaultParagraphFont"/>
    <w:uiPriority w:val="99"/>
    <w:semiHidden/>
    <w:unhideWhenUsed/>
    <w:rsid w:val="00452167"/>
    <w:rPr>
      <w:sz w:val="16"/>
      <w:szCs w:val="16"/>
    </w:rPr>
  </w:style>
  <w:style w:type="paragraph" w:styleId="CommentText">
    <w:name w:val="annotation text"/>
    <w:basedOn w:val="Normal"/>
    <w:link w:val="CommentTextChar"/>
    <w:uiPriority w:val="99"/>
    <w:semiHidden/>
    <w:unhideWhenUsed/>
    <w:rsid w:val="00452167"/>
    <w:pPr>
      <w:spacing w:line="240" w:lineRule="auto"/>
    </w:pPr>
    <w:rPr>
      <w:sz w:val="20"/>
      <w:szCs w:val="20"/>
    </w:rPr>
  </w:style>
  <w:style w:type="character" w:customStyle="1" w:styleId="CommentTextChar">
    <w:name w:val="Comment Text Char"/>
    <w:basedOn w:val="DefaultParagraphFont"/>
    <w:link w:val="CommentText"/>
    <w:uiPriority w:val="99"/>
    <w:semiHidden/>
    <w:rsid w:val="00452167"/>
    <w:rPr>
      <w:sz w:val="20"/>
      <w:szCs w:val="20"/>
    </w:rPr>
  </w:style>
  <w:style w:type="paragraph" w:styleId="CommentSubject">
    <w:name w:val="annotation subject"/>
    <w:basedOn w:val="CommentText"/>
    <w:next w:val="CommentText"/>
    <w:link w:val="CommentSubjectChar"/>
    <w:uiPriority w:val="99"/>
    <w:semiHidden/>
    <w:unhideWhenUsed/>
    <w:rsid w:val="00452167"/>
    <w:rPr>
      <w:b/>
      <w:bCs/>
    </w:rPr>
  </w:style>
  <w:style w:type="character" w:customStyle="1" w:styleId="CommentSubjectChar">
    <w:name w:val="Comment Subject Char"/>
    <w:basedOn w:val="CommentTextChar"/>
    <w:link w:val="CommentSubject"/>
    <w:uiPriority w:val="99"/>
    <w:semiHidden/>
    <w:rsid w:val="00452167"/>
    <w:rPr>
      <w:b/>
      <w:bCs/>
      <w:sz w:val="20"/>
      <w:szCs w:val="20"/>
    </w:rPr>
  </w:style>
  <w:style w:type="paragraph" w:styleId="BalloonText">
    <w:name w:val="Balloon Text"/>
    <w:basedOn w:val="Normal"/>
    <w:link w:val="BalloonTextChar"/>
    <w:uiPriority w:val="99"/>
    <w:semiHidden/>
    <w:unhideWhenUsed/>
    <w:rsid w:val="00452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167"/>
    <w:rPr>
      <w:rFonts w:ascii="Segoe UI" w:hAnsi="Segoe UI" w:cs="Segoe UI"/>
      <w:sz w:val="18"/>
      <w:szCs w:val="18"/>
    </w:rPr>
  </w:style>
  <w:style w:type="paragraph" w:styleId="Revision">
    <w:name w:val="Revision"/>
    <w:hidden/>
    <w:uiPriority w:val="99"/>
    <w:semiHidden/>
    <w:rsid w:val="00884C31"/>
    <w:pPr>
      <w:spacing w:after="0" w:line="240" w:lineRule="auto"/>
    </w:pPr>
  </w:style>
  <w:style w:type="character" w:styleId="Hyperlink">
    <w:name w:val="Hyperlink"/>
    <w:basedOn w:val="DefaultParagraphFont"/>
    <w:uiPriority w:val="99"/>
    <w:unhideWhenUsed/>
    <w:rsid w:val="005A1A01"/>
    <w:rPr>
      <w:color w:val="0563C1" w:themeColor="hyperlink"/>
      <w:u w:val="single"/>
    </w:rPr>
  </w:style>
  <w:style w:type="paragraph" w:styleId="FootnoteText">
    <w:name w:val="footnote text"/>
    <w:basedOn w:val="Normal"/>
    <w:link w:val="FootnoteTextChar"/>
    <w:uiPriority w:val="99"/>
    <w:semiHidden/>
    <w:unhideWhenUsed/>
    <w:rsid w:val="00C630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060"/>
    <w:rPr>
      <w:sz w:val="20"/>
      <w:szCs w:val="20"/>
    </w:rPr>
  </w:style>
  <w:style w:type="character" w:styleId="FootnoteReference">
    <w:name w:val="footnote reference"/>
    <w:basedOn w:val="DefaultParagraphFont"/>
    <w:uiPriority w:val="99"/>
    <w:semiHidden/>
    <w:unhideWhenUsed/>
    <w:rsid w:val="00C630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2A6"/>
    <w:pPr>
      <w:ind w:left="720"/>
      <w:contextualSpacing/>
    </w:pPr>
  </w:style>
  <w:style w:type="paragraph" w:styleId="PlainText">
    <w:name w:val="Plain Text"/>
    <w:basedOn w:val="Normal"/>
    <w:link w:val="PlainTextChar"/>
    <w:uiPriority w:val="99"/>
    <w:semiHidden/>
    <w:unhideWhenUsed/>
    <w:rsid w:val="00D9414C"/>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semiHidden/>
    <w:rsid w:val="00D9414C"/>
    <w:rPr>
      <w:rFonts w:ascii="Consolas" w:eastAsia="Calibri" w:hAnsi="Consolas" w:cs="Consolas"/>
      <w:sz w:val="21"/>
      <w:szCs w:val="21"/>
    </w:rPr>
  </w:style>
  <w:style w:type="paragraph" w:styleId="Header">
    <w:name w:val="header"/>
    <w:basedOn w:val="Normal"/>
    <w:link w:val="HeaderChar"/>
    <w:uiPriority w:val="99"/>
    <w:unhideWhenUsed/>
    <w:rsid w:val="009E41B6"/>
    <w:pPr>
      <w:tabs>
        <w:tab w:val="center" w:pos="4703"/>
        <w:tab w:val="right" w:pos="9406"/>
      </w:tabs>
      <w:spacing w:after="0" w:line="240" w:lineRule="auto"/>
    </w:pPr>
  </w:style>
  <w:style w:type="character" w:customStyle="1" w:styleId="HeaderChar">
    <w:name w:val="Header Char"/>
    <w:basedOn w:val="DefaultParagraphFont"/>
    <w:link w:val="Header"/>
    <w:uiPriority w:val="99"/>
    <w:rsid w:val="009E41B6"/>
  </w:style>
  <w:style w:type="paragraph" w:styleId="Footer">
    <w:name w:val="footer"/>
    <w:basedOn w:val="Normal"/>
    <w:link w:val="FooterChar"/>
    <w:uiPriority w:val="99"/>
    <w:unhideWhenUsed/>
    <w:rsid w:val="009E41B6"/>
    <w:pPr>
      <w:tabs>
        <w:tab w:val="center" w:pos="4703"/>
        <w:tab w:val="right" w:pos="9406"/>
      </w:tabs>
      <w:spacing w:after="0" w:line="240" w:lineRule="auto"/>
    </w:pPr>
  </w:style>
  <w:style w:type="character" w:customStyle="1" w:styleId="FooterChar">
    <w:name w:val="Footer Char"/>
    <w:basedOn w:val="DefaultParagraphFont"/>
    <w:link w:val="Footer"/>
    <w:uiPriority w:val="99"/>
    <w:rsid w:val="009E41B6"/>
  </w:style>
  <w:style w:type="character" w:styleId="LineNumber">
    <w:name w:val="line number"/>
    <w:basedOn w:val="DefaultParagraphFont"/>
    <w:uiPriority w:val="99"/>
    <w:semiHidden/>
    <w:unhideWhenUsed/>
    <w:rsid w:val="009E41B6"/>
  </w:style>
  <w:style w:type="table" w:styleId="TableGrid">
    <w:name w:val="Table Grid"/>
    <w:basedOn w:val="TableNormal"/>
    <w:uiPriority w:val="39"/>
    <w:rsid w:val="00B3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D15B6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fr-CH"/>
    </w:rPr>
  </w:style>
  <w:style w:type="character" w:styleId="CommentReference">
    <w:name w:val="annotation reference"/>
    <w:basedOn w:val="DefaultParagraphFont"/>
    <w:uiPriority w:val="99"/>
    <w:semiHidden/>
    <w:unhideWhenUsed/>
    <w:rsid w:val="00452167"/>
    <w:rPr>
      <w:sz w:val="16"/>
      <w:szCs w:val="16"/>
    </w:rPr>
  </w:style>
  <w:style w:type="paragraph" w:styleId="CommentText">
    <w:name w:val="annotation text"/>
    <w:basedOn w:val="Normal"/>
    <w:link w:val="CommentTextChar"/>
    <w:uiPriority w:val="99"/>
    <w:semiHidden/>
    <w:unhideWhenUsed/>
    <w:rsid w:val="00452167"/>
    <w:pPr>
      <w:spacing w:line="240" w:lineRule="auto"/>
    </w:pPr>
    <w:rPr>
      <w:sz w:val="20"/>
      <w:szCs w:val="20"/>
    </w:rPr>
  </w:style>
  <w:style w:type="character" w:customStyle="1" w:styleId="CommentTextChar">
    <w:name w:val="Comment Text Char"/>
    <w:basedOn w:val="DefaultParagraphFont"/>
    <w:link w:val="CommentText"/>
    <w:uiPriority w:val="99"/>
    <w:semiHidden/>
    <w:rsid w:val="00452167"/>
    <w:rPr>
      <w:sz w:val="20"/>
      <w:szCs w:val="20"/>
    </w:rPr>
  </w:style>
  <w:style w:type="paragraph" w:styleId="CommentSubject">
    <w:name w:val="annotation subject"/>
    <w:basedOn w:val="CommentText"/>
    <w:next w:val="CommentText"/>
    <w:link w:val="CommentSubjectChar"/>
    <w:uiPriority w:val="99"/>
    <w:semiHidden/>
    <w:unhideWhenUsed/>
    <w:rsid w:val="00452167"/>
    <w:rPr>
      <w:b/>
      <w:bCs/>
    </w:rPr>
  </w:style>
  <w:style w:type="character" w:customStyle="1" w:styleId="CommentSubjectChar">
    <w:name w:val="Comment Subject Char"/>
    <w:basedOn w:val="CommentTextChar"/>
    <w:link w:val="CommentSubject"/>
    <w:uiPriority w:val="99"/>
    <w:semiHidden/>
    <w:rsid w:val="00452167"/>
    <w:rPr>
      <w:b/>
      <w:bCs/>
      <w:sz w:val="20"/>
      <w:szCs w:val="20"/>
    </w:rPr>
  </w:style>
  <w:style w:type="paragraph" w:styleId="BalloonText">
    <w:name w:val="Balloon Text"/>
    <w:basedOn w:val="Normal"/>
    <w:link w:val="BalloonTextChar"/>
    <w:uiPriority w:val="99"/>
    <w:semiHidden/>
    <w:unhideWhenUsed/>
    <w:rsid w:val="00452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167"/>
    <w:rPr>
      <w:rFonts w:ascii="Segoe UI" w:hAnsi="Segoe UI" w:cs="Segoe UI"/>
      <w:sz w:val="18"/>
      <w:szCs w:val="18"/>
    </w:rPr>
  </w:style>
  <w:style w:type="paragraph" w:styleId="Revision">
    <w:name w:val="Revision"/>
    <w:hidden/>
    <w:uiPriority w:val="99"/>
    <w:semiHidden/>
    <w:rsid w:val="00884C31"/>
    <w:pPr>
      <w:spacing w:after="0" w:line="240" w:lineRule="auto"/>
    </w:pPr>
  </w:style>
  <w:style w:type="character" w:styleId="Hyperlink">
    <w:name w:val="Hyperlink"/>
    <w:basedOn w:val="DefaultParagraphFont"/>
    <w:uiPriority w:val="99"/>
    <w:unhideWhenUsed/>
    <w:rsid w:val="005A1A01"/>
    <w:rPr>
      <w:color w:val="0563C1" w:themeColor="hyperlink"/>
      <w:u w:val="single"/>
    </w:rPr>
  </w:style>
  <w:style w:type="paragraph" w:styleId="FootnoteText">
    <w:name w:val="footnote text"/>
    <w:basedOn w:val="Normal"/>
    <w:link w:val="FootnoteTextChar"/>
    <w:uiPriority w:val="99"/>
    <w:semiHidden/>
    <w:unhideWhenUsed/>
    <w:rsid w:val="00C630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060"/>
    <w:rPr>
      <w:sz w:val="20"/>
      <w:szCs w:val="20"/>
    </w:rPr>
  </w:style>
  <w:style w:type="character" w:styleId="FootnoteReference">
    <w:name w:val="footnote reference"/>
    <w:basedOn w:val="DefaultParagraphFont"/>
    <w:uiPriority w:val="99"/>
    <w:semiHidden/>
    <w:unhideWhenUsed/>
    <w:rsid w:val="00C630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5711">
      <w:bodyDiv w:val="1"/>
      <w:marLeft w:val="0"/>
      <w:marRight w:val="0"/>
      <w:marTop w:val="0"/>
      <w:marBottom w:val="0"/>
      <w:divBdr>
        <w:top w:val="none" w:sz="0" w:space="0" w:color="auto"/>
        <w:left w:val="none" w:sz="0" w:space="0" w:color="auto"/>
        <w:bottom w:val="none" w:sz="0" w:space="0" w:color="auto"/>
        <w:right w:val="none" w:sz="0" w:space="0" w:color="auto"/>
      </w:divBdr>
    </w:div>
    <w:div w:id="94058415">
      <w:bodyDiv w:val="1"/>
      <w:marLeft w:val="0"/>
      <w:marRight w:val="0"/>
      <w:marTop w:val="0"/>
      <w:marBottom w:val="0"/>
      <w:divBdr>
        <w:top w:val="none" w:sz="0" w:space="0" w:color="auto"/>
        <w:left w:val="none" w:sz="0" w:space="0" w:color="auto"/>
        <w:bottom w:val="none" w:sz="0" w:space="0" w:color="auto"/>
        <w:right w:val="none" w:sz="0" w:space="0" w:color="auto"/>
      </w:divBdr>
    </w:div>
    <w:div w:id="101582131">
      <w:bodyDiv w:val="1"/>
      <w:marLeft w:val="0"/>
      <w:marRight w:val="0"/>
      <w:marTop w:val="0"/>
      <w:marBottom w:val="0"/>
      <w:divBdr>
        <w:top w:val="none" w:sz="0" w:space="0" w:color="auto"/>
        <w:left w:val="none" w:sz="0" w:space="0" w:color="auto"/>
        <w:bottom w:val="none" w:sz="0" w:space="0" w:color="auto"/>
        <w:right w:val="none" w:sz="0" w:space="0" w:color="auto"/>
      </w:divBdr>
    </w:div>
    <w:div w:id="161162823">
      <w:bodyDiv w:val="1"/>
      <w:marLeft w:val="0"/>
      <w:marRight w:val="0"/>
      <w:marTop w:val="0"/>
      <w:marBottom w:val="0"/>
      <w:divBdr>
        <w:top w:val="none" w:sz="0" w:space="0" w:color="auto"/>
        <w:left w:val="none" w:sz="0" w:space="0" w:color="auto"/>
        <w:bottom w:val="none" w:sz="0" w:space="0" w:color="auto"/>
        <w:right w:val="none" w:sz="0" w:space="0" w:color="auto"/>
      </w:divBdr>
    </w:div>
    <w:div w:id="312681079">
      <w:bodyDiv w:val="1"/>
      <w:marLeft w:val="0"/>
      <w:marRight w:val="0"/>
      <w:marTop w:val="0"/>
      <w:marBottom w:val="0"/>
      <w:divBdr>
        <w:top w:val="none" w:sz="0" w:space="0" w:color="auto"/>
        <w:left w:val="none" w:sz="0" w:space="0" w:color="auto"/>
        <w:bottom w:val="none" w:sz="0" w:space="0" w:color="auto"/>
        <w:right w:val="none" w:sz="0" w:space="0" w:color="auto"/>
      </w:divBdr>
      <w:divsChild>
        <w:div w:id="709302701">
          <w:marLeft w:val="0"/>
          <w:marRight w:val="1"/>
          <w:marTop w:val="0"/>
          <w:marBottom w:val="0"/>
          <w:divBdr>
            <w:top w:val="none" w:sz="0" w:space="0" w:color="auto"/>
            <w:left w:val="none" w:sz="0" w:space="0" w:color="auto"/>
            <w:bottom w:val="none" w:sz="0" w:space="0" w:color="auto"/>
            <w:right w:val="none" w:sz="0" w:space="0" w:color="auto"/>
          </w:divBdr>
          <w:divsChild>
            <w:div w:id="234632026">
              <w:marLeft w:val="0"/>
              <w:marRight w:val="0"/>
              <w:marTop w:val="0"/>
              <w:marBottom w:val="0"/>
              <w:divBdr>
                <w:top w:val="none" w:sz="0" w:space="0" w:color="auto"/>
                <w:left w:val="none" w:sz="0" w:space="0" w:color="auto"/>
                <w:bottom w:val="none" w:sz="0" w:space="0" w:color="auto"/>
                <w:right w:val="none" w:sz="0" w:space="0" w:color="auto"/>
              </w:divBdr>
              <w:divsChild>
                <w:div w:id="717243894">
                  <w:marLeft w:val="0"/>
                  <w:marRight w:val="1"/>
                  <w:marTop w:val="0"/>
                  <w:marBottom w:val="0"/>
                  <w:divBdr>
                    <w:top w:val="none" w:sz="0" w:space="0" w:color="auto"/>
                    <w:left w:val="none" w:sz="0" w:space="0" w:color="auto"/>
                    <w:bottom w:val="none" w:sz="0" w:space="0" w:color="auto"/>
                    <w:right w:val="none" w:sz="0" w:space="0" w:color="auto"/>
                  </w:divBdr>
                  <w:divsChild>
                    <w:div w:id="1280988397">
                      <w:marLeft w:val="0"/>
                      <w:marRight w:val="0"/>
                      <w:marTop w:val="0"/>
                      <w:marBottom w:val="0"/>
                      <w:divBdr>
                        <w:top w:val="none" w:sz="0" w:space="0" w:color="auto"/>
                        <w:left w:val="none" w:sz="0" w:space="0" w:color="auto"/>
                        <w:bottom w:val="none" w:sz="0" w:space="0" w:color="auto"/>
                        <w:right w:val="none" w:sz="0" w:space="0" w:color="auto"/>
                      </w:divBdr>
                      <w:divsChild>
                        <w:div w:id="454523521">
                          <w:marLeft w:val="0"/>
                          <w:marRight w:val="0"/>
                          <w:marTop w:val="0"/>
                          <w:marBottom w:val="0"/>
                          <w:divBdr>
                            <w:top w:val="none" w:sz="0" w:space="0" w:color="auto"/>
                            <w:left w:val="none" w:sz="0" w:space="0" w:color="auto"/>
                            <w:bottom w:val="none" w:sz="0" w:space="0" w:color="auto"/>
                            <w:right w:val="none" w:sz="0" w:space="0" w:color="auto"/>
                          </w:divBdr>
                          <w:divsChild>
                            <w:div w:id="38405094">
                              <w:marLeft w:val="0"/>
                              <w:marRight w:val="0"/>
                              <w:marTop w:val="120"/>
                              <w:marBottom w:val="360"/>
                              <w:divBdr>
                                <w:top w:val="none" w:sz="0" w:space="0" w:color="auto"/>
                                <w:left w:val="none" w:sz="0" w:space="0" w:color="auto"/>
                                <w:bottom w:val="none" w:sz="0" w:space="0" w:color="auto"/>
                                <w:right w:val="none" w:sz="0" w:space="0" w:color="auto"/>
                              </w:divBdr>
                              <w:divsChild>
                                <w:div w:id="412318219">
                                  <w:marLeft w:val="0"/>
                                  <w:marRight w:val="0"/>
                                  <w:marTop w:val="0"/>
                                  <w:marBottom w:val="0"/>
                                  <w:divBdr>
                                    <w:top w:val="none" w:sz="0" w:space="0" w:color="auto"/>
                                    <w:left w:val="none" w:sz="0" w:space="0" w:color="auto"/>
                                    <w:bottom w:val="none" w:sz="0" w:space="0" w:color="auto"/>
                                    <w:right w:val="none" w:sz="0" w:space="0" w:color="auto"/>
                                  </w:divBdr>
                                </w:div>
                                <w:div w:id="7118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603233">
      <w:bodyDiv w:val="1"/>
      <w:marLeft w:val="0"/>
      <w:marRight w:val="0"/>
      <w:marTop w:val="0"/>
      <w:marBottom w:val="0"/>
      <w:divBdr>
        <w:top w:val="none" w:sz="0" w:space="0" w:color="auto"/>
        <w:left w:val="none" w:sz="0" w:space="0" w:color="auto"/>
        <w:bottom w:val="none" w:sz="0" w:space="0" w:color="auto"/>
        <w:right w:val="none" w:sz="0" w:space="0" w:color="auto"/>
      </w:divBdr>
      <w:divsChild>
        <w:div w:id="1157914148">
          <w:marLeft w:val="187"/>
          <w:marRight w:val="0"/>
          <w:marTop w:val="0"/>
          <w:marBottom w:val="0"/>
          <w:divBdr>
            <w:top w:val="none" w:sz="0" w:space="0" w:color="auto"/>
            <w:left w:val="none" w:sz="0" w:space="0" w:color="auto"/>
            <w:bottom w:val="none" w:sz="0" w:space="0" w:color="auto"/>
            <w:right w:val="none" w:sz="0" w:space="0" w:color="auto"/>
          </w:divBdr>
        </w:div>
        <w:div w:id="1426222475">
          <w:marLeft w:val="274"/>
          <w:marRight w:val="0"/>
          <w:marTop w:val="0"/>
          <w:marBottom w:val="0"/>
          <w:divBdr>
            <w:top w:val="none" w:sz="0" w:space="0" w:color="auto"/>
            <w:left w:val="none" w:sz="0" w:space="0" w:color="auto"/>
            <w:bottom w:val="none" w:sz="0" w:space="0" w:color="auto"/>
            <w:right w:val="none" w:sz="0" w:space="0" w:color="auto"/>
          </w:divBdr>
        </w:div>
      </w:divsChild>
    </w:div>
    <w:div w:id="371197476">
      <w:bodyDiv w:val="1"/>
      <w:marLeft w:val="0"/>
      <w:marRight w:val="0"/>
      <w:marTop w:val="0"/>
      <w:marBottom w:val="0"/>
      <w:divBdr>
        <w:top w:val="none" w:sz="0" w:space="0" w:color="auto"/>
        <w:left w:val="none" w:sz="0" w:space="0" w:color="auto"/>
        <w:bottom w:val="none" w:sz="0" w:space="0" w:color="auto"/>
        <w:right w:val="none" w:sz="0" w:space="0" w:color="auto"/>
      </w:divBdr>
    </w:div>
    <w:div w:id="388311384">
      <w:bodyDiv w:val="1"/>
      <w:marLeft w:val="0"/>
      <w:marRight w:val="0"/>
      <w:marTop w:val="0"/>
      <w:marBottom w:val="0"/>
      <w:divBdr>
        <w:top w:val="none" w:sz="0" w:space="0" w:color="auto"/>
        <w:left w:val="none" w:sz="0" w:space="0" w:color="auto"/>
        <w:bottom w:val="none" w:sz="0" w:space="0" w:color="auto"/>
        <w:right w:val="none" w:sz="0" w:space="0" w:color="auto"/>
      </w:divBdr>
    </w:div>
    <w:div w:id="529337319">
      <w:bodyDiv w:val="1"/>
      <w:marLeft w:val="0"/>
      <w:marRight w:val="0"/>
      <w:marTop w:val="0"/>
      <w:marBottom w:val="0"/>
      <w:divBdr>
        <w:top w:val="none" w:sz="0" w:space="0" w:color="auto"/>
        <w:left w:val="none" w:sz="0" w:space="0" w:color="auto"/>
        <w:bottom w:val="none" w:sz="0" w:space="0" w:color="auto"/>
        <w:right w:val="none" w:sz="0" w:space="0" w:color="auto"/>
      </w:divBdr>
    </w:div>
    <w:div w:id="669482839">
      <w:bodyDiv w:val="1"/>
      <w:marLeft w:val="0"/>
      <w:marRight w:val="0"/>
      <w:marTop w:val="0"/>
      <w:marBottom w:val="0"/>
      <w:divBdr>
        <w:top w:val="none" w:sz="0" w:space="0" w:color="auto"/>
        <w:left w:val="none" w:sz="0" w:space="0" w:color="auto"/>
        <w:bottom w:val="none" w:sz="0" w:space="0" w:color="auto"/>
        <w:right w:val="none" w:sz="0" w:space="0" w:color="auto"/>
      </w:divBdr>
    </w:div>
    <w:div w:id="756102125">
      <w:bodyDiv w:val="1"/>
      <w:marLeft w:val="0"/>
      <w:marRight w:val="0"/>
      <w:marTop w:val="0"/>
      <w:marBottom w:val="0"/>
      <w:divBdr>
        <w:top w:val="none" w:sz="0" w:space="0" w:color="auto"/>
        <w:left w:val="none" w:sz="0" w:space="0" w:color="auto"/>
        <w:bottom w:val="none" w:sz="0" w:space="0" w:color="auto"/>
        <w:right w:val="none" w:sz="0" w:space="0" w:color="auto"/>
      </w:divBdr>
    </w:div>
    <w:div w:id="757677231">
      <w:bodyDiv w:val="1"/>
      <w:marLeft w:val="0"/>
      <w:marRight w:val="0"/>
      <w:marTop w:val="0"/>
      <w:marBottom w:val="0"/>
      <w:divBdr>
        <w:top w:val="none" w:sz="0" w:space="0" w:color="auto"/>
        <w:left w:val="none" w:sz="0" w:space="0" w:color="auto"/>
        <w:bottom w:val="none" w:sz="0" w:space="0" w:color="auto"/>
        <w:right w:val="none" w:sz="0" w:space="0" w:color="auto"/>
      </w:divBdr>
    </w:div>
    <w:div w:id="762187526">
      <w:bodyDiv w:val="1"/>
      <w:marLeft w:val="0"/>
      <w:marRight w:val="0"/>
      <w:marTop w:val="0"/>
      <w:marBottom w:val="0"/>
      <w:divBdr>
        <w:top w:val="none" w:sz="0" w:space="0" w:color="auto"/>
        <w:left w:val="none" w:sz="0" w:space="0" w:color="auto"/>
        <w:bottom w:val="none" w:sz="0" w:space="0" w:color="auto"/>
        <w:right w:val="none" w:sz="0" w:space="0" w:color="auto"/>
      </w:divBdr>
    </w:div>
    <w:div w:id="1215505513">
      <w:bodyDiv w:val="1"/>
      <w:marLeft w:val="0"/>
      <w:marRight w:val="0"/>
      <w:marTop w:val="0"/>
      <w:marBottom w:val="0"/>
      <w:divBdr>
        <w:top w:val="none" w:sz="0" w:space="0" w:color="auto"/>
        <w:left w:val="none" w:sz="0" w:space="0" w:color="auto"/>
        <w:bottom w:val="none" w:sz="0" w:space="0" w:color="auto"/>
        <w:right w:val="none" w:sz="0" w:space="0" w:color="auto"/>
      </w:divBdr>
    </w:div>
    <w:div w:id="1362517248">
      <w:bodyDiv w:val="1"/>
      <w:marLeft w:val="0"/>
      <w:marRight w:val="0"/>
      <w:marTop w:val="0"/>
      <w:marBottom w:val="0"/>
      <w:divBdr>
        <w:top w:val="none" w:sz="0" w:space="0" w:color="auto"/>
        <w:left w:val="none" w:sz="0" w:space="0" w:color="auto"/>
        <w:bottom w:val="none" w:sz="0" w:space="0" w:color="auto"/>
        <w:right w:val="none" w:sz="0" w:space="0" w:color="auto"/>
      </w:divBdr>
    </w:div>
    <w:div w:id="1364358153">
      <w:bodyDiv w:val="1"/>
      <w:marLeft w:val="0"/>
      <w:marRight w:val="0"/>
      <w:marTop w:val="0"/>
      <w:marBottom w:val="0"/>
      <w:divBdr>
        <w:top w:val="none" w:sz="0" w:space="0" w:color="auto"/>
        <w:left w:val="none" w:sz="0" w:space="0" w:color="auto"/>
        <w:bottom w:val="none" w:sz="0" w:space="0" w:color="auto"/>
        <w:right w:val="none" w:sz="0" w:space="0" w:color="auto"/>
      </w:divBdr>
    </w:div>
    <w:div w:id="1638952300">
      <w:bodyDiv w:val="1"/>
      <w:marLeft w:val="0"/>
      <w:marRight w:val="0"/>
      <w:marTop w:val="0"/>
      <w:marBottom w:val="0"/>
      <w:divBdr>
        <w:top w:val="none" w:sz="0" w:space="0" w:color="auto"/>
        <w:left w:val="none" w:sz="0" w:space="0" w:color="auto"/>
        <w:bottom w:val="none" w:sz="0" w:space="0" w:color="auto"/>
        <w:right w:val="none" w:sz="0" w:space="0" w:color="auto"/>
      </w:divBdr>
    </w:div>
    <w:div w:id="1875849267">
      <w:bodyDiv w:val="1"/>
      <w:marLeft w:val="0"/>
      <w:marRight w:val="0"/>
      <w:marTop w:val="0"/>
      <w:marBottom w:val="0"/>
      <w:divBdr>
        <w:top w:val="none" w:sz="0" w:space="0" w:color="auto"/>
        <w:left w:val="none" w:sz="0" w:space="0" w:color="auto"/>
        <w:bottom w:val="none" w:sz="0" w:space="0" w:color="auto"/>
        <w:right w:val="none" w:sz="0" w:space="0" w:color="auto"/>
      </w:divBdr>
    </w:div>
    <w:div w:id="1962150532">
      <w:bodyDiv w:val="1"/>
      <w:marLeft w:val="0"/>
      <w:marRight w:val="0"/>
      <w:marTop w:val="0"/>
      <w:marBottom w:val="0"/>
      <w:divBdr>
        <w:top w:val="none" w:sz="0" w:space="0" w:color="auto"/>
        <w:left w:val="none" w:sz="0" w:space="0" w:color="auto"/>
        <w:bottom w:val="none" w:sz="0" w:space="0" w:color="auto"/>
        <w:right w:val="none" w:sz="0" w:space="0" w:color="auto"/>
      </w:divBdr>
    </w:div>
    <w:div w:id="19711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in.bieler@finddx.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97BE4B70.dotm</Template>
  <TotalTime>1</TotalTime>
  <Pages>10</Pages>
  <Words>9588</Words>
  <Characters>54657</Characters>
  <Application>Microsoft Office Word</Application>
  <DocSecurity>4</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FIND</Company>
  <LinksUpToDate>false</LinksUpToDate>
  <CharactersWithSpaces>64117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 Bieler</dc:creator>
  <cp:lastModifiedBy>Clare Bilton</cp:lastModifiedBy>
  <cp:revision>2</cp:revision>
  <dcterms:created xsi:type="dcterms:W3CDTF">2017-02-06T09:40:00Z</dcterms:created>
  <dcterms:modified xsi:type="dcterms:W3CDTF">2017-02-06T09:40:00Z</dcterms:modified>
</cp:coreProperties>
</file>