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pPr>
      <w:bookmarkStart w:id="70" w:name="_GoBack"/>
      <w:bookmarkEnd w:id="70"/>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Application of biochar</w:t>
      </w:r>
      <w:r>
        <w:rPr>
          <w:rFonts w:hint="eastAsia" w:ascii="Times New Roman" w:hAnsi="Times New Roman" w:cs="Times New Roman"/>
          <w:b/>
          <w:color w:val="0D0D0D" w:themeColor="text1" w:themeTint="F2"/>
          <w:sz w:val="20"/>
          <w:szCs w:val="20"/>
          <w14:textFill>
            <w14:solidFill>
              <w14:schemeClr w14:val="tx1">
                <w14:lumMod w14:val="95000"/>
                <w14:lumOff w14:val="5000"/>
              </w14:schemeClr>
            </w14:solidFill>
          </w14:textFill>
        </w:rPr>
        <w:t xml:space="preserve"> </w:t>
      </w: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 xml:space="preserve">reduces </w:t>
      </w:r>
      <w:r>
        <w:rPr>
          <w:rFonts w:ascii="Times New Roman" w:hAnsi="Times New Roman" w:cs="Times New Roman"/>
          <w:b/>
          <w:i/>
          <w:color w:val="0D0D0D" w:themeColor="text1" w:themeTint="F2"/>
          <w:sz w:val="20"/>
          <w:szCs w:val="20"/>
          <w14:textFill>
            <w14:solidFill>
              <w14:schemeClr w14:val="tx1">
                <w14:lumMod w14:val="95000"/>
                <w14:lumOff w14:val="5000"/>
              </w14:schemeClr>
            </w14:solidFill>
          </w14:textFill>
        </w:rPr>
        <w:t>Ralstonia solanacearum</w:t>
      </w: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 xml:space="preserve"> infection via effects on pathogen chemotaxis, swarming motility, and root exudate adsorption</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Yian Gu </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Yugang Hou </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Dapeng Huang </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Zhexia Hao </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Xiaofang Wang </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Zhong Wei </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Alexandre Jousset </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1, 2</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Shiyong Tan </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3</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Dabing Xu </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4</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Qirong Shen </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Yangchun Xu </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and Ville-Petri Friman </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5</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1. Jiangsu Provincial Key Lab for Organic Solid Waste Utilization, National Engineering Research Center for Organic-based Fertilizers, Nanjing Agricultural University, Weigang 1, Nanjing, 210095, PR China</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2. Institute for Environmental Biology, Ecology &amp; Biodiversity, Utrecht University, Utrecht, The Netherlands</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3. Key Laboratory of Plant Nutrition and Biological Fertilizer, Ministry of Agriculture, Hunan Taigu Biotechnology Co., Ltd, Changsha 410205, Hunan, PR China</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4. Plant Protection and Soil Fertilizer Institute, Hubei Academy of Agricultural Sciences, Wuhan, 430064, PR China</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5. Department of Biology, Wentworth Way, YO10 5DD, University of York, York, UK</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Corresponding author</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*Corresponding author</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E-mail address: </w:t>
      </w:r>
      <w:r>
        <w:fldChar w:fldCharType="begin"/>
      </w:r>
      <w:r>
        <w:instrText xml:space="preserve"> HYPERLINK "mailto:ycxu@njau.edu.cn" </w:instrText>
      </w:r>
      <w:r>
        <w:fldChar w:fldCharType="separate"/>
      </w:r>
      <w:r>
        <w:rPr>
          <w:rStyle w:val="6"/>
          <w:rFonts w:ascii="Times New Roman" w:hAnsi="Times New Roman" w:cs="Times New Roman"/>
          <w:color w:val="0D0D0D" w:themeColor="text1" w:themeTint="F2"/>
          <w:sz w:val="20"/>
          <w:szCs w:val="20"/>
          <w:u w:val="none"/>
          <w14:textFill>
            <w14:solidFill>
              <w14:schemeClr w14:val="tx1">
                <w14:lumMod w14:val="95000"/>
                <w14:lumOff w14:val="5000"/>
              </w14:schemeClr>
            </w14:solidFill>
          </w14:textFill>
        </w:rPr>
        <w:t>ycxu@njau.edu.cn</w:t>
      </w:r>
      <w:r>
        <w:rPr>
          <w:rStyle w:val="6"/>
          <w:rFonts w:ascii="Times New Roman" w:hAnsi="Times New Roman" w:cs="Times New Roman"/>
          <w:color w:val="0D0D0D" w:themeColor="text1" w:themeTint="F2"/>
          <w:sz w:val="20"/>
          <w:szCs w:val="20"/>
          <w:u w:val="none"/>
          <w14:textFill>
            <w14:solidFill>
              <w14:schemeClr w14:val="tx1">
                <w14:lumMod w14:val="95000"/>
                <w14:lumOff w14:val="5000"/>
              </w14:schemeClr>
            </w14:solidFill>
          </w14:textFill>
        </w:rPr>
        <w:fldChar w:fldCharType="end"/>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(Yangchun Xu), Tel.: +86 025 84396824; fax: +86 025 84396260;</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fldChar w:fldCharType="begin"/>
      </w:r>
      <w:r>
        <w:instrText xml:space="preserve"> HYPERLINK "mailto:weizhong@njau.edu.cn" </w:instrText>
      </w:r>
      <w:r>
        <w:fldChar w:fldCharType="separate"/>
      </w:r>
      <w:r>
        <w:rPr>
          <w:rStyle w:val="6"/>
          <w:rFonts w:ascii="Times New Roman" w:hAnsi="Times New Roman" w:cs="Times New Roman"/>
          <w:color w:val="0D0D0D" w:themeColor="text1" w:themeTint="F2"/>
          <w:sz w:val="20"/>
          <w:szCs w:val="20"/>
          <w:u w:val="none"/>
          <w14:textFill>
            <w14:solidFill>
              <w14:schemeClr w14:val="tx1">
                <w14:lumMod w14:val="95000"/>
                <w14:lumOff w14:val="5000"/>
              </w14:schemeClr>
            </w14:solidFill>
          </w14:textFill>
        </w:rPr>
        <w:t>weizhong@njau.edu.cn</w:t>
      </w:r>
      <w:r>
        <w:rPr>
          <w:rStyle w:val="6"/>
          <w:rFonts w:ascii="Times New Roman" w:hAnsi="Times New Roman" w:cs="Times New Roman"/>
          <w:color w:val="0D0D0D" w:themeColor="text1" w:themeTint="F2"/>
          <w:sz w:val="20"/>
          <w:szCs w:val="20"/>
          <w:u w:val="none"/>
          <w14:textFill>
            <w14:solidFill>
              <w14:schemeClr w14:val="tx1">
                <w14:lumMod w14:val="95000"/>
                <w14:lumOff w14:val="5000"/>
              </w14:schemeClr>
            </w14:solidFill>
          </w14:textFill>
        </w:rPr>
        <w:fldChar w:fldCharType="end"/>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(Zhong Wei), Tel.: +86 025 84396864; fax: +86 025 84396260.</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Acknowledgments</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ab/>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This research was supported by </w:t>
      </w:r>
      <w:r>
        <w:rPr>
          <w:rFonts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 xml:space="preserve">the National Key Basic Research Program of China (2015CB150503), the National Natural Science Foundation of China (41471213, 41671248), the 111 project (B12009), </w:t>
      </w:r>
      <w:r>
        <w:rPr>
          <w:rFonts w:hint="eastAsia"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Jiangsu Key Technology R&amp;D Program (BE2014340)</w:t>
      </w:r>
      <w:r>
        <w:rPr>
          <w:rFonts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the Young Elite Scientist Sponsorship Program by CAST (2015QNRC001),</w:t>
      </w:r>
      <w:r>
        <w:rPr>
          <w:rFonts w:hint="eastAsia"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the Priority Academic Program Development (PAPD) of Jiangsu Higher Education Institutions (Qirong Shen), and the Qing Lan Project (Yangchun Xu).</w:t>
      </w: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br w:type="page"/>
      </w:r>
    </w:p>
    <w:p>
      <w:pPr>
        <w:spacing w:line="480" w:lineRule="auto"/>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Abstract</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Aims</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We evaluated the efficacy of biochar application for suppressing bacterial wilt of tomato and identified the potential underlying mechanisms involved in the disease control.</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 xml:space="preserve">Methods </w:t>
      </w:r>
      <w:r>
        <w:rPr>
          <w:rFonts w:ascii="Times New Roman" w:hAnsi="Times New Roman" w:cs="Times New Roman"/>
          <w:color w:val="0D0D0D" w:themeColor="text1" w:themeTint="F2"/>
          <w:sz w:val="20"/>
          <w:szCs w:val="20"/>
          <w:lang w:val="en-GB"/>
          <w14:textFill>
            <w14:solidFill>
              <w14:schemeClr w14:val="tx1">
                <w14:lumMod w14:val="95000"/>
                <w14:lumOff w14:val="5000"/>
              </w14:schemeClr>
            </w14:solidFill>
          </w14:textFill>
        </w:rPr>
        <w:t>We measured the impact of two</w:t>
      </w:r>
      <w:r>
        <w:rPr>
          <w:rFonts w:hint="eastAsia" w:ascii="Times New Roman" w:hAnsi="Times New Roman" w:cs="Times New Roman"/>
          <w:color w:val="0D0D0D" w:themeColor="text1" w:themeTint="F2"/>
          <w:sz w:val="20"/>
          <w:szCs w:val="20"/>
          <w:lang w:val="en-GB"/>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0"/>
          <w:szCs w:val="20"/>
          <w:lang w:val="en-GB"/>
          <w14:textFill>
            <w14:solidFill>
              <w14:schemeClr w14:val="tx1">
                <w14:lumMod w14:val="95000"/>
                <w14:lumOff w14:val="5000"/>
              </w14:schemeClr>
            </w14:solidFill>
          </w14:textFill>
        </w:rPr>
        <w:t>different sized biochar (53-120</w:t>
      </w:r>
      <w:r>
        <w:rPr>
          <w:rFonts w:hint="eastAsia" w:ascii="Times New Roman" w:hAnsi="Times New Roman" w:cs="Times New Roman"/>
          <w:color w:val="0D0D0D" w:themeColor="text1" w:themeTint="F2"/>
          <w:sz w:val="20"/>
          <w:szCs w:val="20"/>
          <w:lang w:val="en-GB"/>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μm</w:t>
      </w:r>
      <w:r>
        <w:rPr>
          <w:rFonts w:ascii="Times New Roman" w:hAnsi="Times New Roman" w:cs="Times New Roman"/>
          <w:color w:val="0D0D0D" w:themeColor="text1" w:themeTint="F2"/>
          <w:sz w:val="20"/>
          <w:szCs w:val="20"/>
          <w:lang w:val="en-GB"/>
          <w14:textFill>
            <w14:solidFill>
              <w14:schemeClr w14:val="tx1">
                <w14:lumMod w14:val="95000"/>
                <w14:lumOff w14:val="5000"/>
              </w14:schemeClr>
            </w14:solidFill>
          </w14:textFill>
        </w:rPr>
        <w:t xml:space="preserve"> and</w:t>
      </w:r>
      <w:r>
        <w:rPr>
          <w:rFonts w:hint="eastAsia" w:ascii="Times New Roman" w:hAnsi="Times New Roman" w:cs="Times New Roman"/>
          <w:color w:val="0D0D0D" w:themeColor="text1" w:themeTint="F2"/>
          <w:sz w:val="20"/>
          <w:szCs w:val="20"/>
          <w:lang w:val="en-GB"/>
          <w14:textFill>
            <w14:solidFill>
              <w14:schemeClr w14:val="tx1">
                <w14:lumMod w14:val="95000"/>
                <w14:lumOff w14:val="5000"/>
              </w14:schemeClr>
            </w14:solidFill>
          </w14:textFill>
        </w:rPr>
        <w:t xml:space="preserve"> 380-830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μm</w:t>
      </w:r>
      <w:r>
        <w:rPr>
          <w:rFonts w:ascii="Times New Roman" w:hAnsi="Times New Roman" w:cs="Times New Roman"/>
          <w:color w:val="0D0D0D" w:themeColor="text1" w:themeTint="F2"/>
          <w:sz w:val="20"/>
          <w:szCs w:val="20"/>
          <w:lang w:val="en-GB"/>
          <w14:textFill>
            <w14:solidFill>
              <w14:schemeClr w14:val="tx1">
                <w14:lumMod w14:val="95000"/>
                <w14:lumOff w14:val="5000"/>
              </w14:schemeClr>
            </w14:solidFill>
          </w14:textFill>
        </w:rPr>
        <w:t>) on bacterial wilt incidence in a greenhouse experiment. The efficiency of different sized biochar for the adsorption of tomato root exudates and the pathogen was further examined</w:t>
      </w:r>
      <w:r>
        <w:rPr>
          <w:rFonts w:ascii="Times New Roman" w:hAnsi="Times New Roman" w:cs="Times New Roman"/>
          <w:i/>
          <w:color w:val="0D0D0D" w:themeColor="text1" w:themeTint="F2"/>
          <w:sz w:val="20"/>
          <w:szCs w:val="20"/>
          <w:lang w:val="en-GB"/>
          <w14:textFill>
            <w14:solidFill>
              <w14:schemeClr w14:val="tx1">
                <w14:lumMod w14:val="95000"/>
                <w14:lumOff w14:val="5000"/>
              </w14:schemeClr>
            </w14:solidFill>
          </w14:textFill>
        </w:rPr>
        <w:t xml:space="preserve"> in vitro</w:t>
      </w:r>
      <w:r>
        <w:rPr>
          <w:rFonts w:ascii="Times New Roman" w:hAnsi="Times New Roman" w:cs="Times New Roman"/>
          <w:color w:val="0D0D0D" w:themeColor="text1" w:themeTint="F2"/>
          <w:sz w:val="20"/>
          <w:szCs w:val="20"/>
          <w:lang w:val="en-GB"/>
          <w14:textFill>
            <w14:solidFill>
              <w14:schemeClr w14:val="tx1">
                <w14:lumMod w14:val="95000"/>
                <w14:lumOff w14:val="5000"/>
              </w14:schemeClr>
            </w14:solidFill>
          </w14:textFill>
        </w:rPr>
        <w:t>. We also quantified the effects of biochar and tomato root exudates on two pathogen virulence factors, chemotaxis, swarming motility and</w:t>
      </w:r>
      <w:r>
        <w:rPr>
          <w:rFonts w:hint="eastAsia" w:ascii="Times New Roman" w:hAnsi="Times New Roman" w:cs="Times New Roman"/>
          <w:color w:val="0D0D0D" w:themeColor="text1" w:themeTint="F2"/>
          <w:sz w:val="20"/>
          <w:szCs w:val="20"/>
          <w:lang w:val="en-GB"/>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0"/>
          <w:szCs w:val="20"/>
          <w:lang w:val="en-GB"/>
          <w14:textFill>
            <w14:solidFill>
              <w14:schemeClr w14:val="tx1">
                <w14:lumMod w14:val="95000"/>
                <w14:lumOff w14:val="5000"/>
              </w14:schemeClr>
            </w14:solidFill>
          </w14:textFill>
        </w:rPr>
        <w:t>examined the effect of biochar on pathogen root colonization.</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 xml:space="preserve">Results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F</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ine biochar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application </w:t>
      </w:r>
      <w:r>
        <w:rPr>
          <w:rFonts w:ascii="Times New Roman" w:hAnsi="Times New Roman" w:cs="Times New Roman"/>
          <w:color w:val="0D0D0D" w:themeColor="text1" w:themeTint="F2"/>
          <w:sz w:val="20"/>
          <w:szCs w:val="20"/>
          <w:lang w:val="en-GB"/>
          <w14:textFill>
            <w14:solidFill>
              <w14:schemeClr w14:val="tx1">
                <w14:lumMod w14:val="95000"/>
                <w14:lumOff w14:val="5000"/>
              </w14:schemeClr>
            </w14:solidFill>
          </w14:textFill>
        </w:rPr>
        <w:t>(</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3%</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w:w</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significantly decreased the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bacterial wilt</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incidence by 19.9%</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Biochar with different particle size had similar adsorption capacity for root exudates, while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fine biochar was efficient (91%)</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in pathogen adsorption.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R</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oot exudates and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fine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biochar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increased the chemotaxis ability of pathogen</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while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fine biochar reduced pathogen swarming motility and rhizosphere colonization.</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 xml:space="preserve">Conclusions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Application of fine biochar can significantly decreased bacterial wilt incidence. This was mechanistically explained by biochar ability to 1) adsorb pathogen directly and indirectly via adsorption of root exudates (based on pathogen chemotaxis) and to 2) directly suppress pathogen swarming motility and subsequent root colonization.</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 xml:space="preserve">Keywords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Adsorption; Bacterial wilt; Biochar; Disease control; Root exudate </w:t>
      </w:r>
    </w:p>
    <w:p>
      <w:pPr>
        <w:widowControl/>
        <w:spacing w:line="480" w:lineRule="auto"/>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br w:type="page"/>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Introduction</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Bacterial</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wilt is a</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n important</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plant disease in the tropical and subtropical regions of the world (Salanoubat et al. 2002). The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 xml:space="preserve">Ralstonia solanacearum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bacterium, the causal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agent</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of bacterial wilt, has</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an unusually broad host range and is able to infect over 200 host species belonging to more than 50 botanical families (Hayward 1991), including economically important crops such as tomato and potato (Genin 2010).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is also metabolically versatile and survives prolonged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periods</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not only in the soil but also in irrigation water (Xue et al. 2011). High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density in the rhizosphere, which can reach up to 10</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8</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colony forming units (CFU) per gram of soil, is the key factor onsetting the bacterial wilt disease epidemics (Wei et al. 2011). </w:t>
      </w:r>
      <w:r>
        <w:rPr>
          <w:rFonts w:hint="eastAsia"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xml:space="preserve">The CFU level for disease development depends on </w:t>
      </w:r>
      <w:r>
        <w:rPr>
          <w:rFonts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various</w:t>
      </w:r>
      <w:r>
        <w:rPr>
          <w:rFonts w:hint="eastAsia"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xml:space="preserve"> abiotic and biotic factors</w:t>
      </w:r>
      <w:r>
        <w:rPr>
          <w:rFonts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xml:space="preserve"> including </w:t>
      </w:r>
      <w:r>
        <w:rPr>
          <w:rFonts w:hint="eastAsia"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host cultivar</w:t>
      </w:r>
      <w:r>
        <w:rPr>
          <w:rFonts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temperature</w:t>
      </w:r>
      <w:r>
        <w:rPr>
          <w:rFonts w:hint="eastAsia"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xml:space="preserve"> and root wounding</w:t>
      </w:r>
      <w:r>
        <w:rPr>
          <w:rFonts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xml:space="preserve"> (Ishihara et al. 2012; Jacobs et al. 2012; Wei et al. 2015a)</w:t>
      </w:r>
      <w:r>
        <w:rPr>
          <w:rFonts w:hint="eastAsia"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w:t>
      </w:r>
      <w:r>
        <w:rPr>
          <w:rFonts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xml:space="preserve"> </w:t>
      </w:r>
      <w:r>
        <w:rPr>
          <w:rFonts w:ascii="Times New Roman" w:hAnsi="Times New Roman" w:cs="Times New Roman"/>
          <w:i/>
          <w:color w:val="0D0D0D" w:themeColor="text1" w:themeTint="F2"/>
          <w:sz w:val="20"/>
          <w:szCs w:val="20"/>
          <w:shd w:val="clear" w:color="auto" w:fill="FFFFFF"/>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xml:space="preserve"> can multiply in the rhizosphere and cause disease even at low initial abundance</w:t>
      </w:r>
      <w:r>
        <w:rPr>
          <w:rFonts w:hint="eastAsia"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xml:space="preserve"> in </w:t>
      </w:r>
      <w:r>
        <w:rPr>
          <w:rFonts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xml:space="preserve">the </w:t>
      </w:r>
      <w:r>
        <w:rPr>
          <w:rFonts w:hint="eastAsia"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xml:space="preserve">bulk soil </w:t>
      </w:r>
      <w:r>
        <w:rPr>
          <w:rFonts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(e.g.,</w:t>
      </w:r>
      <w:r>
        <w:rPr>
          <w:rFonts w:hint="eastAsia"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xml:space="preserve"> 10</w:t>
      </w:r>
      <w:r>
        <w:rPr>
          <w:rFonts w:hint="eastAsia" w:ascii="Times New Roman" w:hAnsi="Times New Roman" w:cs="Times New Roman"/>
          <w:color w:val="0D0D0D" w:themeColor="text1" w:themeTint="F2"/>
          <w:sz w:val="20"/>
          <w:szCs w:val="20"/>
          <w:shd w:val="clear" w:color="auto" w:fill="FFFFFF"/>
          <w:vertAlign w:val="superscript"/>
          <w14:textFill>
            <w14:solidFill>
              <w14:schemeClr w14:val="tx1">
                <w14:lumMod w14:val="95000"/>
                <w14:lumOff w14:val="5000"/>
              </w14:schemeClr>
            </w14:solidFill>
          </w14:textFill>
        </w:rPr>
        <w:t xml:space="preserve">4 </w:t>
      </w:r>
      <w:r>
        <w:rPr>
          <w:rFonts w:hint="eastAsia"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CFU g</w:t>
      </w:r>
      <w:r>
        <w:rPr>
          <w:rFonts w:hint="eastAsia" w:ascii="Times New Roman" w:hAnsi="Times New Roman" w:cs="Times New Roman"/>
          <w:color w:val="0D0D0D" w:themeColor="text1" w:themeTint="F2"/>
          <w:sz w:val="20"/>
          <w:szCs w:val="20"/>
          <w:shd w:val="clear" w:color="auto" w:fill="FFFFFF"/>
          <w:vertAlign w:val="superscript"/>
          <w14:textFill>
            <w14:solidFill>
              <w14:schemeClr w14:val="tx1">
                <w14:lumMod w14:val="95000"/>
                <w14:lumOff w14:val="5000"/>
              </w14:schemeClr>
            </w14:solidFill>
          </w14:textFill>
        </w:rPr>
        <w:t>-1</w:t>
      </w:r>
      <w:r>
        <w:rPr>
          <w:rFonts w:hint="eastAsia"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xml:space="preserve"> soil</w:t>
      </w:r>
      <w:r>
        <w:rPr>
          <w:rFonts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w:t>
      </w:r>
      <w:r>
        <w:rPr>
          <w:rFonts w:hint="eastAsia"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once the environmental conditions become suitable</w:t>
      </w:r>
      <w:r>
        <w:rPr>
          <w:rFonts w:hint="eastAsia"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xml:space="preserve">(Wei et al. 2011). </w:t>
      </w:r>
      <w:r>
        <w:rPr>
          <w:rFonts w:hint="eastAsia"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xml:space="preserve">Generally, pathogen abundance is positively correlated with disease incidence </w:t>
      </w:r>
      <w:r>
        <w:rPr>
          <w:rFonts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(Kempe and Sequeira 1983; van Overbeek et al. 2004)</w:t>
      </w:r>
      <w:r>
        <w:rPr>
          <w:rFonts w:hint="eastAsia"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However, recent evidence suggest</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s</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that complete pathogen eradication is not necessary for considerable decreases in crop losses (Wei et al. 2015a). Considering that the traditional methods of disease control, such as chemical bactericides, have proven to cause environmental po</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llution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(Fujiwara et al. 2011; Tan et al. 2015), alternative methods need to be developed to reduce the bacterial wilt incidence. </w:t>
      </w:r>
    </w:p>
    <w:p>
      <w:pPr>
        <w:spacing w:line="480" w:lineRule="auto"/>
        <w:ind w:firstLine="420"/>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Plants</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secrete a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high</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diversity of low molecular weight compounds (i.e., root exudates) into the rhizosphere that are consumed by the soil microbes (Bais et al. 2006; Mendes et al. 2011). Previous studies have demonstrated that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is specifically attracted to root exudates of the tomato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and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can utilize various compounds present in tomato root exudates, such as sugars, amino acids and organic acids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(Yao and Allen 2006)</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Additionally,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the competition for the root exudates with the commensal rhizosphere bacteria is important factor in determining the pathogen invasion success (Wei et al. 2015b). Sensing and responding to root exudates is thus a crucial step for successful root invasion by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and as a result, disease control mechanisms targeting plant-pathogen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cross talk through root exudates</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could be a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potential</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way to control bacterial wilt disease epidemics (Masiello et al. 2013).</w:t>
      </w:r>
    </w:p>
    <w:p>
      <w:pPr>
        <w:spacing w:line="480" w:lineRule="auto"/>
        <w:ind w:firstLine="420"/>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Adsorbents specific to low molecular weight compounds in root exudates could be efficient in constraining pathogen invasions (Masiello et al. 2013). For example, biochar, which is the product of the thermal degradation of organic material under low oxygen conditions, has proven to be an effective adsorbent for removing organic pollutants and heavy metal ions from the soil (Ahmad et al. 2014; Jiang et al. 2012). The key physical properties of biochar are their large surface area and porous structure (Atkinson et al. 2010). The surface properties of biochar depends on the feedstock and pyrolysis conditions (Kinney et al. 2012; Tong et al. 2011) and biochars obtained from animal litter and solid waste feedstocks show lower surface areas compared to biochars produced form agricultural crop resides and wood biomass (Ahmad et al. 2014). Generally, biochars produced under high temperature exhibit hi</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gh surface area, high microporosity, high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hydrophobicity and low polarity (Ahmad et al. 2014; Zhang et al. 2011). It has been previously shown that charcoal has a significant capacity to adsorb root exudates (Bais et al. 2005; Callaway 2000). On the other hand, porous structure of biochar is also important by providing niches for diverse organisms such as mycorrhizae and bacteria that can form active multicellular biofilms in the biochar pores (Gibert et al. 2013; Warnock et al. 2007). </w:t>
      </w:r>
      <w:r>
        <w:rPr>
          <w:rFonts w:ascii="Times New Roman" w:hAnsi="Times New Roman" w:cs="Times New Roman"/>
          <w:color w:val="0D0D0D" w:themeColor="text1" w:themeTint="F2"/>
          <w:sz w:val="20"/>
          <w:szCs w:val="20"/>
          <w:lang w:val="en-GB"/>
          <w14:textFill>
            <w14:solidFill>
              <w14:schemeClr w14:val="tx1">
                <w14:lumMod w14:val="95000"/>
                <w14:lumOff w14:val="5000"/>
              </w14:schemeClr>
            </w14:solidFill>
          </w14:textFill>
        </w:rPr>
        <w:t xml:space="preserve">Moreover, biochar efficiency to adsorb </w:t>
      </w:r>
      <w:r>
        <w:rPr>
          <w:rFonts w:ascii="Times New Roman" w:hAnsi="Times New Roman" w:cs="Times New Roman"/>
          <w:i/>
          <w:color w:val="0D0D0D" w:themeColor="text1" w:themeTint="F2"/>
          <w:sz w:val="20"/>
          <w:szCs w:val="20"/>
          <w:lang w:val="en-GB"/>
          <w14:textFill>
            <w14:solidFill>
              <w14:schemeClr w14:val="tx1">
                <w14:lumMod w14:val="95000"/>
                <w14:lumOff w14:val="5000"/>
              </w14:schemeClr>
            </w14:solidFill>
          </w14:textFill>
        </w:rPr>
        <w:t>Escherichia coli</w:t>
      </w:r>
      <w:r>
        <w:rPr>
          <w:rFonts w:ascii="Times New Roman" w:hAnsi="Times New Roman" w:cs="Times New Roman"/>
          <w:color w:val="0D0D0D" w:themeColor="text1" w:themeTint="F2"/>
          <w:sz w:val="20"/>
          <w:szCs w:val="20"/>
          <w:lang w:val="en-GB"/>
          <w14:textFill>
            <w14:solidFill>
              <w14:schemeClr w14:val="tx1">
                <w14:lumMod w14:val="95000"/>
                <w14:lumOff w14:val="5000"/>
              </w14:schemeClr>
            </w14:solidFill>
          </w14:textFill>
        </w:rPr>
        <w:t xml:space="preserve"> in water systems has been linked to the particle size of the biochar</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(Mohanty and Boehm 2014). </w:t>
      </w:r>
      <w:r>
        <w:rPr>
          <w:rFonts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Biochar particle size has a great influence on its surface area, pore volume and organics adsorption (Sun et al. 2012; Zheng et al. 2010). Additionally, fine biochar particles can increase the compactness of soil by filling the gaps between soil particles and thus influence bacterial adsorption (Liu et al. 2016; Mohanty and Boehm 2014).</w:t>
      </w:r>
      <w:r>
        <w:rPr>
          <w:rFonts w:hint="eastAsia"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xml:space="preserve"> Biochar is distinguished from activated charcoal by its use as soil amendment, </w:t>
      </w:r>
      <w:r>
        <w:rPr>
          <w:rFonts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xml:space="preserve">its </w:t>
      </w:r>
      <w:r>
        <w:rPr>
          <w:rFonts w:hint="eastAsia"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c</w:t>
      </w:r>
      <w:r>
        <w:rPr>
          <w:rFonts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heaper cost and the production process, while both of them are carbon-rich surface sorbent</w:t>
      </w:r>
      <w:r>
        <w:rPr>
          <w:rFonts w:hint="eastAsia"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s</w:t>
      </w:r>
      <w:r>
        <w:rPr>
          <w:rFonts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xml:space="preserve"> (Inyang and Dickenson 2015; Lehmann et al. 2011; Oleszczuk et al. 2012). The surface areas and pore structures of activated carbon are usually enhanced due to activation process </w:t>
      </w:r>
      <w:r>
        <w:rPr>
          <w:rFonts w:hint="eastAsia"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post</w:t>
      </w:r>
      <w:r>
        <w:rPr>
          <w:rFonts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xml:space="preserve"> carbonization (Zheng et al. 2010). Activated charcoal has been reported to be efficient in the removal of bacteria form drinking water and the bacterial adsorption capacity of activated charcoal is positively associated with metallic oxides of mineral matter, surface hydrophobicity and macropore volume (Rivera-Utrilla et al. 2001). Additionally, activated charcoal shows different adsorption capacities to different bacterial strains (Naka et al. 2001).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It is still however unclear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whether</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biochar affects the adsorption of invading pathogen, the root exudate availability for the pathogen, and if these effects are dependent on biochar particle size. </w:t>
      </w:r>
    </w:p>
    <w:p>
      <w:pPr>
        <w:spacing w:line="480" w:lineRule="auto"/>
        <w:ind w:firstLine="420"/>
        <w:rPr>
          <w:rFonts w:ascii="Times New Roman" w:hAnsi="Times New Roman" w:cs="Times New Roman"/>
          <w:color w:val="0D0D0D" w:themeColor="text1" w:themeTint="F2"/>
          <w:sz w:val="20"/>
          <w:szCs w:val="20"/>
          <w:lang w:val="en-GB"/>
          <w14:textFill>
            <w14:solidFill>
              <w14:schemeClr w14:val="tx1">
                <w14:lumMod w14:val="95000"/>
                <w14:lumOff w14:val="5000"/>
              </w14:schemeClr>
            </w14:solidFill>
          </w14:textFill>
        </w:rPr>
      </w:pP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uses flagella-based motility and chemotaxis to detect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various compounds in the root exudate (e.g., sugars, amino acids and organic acids)</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or environmental conditions</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(e.g.,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pH</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and temperature)</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when colonizing the rhizosphere (Broek and Vanderleyden 1995; Tans-Kersten et al. 2004). </w:t>
      </w:r>
      <w:r>
        <w:rPr>
          <w:rFonts w:ascii="Times New Roman" w:hAnsi="Times New Roman" w:cs="Times New Roman"/>
          <w:color w:val="0D0D0D" w:themeColor="text1" w:themeTint="F2"/>
          <w:sz w:val="20"/>
          <w:szCs w:val="20"/>
          <w:lang w:val="en-GB"/>
          <w14:textFill>
            <w14:solidFill>
              <w14:schemeClr w14:val="tx1">
                <w14:lumMod w14:val="95000"/>
                <w14:lumOff w14:val="5000"/>
              </w14:schemeClr>
            </w14:solidFill>
          </w14:textFill>
        </w:rPr>
        <w:t xml:space="preserve">These traits are important for bacterial wilt epidemiology as it has been shown that </w:t>
      </w:r>
      <w:r>
        <w:rPr>
          <w:rFonts w:ascii="Times New Roman" w:hAnsi="Times New Roman" w:cs="Times New Roman"/>
          <w:i/>
          <w:color w:val="0D0D0D" w:themeColor="text1" w:themeTint="F2"/>
          <w:sz w:val="20"/>
          <w:szCs w:val="20"/>
          <w:lang w:val="en-GB"/>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lang w:val="en-GB"/>
          <w14:textFill>
            <w14:solidFill>
              <w14:schemeClr w14:val="tx1">
                <w14:lumMod w14:val="95000"/>
                <w14:lumOff w14:val="5000"/>
              </w14:schemeClr>
            </w14:solidFill>
          </w14:textFill>
        </w:rPr>
        <w:t xml:space="preserve"> mutants that are nonmotile or nonchemotactic have </w:t>
      </w:r>
      <w:r>
        <w:rPr>
          <w:rFonts w:hint="eastAsia" w:ascii="Times New Roman" w:hAnsi="Times New Roman" w:cs="Times New Roman"/>
          <w:color w:val="0D0D0D" w:themeColor="text1" w:themeTint="F2"/>
          <w:sz w:val="20"/>
          <w:szCs w:val="20"/>
          <w:lang w:val="en-GB"/>
          <w14:textFill>
            <w14:solidFill>
              <w14:schemeClr w14:val="tx1">
                <w14:lumMod w14:val="95000"/>
                <w14:lumOff w14:val="5000"/>
              </w14:schemeClr>
            </w14:solidFill>
          </w14:textFill>
        </w:rPr>
        <w:t>of</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ten</w:t>
      </w:r>
      <w:r>
        <w:rPr>
          <w:rFonts w:ascii="Times New Roman" w:hAnsi="Times New Roman" w:cs="Times New Roman"/>
          <w:color w:val="0D0D0D" w:themeColor="text1" w:themeTint="F2"/>
          <w:sz w:val="20"/>
          <w:szCs w:val="20"/>
          <w:lang w:val="en-GB"/>
          <w14:textFill>
            <w14:solidFill>
              <w14:schemeClr w14:val="tx1">
                <w14:lumMod w14:val="95000"/>
                <w14:lumOff w14:val="5000"/>
              </w14:schemeClr>
            </w14:solidFill>
          </w14:textFill>
        </w:rPr>
        <w:t xml:space="preserve"> significantly lower virulence</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(Tans-Kersten et al. 2001; Yao and Allen 2006). We hypothesize that </w:t>
      </w:r>
      <w:r>
        <w:rPr>
          <w:rFonts w:ascii="Times New Roman" w:hAnsi="Times New Roman" w:cs="Times New Roman"/>
          <w:color w:val="0D0D0D" w:themeColor="text1" w:themeTint="F2"/>
          <w:sz w:val="20"/>
          <w:szCs w:val="20"/>
          <w:lang w:val="en-GB"/>
          <w14:textFill>
            <w14:solidFill>
              <w14:schemeClr w14:val="tx1">
                <w14:lumMod w14:val="95000"/>
                <w14:lumOff w14:val="5000"/>
              </w14:schemeClr>
            </w14:solidFill>
          </w14:textFill>
        </w:rPr>
        <w:t>biochar can affect these virulence factors indirectly by trapping root exudates, which in turn increased the pathogen adsorption capacity of biochar.</w:t>
      </w:r>
    </w:p>
    <w:p>
      <w:pPr>
        <w:spacing w:line="480" w:lineRule="auto"/>
        <w:ind w:firstLine="420"/>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lang w:val="en-GB"/>
          <w14:textFill>
            <w14:solidFill>
              <w14:schemeClr w14:val="tx1">
                <w14:lumMod w14:val="95000"/>
                <w14:lumOff w14:val="5000"/>
              </w14:schemeClr>
            </w14:solidFill>
          </w14:textFill>
        </w:rPr>
        <w:t xml:space="preserve">Here we tested these ideas experimentally in series of laboratory assays and greenhouse experiment.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We hypothesize that biochar c</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an</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directly adsorb and attract pathogen potentially leading to a reduced root</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colonization of the pathogen. </w:t>
      </w:r>
      <w:r>
        <w:rPr>
          <w:rFonts w:ascii="Times New Roman" w:hAnsi="Times New Roman" w:cs="Times New Roman"/>
          <w:color w:val="0D0D0D" w:themeColor="text1" w:themeTint="F2"/>
          <w:sz w:val="20"/>
          <w:szCs w:val="20"/>
          <w:lang w:val="en-GB"/>
          <w14:textFill>
            <w14:solidFill>
              <w14:schemeClr w14:val="tx1">
                <w14:lumMod w14:val="95000"/>
                <w14:lumOff w14:val="5000"/>
              </w14:schemeClr>
            </w14:solidFill>
          </w14:textFill>
        </w:rPr>
        <w:t xml:space="preserve">Alternatively or additionally,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it is possible that biochar could also adsorb tomato root exudates and indirectly affect the pathogen growth by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decreasing</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the availability of growth-promoting nutrients. Lastly, biochar could adsorb both the root exudates and pathogen having interactive effects on pathogen attraction via effects on bacterial chemotaxis. All these potential outcomes could be affected by the particle size of the biochar. To test these hypotheses, we first quantified the biochar effects for bacterial wilt disease epidemics in a greenhouse experiment with tomato. We then examined the adsorption of root exudates and the pathogen by biochar in the laboratory assays. </w:t>
      </w:r>
      <w:r>
        <w:rPr>
          <w:rFonts w:ascii="Times New Roman" w:hAnsi="Times New Roman" w:cs="Times New Roman"/>
          <w:color w:val="0D0D0D" w:themeColor="text1" w:themeTint="F2"/>
          <w:sz w:val="20"/>
          <w:szCs w:val="20"/>
          <w:lang w:val="en-GB"/>
          <w14:textFill>
            <w14:solidFill>
              <w14:schemeClr w14:val="tx1">
                <w14:lumMod w14:val="95000"/>
                <w14:lumOff w14:val="5000"/>
              </w14:schemeClr>
            </w14:solidFill>
          </w14:textFill>
        </w:rPr>
        <w:t xml:space="preserve">Lastly, we specifically looked the biochar effects on two important </w:t>
      </w:r>
      <w:r>
        <w:rPr>
          <w:rFonts w:ascii="Times New Roman" w:hAnsi="Times New Roman" w:cs="Times New Roman"/>
          <w:i/>
          <w:color w:val="0D0D0D" w:themeColor="text1" w:themeTint="F2"/>
          <w:sz w:val="20"/>
          <w:szCs w:val="20"/>
          <w:lang w:val="en-GB"/>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lang w:val="en-GB"/>
          <w14:textFill>
            <w14:solidFill>
              <w14:schemeClr w14:val="tx1">
                <w14:lumMod w14:val="95000"/>
                <w14:lumOff w14:val="5000"/>
              </w14:schemeClr>
            </w14:solidFill>
          </w14:textFill>
        </w:rPr>
        <w:t xml:space="preserve"> virulence factors, chemotaxis and swarming motility, and tested the </w:t>
      </w:r>
      <w:r>
        <w:rPr>
          <w:rFonts w:ascii="Times New Roman" w:hAnsi="Times New Roman" w:cs="Times New Roman"/>
          <w:i/>
          <w:color w:val="0D0D0D" w:themeColor="text1" w:themeTint="F2"/>
          <w:sz w:val="20"/>
          <w:szCs w:val="20"/>
          <w:lang w:val="en-GB"/>
          <w14:textFill>
            <w14:solidFill>
              <w14:schemeClr w14:val="tx1">
                <w14:lumMod w14:val="95000"/>
                <w14:lumOff w14:val="5000"/>
              </w14:schemeClr>
            </w14:solidFill>
          </w14:textFill>
        </w:rPr>
        <w:t xml:space="preserve">R. solanacearum </w:t>
      </w:r>
      <w:r>
        <w:rPr>
          <w:rFonts w:ascii="Times New Roman" w:hAnsi="Times New Roman" w:cs="Times New Roman"/>
          <w:color w:val="0D0D0D" w:themeColor="text1" w:themeTint="F2"/>
          <w:sz w:val="20"/>
          <w:szCs w:val="20"/>
          <w:lang w:val="en-GB"/>
          <w14:textFill>
            <w14:solidFill>
              <w14:schemeClr w14:val="tx1">
                <w14:lumMod w14:val="95000"/>
                <w14:lumOff w14:val="5000"/>
              </w14:schemeClr>
            </w14:solidFill>
          </w14:textFill>
        </w:rPr>
        <w:t>ability to colonize tomato roots in the absence and presence of biochar.</w:t>
      </w:r>
    </w:p>
    <w:p>
      <w:pPr>
        <w:spacing w:line="480" w:lineRule="auto"/>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Materials and methods</w:t>
      </w:r>
    </w:p>
    <w:p>
      <w:pPr>
        <w:spacing w:line="480" w:lineRule="auto"/>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 xml:space="preserve">Bacterial strains and biochar </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bookmarkStart w:id="0" w:name="OLE_LINK3"/>
      <w:bookmarkStart w:id="1" w:name="OLE_LINK4"/>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The bacterial pathogen</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 xml:space="preserve"> 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strain QL-Rs1115</w:t>
      </w:r>
      <w:bookmarkEnd w:id="0"/>
      <w:bookmarkEnd w:id="1"/>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(Wei et al. 2011) was cultivated at 30 </w:t>
      </w:r>
      <w:r>
        <w:rPr>
          <w:rFonts w:ascii="Times New Roman" w:hAnsi="Times New Roman" w:cs="Times New Roman"/>
          <w:color w:val="0D0D0D" w:themeColor="text1" w:themeTint="F2"/>
          <w:kern w:val="0"/>
          <w:sz w:val="20"/>
          <w:szCs w:val="20"/>
          <w:lang w:val="en-GB"/>
          <w14:textFill>
            <w14:solidFill>
              <w14:schemeClr w14:val="tx1">
                <w14:lumMod w14:val="95000"/>
                <w14:lumOff w14:val="5000"/>
              </w14:schemeClr>
            </w14:solidFill>
          </w14:textFill>
        </w:rPr>
        <w:t>°</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C on semi-selective medium (SMSA) (Elphinstone et al. 1996). Red fluorescent protein-labeled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QL-Rs1115 strain QL-RFP (Tan et al. 2015) was </w:t>
      </w:r>
      <w:bookmarkStart w:id="2" w:name="OLE_LINK5"/>
      <w:bookmarkStart w:id="3" w:name="OLE_LINK6"/>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routinel</w:t>
      </w:r>
      <w:bookmarkEnd w:id="2"/>
      <w:bookmarkEnd w:id="3"/>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y maintained on SMSA medium supplied with 30 μg ml</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 xml:space="preserve">-1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gentamicin to ensure the maintenance of fluorescent and antibiotic resistance tagged plasmid. Before the experiment, bacteria grown overnight were harvested by centrifugation, washed twice with sterile saline solution (0.9% NaCl), and diluted to the appropriate concentration based on optical density (OD</w:t>
      </w:r>
      <w:r>
        <w:rPr>
          <w:rFonts w:ascii="Times New Roman" w:hAnsi="Times New Roman" w:cs="Times New Roman"/>
          <w:color w:val="0D0D0D" w:themeColor="text1" w:themeTint="F2"/>
          <w:sz w:val="20"/>
          <w:szCs w:val="20"/>
          <w:vertAlign w:val="subscript"/>
          <w14:textFill>
            <w14:solidFill>
              <w14:schemeClr w14:val="tx1">
                <w14:lumMod w14:val="95000"/>
                <w14:lumOff w14:val="5000"/>
              </w14:schemeClr>
            </w14:solidFill>
          </w14:textFill>
        </w:rPr>
        <w:t>600</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~10</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7</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CFU ml</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t>
      </w:r>
    </w:p>
    <w:p>
      <w:pPr>
        <w:spacing w:line="480" w:lineRule="auto"/>
        <w:ind w:firstLine="420"/>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We used pinewood-derived biochar in this study, which is commercially produced by the Institute of Chemical Industry of Forest Products, Chinese Academy of Forestry (Nanjing, Jiangsu, China). Pinewood was pyrolyzed at 700 </w:t>
      </w:r>
      <w:r>
        <w:rPr>
          <w:rFonts w:ascii="Times New Roman" w:hAnsi="Times New Roman" w:cs="Times New Roman"/>
          <w:color w:val="0D0D0D" w:themeColor="text1" w:themeTint="F2"/>
          <w:kern w:val="0"/>
          <w:sz w:val="20"/>
          <w:szCs w:val="20"/>
          <w:lang w:val="en-GB"/>
          <w14:textFill>
            <w14:solidFill>
              <w14:schemeClr w14:val="tx1">
                <w14:lumMod w14:val="95000"/>
                <w14:lumOff w14:val="5000"/>
              </w14:schemeClr>
            </w14:solidFill>
          </w14:textFill>
        </w:rPr>
        <w:t>°</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C and the pyrolysis temperature was based on previous study investigating the production of biochar for</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 xml:space="preserve"> E. coli</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adsorption (Abit et al. 2012). The biochar was ground and sieved to obtain biochar with particle sizes of 53-120 μm (fine biochar) and 380-830 μm (coarse biochar). </w:t>
      </w:r>
      <w:r>
        <w:rPr>
          <w:rFonts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These criteria were based on previous studies with minor modification (Liu et al. 2016; Mohanty and Boehm 2014; Zheng et al. 2010).</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Both biochar</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s</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had similar chemical properties: pH 6.6, total C of 805 g kg</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total N of 3 g kg</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Fe of 190 mg kg</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Zn of 244 mg kg</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Al of 294 mg kg</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Ca of 759 mg kg</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Cu of 11 mg kg</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Mn of 10 mg kg</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Pb of 6 mg kg</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Ni</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of 2 mg kg</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Cd of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0.1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mg kg</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Cr of 3 mg kg</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ash content of 3.1%, and an </w:t>
      </w:r>
      <w:r>
        <w:rPr>
          <w:rFonts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electric conductivity of 233 μs cm</w:t>
      </w:r>
      <w:r>
        <w:rPr>
          <w:rFonts w:ascii="Times New Roman" w:hAnsi="Times New Roman" w:cs="Times New Roman"/>
          <w:color w:val="0D0D0D" w:themeColor="text1" w:themeTint="F2"/>
          <w:kern w:val="0"/>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 xml:space="preserve">. </w:t>
      </w:r>
      <w:r>
        <w:rPr>
          <w:rFonts w:hint="eastAsia"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T</w:t>
      </w:r>
      <w:r>
        <w:rPr>
          <w:rFonts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 xml:space="preserve">he </w:t>
      </w:r>
      <w:r>
        <w:rPr>
          <w:rFonts w:hint="eastAsia"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 xml:space="preserve">fine and coarse biochars </w:t>
      </w:r>
      <w:r>
        <w:rPr>
          <w:rFonts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exhibit</w:t>
      </w:r>
      <w:r>
        <w:rPr>
          <w:rFonts w:hint="eastAsia"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ed</w:t>
      </w:r>
      <w:r>
        <w:rPr>
          <w:rFonts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 xml:space="preserve"> different BET (N</w:t>
      </w:r>
      <w:r>
        <w:rPr>
          <w:rFonts w:ascii="Times New Roman" w:hAnsi="Times New Roman" w:cs="Times New Roman"/>
          <w:color w:val="0D0D0D" w:themeColor="text1" w:themeTint="F2"/>
          <w:kern w:val="0"/>
          <w:sz w:val="20"/>
          <w:szCs w:val="20"/>
          <w:vertAlign w:val="subscript"/>
          <w14:textFill>
            <w14:solidFill>
              <w14:schemeClr w14:val="tx1">
                <w14:lumMod w14:val="95000"/>
                <w14:lumOff w14:val="5000"/>
              </w14:schemeClr>
            </w14:solidFill>
          </w14:textFill>
        </w:rPr>
        <w:t>2</w:t>
      </w:r>
      <w:r>
        <w:rPr>
          <w:rFonts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 surface area</w:t>
      </w:r>
      <w:r>
        <w:rPr>
          <w:rFonts w:hint="eastAsia"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s,</w:t>
      </w:r>
      <w:r>
        <w:rPr>
          <w:rFonts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 xml:space="preserve"> 516 m</w:t>
      </w:r>
      <w:r>
        <w:rPr>
          <w:rFonts w:ascii="Times New Roman" w:hAnsi="Times New Roman" w:cs="Times New Roman"/>
          <w:color w:val="0D0D0D" w:themeColor="text1" w:themeTint="F2"/>
          <w:kern w:val="0"/>
          <w:sz w:val="20"/>
          <w:szCs w:val="20"/>
          <w:vertAlign w:val="superscript"/>
          <w14:textFill>
            <w14:solidFill>
              <w14:schemeClr w14:val="tx1">
                <w14:lumMod w14:val="95000"/>
                <w14:lumOff w14:val="5000"/>
              </w14:schemeClr>
            </w14:solidFill>
          </w14:textFill>
        </w:rPr>
        <w:t>2</w:t>
      </w:r>
      <w:r>
        <w:rPr>
          <w:rFonts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 xml:space="preserve"> g</w:t>
      </w:r>
      <w:r>
        <w:rPr>
          <w:rFonts w:ascii="Times New Roman" w:hAnsi="Times New Roman" w:cs="Times New Roman"/>
          <w:color w:val="0D0D0D" w:themeColor="text1" w:themeTint="F2"/>
          <w:kern w:val="0"/>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 xml:space="preserve"> and 444 m</w:t>
      </w:r>
      <w:r>
        <w:rPr>
          <w:rFonts w:ascii="Times New Roman" w:hAnsi="Times New Roman" w:cs="Times New Roman"/>
          <w:color w:val="0D0D0D" w:themeColor="text1" w:themeTint="F2"/>
          <w:kern w:val="0"/>
          <w:sz w:val="20"/>
          <w:szCs w:val="20"/>
          <w:vertAlign w:val="superscript"/>
          <w14:textFill>
            <w14:solidFill>
              <w14:schemeClr w14:val="tx1">
                <w14:lumMod w14:val="95000"/>
                <w14:lumOff w14:val="5000"/>
              </w14:schemeClr>
            </w14:solidFill>
          </w14:textFill>
        </w:rPr>
        <w:t>2</w:t>
      </w:r>
      <w:r>
        <w:rPr>
          <w:rFonts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 xml:space="preserve"> g</w:t>
      </w:r>
      <w:r>
        <w:rPr>
          <w:rFonts w:ascii="Times New Roman" w:hAnsi="Times New Roman" w:cs="Times New Roman"/>
          <w:color w:val="0D0D0D" w:themeColor="text1" w:themeTint="F2"/>
          <w:kern w:val="0"/>
          <w:sz w:val="20"/>
          <w:szCs w:val="20"/>
          <w:vertAlign w:val="superscript"/>
          <w14:textFill>
            <w14:solidFill>
              <w14:schemeClr w14:val="tx1">
                <w14:lumMod w14:val="95000"/>
                <w14:lumOff w14:val="5000"/>
              </w14:schemeClr>
            </w14:solidFill>
          </w14:textFill>
        </w:rPr>
        <w:t>-1</w:t>
      </w:r>
      <w:r>
        <w:rPr>
          <w:rFonts w:hint="eastAsia"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 respectively</w:t>
      </w:r>
      <w:r>
        <w:rPr>
          <w:rFonts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w:t>
      </w:r>
    </w:p>
    <w:p>
      <w:pPr>
        <w:spacing w:line="480" w:lineRule="auto"/>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Greenhouse assay</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Tomato seeds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Solanum lycopersicum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cv. ‘Hezuo 903’) were surface-sterilized with NaClO (3%; v:v) for 5 minutes. After four successive rinses in sterile distilled water, seeds were placed on petri dishes covered with sterile, moist filter paper and germinated in the dark at 30 °C for two days. Germinated seeds were then sown in pots (6 cm × 6 cm × 6 cm) containing field soil. The soil was collected from a tomato field naturally infected with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(Qilin, Nanjing, China; 118°57’E, 32°03’N) (Wei et al. 2011). The soil was first cleared of plant debris, sieved (&lt; 2 mm) and homogenized thoroughly. The soil was characterized as yellow-brown earth (Udic Argosol) with pH 5.4 (1:5), organic matter (OM) content of 24.6 g kg</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total N of 6.3 g kg</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available P of 172.9 mg kg</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and available K of 178 mg kg</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Fine or coarse biochar was mixed with soil (3%; w:w) before sowing.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The concentration of biochar (i.e., 3%) was based on previous studies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(Bais et al. 2005; Rivera-Utrilla et al. 2001)</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and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o</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ur preliminary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dose-response pathogen adsorption experiment</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(Fig. S1; see method below).</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 xml:space="preserve"> 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QL-Rs1115 was applied at a cell density of 3 × 10</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6</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CFU g</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soil at two weeks post-sowing. Tomato plants were maintained under greenhouse conditions at temperatures ranging between 22-32 </w:t>
      </w:r>
      <w:r>
        <w:rPr>
          <w:rFonts w:ascii="Times New Roman" w:hAnsi="Times New Roman" w:cs="Times New Roman"/>
          <w:color w:val="0D0D0D" w:themeColor="text1" w:themeTint="F2"/>
          <w:kern w:val="0"/>
          <w:sz w:val="20"/>
          <w:szCs w:val="20"/>
          <w:lang w:val="en-GB"/>
          <w14:textFill>
            <w14:solidFill>
              <w14:schemeClr w14:val="tx1">
                <w14:lumMod w14:val="95000"/>
                <w14:lumOff w14:val="5000"/>
              </w14:schemeClr>
            </w14:solidFill>
          </w14:textFill>
        </w:rPr>
        <w:t>°</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C during the day and 20-25 </w:t>
      </w:r>
      <w:r>
        <w:rPr>
          <w:rFonts w:ascii="Times New Roman" w:hAnsi="Times New Roman" w:cs="Times New Roman"/>
          <w:color w:val="0D0D0D" w:themeColor="text1" w:themeTint="F2"/>
          <w:kern w:val="0"/>
          <w:sz w:val="20"/>
          <w:szCs w:val="20"/>
          <w:lang w:val="en-GB"/>
          <w14:textFill>
            <w14:solidFill>
              <w14:schemeClr w14:val="tx1">
                <w14:lumMod w14:val="95000"/>
                <w14:lumOff w14:val="5000"/>
              </w14:schemeClr>
            </w14:solidFill>
          </w14:textFill>
        </w:rPr>
        <w:t>°</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C at night. The disease index was recorded based on a scale of 0-4 (0 = no wilting, 1 = 1-25% leaf area wilting, 2 = 26-50% wilting, 3 = 51-75% wilting, 4 = 76-100% wilted or dead). Disease incidence = [ ∑ (number of diseased plants in this index × disease index) × (total number of plants × highest disease index)</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 100% (Chen et al. 2013). Each treatment was replicated three times and each replicate contained 18 tomato plants. Greenhouse experiment was repeated three times with similar results. Hence, only one representative experiment is shown.</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Collection of root exudates</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Tomato root exudates were collected by following the method described by Badri et al. (2013) with minor modifications. Briefly, tomato seeds (cv. ‘Hezuo 903’) were surface-sterilized, germinated and transferred to 6-well culture plates (Corning, CA, USA) with each well containing 3 ml of Murashige and Skoog liquid medium (Murashige and Skoog 1962) supplemented with 1% sucrose (each independent well containing three seeds). Seedlings were incubated on an orbital shaker at 90 rpm and were illuminated under cool white fluorescent light with 16 h daylight cycle (25 ± 2 °C). After ten days, the tomato seedlings were gently washed with sterile distilled water, transferred to new wells on 6-well plates containing 3 ml of sterile distilled water and incubated for additional 24 h. Root exudates of 180 tomato plants (60 wells) were then pooled and filter sterilized (0.45 μm). Sterile exudates were then lyophilized to powder to improve storage and dissolved in 10 ml sterile distilled water before the start of the experiments.</w:t>
      </w:r>
    </w:p>
    <w:p>
      <w:pPr>
        <w:spacing w:line="480" w:lineRule="auto"/>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 xml:space="preserve">Assessment of the adsorption of </w:t>
      </w:r>
      <w:r>
        <w:rPr>
          <w:rFonts w:ascii="Times New Roman" w:hAnsi="Times New Roman" w:cs="Times New Roman"/>
          <w:b/>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 xml:space="preserve"> onto biochar</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Bacterial adsorption experiments were conducted as described by Rivera-Utrilla et al. (2001). Briefly, 5 ml of cell suspension (~10</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7</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CFU ml</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was added to tubes containing 0.15 g fine or coarse biochar and a cell suspension without biochar was included as a control. The tubes were incubated on an orbital shaker for 60 minutes (at 30 </w:t>
      </w:r>
      <w:r>
        <w:rPr>
          <w:rFonts w:ascii="Times New Roman" w:hAnsi="Times New Roman" w:cs="Times New Roman"/>
          <w:color w:val="0D0D0D" w:themeColor="text1" w:themeTint="F2"/>
          <w:kern w:val="0"/>
          <w:sz w:val="20"/>
          <w:szCs w:val="20"/>
          <w:lang w:val="en-GB"/>
          <w14:textFill>
            <w14:solidFill>
              <w14:schemeClr w14:val="tx1">
                <w14:lumMod w14:val="95000"/>
                <w14:lumOff w14:val="5000"/>
              </w14:schemeClr>
            </w14:solidFill>
          </w14:textFill>
        </w:rPr>
        <w:t>°</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C with 90 rpm shaking) and then allowed to stand for additional 60 minutes. We then defined changes in the density of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populations with a serial dilution method on SMSA medium. Colony forming units (CFU) were counted after incubation at 30 </w:t>
      </w:r>
      <w:r>
        <w:rPr>
          <w:rFonts w:ascii="Times New Roman" w:hAnsi="Times New Roman" w:cs="Times New Roman"/>
          <w:color w:val="0D0D0D" w:themeColor="text1" w:themeTint="F2"/>
          <w:kern w:val="0"/>
          <w:sz w:val="20"/>
          <w:szCs w:val="20"/>
          <w:lang w:val="en-GB"/>
          <w14:textFill>
            <w14:solidFill>
              <w14:schemeClr w14:val="tx1">
                <w14:lumMod w14:val="95000"/>
                <w14:lumOff w14:val="5000"/>
              </w14:schemeClr>
            </w14:solidFill>
          </w14:textFill>
        </w:rPr>
        <w:t>°</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C for two days. Each treatment consisted of</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three replicates and the adsorption experiment was repeated three times with similar results.</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Only one representative experiment is shown.</w:t>
      </w:r>
    </w:p>
    <w:p>
      <w:pPr>
        <w:spacing w:line="480" w:lineRule="auto"/>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Assessment of the adsorption of root exudates onto biochar</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Root exudates were mixed with fine or coarse biochar (3%; w:v), incubated on an orbital shaker at 30 </w:t>
      </w:r>
      <w:r>
        <w:rPr>
          <w:rFonts w:ascii="Times New Roman" w:hAnsi="Times New Roman" w:cs="Times New Roman"/>
          <w:color w:val="0D0D0D" w:themeColor="text1" w:themeTint="F2"/>
          <w:kern w:val="0"/>
          <w:sz w:val="20"/>
          <w:szCs w:val="20"/>
          <w:lang w:val="en-GB"/>
          <w14:textFill>
            <w14:solidFill>
              <w14:schemeClr w14:val="tx1">
                <w14:lumMod w14:val="95000"/>
                <w14:lumOff w14:val="5000"/>
              </w14:schemeClr>
            </w14:solidFill>
          </w14:textFill>
        </w:rPr>
        <w:t>°</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C with 90 rpm shaking for 60 minutes and sterilized by filtering with 0.45 μm nylon filters. Filtered root exudates were then used as a medium for the cultivation of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 xml:space="preserve">R. solanacearum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QL-Rs1115 on 96-well culture plates (Corning, CA, USA). Non biochar-treated root exudates were used as a control treatment. All microplate wells were inoculated with 198 μl of root exudates and 2 μl of bacterial suspension (~10</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7</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CFU ml</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The plates were incubated at 30 </w:t>
      </w:r>
      <w:r>
        <w:rPr>
          <w:rFonts w:ascii="Times New Roman" w:hAnsi="Times New Roman" w:cs="Times New Roman"/>
          <w:color w:val="0D0D0D" w:themeColor="text1" w:themeTint="F2"/>
          <w:kern w:val="0"/>
          <w:sz w:val="20"/>
          <w:szCs w:val="20"/>
          <w:lang w:val="en-GB"/>
          <w14:textFill>
            <w14:solidFill>
              <w14:schemeClr w14:val="tx1">
                <w14:lumMod w14:val="95000"/>
                <w14:lumOff w14:val="5000"/>
              </w14:schemeClr>
            </w14:solidFill>
          </w14:textFill>
        </w:rPr>
        <w:t>°</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C under aeration at 170 rpm. Each treatment had six replicates, Bacterial growth (OD</w:t>
      </w:r>
      <w:r>
        <w:rPr>
          <w:rFonts w:ascii="Times New Roman" w:hAnsi="Times New Roman" w:cs="Times New Roman"/>
          <w:color w:val="0D0D0D" w:themeColor="text1" w:themeTint="F2"/>
          <w:sz w:val="20"/>
          <w:szCs w:val="20"/>
          <w:vertAlign w:val="subscript"/>
          <w14:textFill>
            <w14:solidFill>
              <w14:schemeClr w14:val="tx1">
                <w14:lumMod w14:val="95000"/>
                <w14:lumOff w14:val="5000"/>
              </w14:schemeClr>
            </w14:solidFill>
          </w14:textFill>
        </w:rPr>
        <w:t>600</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was determined using a SpectraMax M5 (Molecular Devices, CA, USA).</w:t>
      </w:r>
    </w:p>
    <w:p>
      <w:pPr>
        <w:spacing w:line="480" w:lineRule="auto"/>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Chemotaxis assay</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We used a capillary assay to measure bacterial chemotaxis towards tomato exudates and biochar by following a method described by Rudrappa et al (2008) with small modifications. Briefly, a 200 μl pipette tip containing 100 μl of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QL-Rs1115 suspension (~10</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7</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CFU ml</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was attached to 1 ml syringes with a 4 cm 25 gauge needle (Becton-Dickinson, Franklin Lakes, NJ, USA). The 1 ml syringes were then filled with 100 μl of a) sterile distilled water (control), b) tomato exudates, c) an aqueous suspension of fine biochar (3%; w:v) or d) an aqueous suspension of root exudate-treated fine biochar (3%; w:v). After 2 h incubation at 30 </w:t>
      </w:r>
      <w:r>
        <w:rPr>
          <w:rFonts w:ascii="Times New Roman" w:hAnsi="Times New Roman" w:cs="Times New Roman"/>
          <w:color w:val="0D0D0D" w:themeColor="text1" w:themeTint="F2"/>
          <w:kern w:val="0"/>
          <w:sz w:val="20"/>
          <w:szCs w:val="20"/>
          <w:lang w:val="en-GB"/>
          <w14:textFill>
            <w14:solidFill>
              <w14:schemeClr w14:val="tx1">
                <w14:lumMod w14:val="95000"/>
                <w14:lumOff w14:val="5000"/>
              </w14:schemeClr>
            </w14:solidFill>
          </w14:textFill>
        </w:rPr>
        <w:t>°</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C in the dark, the amount of migrated bacteria were measured by serially diluting the contents of the syringe on SMSA medium. Root exudate-treated fine biochar was prepared by mixing root exudate with fine biochar (3%; w:v) and incubating on an orbital shaker for 60 minutes (at 30 </w:t>
      </w:r>
      <w:r>
        <w:rPr>
          <w:rFonts w:ascii="Times New Roman" w:hAnsi="Times New Roman" w:cs="Times New Roman"/>
          <w:color w:val="0D0D0D" w:themeColor="text1" w:themeTint="F2"/>
          <w:kern w:val="0"/>
          <w:sz w:val="20"/>
          <w:szCs w:val="20"/>
          <w:lang w:val="en-GB"/>
          <w14:textFill>
            <w14:solidFill>
              <w14:schemeClr w14:val="tx1">
                <w14:lumMod w14:val="95000"/>
                <w14:lumOff w14:val="5000"/>
              </w14:schemeClr>
            </w14:solidFill>
          </w14:textFill>
        </w:rPr>
        <w:t>°</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C with 90 rpm shaking). Fine biochar was then filter sterilized (0.45 μm) and dried at room temperature. Each treatment consisted of three replicates and the adsorption experiment was repeated independently three times with similar results. Only one representative experiment is shown.</w:t>
      </w:r>
    </w:p>
    <w:p>
      <w:pPr>
        <w:spacing w:line="480" w:lineRule="auto"/>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The effects of exudates and biochar on swarming motility of</w:t>
      </w:r>
      <w:r>
        <w:rPr>
          <w:rFonts w:ascii="Times New Roman" w:hAnsi="Times New Roman" w:cs="Times New Roman"/>
          <w:b/>
          <w:i/>
          <w:color w:val="0D0D0D" w:themeColor="text1" w:themeTint="F2"/>
          <w:sz w:val="20"/>
          <w:szCs w:val="20"/>
          <w14:textFill>
            <w14:solidFill>
              <w14:schemeClr w14:val="tx1">
                <w14:lumMod w14:val="95000"/>
                <w14:lumOff w14:val="5000"/>
              </w14:schemeClr>
            </w14:solidFill>
          </w14:textFill>
        </w:rPr>
        <w:t xml:space="preserve"> R. solanacearum</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The effects of root exudates and biochar on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swarming motility was assayed as described previously by Park et al. (2008) with small modifications. Briefly, four different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suspensions (20μl, ~10</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7</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CFU ml</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were inoculated into the center of semisolid SMSA plates (diluted 1:5; 0.05% agar), including the following a) an aqueous suspension of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(control); b) a root exudate suspension of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c) an aqueous suspension of fine biochar and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(biochar:water = 3:100; w:v); and d) a root exudate suspension of fine biochar and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(biochar:root exudate = 3:100; w:v). The different suspensions were prepared by mixing the corresponding constituents together and were incubated on an orbital shaker at 30 </w:t>
      </w:r>
      <w:r>
        <w:rPr>
          <w:rFonts w:ascii="Times New Roman" w:hAnsi="Times New Roman" w:cs="Times New Roman"/>
          <w:color w:val="0D0D0D" w:themeColor="text1" w:themeTint="F2"/>
          <w:kern w:val="0"/>
          <w:sz w:val="20"/>
          <w:szCs w:val="20"/>
          <w:lang w:val="en-GB"/>
          <w14:textFill>
            <w14:solidFill>
              <w14:schemeClr w14:val="tx1">
                <w14:lumMod w14:val="95000"/>
                <w14:lumOff w14:val="5000"/>
              </w14:schemeClr>
            </w14:solidFill>
          </w14:textFill>
        </w:rPr>
        <w:t>°</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C and 90 rpm for 60 minutes. Four replicates of colony diameters were measured in three directions on each plate after incubation for 24 h at 30 </w:t>
      </w:r>
      <w:r>
        <w:rPr>
          <w:rFonts w:ascii="Times New Roman" w:hAnsi="Times New Roman" w:cs="Times New Roman"/>
          <w:color w:val="0D0D0D" w:themeColor="text1" w:themeTint="F2"/>
          <w:kern w:val="0"/>
          <w:sz w:val="20"/>
          <w:szCs w:val="20"/>
          <w:lang w:val="en-GB"/>
          <w14:textFill>
            <w14:solidFill>
              <w14:schemeClr w14:val="tx1">
                <w14:lumMod w14:val="95000"/>
                <w14:lumOff w14:val="5000"/>
              </w14:schemeClr>
            </w14:solidFill>
          </w14:textFill>
        </w:rPr>
        <w:t>°</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C. </w:t>
      </w:r>
    </w:p>
    <w:p>
      <w:pPr>
        <w:spacing w:line="480" w:lineRule="auto"/>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 xml:space="preserve">Root colonization assay </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Tomato seeds (cv. ‘Hezuo 903’) were surface-sterilized and germinated as described above. Germinated seeds were then sown in pots (6 cm × 6 cm × 6 cm) with </w:t>
      </w:r>
      <w:r>
        <w:rPr>
          <w:rFonts w:ascii="Times New Roman" w:hAnsi="Times New Roman" w:cs="Times New Roman"/>
          <w:color w:val="0D0D0D" w:themeColor="text1" w:themeTint="F2"/>
          <w:sz w:val="20"/>
          <w:szCs w:val="20"/>
          <w:lang w:val="it-IT"/>
          <w14:textFill>
            <w14:solidFill>
              <w14:schemeClr w14:val="tx1">
                <w14:lumMod w14:val="95000"/>
                <w14:lumOff w14:val="5000"/>
              </w14:schemeClr>
            </w14:solidFill>
          </w14:textFill>
        </w:rPr>
        <w:t>nursery substrate</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(soil:vermiculite = 1:1; v:v; 130 g). The soil was the same as mentioned in greenhouse assay. Fine biochar was added to the </w:t>
      </w:r>
      <w:r>
        <w:rPr>
          <w:rFonts w:ascii="Times New Roman" w:hAnsi="Times New Roman" w:cs="Times New Roman"/>
          <w:color w:val="0D0D0D" w:themeColor="text1" w:themeTint="F2"/>
          <w:sz w:val="20"/>
          <w:szCs w:val="20"/>
          <w:lang w:val="it-IT"/>
          <w14:textFill>
            <w14:solidFill>
              <w14:schemeClr w14:val="tx1">
                <w14:lumMod w14:val="95000"/>
                <w14:lumOff w14:val="5000"/>
              </w14:schemeClr>
            </w14:solidFill>
          </w14:textFill>
        </w:rPr>
        <w:t>nursery substrate</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by mixing it with water (1.5 g in 5 ml water per 50 g of </w:t>
      </w:r>
      <w:r>
        <w:rPr>
          <w:rFonts w:ascii="Times New Roman" w:hAnsi="Times New Roman" w:cs="Times New Roman"/>
          <w:color w:val="0D0D0D" w:themeColor="text1" w:themeTint="F2"/>
          <w:sz w:val="20"/>
          <w:szCs w:val="20"/>
          <w:lang w:val="it-IT"/>
          <w14:textFill>
            <w14:solidFill>
              <w14:schemeClr w14:val="tx1">
                <w14:lumMod w14:val="95000"/>
                <w14:lumOff w14:val="5000"/>
              </w14:schemeClr>
            </w14:solidFill>
          </w14:textFill>
        </w:rPr>
        <w:t>nursery substrate</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(Bais et al. 2005). As a result, half of the replicate plants were grown in the absence and half in the presence of biochar. Plants were illuminated under cool white fluorescent light with 16 h daylight (25 ± 2 </w:t>
      </w:r>
      <w:r>
        <w:rPr>
          <w:rFonts w:ascii="Times New Roman" w:hAnsi="Times New Roman" w:cs="Times New Roman"/>
          <w:color w:val="0D0D0D" w:themeColor="text1" w:themeTint="F2"/>
          <w:kern w:val="0"/>
          <w:sz w:val="20"/>
          <w:szCs w:val="20"/>
          <w:lang w:val="en-GB"/>
          <w14:textFill>
            <w14:solidFill>
              <w14:schemeClr w14:val="tx1">
                <w14:lumMod w14:val="95000"/>
                <w14:lumOff w14:val="5000"/>
              </w14:schemeClr>
            </w14:solidFill>
          </w14:textFill>
        </w:rPr>
        <w:t>°</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C). All the pots were </w:t>
      </w:r>
      <w:r>
        <w:rPr>
          <w:rFonts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weighed at least once a week to maintain the same soil moisture content among the pots.</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QL-RFP was applied at a cell density of 7 × 10</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6</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CFU g</w:t>
      </w:r>
      <w:r>
        <w:rPr>
          <w:rFonts w:ascii="Times New Roman" w:hAnsi="Times New Roman" w:cs="Times New Roman"/>
          <w:color w:val="0D0D0D" w:themeColor="text1" w:themeTint="F2"/>
          <w:sz w:val="20"/>
          <w:szCs w:val="20"/>
          <w:vertAlign w:val="superscript"/>
          <w14:textFill>
            <w14:solidFill>
              <w14:schemeClr w14:val="tx1">
                <w14:lumMod w14:val="95000"/>
                <w14:lumOff w14:val="5000"/>
              </w14:schemeClr>
            </w14:solidFill>
          </w14:textFill>
        </w:rPr>
        <w:t>-1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soil at two weeks post-sowing. After five days post-inoculation (dpi) of the pathogen, all plants were sampled and pathogen density was determined. To this end, excess soil was first gently shaken from the plant roots and the remaining soil that was left attached to the roots was defined as rhizospheric soil (Panke-Buisse et al. 2015; Schreiner et al. 2010; Shi et al. 2015). The nursery substrate (soil:vermiculite = 1:1; v:v ) used in this study protects plant roots from mechanical damage</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when collecting rhizospheric soil</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Plant exudates make the rhizospheric soil attach to the roots, while the bulk soil will be easily shaken off due to high vermiculite concentration. Rhizospheric soil and bulk soil from four nursery pots were pooled as one replicate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to minimize the bias of soil collection method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and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e</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ach treatment consisted of three replicates. To estimate pathogen densities, soil suspensions of 100 mg of rhizospheric soil and 10 g of bulk soil from each replicate were serially diluted in sterile water and plated on</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SMSA medium. Pathogen CFUs were counted after incubation at 30 </w:t>
      </w:r>
      <w:r>
        <w:rPr>
          <w:rFonts w:ascii="Times New Roman" w:hAnsi="Times New Roman" w:cs="Times New Roman"/>
          <w:color w:val="0D0D0D" w:themeColor="text1" w:themeTint="F2"/>
          <w:kern w:val="0"/>
          <w:sz w:val="20"/>
          <w:szCs w:val="20"/>
          <w:lang w:val="en-GB"/>
          <w14:textFill>
            <w14:solidFill>
              <w14:schemeClr w14:val="tx1">
                <w14:lumMod w14:val="95000"/>
                <w14:lumOff w14:val="5000"/>
              </w14:schemeClr>
            </w14:solidFill>
          </w14:textFill>
        </w:rPr>
        <w:t>°</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C for two days. The experiment was replicated independently three times with similar results and only one representative experiment is shown.</w:t>
      </w:r>
    </w:p>
    <w:p>
      <w:pPr>
        <w:spacing w:line="480" w:lineRule="auto"/>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 xml:space="preserve">Confocal laser scanning microscopy (CLSM) of colonized roots </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To observe pathogen colonization on the root surfaces after 7 days post pathogen inoculation, four asymptomatic plants with or without fine biochar application were harvested and gently washed with sterile water to remove nursery substrate and unattached pathogens. Adhered pathogens were observed using a confocal laser scanning microscope (Carl Zeiss LSM 700, Oberkochen, Germany) with emission wavelengths of 610 nm. The experiment was repeated three times and representative images are presented.</w:t>
      </w:r>
    </w:p>
    <w:p>
      <w:pPr>
        <w:spacing w:line="480" w:lineRule="auto"/>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Statistical analysis</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We used analysis of variance (ANOVA; Tukey’s test for pairwise comparisons) and Student’s t test to compare differences between different treatments. Proportional data was arsin transformed before the analysis and all analyses were performed with SPSS (v 19) where a p-value of &lt; 0.05 was considered statistically significant different.</w:t>
      </w:r>
    </w:p>
    <w:p>
      <w:pPr>
        <w:spacing w:line="480" w:lineRule="auto"/>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Results</w:t>
      </w:r>
    </w:p>
    <w:p>
      <w:pPr>
        <w:spacing w:line="480" w:lineRule="auto"/>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Biochar application decreases the bacterial wilt disease incidence</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We conducted a greenhouse experiment to measure biochar efficiency in controlling bacterial wilt disease incidence. Bacterial wilt disease progression followed the ‘S’ pattern in time (Fig. 1). Compared with the control, fine biochar treated soils had 19.9% lower disease incidence after four weeks post-inoculation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p</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&lt; 0.01, Student’s t test). However, no significant difference in disease incidence was observed between coarse biochar treated and control soils.</w:t>
      </w:r>
    </w:p>
    <w:p>
      <w:pPr>
        <w:spacing w:line="480" w:lineRule="auto"/>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 xml:space="preserve">Biochar has the ability to adsorb </w:t>
      </w:r>
      <w:r>
        <w:rPr>
          <w:rFonts w:ascii="Times New Roman" w:hAnsi="Times New Roman" w:cs="Times New Roman"/>
          <w:b/>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 xml:space="preserve"> cells</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To determine whether the biochar has the ability to adsorb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cells, and if this is affected by biochar particle size, we compared the adsorption capability of fine (53-120 μm) and coarse (380-830 μm) biochars originating from the same biochar source. Our results showed that 91% of the pathogenic cells were adsorbed by the fine biochar compared to the control treatments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p</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&lt; 0.001, Student’ s t test), while coarse biochar had no effect on pathogen adsorption (Fig. 2a). These results suggest that only fine biochar has the ability to adsorb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w:t>
      </w:r>
    </w:p>
    <w:p>
      <w:pPr>
        <w:spacing w:line="480" w:lineRule="auto"/>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Biochar has the ability to adsorb root exudates</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The ability of biochar to adsorb root exudates was studied indirectly by measuring the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 xml:space="preserve">R. solanacearum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growth with non-treated and biochar-treated root exudates (coarse and fine biochar). We found that pathogen growth was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significantly decreased</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with biochar-treated root exudates compared to non-treated root exudates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p</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&lt; 0.01, Student’s t test), and that both fine and coarse biochar had similar effect at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single dose of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3% (Fig. 2b). </w:t>
      </w:r>
    </w:p>
    <w:p>
      <w:pPr>
        <w:spacing w:line="480" w:lineRule="auto"/>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 xml:space="preserve">Root exudates and biochar attract </w:t>
      </w:r>
      <w:r>
        <w:rPr>
          <w:rFonts w:ascii="Times New Roman" w:hAnsi="Times New Roman" w:cs="Times New Roman"/>
          <w:b/>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 xml:space="preserve"> pathogen via chemotaxis</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According to our chemotaxis assays, tomato root exudates attracted pathogen more efficiently compared to water control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p</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&lt; 0.001, Student’s t test) and that the highest attraction was found in fine biochar-root exudate treatment (4.9-fold compared to root exudate-only treatment,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p</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 0.001, Student’ s t test; Fig. 3a). These results show that biochar and root exudates increase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chemotaxis synergistically.</w:t>
      </w:r>
    </w:p>
    <w:p>
      <w:pPr>
        <w:spacing w:line="480" w:lineRule="auto"/>
        <w:rPr>
          <w:rFonts w:ascii="Times New Roman" w:hAnsi="Times New Roman" w:cs="Times New Roman"/>
          <w:b/>
          <w:i/>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 xml:space="preserve">Biochar inhibits the swarming motility of </w:t>
      </w:r>
      <w:r>
        <w:rPr>
          <w:rFonts w:ascii="Times New Roman" w:hAnsi="Times New Roman" w:cs="Times New Roman"/>
          <w:b/>
          <w:i/>
          <w:color w:val="0D0D0D" w:themeColor="text1" w:themeTint="F2"/>
          <w:sz w:val="20"/>
          <w:szCs w:val="20"/>
          <w14:textFill>
            <w14:solidFill>
              <w14:schemeClr w14:val="tx1">
                <w14:lumMod w14:val="95000"/>
                <w14:lumOff w14:val="5000"/>
              </w14:schemeClr>
            </w14:solidFill>
          </w14:textFill>
        </w:rPr>
        <w:t>R. solanacearum</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A swarming assay was conducted to determine whether the addition of biochar affects the movement of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We found that biochar significantly decreased the diameter of the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swarming </w:t>
      </w:r>
      <w:r>
        <w:rPr>
          <w:rFonts w:ascii="Times New Roman" w:hAnsi="Times New Roman" w:cs="Times New Roman"/>
          <w:color w:val="0D0D0D" w:themeColor="text1" w:themeTint="F2"/>
          <w:sz w:val="20"/>
          <w:szCs w:val="20"/>
          <w:lang w:val="fi-FI"/>
          <w14:textFill>
            <w14:solidFill>
              <w14:schemeClr w14:val="tx1">
                <w14:lumMod w14:val="95000"/>
                <w14:lumOff w14:val="5000"/>
              </w14:schemeClr>
            </w14:solidFill>
          </w14:textFill>
        </w:rPr>
        <w:t>area</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compared to the control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p</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&lt; 0.001, Student’s t test; Fig. 3b). In contrast, the tomato root exudate strongly induced the swarming motility of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and as a result, intermediate effect was observed in biochar-root exudate treatment (no difference to control). Th</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ese</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results suggest that root exudates and biochar have contrasting (positive and negative, respectively) effects on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swarming motility.</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Pathogen adsorption in the biochar-treated rhizosphere</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We used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in vivo</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experiments to test the biochar efficiency to adsorb pathogen in the rhizosphere and the pathogen ability to colonize tomato roots in the presence and absence of biochar with CLSM. We found that pathogen densities were generally higher in the rhizosphere compared to the bulk soil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p</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&lt; 0.05, Student’s t test; Fig. 4a). After five days post-inoculation, a significantly higher (2.4-fold,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p</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&lt; 0.05, Student’s t test) population of the pathogen was observed in the rhizosphere of the control plants compared to the biochar-treated plants (Fig. 4a). The addition of biochar did not alter the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densities in the bulk soil. Similarly, the CLSM analysis showed reduced pathogen colonization on tomato roots in the presence of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fine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biochar (Fig. 4b and 4c).</w:t>
      </w:r>
    </w:p>
    <w:p>
      <w:pPr>
        <w:spacing w:line="480" w:lineRule="auto"/>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Discussion</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Biochar has been recognized as an effective material for the removal of organic and inorganic contaminants from the</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soil (Ahmad et al. 2014; Zheng et al. 2010). However, only a few studies have examined the influence of biochar for the control of plant disease (Elad et al. 2010; Elmer and Pignatello 2011; Wardle et al. 1998). Here we studied directly the effects of biochar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of two size classes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on the adsorption of tomato root exudates and </w:t>
      </w:r>
      <w:r>
        <w:rPr>
          <w:rFonts w:ascii="Times New Roman" w:hAnsi="Times New Roman" w:cs="Times New Roman"/>
          <w:color w:val="0D0D0D" w:themeColor="text1" w:themeTint="F2"/>
          <w:sz w:val="20"/>
          <w:szCs w:val="20"/>
          <w:lang w:val="en-GB"/>
          <w14:textFill>
            <w14:solidFill>
              <w14:schemeClr w14:val="tx1">
                <w14:lumMod w14:val="95000"/>
                <w14:lumOff w14:val="5000"/>
              </w14:schemeClr>
            </w14:solidFill>
          </w14:textFill>
        </w:rPr>
        <w:t xml:space="preserve">the </w:t>
      </w:r>
      <w:r>
        <w:rPr>
          <w:rFonts w:ascii="Times New Roman" w:hAnsi="Times New Roman" w:cs="Times New Roman"/>
          <w:i/>
          <w:color w:val="0D0D0D" w:themeColor="text1" w:themeTint="F2"/>
          <w:sz w:val="20"/>
          <w:szCs w:val="20"/>
          <w:lang w:val="en-GB"/>
          <w14:textFill>
            <w14:solidFill>
              <w14:schemeClr w14:val="tx1">
                <w14:lumMod w14:val="95000"/>
                <w14:lumOff w14:val="5000"/>
              </w14:schemeClr>
            </w14:solidFill>
          </w14:textFill>
        </w:rPr>
        <w:t xml:space="preserve">R. solanacearum </w:t>
      </w:r>
      <w:r>
        <w:rPr>
          <w:rFonts w:ascii="Times New Roman" w:hAnsi="Times New Roman" w:cs="Times New Roman"/>
          <w:color w:val="0D0D0D" w:themeColor="text1" w:themeTint="F2"/>
          <w:sz w:val="20"/>
          <w:szCs w:val="20"/>
          <w:lang w:val="en-GB"/>
          <w14:textFill>
            <w14:solidFill>
              <w14:schemeClr w14:val="tx1">
                <w14:lumMod w14:val="95000"/>
                <w14:lumOff w14:val="5000"/>
              </w14:schemeClr>
            </w14:solidFill>
          </w14:textFill>
        </w:rPr>
        <w:t>pathogen</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We found that biochar was effective in adsorbing both root exudates and the pathogen cells (Fig. 2) leading to lower pathogen densities in the rhizosphere (Fig. 4) and a reduced bacterial wilt incidence (Fig. 1). While biochar particle size had no effect on the adsorption of root exudates, only the fine biochar was effective in pathogen</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adsorption</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Mechanistically, this effect was due to biochar-mediated loss of swarming motility (Fig. 3b; Fig. 5, mode a), which is known to be important factor for successful colonization of tomatoes by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(Addy et al. 2012; Tans-Kersten et al. 2001). Additionally, the pathogen exerted strongest chemotactic response to root exudate-treated biochar (Fig. 3a), which</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led to increased pathogen adsorption on the biochar (Fig. 5; mode b). Together these results suggest that biochar application could be a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potential</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way to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reduce</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bacterial wilt disease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incidence</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w:t>
      </w:r>
    </w:p>
    <w:p>
      <w:pPr>
        <w:spacing w:line="480" w:lineRule="auto"/>
        <w:ind w:firstLine="420"/>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Our data demonstrate that small biochar particle size plays an important role in bacterial adsorption (Fig. 2a) and the suppression of bacterial wilt (Fig. 1). This result is similar with a previous study where the removal of fine (&lt; 125 μm) biochar particles from a biochar biofilter decreased the removal efficiency of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 xml:space="preserve">E. coli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from 95% to 62% in a water system (Mohanty and Boehm 2014). </w:t>
      </w:r>
      <w:r>
        <w:rPr>
          <w:rFonts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 xml:space="preserve">Decreased pathogen adsorption </w:t>
      </w:r>
      <w:r>
        <w:rPr>
          <w:rFonts w:hint="eastAsia"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capacity</w:t>
      </w:r>
      <w:r>
        <w:rPr>
          <w:rFonts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 xml:space="preserve"> of the coarse biochar</w:t>
      </w:r>
      <w:r>
        <w:rPr>
          <w:rFonts w:hint="eastAsia"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 xml:space="preserve"> (Fig. 2a)</w:t>
      </w:r>
      <w:r>
        <w:rPr>
          <w:rFonts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 xml:space="preserve"> could be attributed to decrease in specific surface area for pathogen adsorption. </w:t>
      </w:r>
      <w:r>
        <w:rPr>
          <w:rFonts w:hint="eastAsia"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The fine sized biochar used in this study exhibit</w:t>
      </w:r>
      <w:r>
        <w:rPr>
          <w:rFonts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ed a</w:t>
      </w:r>
      <w:r>
        <w:rPr>
          <w:rFonts w:hint="eastAsia"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 xml:space="preserve"> larger BET (N</w:t>
      </w:r>
      <w:r>
        <w:rPr>
          <w:rFonts w:hint="eastAsia" w:ascii="Times New Roman" w:hAnsi="Times New Roman" w:cs="Times New Roman"/>
          <w:color w:val="0D0D0D" w:themeColor="text1" w:themeTint="F2"/>
          <w:kern w:val="0"/>
          <w:sz w:val="20"/>
          <w:szCs w:val="20"/>
          <w:vertAlign w:val="subscript"/>
          <w14:textFill>
            <w14:solidFill>
              <w14:schemeClr w14:val="tx1">
                <w14:lumMod w14:val="95000"/>
                <w14:lumOff w14:val="5000"/>
              </w14:schemeClr>
            </w14:solidFill>
          </w14:textFill>
        </w:rPr>
        <w:t>2</w:t>
      </w:r>
      <w:r>
        <w:rPr>
          <w:rFonts w:hint="eastAsia"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 xml:space="preserve">) surface area than coarse biochar. </w:t>
      </w:r>
      <w:r>
        <w:rPr>
          <w:rFonts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 xml:space="preserve">However,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the surface area determined by gas adsoption was mainly influenced by micropores (nm scale) (Sohi et al. 2010; Sun et al. 2012) and could not reliably reflect bacterial adsorption. The pore size distribution of biochar is highly variable, including nanopores (&lt; 0.9 nm), micropores (&lt; 2 nm), mesopores (&lt; 50 nm) and macropores (&gt; 50 nm) (Atkinson et al. 2010). As the size of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Ralstonia</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sp. is measured in microns (Miyake-Nakayama et al. 2006), it is likely that only charcoal pores with a dimension larger than the size of the bacteria (i.e. macropores) would be able to adsorb bacteria (Mohanty et al. 2014; Rivera-Utrilla et al. 2001; Sun et al. 2012; Warnock et al. 2007).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Low specific area of biochar for pathogen may result in the release of the pathogen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(Fig. 5; mode C)</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which could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explain why coarse biochar had no effect on pathogen adsorption in the laboratory and greenhouse experiments.</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t>
      </w:r>
      <w:r>
        <w:rPr>
          <w:rFonts w:hint="eastAsia"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xml:space="preserve">Biochar micropore volume is negatively correlated with particle size </w:t>
      </w:r>
      <w:r>
        <w:rPr>
          <w:rFonts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(Sun et al. 2012)</w:t>
      </w:r>
      <w:r>
        <w:rPr>
          <w:rFonts w:hint="eastAsia"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Unfortunately, the relevance of macropore volume</w:t>
      </w:r>
      <w:r>
        <w:rPr>
          <w:rFonts w:hint="eastAsia"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xml:space="preserve"> (especially </w:t>
      </w:r>
      <w:r>
        <w:rPr>
          <w:rFonts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pore</w:t>
      </w:r>
      <w:r>
        <w:rPr>
          <w:rFonts w:hint="eastAsia"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s</w:t>
      </w:r>
      <w:r>
        <w:rPr>
          <w:rFonts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xml:space="preserve"> for bacteria</w:t>
      </w:r>
      <w:r>
        <w:rPr>
          <w:rFonts w:hint="eastAsia"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w:t>
      </w:r>
      <w:r>
        <w:rPr>
          <w:rFonts w:ascii="Times New Roman" w:hAnsi="Times New Roman" w:cs="Times New Roman"/>
          <w:color w:val="0D0D0D" w:themeColor="text1" w:themeTint="F2"/>
          <w:sz w:val="20"/>
          <w:szCs w:val="20"/>
          <w:shd w:val="clear" w:color="auto" w:fill="FFFFFF"/>
          <w14:textFill>
            <w14:solidFill>
              <w14:schemeClr w14:val="tx1">
                <w14:lumMod w14:val="95000"/>
                <w14:lumOff w14:val="5000"/>
              </w14:schemeClr>
            </w14:solidFill>
          </w14:textFill>
        </w:rPr>
        <w:t xml:space="preserve"> and particle size under highly controlled production condition is largely unknown.</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Mercury porosimetry, optical microscopy and three-dimensional (3-D) reconstruction techniques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could</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be used to characterize 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a</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cropores of biochar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(Rivera-Utrilla et al. 2001; Sun et al. 2012; Zygourakis et al. 2013)</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However these methods show many drawbacks including inability to distinguish between inter-particle and intra-particle porosity for powdered samples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m</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ercury porosimetry)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and a</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lack of method for quantifying macropore volume</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optical microscopy and 3-D</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reconstruction techniques</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(Brewer et al. 2014)</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Therefore, effective biochar porosity characterization methods are still needed.</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t>
      </w:r>
    </w:p>
    <w:p>
      <w:pPr>
        <w:spacing w:line="480" w:lineRule="auto"/>
        <w:ind w:firstLine="420"/>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To shed light on the potential mechanism, we found that biochar affected the root exudate adsorption and two important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virulence factors: chemotaxis and swarming motility. Treating root exudates with biochar led to efficient removal of nutrients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in the root exudates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and clearly reduced pathogen growth (Fig. 2b). Ads</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orption of root exudates</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could intensify the resource competition with the ‘untrapped’ pathogens having negative secondary effect on pathogen invasion success in multibacterial rhizosphere communities (Raaijmakers et al. 2008; Wei et al. 2015b). Moreover, we found that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showed strong chemotactic response towards both root exudates and biochar. Crucially, root exudate-treated biochar had the highest attraction with the pathogen (Fig. 3a). This suggests that biochar was able to attract both root exudates and the pathogen directly, and that treating biochar with root exudates increased the adsorption of the biochar via bacterial chemotaxis. We also found that root exudates had a positive, and biochar had a negative, effect on the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swarming motility (Fig. 3b), which is important for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 xml:space="preserve">R. solanacearum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virulence and root colonization (Tans-Kersten et al. 2001). Prevention of swarming could have restricted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from escaping the biochar surface leading to lower levels of bacterial wilt disease incidence. </w:t>
      </w:r>
    </w:p>
    <w:p>
      <w:pPr>
        <w:spacing w:line="480" w:lineRule="auto"/>
        <w:ind w:firstLine="420"/>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In addition to functioning as nutrients, root exudates</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includ</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ing</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hormones</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also aid in</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establish</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ment of</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symbiotic and parasitic interactions with microbes and regulat</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e</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the development of root architecture (Bais et al. 2006; Boyer et al. 2014). It is thus possible that biochar may adsorb plant hormones (Boyer et al. 2014; Xie et al. 2013) leading to effects on pathogen invasion via changes in the balance of plant hormone concentrations. Biochar might thus have multiple effects on plant growth and health, </w:t>
      </w:r>
      <w:r>
        <w:rPr>
          <w:rFonts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although no clear negative effects have been observed in the previous studies</w:t>
      </w:r>
      <w:r>
        <w:rPr>
          <w:rFonts w:hint="eastAsia"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kern w:val="0"/>
          <w:sz w:val="20"/>
          <w:szCs w:val="20"/>
          <w14:textFill>
            <w14:solidFill>
              <w14:schemeClr w14:val="tx1">
                <w14:lumMod w14:val="95000"/>
                <w14:lumOff w14:val="5000"/>
              </w14:schemeClr>
            </w14:solidFill>
          </w14:textFill>
        </w:rPr>
        <w:t xml:space="preserve">(Atkinson et al. 2010; Elad et al. 2010; Elmer and Pignatello 2011; Hale et al. 2014).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Application of biochar to decrease the incidence of bacterial wilt is still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at an</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experimental</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stage.</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Long-term field experiments are thus an absolute requirement not only to determine the disease control efficacy of biochar under field condition but also to understand how often biochar needs to be re-applied in order to prevent re-infections during consecutive crop seasons. It is also possible that the porous structure of biochar provides a temporal refuge for pathogen and that the nutrients present in biochar enhance pathogen growth (Taghizadeh-Toosi et al. 2011; Warnock et al. 2007). Such concerns need to be tested to ensure the safe and wide use of biochar.</w:t>
      </w:r>
    </w:p>
    <w:p>
      <w:pPr>
        <w:spacing w:line="480" w:lineRule="auto"/>
        <w:ind w:firstLine="420"/>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The colonization of plant roots is a critical early step in the pathogenesis of bacterial wilt prior to penetration of the root surface (Colburn-Clifford et al. 2010; Digonnet et al. 2012).</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We found that the fine particle sized biochar was effective in reducing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densities both in the rhizosphere and on the root surface (Fig. 4) leading to clearly reduced levels of bacterial wilt disease incidence (Fig. 1).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We</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propose that biochar could offer a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potential</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method to decrease bacterial wilt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incidence</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and reduce the use of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chemical agents, such as fumigants, which are often harmful for the environment and beneficial soil microbes. The strong bacterial adsorption by biochar coud also provide an opportunity to use biochar as a carrier for biocontrol agents (Hale et al. 2014). Compared to other soil remediation materials, biochar is a low-cost agent with broad benefits (Ghosh et al. 2011). Hence, biochar produced from inexpensive agricultural residues may promote the broader application of charcoal technology in the future (Oleszczuk et al. 2012). More work is however still needed regarding the application. In this study, the concentration of biochar applied to the soil was quite high (3%), which might create some practical limitations for using biochar. Also, we used only two different size classes of biochar. Both the source and pyrolysis conditions influence the physical and chemical properties of biochar (Atkinson et al. 2010). Comprehensive comparison of the roles of pore size and the optimal biochar production conditions could thus considerably improve the disease control efficacy of biochar in the future. Lastly, soil amendment with biochar needs to be tested in multibacterial communities to determine its role for the commensal and plant growth promoting bacteria. </w:t>
      </w:r>
    </w:p>
    <w:p>
      <w:pPr>
        <w:spacing w:line="480" w:lineRule="auto"/>
        <w:ind w:firstLine="420"/>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In conclusion, here we show that biochar can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significantly decrease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bacterial wilt disease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incidence</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by attracting pathogen both directly and indirectly via adsorption of root exudates that exert strong chemotactic signal towards the pathogen. Furthermore, biochar suppressed the swarming motility of the pathogen, which likely directly decreased pathogen virulence and potentially prevented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the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pathogen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from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escap</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ing</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the biochar pores. Lastly,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the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ad</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sorption of</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tomato root exudates</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could indirectly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reduce</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pathogen invasion by intensifying resource competition with other bacteria in more natural settings. Biochar could thus potentially offer a cheap and novel way to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decrease</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plant disease incidence.</w:t>
      </w:r>
    </w:p>
    <w:p>
      <w:pPr>
        <w:widowControl/>
        <w:spacing w:line="480" w:lineRule="auto"/>
        <w:jc w:val="left"/>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br w:type="page"/>
      </w:r>
    </w:p>
    <w:p>
      <w:pPr>
        <w:spacing w:line="480" w:lineRule="auto"/>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References</w:t>
      </w:r>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4" w:name="_ENREF_1"/>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Abit SM, Bolster CH, Cai P, Walker SL (2012) Influence of feedstock and pyrolysis temperature of biochar amendments on transport of </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Escherichia coli</w:t>
      </w:r>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 in saturated and unsaturated soil. Environ Sci Technol 46:8097-8105 doi:10.1021/es300797z</w:t>
      </w:r>
      <w:bookmarkEnd w:id="4"/>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5" w:name="_ENREF_2"/>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Addy HS, Askora A, Kawasaki T, Fujie M, Yamada T (2012) Loss of virulence of the phytopathogen </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Ralstonia solanacearum</w:t>
      </w:r>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 through infection by phiRSM filamentous phages. Phytopathology 102:469-477 doi:10.1094/PHYTO-11-11-0319-R</w:t>
      </w:r>
      <w:bookmarkEnd w:id="5"/>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6" w:name="_ENREF_3"/>
      <w:r>
        <w:rPr>
          <w:rFonts w:ascii="Calibri" w:hAnsi="Calibri" w:cs="Times New Roman"/>
          <w:color w:val="0D0D0D" w:themeColor="text1" w:themeTint="F2"/>
          <w:sz w:val="20"/>
          <w:szCs w:val="20"/>
          <w14:textFill>
            <w14:solidFill>
              <w14:schemeClr w14:val="tx1">
                <w14:lumMod w14:val="95000"/>
                <w14:lumOff w14:val="5000"/>
              </w14:schemeClr>
            </w14:solidFill>
          </w14:textFill>
        </w:rPr>
        <w:t>Ahmad M, Rajapaksha AU, Lim JE, Zhang M, Bolan N, Mohan D, Vithanage M, Lee SS, Ok YS (2014) Biochar as a sorbent for contaminant management in soil and water: a review. Chemosphere 99:19-33 doi:10.1016/j.chemosphere.2013.10.071</w:t>
      </w:r>
      <w:bookmarkEnd w:id="6"/>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7" w:name="_ENREF_4"/>
      <w:r>
        <w:rPr>
          <w:rFonts w:ascii="Calibri" w:hAnsi="Calibri" w:cs="Times New Roman"/>
          <w:color w:val="0D0D0D" w:themeColor="text1" w:themeTint="F2"/>
          <w:sz w:val="20"/>
          <w:szCs w:val="20"/>
          <w14:textFill>
            <w14:solidFill>
              <w14:schemeClr w14:val="tx1">
                <w14:lumMod w14:val="95000"/>
                <w14:lumOff w14:val="5000"/>
              </w14:schemeClr>
            </w14:solidFill>
          </w14:textFill>
        </w:rPr>
        <w:t>Atkinson CJ, Fitzgerald JD, Hipps NA (2010) Potential mechanisms for achieving agricultural benefits from biochar application to temperate soils: a review. Plant Soil 337:1-18 doi:10.1007/s11104-010-0464-5</w:t>
      </w:r>
      <w:bookmarkEnd w:id="7"/>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8" w:name="_ENREF_5"/>
      <w:r>
        <w:rPr>
          <w:rFonts w:ascii="Calibri" w:hAnsi="Calibri" w:cs="Times New Roman"/>
          <w:color w:val="0D0D0D" w:themeColor="text1" w:themeTint="F2"/>
          <w:sz w:val="20"/>
          <w:szCs w:val="20"/>
          <w14:textFill>
            <w14:solidFill>
              <w14:schemeClr w14:val="tx1">
                <w14:lumMod w14:val="95000"/>
                <w14:lumOff w14:val="5000"/>
              </w14:schemeClr>
            </w14:solidFill>
          </w14:textFill>
        </w:rPr>
        <w:t>Badri DV, Chaparro JM, Zhang R, Shen Q, Vivanco JM (2013) Application of natural blends of phytochemicals derived from the root exudates of Arabidopsis to the soil reveal that phenolic-related compounds predominantly modulate the soil microbiome. J Biol Chem 288:4502-4512 doi:10.1074/jbc.M112.433300</w:t>
      </w:r>
      <w:bookmarkEnd w:id="8"/>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9" w:name="_ENREF_6"/>
      <w:r>
        <w:rPr>
          <w:rFonts w:ascii="Calibri" w:hAnsi="Calibri" w:cs="Times New Roman"/>
          <w:color w:val="0D0D0D" w:themeColor="text1" w:themeTint="F2"/>
          <w:sz w:val="20"/>
          <w:szCs w:val="20"/>
          <w14:textFill>
            <w14:solidFill>
              <w14:schemeClr w14:val="tx1">
                <w14:lumMod w14:val="95000"/>
                <w14:lumOff w14:val="5000"/>
              </w14:schemeClr>
            </w14:solidFill>
          </w14:textFill>
        </w:rPr>
        <w:t>Bais HP, Prithiviraj B, Jha AK, Ausubel FM, Vivanco JM (2005) Mediation of pathogen resistance by exudation of antimicrobials from roots. Nature 434:217-221 doi:10.1038/nature09809</w:t>
      </w:r>
      <w:bookmarkEnd w:id="9"/>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10" w:name="_ENREF_7"/>
      <w:r>
        <w:rPr>
          <w:rFonts w:ascii="Calibri" w:hAnsi="Calibri" w:cs="Times New Roman"/>
          <w:color w:val="0D0D0D" w:themeColor="text1" w:themeTint="F2"/>
          <w:sz w:val="20"/>
          <w:szCs w:val="20"/>
          <w14:textFill>
            <w14:solidFill>
              <w14:schemeClr w14:val="tx1">
                <w14:lumMod w14:val="95000"/>
                <w14:lumOff w14:val="5000"/>
              </w14:schemeClr>
            </w14:solidFill>
          </w14:textFill>
        </w:rPr>
        <w:t>Bais HP, Weir TL, Perry LG, Gilroy S, Vivanco JM (2006) The role of root exudates in rhizosphere interactions with plants and other organisms. Annu Rev Plant Biol 57:233-266 doi:10.1146/annurev.arplant.57.032905.105159</w:t>
      </w:r>
      <w:bookmarkEnd w:id="10"/>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11" w:name="_ENREF_8"/>
      <w:r>
        <w:rPr>
          <w:rFonts w:ascii="Calibri" w:hAnsi="Calibri" w:cs="Times New Roman"/>
          <w:color w:val="0D0D0D" w:themeColor="text1" w:themeTint="F2"/>
          <w:sz w:val="20"/>
          <w:szCs w:val="20"/>
          <w14:textFill>
            <w14:solidFill>
              <w14:schemeClr w14:val="tx1">
                <w14:lumMod w14:val="95000"/>
                <w14:lumOff w14:val="5000"/>
              </w14:schemeClr>
            </w14:solidFill>
          </w14:textFill>
        </w:rPr>
        <w:t>Boyer F-D, de Saint Germain A, Pouvreau J-B, Clavé G, Pillot J-P, Roux A, Rasmussen A, Depuydt S, Lauressergues D, Frei dit Frey N, Heugebaert TSA, Stevens CV, Geelen D, Goormachtig S, Rameau C (2014) New strigolactone analogs as plant hormones with low activities in the rhizosphere. Mol Plant 7:675-690 doi:10.1093/mp/sst163</w:t>
      </w:r>
      <w:bookmarkEnd w:id="11"/>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12" w:name="_ENREF_9"/>
      <w:r>
        <w:rPr>
          <w:rFonts w:ascii="Calibri" w:hAnsi="Calibri" w:cs="Times New Roman"/>
          <w:color w:val="0D0D0D" w:themeColor="text1" w:themeTint="F2"/>
          <w:sz w:val="20"/>
          <w:szCs w:val="20"/>
          <w14:textFill>
            <w14:solidFill>
              <w14:schemeClr w14:val="tx1">
                <w14:lumMod w14:val="95000"/>
                <w14:lumOff w14:val="5000"/>
              </w14:schemeClr>
            </w14:solidFill>
          </w14:textFill>
        </w:rPr>
        <w:t>Brewer CE, Chuang VJ, Masiello CA, Gonnermann H, Gao X, Dugan B, Driver LE, Panzacchi P, Zygourakis K, Davies CA (2014) New approaches to measuring biochar density and porosity. Biomass Bioenergy 66:176-185 doi:10.1016/j.biombioe.2014.03.059</w:t>
      </w:r>
      <w:bookmarkEnd w:id="12"/>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13" w:name="_ENREF_10"/>
      <w:r>
        <w:rPr>
          <w:rFonts w:ascii="Calibri" w:hAnsi="Calibri" w:cs="Times New Roman"/>
          <w:color w:val="0D0D0D" w:themeColor="text1" w:themeTint="F2"/>
          <w:sz w:val="20"/>
          <w:szCs w:val="20"/>
          <w14:textFill>
            <w14:solidFill>
              <w14:schemeClr w14:val="tx1">
                <w14:lumMod w14:val="95000"/>
                <w14:lumOff w14:val="5000"/>
              </w14:schemeClr>
            </w14:solidFill>
          </w14:textFill>
        </w:rPr>
        <w:t>Broek AV, Vanderleyden J (1995) The role of bacterial motility, chemotaxis, and attachment in bacteria-plant interactions. Mol Plant-Microbe Interact 8:800-810 doi:10.1094/MPMI-8-0800</w:t>
      </w:r>
      <w:bookmarkEnd w:id="13"/>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14" w:name="_ENREF_11"/>
      <w:r>
        <w:rPr>
          <w:rFonts w:ascii="Calibri" w:hAnsi="Calibri" w:cs="Times New Roman"/>
          <w:color w:val="0D0D0D" w:themeColor="text1" w:themeTint="F2"/>
          <w:sz w:val="20"/>
          <w:szCs w:val="20"/>
          <w14:textFill>
            <w14:solidFill>
              <w14:schemeClr w14:val="tx1">
                <w14:lumMod w14:val="95000"/>
                <w14:lumOff w14:val="5000"/>
              </w14:schemeClr>
            </w14:solidFill>
          </w14:textFill>
        </w:rPr>
        <w:t>Callaway RM (2000) Invasive plants versus their new and old neighbors: a mechanism for exotic invasion. Science 290:521-523 doi:10.1126/science.290.5491.521</w:t>
      </w:r>
      <w:bookmarkEnd w:id="14"/>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15" w:name="_ENREF_12"/>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Chen Y, Yan F, Chai Y, Liu H, Kolter R, Losick R, Guo Jh (2013) Biocontrol of tomato wilt disease by </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Bacillus subtilis</w:t>
      </w:r>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 isolates from natural environments depends on conserved genes mediating biofilm formation. Environ Microbiol 15:848-864 doi:10.1111/j.1462-2920.2012.02860.x</w:t>
      </w:r>
      <w:bookmarkEnd w:id="15"/>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16" w:name="_ENREF_13"/>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Colburn-Clifford JM, Scherf JM, Allen C (2010) </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Ralstonia solanacearum</w:t>
      </w:r>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 Dps contributes to oxidative stress tolerance and to colonization of and virulence on tomato plants. Appl Environ Microbiol 76:7392-7399 doi:10.1128/AEM.01742-10</w:t>
      </w:r>
      <w:bookmarkEnd w:id="16"/>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17" w:name="_ENREF_14"/>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Digonnet C, Martinez Y, Denance N, Chasseray M, Dabos P, Ranocha P, Marco Y, Jauneau A, Goffner D (2012) Deciphering the route of </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Ralstonia solanacearum</w:t>
      </w:r>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 colonization in </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Arabidopsis thaliana</w:t>
      </w:r>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 roots during a compatible interaction: focus at the plant cell wall. Planta 236:1419-1431 doi:10.1007/s00425-012-1694-y</w:t>
      </w:r>
      <w:bookmarkEnd w:id="17"/>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18" w:name="_ENREF_15"/>
      <w:r>
        <w:rPr>
          <w:rFonts w:ascii="Calibri" w:hAnsi="Calibri" w:cs="Times New Roman"/>
          <w:color w:val="0D0D0D" w:themeColor="text1" w:themeTint="F2"/>
          <w:sz w:val="20"/>
          <w:szCs w:val="20"/>
          <w14:textFill>
            <w14:solidFill>
              <w14:schemeClr w14:val="tx1">
                <w14:lumMod w14:val="95000"/>
                <w14:lumOff w14:val="5000"/>
              </w14:schemeClr>
            </w14:solidFill>
          </w14:textFill>
        </w:rPr>
        <w:t>Elad Y, David DR, Harel YM, Borenshtein M, Kalifa HB, Silber A, Graber ER (2010) Induction of systemic resistance in plants by biochar, a soil-applied carbon sequestering agent. Phytopathology 100:913-921 doi:10.1094/PHYTO-100-9-0913</w:t>
      </w:r>
      <w:bookmarkEnd w:id="18"/>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19" w:name="_ENREF_16"/>
      <w:r>
        <w:rPr>
          <w:rFonts w:ascii="Calibri" w:hAnsi="Calibri" w:cs="Times New Roman"/>
          <w:color w:val="0D0D0D" w:themeColor="text1" w:themeTint="F2"/>
          <w:sz w:val="20"/>
          <w:szCs w:val="20"/>
          <w14:textFill>
            <w14:solidFill>
              <w14:schemeClr w14:val="tx1">
                <w14:lumMod w14:val="95000"/>
                <w14:lumOff w14:val="5000"/>
              </w14:schemeClr>
            </w14:solidFill>
          </w14:textFill>
        </w:rPr>
        <w:t>Elmer WH, Pignatello JJ (2011) Effect of biochar amendments on mycorrhizal associations and Fusarium crown and root rot of asparagus in replant soils. Plant Dis 95:960-966 doi:10.1094/pdis-10-10-0741</w:t>
      </w:r>
      <w:bookmarkEnd w:id="19"/>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20" w:name="_ENREF_17"/>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Elphinstone J, Hennessy J, Wilson J, Stead D (1996) Sensitivity of different methods for the detection of </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Ralstonia solanacearum</w:t>
      </w:r>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 in potato tuber extracts. EPPO Bull 26:663-678 doi: 10.1111/j.1365-2338.1996.tb01511.x</w:t>
      </w:r>
      <w:bookmarkEnd w:id="20"/>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21" w:name="_ENREF_18"/>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Fujiwara A, Fujisawa M, Hamasaki R, Kawasaki T, Fujie M, Yamada T (2011) Biocontrol of </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Ralstonia solanacearum</w:t>
      </w:r>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 by treatment with lytic bacteriophages. Appl Environ Microbiol 77:4155-4162 doi:10.1128/AEM.02847-10</w:t>
      </w:r>
      <w:bookmarkEnd w:id="21"/>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22" w:name="_ENREF_19"/>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Genin S (2010) Molecular traits controlling host range and adaptation to plants in </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Ralstonia solanacearum</w:t>
      </w:r>
      <w:r>
        <w:rPr>
          <w:rFonts w:ascii="Calibri" w:hAnsi="Calibri" w:cs="Times New Roman"/>
          <w:color w:val="0D0D0D" w:themeColor="text1" w:themeTint="F2"/>
          <w:sz w:val="20"/>
          <w:szCs w:val="20"/>
          <w14:textFill>
            <w14:solidFill>
              <w14:schemeClr w14:val="tx1">
                <w14:lumMod w14:val="95000"/>
                <w14:lumOff w14:val="5000"/>
              </w14:schemeClr>
            </w14:solidFill>
          </w14:textFill>
        </w:rPr>
        <w:t>. New Phytol 187:920-928 doi:10.1111/j.1469-8137.2010.03397.x</w:t>
      </w:r>
      <w:bookmarkEnd w:id="22"/>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23" w:name="_ENREF_20"/>
      <w:r>
        <w:rPr>
          <w:rFonts w:ascii="Calibri" w:hAnsi="Calibri" w:cs="Times New Roman"/>
          <w:color w:val="0D0D0D" w:themeColor="text1" w:themeTint="F2"/>
          <w:sz w:val="20"/>
          <w:szCs w:val="20"/>
          <w14:textFill>
            <w14:solidFill>
              <w14:schemeClr w14:val="tx1">
                <w14:lumMod w14:val="95000"/>
                <w14:lumOff w14:val="5000"/>
              </w14:schemeClr>
            </w14:solidFill>
          </w14:textFill>
        </w:rPr>
        <w:t>Ghosh U, Luthy RG, Cornelissen G, Werner D, Menzie CA (2011) In-situ sorbent amendments: a new direction in contaminated sediment management. Environ Sci Technol 45:1163-1168 doi:10.1021/es102694h</w:t>
      </w:r>
      <w:bookmarkEnd w:id="23"/>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24" w:name="_ENREF_21"/>
      <w:r>
        <w:rPr>
          <w:rFonts w:ascii="Calibri" w:hAnsi="Calibri" w:cs="Times New Roman"/>
          <w:color w:val="0D0D0D" w:themeColor="text1" w:themeTint="F2"/>
          <w:sz w:val="20"/>
          <w:szCs w:val="20"/>
          <w14:textFill>
            <w14:solidFill>
              <w14:schemeClr w14:val="tx1">
                <w14:lumMod w14:val="95000"/>
                <w14:lumOff w14:val="5000"/>
              </w14:schemeClr>
            </w14:solidFill>
          </w14:textFill>
        </w:rPr>
        <w:t>Gibert O, Lefevre B, Fernandez M, Bernat X, Paraira M, Calderer M, Martinez-Llado X (2013) Characterising biofilm development on granular activated carbon used for drinking water production. Water Res 47:1101-1110 doi:10.1016/j.watres.2012.11.026</w:t>
      </w:r>
      <w:bookmarkEnd w:id="24"/>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25" w:name="_ENREF_22"/>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Hale L, Luth M, Kenney R, Crowley D (2014) Evaluation of pinewood biochar as a carrier of bacterial strain </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Enterobacter cloacae</w:t>
      </w:r>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 UW5 for soil inoculation. Appl Soil Ecol 84:192-199 doi:10.1016/j.apsoil.2014.08.001</w:t>
      </w:r>
      <w:bookmarkEnd w:id="25"/>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26" w:name="_ENREF_23"/>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Hayward AC (1991) Biology and epidemiology of bacterial wilt caused by </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Pseudomonas solanacearum</w:t>
      </w:r>
      <w:r>
        <w:rPr>
          <w:rFonts w:ascii="Calibri" w:hAnsi="Calibri" w:cs="Times New Roman"/>
          <w:color w:val="0D0D0D" w:themeColor="text1" w:themeTint="F2"/>
          <w:sz w:val="20"/>
          <w:szCs w:val="20"/>
          <w14:textFill>
            <w14:solidFill>
              <w14:schemeClr w14:val="tx1">
                <w14:lumMod w14:val="95000"/>
                <w14:lumOff w14:val="5000"/>
              </w14:schemeClr>
            </w14:solidFill>
          </w14:textFill>
        </w:rPr>
        <w:t>. Annu Rev Phytopathol 29:65-87 doi:10.1146/annurev.py.29.090191.000433</w:t>
      </w:r>
      <w:bookmarkEnd w:id="26"/>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27" w:name="_ENREF_24"/>
      <w:r>
        <w:rPr>
          <w:rFonts w:ascii="Calibri" w:hAnsi="Calibri" w:cs="Times New Roman"/>
          <w:color w:val="0D0D0D" w:themeColor="text1" w:themeTint="F2"/>
          <w:sz w:val="20"/>
          <w:szCs w:val="20"/>
          <w14:textFill>
            <w14:solidFill>
              <w14:schemeClr w14:val="tx1">
                <w14:lumMod w14:val="95000"/>
                <w14:lumOff w14:val="5000"/>
              </w14:schemeClr>
            </w14:solidFill>
          </w14:textFill>
        </w:rPr>
        <w:t>Inyang M, Dickenson E (2015) The potential role of biochar in the removal of organic and microbial contaminants from potable and reuse water: A review. Chemosphere 134:232-240 doi:10.1016/j.chemosphere.2015.03.072</w:t>
      </w:r>
      <w:bookmarkEnd w:id="27"/>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28" w:name="_ENREF_25"/>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Ishihara T, Mitsuhara I, Takahashi H, Nakaho K (2012) Transcriptome analysis of quantitative resistance-specific response upon </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Ralstonia solanacearum</w:t>
      </w:r>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 infection in tomato. PLoS One 7:e46763 doi:10.1371/journal.pone.0046763</w:t>
      </w:r>
      <w:bookmarkEnd w:id="28"/>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29" w:name="_ENREF_26"/>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Jacobs JM, Babujee L, Meng F, Milling A, Allen C (2012) The in planta transcriptome of </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Ralstonia solanacearum</w:t>
      </w:r>
      <w:r>
        <w:rPr>
          <w:rFonts w:ascii="Calibri" w:hAnsi="Calibri" w:cs="Times New Roman"/>
          <w:color w:val="0D0D0D" w:themeColor="text1" w:themeTint="F2"/>
          <w:sz w:val="20"/>
          <w:szCs w:val="20"/>
          <w14:textFill>
            <w14:solidFill>
              <w14:schemeClr w14:val="tx1">
                <w14:lumMod w14:val="95000"/>
                <w14:lumOff w14:val="5000"/>
              </w14:schemeClr>
            </w14:solidFill>
          </w14:textFill>
        </w:rPr>
        <w:t>: conserved physiological and virulence strategies during bacterial wilt of tomato. mBio 3:e00114-00112 doi:10.1128/mBio.00114-12</w:t>
      </w:r>
      <w:bookmarkEnd w:id="29"/>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30" w:name="_ENREF_27"/>
      <w:r>
        <w:rPr>
          <w:rFonts w:ascii="Calibri" w:hAnsi="Calibri" w:cs="Times New Roman"/>
          <w:color w:val="0D0D0D" w:themeColor="text1" w:themeTint="F2"/>
          <w:sz w:val="20"/>
          <w:szCs w:val="20"/>
          <w14:textFill>
            <w14:solidFill>
              <w14:schemeClr w14:val="tx1">
                <w14:lumMod w14:val="95000"/>
                <w14:lumOff w14:val="5000"/>
              </w14:schemeClr>
            </w14:solidFill>
          </w14:textFill>
        </w:rPr>
        <w:t>Jiang TY, Jiang J, Xu RK, Li Z (2012) Adsorption of Pb(II) on variable charge soils amended with rice-straw derived biochar. Chemosphere 89:249-256 doi:10.1016/j.chemosphere.2012.04.028</w:t>
      </w:r>
      <w:bookmarkEnd w:id="30"/>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31" w:name="_ENREF_28"/>
      <w:r>
        <w:rPr>
          <w:rFonts w:ascii="Calibri" w:hAnsi="Calibri" w:cs="Times New Roman"/>
          <w:color w:val="0D0D0D" w:themeColor="text1" w:themeTint="F2"/>
          <w:sz w:val="20"/>
          <w:szCs w:val="20"/>
          <w14:textFill>
            <w14:solidFill>
              <w14:schemeClr w14:val="tx1">
                <w14:lumMod w14:val="95000"/>
                <w14:lumOff w14:val="5000"/>
              </w14:schemeClr>
            </w14:solidFill>
          </w14:textFill>
        </w:rPr>
        <w:t>Kempe J, Sequeira L (1983) Biological control of bacterial wilt of potatoes: Attempts to induce resistance by treating tubers with bacteria. Plant Dis 67:499-503 doi:10.1094/PD-67-499</w:t>
      </w:r>
      <w:bookmarkEnd w:id="31"/>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32" w:name="_ENREF_29"/>
      <w:r>
        <w:rPr>
          <w:rFonts w:ascii="Calibri" w:hAnsi="Calibri" w:cs="Times New Roman"/>
          <w:color w:val="0D0D0D" w:themeColor="text1" w:themeTint="F2"/>
          <w:sz w:val="20"/>
          <w:szCs w:val="20"/>
          <w14:textFill>
            <w14:solidFill>
              <w14:schemeClr w14:val="tx1">
                <w14:lumMod w14:val="95000"/>
                <w14:lumOff w14:val="5000"/>
              </w14:schemeClr>
            </w14:solidFill>
          </w14:textFill>
        </w:rPr>
        <w:t>Kinney TJ, Masiello CA, Dugan B, Hockaday WC, Dean MR, Zygourakis K, Barnes RT (2012) Hydrologic properties of biochars produced at different temperatures. Biomass Bioenergy 41:34-43 doi:10.1016/j.biombioe.2012.01.033</w:t>
      </w:r>
      <w:bookmarkEnd w:id="32"/>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33" w:name="_ENREF_30"/>
      <w:r>
        <w:rPr>
          <w:rFonts w:ascii="Calibri" w:hAnsi="Calibri" w:cs="Times New Roman"/>
          <w:color w:val="0D0D0D" w:themeColor="text1" w:themeTint="F2"/>
          <w:sz w:val="20"/>
          <w:szCs w:val="20"/>
          <w14:textFill>
            <w14:solidFill>
              <w14:schemeClr w14:val="tx1">
                <w14:lumMod w14:val="95000"/>
                <w14:lumOff w14:val="5000"/>
              </w14:schemeClr>
            </w14:solidFill>
          </w14:textFill>
        </w:rPr>
        <w:t>Lehmann J, Rillig MC, Thies J, Masiello CA, Hockaday WC, Crowley D (2011) Biochar effects on soil biota – A review. Soil Biol Biochem 43:1812-1836 doi:10.1016/j.soilbio.2011.04.022</w:t>
      </w:r>
      <w:bookmarkEnd w:id="33"/>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34" w:name="_ENREF_31"/>
      <w:r>
        <w:rPr>
          <w:rFonts w:ascii="Calibri" w:hAnsi="Calibri" w:cs="Times New Roman"/>
          <w:color w:val="0D0D0D" w:themeColor="text1" w:themeTint="F2"/>
          <w:sz w:val="20"/>
          <w:szCs w:val="20"/>
          <w14:textFill>
            <w14:solidFill>
              <w14:schemeClr w14:val="tx1">
                <w14:lumMod w14:val="95000"/>
                <w14:lumOff w14:val="5000"/>
              </w14:schemeClr>
            </w14:solidFill>
          </w14:textFill>
        </w:rPr>
        <w:t>Liu Z, Dugan B, Masiello CA, Barnes RT, Gallagher ME, Gonnermann H (2016) Impacts of biochar concentration and particle size on hydraulic conductivity and DOC leaching of biochar–sand mixtures. J Hydrol 533:461-472 doi:10.1016/j.jhydrol.2015.12.007</w:t>
      </w:r>
      <w:bookmarkEnd w:id="34"/>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35" w:name="_ENREF_32"/>
      <w:r>
        <w:rPr>
          <w:rFonts w:ascii="Calibri" w:hAnsi="Calibri" w:cs="Times New Roman"/>
          <w:color w:val="0D0D0D" w:themeColor="text1" w:themeTint="F2"/>
          <w:sz w:val="20"/>
          <w:szCs w:val="20"/>
          <w14:textFill>
            <w14:solidFill>
              <w14:schemeClr w14:val="tx1">
                <w14:lumMod w14:val="95000"/>
                <w14:lumOff w14:val="5000"/>
              </w14:schemeClr>
            </w14:solidFill>
          </w14:textFill>
        </w:rPr>
        <w:t>Masiello CA, Chen Y, Gao X, Liu S, Cheng H-Y, Bennett MR, Rudgers JA, Wagner DS, Zygourakis K, Silberg JJ (2013) Biochar and microbial signaling: production conditions determine effects on microbial communication. Environ Sci Technol 47:11496-11503 doi:10.1021/es401458s</w:t>
      </w:r>
      <w:bookmarkEnd w:id="35"/>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36" w:name="_ENREF_33"/>
      <w:r>
        <w:rPr>
          <w:rFonts w:ascii="Calibri" w:hAnsi="Calibri" w:cs="Times New Roman"/>
          <w:color w:val="0D0D0D" w:themeColor="text1" w:themeTint="F2"/>
          <w:sz w:val="20"/>
          <w:szCs w:val="20"/>
          <w14:textFill>
            <w14:solidFill>
              <w14:schemeClr w14:val="tx1">
                <w14:lumMod w14:val="95000"/>
                <w14:lumOff w14:val="5000"/>
              </w14:schemeClr>
            </w14:solidFill>
          </w14:textFill>
        </w:rPr>
        <w:t>Mendes R, Kruijt M, de Bruijn I, Dekkers E, van der Voort M, Schneider JH, Piceno YM, DeSantis TZ, Andersen GL, Bakker PA, Raaijmakers JM (2011) Deciphering the rhizosphere microbiome for disease-suppressive bacteria. Science 332:1097-1100 doi:10.1126/science.1203980</w:t>
      </w:r>
      <w:bookmarkEnd w:id="36"/>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37" w:name="_ENREF_34"/>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Miyake-Nakayama C, Ikatsu H, Kashihara M, Tanaka M, Arita M, Miyoshi S, Shinoda S (2006) Biodegradation of dichloromethane by the polyvinyl alcohol-immobilized methylotrophic bacterium </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Ralstonia metallidurans</w:t>
      </w:r>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 PD11. Appl Microbiol Biotechnol 70:625-630 doi:10.1007/s00253-005-0194-4</w:t>
      </w:r>
      <w:bookmarkEnd w:id="37"/>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38" w:name="_ENREF_35"/>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Mohanty SK, Boehm AB (2014) </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Escherichia coli</w:t>
      </w:r>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 removal in biochar-augmented biofilter: Effect of infiltration rate, initial bacterial concentration, biochar particle size, and presence of compost. Environ Sci Technol 48:11535-11542 doi:10.1021/es5033162</w:t>
      </w:r>
      <w:bookmarkEnd w:id="38"/>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39" w:name="_ENREF_37"/>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Mohanty SK, Cantrell KB, Nelson KL, Boehm AB (2014) Efficacy of biochar to remove </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 xml:space="preserve">Escherichia coli </w:t>
      </w:r>
      <w:r>
        <w:rPr>
          <w:rFonts w:ascii="Calibri" w:hAnsi="Calibri" w:cs="Times New Roman"/>
          <w:color w:val="0D0D0D" w:themeColor="text1" w:themeTint="F2"/>
          <w:sz w:val="20"/>
          <w:szCs w:val="20"/>
          <w14:textFill>
            <w14:solidFill>
              <w14:schemeClr w14:val="tx1">
                <w14:lumMod w14:val="95000"/>
                <w14:lumOff w14:val="5000"/>
              </w14:schemeClr>
            </w14:solidFill>
          </w14:textFill>
        </w:rPr>
        <w:t>from stormwater under steady and intermittent flow. Water Res 61:288-296 doi:10.1016/j.watres.2014.05.026</w:t>
      </w:r>
      <w:bookmarkEnd w:id="39"/>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40" w:name="_ENREF_38"/>
      <w:r>
        <w:rPr>
          <w:rFonts w:ascii="Calibri" w:hAnsi="Calibri" w:cs="Times New Roman"/>
          <w:color w:val="0D0D0D" w:themeColor="text1" w:themeTint="F2"/>
          <w:sz w:val="20"/>
          <w:szCs w:val="20"/>
          <w14:textFill>
            <w14:solidFill>
              <w14:schemeClr w14:val="tx1">
                <w14:lumMod w14:val="95000"/>
                <w14:lumOff w14:val="5000"/>
              </w14:schemeClr>
            </w14:solidFill>
          </w14:textFill>
        </w:rPr>
        <w:t>Murashige T, Skoog F (1962) A revised medium for rapid growth and bio assays with tobacco tissue cultures. Physiol Plant 15:473-497 doi:10.1111/j.1399-3054.1962.tb08052.x</w:t>
      </w:r>
      <w:bookmarkEnd w:id="40"/>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41" w:name="_ENREF_39"/>
      <w:r>
        <w:rPr>
          <w:rFonts w:ascii="Calibri" w:hAnsi="Calibri" w:cs="Times New Roman"/>
          <w:color w:val="0D0D0D" w:themeColor="text1" w:themeTint="F2"/>
          <w:sz w:val="20"/>
          <w:szCs w:val="20"/>
          <w14:textFill>
            <w14:solidFill>
              <w14:schemeClr w14:val="tx1">
                <w14:lumMod w14:val="95000"/>
                <w14:lumOff w14:val="5000"/>
              </w14:schemeClr>
            </w14:solidFill>
          </w14:textFill>
        </w:rPr>
        <w:t>Naka K, WATARAI S, INOUE K, KODAMA Y, OGUMA K, YASUDA T, KODAMA H (2001) Adsorption effect of activated charcoal on enterohemorrhagic</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 xml:space="preserve"> Escherichia coli</w:t>
      </w:r>
      <w:r>
        <w:rPr>
          <w:rFonts w:ascii="Calibri" w:hAnsi="Calibri" w:cs="Times New Roman"/>
          <w:color w:val="0D0D0D" w:themeColor="text1" w:themeTint="F2"/>
          <w:sz w:val="20"/>
          <w:szCs w:val="20"/>
          <w14:textFill>
            <w14:solidFill>
              <w14:schemeClr w14:val="tx1">
                <w14:lumMod w14:val="95000"/>
                <w14:lumOff w14:val="5000"/>
              </w14:schemeClr>
            </w14:solidFill>
          </w14:textFill>
        </w:rPr>
        <w:t>. Journal of Veterinary Medical Science 63:281-285 doi:10.1292/jvms.63.281</w:t>
      </w:r>
      <w:bookmarkEnd w:id="41"/>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42" w:name="_ENREF_40"/>
      <w:r>
        <w:rPr>
          <w:rFonts w:ascii="Calibri" w:hAnsi="Calibri" w:cs="Times New Roman"/>
          <w:color w:val="0D0D0D" w:themeColor="text1" w:themeTint="F2"/>
          <w:sz w:val="20"/>
          <w:szCs w:val="20"/>
          <w14:textFill>
            <w14:solidFill>
              <w14:schemeClr w14:val="tx1">
                <w14:lumMod w14:val="95000"/>
                <w14:lumOff w14:val="5000"/>
              </w14:schemeClr>
            </w14:solidFill>
          </w14:textFill>
        </w:rPr>
        <w:t>Oleszczuk P, Hale SE, Lehmann J, Cornelissen G (2012) Activated carbon and biochar amendments decrease pore-water concentrations of polycyclic aromatic hydrocarbons (PAHs) in sewage sludge. Bioresour Technol 111:84-91 doi:10.1016/j.biortech.2012.02.030</w:t>
      </w:r>
      <w:bookmarkEnd w:id="42"/>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43" w:name="_ENREF_41"/>
      <w:r>
        <w:rPr>
          <w:rFonts w:ascii="Calibri" w:hAnsi="Calibri" w:cs="Times New Roman"/>
          <w:color w:val="0D0D0D" w:themeColor="text1" w:themeTint="F2"/>
          <w:sz w:val="20"/>
          <w:szCs w:val="20"/>
          <w14:textFill>
            <w14:solidFill>
              <w14:schemeClr w14:val="tx1">
                <w14:lumMod w14:val="95000"/>
                <w14:lumOff w14:val="5000"/>
              </w14:schemeClr>
            </w14:solidFill>
          </w14:textFill>
        </w:rPr>
        <w:t>Panke-Buisse K, Poole AC, Goodrich JK, Ley RE, Kao-Kniffin J (2015) Selection on soil microbiomes reveals reproducible impacts on plant function. ISME J 9:980-989 doi:10.1038/ismej.2014.196</w:t>
      </w:r>
      <w:bookmarkEnd w:id="43"/>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44" w:name="_ENREF_42"/>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Park SY, Kim R, Ryu CM, Choi SK, Lee CH, Kim JG, Park SH (2008) Citrinin, a mycotoxin from </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Penicillium citrinum</w:t>
      </w:r>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 plays a role in inducing motility of </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Paenibacillus polymyxa</w:t>
      </w:r>
      <w:r>
        <w:rPr>
          <w:rFonts w:ascii="Calibri" w:hAnsi="Calibri" w:cs="Times New Roman"/>
          <w:color w:val="0D0D0D" w:themeColor="text1" w:themeTint="F2"/>
          <w:sz w:val="20"/>
          <w:szCs w:val="20"/>
          <w14:textFill>
            <w14:solidFill>
              <w14:schemeClr w14:val="tx1">
                <w14:lumMod w14:val="95000"/>
                <w14:lumOff w14:val="5000"/>
              </w14:schemeClr>
            </w14:solidFill>
          </w14:textFill>
        </w:rPr>
        <w:t>. FEMS Microbiol Ecol 65:229-237 doi:10.1111/j.1574-6941.2008.00492.x</w:t>
      </w:r>
      <w:bookmarkEnd w:id="44"/>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45" w:name="_ENREF_43"/>
      <w:r>
        <w:rPr>
          <w:rFonts w:ascii="Calibri" w:hAnsi="Calibri" w:cs="Times New Roman"/>
          <w:color w:val="0D0D0D" w:themeColor="text1" w:themeTint="F2"/>
          <w:sz w:val="20"/>
          <w:szCs w:val="20"/>
          <w14:textFill>
            <w14:solidFill>
              <w14:schemeClr w14:val="tx1">
                <w14:lumMod w14:val="95000"/>
                <w14:lumOff w14:val="5000"/>
              </w14:schemeClr>
            </w14:solidFill>
          </w14:textFill>
        </w:rPr>
        <w:t>Raaijmakers JM, Paulitz TC, Steinberg C, Alabouvette C, Moënne-Loccoz Y (2008) The rhizosphere: a playground and battlefield for soilborne pathogens and beneficial microorganisms. Plant Soil 321:341-361 doi:10.1007/s11104-008-9568-6</w:t>
      </w:r>
      <w:bookmarkEnd w:id="45"/>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46" w:name="_ENREF_44"/>
      <w:r>
        <w:rPr>
          <w:rFonts w:ascii="Calibri" w:hAnsi="Calibri" w:cs="Times New Roman"/>
          <w:color w:val="0D0D0D" w:themeColor="text1" w:themeTint="F2"/>
          <w:sz w:val="20"/>
          <w:szCs w:val="20"/>
          <w14:textFill>
            <w14:solidFill>
              <w14:schemeClr w14:val="tx1">
                <w14:lumMod w14:val="95000"/>
                <w14:lumOff w14:val="5000"/>
              </w14:schemeClr>
            </w14:solidFill>
          </w14:textFill>
        </w:rPr>
        <w:t>Rivera-Utrilla J, Bautista-Toledo I, Ferro-García MA, Moreno-Castilla C (2001) Activated carbon surface modifications by adsorption of bacteria and their effect on aqueous lead adsorption. J Chem Technol Biotechnol 76:1209-1215 doi:10.1002/jctb.506</w:t>
      </w:r>
      <w:bookmarkEnd w:id="46"/>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47" w:name="_ENREF_45"/>
      <w:r>
        <w:rPr>
          <w:rFonts w:ascii="Calibri" w:hAnsi="Calibri" w:cs="Times New Roman"/>
          <w:color w:val="0D0D0D" w:themeColor="text1" w:themeTint="F2"/>
          <w:sz w:val="20"/>
          <w:szCs w:val="20"/>
          <w14:textFill>
            <w14:solidFill>
              <w14:schemeClr w14:val="tx1">
                <w14:lumMod w14:val="95000"/>
                <w14:lumOff w14:val="5000"/>
              </w14:schemeClr>
            </w14:solidFill>
          </w14:textFill>
        </w:rPr>
        <w:t>Rudrappa T, Czymmek KJ, Pare PW, Bais HP (2008) Root-secreted malic acid recruits beneficial soil bacteria. Plant Physiol 148:1547-1556 doi:10.1104/pp.108.127613</w:t>
      </w:r>
      <w:bookmarkEnd w:id="47"/>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48" w:name="_ENREF_46"/>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Salanoubat M, Genin S, Artiguenave F, Gouzy J, Mangenot S, Arlat M, Billault A, Brottier P, Camus JC, Cattolico L, Chandler M, Choisne N, Claudel-Renard C, Cunnac S, Demange N, Gaspin C, Lavie M, Moisan A, Robert C, Saurin W, Schiex T, Siguier P, Thebault P, Whalen M, Wincker P, Levy M, Weissenbach J, Boucher CA (2002) Genome sequence of the plant pathogen </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Ralstonia solanacearum</w:t>
      </w:r>
      <w:r>
        <w:rPr>
          <w:rFonts w:ascii="Calibri" w:hAnsi="Calibri" w:cs="Times New Roman"/>
          <w:color w:val="0D0D0D" w:themeColor="text1" w:themeTint="F2"/>
          <w:sz w:val="20"/>
          <w:szCs w:val="20"/>
          <w14:textFill>
            <w14:solidFill>
              <w14:schemeClr w14:val="tx1">
                <w14:lumMod w14:val="95000"/>
                <w14:lumOff w14:val="5000"/>
              </w14:schemeClr>
            </w14:solidFill>
          </w14:textFill>
        </w:rPr>
        <w:t>. Nature 415:497-502 doi:10.1038/415497a</w:t>
      </w:r>
      <w:bookmarkEnd w:id="48"/>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49" w:name="_ENREF_47"/>
      <w:r>
        <w:rPr>
          <w:rFonts w:ascii="Calibri" w:hAnsi="Calibri" w:cs="Times New Roman"/>
          <w:color w:val="0D0D0D" w:themeColor="text1" w:themeTint="F2"/>
          <w:sz w:val="20"/>
          <w:szCs w:val="20"/>
          <w14:textFill>
            <w14:solidFill>
              <w14:schemeClr w14:val="tx1">
                <w14:lumMod w14:val="95000"/>
                <w14:lumOff w14:val="5000"/>
              </w14:schemeClr>
            </w14:solidFill>
          </w14:textFill>
        </w:rPr>
        <w:t>Schreiner K, Hagn A, Kyselkova M, Moenne-Loccoz Y, Welzl G, Munch JC, Schloter M (2010) Comparison of barley succession and take-all disease as environmental factors shaping the rhizobacterial community during take-all decline. Appl Environ Microbiol 76:4703-4712 doi:10.1128/AEM.00481-10</w:t>
      </w:r>
      <w:bookmarkEnd w:id="49"/>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50" w:name="_ENREF_48"/>
      <w:r>
        <w:rPr>
          <w:rFonts w:ascii="Calibri" w:hAnsi="Calibri" w:cs="Times New Roman"/>
          <w:color w:val="0D0D0D" w:themeColor="text1" w:themeTint="F2"/>
          <w:sz w:val="20"/>
          <w:szCs w:val="20"/>
          <w14:textFill>
            <w14:solidFill>
              <w14:schemeClr w14:val="tx1">
                <w14:lumMod w14:val="95000"/>
                <w14:lumOff w14:val="5000"/>
              </w14:schemeClr>
            </w14:solidFill>
          </w14:textFill>
        </w:rPr>
        <w:t>Shi S, Nuccio E, Herman DJ, Rijkers R, Estera K, Li J, da Rocha UN, He Z, Pett-Ridge J, Brodie EL, Zhou J, Firestone M (2015) Successional trajectories of rhizosphere bacterial communities over consecutive seasons. mBio 6:e00746 doi:10.1128/mBio.00746-15</w:t>
      </w:r>
      <w:bookmarkEnd w:id="50"/>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51" w:name="_ENREF_49"/>
      <w:r>
        <w:rPr>
          <w:rFonts w:ascii="Calibri" w:hAnsi="Calibri" w:cs="Times New Roman"/>
          <w:color w:val="0D0D0D" w:themeColor="text1" w:themeTint="F2"/>
          <w:sz w:val="20"/>
          <w:szCs w:val="20"/>
          <w14:textFill>
            <w14:solidFill>
              <w14:schemeClr w14:val="tx1">
                <w14:lumMod w14:val="95000"/>
                <w14:lumOff w14:val="5000"/>
              </w14:schemeClr>
            </w14:solidFill>
          </w14:textFill>
        </w:rPr>
        <w:t>Sohi S, Krull E, Lopez-Capel E, Bol R (2010) A review of biochar and its use and function in soil. Adv Argon 105:47-82 doi:10.1016/S0065-2113 (10)05002-9</w:t>
      </w:r>
      <w:bookmarkEnd w:id="51"/>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52" w:name="_ENREF_50"/>
      <w:r>
        <w:rPr>
          <w:rFonts w:ascii="Calibri" w:hAnsi="Calibri" w:cs="Times New Roman"/>
          <w:color w:val="0D0D0D" w:themeColor="text1" w:themeTint="F2"/>
          <w:sz w:val="20"/>
          <w:szCs w:val="20"/>
          <w14:textFill>
            <w14:solidFill>
              <w14:schemeClr w14:val="tx1">
                <w14:lumMod w14:val="95000"/>
                <w14:lumOff w14:val="5000"/>
              </w14:schemeClr>
            </w14:solidFill>
          </w14:textFill>
        </w:rPr>
        <w:t>Sun H, Hockaday WC, Masiello CA, Zygourakis K (2012) Multiple controls on the chemical and physical structure of biochars. Ind Eng Chem Res 51:3587-3597 doi:10.1021/ie201309r</w:t>
      </w:r>
      <w:bookmarkEnd w:id="52"/>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53" w:name="_ENREF_51"/>
      <w:r>
        <w:rPr>
          <w:rFonts w:ascii="Calibri" w:hAnsi="Calibri" w:cs="Times New Roman"/>
          <w:color w:val="0D0D0D" w:themeColor="text1" w:themeTint="F2"/>
          <w:sz w:val="20"/>
          <w:szCs w:val="20"/>
          <w14:textFill>
            <w14:solidFill>
              <w14:schemeClr w14:val="tx1">
                <w14:lumMod w14:val="95000"/>
                <w14:lumOff w14:val="5000"/>
              </w14:schemeClr>
            </w14:solidFill>
          </w14:textFill>
        </w:rPr>
        <w:t>Taghizadeh-Toosi A, Clough TJ, Sherlock RR, Condron LM (2011) Biochar adsorbed ammonia is bioavailable. Plant Soil 350:57-69 doi:10.1007/s11104-011-0870-3</w:t>
      </w:r>
      <w:bookmarkEnd w:id="53"/>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54" w:name="_ENREF_52"/>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Tan S, Gu Y, Yang C, Dong Y, Mei X, Shen Q, Xu Y (2015) </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Bacillus amyloliquefaciens</w:t>
      </w:r>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 T-5 may prevent </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Ralstonia solanacearum</w:t>
      </w:r>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 infection through competitive exclusion. Biol Fertil Soils 52:341-351 doi:10.1007/s00374-015-1079-z</w:t>
      </w:r>
      <w:bookmarkEnd w:id="54"/>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55" w:name="_ENREF_53"/>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Tans-Kersten J, Brown D, Allen C (2004) Swimming motility, a virulence trait of </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Ralstonia solanacearum</w:t>
      </w:r>
      <w:r>
        <w:rPr>
          <w:rFonts w:ascii="Calibri" w:hAnsi="Calibri" w:cs="Times New Roman"/>
          <w:color w:val="0D0D0D" w:themeColor="text1" w:themeTint="F2"/>
          <w:sz w:val="20"/>
          <w:szCs w:val="20"/>
          <w14:textFill>
            <w14:solidFill>
              <w14:schemeClr w14:val="tx1">
                <w14:lumMod w14:val="95000"/>
                <w14:lumOff w14:val="5000"/>
              </w14:schemeClr>
            </w14:solidFill>
          </w14:textFill>
        </w:rPr>
        <w:t>, is regulated by FlhDC and the plant host environment. Mol Plant-Microbe Interact 17:686-695 doi:10.1094/MPMI.2004.17.6.686</w:t>
      </w:r>
      <w:bookmarkEnd w:id="55"/>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56" w:name="_ENREF_54"/>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Tans-Kersten J, Huang H, Allen C (2001) </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Ralstonia solanacearum</w:t>
      </w:r>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 needs motility for invasive virulence on tomato. J Bacteriol 183:3597-3605 doi:10.1128/JB.183.12.3597-3605.2001</w:t>
      </w:r>
      <w:bookmarkEnd w:id="56"/>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57" w:name="_ENREF_55"/>
      <w:r>
        <w:rPr>
          <w:rFonts w:ascii="Calibri" w:hAnsi="Calibri" w:cs="Times New Roman"/>
          <w:color w:val="0D0D0D" w:themeColor="text1" w:themeTint="F2"/>
          <w:sz w:val="20"/>
          <w:szCs w:val="20"/>
          <w14:textFill>
            <w14:solidFill>
              <w14:schemeClr w14:val="tx1">
                <w14:lumMod w14:val="95000"/>
                <w14:lumOff w14:val="5000"/>
              </w14:schemeClr>
            </w14:solidFill>
          </w14:textFill>
        </w:rPr>
        <w:t>Tong X-j, Li J-y, Yuan J-h, Xu R-k (2011) Adsorption of Cu(II) by biochars generated from three crop straws. Chem Eng J 172:828-834 doi:10.1016/j.cej.2011.06.069</w:t>
      </w:r>
      <w:bookmarkEnd w:id="57"/>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58" w:name="_ENREF_56"/>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van Overbeek LS, Bergervoet JH, Jacobs FH, van Elsas JD (2004) The low-temperature-induced viable-but-nonculturable state affects the virulence of </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 xml:space="preserve">Ralstonia solanacearum </w:t>
      </w:r>
      <w:r>
        <w:rPr>
          <w:rFonts w:ascii="Calibri" w:hAnsi="Calibri" w:cs="Times New Roman"/>
          <w:color w:val="0D0D0D" w:themeColor="text1" w:themeTint="F2"/>
          <w:sz w:val="20"/>
          <w:szCs w:val="20"/>
          <w14:textFill>
            <w14:solidFill>
              <w14:schemeClr w14:val="tx1">
                <w14:lumMod w14:val="95000"/>
                <w14:lumOff w14:val="5000"/>
              </w14:schemeClr>
            </w14:solidFill>
          </w14:textFill>
        </w:rPr>
        <w:t>biovar 2. Phytopathology 94:463-469 doi:10.1094/PHYTO.2004.94.5.463</w:t>
      </w:r>
      <w:bookmarkEnd w:id="58"/>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59" w:name="_ENREF_57"/>
      <w:r>
        <w:rPr>
          <w:rFonts w:ascii="Calibri" w:hAnsi="Calibri" w:cs="Times New Roman"/>
          <w:color w:val="0D0D0D" w:themeColor="text1" w:themeTint="F2"/>
          <w:sz w:val="20"/>
          <w:szCs w:val="20"/>
          <w14:textFill>
            <w14:solidFill>
              <w14:schemeClr w14:val="tx1">
                <w14:lumMod w14:val="95000"/>
                <w14:lumOff w14:val="5000"/>
              </w14:schemeClr>
            </w14:solidFill>
          </w14:textFill>
        </w:rPr>
        <w:t>Wardle DA, Zackrisson O, Nilsson M-C (1998) The charcoal effect in Boreal forests: mechanisms and ecological consequences. Oecologia 115:419-426 doi:10.1007/s004420050536</w:t>
      </w:r>
      <w:bookmarkEnd w:id="59"/>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60" w:name="_ENREF_58"/>
      <w:r>
        <w:rPr>
          <w:rFonts w:ascii="Calibri" w:hAnsi="Calibri" w:cs="Times New Roman"/>
          <w:color w:val="0D0D0D" w:themeColor="text1" w:themeTint="F2"/>
          <w:sz w:val="20"/>
          <w:szCs w:val="20"/>
          <w14:textFill>
            <w14:solidFill>
              <w14:schemeClr w14:val="tx1">
                <w14:lumMod w14:val="95000"/>
                <w14:lumOff w14:val="5000"/>
              </w14:schemeClr>
            </w14:solidFill>
          </w14:textFill>
        </w:rPr>
        <w:t>Warnock DD, Lehmann J, Kuyper TW, Rillig MC (2007) Mycorrhizal responses to biochar in soil – concepts and mechanisms. Plant Soil 300:9-20 doi:10.1007/s11104-007-9391-5</w:t>
      </w:r>
      <w:bookmarkEnd w:id="60"/>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61" w:name="_ENREF_59"/>
      <w:r>
        <w:rPr>
          <w:rFonts w:ascii="Calibri" w:hAnsi="Calibri" w:cs="Times New Roman"/>
          <w:color w:val="0D0D0D" w:themeColor="text1" w:themeTint="F2"/>
          <w:sz w:val="20"/>
          <w:szCs w:val="20"/>
          <w14:textFill>
            <w14:solidFill>
              <w14:schemeClr w14:val="tx1">
                <w14:lumMod w14:val="95000"/>
                <w14:lumOff w14:val="5000"/>
              </w14:schemeClr>
            </w14:solidFill>
          </w14:textFill>
        </w:rPr>
        <w:t>Wei Z, Huang J-F, Hu J, Gu Y-A, Yang C-L, Mei X-L, Shen Q-R, Xu Y-C, Friman V-P (2015a) Altering transplantation time to avoid periods of high temperature can efficiently reduce bacterial wilt disease incidence with tomato. PLoS One 10:e0139313 doi:10.1371/journal.pone.0139313</w:t>
      </w:r>
      <w:bookmarkEnd w:id="61"/>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62" w:name="_ENREF_60"/>
      <w:r>
        <w:rPr>
          <w:rFonts w:ascii="Calibri" w:hAnsi="Calibri" w:cs="Times New Roman"/>
          <w:color w:val="0D0D0D" w:themeColor="text1" w:themeTint="F2"/>
          <w:sz w:val="20"/>
          <w:szCs w:val="20"/>
          <w14:textFill>
            <w14:solidFill>
              <w14:schemeClr w14:val="tx1">
                <w14:lumMod w14:val="95000"/>
                <w14:lumOff w14:val="5000"/>
              </w14:schemeClr>
            </w14:solidFill>
          </w14:textFill>
        </w:rPr>
        <w:t>Wei Z, Yang T, Friman V-P, Xu Y, Shen Q, Jousset A (2015b) Trophic network architecture of root-associated bacterial communities determines pathogen invasion and plant health. Nat Commun 6:8413 doi:10.1038/ncomms9413</w:t>
      </w:r>
      <w:bookmarkEnd w:id="62"/>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63" w:name="_ENREF_61"/>
      <w:r>
        <w:rPr>
          <w:rFonts w:ascii="Calibri" w:hAnsi="Calibri" w:cs="Times New Roman"/>
          <w:color w:val="0D0D0D" w:themeColor="text1" w:themeTint="F2"/>
          <w:sz w:val="20"/>
          <w:szCs w:val="20"/>
          <w14:textFill>
            <w14:solidFill>
              <w14:schemeClr w14:val="tx1">
                <w14:lumMod w14:val="95000"/>
                <w14:lumOff w14:val="5000"/>
              </w14:schemeClr>
            </w14:solidFill>
          </w14:textFill>
        </w:rPr>
        <w:t>Wei Z, Yang X, Yin S, Shen Q, Ran W, Xu Y (2011) Efficacy of Bacillus-fortified organic fertiliser in controlling bacterial wilt of tomato in the field. Appl Soil Ecol 48:152-159 doi:10.1016/j.apsoil.2011.03.013</w:t>
      </w:r>
      <w:bookmarkEnd w:id="63"/>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64" w:name="_ENREF_62"/>
      <w:r>
        <w:rPr>
          <w:rFonts w:ascii="Calibri" w:hAnsi="Calibri" w:cs="Times New Roman"/>
          <w:color w:val="0D0D0D" w:themeColor="text1" w:themeTint="F2"/>
          <w:sz w:val="20"/>
          <w:szCs w:val="20"/>
          <w14:textFill>
            <w14:solidFill>
              <w14:schemeClr w14:val="tx1">
                <w14:lumMod w14:val="95000"/>
                <w14:lumOff w14:val="5000"/>
              </w14:schemeClr>
            </w14:solidFill>
          </w14:textFill>
        </w:rPr>
        <w:t>Xie X, Yoneyama K, Kisugi T, Uchida K, Ito S, Akiyama K, Hayashi H, Yokota T, Nomura T (2013) Confirming stereochemical structures of strigolactones produced by rice and tobacco. Mol Plant 6:153-163 doi:10.1093/mp/sss139</w:t>
      </w:r>
      <w:bookmarkEnd w:id="64"/>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65" w:name="_ENREF_63"/>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Xue QY, Yin YN, Yang W, Heuer H, Prior P, Guo JH, Smalla K (2011) Genetic diversity of </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Ralstonia solanacearum</w:t>
      </w:r>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 strains from China assessed by PCR-based fingerprints to unravel host plant- and site-dependent distribution patterns. FEMS Microbiol Ecol 75:507-519 doi:10.1111/j.1574-6941.2010.01026.x</w:t>
      </w:r>
      <w:bookmarkEnd w:id="65"/>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66" w:name="_ENREF_64"/>
      <w:r>
        <w:rPr>
          <w:rFonts w:ascii="Calibri" w:hAnsi="Calibri" w:cs="Times New Roman"/>
          <w:color w:val="0D0D0D" w:themeColor="text1" w:themeTint="F2"/>
          <w:sz w:val="20"/>
          <w:szCs w:val="20"/>
          <w14:textFill>
            <w14:solidFill>
              <w14:schemeClr w14:val="tx1">
                <w14:lumMod w14:val="95000"/>
                <w14:lumOff w14:val="5000"/>
              </w14:schemeClr>
            </w14:solidFill>
          </w14:textFill>
        </w:rPr>
        <w:t xml:space="preserve">Yao J, Allen C (2006) Chemotaxis is required for virulence and competitive fitness of the bacterial wilt pathogen </w:t>
      </w:r>
      <w:r>
        <w:rPr>
          <w:rFonts w:ascii="Calibri" w:hAnsi="Calibri" w:cs="Times New Roman"/>
          <w:i/>
          <w:color w:val="0D0D0D" w:themeColor="text1" w:themeTint="F2"/>
          <w:sz w:val="20"/>
          <w:szCs w:val="20"/>
          <w14:textFill>
            <w14:solidFill>
              <w14:schemeClr w14:val="tx1">
                <w14:lumMod w14:val="95000"/>
                <w14:lumOff w14:val="5000"/>
              </w14:schemeClr>
            </w14:solidFill>
          </w14:textFill>
        </w:rPr>
        <w:t>Ralstonia solanacearum</w:t>
      </w:r>
      <w:r>
        <w:rPr>
          <w:rFonts w:ascii="Calibri" w:hAnsi="Calibri" w:cs="Times New Roman"/>
          <w:color w:val="0D0D0D" w:themeColor="text1" w:themeTint="F2"/>
          <w:sz w:val="20"/>
          <w:szCs w:val="20"/>
          <w14:textFill>
            <w14:solidFill>
              <w14:schemeClr w14:val="tx1">
                <w14:lumMod w14:val="95000"/>
                <w14:lumOff w14:val="5000"/>
              </w14:schemeClr>
            </w14:solidFill>
          </w14:textFill>
        </w:rPr>
        <w:t>. J Bacteriol 188:3697-3708 doi:10.1128/JB.188.10.3697</w:t>
      </w:r>
      <w:bookmarkEnd w:id="66"/>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67" w:name="_ENREF_65"/>
      <w:r>
        <w:rPr>
          <w:rFonts w:ascii="Calibri" w:hAnsi="Calibri" w:cs="Times New Roman"/>
          <w:color w:val="0D0D0D" w:themeColor="text1" w:themeTint="F2"/>
          <w:sz w:val="20"/>
          <w:szCs w:val="20"/>
          <w14:textFill>
            <w14:solidFill>
              <w14:schemeClr w14:val="tx1">
                <w14:lumMod w14:val="95000"/>
                <w14:lumOff w14:val="5000"/>
              </w14:schemeClr>
            </w14:solidFill>
          </w14:textFill>
        </w:rPr>
        <w:t>Zhang G, Zhang Q, Sun K, Liu X, Zheng W, Zhao Y (2011) Sorption of simazine to corn straw biochars prepared at different pyrolytic temperatures. Environ Pollut 159:2594-2601 doi:10.1016/j.envpol.2011.06.012</w:t>
      </w:r>
      <w:bookmarkEnd w:id="67"/>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68" w:name="_ENREF_66"/>
      <w:r>
        <w:rPr>
          <w:rFonts w:ascii="Calibri" w:hAnsi="Calibri" w:cs="Times New Roman"/>
          <w:color w:val="0D0D0D" w:themeColor="text1" w:themeTint="F2"/>
          <w:sz w:val="20"/>
          <w:szCs w:val="20"/>
          <w14:textFill>
            <w14:solidFill>
              <w14:schemeClr w14:val="tx1">
                <w14:lumMod w14:val="95000"/>
                <w14:lumOff w14:val="5000"/>
              </w14:schemeClr>
            </w14:solidFill>
          </w14:textFill>
        </w:rPr>
        <w:t>Zheng W, Guo M, Chow T, Bennett DN, Rajagopalan N (2010) Sorption properties of greenwaste biochar for two triazine pesticides. J Hazard Mater 181:121-126 doi:10.1016/j.jhazmat.2010.04.103</w:t>
      </w:r>
      <w:bookmarkEnd w:id="68"/>
    </w:p>
    <w:p>
      <w:pPr>
        <w:ind w:left="720" w:hanging="720"/>
        <w:rPr>
          <w:rFonts w:ascii="Calibri" w:hAnsi="Calibri" w:cs="Times New Roman"/>
          <w:color w:val="0D0D0D" w:themeColor="text1" w:themeTint="F2"/>
          <w:sz w:val="20"/>
          <w:szCs w:val="20"/>
          <w14:textFill>
            <w14:solidFill>
              <w14:schemeClr w14:val="tx1">
                <w14:lumMod w14:val="95000"/>
                <w14:lumOff w14:val="5000"/>
              </w14:schemeClr>
            </w14:solidFill>
          </w14:textFill>
        </w:rPr>
      </w:pPr>
      <w:bookmarkStart w:id="69" w:name="_ENREF_67"/>
      <w:r>
        <w:rPr>
          <w:rFonts w:ascii="Calibri" w:hAnsi="Calibri" w:cs="Times New Roman"/>
          <w:color w:val="0D0D0D" w:themeColor="text1" w:themeTint="F2"/>
          <w:sz w:val="20"/>
          <w:szCs w:val="20"/>
          <w14:textFill>
            <w14:solidFill>
              <w14:schemeClr w14:val="tx1">
                <w14:lumMod w14:val="95000"/>
                <w14:lumOff w14:val="5000"/>
              </w14:schemeClr>
            </w14:solidFill>
          </w14:textFill>
        </w:rPr>
        <w:t>Zygourakis K, Sun H, Markenscoff P (2013) A nanoscale model for characterizing the complex pore structure of biochars. AlChE J 59:3412-3420 doi:10.1002/aic.14134</w:t>
      </w:r>
      <w:bookmarkEnd w:id="69"/>
    </w:p>
    <w:p>
      <w:pPr>
        <w:rPr>
          <w:rFonts w:ascii="Calibri" w:hAnsi="Calibri" w:cs="Times New Roman"/>
          <w:color w:val="0D0D0D" w:themeColor="text1" w:themeTint="F2"/>
          <w:sz w:val="20"/>
          <w:szCs w:val="20"/>
          <w14:textFill>
            <w14:solidFill>
              <w14:schemeClr w14:val="tx1">
                <w14:lumMod w14:val="95000"/>
                <w14:lumOff w14:val="5000"/>
              </w14:schemeClr>
            </w14:solidFill>
          </w14:textFill>
        </w:rPr>
      </w:pPr>
    </w:p>
    <w:p>
      <w:pPr>
        <w:spacing w:line="480" w:lineRule="auto"/>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Figure captions</w:t>
      </w:r>
    </w:p>
    <w:p>
      <w:pPr>
        <w:spacing w:line="480" w:lineRule="auto"/>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Fig. 1</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ab/>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Effect of fine and coarse biochar on the progression of bacterial wilt in tomato. Disease incidence is represented by the percentage of tomato seedlings with wilt symptoms (mean value ± SE, N = 3). Each replicate contained 18 seedlings</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Fig. 2</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ab/>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Adsorption of (a)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 xml:space="preserve">R. solanacearum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QL-Rs1115 by different sized biochar and (b)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growth in root exudates treated with fine or coarse biochar. Error bars indicate the standard error of the mean. Different letters indicate significant differences</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Fig. 3</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ab/>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Effects of fine biochar on chemotaxis (a) and swarming motility (b) of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 xml:space="preserve">R. solanacearum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QL-Rs1115. (a) Chemotaxis of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QL-Rs1115 towards sterile distilled water (Control), tomato root exudates (RE), an aqueous suspension of fine biochar (Fine biochar) or an aqueous suspension of root exudate-treated fine biochar (RE-treated fine biochar). (b) Four different suspensions were inoculated on the center of semisolid SMSA plates including an aqueous suspension of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 xml:space="preserve">R. solanacearum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(Control), a root exudate suspension of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(RE), an aqueous water suspension of fine biochar and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(Fine biochar), and a root exudate suspension of fine biochar and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(RE+Fine biochar). Error bars indicate the standard error of the mean. In both panels, different letters indicate significant differences</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Fig. 4</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ab/>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The effect of fine biochar on the root colonization</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by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The size of the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 xml:space="preserve">R. solanacearum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population colonizing the tomato roots was determined by serial dilution (a) and CLSM (b and c). CLSM images of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QL-RFP on untreated (b) and fine biochar-treated (c) tomato roots are shown. Error bars indicate the standard error of the mean (N = 3)</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Fig. 5</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ab/>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Schematic drawing depicting the adsorption modes of biochar for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Mode A: direct adsorption of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on biochar. Mode B: indirect adsorption of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on biochar via root exudation adsoption. Mode C: root exudates, which are adsorbed by biochar, induce chemotaxis of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R. solanacearum</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to biochar. However, low adsorption ability of certain biochars may result in the release of the pathogen</w:t>
      </w:r>
    </w:p>
    <w:p>
      <w:pPr>
        <w:spacing w:line="480" w:lineRule="auto"/>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pPr>
      <w:r>
        <w:rPr>
          <w:rFonts w:hint="eastAsia" w:ascii="Times New Roman" w:hAnsi="Times New Roman" w:cs="Times New Roman"/>
          <w:b/>
          <w:color w:val="0D0D0D" w:themeColor="text1" w:themeTint="F2"/>
          <w:sz w:val="20"/>
          <w:szCs w:val="20"/>
          <w14:textFill>
            <w14:solidFill>
              <w14:schemeClr w14:val="tx1">
                <w14:lumMod w14:val="95000"/>
                <w14:lumOff w14:val="5000"/>
              </w14:schemeClr>
            </w14:solidFill>
          </w14:textFill>
        </w:rPr>
        <w:t>Fig</w:t>
      </w:r>
      <w:r>
        <w:rPr>
          <w:rFonts w:ascii="Times New Roman" w:hAnsi="Times New Roman" w:cs="Times New Roman"/>
          <w:b/>
          <w:color w:val="0D0D0D" w:themeColor="text1" w:themeTint="F2"/>
          <w:sz w:val="20"/>
          <w:szCs w:val="20"/>
          <w14:textFill>
            <w14:solidFill>
              <w14:schemeClr w14:val="tx1">
                <w14:lumMod w14:val="95000"/>
                <w14:lumOff w14:val="5000"/>
              </w14:schemeClr>
            </w14:solidFill>
          </w14:textFill>
        </w:rPr>
        <w:t>. S1</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ab/>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Dose-response for the adsorption of </w:t>
      </w:r>
      <w:r>
        <w:rPr>
          <w:rFonts w:ascii="Times New Roman" w:hAnsi="Times New Roman" w:cs="Times New Roman"/>
          <w:i/>
          <w:color w:val="0D0D0D" w:themeColor="text1" w:themeTint="F2"/>
          <w:sz w:val="20"/>
          <w:szCs w:val="20"/>
          <w14:textFill>
            <w14:solidFill>
              <w14:schemeClr w14:val="tx1">
                <w14:lumMod w14:val="95000"/>
                <w14:lumOff w14:val="5000"/>
              </w14:schemeClr>
            </w14:solidFill>
          </w14:textFill>
        </w:rPr>
        <w:t xml:space="preserve">R. solanacearum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QL-Rs1115 by </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biochar with different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par</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ticle </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size</w:t>
      </w:r>
      <w:r>
        <w:rPr>
          <w:rFonts w:hint="eastAsia" w:ascii="Times New Roman" w:hAnsi="Times New Roman" w:cs="Times New Roman"/>
          <w:color w:val="0D0D0D" w:themeColor="text1" w:themeTint="F2"/>
          <w:sz w:val="20"/>
          <w:szCs w:val="20"/>
          <w14:textFill>
            <w14:solidFill>
              <w14:schemeClr w14:val="tx1">
                <w14:lumMod w14:val="95000"/>
                <w14:lumOff w14:val="5000"/>
              </w14:schemeClr>
            </w14:solidFill>
          </w14:textFill>
        </w:rPr>
        <w:t>.</w:t>
      </w:r>
      <w:r>
        <w:rPr>
          <w:rFonts w:ascii="Times New Roman" w:hAnsi="Times New Roman" w:cs="Times New Roman"/>
          <w:color w:val="0D0D0D" w:themeColor="text1" w:themeTint="F2"/>
          <w:sz w:val="20"/>
          <w:szCs w:val="20"/>
          <w14:textFill>
            <w14:solidFill>
              <w14:schemeClr w14:val="tx1">
                <w14:lumMod w14:val="95000"/>
                <w14:lumOff w14:val="5000"/>
              </w14:schemeClr>
            </w14:solidFill>
          </w14:textFill>
        </w:rPr>
        <w:t xml:space="preserve"> Error bars indicate the standard error of the mean. Different letters indicate significant differences between different treatments.</w:t>
      </w:r>
    </w:p>
    <w:p>
      <w:pPr>
        <w:rPr>
          <w:color w:val="0D0D0D" w:themeColor="text1" w:themeTint="F2"/>
          <w14:textFill>
            <w14:solidFill>
              <w14:schemeClr w14:val="tx1">
                <w14:lumMod w14:val="95000"/>
                <w14:lumOff w14:val="5000"/>
              </w14:schemeClr>
            </w14:solidFill>
          </w14:textFill>
        </w:rPr>
      </w:pPr>
    </w:p>
    <w:sectPr>
      <w:footerReference r:id="rId3" w:type="default"/>
      <w:pgSz w:w="11906" w:h="16838"/>
      <w:pgMar w:top="1440" w:right="1800" w:bottom="1440" w:left="1800" w:header="851" w:footer="992" w:gutter="0"/>
      <w:lnNumType w:countBy="1"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4964366"/>
    </w:sdtPr>
    <w:sdtContent>
      <w:p>
        <w:pPr>
          <w:pStyle w:val="3"/>
          <w:jc w:val="center"/>
        </w:pPr>
        <w:r>
          <w:fldChar w:fldCharType="begin"/>
        </w:r>
        <w:r>
          <w:instrText xml:space="preserve">PAGE   \* MERGEFORMAT</w:instrText>
        </w:r>
        <w:r>
          <w:fldChar w:fldCharType="separate"/>
        </w:r>
        <w:r>
          <w:rPr>
            <w:lang w:val="zh-CN"/>
          </w:rPr>
          <w:t>25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31518"/>
    <w:rsid w:val="000F0A2D"/>
    <w:rsid w:val="005869CE"/>
    <w:rsid w:val="005F52D8"/>
    <w:rsid w:val="00604521"/>
    <w:rsid w:val="00606B6A"/>
    <w:rsid w:val="00641763"/>
    <w:rsid w:val="008B0FCC"/>
    <w:rsid w:val="00A24428"/>
    <w:rsid w:val="00C61085"/>
    <w:rsid w:val="00CB298A"/>
    <w:rsid w:val="00D31518"/>
    <w:rsid w:val="00D32C7D"/>
    <w:rsid w:val="00DE6DDB"/>
    <w:rsid w:val="00E022DD"/>
    <w:rsid w:val="00E836D2"/>
    <w:rsid w:val="00F313EB"/>
    <w:rsid w:val="6CD0429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14:textFill>
        <w14:solidFill>
          <w14:schemeClr w14:val="hlink"/>
        </w14:solidFill>
      </w14:textFill>
    </w:rPr>
  </w:style>
  <w:style w:type="character" w:styleId="7">
    <w:name w:val="line number"/>
    <w:basedOn w:val="5"/>
    <w:unhideWhenUsed/>
    <w:uiPriority w:val="99"/>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5"/>
    <w:link w:val="4"/>
    <w:uiPriority w:val="99"/>
    <w:rPr>
      <w:sz w:val="18"/>
      <w:szCs w:val="18"/>
    </w:rPr>
  </w:style>
  <w:style w:type="character" w:customStyle="1" w:styleId="11">
    <w:name w:val="页脚 Char"/>
    <w:basedOn w:val="5"/>
    <w:link w:val="3"/>
    <w:uiPriority w:val="99"/>
    <w:rPr>
      <w:sz w:val="18"/>
      <w:szCs w:val="18"/>
    </w:rPr>
  </w:style>
  <w:style w:type="character" w:customStyle="1" w:styleId="12">
    <w:name w:val="批注框文本 Char"/>
    <w:basedOn w:val="5"/>
    <w:link w:val="2"/>
    <w:semiHidden/>
    <w:uiPriority w:val="99"/>
    <w:rPr>
      <w:sz w:val="18"/>
      <w:szCs w:val="18"/>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7781</Words>
  <Characters>44353</Characters>
  <Lines>369</Lines>
  <Paragraphs>104</Paragraphs>
  <TotalTime>0</TotalTime>
  <ScaleCrop>false</ScaleCrop>
  <LinksUpToDate>false</LinksUpToDate>
  <CharactersWithSpaces>52030</CharactersWithSpaces>
  <Application>WPS Office_10.1.0.5798_F1E327BC-269C-435d-A152-05C5408002CA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2016-12-15T14:17:00Z</dcterms:created>
  <dc:creator>gya</dc:creator>
  <cp:lastModifiedBy>davie</cp:lastModifiedBy>
  <dcterms:modified xsi:type="dcterms:W3CDTF">2016-12-21T09:22:19Z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2057-10.1.0.5798</vt:lpwstr>
  </property>
</Properties>
</file>