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A4D5" w14:textId="27DAE26B" w:rsidR="00072613" w:rsidRPr="00191CE8" w:rsidRDefault="003522C7" w:rsidP="00F17C76">
      <w:pPr>
        <w:pStyle w:val="Heading1"/>
      </w:pPr>
      <w:bookmarkStart w:id="0" w:name="_Toc380681250"/>
      <w:r>
        <w:t>Value in health article series</w:t>
      </w:r>
    </w:p>
    <w:p w14:paraId="4BBA58E7" w14:textId="630311B7" w:rsidR="00F2726B" w:rsidRPr="004517FE" w:rsidRDefault="005220EA" w:rsidP="00940243">
      <w:pPr>
        <w:pStyle w:val="MEEPbodytext"/>
        <w:rPr>
          <w:b/>
        </w:rPr>
      </w:pPr>
      <w:r w:rsidRPr="004517FE">
        <w:rPr>
          <w:b/>
        </w:rPr>
        <w:t>The</w:t>
      </w:r>
      <w:r w:rsidR="00891FFC" w:rsidRPr="004517FE">
        <w:rPr>
          <w:b/>
        </w:rPr>
        <w:t xml:space="preserve"> I</w:t>
      </w:r>
      <w:r w:rsidR="00F2726B" w:rsidRPr="004517FE">
        <w:rPr>
          <w:b/>
        </w:rPr>
        <w:t>nternational</w:t>
      </w:r>
      <w:r w:rsidRPr="004517FE">
        <w:rPr>
          <w:b/>
        </w:rPr>
        <w:t xml:space="preserve"> Decision Support Initiative</w:t>
      </w:r>
      <w:r w:rsidR="00F2726B" w:rsidRPr="004517FE">
        <w:rPr>
          <w:b/>
        </w:rPr>
        <w:t xml:space="preserve"> </w:t>
      </w:r>
      <w:r w:rsidR="00891FFC" w:rsidRPr="004517FE">
        <w:rPr>
          <w:b/>
        </w:rPr>
        <w:t>Reference Case for E</w:t>
      </w:r>
      <w:r w:rsidR="00F2726B" w:rsidRPr="004517FE">
        <w:rPr>
          <w:b/>
        </w:rPr>
        <w:t xml:space="preserve">conomic </w:t>
      </w:r>
      <w:r w:rsidR="00891FFC" w:rsidRPr="004517FE">
        <w:rPr>
          <w:b/>
        </w:rPr>
        <w:t>E</w:t>
      </w:r>
      <w:r w:rsidR="00F2726B" w:rsidRPr="004517FE">
        <w:rPr>
          <w:b/>
        </w:rPr>
        <w:t>valuation</w:t>
      </w:r>
      <w:r w:rsidR="00FC0B6A" w:rsidRPr="004517FE">
        <w:rPr>
          <w:b/>
        </w:rPr>
        <w:t>:</w:t>
      </w:r>
      <w:r w:rsidR="00891FFC" w:rsidRPr="004517FE">
        <w:rPr>
          <w:b/>
        </w:rPr>
        <w:t xml:space="preserve"> an aid to thought</w:t>
      </w:r>
    </w:p>
    <w:p w14:paraId="5CD9C826" w14:textId="77777777" w:rsidR="00D962DA" w:rsidRDefault="00D962DA" w:rsidP="00940243">
      <w:pPr>
        <w:pStyle w:val="MEEPbodytext"/>
      </w:pPr>
    </w:p>
    <w:p w14:paraId="1CADCA23" w14:textId="77777777" w:rsidR="00D962DA" w:rsidRDefault="00D962DA" w:rsidP="00D962DA">
      <w:pPr>
        <w:pStyle w:val="MEEPbodytext"/>
      </w:pPr>
      <w:r w:rsidRPr="00F17C76">
        <w:t>Authors</w:t>
      </w:r>
      <w:r>
        <w:t>:</w:t>
      </w:r>
      <w:r w:rsidRPr="00F17C76">
        <w:t xml:space="preserve"> T Wilkinson</w:t>
      </w:r>
      <w:r>
        <w:t>,</w:t>
      </w:r>
      <w:r w:rsidRPr="00F17C76">
        <w:t xml:space="preserve"> M</w:t>
      </w:r>
      <w:r>
        <w:t>J</w:t>
      </w:r>
      <w:r w:rsidRPr="00F17C76">
        <w:t xml:space="preserve"> </w:t>
      </w:r>
      <w:proofErr w:type="spellStart"/>
      <w:r w:rsidRPr="00F17C76">
        <w:t>Sculpher</w:t>
      </w:r>
      <w:proofErr w:type="spellEnd"/>
      <w:r>
        <w:t>,</w:t>
      </w:r>
      <w:r w:rsidRPr="00F17C76">
        <w:t xml:space="preserve"> K Claxton</w:t>
      </w:r>
      <w:r>
        <w:t>,</w:t>
      </w:r>
      <w:r w:rsidRPr="00F17C76">
        <w:t xml:space="preserve"> P Revill</w:t>
      </w:r>
      <w:r>
        <w:t>,</w:t>
      </w:r>
      <w:r w:rsidRPr="00F17C76">
        <w:t xml:space="preserve"> A Briggs</w:t>
      </w:r>
      <w:r>
        <w:t>,</w:t>
      </w:r>
      <w:r w:rsidRPr="00F17C76">
        <w:t xml:space="preserve"> J Cairn</w:t>
      </w:r>
      <w:r>
        <w:t xml:space="preserve">s, Y </w:t>
      </w:r>
      <w:bookmarkStart w:id="1" w:name="_GoBack"/>
      <w:r>
        <w:t>Teerawattananon</w:t>
      </w:r>
      <w:bookmarkEnd w:id="1"/>
      <w:r>
        <w:t>,</w:t>
      </w:r>
      <w:r w:rsidRPr="00F17C76">
        <w:t xml:space="preserve"> E </w:t>
      </w:r>
      <w:proofErr w:type="spellStart"/>
      <w:r w:rsidRPr="00F17C76">
        <w:t>Asfaw</w:t>
      </w:r>
      <w:proofErr w:type="spellEnd"/>
      <w:r w:rsidRPr="00F17C76">
        <w:t xml:space="preserve">, R </w:t>
      </w:r>
      <w:proofErr w:type="spellStart"/>
      <w:r w:rsidRPr="00F17C76">
        <w:t>Lopert</w:t>
      </w:r>
      <w:proofErr w:type="spellEnd"/>
      <w:r>
        <w:t xml:space="preserve">, AJ </w:t>
      </w:r>
      <w:proofErr w:type="spellStart"/>
      <w:r>
        <w:t>Culyer</w:t>
      </w:r>
      <w:proofErr w:type="spellEnd"/>
      <w:r>
        <w:t>,</w:t>
      </w:r>
      <w:r w:rsidRPr="00F17C76">
        <w:t xml:space="preserve"> D Walker</w:t>
      </w:r>
      <w:r>
        <w:t xml:space="preserve"> </w:t>
      </w:r>
    </w:p>
    <w:p w14:paraId="52306234" w14:textId="77777777" w:rsidR="00D962DA" w:rsidRDefault="00D962DA" w:rsidP="00D962DA">
      <w:pPr>
        <w:pStyle w:val="MEEPbodytext"/>
      </w:pPr>
    </w:p>
    <w:p w14:paraId="2534354A" w14:textId="77777777" w:rsidR="00D962DA" w:rsidRDefault="00D962DA" w:rsidP="00D962DA">
      <w:pPr>
        <w:pStyle w:val="MEEPbodytext"/>
      </w:pPr>
      <w:r>
        <w:t xml:space="preserve">Funding source: The development of the iDSI Reference Case was funded by the Bill and Melinda Gates Foundation </w:t>
      </w:r>
    </w:p>
    <w:p w14:paraId="5EED2DE6" w14:textId="77777777" w:rsidR="00D962DA" w:rsidRDefault="00D962DA" w:rsidP="00D962DA">
      <w:pPr>
        <w:pStyle w:val="MEEPbodytext"/>
      </w:pPr>
    </w:p>
    <w:p w14:paraId="4C06BE79" w14:textId="77777777" w:rsidR="00D962DA" w:rsidRPr="002A4110" w:rsidRDefault="00D962DA" w:rsidP="00D962DA">
      <w:pPr>
        <w:pStyle w:val="MEEPbodytext"/>
      </w:pPr>
      <w:r>
        <w:t>The International Decisions Support Initiative (iDSI) Reference Case was</w:t>
      </w:r>
      <w:r w:rsidRPr="002A4110">
        <w:t xml:space="preserve"> informed by the </w:t>
      </w:r>
      <w:r>
        <w:t>Methods for Economic Evaluation Project (</w:t>
      </w:r>
      <w:r w:rsidRPr="002A4110">
        <w:t>MEEP</w:t>
      </w:r>
      <w:r>
        <w:t>)</w:t>
      </w:r>
      <w:r w:rsidRPr="002A4110">
        <w:t xml:space="preserve"> workshop held at the Bill and Melinda Gates Foundation headquarters in Seattle in June 2013 and subsequent consultation with workshop attendees. </w:t>
      </w:r>
      <w:r>
        <w:t xml:space="preserve">A full list of workshop attendees can be found at </w:t>
      </w:r>
      <w:hyperlink r:id="rId9" w:history="1">
        <w:r w:rsidRPr="00D62934">
          <w:rPr>
            <w:rStyle w:val="Hyperlink"/>
          </w:rPr>
          <w:t>www.idsihealth.org/knowledge_base/the-reference-case-for-economic-evaluation/</w:t>
        </w:r>
      </w:hyperlink>
      <w:r>
        <w:t>. The following workshop attendees</w:t>
      </w:r>
      <w:r w:rsidRPr="002A4110">
        <w:t xml:space="preserve"> (in alphabetical order) provided substantive contributions to </w:t>
      </w:r>
      <w:r>
        <w:t xml:space="preserve">the Reference Case development: </w:t>
      </w:r>
      <w:r w:rsidRPr="002A4110">
        <w:t xml:space="preserve">Ruth </w:t>
      </w:r>
      <w:proofErr w:type="spellStart"/>
      <w:r w:rsidRPr="002A4110">
        <w:t>Faden</w:t>
      </w:r>
      <w:proofErr w:type="spellEnd"/>
      <w:r w:rsidRPr="002A4110">
        <w:t xml:space="preserve"> - Director John Hopkin</w:t>
      </w:r>
      <w:r>
        <w:t xml:space="preserve">s Berman Institute of Bioethics; </w:t>
      </w:r>
      <w:proofErr w:type="spellStart"/>
      <w:r w:rsidRPr="002A4110">
        <w:t>Marthe</w:t>
      </w:r>
      <w:proofErr w:type="spellEnd"/>
      <w:r w:rsidRPr="002A4110">
        <w:t xml:space="preserve"> Gold - Logan Professor and Chair of the Department of Community Health and Social </w:t>
      </w:r>
      <w:r>
        <w:t xml:space="preserve">Medicine City College New York; </w:t>
      </w:r>
      <w:r w:rsidRPr="002A4110">
        <w:t>Carol Levin - Senior Health Eco</w:t>
      </w:r>
      <w:r>
        <w:t xml:space="preserve">nomist University of Washington; </w:t>
      </w:r>
      <w:r w:rsidRPr="002A4110">
        <w:t>Francis Ruiz – Sen</w:t>
      </w:r>
      <w:r>
        <w:t xml:space="preserve">ior Advisor, NICE International; </w:t>
      </w:r>
      <w:r w:rsidRPr="002A4110">
        <w:t>Peter Smith - Professor, Imperial college of London</w:t>
      </w:r>
      <w:r>
        <w:t>;</w:t>
      </w:r>
      <w:r w:rsidRPr="002A4110">
        <w:t xml:space="preserve"> Anna </w:t>
      </w:r>
      <w:proofErr w:type="spellStart"/>
      <w:r w:rsidRPr="002A4110">
        <w:t>Vassall</w:t>
      </w:r>
      <w:proofErr w:type="spellEnd"/>
      <w:r w:rsidRPr="002A4110">
        <w:t xml:space="preserve"> - Lecturer, London School</w:t>
      </w:r>
      <w:r>
        <w:t xml:space="preserve"> of Hygiene &amp; Tropical Medicine</w:t>
      </w:r>
    </w:p>
    <w:p w14:paraId="29E04B19" w14:textId="77777777" w:rsidR="00D962DA" w:rsidRDefault="00D962DA" w:rsidP="00940243">
      <w:pPr>
        <w:pStyle w:val="MEEPbodytext"/>
      </w:pPr>
    </w:p>
    <w:p w14:paraId="46F16E7C" w14:textId="4433AB1E" w:rsidR="007E2D40" w:rsidRDefault="007E2D40" w:rsidP="00940243">
      <w:pPr>
        <w:pStyle w:val="MEEPbodytext"/>
      </w:pPr>
      <w:r>
        <w:br w:type="page"/>
      </w:r>
    </w:p>
    <w:p w14:paraId="5D9DCFB3" w14:textId="0A35E604" w:rsidR="00527F9F" w:rsidRPr="00527F9F" w:rsidRDefault="00527F9F" w:rsidP="00B6581B">
      <w:pPr>
        <w:pStyle w:val="Heading1"/>
        <w:jc w:val="both"/>
        <w:rPr>
          <w:lang w:val="en-GB" w:eastAsia="en-GB"/>
        </w:rPr>
      </w:pPr>
      <w:r w:rsidRPr="00527F9F">
        <w:rPr>
          <w:lang w:val="en-GB" w:eastAsia="en-GB"/>
        </w:rPr>
        <w:lastRenderedPageBreak/>
        <w:t>Abstract:</w:t>
      </w:r>
    </w:p>
    <w:p w14:paraId="31888040" w14:textId="3A58CAC6" w:rsidR="00397B2E" w:rsidRPr="00191CE8" w:rsidRDefault="00397B2E" w:rsidP="00940243">
      <w:pPr>
        <w:pStyle w:val="MEEPbodytext"/>
      </w:pPr>
      <w:r w:rsidRPr="00191CE8">
        <w:t>Policy makers</w:t>
      </w:r>
      <w:r w:rsidR="005C2FF5">
        <w:t xml:space="preserve"> </w:t>
      </w:r>
      <w:r w:rsidR="006F7912">
        <w:t xml:space="preserve">in high, low and middle income countries alike </w:t>
      </w:r>
      <w:r w:rsidR="00D72E53">
        <w:t>face</w:t>
      </w:r>
      <w:r w:rsidR="006F7912">
        <w:t xml:space="preserve"> </w:t>
      </w:r>
      <w:r w:rsidR="003A580E">
        <w:t xml:space="preserve">challenging </w:t>
      </w:r>
      <w:r w:rsidR="00D72E53">
        <w:t xml:space="preserve">choices </w:t>
      </w:r>
      <w:r w:rsidRPr="00191CE8">
        <w:t xml:space="preserve">about resource allocation </w:t>
      </w:r>
      <w:r w:rsidR="00D72E53">
        <w:t>in</w:t>
      </w:r>
      <w:r w:rsidR="00D72E53" w:rsidRPr="00191CE8">
        <w:t xml:space="preserve"> </w:t>
      </w:r>
      <w:r w:rsidRPr="00191CE8">
        <w:t>health</w:t>
      </w:r>
      <w:r w:rsidR="00A516BB">
        <w:t xml:space="preserve">. </w:t>
      </w:r>
      <w:r w:rsidR="00F55EBE">
        <w:t>E</w:t>
      </w:r>
      <w:r w:rsidR="009A3A27">
        <w:t xml:space="preserve">conomic evaluation </w:t>
      </w:r>
      <w:r w:rsidR="00107335">
        <w:t xml:space="preserve">can be </w:t>
      </w:r>
      <w:r w:rsidR="00D72E53">
        <w:t>useful in p</w:t>
      </w:r>
      <w:r w:rsidR="003A580E">
        <w:t>rovid</w:t>
      </w:r>
      <w:r w:rsidR="00D72E53">
        <w:t>ing</w:t>
      </w:r>
      <w:r w:rsidR="003A580E">
        <w:t xml:space="preserve"> decision makers with the best evidence o</w:t>
      </w:r>
      <w:r w:rsidR="00A516BB">
        <w:t>f</w:t>
      </w:r>
      <w:r w:rsidR="003A580E">
        <w:t xml:space="preserve"> the</w:t>
      </w:r>
      <w:r w:rsidR="00D72E53">
        <w:t xml:space="preserve"> anticipated </w:t>
      </w:r>
      <w:r w:rsidR="003A580E">
        <w:t xml:space="preserve">benefits </w:t>
      </w:r>
      <w:r w:rsidR="00D72E53">
        <w:t>of new</w:t>
      </w:r>
      <w:r w:rsidR="003A580E">
        <w:t xml:space="preserve"> </w:t>
      </w:r>
      <w:r w:rsidR="00D72E53">
        <w:t>investment</w:t>
      </w:r>
      <w:r w:rsidR="003A580E">
        <w:t>s, as well as the</w:t>
      </w:r>
      <w:r w:rsidR="00D72E53">
        <w:t>ir</w:t>
      </w:r>
      <w:r w:rsidR="003A580E">
        <w:t xml:space="preserve"> expected opportunity costs </w:t>
      </w:r>
      <w:r w:rsidR="00D72E53">
        <w:t>-</w:t>
      </w:r>
      <w:r w:rsidR="003A580E">
        <w:t xml:space="preserve"> the benefits </w:t>
      </w:r>
      <w:r w:rsidR="00D72E53">
        <w:t xml:space="preserve">forgone </w:t>
      </w:r>
      <w:r w:rsidR="00C149A4">
        <w:t>of the</w:t>
      </w:r>
      <w:r w:rsidR="003A580E">
        <w:t xml:space="preserve"> </w:t>
      </w:r>
      <w:r w:rsidR="00D72E53">
        <w:t>options</w:t>
      </w:r>
      <w:r w:rsidR="003A580E">
        <w:t xml:space="preserve"> </w:t>
      </w:r>
      <w:r w:rsidR="00C149A4">
        <w:t>not chosen</w:t>
      </w:r>
      <w:r w:rsidR="003A580E">
        <w:t>. To guide the decisions of health systems</w:t>
      </w:r>
      <w:r w:rsidR="00D72E53">
        <w:t xml:space="preserve"> effectively</w:t>
      </w:r>
      <w:r w:rsidR="003A580E">
        <w:t>, it</w:t>
      </w:r>
      <w:r w:rsidR="005C2FF5" w:rsidRPr="00191CE8">
        <w:t xml:space="preserve"> is </w:t>
      </w:r>
      <w:r w:rsidR="007A2E05">
        <w:t>important</w:t>
      </w:r>
      <w:r w:rsidR="007A2E05" w:rsidRPr="00191CE8">
        <w:t xml:space="preserve"> </w:t>
      </w:r>
      <w:r w:rsidR="005C2FF5" w:rsidRPr="00191CE8">
        <w:t>that the method</w:t>
      </w:r>
      <w:r w:rsidR="005C2FF5">
        <w:t>s</w:t>
      </w:r>
      <w:r w:rsidR="005C2FF5" w:rsidRPr="00191CE8">
        <w:t xml:space="preserve"> of economic evaluation </w:t>
      </w:r>
      <w:r w:rsidR="005C2FF5">
        <w:t>are</w:t>
      </w:r>
      <w:r w:rsidR="005C2FF5" w:rsidRPr="00191CE8">
        <w:t xml:space="preserve"> founded on clear principles</w:t>
      </w:r>
      <w:r w:rsidR="005C2FF5">
        <w:t xml:space="preserve">, are </w:t>
      </w:r>
      <w:r w:rsidR="005C2FF5" w:rsidRPr="00191CE8">
        <w:t>applied systematically</w:t>
      </w:r>
      <w:r w:rsidR="00D72E53">
        <w:t>,</w:t>
      </w:r>
      <w:r w:rsidR="005C2FF5">
        <w:t xml:space="preserve"> and are appropriate to the decision problems they seek to inform. </w:t>
      </w:r>
    </w:p>
    <w:p w14:paraId="6D34AFDE" w14:textId="535C0CCB" w:rsidR="00397B2E" w:rsidRPr="00191CE8" w:rsidRDefault="00397B2E" w:rsidP="00940243">
      <w:pPr>
        <w:pStyle w:val="MEEPbodytext"/>
      </w:pPr>
      <w:r w:rsidRPr="00191CE8">
        <w:t>The Bill and Melinda Gates Foundation</w:t>
      </w:r>
      <w:r w:rsidR="00417509">
        <w:t xml:space="preserve"> (BMGF)</w:t>
      </w:r>
      <w:r w:rsidR="00296A7A">
        <w:t>,</w:t>
      </w:r>
      <w:r w:rsidRPr="00191CE8">
        <w:t xml:space="preserve"> a major funder of economic evaluation</w:t>
      </w:r>
      <w:r w:rsidR="006C6751">
        <w:t>s</w:t>
      </w:r>
      <w:r w:rsidRPr="00191CE8">
        <w:t xml:space="preserve"> of health technologies in</w:t>
      </w:r>
      <w:r w:rsidR="006C6751">
        <w:t xml:space="preserve"> low and middle income countries</w:t>
      </w:r>
      <w:r w:rsidR="00953AD6">
        <w:t xml:space="preserve"> (LMIC)</w:t>
      </w:r>
      <w:r w:rsidR="007F7A06">
        <w:t xml:space="preserve">, </w:t>
      </w:r>
      <w:r w:rsidR="00E05EA1">
        <w:t>commissioned</w:t>
      </w:r>
      <w:r w:rsidR="00572B8E">
        <w:t xml:space="preserve"> </w:t>
      </w:r>
      <w:r w:rsidRPr="00191CE8">
        <w:t xml:space="preserve">a </w:t>
      </w:r>
      <w:r w:rsidR="0082595F">
        <w:t>“</w:t>
      </w:r>
      <w:r w:rsidRPr="00191CE8">
        <w:t>reference case</w:t>
      </w:r>
      <w:r w:rsidR="0082595F">
        <w:t>”</w:t>
      </w:r>
      <w:r w:rsidRPr="00191CE8">
        <w:t xml:space="preserve"> </w:t>
      </w:r>
      <w:r w:rsidR="000D6456">
        <w:t>through the International De</w:t>
      </w:r>
      <w:r w:rsidR="007F11E4">
        <w:t>cision Support Initiative</w:t>
      </w:r>
      <w:r w:rsidR="000D6456">
        <w:t xml:space="preserve"> </w:t>
      </w:r>
      <w:r w:rsidR="007F11E4">
        <w:t xml:space="preserve">(iDSI) </w:t>
      </w:r>
      <w:r w:rsidRPr="00191CE8">
        <w:t>to guide</w:t>
      </w:r>
      <w:r w:rsidR="0082595F">
        <w:t xml:space="preserve"> future</w:t>
      </w:r>
      <w:r w:rsidRPr="00191CE8">
        <w:t xml:space="preserve"> evaluation</w:t>
      </w:r>
      <w:r w:rsidR="0082595F">
        <w:t>s</w:t>
      </w:r>
      <w:r w:rsidR="00D0701C">
        <w:t>,</w:t>
      </w:r>
      <w:r w:rsidR="00CF46BA">
        <w:t xml:space="preserve"> and improve </w:t>
      </w:r>
      <w:r w:rsidR="00D0701C">
        <w:t xml:space="preserve">both the consistency and </w:t>
      </w:r>
      <w:r w:rsidR="00CF46BA">
        <w:t>usefulness to decision makers</w:t>
      </w:r>
      <w:r w:rsidRPr="00191CE8">
        <w:t xml:space="preserve">. </w:t>
      </w:r>
    </w:p>
    <w:p w14:paraId="03C81576" w14:textId="164BFE19" w:rsidR="007E6FFC" w:rsidRPr="00F17C76" w:rsidRDefault="00397B2E" w:rsidP="00940243">
      <w:pPr>
        <w:pStyle w:val="MEEPbodytext"/>
      </w:pPr>
      <w:r w:rsidRPr="00191CE8">
        <w:t>Th</w:t>
      </w:r>
      <w:r w:rsidR="009B0D1C">
        <w:t>e iDSI</w:t>
      </w:r>
      <w:r w:rsidR="0023266A">
        <w:t xml:space="preserve"> Reference Case </w:t>
      </w:r>
      <w:r w:rsidR="00CF46BA">
        <w:t>is an aid to thought</w:t>
      </w:r>
      <w:r w:rsidR="00D72E53">
        <w:t>,</w:t>
      </w:r>
      <w:r w:rsidR="00CF46BA">
        <w:t xml:space="preserve"> not </w:t>
      </w:r>
      <w:r w:rsidR="00C149A4">
        <w:t xml:space="preserve">a </w:t>
      </w:r>
      <w:r w:rsidR="00CF46BA">
        <w:t>subs</w:t>
      </w:r>
      <w:r w:rsidR="007F11E4">
        <w:t>titute for it, and should not</w:t>
      </w:r>
      <w:r w:rsidR="00CF46BA">
        <w:t xml:space="preserve"> be followed slavishly </w:t>
      </w:r>
      <w:r w:rsidR="00D72E53">
        <w:t xml:space="preserve">without </w:t>
      </w:r>
      <w:r w:rsidR="00CF46BA">
        <w:t>regard</w:t>
      </w:r>
      <w:r w:rsidR="00D72E53">
        <w:t xml:space="preserve"> to</w:t>
      </w:r>
      <w:r w:rsidR="00CF46BA">
        <w:t xml:space="preserve"> context, culture or history. It </w:t>
      </w:r>
      <w:r w:rsidRPr="00191CE8">
        <w:t xml:space="preserve">draws on </w:t>
      </w:r>
      <w:r w:rsidR="00DE6018">
        <w:t xml:space="preserve">previous </w:t>
      </w:r>
      <w:r w:rsidR="00D72E53">
        <w:t>insights from</w:t>
      </w:r>
      <w:r w:rsidRPr="00191CE8">
        <w:t xml:space="preserve"> the </w:t>
      </w:r>
      <w:r w:rsidR="007F11E4">
        <w:t>WHO</w:t>
      </w:r>
      <w:r w:rsidRPr="00191CE8">
        <w:t>, the US Panel</w:t>
      </w:r>
      <w:r w:rsidR="009B0D1C">
        <w:t xml:space="preserve"> on Cost Ef</w:t>
      </w:r>
      <w:r w:rsidR="00953AD6">
        <w:t>fectiveness in Health Care</w:t>
      </w:r>
      <w:r w:rsidRPr="00191CE8">
        <w:t xml:space="preserve">, and the </w:t>
      </w:r>
      <w:r w:rsidR="00D72E53">
        <w:t xml:space="preserve">UK </w:t>
      </w:r>
      <w:r w:rsidRPr="00191CE8">
        <w:t>National Institute for Health and Care Excellence</w:t>
      </w:r>
      <w:r w:rsidR="000D6456">
        <w:t>.</w:t>
      </w:r>
      <w:r w:rsidR="00CF46BA">
        <w:t xml:space="preserve"> </w:t>
      </w:r>
      <w:r w:rsidR="00D0701C">
        <w:t>C</w:t>
      </w:r>
      <w:r w:rsidR="00D72E53">
        <w:t>ompris</w:t>
      </w:r>
      <w:r w:rsidR="00D0701C">
        <w:t>ing</w:t>
      </w:r>
      <w:r w:rsidR="00D72E53">
        <w:t xml:space="preserve"> </w:t>
      </w:r>
      <w:r w:rsidRPr="00191CE8">
        <w:t xml:space="preserve">eleven </w:t>
      </w:r>
      <w:r w:rsidR="00D0701C">
        <w:t>key</w:t>
      </w:r>
      <w:r w:rsidR="00D72E53">
        <w:t xml:space="preserve"> </w:t>
      </w:r>
      <w:r w:rsidRPr="00191CE8">
        <w:t>principles</w:t>
      </w:r>
      <w:r w:rsidR="00DE6018">
        <w:t xml:space="preserve">, each </w:t>
      </w:r>
      <w:r w:rsidR="00D72E53">
        <w:t>accompanied by</w:t>
      </w:r>
      <w:r w:rsidRPr="00191CE8">
        <w:t xml:space="preserve"> methodological specifications and reporting standards</w:t>
      </w:r>
      <w:r w:rsidR="00D0701C">
        <w:t>, t</w:t>
      </w:r>
      <w:r w:rsidRPr="00191CE8">
        <w:t xml:space="preserve">he </w:t>
      </w:r>
      <w:r w:rsidR="00953AD6">
        <w:t>iDSI Reference C</w:t>
      </w:r>
      <w:r w:rsidRPr="00191CE8">
        <w:t xml:space="preserve">ase also serves as a </w:t>
      </w:r>
      <w:r w:rsidR="008E180C">
        <w:t xml:space="preserve">means </w:t>
      </w:r>
      <w:r w:rsidR="00DE6018">
        <w:t xml:space="preserve">of identifying </w:t>
      </w:r>
      <w:r w:rsidR="00BD4D9F">
        <w:t xml:space="preserve">priorities for </w:t>
      </w:r>
      <w:r w:rsidR="007F7A06">
        <w:t xml:space="preserve">methods </w:t>
      </w:r>
      <w:r w:rsidR="00DE6018">
        <w:t xml:space="preserve">research, </w:t>
      </w:r>
      <w:r w:rsidR="00336E78">
        <w:t xml:space="preserve">and can be used as a framework for capacity building and technical assistance in </w:t>
      </w:r>
      <w:r w:rsidR="00F55EBE">
        <w:t>LMIC</w:t>
      </w:r>
      <w:r w:rsidR="00D72E53">
        <w:t>s</w:t>
      </w:r>
      <w:r w:rsidR="00336E78">
        <w:t xml:space="preserve">. </w:t>
      </w:r>
      <w:r w:rsidR="009E14E3">
        <w:t xml:space="preserve">This paper </w:t>
      </w:r>
      <w:r w:rsidR="00EB4C95">
        <w:t>presents the iDSI Reference C</w:t>
      </w:r>
      <w:r w:rsidR="00EB4C95" w:rsidRPr="00191CE8">
        <w:t xml:space="preserve">ase </w:t>
      </w:r>
      <w:r w:rsidR="00EB4C95">
        <w:t xml:space="preserve">and </w:t>
      </w:r>
      <w:r w:rsidR="007F11E4">
        <w:t>discusses</w:t>
      </w:r>
      <w:r w:rsidR="009E14E3">
        <w:t xml:space="preserve"> </w:t>
      </w:r>
      <w:r w:rsidR="00D0701C">
        <w:t>rationale, approach</w:t>
      </w:r>
      <w:r w:rsidR="00EB4C95">
        <w:t>,</w:t>
      </w:r>
      <w:r w:rsidR="00D0701C">
        <w:t xml:space="preserve"> </w:t>
      </w:r>
      <w:r w:rsidR="00EB4C95">
        <w:t>components and application in LMICs.</w:t>
      </w:r>
      <w:bookmarkStart w:id="2" w:name="_Toc380681255"/>
      <w:bookmarkEnd w:id="0"/>
    </w:p>
    <w:p w14:paraId="4670CBBB" w14:textId="790B3957" w:rsidR="00CA5A8F" w:rsidRPr="00B6581B" w:rsidRDefault="00FD0E61" w:rsidP="00B6581B">
      <w:pPr>
        <w:pStyle w:val="Heading2"/>
      </w:pPr>
      <w:r w:rsidRPr="00191CE8">
        <w:rPr>
          <w:b/>
        </w:rPr>
        <w:br w:type="page"/>
      </w:r>
      <w:r w:rsidR="00AC41EE" w:rsidRPr="00B6581B">
        <w:lastRenderedPageBreak/>
        <w:t xml:space="preserve">Economic evaluation and </w:t>
      </w:r>
      <w:r w:rsidR="00504E4B" w:rsidRPr="00B6581B">
        <w:t xml:space="preserve">good </w:t>
      </w:r>
      <w:r w:rsidR="00AC41EE" w:rsidRPr="00B6581B">
        <w:t>decision making</w:t>
      </w:r>
      <w:bookmarkEnd w:id="2"/>
    </w:p>
    <w:p w14:paraId="7D92A3B4" w14:textId="4283B296" w:rsidR="00AC7A7A" w:rsidRDefault="00CA5A8F" w:rsidP="00940243">
      <w:pPr>
        <w:pStyle w:val="MEEPbodytext"/>
      </w:pPr>
      <w:r w:rsidRPr="00191CE8">
        <w:t xml:space="preserve">Good </w:t>
      </w:r>
      <w:r w:rsidRPr="00F17C76">
        <w:t>decisions</w:t>
      </w:r>
      <w:r w:rsidRPr="00191CE8">
        <w:t xml:space="preserve"> are those that </w:t>
      </w:r>
      <w:r w:rsidR="00B21239">
        <w:t xml:space="preserve">attempt to </w:t>
      </w:r>
      <w:r w:rsidRPr="00191CE8">
        <w:t>maximise benefits and minimise harms</w:t>
      </w:r>
      <w:r w:rsidR="00E25AA1">
        <w:t xml:space="preserve">. </w:t>
      </w:r>
      <w:r w:rsidR="00641072">
        <w:t>B</w:t>
      </w:r>
      <w:r w:rsidR="00E25AA1">
        <w:t xml:space="preserve">enefits </w:t>
      </w:r>
      <w:r w:rsidR="00332E3D">
        <w:t xml:space="preserve">and harms </w:t>
      </w:r>
      <w:r w:rsidR="00E25AA1">
        <w:t xml:space="preserve">of a health policy decision </w:t>
      </w:r>
      <w:r w:rsidR="00A64F32">
        <w:t>are often</w:t>
      </w:r>
      <w:r w:rsidR="00E25AA1">
        <w:t xml:space="preserve"> difficult to </w:t>
      </w:r>
      <w:r w:rsidR="00504E4B">
        <w:t xml:space="preserve">identify and measure </w:t>
      </w:r>
      <w:r w:rsidR="00A64F32">
        <w:t>fully, so the evidence base for both is rarely complete</w:t>
      </w:r>
      <w:r w:rsidR="00332E3D">
        <w:t xml:space="preserve">. </w:t>
      </w:r>
      <w:r w:rsidR="00350FB5">
        <w:t>The o</w:t>
      </w:r>
      <w:r w:rsidR="00332E3D">
        <w:t>pportunity cost</w:t>
      </w:r>
      <w:r w:rsidR="008E180C">
        <w:t>s</w:t>
      </w:r>
      <w:r w:rsidR="00C969E7">
        <w:t xml:space="preserve"> of a decision –</w:t>
      </w:r>
      <w:r w:rsidR="00350FB5">
        <w:t xml:space="preserve"> the benefits forgone</w:t>
      </w:r>
      <w:r w:rsidR="00AC7A7A">
        <w:t xml:space="preserve"> or harm caused</w:t>
      </w:r>
      <w:r w:rsidR="00350FB5">
        <w:t xml:space="preserve"> as a result of spending limited resources on one intervention and not on another -</w:t>
      </w:r>
      <w:r w:rsidR="00332E3D">
        <w:t xml:space="preserve"> </w:t>
      </w:r>
      <w:r w:rsidR="008E180C">
        <w:t xml:space="preserve">are </w:t>
      </w:r>
      <w:r w:rsidR="00A64F32">
        <w:t>even more elusive</w:t>
      </w:r>
      <w:r w:rsidR="00350FB5">
        <w:t>.</w:t>
      </w:r>
      <w:r w:rsidR="00AC7A7A">
        <w:t xml:space="preserve"> Further, d</w:t>
      </w:r>
      <w:r w:rsidR="00A603CB" w:rsidRPr="00191CE8">
        <w:t>ecision-m</w:t>
      </w:r>
      <w:r w:rsidRPr="00191CE8">
        <w:t>aking in health is inherently value-laden</w:t>
      </w:r>
      <w:r w:rsidR="008E180C">
        <w:t>; i</w:t>
      </w:r>
      <w:r w:rsidRPr="00191CE8">
        <w:t xml:space="preserve">ndividual </w:t>
      </w:r>
      <w:r w:rsidR="00D755F2" w:rsidRPr="00191CE8">
        <w:t>and</w:t>
      </w:r>
      <w:r w:rsidRPr="00191CE8">
        <w:t xml:space="preserve"> co</w:t>
      </w:r>
      <w:r w:rsidR="00B66386" w:rsidRPr="00191CE8">
        <w:t>llective</w:t>
      </w:r>
      <w:r w:rsidRPr="00191CE8">
        <w:t xml:space="preserve"> beliefs, needs and aspirations</w:t>
      </w:r>
      <w:r w:rsidR="00623470">
        <w:t xml:space="preserve"> </w:t>
      </w:r>
      <w:r w:rsidR="00953AD6">
        <w:t>commonly influence</w:t>
      </w:r>
      <w:r w:rsidR="004070B2" w:rsidRPr="00191CE8">
        <w:t xml:space="preserve"> </w:t>
      </w:r>
      <w:r w:rsidR="00B80D86">
        <w:t>spending priorities</w:t>
      </w:r>
      <w:r w:rsidRPr="00191CE8">
        <w:t xml:space="preserve">.  </w:t>
      </w:r>
    </w:p>
    <w:p w14:paraId="322CCAE8" w14:textId="356A7BCF" w:rsidR="00B80D86" w:rsidRDefault="002E7A9F" w:rsidP="00940243">
      <w:pPr>
        <w:pStyle w:val="MEEPbodytext"/>
      </w:pPr>
      <w:r>
        <w:t xml:space="preserve">To make good decisions, </w:t>
      </w:r>
      <w:r w:rsidR="00A603CB" w:rsidRPr="00191CE8">
        <w:t>decision-m</w:t>
      </w:r>
      <w:r w:rsidR="00CA5A8F" w:rsidRPr="00191CE8">
        <w:t xml:space="preserve">akers - whether </w:t>
      </w:r>
      <w:r w:rsidR="00B66386" w:rsidRPr="00191CE8">
        <w:t xml:space="preserve">they are </w:t>
      </w:r>
      <w:r w:rsidR="00CA5A8F" w:rsidRPr="00191CE8">
        <w:t>local or national policy makers, clinicians, institutions, non-government organisations,</w:t>
      </w:r>
      <w:r w:rsidR="00D755F2" w:rsidRPr="00191CE8">
        <w:t xml:space="preserve"> or global funding bodies -</w:t>
      </w:r>
      <w:r w:rsidR="00CA5A8F" w:rsidRPr="00191CE8">
        <w:t xml:space="preserve"> not </w:t>
      </w:r>
      <w:r w:rsidR="00C65D9A" w:rsidRPr="00191CE8">
        <w:t xml:space="preserve">only </w:t>
      </w:r>
      <w:r w:rsidR="00CA5A8F" w:rsidRPr="00191CE8">
        <w:t>need sound evidence of the likely costs</w:t>
      </w:r>
      <w:r w:rsidR="00BD4D9F">
        <w:t>,</w:t>
      </w:r>
      <w:r w:rsidR="00CA5A8F" w:rsidRPr="00191CE8">
        <w:t xml:space="preserve"> benefits </w:t>
      </w:r>
      <w:r w:rsidR="00BD4D9F">
        <w:t xml:space="preserve">and opportunity costs </w:t>
      </w:r>
      <w:r w:rsidR="00CA5A8F" w:rsidRPr="00191CE8">
        <w:t xml:space="preserve">of their choices, but </w:t>
      </w:r>
      <w:r w:rsidR="00155E57">
        <w:t>they</w:t>
      </w:r>
      <w:r w:rsidR="009228FB">
        <w:t xml:space="preserve"> have to</w:t>
      </w:r>
      <w:r w:rsidR="00155E57">
        <w:t xml:space="preserve"> filter the </w:t>
      </w:r>
      <w:r w:rsidR="00CA5A8F" w:rsidRPr="00191CE8">
        <w:t>evidence thro</w:t>
      </w:r>
      <w:r w:rsidR="00D755F2" w:rsidRPr="00191CE8">
        <w:t>ugh a prism of values</w:t>
      </w:r>
      <w:r w:rsidR="005F23BE">
        <w:t>, whether their own, those</w:t>
      </w:r>
      <w:r>
        <w:t xml:space="preserve"> of the a</w:t>
      </w:r>
      <w:r w:rsidR="005F23BE">
        <w:t>gency for which they work,</w:t>
      </w:r>
      <w:r>
        <w:t xml:space="preserve"> of a particular stakeholder group, or of society in general</w:t>
      </w:r>
      <w:r w:rsidR="00D755F2" w:rsidRPr="00191CE8">
        <w:t xml:space="preserve">. </w:t>
      </w:r>
    </w:p>
    <w:p w14:paraId="4F1A8EB0" w14:textId="06745FE3" w:rsidR="00DF498A" w:rsidRDefault="00AC7A7A" w:rsidP="00940243">
      <w:pPr>
        <w:pStyle w:val="MEEPbodytext"/>
      </w:pPr>
      <w:r>
        <w:rPr>
          <w:rFonts w:eastAsiaTheme="majorEastAsia"/>
          <w:bCs/>
        </w:rPr>
        <w:t>When used in health, “e</w:t>
      </w:r>
      <w:r w:rsidRPr="00191CE8">
        <w:rPr>
          <w:rFonts w:eastAsiaTheme="majorEastAsia"/>
          <w:bCs/>
        </w:rPr>
        <w:t>conomic</w:t>
      </w:r>
      <w:r w:rsidRPr="00191CE8">
        <w:t xml:space="preserve"> evaluation</w:t>
      </w:r>
      <w:r>
        <w:t>”</w:t>
      </w:r>
      <w:r w:rsidRPr="00191CE8">
        <w:t xml:space="preserve"> </w:t>
      </w:r>
      <w:r>
        <w:t>refers to</w:t>
      </w:r>
      <w:r w:rsidRPr="00191CE8">
        <w:t xml:space="preserve"> a suite of methods</w:t>
      </w:r>
      <w:r>
        <w:t xml:space="preserve"> for</w:t>
      </w:r>
      <w:r w:rsidRPr="00191CE8">
        <w:t xml:space="preserve"> identify</w:t>
      </w:r>
      <w:r>
        <w:t>ing the</w:t>
      </w:r>
      <w:r w:rsidRPr="00191CE8">
        <w:t xml:space="preserve"> costs and</w:t>
      </w:r>
      <w:r>
        <w:t xml:space="preserve"> benefits expected from</w:t>
      </w:r>
      <w:r w:rsidRPr="00191CE8">
        <w:t xml:space="preserve"> </w:t>
      </w:r>
      <w:r>
        <w:t xml:space="preserve">a health </w:t>
      </w:r>
      <w:r w:rsidRPr="00191CE8">
        <w:t>intervention</w:t>
      </w:r>
      <w:r>
        <w:t xml:space="preserve">, such as an individual technology or clinical intervention, a platform for a variety of interventions, </w:t>
      </w:r>
      <w:r w:rsidR="0007035C">
        <w:t xml:space="preserve">public health programmes, </w:t>
      </w:r>
      <w:r>
        <w:t>or a wider service development</w:t>
      </w:r>
      <w:r w:rsidR="00953AD6">
        <w:t xml:space="preserve"> </w:t>
      </w:r>
      <w:r w:rsidR="008F03CF" w:rsidRPr="008F03CF">
        <w:t>(Culyer 2014)</w:t>
      </w:r>
      <w:r w:rsidRPr="008F03CF">
        <w:t>.</w:t>
      </w:r>
      <w:r w:rsidR="0030055D" w:rsidRPr="008F03CF">
        <w:t xml:space="preserve"> </w:t>
      </w:r>
      <w:r w:rsidRPr="008F03CF">
        <w:t>E</w:t>
      </w:r>
      <w:r w:rsidR="00B80D86" w:rsidRPr="008F03CF">
        <w:t>conomic</w:t>
      </w:r>
      <w:r w:rsidR="00B80D86">
        <w:t xml:space="preserve"> evaluation can play an im</w:t>
      </w:r>
      <w:r>
        <w:t xml:space="preserve">portant part in clarifying </w:t>
      </w:r>
      <w:r w:rsidR="00B80D86">
        <w:t>the li</w:t>
      </w:r>
      <w:r w:rsidR="00996381">
        <w:t>kely consequences of a decision</w:t>
      </w:r>
      <w:r w:rsidR="00B80D86">
        <w:t xml:space="preserve"> </w:t>
      </w:r>
      <w:r w:rsidR="00996381">
        <w:t>(</w:t>
      </w:r>
      <w:r w:rsidR="00B80D86">
        <w:t>including the opportunity costs</w:t>
      </w:r>
      <w:r w:rsidR="00996381">
        <w:t>)</w:t>
      </w:r>
      <w:r w:rsidR="00B80D86">
        <w:t xml:space="preserve"> thereby enhancing the quality of decision-making</w:t>
      </w:r>
      <w:r w:rsidR="00D27703">
        <w:t xml:space="preserve"> (Drummond 2015)</w:t>
      </w:r>
      <w:r w:rsidR="00B80D86">
        <w:t>.</w:t>
      </w:r>
    </w:p>
    <w:p w14:paraId="5B57F6FA" w14:textId="21EEAE78" w:rsidR="003A39BC" w:rsidRDefault="00AC7A7A" w:rsidP="00940243">
      <w:pPr>
        <w:pStyle w:val="MEEPbodytext"/>
      </w:pPr>
      <w:r>
        <w:t>E</w:t>
      </w:r>
      <w:r w:rsidR="00623470">
        <w:t>c</w:t>
      </w:r>
      <w:r>
        <w:t>onomic evaluation as</w:t>
      </w:r>
      <w:r w:rsidR="00512E83">
        <w:t xml:space="preserve"> a</w:t>
      </w:r>
      <w:r w:rsidR="00C969E7">
        <w:t xml:space="preserve"> component of Health T</w:t>
      </w:r>
      <w:r w:rsidR="00E93470">
        <w:t>echnology Assessment (HTA)</w:t>
      </w:r>
      <w:r>
        <w:t xml:space="preserve">, </w:t>
      </w:r>
      <w:r w:rsidR="00512E83">
        <w:t>is gaining</w:t>
      </w:r>
      <w:r w:rsidR="00CA5A8F" w:rsidRPr="00191CE8">
        <w:t xml:space="preserve"> increasing attention from </w:t>
      </w:r>
      <w:r w:rsidR="00A603CB" w:rsidRPr="00191CE8">
        <w:t>decision-m</w:t>
      </w:r>
      <w:r w:rsidR="00CA5A8F" w:rsidRPr="00191CE8">
        <w:t>akers in wealthy and resource-poor countries</w:t>
      </w:r>
      <w:r w:rsidR="00512E83">
        <w:t xml:space="preserve"> alike</w:t>
      </w:r>
      <w:r w:rsidR="00CA5A8F" w:rsidRPr="00191CE8">
        <w:t>, as well as among global donors.</w:t>
      </w:r>
      <w:r w:rsidR="00623470">
        <w:t xml:space="preserve"> </w:t>
      </w:r>
      <w:r w:rsidR="00641072">
        <w:t>In 2014 t</w:t>
      </w:r>
      <w:r w:rsidR="00623470">
        <w:t xml:space="preserve">he World Health Assembly </w:t>
      </w:r>
      <w:r w:rsidR="002A71B0">
        <w:t>resolution</w:t>
      </w:r>
      <w:r w:rsidR="00C969E7">
        <w:t xml:space="preserve"> 67.23 </w:t>
      </w:r>
      <w:r w:rsidR="00CA5A8F" w:rsidRPr="00191CE8">
        <w:t xml:space="preserve">identified </w:t>
      </w:r>
      <w:r>
        <w:t>HTA</w:t>
      </w:r>
      <w:r>
        <w:rPr>
          <w:rStyle w:val="FootnoteReference"/>
        </w:rPr>
        <w:footnoteReference w:id="1"/>
      </w:r>
      <w:r w:rsidR="00E93470">
        <w:t xml:space="preserve"> </w:t>
      </w:r>
      <w:r w:rsidR="00CA5A8F" w:rsidRPr="00191CE8">
        <w:t>as crucial for governments around the world to realise t</w:t>
      </w:r>
      <w:r w:rsidR="00E93470">
        <w:t>he benefits of Universal Health Coverage</w:t>
      </w:r>
      <w:r w:rsidR="00CA5A8F" w:rsidRPr="00191CE8">
        <w:t xml:space="preserve">, by </w:t>
      </w:r>
      <w:r w:rsidR="00482F2D" w:rsidRPr="00191CE8">
        <w:t>facilitating</w:t>
      </w:r>
      <w:r w:rsidR="00CA5A8F" w:rsidRPr="00191CE8">
        <w:t xml:space="preserve"> the efficient and equitable allocation of health </w:t>
      </w:r>
      <w:r w:rsidR="00CA5A8F" w:rsidRPr="00191CE8">
        <w:lastRenderedPageBreak/>
        <w:t>care resources</w:t>
      </w:r>
      <w:r w:rsidR="00BE3CAD" w:rsidRPr="00191CE8">
        <w:t>.</w:t>
      </w:r>
      <w:r w:rsidR="009D76FD">
        <w:t xml:space="preserve"> </w:t>
      </w:r>
      <w:r w:rsidR="00444B21">
        <w:t>This paper presents a summary of the International Decision Support Initiative (iDSI) Reference Case (iDSI 2015a), which aims to improve the usefulness of information produced through economic evaluation thereby contributing to good decision making globally.</w:t>
      </w:r>
    </w:p>
    <w:p w14:paraId="2812DD89" w14:textId="2DCD7020" w:rsidR="00CA5A8F" w:rsidRPr="00191CE8" w:rsidRDefault="00CA5A8F" w:rsidP="00BC6CC1">
      <w:pPr>
        <w:pStyle w:val="Heading2"/>
      </w:pPr>
      <w:r w:rsidRPr="00191CE8">
        <w:t xml:space="preserve">What is a </w:t>
      </w:r>
      <w:r w:rsidR="00764DCF" w:rsidRPr="00191CE8">
        <w:t>r</w:t>
      </w:r>
      <w:r w:rsidRPr="00191CE8">
        <w:t xml:space="preserve">eference </w:t>
      </w:r>
      <w:r w:rsidR="00764DCF" w:rsidRPr="00191CE8">
        <w:t>c</w:t>
      </w:r>
      <w:r w:rsidRPr="00191CE8">
        <w:t>ase</w:t>
      </w:r>
      <w:r w:rsidR="004768A6">
        <w:t xml:space="preserve"> for </w:t>
      </w:r>
      <w:r w:rsidR="003E4356">
        <w:t>e</w:t>
      </w:r>
      <w:r w:rsidR="004768A6">
        <w:t xml:space="preserve">conomic </w:t>
      </w:r>
      <w:r w:rsidR="003E4356">
        <w:t>e</w:t>
      </w:r>
      <w:r w:rsidR="004768A6">
        <w:t>valuation</w:t>
      </w:r>
      <w:r w:rsidRPr="00191CE8">
        <w:t xml:space="preserve">?  </w:t>
      </w:r>
    </w:p>
    <w:p w14:paraId="330B0735" w14:textId="757D2877" w:rsidR="008B77EE" w:rsidRDefault="00C3038A" w:rsidP="00940243">
      <w:pPr>
        <w:pStyle w:val="MEEPbodytext"/>
      </w:pPr>
      <w:r w:rsidRPr="00191CE8">
        <w:t xml:space="preserve">A reference case </w:t>
      </w:r>
      <w:r w:rsidR="00567035">
        <w:t>guides</w:t>
      </w:r>
      <w:r w:rsidR="00096E5E">
        <w:t xml:space="preserve"> the planning, conduct and reporting of </w:t>
      </w:r>
      <w:r w:rsidR="00107FC7">
        <w:t xml:space="preserve">economic evaluation </w:t>
      </w:r>
      <w:r w:rsidR="00107FC7" w:rsidRPr="00191CE8">
        <w:t>so that both the approach to the analysis and the p</w:t>
      </w:r>
      <w:r w:rsidR="00697D60">
        <w:t>resentation of the results are coherent, transparent</w:t>
      </w:r>
      <w:r w:rsidR="00107FC7" w:rsidRPr="00191CE8">
        <w:t xml:space="preserve"> and consistent</w:t>
      </w:r>
      <w:r w:rsidR="00107FC7">
        <w:t xml:space="preserve">. </w:t>
      </w:r>
      <w:r w:rsidR="00323FB9">
        <w:t>But more than this</w:t>
      </w:r>
      <w:r w:rsidR="00944B88">
        <w:t>,</w:t>
      </w:r>
      <w:r w:rsidR="00944B88" w:rsidRPr="00944B88">
        <w:t xml:space="preserve"> </w:t>
      </w:r>
      <w:r w:rsidR="00944B88">
        <w:t>a reference case goes beyond recommendations of good practice methodology and analytics an</w:t>
      </w:r>
      <w:r w:rsidR="00697D60">
        <w:t xml:space="preserve">d constitutes </w:t>
      </w:r>
      <w:r w:rsidR="00944B88">
        <w:t>an</w:t>
      </w:r>
      <w:r w:rsidR="00EE00D9">
        <w:t xml:space="preserve"> explicit</w:t>
      </w:r>
      <w:r w:rsidR="00214BA9" w:rsidRPr="00191CE8">
        <w:t xml:space="preserve"> </w:t>
      </w:r>
      <w:r w:rsidR="00C76C4C" w:rsidRPr="00191CE8">
        <w:t xml:space="preserve">position </w:t>
      </w:r>
      <w:r w:rsidR="00214BA9" w:rsidRPr="00191CE8">
        <w:t xml:space="preserve">statement </w:t>
      </w:r>
      <w:r w:rsidR="00C76C4C" w:rsidRPr="00191CE8">
        <w:t xml:space="preserve">on a range of </w:t>
      </w:r>
      <w:r w:rsidR="00214BA9" w:rsidRPr="00191CE8">
        <w:t xml:space="preserve">scientific and social values </w:t>
      </w:r>
      <w:r w:rsidR="00944B88">
        <w:t>inherent in the pra</w:t>
      </w:r>
      <w:r w:rsidR="00C60038">
        <w:t>ctice of economic evaluation.</w:t>
      </w:r>
      <w:r w:rsidR="00944B88">
        <w:t xml:space="preserve"> </w:t>
      </w:r>
      <w:r w:rsidR="00AD5AE1">
        <w:t xml:space="preserve">A major motivation for using a reference case is that it enables </w:t>
      </w:r>
      <w:r w:rsidR="00AD5AE1" w:rsidRPr="00191CE8">
        <w:t>institutions or individuals want</w:t>
      </w:r>
      <w:r w:rsidR="00AD5AE1">
        <w:t>ing</w:t>
      </w:r>
      <w:r w:rsidR="00AD5AE1" w:rsidRPr="00191CE8">
        <w:t xml:space="preserve"> to use </w:t>
      </w:r>
      <w:r w:rsidR="00AD5AE1">
        <w:t>economic evaluation</w:t>
      </w:r>
      <w:r w:rsidR="00AD5AE1" w:rsidRPr="00191CE8">
        <w:t xml:space="preserve"> to inform their decision</w:t>
      </w:r>
      <w:r w:rsidR="00AD5AE1">
        <w:t>s to do so in full knowledge of its limitations</w:t>
      </w:r>
      <w:r w:rsidR="004416B7">
        <w:t xml:space="preserve"> and relevance to the decision problem at hand</w:t>
      </w:r>
      <w:r w:rsidR="00AD5AE1">
        <w:t xml:space="preserve">. </w:t>
      </w:r>
    </w:p>
    <w:p w14:paraId="1D668482" w14:textId="5D864B73" w:rsidR="00E46468" w:rsidRDefault="00E0515D" w:rsidP="00940243">
      <w:pPr>
        <w:pStyle w:val="MEEPbodytext"/>
      </w:pPr>
      <w:r w:rsidRPr="00191CE8">
        <w:t>In 1996 the US Panel on Cost-Effectiveness in Health and Medicine</w:t>
      </w:r>
      <w:r w:rsidR="00A427DB" w:rsidRPr="00191CE8">
        <w:t xml:space="preserve"> first proposed the use of a reference case as a means of improving quality and </w:t>
      </w:r>
      <w:r w:rsidR="00143B6C" w:rsidRPr="00191CE8">
        <w:t xml:space="preserve">comparability in conduct and reporting </w:t>
      </w:r>
      <w:r w:rsidR="00C3779D">
        <w:t xml:space="preserve">cost effectiveness analyses </w:t>
      </w:r>
      <w:r w:rsidR="00C3779D" w:rsidRPr="001761C0">
        <w:t>(</w:t>
      </w:r>
      <w:r w:rsidR="001761C0" w:rsidRPr="001761C0">
        <w:t>Gold</w:t>
      </w:r>
      <w:r w:rsidR="00C3779D" w:rsidRPr="001761C0">
        <w:t xml:space="preserve"> 1996)</w:t>
      </w:r>
      <w:r w:rsidR="0095570C" w:rsidRPr="001761C0">
        <w:t>.</w:t>
      </w:r>
      <w:r w:rsidR="00370315" w:rsidRPr="00191CE8">
        <w:t xml:space="preserve"> </w:t>
      </w:r>
      <w:r w:rsidR="003E4356">
        <w:t xml:space="preserve">In 2003 </w:t>
      </w:r>
      <w:r w:rsidRPr="00191CE8">
        <w:t xml:space="preserve">the World Health Organisation published a </w:t>
      </w:r>
      <w:r w:rsidRPr="00191CE8">
        <w:rPr>
          <w:i/>
        </w:rPr>
        <w:t>Guide to Cost-Effectiveness Analysi</w:t>
      </w:r>
      <w:r w:rsidR="00C3779D">
        <w:rPr>
          <w:i/>
        </w:rPr>
        <w:t xml:space="preserve">s </w:t>
      </w:r>
      <w:r w:rsidR="001761C0" w:rsidRPr="001761C0">
        <w:t>(Edejer</w:t>
      </w:r>
      <w:r w:rsidR="00C3779D" w:rsidRPr="001761C0">
        <w:t xml:space="preserve"> 2003</w:t>
      </w:r>
      <w:r w:rsidR="00C3779D" w:rsidRPr="001761C0">
        <w:rPr>
          <w:i/>
        </w:rPr>
        <w:t>)</w:t>
      </w:r>
      <w:r w:rsidR="008E50EC" w:rsidRPr="001761C0">
        <w:rPr>
          <w:i/>
        </w:rPr>
        <w:t>,</w:t>
      </w:r>
      <w:r w:rsidR="003E4356">
        <w:t xml:space="preserve"> </w:t>
      </w:r>
      <w:r w:rsidR="00B325CF">
        <w:t xml:space="preserve">which introduced a methodology aimed </w:t>
      </w:r>
      <w:r w:rsidR="006F75C5">
        <w:t>at</w:t>
      </w:r>
      <w:r w:rsidR="00B325CF">
        <w:t xml:space="preserve"> improv</w:t>
      </w:r>
      <w:r w:rsidR="006F75C5">
        <w:t>ing the</w:t>
      </w:r>
      <w:r w:rsidR="00B325CF">
        <w:t xml:space="preserve"> generali</w:t>
      </w:r>
      <w:r w:rsidR="00830FBE">
        <w:t>z</w:t>
      </w:r>
      <w:r w:rsidR="00B325CF">
        <w:t xml:space="preserve">ability of </w:t>
      </w:r>
      <w:r w:rsidR="00F203FA">
        <w:t xml:space="preserve">results of </w:t>
      </w:r>
      <w:r w:rsidR="00B325CF">
        <w:t xml:space="preserve">economic evaluations globally. </w:t>
      </w:r>
      <w:r w:rsidR="00EA25BE">
        <w:t>I</w:t>
      </w:r>
      <w:r w:rsidRPr="00191CE8">
        <w:t>n 200</w:t>
      </w:r>
      <w:r w:rsidR="004768A6">
        <w:t xml:space="preserve">4 </w:t>
      </w:r>
      <w:r w:rsidR="00EA25BE">
        <w:t>t</w:t>
      </w:r>
      <w:r w:rsidR="004768A6">
        <w:t xml:space="preserve">he </w:t>
      </w:r>
      <w:r w:rsidR="006374D0">
        <w:t xml:space="preserve">UK’s </w:t>
      </w:r>
      <w:r w:rsidR="004768A6">
        <w:t xml:space="preserve">National Institute for </w:t>
      </w:r>
      <w:r w:rsidR="004B5BF9">
        <w:t>Clinical</w:t>
      </w:r>
      <w:r w:rsidR="004768A6">
        <w:t xml:space="preserve"> Excellence</w:t>
      </w:r>
      <w:r w:rsidR="00C3779D">
        <w:rPr>
          <w:rStyle w:val="FootnoteReference"/>
        </w:rPr>
        <w:footnoteReference w:id="2"/>
      </w:r>
      <w:r w:rsidR="004768A6">
        <w:t xml:space="preserve"> (NICE)</w:t>
      </w:r>
      <w:r w:rsidR="00EA25BE">
        <w:t xml:space="preserve"> adopted </w:t>
      </w:r>
      <w:r w:rsidR="00C3779D">
        <w:t>a</w:t>
      </w:r>
      <w:r w:rsidR="00EA25BE">
        <w:t xml:space="preserve"> reference case</w:t>
      </w:r>
      <w:r w:rsidR="00C3779D">
        <w:t xml:space="preserve"> </w:t>
      </w:r>
      <w:r w:rsidR="00B325CF">
        <w:t>to standardise</w:t>
      </w:r>
      <w:r w:rsidRPr="00191CE8">
        <w:t xml:space="preserve"> </w:t>
      </w:r>
      <w:r w:rsidR="001913F2">
        <w:t xml:space="preserve">the </w:t>
      </w:r>
      <w:r w:rsidRPr="00191CE8">
        <w:t xml:space="preserve">analyses </w:t>
      </w:r>
      <w:r w:rsidR="001913F2">
        <w:t>used to inform</w:t>
      </w:r>
      <w:r w:rsidR="008E50EC">
        <w:t xml:space="preserve"> its </w:t>
      </w:r>
      <w:r w:rsidR="00C3779D">
        <w:t xml:space="preserve">own </w:t>
      </w:r>
      <w:r w:rsidR="008E50EC">
        <w:t>decision</w:t>
      </w:r>
      <w:r w:rsidR="005736F2">
        <w:t>-</w:t>
      </w:r>
      <w:r w:rsidR="008E50EC">
        <w:t>making processes</w:t>
      </w:r>
      <w:r w:rsidR="00C3779D" w:rsidRPr="00C3779D">
        <w:t xml:space="preserve"> </w:t>
      </w:r>
      <w:r w:rsidR="00C3779D">
        <w:t>(</w:t>
      </w:r>
      <w:r w:rsidR="001761C0">
        <w:t>NICE</w:t>
      </w:r>
      <w:r w:rsidR="00C3779D">
        <w:t>, 2004)</w:t>
      </w:r>
      <w:r w:rsidR="008E50EC">
        <w:t>. T</w:t>
      </w:r>
      <w:r w:rsidR="00EA25BE">
        <w:t xml:space="preserve">he </w:t>
      </w:r>
      <w:r w:rsidR="008E50EC">
        <w:t>r</w:t>
      </w:r>
      <w:r w:rsidR="00EA25BE">
        <w:t xml:space="preserve">eference </w:t>
      </w:r>
      <w:r w:rsidR="008E50EC">
        <w:t>c</w:t>
      </w:r>
      <w:r w:rsidR="00EA25BE">
        <w:t>ase</w:t>
      </w:r>
      <w:r w:rsidR="00C3779D">
        <w:t xml:space="preserve"> used by NICE</w:t>
      </w:r>
      <w:r w:rsidR="001913F2">
        <w:t xml:space="preserve">, </w:t>
      </w:r>
      <w:r w:rsidR="00EA25BE">
        <w:t>along with associated methods and process guides</w:t>
      </w:r>
      <w:r w:rsidR="00DD42F0">
        <w:t>,</w:t>
      </w:r>
      <w:r w:rsidR="00EA25BE">
        <w:t xml:space="preserve"> </w:t>
      </w:r>
      <w:r w:rsidR="001913F2">
        <w:t>contributes to</w:t>
      </w:r>
      <w:r w:rsidR="001913F2">
        <w:rPr>
          <w:rStyle w:val="CommentReference"/>
          <w:rFonts w:asciiTheme="minorHAnsi" w:hAnsiTheme="minorHAnsi" w:cstheme="minorBidi"/>
          <w:color w:val="404040" w:themeColor="text1" w:themeTint="BF"/>
          <w:kern w:val="0"/>
          <w:lang w:val="en-US" w:eastAsia="en-US"/>
        </w:rPr>
        <w:t xml:space="preserve"> </w:t>
      </w:r>
      <w:r w:rsidR="003C1C38">
        <w:t xml:space="preserve">NICE’s ability to foster collective </w:t>
      </w:r>
      <w:r w:rsidR="00E925B1">
        <w:t>stakeholder buy-in</w:t>
      </w:r>
      <w:r w:rsidR="003C1C38">
        <w:t>, if not support, for its recommendations</w:t>
      </w:r>
      <w:r w:rsidR="003C1C38" w:rsidRPr="003C1C38">
        <w:t xml:space="preserve"> </w:t>
      </w:r>
      <w:r w:rsidR="003C1C38">
        <w:t xml:space="preserve">on </w:t>
      </w:r>
      <w:r w:rsidR="003C1C38" w:rsidRPr="00191CE8">
        <w:t xml:space="preserve">resource allocation </w:t>
      </w:r>
      <w:r w:rsidR="003C1C38">
        <w:t>decisions and guidance for</w:t>
      </w:r>
      <w:r w:rsidR="003C1C38" w:rsidRPr="00191CE8">
        <w:t xml:space="preserve"> the National Health Service in England.</w:t>
      </w:r>
      <w:bookmarkStart w:id="3" w:name="_Toc380681256"/>
      <w:bookmarkStart w:id="4" w:name="_Toc380681279"/>
      <w:bookmarkStart w:id="5" w:name="_Ref366235662"/>
    </w:p>
    <w:p w14:paraId="27919568" w14:textId="77777777" w:rsidR="002628F7" w:rsidRPr="00191CE8" w:rsidRDefault="002628F7" w:rsidP="00BC6CC1">
      <w:pPr>
        <w:pStyle w:val="Heading2"/>
      </w:pPr>
      <w:r>
        <w:t xml:space="preserve">The </w:t>
      </w:r>
      <w:r w:rsidRPr="00F17C76">
        <w:t>problem</w:t>
      </w:r>
      <w:bookmarkEnd w:id="3"/>
    </w:p>
    <w:p w14:paraId="171D75B9" w14:textId="0BC66366" w:rsidR="002628F7" w:rsidRDefault="002628F7" w:rsidP="00940243">
      <w:pPr>
        <w:pStyle w:val="MEEPbodytext"/>
      </w:pPr>
      <w:r>
        <w:lastRenderedPageBreak/>
        <w:t>Economic evaluation is</w:t>
      </w:r>
      <w:r w:rsidRPr="00191CE8">
        <w:t xml:space="preserve"> </w:t>
      </w:r>
      <w:r>
        <w:t xml:space="preserve">not a simple panacea </w:t>
      </w:r>
      <w:r w:rsidR="00EA1959">
        <w:t>for the</w:t>
      </w:r>
      <w:r>
        <w:t xml:space="preserve"> difficult decision</w:t>
      </w:r>
      <w:r w:rsidR="00EA1959">
        <w:t>s facing health policy makers</w:t>
      </w:r>
      <w:r>
        <w:t xml:space="preserve">. It is </w:t>
      </w:r>
      <w:r w:rsidRPr="00191CE8">
        <w:t xml:space="preserve">useful only if appropriate methods are </w:t>
      </w:r>
      <w:r>
        <w:t>applied</w:t>
      </w:r>
      <w:r w:rsidRPr="00191CE8">
        <w:t>, and the results reported with clarity and accuracy.</w:t>
      </w:r>
      <w:r>
        <w:t xml:space="preserve"> Determining appropriate methods is</w:t>
      </w:r>
      <w:r w:rsidRPr="00191CE8">
        <w:t xml:space="preserve"> particular</w:t>
      </w:r>
      <w:r>
        <w:t>ly difficult</w:t>
      </w:r>
      <w:r w:rsidRPr="00191CE8">
        <w:t xml:space="preserve"> in </w:t>
      </w:r>
      <w:r w:rsidR="00780606">
        <w:t>countries</w:t>
      </w:r>
      <w:r w:rsidRPr="00191CE8">
        <w:t xml:space="preserve"> where guidelines for undertaking </w:t>
      </w:r>
      <w:r>
        <w:t>economic evaluation</w:t>
      </w:r>
      <w:r w:rsidRPr="00191CE8">
        <w:t xml:space="preserve"> may not have been established,</w:t>
      </w:r>
      <w:r>
        <w:t xml:space="preserve"> researcher capacity is limited,</w:t>
      </w:r>
      <w:r w:rsidRPr="00191CE8">
        <w:t xml:space="preserve"> </w:t>
      </w:r>
      <w:r>
        <w:t>and</w:t>
      </w:r>
      <w:r w:rsidRPr="00191CE8">
        <w:t xml:space="preserve"> reli</w:t>
      </w:r>
      <w:r>
        <w:t>able data sources ma</w:t>
      </w:r>
      <w:r w:rsidR="00780606">
        <w:t>y be scarce</w:t>
      </w:r>
      <w:r w:rsidR="00BE0F84">
        <w:t xml:space="preserve">. </w:t>
      </w:r>
      <w:r>
        <w:t>Without</w:t>
      </w:r>
      <w:r w:rsidR="009228FB">
        <w:t xml:space="preserve"> adequate</w:t>
      </w:r>
      <w:r>
        <w:t xml:space="preserve"> information about the way an economic evaluation has been conducted, a decision maker is unable to judge whether the results are applicable to their decision problem and whether it can usefully assist them to make good decisions. </w:t>
      </w:r>
    </w:p>
    <w:p w14:paraId="603A03DC" w14:textId="0849924C" w:rsidR="002628F7" w:rsidRDefault="002628F7" w:rsidP="00940243">
      <w:pPr>
        <w:pStyle w:val="MEEPbodytext"/>
      </w:pPr>
      <w:r>
        <w:t xml:space="preserve">Inconsistent and non-transparent incorporation of </w:t>
      </w:r>
      <w:r w:rsidR="009228FB">
        <w:t xml:space="preserve">the </w:t>
      </w:r>
      <w:r>
        <w:t>judgements</w:t>
      </w:r>
      <w:r w:rsidR="009228FB">
        <w:t xml:space="preserve"> made when conducting</w:t>
      </w:r>
      <w:r>
        <w:t xml:space="preserve"> </w:t>
      </w:r>
      <w:r w:rsidR="009228FB">
        <w:t>an</w:t>
      </w:r>
      <w:r>
        <w:t xml:space="preserve"> economic evaluation also limits its ability to contribute to good decisions. For example, if for reasons of advocacy or expediency a researcher conducting an economic evaluation </w:t>
      </w:r>
      <w:r w:rsidR="00525E37">
        <w:t xml:space="preserve">does not </w:t>
      </w:r>
      <w:r>
        <w:t xml:space="preserve">compare the intervention in question with all the options feasibly available to the intended decision maker, the analysis may not </w:t>
      </w:r>
      <w:r w:rsidR="005E03E7">
        <w:t xml:space="preserve">accurately </w:t>
      </w:r>
      <w:r>
        <w:t>reflect</w:t>
      </w:r>
      <w:r w:rsidR="005E03E7">
        <w:t xml:space="preserve"> </w:t>
      </w:r>
      <w:r>
        <w:t>the decision problem</w:t>
      </w:r>
      <w:r w:rsidR="009D76FD">
        <w:t xml:space="preserve"> and fail fully to enumerate the relevant costs, benefits and opportunity costs</w:t>
      </w:r>
      <w:r>
        <w:t xml:space="preserve">. The decision maker may understandably reject the analysis as an input to the decision process, or worse, incorporate it and make an ill-informed and potentially sub-optimal choice. </w:t>
      </w:r>
    </w:p>
    <w:p w14:paraId="05438E94" w14:textId="26780987" w:rsidR="00A75678" w:rsidRDefault="00794BFD" w:rsidP="00940243">
      <w:pPr>
        <w:pStyle w:val="MEEPbodytext"/>
      </w:pPr>
      <w:r>
        <w:t>Economic evaluations that are not conducted and reported systematically and clearly with a minimum standard of methodological quality have limited transferab</w:t>
      </w:r>
      <w:r w:rsidR="008F03CF">
        <w:t>ility (</w:t>
      </w:r>
      <w:r>
        <w:t>Drummond 2009</w:t>
      </w:r>
      <w:r w:rsidR="008F03CF">
        <w:t>a)</w:t>
      </w:r>
      <w:r>
        <w:t xml:space="preserve">. </w:t>
      </w:r>
      <w:r w:rsidR="00A75463">
        <w:t xml:space="preserve">The </w:t>
      </w:r>
      <w:r w:rsidR="006F71D9">
        <w:t xml:space="preserve">transferability </w:t>
      </w:r>
      <w:r w:rsidR="00A75463">
        <w:t xml:space="preserve">of an economic evaluation indicates its applicability to different contexts and </w:t>
      </w:r>
      <w:r w:rsidR="006F71D9">
        <w:t>decisions</w:t>
      </w:r>
      <w:r>
        <w:t xml:space="preserve">, and improves </w:t>
      </w:r>
      <w:r w:rsidR="006F71D9">
        <w:t xml:space="preserve">the value of an economic evaluation </w:t>
      </w:r>
      <w:r w:rsidR="00780606">
        <w:t>by enabling</w:t>
      </w:r>
      <w:r w:rsidR="00A75463">
        <w:t xml:space="preserve"> it to inform decisions beyond the context for which it was conducted. </w:t>
      </w:r>
      <w:r w:rsidR="003A0BB4">
        <w:t>Transferability becomes increasingly</w:t>
      </w:r>
      <w:r w:rsidR="00A75463">
        <w:t xml:space="preserve"> important in resource-constrained settings where the substantial human and financial resources required to conduct an economic evaluation constrain its routine use in decision</w:t>
      </w:r>
      <w:r>
        <w:t xml:space="preserve"> making.</w:t>
      </w:r>
    </w:p>
    <w:p w14:paraId="46774826" w14:textId="46FEB835" w:rsidR="009E004F" w:rsidRDefault="00A61F73" w:rsidP="00940243">
      <w:pPr>
        <w:pStyle w:val="MEEPbodytext"/>
      </w:pPr>
      <w:r>
        <w:t>Developing and using a</w:t>
      </w:r>
      <w:r w:rsidR="00E65996">
        <w:t xml:space="preserve"> reference case to guide the conduct and reporting of economic evaluation</w:t>
      </w:r>
      <w:r w:rsidR="0007035C">
        <w:t xml:space="preserve"> of a variety of technologies</w:t>
      </w:r>
      <w:r w:rsidR="00BC6CC1">
        <w:t xml:space="preserve"> including interventions and ser</w:t>
      </w:r>
      <w:r w:rsidR="0007035C">
        <w:t xml:space="preserve">vices, programmes </w:t>
      </w:r>
      <w:r w:rsidR="0007035C">
        <w:lastRenderedPageBreak/>
        <w:t>and delivery platforms</w:t>
      </w:r>
      <w:r w:rsidR="00E65996">
        <w:t xml:space="preserve"> is</w:t>
      </w:r>
      <w:r w:rsidR="009D76FD">
        <w:t>,</w:t>
      </w:r>
      <w:r w:rsidR="00E65996">
        <w:t xml:space="preserve"> therefore</w:t>
      </w:r>
      <w:r w:rsidR="009D76FD">
        <w:t>,</w:t>
      </w:r>
      <w:r w:rsidR="00E65996">
        <w:t xml:space="preserve"> a </w:t>
      </w:r>
      <w:r w:rsidR="009228FB">
        <w:t xml:space="preserve">potential </w:t>
      </w:r>
      <w:r w:rsidR="00E65996">
        <w:t xml:space="preserve">way to </w:t>
      </w:r>
      <w:r w:rsidR="008F03CF">
        <w:t xml:space="preserve">consistently </w:t>
      </w:r>
      <w:r w:rsidR="00E65996">
        <w:t>improve methodologic</w:t>
      </w:r>
      <w:r w:rsidR="004F716D">
        <w:t>al quality and</w:t>
      </w:r>
      <w:r w:rsidR="00E65996">
        <w:t xml:space="preserve"> transferability, and to make the necessary value</w:t>
      </w:r>
      <w:r w:rsidR="00591F0C">
        <w:t xml:space="preserve"> judgements</w:t>
      </w:r>
      <w:r w:rsidR="00E65996">
        <w:t xml:space="preserve"> involved in </w:t>
      </w:r>
      <w:r w:rsidR="00591F0C">
        <w:t xml:space="preserve">conducting and using an </w:t>
      </w:r>
      <w:r w:rsidR="00E65996">
        <w:t>economic evaluation more transparent.</w:t>
      </w:r>
    </w:p>
    <w:p w14:paraId="76677213" w14:textId="649C8454" w:rsidR="00345F56" w:rsidRDefault="009D43CC" w:rsidP="00940243">
      <w:pPr>
        <w:pStyle w:val="MEEPbodytext"/>
      </w:pPr>
      <w:r>
        <w:t>However, t</w:t>
      </w:r>
      <w:r w:rsidR="004B291A">
        <w:t xml:space="preserve">here is a trade-off between conducting an economic evaluation that </w:t>
      </w:r>
      <w:r w:rsidR="00050385">
        <w:t xml:space="preserve">can provide useful information for </w:t>
      </w:r>
      <w:r w:rsidR="00180748">
        <w:t xml:space="preserve">different places and contexts </w:t>
      </w:r>
      <w:r w:rsidR="00417509">
        <w:t xml:space="preserve">and one </w:t>
      </w:r>
      <w:r w:rsidR="00945EB5">
        <w:t>that</w:t>
      </w:r>
      <w:r w:rsidR="004B291A">
        <w:t xml:space="preserve"> is also </w:t>
      </w:r>
      <w:r w:rsidR="00345F56">
        <w:t>sufficiently</w:t>
      </w:r>
      <w:r w:rsidR="004B291A">
        <w:t xml:space="preserve"> specific to reflect actual, invariabl</w:t>
      </w:r>
      <w:r w:rsidR="008F03CF">
        <w:t>y local, decision problems (</w:t>
      </w:r>
      <w:r w:rsidR="00095B17">
        <w:t>Sculpher 2004, Murray 2000)</w:t>
      </w:r>
      <w:r w:rsidR="004B291A">
        <w:t xml:space="preserve">. </w:t>
      </w:r>
      <w:r w:rsidR="00345F56">
        <w:t xml:space="preserve">In addition, </w:t>
      </w:r>
      <w:r w:rsidR="00417509">
        <w:t>promoting</w:t>
      </w:r>
      <w:r w:rsidR="00ED1FB5">
        <w:t xml:space="preserve"> </w:t>
      </w:r>
      <w:r w:rsidR="00417509">
        <w:t xml:space="preserve">consistency in </w:t>
      </w:r>
      <w:r w:rsidR="00ED1FB5">
        <w:t xml:space="preserve">economic evaluation </w:t>
      </w:r>
      <w:r w:rsidR="00E05BCC">
        <w:t xml:space="preserve">should </w:t>
      </w:r>
      <w:r w:rsidR="00345F56">
        <w:t xml:space="preserve">be weighed against imposing prescriptive methodological rules on researchers that may constrain the use of methods best suited to the decision problem in light of analytical constraints. When </w:t>
      </w:r>
      <w:r w:rsidR="00E05BCC">
        <w:t xml:space="preserve">the identity of the </w:t>
      </w:r>
      <w:r w:rsidR="00345F56">
        <w:t>decision maker and the population to be affected by the decision remain</w:t>
      </w:r>
      <w:r w:rsidR="00E05BCC">
        <w:t>s</w:t>
      </w:r>
      <w:r w:rsidR="00345F56">
        <w:t xml:space="preserve"> constant (as </w:t>
      </w:r>
      <w:r w:rsidR="00E05BCC">
        <w:t xml:space="preserve">with </w:t>
      </w:r>
      <w:r w:rsidR="00345F56">
        <w:t xml:space="preserve">NICE for decisions affecting </w:t>
      </w:r>
      <w:r w:rsidR="0030055D">
        <w:t xml:space="preserve">only </w:t>
      </w:r>
      <w:r w:rsidR="00345F56">
        <w:t>the NHS in England), transferability and researcher</w:t>
      </w:r>
      <w:r w:rsidR="009228FB">
        <w:t xml:space="preserve"> discretion</w:t>
      </w:r>
      <w:r w:rsidR="00345F56">
        <w:t xml:space="preserve"> become less crucial and a </w:t>
      </w:r>
      <w:r w:rsidR="002347C4">
        <w:t xml:space="preserve">relatively </w:t>
      </w:r>
      <w:r w:rsidR="00345F56">
        <w:t xml:space="preserve">prescriptive reference case may be applied. However, these trade-offs become a key consideration if a reference case is to be applied to economic evaluations intended to inform multiple decision makers, populations and contexts. </w:t>
      </w:r>
    </w:p>
    <w:p w14:paraId="361E48FA" w14:textId="6B5C6C99" w:rsidR="00CA5A8F" w:rsidRPr="00191CE8" w:rsidRDefault="002628F7" w:rsidP="00BC6CC1">
      <w:pPr>
        <w:pStyle w:val="Heading2"/>
      </w:pPr>
      <w:r>
        <w:t xml:space="preserve">The </w:t>
      </w:r>
      <w:r w:rsidR="00154482">
        <w:t xml:space="preserve">case for the </w:t>
      </w:r>
      <w:r>
        <w:t>iDSI</w:t>
      </w:r>
      <w:r w:rsidR="006B6040">
        <w:t xml:space="preserve"> </w:t>
      </w:r>
      <w:r w:rsidR="00E94F49">
        <w:t>R</w:t>
      </w:r>
      <w:r w:rsidR="00CA5A8F" w:rsidRPr="00191CE8">
        <w:t xml:space="preserve">eference </w:t>
      </w:r>
      <w:r w:rsidR="00E94F49">
        <w:t>C</w:t>
      </w:r>
      <w:r w:rsidR="00CA5A8F" w:rsidRPr="00191CE8">
        <w:t>ase</w:t>
      </w:r>
      <w:bookmarkEnd w:id="4"/>
    </w:p>
    <w:p w14:paraId="4A31FDFC" w14:textId="16DBC7E4" w:rsidR="00EB63E2" w:rsidRDefault="00EB63E2" w:rsidP="00940243">
      <w:pPr>
        <w:pStyle w:val="MEEPbodytext"/>
      </w:pPr>
      <w:r>
        <w:t>The national-level standardisation of methods adopted</w:t>
      </w:r>
      <w:r w:rsidR="00945EB5">
        <w:t xml:space="preserve"> by NICE</w:t>
      </w:r>
      <w:r>
        <w:t xml:space="preserve"> in </w:t>
      </w:r>
      <w:r w:rsidR="00525E37">
        <w:t>England</w:t>
      </w:r>
      <w:r>
        <w:t xml:space="preserve"> has also been implemented elsewhere; t</w:t>
      </w:r>
      <w:r w:rsidRPr="00191CE8">
        <w:t>o date, mandatory or recommended standards or guidelines for economic evaluation</w:t>
      </w:r>
      <w:r w:rsidRPr="00D16D9C">
        <w:t xml:space="preserve"> </w:t>
      </w:r>
      <w:r w:rsidRPr="00191CE8">
        <w:t xml:space="preserve">are available in </w:t>
      </w:r>
      <w:r>
        <w:t xml:space="preserve">more than 30 </w:t>
      </w:r>
      <w:r w:rsidRPr="00191CE8">
        <w:t>countries</w:t>
      </w:r>
      <w:r w:rsidR="003F0968">
        <w:t xml:space="preserve"> (</w:t>
      </w:r>
      <w:r w:rsidR="003F0968" w:rsidRPr="003F0968">
        <w:t>Eldessouki 2012)</w:t>
      </w:r>
      <w:r>
        <w:t>.</w:t>
      </w:r>
      <w:r w:rsidR="003F0968">
        <w:t xml:space="preserve">  </w:t>
      </w:r>
      <w:r>
        <w:t>The majority of the standards and guidelines are tailored to meet the specific information needs of institutions in high-income countries and</w:t>
      </w:r>
      <w:r w:rsidR="00E05BCC">
        <w:t>,</w:t>
      </w:r>
      <w:r>
        <w:t xml:space="preserve"> moreover, are designed for </w:t>
      </w:r>
      <w:r w:rsidR="00591F0C">
        <w:t>pre-determined</w:t>
      </w:r>
      <w:r>
        <w:t xml:space="preserve"> technology types (predominantly medicines and medical devices), constituencies </w:t>
      </w:r>
      <w:r w:rsidR="0030055D">
        <w:t xml:space="preserve">(e.g. a country or province) </w:t>
      </w:r>
      <w:r>
        <w:t>and payers (e</w:t>
      </w:r>
      <w:r w:rsidR="00363761">
        <w:t>.</w:t>
      </w:r>
      <w:r>
        <w:t>g</w:t>
      </w:r>
      <w:r w:rsidR="00363761">
        <w:t>.</w:t>
      </w:r>
      <w:r>
        <w:t xml:space="preserve"> a national health insurer).  </w:t>
      </w:r>
      <w:r w:rsidR="00363761">
        <w:t>This burgeoning of standards demonstrates a demand for clarity and consistency of information to support national-level decision</w:t>
      </w:r>
      <w:r w:rsidR="00945EB5">
        <w:t>-</w:t>
      </w:r>
      <w:r w:rsidR="00363761">
        <w:t>making</w:t>
      </w:r>
      <w:r w:rsidR="00945EB5">
        <w:t>.  H</w:t>
      </w:r>
      <w:r w:rsidR="00363761">
        <w:t xml:space="preserve">owever, many </w:t>
      </w:r>
      <w:r w:rsidR="00B348A3">
        <w:t>LMICs</w:t>
      </w:r>
      <w:r w:rsidR="00363761">
        <w:t xml:space="preserve"> lack </w:t>
      </w:r>
      <w:r w:rsidR="00490788">
        <w:t xml:space="preserve">the decision making </w:t>
      </w:r>
      <w:r w:rsidR="00945EB5">
        <w:t xml:space="preserve">institutions and processes that articulate </w:t>
      </w:r>
      <w:r w:rsidR="00490788">
        <w:t>jurisdictions’</w:t>
      </w:r>
      <w:r w:rsidR="00945EB5">
        <w:t xml:space="preserve"> objectives </w:t>
      </w:r>
      <w:r w:rsidR="00490788">
        <w:t>from</w:t>
      </w:r>
      <w:r w:rsidR="00945EB5">
        <w:t xml:space="preserve"> the funding and delivery of health care and the financial and other constraints that need to be </w:t>
      </w:r>
      <w:r w:rsidR="00945EB5">
        <w:lastRenderedPageBreak/>
        <w:t xml:space="preserve">respected. </w:t>
      </w:r>
      <w:r>
        <w:t xml:space="preserve">In addition, many policy decisions that have substantial health impact on populations in LMICs are made at a global level, </w:t>
      </w:r>
      <w:r w:rsidR="008B25BB">
        <w:t>strongly influenced</w:t>
      </w:r>
      <w:r>
        <w:t xml:space="preserve"> by institutions such as WHO and UN Development Agencies, partners such as the Global Fund to Fight AIDs, Malaria and </w:t>
      </w:r>
      <w:r w:rsidR="00417509">
        <w:t xml:space="preserve">Tuberculosis (Global Fund) </w:t>
      </w:r>
      <w:r>
        <w:t>and the G</w:t>
      </w:r>
      <w:r w:rsidR="00417509">
        <w:t>lobal Alliance for Vaccines and Immunisation (GAVI)</w:t>
      </w:r>
      <w:r>
        <w:t>, and donors such as the UK’s Department for International Development</w:t>
      </w:r>
      <w:r w:rsidR="00417509">
        <w:t xml:space="preserve"> (DFID)</w:t>
      </w:r>
      <w:r>
        <w:t xml:space="preserve"> and the</w:t>
      </w:r>
      <w:r w:rsidR="00AA129B">
        <w:t xml:space="preserve"> Bill and Melinda gates Foundation</w:t>
      </w:r>
      <w:r>
        <w:t xml:space="preserve"> </w:t>
      </w:r>
      <w:r w:rsidR="00AA129B">
        <w:t>(</w:t>
      </w:r>
      <w:r w:rsidR="00525E37">
        <w:t>BMGF</w:t>
      </w:r>
      <w:r w:rsidR="00AA129B">
        <w:t>)</w:t>
      </w:r>
      <w:r>
        <w:t>. Each of these institutions has highly developed internal methodologies for generating information to sup</w:t>
      </w:r>
      <w:r w:rsidR="00786D1E">
        <w:t xml:space="preserve">port their own decision making, </w:t>
      </w:r>
      <w:r w:rsidR="00363761">
        <w:t>but there remain</w:t>
      </w:r>
      <w:r w:rsidR="00786D1E">
        <w:t xml:space="preserve">s a </w:t>
      </w:r>
      <w:r w:rsidR="00363761">
        <w:t>question</w:t>
      </w:r>
      <w:r w:rsidR="00786D1E">
        <w:t xml:space="preserve">: if </w:t>
      </w:r>
      <w:r w:rsidR="002106C8">
        <w:t xml:space="preserve">local, </w:t>
      </w:r>
      <w:r w:rsidR="00786D1E">
        <w:t>national</w:t>
      </w:r>
      <w:r w:rsidR="002106C8">
        <w:t>, regional</w:t>
      </w:r>
      <w:r w:rsidR="00786D1E">
        <w:t xml:space="preserve"> level decision makers </w:t>
      </w:r>
      <w:r w:rsidR="0048753A">
        <w:t xml:space="preserve">and </w:t>
      </w:r>
      <w:r w:rsidR="00786D1E">
        <w:t xml:space="preserve">global institutions </w:t>
      </w:r>
      <w:r w:rsidR="00525E37">
        <w:t>share a</w:t>
      </w:r>
      <w:r w:rsidR="00786D1E">
        <w:t xml:space="preserve"> desire to improve health, can a common approach to economic evaluation be devised that reliably and consistently supports </w:t>
      </w:r>
      <w:r w:rsidR="00490788">
        <w:t xml:space="preserve">the </w:t>
      </w:r>
      <w:r w:rsidR="00786D1E">
        <w:t xml:space="preserve">decisions </w:t>
      </w:r>
      <w:r w:rsidR="002106C8">
        <w:t xml:space="preserve">required of </w:t>
      </w:r>
      <w:r w:rsidR="00786D1E">
        <w:t xml:space="preserve">these different actors? </w:t>
      </w:r>
    </w:p>
    <w:p w14:paraId="2A823FBE" w14:textId="24943585" w:rsidR="0062515D" w:rsidRPr="0095570C" w:rsidRDefault="00DB0731" w:rsidP="00940243">
      <w:pPr>
        <w:pStyle w:val="MEEPbodytext"/>
      </w:pPr>
      <w:r>
        <w:t>The</w:t>
      </w:r>
      <w:r w:rsidR="0062515D">
        <w:t xml:space="preserve"> iDSI Reference Case</w:t>
      </w:r>
      <w:r>
        <w:t xml:space="preserve"> has been developed to</w:t>
      </w:r>
      <w:r w:rsidR="00B6545F">
        <w:t xml:space="preserve"> respond</w:t>
      </w:r>
      <w:r>
        <w:t xml:space="preserve"> to this challenge</w:t>
      </w:r>
      <w:r w:rsidR="0062515D">
        <w:t xml:space="preserve">. </w:t>
      </w:r>
      <w:r>
        <w:t xml:space="preserve">It is not intended </w:t>
      </w:r>
      <w:r w:rsidR="00B6545F">
        <w:t>to</w:t>
      </w:r>
      <w:r>
        <w:t xml:space="preserve"> provide</w:t>
      </w:r>
      <w:r w:rsidR="0062515D">
        <w:t xml:space="preserve"> </w:t>
      </w:r>
      <w:r w:rsidR="00B6545F" w:rsidRPr="00B6581B">
        <w:t>a</w:t>
      </w:r>
      <w:r w:rsidR="00B6545F" w:rsidRPr="00B6545F">
        <w:t xml:space="preserve"> </w:t>
      </w:r>
      <w:r w:rsidR="0062515D">
        <w:t xml:space="preserve">definitive reference case or a standard </w:t>
      </w:r>
      <w:r w:rsidR="0048753A">
        <w:t xml:space="preserve">prescriptive </w:t>
      </w:r>
      <w:r w:rsidR="0062515D">
        <w:t>set of methods to be used in all economic evaluations globally. Nor</w:t>
      </w:r>
      <w:r w:rsidR="0030055D">
        <w:t xml:space="preserve"> </w:t>
      </w:r>
      <w:r>
        <w:t xml:space="preserve">is it </w:t>
      </w:r>
      <w:r w:rsidR="0030055D">
        <w:t>suggest</w:t>
      </w:r>
      <w:r>
        <w:t>ed</w:t>
      </w:r>
      <w:r w:rsidR="0030055D">
        <w:t xml:space="preserve"> that</w:t>
      </w:r>
      <w:r>
        <w:t>,</w:t>
      </w:r>
      <w:r w:rsidR="0030055D">
        <w:t xml:space="preserve"> by using </w:t>
      </w:r>
      <w:r w:rsidR="0062515D">
        <w:t xml:space="preserve">a common reference case, all resource allocation decisions should be made in the same way, incorporate the same </w:t>
      </w:r>
      <w:r>
        <w:t xml:space="preserve">types of </w:t>
      </w:r>
      <w:r w:rsidR="0062515D">
        <w:t xml:space="preserve">evidence, or weigh different inputs equally. </w:t>
      </w:r>
      <w:r>
        <w:t>Rather</w:t>
      </w:r>
      <w:r w:rsidR="0062515D">
        <w:t xml:space="preserve">, the iDSI Reference Case </w:t>
      </w:r>
      <w:r>
        <w:t xml:space="preserve">seeks to </w:t>
      </w:r>
      <w:r w:rsidR="0062515D">
        <w:t xml:space="preserve">articulate common principles for the generation of evidence, based on the normative assumption that a </w:t>
      </w:r>
      <w:r w:rsidR="005E2BBC">
        <w:t xml:space="preserve">health policy </w:t>
      </w:r>
      <w:r w:rsidR="0062515D">
        <w:t xml:space="preserve">decision maker seeks information to facilitate decisions that </w:t>
      </w:r>
      <w:r w:rsidR="005E2BBC">
        <w:t xml:space="preserve">maximise </w:t>
      </w:r>
      <w:r>
        <w:t xml:space="preserve">benefits, with a focus on </w:t>
      </w:r>
      <w:r w:rsidR="0062515D">
        <w:t>health</w:t>
      </w:r>
      <w:r>
        <w:t xml:space="preserve"> outcomes</w:t>
      </w:r>
      <w:r w:rsidR="0062515D">
        <w:t>. In this way the iDSI R</w:t>
      </w:r>
      <w:r w:rsidR="0062515D" w:rsidRPr="00191CE8">
        <w:t xml:space="preserve">eference </w:t>
      </w:r>
      <w:r w:rsidR="0062515D">
        <w:t>C</w:t>
      </w:r>
      <w:r w:rsidR="0062515D" w:rsidRPr="00191CE8">
        <w:t xml:space="preserve">ase </w:t>
      </w:r>
      <w:r w:rsidR="0062515D">
        <w:t xml:space="preserve">does not </w:t>
      </w:r>
      <w:r w:rsidR="00E95C51">
        <w:t xml:space="preserve">seek to specify all the information that should inform a decision or </w:t>
      </w:r>
      <w:r w:rsidR="0062515D">
        <w:t>assume that decision making in health is devoid of value judgements</w:t>
      </w:r>
      <w:r w:rsidR="00E05BCC">
        <w:t>. Rather, it</w:t>
      </w:r>
      <w:r w:rsidR="0062515D">
        <w:t xml:space="preserve"> enables decision makers to apply personal, institutional or political value judgements with knowledge of the likely consequences, including the opportunity costs, of applying these to a common substrate: population health.</w:t>
      </w:r>
    </w:p>
    <w:p w14:paraId="0172AE6C" w14:textId="62921989" w:rsidR="00805EA7" w:rsidRDefault="0062515D" w:rsidP="00940243">
      <w:pPr>
        <w:pStyle w:val="MEEPbodytext"/>
      </w:pPr>
      <w:r>
        <w:t>T</w:t>
      </w:r>
      <w:r w:rsidRPr="00191CE8">
        <w:t>here are many excellent publications and resources available on best practice</w:t>
      </w:r>
      <w:r>
        <w:t>s</w:t>
      </w:r>
      <w:r w:rsidRPr="00191CE8">
        <w:t xml:space="preserve"> for the planning, conduct, and reporting of economic evaluations</w:t>
      </w:r>
      <w:r w:rsidR="003F0968">
        <w:t xml:space="preserve"> (</w:t>
      </w:r>
      <w:r w:rsidR="00E05BCC">
        <w:t xml:space="preserve">e.g. </w:t>
      </w:r>
      <w:r w:rsidR="003F0968">
        <w:t>Gold</w:t>
      </w:r>
      <w:r>
        <w:t xml:space="preserve"> 1996, Gray 2010, </w:t>
      </w:r>
      <w:r w:rsidR="003F0968">
        <w:lastRenderedPageBreak/>
        <w:t>Drummond 2015)</w:t>
      </w:r>
      <w:r>
        <w:t xml:space="preserve">.  The iDSI Reference Case seeks to build on, rather than </w:t>
      </w:r>
      <w:r w:rsidR="00B31A41">
        <w:t xml:space="preserve">replicate </w:t>
      </w:r>
      <w:r>
        <w:t xml:space="preserve">this knowledge. But beyond </w:t>
      </w:r>
      <w:r w:rsidR="00E05BCC">
        <w:t xml:space="preserve">being merely </w:t>
      </w:r>
      <w:r>
        <w:t>a good practice guideline, the iD</w:t>
      </w:r>
      <w:r w:rsidR="002106C8">
        <w:t>SI Reference Case articulates a</w:t>
      </w:r>
      <w:r>
        <w:t xml:space="preserve"> set of principles, with sound decision making rather than academic rigour as the ultimate goal, and asks those undertaking economic evaluations to maintain these principles in the planning, conduct and reporting of their analyses. </w:t>
      </w:r>
      <w:r w:rsidRPr="00191CE8">
        <w:t>By avoiding the imposition of specific value judgem</w:t>
      </w:r>
      <w:r>
        <w:t>ents and policy parameters,</w:t>
      </w:r>
      <w:r w:rsidRPr="00191CE8">
        <w:t xml:space="preserve"> economic evaluations that use </w:t>
      </w:r>
      <w:r>
        <w:t xml:space="preserve">the iDSI Reference Case </w:t>
      </w:r>
      <w:r w:rsidR="00B31A41">
        <w:t>are also encouraged to</w:t>
      </w:r>
      <w:r w:rsidRPr="00191CE8">
        <w:t xml:space="preserve"> </w:t>
      </w:r>
      <w:r>
        <w:t>accommodate the incorporation of</w:t>
      </w:r>
      <w:r w:rsidRPr="00191CE8">
        <w:t xml:space="preserve"> local values and parameters into the decision-making process.</w:t>
      </w:r>
      <w:r>
        <w:t xml:space="preserve"> </w:t>
      </w:r>
    </w:p>
    <w:p w14:paraId="64F056E0" w14:textId="47E03BBF" w:rsidR="00F60478" w:rsidRPr="0095570C" w:rsidRDefault="0062515D" w:rsidP="00940243">
      <w:pPr>
        <w:pStyle w:val="MEEPbodytext"/>
      </w:pPr>
      <w:r>
        <w:t>The iDSI Reference Case shoul</w:t>
      </w:r>
      <w:r w:rsidRPr="00191CE8">
        <w:t>d</w:t>
      </w:r>
      <w:r>
        <w:t xml:space="preserve"> </w:t>
      </w:r>
      <w:r w:rsidRPr="00191CE8">
        <w:t>n</w:t>
      </w:r>
      <w:r>
        <w:t>o</w:t>
      </w:r>
      <w:r w:rsidRPr="00191CE8">
        <w:t>t be applied inflexibly; rather it should be used to optimize the use of specific methods and existing evidence to produce useful and high-quality analys</w:t>
      </w:r>
      <w:r>
        <w:t>e</w:t>
      </w:r>
      <w:r w:rsidRPr="00191CE8">
        <w:t xml:space="preserve">s. </w:t>
      </w:r>
      <w:r>
        <w:t xml:space="preserve">Where it is not possible to adhere to particular principles specified in the iDSI Reference Case, analysts are asked to </w:t>
      </w:r>
      <w:r w:rsidR="00805EA7">
        <w:t xml:space="preserve">document </w:t>
      </w:r>
      <w:r>
        <w:t xml:space="preserve">their reasons. </w:t>
      </w:r>
      <w:r w:rsidR="0023576D">
        <w:t xml:space="preserve">The effective application of the iDSI Reference Case has implications for the processes of decision making as well as the making of the actual decisions. A detailed exploration is beyond the scope of this introduction but the general character of the process requires a high degree of consultation with </w:t>
      </w:r>
      <w:r w:rsidR="00444B21">
        <w:t>stakeholders</w:t>
      </w:r>
      <w:r w:rsidR="0023576D">
        <w:t xml:space="preserve"> and their represenatives, a</w:t>
      </w:r>
      <w:r w:rsidR="00F302DE">
        <w:t>s transparent process as the confidentiality</w:t>
      </w:r>
      <w:r w:rsidR="0023576D">
        <w:t xml:space="preserve"> of information permits, and ample opportunity for deliberation over how best to combine and incorporate the various kinds of evidence and to </w:t>
      </w:r>
      <w:r w:rsidR="00444B21">
        <w:t>incorporate</w:t>
      </w:r>
      <w:r w:rsidR="0023576D">
        <w:t xml:space="preserve"> an </w:t>
      </w:r>
      <w:r w:rsidR="00444B21">
        <w:t>appropriate</w:t>
      </w:r>
      <w:r w:rsidR="0023576D">
        <w:t xml:space="preserve"> set of </w:t>
      </w:r>
      <w:r w:rsidR="00444B21">
        <w:t>social</w:t>
      </w:r>
      <w:r w:rsidR="0023576D">
        <w:t xml:space="preserve"> value </w:t>
      </w:r>
      <w:r w:rsidR="00444B21">
        <w:t>judgements</w:t>
      </w:r>
      <w:r w:rsidR="0023576D">
        <w:t xml:space="preserve"> and trade-offs (Chalkidou 2016</w:t>
      </w:r>
      <w:r w:rsidR="00E272FF">
        <w:t xml:space="preserve">, </w:t>
      </w:r>
      <w:r w:rsidR="006B649F">
        <w:t>Culyer and Lomas 2006</w:t>
      </w:r>
      <w:r w:rsidR="0023576D">
        <w:t xml:space="preserve">). </w:t>
      </w:r>
    </w:p>
    <w:p w14:paraId="1064F83F" w14:textId="1A7864EF" w:rsidR="00EA25BE" w:rsidRPr="00191CE8" w:rsidRDefault="009A07EA" w:rsidP="00BC6CC1">
      <w:pPr>
        <w:pStyle w:val="Heading2"/>
      </w:pPr>
      <w:r>
        <w:t xml:space="preserve">The development of </w:t>
      </w:r>
      <w:r w:rsidR="006F0AD9">
        <w:t>the</w:t>
      </w:r>
      <w:r>
        <w:t xml:space="preserve"> </w:t>
      </w:r>
      <w:r w:rsidR="0062515D">
        <w:t>iDSI</w:t>
      </w:r>
      <w:r>
        <w:t xml:space="preserve"> Reference Case</w:t>
      </w:r>
    </w:p>
    <w:p w14:paraId="3779321F" w14:textId="29B10EAC" w:rsidR="00476839" w:rsidRDefault="0021235A" w:rsidP="00940243">
      <w:pPr>
        <w:pStyle w:val="MEEPbodytext"/>
      </w:pPr>
      <w:r>
        <w:t>A</w:t>
      </w:r>
      <w:r w:rsidRPr="00191CE8">
        <w:t>s a major funder</w:t>
      </w:r>
      <w:r>
        <w:t xml:space="preserve"> of international development in health</w:t>
      </w:r>
      <w:r w:rsidRPr="00191CE8">
        <w:t xml:space="preserve">, </w:t>
      </w:r>
      <w:r>
        <w:t xml:space="preserve">the </w:t>
      </w:r>
      <w:r w:rsidRPr="00191CE8">
        <w:t>BMGF is obliged to spend money ethically and wisely</w:t>
      </w:r>
      <w:r>
        <w:t xml:space="preserve">. Moreover, the BMGF </w:t>
      </w:r>
      <w:r w:rsidR="00994CEB">
        <w:t>has an interest in</w:t>
      </w:r>
      <w:r w:rsidR="00476839" w:rsidRPr="00191CE8">
        <w:t xml:space="preserve"> sound decision-making, the intelligent use of </w:t>
      </w:r>
      <w:r w:rsidR="00B31A41">
        <w:t>available evidence</w:t>
      </w:r>
      <w:r w:rsidR="00476839" w:rsidRPr="00191CE8">
        <w:t>, and the pursuit of efficiency</w:t>
      </w:r>
      <w:r w:rsidR="00805EA7">
        <w:t xml:space="preserve"> and equity</w:t>
      </w:r>
      <w:r w:rsidR="00476839">
        <w:t xml:space="preserve"> in health</w:t>
      </w:r>
      <w:r w:rsidR="00404289">
        <w:t xml:space="preserve"> (BMGF, 2015)</w:t>
      </w:r>
      <w:r w:rsidR="00476839" w:rsidRPr="00191CE8">
        <w:t xml:space="preserve">. </w:t>
      </w:r>
      <w:r>
        <w:t xml:space="preserve">To </w:t>
      </w:r>
      <w:r w:rsidR="00476839">
        <w:t xml:space="preserve">further these aims, BMGF commissioned NICE International to coordinate an initiative </w:t>
      </w:r>
      <w:r w:rsidR="00805EA7">
        <w:t>aimed at ensuring</w:t>
      </w:r>
      <w:r w:rsidR="00476839">
        <w:t xml:space="preserve"> that BMGF-funded economic evaluations were </w:t>
      </w:r>
      <w:r w:rsidR="00476839">
        <w:lastRenderedPageBreak/>
        <w:t>conducted and reported with consistently high methodological quality, and could thus become a useful input into d</w:t>
      </w:r>
      <w:r>
        <w:t>ecision making in LMIC settings</w:t>
      </w:r>
      <w:r w:rsidR="00476839">
        <w:t xml:space="preserve"> </w:t>
      </w:r>
      <w:r>
        <w:t>(NICE International, 2014</w:t>
      </w:r>
      <w:r w:rsidR="00527C8C">
        <w:t>a</w:t>
      </w:r>
      <w:r>
        <w:t>)</w:t>
      </w:r>
      <w:r w:rsidR="00476839">
        <w:t xml:space="preserve">.  </w:t>
      </w:r>
    </w:p>
    <w:p w14:paraId="3F84B337" w14:textId="6AC6E9E8" w:rsidR="00476839" w:rsidRDefault="00476839" w:rsidP="00940243">
      <w:pPr>
        <w:pStyle w:val="MEEPbodytext"/>
      </w:pPr>
      <w:r w:rsidRPr="00191CE8">
        <w:t>As part of this initiative, a review of economic evaluations in LMIC</w:t>
      </w:r>
      <w:r>
        <w:t>s</w:t>
      </w:r>
      <w:r w:rsidRPr="00191CE8">
        <w:t xml:space="preserve"> was conducted, looking specifically at those funded by BMGF. The review found that BMGF had funded the highest proportion of economic evaluations in LMICs since the year 2000 in the vaccine, malaria, TB and HIV/AIDS programme areas, </w:t>
      </w:r>
      <w:r>
        <w:t xml:space="preserve">but </w:t>
      </w:r>
      <w:r w:rsidR="00805EA7">
        <w:t xml:space="preserve">with substantial </w:t>
      </w:r>
      <w:r w:rsidRPr="00191CE8">
        <w:t xml:space="preserve">variation in </w:t>
      </w:r>
      <w:r>
        <w:t xml:space="preserve">quality and consistency </w:t>
      </w:r>
      <w:r w:rsidR="00805EA7">
        <w:t>in both their</w:t>
      </w:r>
      <w:r>
        <w:t xml:space="preserve"> conduct and reporting</w:t>
      </w:r>
      <w:r w:rsidR="002106C8">
        <w:t>. For example, just over a third of the included economic evaluations did not report the time horizon used and half did not explain why particular comparator</w:t>
      </w:r>
      <w:r w:rsidR="006F7562">
        <w:t>s were chosen for the analysis (Santatiwongchai 2015</w:t>
      </w:r>
      <w:r w:rsidR="00527C8C">
        <w:t>)</w:t>
      </w:r>
      <w:r>
        <w:t xml:space="preserve">. </w:t>
      </w:r>
      <w:r w:rsidR="001309E9">
        <w:t xml:space="preserve">The review indicated </w:t>
      </w:r>
      <w:r>
        <w:t xml:space="preserve">that a reference case tailored to the needs of decision makers in LMICs, if championed by BMGF, could improve the overall consistency and quality of economic evaluations, thereby facilitating better decisions, and ultimately, better health. </w:t>
      </w:r>
    </w:p>
    <w:p w14:paraId="6B126961" w14:textId="5E92E4CC" w:rsidR="00D87F69" w:rsidRDefault="00476839" w:rsidP="00940243">
      <w:pPr>
        <w:pStyle w:val="MEEPbodytext"/>
      </w:pPr>
      <w:r>
        <w:t xml:space="preserve">The subsequent development of the </w:t>
      </w:r>
      <w:r w:rsidR="00994CEB">
        <w:t>iDSI</w:t>
      </w:r>
      <w:r>
        <w:t xml:space="preserve"> Reference Case was </w:t>
      </w:r>
      <w:r w:rsidR="005220E3">
        <w:t xml:space="preserve">initiated </w:t>
      </w:r>
      <w:r w:rsidR="000A7470">
        <w:t>at</w:t>
      </w:r>
      <w:r w:rsidR="005220E3">
        <w:t xml:space="preserve"> a workshop at BMGF headquarters </w:t>
      </w:r>
      <w:r w:rsidR="006B3B85">
        <w:t xml:space="preserve">and a series of email consultations. </w:t>
      </w:r>
      <w:r w:rsidR="00BB1F5F">
        <w:t xml:space="preserve">A pragmatic approach was used to achieve </w:t>
      </w:r>
      <w:r w:rsidR="00B31A41">
        <w:t>broad</w:t>
      </w:r>
      <w:r w:rsidR="00BB1F5F">
        <w:t xml:space="preserve"> representation from methodologists and those with experience in reference case development</w:t>
      </w:r>
      <w:r>
        <w:t>, researchers</w:t>
      </w:r>
      <w:r w:rsidR="00BB1F5F">
        <w:t xml:space="preserve"> and funders of research in LMICs,</w:t>
      </w:r>
      <w:r>
        <w:t xml:space="preserve"> and policy makers</w:t>
      </w:r>
      <w:r w:rsidR="005220E3">
        <w:t xml:space="preserve">. </w:t>
      </w:r>
      <w:r w:rsidR="00BB1F5F">
        <w:t>Full details of the development process</w:t>
      </w:r>
      <w:r w:rsidR="00C42EF8">
        <w:t xml:space="preserve"> are</w:t>
      </w:r>
      <w:r w:rsidR="00BB1F5F">
        <w:t xml:space="preserve"> detailed in the Project Report</w:t>
      </w:r>
      <w:r w:rsidR="005220E3">
        <w:t xml:space="preserve"> </w:t>
      </w:r>
      <w:r w:rsidR="006F7562">
        <w:t>(NICE International 2014</w:t>
      </w:r>
      <w:r w:rsidR="00527C8C">
        <w:t>a</w:t>
      </w:r>
      <w:r w:rsidR="006F7562">
        <w:t>)</w:t>
      </w:r>
    </w:p>
    <w:p w14:paraId="34940139" w14:textId="17FA8049" w:rsidR="00C46AC6" w:rsidRDefault="00D87F69" w:rsidP="00940243">
      <w:pPr>
        <w:pStyle w:val="MEEPbodytext"/>
      </w:pPr>
      <w:r>
        <w:t xml:space="preserve">In partnership with the UK’s Department for International Development and the Rockefeller Foundation, BMGF also funds the International Decision Support Initiative (iDSI), an inclusive network of policy makers, academic units, and think tanks from around the world with the aim of providing coordinated support for priority setting as a means to Universal Health Coverage.  </w:t>
      </w:r>
      <w:r w:rsidR="00C42EF8">
        <w:t xml:space="preserve">Development </w:t>
      </w:r>
      <w:r>
        <w:t xml:space="preserve">of the proposed reference case </w:t>
      </w:r>
      <w:r w:rsidR="00C42EF8">
        <w:t xml:space="preserve">was in parallel with the founding of iDSI, and </w:t>
      </w:r>
      <w:r w:rsidR="002106C8">
        <w:t>the</w:t>
      </w:r>
      <w:r w:rsidR="00C42EF8">
        <w:t xml:space="preserve"> </w:t>
      </w:r>
      <w:r w:rsidR="00476839">
        <w:t xml:space="preserve">initial working title </w:t>
      </w:r>
      <w:r w:rsidR="00476839" w:rsidRPr="00F60478">
        <w:rPr>
          <w:i/>
        </w:rPr>
        <w:t>Gates Reference Case</w:t>
      </w:r>
      <w:r w:rsidR="00476839">
        <w:t xml:space="preserve"> </w:t>
      </w:r>
      <w:r w:rsidR="00527C8C">
        <w:t>(NICE International 2014b)</w:t>
      </w:r>
      <w:r w:rsidR="00476839">
        <w:t xml:space="preserve"> was broadened to the </w:t>
      </w:r>
      <w:r w:rsidR="00994CEB">
        <w:rPr>
          <w:i/>
        </w:rPr>
        <w:t>iDSI</w:t>
      </w:r>
      <w:r w:rsidR="00476839" w:rsidRPr="00943D7C">
        <w:rPr>
          <w:i/>
        </w:rPr>
        <w:t xml:space="preserve"> Reference Case</w:t>
      </w:r>
      <w:r w:rsidR="00476839">
        <w:t xml:space="preserve"> to indicate the broad </w:t>
      </w:r>
      <w:r w:rsidR="00476839">
        <w:lastRenderedPageBreak/>
        <w:t>applicability and non-exclusivity of this global public good for use by decision makers, institutions, and researchers</w:t>
      </w:r>
      <w:r w:rsidR="00C42EF8">
        <w:t>,</w:t>
      </w:r>
      <w:r w:rsidR="00476839">
        <w:t xml:space="preserve"> around the world.</w:t>
      </w:r>
    </w:p>
    <w:p w14:paraId="2CFFC4EB" w14:textId="0B72D128" w:rsidR="00C46AC6" w:rsidRPr="00191CE8" w:rsidRDefault="00EC2C5B" w:rsidP="00BC6CC1">
      <w:pPr>
        <w:pStyle w:val="Heading2"/>
      </w:pPr>
      <w:r>
        <w:t xml:space="preserve">The </w:t>
      </w:r>
      <w:r w:rsidR="002D4BC4">
        <w:t>iDSI Reference Case Structure</w:t>
      </w:r>
      <w:r>
        <w:t xml:space="preserve"> </w:t>
      </w:r>
    </w:p>
    <w:p w14:paraId="3308ADD9" w14:textId="7874E855" w:rsidR="0045663E" w:rsidRDefault="00EF47CD" w:rsidP="00940243">
      <w:pPr>
        <w:pStyle w:val="MEEPbodytext"/>
      </w:pPr>
      <w:r>
        <w:t xml:space="preserve">The </w:t>
      </w:r>
      <w:r w:rsidR="00D87F69">
        <w:t>iDSI</w:t>
      </w:r>
      <w:r>
        <w:t xml:space="preserve"> Reference Case </w:t>
      </w:r>
      <w:r w:rsidR="00E369AE">
        <w:t xml:space="preserve">has </w:t>
      </w:r>
      <w:r w:rsidR="0045663E">
        <w:t xml:space="preserve">a structure consisting of principles, methodological specifications, and reporting standards. </w:t>
      </w:r>
    </w:p>
    <w:p w14:paraId="65502DB3" w14:textId="2B68F80A" w:rsidR="00F60478" w:rsidRPr="004517FE" w:rsidRDefault="00C451C8" w:rsidP="00940243">
      <w:pPr>
        <w:pStyle w:val="MEEPbodytext"/>
        <w:rPr>
          <w:b/>
        </w:rPr>
      </w:pPr>
      <w:r w:rsidRPr="004517FE">
        <w:rPr>
          <w:b/>
        </w:rPr>
        <w:t>Figure 1 here</w:t>
      </w:r>
    </w:p>
    <w:p w14:paraId="4FF613E1" w14:textId="77777777" w:rsidR="00F60478" w:rsidRDefault="00F60478" w:rsidP="00940243">
      <w:pPr>
        <w:pStyle w:val="MEEPbodytext"/>
      </w:pPr>
    </w:p>
    <w:p w14:paraId="2B6A9225" w14:textId="001826B2" w:rsidR="00EB0A64" w:rsidRDefault="0045663E" w:rsidP="00940243">
      <w:pPr>
        <w:pStyle w:val="MEEPbodytext"/>
      </w:pPr>
      <w:r w:rsidRPr="00191CE8">
        <w:t xml:space="preserve">The </w:t>
      </w:r>
      <w:r w:rsidRPr="0045663E">
        <w:t>principles</w:t>
      </w:r>
      <w:r w:rsidRPr="00191CE8">
        <w:t xml:space="preserve"> of the </w:t>
      </w:r>
      <w:r w:rsidR="006F0145">
        <w:t>iDSI</w:t>
      </w:r>
      <w:r w:rsidR="00943D7C">
        <w:t xml:space="preserve"> Reference Case </w:t>
      </w:r>
      <w:r w:rsidR="006F0145">
        <w:t xml:space="preserve">inform corresponding methodological specifications, which in turn inform reporting standards. The principles </w:t>
      </w:r>
      <w:r w:rsidRPr="00191CE8">
        <w:t xml:space="preserve">describe </w:t>
      </w:r>
      <w:r w:rsidR="00891FDD">
        <w:t>the key characteristics of</w:t>
      </w:r>
      <w:r w:rsidRPr="00191CE8">
        <w:t xml:space="preserve"> economic evaluations that are fit for purpose,</w:t>
      </w:r>
      <w:r w:rsidR="003522C7">
        <w:t xml:space="preserve"> outlining underlying concepts to guide methodological choice,</w:t>
      </w:r>
      <w:r w:rsidRPr="00191CE8">
        <w:t xml:space="preserve"> </w:t>
      </w:r>
      <w:r w:rsidR="007C6CF9">
        <w:t xml:space="preserve">without specifying </w:t>
      </w:r>
      <w:r w:rsidRPr="00191CE8">
        <w:t xml:space="preserve">particular metrics or parameter values. The </w:t>
      </w:r>
      <w:r w:rsidRPr="0045663E">
        <w:t>methodological specifications</w:t>
      </w:r>
      <w:r w:rsidRPr="00191CE8">
        <w:rPr>
          <w:color w:val="1F497D" w:themeColor="text2"/>
        </w:rPr>
        <w:t xml:space="preserve"> </w:t>
      </w:r>
      <w:r w:rsidRPr="00191CE8">
        <w:t xml:space="preserve">are a non-exhaustive set of </w:t>
      </w:r>
      <w:r w:rsidR="007C6CF9">
        <w:t xml:space="preserve">methodological </w:t>
      </w:r>
      <w:r w:rsidRPr="00191CE8">
        <w:t xml:space="preserve">options that </w:t>
      </w:r>
      <w:r w:rsidR="007C6CF9">
        <w:t>are aligned with a corresponding principle</w:t>
      </w:r>
      <w:r w:rsidRPr="00191CE8">
        <w:t>. While some methodological specifications represent minimum standards</w:t>
      </w:r>
      <w:r w:rsidR="00D87F69">
        <w:t xml:space="preserve"> of analytical quality (e.g. requ</w:t>
      </w:r>
      <w:r w:rsidR="00AF1A34">
        <w:t>iring a systematic evidence search to identify key parameters)</w:t>
      </w:r>
      <w:r w:rsidRPr="00191CE8">
        <w:t>, m</w:t>
      </w:r>
      <w:r w:rsidR="00AF1A34">
        <w:t>any</w:t>
      </w:r>
      <w:r w:rsidRPr="00191CE8">
        <w:t xml:space="preserve"> are decision</w:t>
      </w:r>
      <w:r w:rsidR="00D87F69">
        <w:t xml:space="preserve"> and context</w:t>
      </w:r>
      <w:r w:rsidRPr="00191CE8">
        <w:t xml:space="preserve"> dependent</w:t>
      </w:r>
      <w:r w:rsidR="00AF1A34">
        <w:t xml:space="preserve">. </w:t>
      </w:r>
      <w:r w:rsidRPr="00191CE8">
        <w:t>This allows some flexibility to ensure that the methods that are appropriate to the decision problem – for example, whether to apply a static or dynamic model in an economic evaluation of an intervention in infectious disease</w:t>
      </w:r>
      <w:r w:rsidR="00AF1A34">
        <w:t>, and how non-budgetary constraints should be characterised</w:t>
      </w:r>
      <w:r w:rsidR="006F0145">
        <w:t>.</w:t>
      </w:r>
      <w:r w:rsidR="00AF1A34">
        <w:t xml:space="preserve"> </w:t>
      </w:r>
      <w:r w:rsidR="006F0145">
        <w:t xml:space="preserve"> </w:t>
      </w:r>
      <w:r w:rsidR="003522C7">
        <w:t xml:space="preserve">The structure of the </w:t>
      </w:r>
      <w:r w:rsidR="00447AE2">
        <w:t>iDSI</w:t>
      </w:r>
      <w:r w:rsidR="00EB0A64">
        <w:t xml:space="preserve"> Reference Case </w:t>
      </w:r>
      <w:r w:rsidR="006761AA">
        <w:t>is intended to support three</w:t>
      </w:r>
      <w:r w:rsidR="00EB0A64">
        <w:t xml:space="preserve"> key objectives: </w:t>
      </w:r>
    </w:p>
    <w:p w14:paraId="3675945B" w14:textId="052DBB7D" w:rsidR="0095570C" w:rsidRPr="00191CE8" w:rsidRDefault="0095570C" w:rsidP="00940243">
      <w:pPr>
        <w:pStyle w:val="MEEPbodytext"/>
        <w:numPr>
          <w:ilvl w:val="0"/>
          <w:numId w:val="14"/>
        </w:numPr>
      </w:pPr>
      <w:bookmarkStart w:id="6" w:name="_Toc364264604"/>
      <w:r w:rsidRPr="00191CE8">
        <w:t>th</w:t>
      </w:r>
      <w:r w:rsidR="00AF1A34">
        <w:t>e routine application of</w:t>
      </w:r>
      <w:r w:rsidRPr="00191CE8">
        <w:t xml:space="preserve"> fundamental principles by researchers and decision-makers in </w:t>
      </w:r>
      <w:r w:rsidR="003B19B6">
        <w:t xml:space="preserve">the planning, conduct and reporting of economic evaluation in order to optimize its </w:t>
      </w:r>
      <w:r w:rsidRPr="00191CE8">
        <w:t>value</w:t>
      </w:r>
      <w:r w:rsidR="003B19B6">
        <w:t xml:space="preserve"> </w:t>
      </w:r>
      <w:r w:rsidRPr="00191CE8">
        <w:t>in informing good decisions in health;</w:t>
      </w:r>
      <w:r w:rsidR="00891FDD">
        <w:t xml:space="preserve"> </w:t>
      </w:r>
    </w:p>
    <w:p w14:paraId="57C93907" w14:textId="2EA45F08" w:rsidR="0095570C" w:rsidRPr="00191CE8" w:rsidRDefault="0095570C" w:rsidP="00940243">
      <w:pPr>
        <w:pStyle w:val="MEEPbodytext"/>
        <w:numPr>
          <w:ilvl w:val="0"/>
          <w:numId w:val="14"/>
        </w:numPr>
      </w:pPr>
      <w:r w:rsidRPr="00191CE8">
        <w:t>the use of methods that adhere to the same fundamental principles to</w:t>
      </w:r>
      <w:r w:rsidR="006761AA">
        <w:t xml:space="preserve"> achieve a </w:t>
      </w:r>
      <w:r w:rsidR="006761AA" w:rsidRPr="00191CE8">
        <w:t>minimum standard of methodological quality</w:t>
      </w:r>
      <w:r w:rsidR="006761AA">
        <w:t xml:space="preserve"> </w:t>
      </w:r>
      <w:r w:rsidR="003B19B6">
        <w:t>while</w:t>
      </w:r>
      <w:r w:rsidR="006761AA">
        <w:t xml:space="preserve"> remain</w:t>
      </w:r>
      <w:r w:rsidR="003B19B6">
        <w:t>ing</w:t>
      </w:r>
      <w:r w:rsidR="006761AA">
        <w:t xml:space="preserve"> appropriate to the </w:t>
      </w:r>
      <w:r w:rsidR="006761AA">
        <w:lastRenderedPageBreak/>
        <w:t xml:space="preserve">context and analytical constraints of the decision problem the </w:t>
      </w:r>
      <w:r w:rsidRPr="00191CE8">
        <w:t>economic evaluation</w:t>
      </w:r>
      <w:r w:rsidR="006761AA">
        <w:t xml:space="preserve"> is intended to inform;</w:t>
      </w:r>
    </w:p>
    <w:p w14:paraId="067AE0F2" w14:textId="467E592A" w:rsidR="0095570C" w:rsidRPr="00191CE8" w:rsidRDefault="003B19B6" w:rsidP="00940243">
      <w:pPr>
        <w:pStyle w:val="MEEPbodytext"/>
        <w:numPr>
          <w:ilvl w:val="0"/>
          <w:numId w:val="14"/>
        </w:numPr>
      </w:pPr>
      <w:r>
        <w:t xml:space="preserve">clear and transparent </w:t>
      </w:r>
      <w:r w:rsidR="0095570C" w:rsidRPr="00191CE8">
        <w:t xml:space="preserve">reporting </w:t>
      </w:r>
      <w:r>
        <w:t xml:space="preserve">of economic evaluations </w:t>
      </w:r>
      <w:r w:rsidR="0095570C" w:rsidRPr="00191CE8">
        <w:t>to improve the</w:t>
      </w:r>
      <w:r>
        <w:t>ir</w:t>
      </w:r>
      <w:r w:rsidR="0095570C" w:rsidRPr="00191CE8">
        <w:t xml:space="preserve"> </w:t>
      </w:r>
      <w:r>
        <w:t xml:space="preserve">accessibility and usefulness to decision makers and </w:t>
      </w:r>
      <w:r w:rsidR="00891FDD">
        <w:t xml:space="preserve">to </w:t>
      </w:r>
      <w:r>
        <w:t xml:space="preserve">encourage </w:t>
      </w:r>
      <w:r w:rsidR="0095570C" w:rsidRPr="00191CE8">
        <w:t>comparability of both the conte</w:t>
      </w:r>
      <w:r>
        <w:t>nt and results to</w:t>
      </w:r>
      <w:r w:rsidR="0095570C" w:rsidRPr="00191CE8">
        <w:t xml:space="preserve"> different contexts.</w:t>
      </w:r>
    </w:p>
    <w:p w14:paraId="72774C3A" w14:textId="6CB21FFE" w:rsidR="00371D07" w:rsidRDefault="00CE1779" w:rsidP="00BC6CC1">
      <w:pPr>
        <w:pStyle w:val="Heading2"/>
      </w:pPr>
      <w:r>
        <w:t xml:space="preserve">A framework for </w:t>
      </w:r>
      <w:r w:rsidR="00371D07">
        <w:t>methods development</w:t>
      </w:r>
    </w:p>
    <w:p w14:paraId="085129F3" w14:textId="5CC6DFDB" w:rsidR="00E8187F" w:rsidRDefault="00371D07" w:rsidP="00940243">
      <w:pPr>
        <w:pStyle w:val="MEEPbodytext"/>
      </w:pPr>
      <w:r>
        <w:t xml:space="preserve">A further objective of the </w:t>
      </w:r>
      <w:r w:rsidR="00CE1779">
        <w:t>iDSI</w:t>
      </w:r>
      <w:r>
        <w:t xml:space="preserve"> Reference Case is </w:t>
      </w:r>
      <w:r w:rsidR="00FB7860">
        <w:t>to</w:t>
      </w:r>
      <w:r w:rsidR="00CE1779">
        <w:t xml:space="preserve"> facilitate economic evaluation methods research</w:t>
      </w:r>
      <w:r>
        <w:t xml:space="preserve">, particularly </w:t>
      </w:r>
      <w:r w:rsidR="00383E03">
        <w:t>research in</w:t>
      </w:r>
      <w:r>
        <w:t xml:space="preserve"> LMIC settings. Its </w:t>
      </w:r>
      <w:r w:rsidR="00383E03">
        <w:t xml:space="preserve">unique </w:t>
      </w:r>
      <w:r w:rsidR="006F4511">
        <w:t>structure exposes</w:t>
      </w:r>
      <w:r>
        <w:t xml:space="preserve"> areas where there is limited evidence to support definitive guidance to researchers on methodological choices that best enable adherence </w:t>
      </w:r>
      <w:r w:rsidR="00383E03">
        <w:t>to the principles</w:t>
      </w:r>
      <w:r w:rsidR="000F724F">
        <w:t xml:space="preserve">, and can therefore </w:t>
      </w:r>
      <w:r w:rsidR="00383E03">
        <w:t xml:space="preserve">best inform local decision making. </w:t>
      </w:r>
      <w:r w:rsidR="0023266A">
        <w:t xml:space="preserve">For example, </w:t>
      </w:r>
      <w:r w:rsidR="00CE1779">
        <w:t xml:space="preserve">the methodological specification for </w:t>
      </w:r>
      <w:r w:rsidR="0023266A">
        <w:t>the Evidence</w:t>
      </w:r>
      <w:r w:rsidR="00CE1779">
        <w:t xml:space="preserve"> Principle</w:t>
      </w:r>
      <w:r w:rsidR="0023266A">
        <w:t xml:space="preserve"> and </w:t>
      </w:r>
      <w:r w:rsidR="00CE1779">
        <w:t xml:space="preserve">the </w:t>
      </w:r>
      <w:r w:rsidR="0023266A">
        <w:t>Constraints</w:t>
      </w:r>
      <w:r w:rsidR="00CE1779">
        <w:t xml:space="preserve"> Principle in the iDSI Reference Case </w:t>
      </w:r>
      <w:r w:rsidR="000F724F">
        <w:t>has</w:t>
      </w:r>
      <w:r w:rsidR="0023266A">
        <w:t xml:space="preserve"> spurred recent</w:t>
      </w:r>
      <w:r w:rsidR="00FB7860">
        <w:t xml:space="preserve"> methodological research in these areas</w:t>
      </w:r>
      <w:r w:rsidR="00D62934">
        <w:rPr>
          <w:rStyle w:val="FootnoteReference"/>
        </w:rPr>
        <w:footnoteReference w:id="3"/>
      </w:r>
      <w:r w:rsidR="00576841" w:rsidRPr="00527C8C">
        <w:rPr>
          <w:i/>
        </w:rPr>
        <w:t>.</w:t>
      </w:r>
      <w:r w:rsidR="00CE1779" w:rsidRPr="00527C8C">
        <w:rPr>
          <w:i/>
        </w:rPr>
        <w:t xml:space="preserve"> </w:t>
      </w:r>
      <w:r w:rsidR="00576841">
        <w:t>It is intended that</w:t>
      </w:r>
      <w:r w:rsidR="006F4511">
        <w:t xml:space="preserve"> methods </w:t>
      </w:r>
      <w:r w:rsidR="00576841">
        <w:t>research</w:t>
      </w:r>
      <w:r w:rsidR="006F4511">
        <w:t xml:space="preserve"> advancements will feed into </w:t>
      </w:r>
      <w:r w:rsidR="00136CF4">
        <w:t xml:space="preserve">future iterations of the </w:t>
      </w:r>
      <w:r w:rsidR="00576841">
        <w:t>iDSI</w:t>
      </w:r>
      <w:r w:rsidR="00136CF4">
        <w:t xml:space="preserve"> Reference Case,</w:t>
      </w:r>
      <w:r w:rsidR="006F4511">
        <w:t xml:space="preserve"> </w:t>
      </w:r>
      <w:r w:rsidR="000F724F">
        <w:t xml:space="preserve">in a continuous cycle of methods </w:t>
      </w:r>
      <w:r w:rsidR="00253E4D">
        <w:t>development,</w:t>
      </w:r>
      <w:r w:rsidR="000F724F">
        <w:t xml:space="preserve"> </w:t>
      </w:r>
      <w:r w:rsidR="00527C8C">
        <w:t xml:space="preserve">improving </w:t>
      </w:r>
      <w:r w:rsidR="00253E4D">
        <w:t xml:space="preserve">the relevance and applicability of </w:t>
      </w:r>
      <w:r w:rsidR="000F724F">
        <w:t xml:space="preserve">economic evaluation to the needs of local decision makers in light of </w:t>
      </w:r>
      <w:r w:rsidR="00576841">
        <w:t>the constraints facing researchers in LMIC settings.</w:t>
      </w:r>
      <w:bookmarkStart w:id="7" w:name="_Toc364264612"/>
      <w:bookmarkStart w:id="8" w:name="_Toc380681295"/>
      <w:bookmarkEnd w:id="5"/>
      <w:bookmarkEnd w:id="6"/>
    </w:p>
    <w:p w14:paraId="38252573" w14:textId="112A5C6D" w:rsidR="007A55CD" w:rsidRDefault="007A55CD" w:rsidP="004517FE">
      <w:pPr>
        <w:pStyle w:val="Heading2"/>
      </w:pPr>
      <w:r>
        <w:t>Facilitating capacity-building and technical assistance</w:t>
      </w:r>
    </w:p>
    <w:p w14:paraId="041A7709" w14:textId="3DD01783" w:rsidR="007A55CD" w:rsidRDefault="007A55CD" w:rsidP="00940243">
      <w:pPr>
        <w:pStyle w:val="MEEPbodytext"/>
      </w:pPr>
      <w:r>
        <w:t xml:space="preserve">The iDSI Reference Case is intended to serve as a global public good, and iDSI and other initiatives will provide a potential framework for both external technical assistance and country-led capacity building initiatives in LMICs. </w:t>
      </w:r>
      <w:r w:rsidRPr="00A33F21">
        <w:t>Ethiopia</w:t>
      </w:r>
      <w:r>
        <w:t xml:space="preserve"> is an example of a country where there is potential for the iDSI Reference Case </w:t>
      </w:r>
      <w:r w:rsidR="00F14709">
        <w:t xml:space="preserve">to be used in this way. </w:t>
      </w:r>
      <w:r>
        <w:t xml:space="preserve"> </w:t>
      </w:r>
      <w:r w:rsidR="007A0C01">
        <w:t>Projected to be a middle income country by 2025 (Moller, 2015), Ethiopia</w:t>
      </w:r>
      <w:r w:rsidRPr="00A33F21">
        <w:t xml:space="preserve"> has made significant steps in strengthening its healthcare system</w:t>
      </w:r>
      <w:r>
        <w:t xml:space="preserve"> </w:t>
      </w:r>
      <w:r w:rsidR="007A0C01">
        <w:t>in</w:t>
      </w:r>
      <w:r>
        <w:t xml:space="preserve"> recent years</w:t>
      </w:r>
      <w:r w:rsidRPr="00A33F21">
        <w:t xml:space="preserve">, improving the governance and transparency of its operation and extending coverage to an increasing proportion of its </w:t>
      </w:r>
      <w:r w:rsidRPr="00A33F21">
        <w:lastRenderedPageBreak/>
        <w:t>population. With a commitment to Universal Healthcare Coverage and an explicit Health Insurance Strategy</w:t>
      </w:r>
      <w:r w:rsidR="003C3D27">
        <w:t xml:space="preserve"> (Wang 2014)</w:t>
      </w:r>
      <w:r>
        <w:t>,</w:t>
      </w:r>
      <w:r w:rsidRPr="00A33F21">
        <w:t xml:space="preserve"> </w:t>
      </w:r>
      <w:r w:rsidR="007A0C01">
        <w:t xml:space="preserve">there is an increasing interest in economic evaluation from </w:t>
      </w:r>
      <w:r w:rsidRPr="00A33F21">
        <w:t xml:space="preserve">both the </w:t>
      </w:r>
      <w:r w:rsidR="007A0C01">
        <w:t xml:space="preserve">Federal </w:t>
      </w:r>
      <w:r w:rsidRPr="00A33F21">
        <w:t>Ministry</w:t>
      </w:r>
      <w:r w:rsidR="007A0C01">
        <w:t xml:space="preserve"> of Health</w:t>
      </w:r>
      <w:r w:rsidRPr="00A33F21">
        <w:t xml:space="preserve"> and the</w:t>
      </w:r>
      <w:r w:rsidR="00622FD0">
        <w:t xml:space="preserve"> Ethiopian Health</w:t>
      </w:r>
      <w:r w:rsidR="00BD61E2">
        <w:t xml:space="preserve"> I</w:t>
      </w:r>
      <w:r w:rsidRPr="00A33F21">
        <w:t xml:space="preserve">nsurance </w:t>
      </w:r>
      <w:r w:rsidR="00BD61E2">
        <w:t>A</w:t>
      </w:r>
      <w:r w:rsidRPr="00A33F21">
        <w:t>gency.</w:t>
      </w:r>
      <w:r>
        <w:t xml:space="preserve"> </w:t>
      </w:r>
    </w:p>
    <w:p w14:paraId="0342054C" w14:textId="160BB90A" w:rsidR="007A55CD" w:rsidRPr="00552B98" w:rsidRDefault="007A55CD" w:rsidP="00940243">
      <w:pPr>
        <w:pStyle w:val="MEEPbodytext"/>
      </w:pPr>
      <w:r>
        <w:t xml:space="preserve">However, </w:t>
      </w:r>
      <w:r w:rsidR="007A0C01">
        <w:t xml:space="preserve">production and capacity for economic </w:t>
      </w:r>
      <w:r w:rsidR="00BD61E2">
        <w:t>evaluation</w:t>
      </w:r>
      <w:r w:rsidR="007A0C01">
        <w:t xml:space="preserve"> in Ethiopia remains low. </w:t>
      </w:r>
      <w:r>
        <w:t xml:space="preserve">Within the HIV/AIDs programme area, a major health priority in Ethiopia, </w:t>
      </w:r>
      <w:r w:rsidR="008E6BA9">
        <w:t xml:space="preserve">only </w:t>
      </w:r>
      <w:r w:rsidRPr="00F26955">
        <w:t xml:space="preserve">three costing and three cost effectiveness analyses </w:t>
      </w:r>
      <w:r>
        <w:t xml:space="preserve">have been published since 1995 </w:t>
      </w:r>
      <w:r w:rsidRPr="00F26955">
        <w:fldChar w:fldCharType="begin">
          <w:fldData xml:space="preserve">PEVuZE5vdGU+PENpdGU+PEF1dGhvcj5CaWtpbGxhPC9BdXRob3I+PFllYXI+MjAwOTwvWWVhcj48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</w:fldData>
        </w:fldChar>
      </w:r>
      <w:r w:rsidRPr="00F26955">
        <w:instrText xml:space="preserve"> ADDIN EN.CITE </w:instrText>
      </w:r>
      <w:r w:rsidRPr="00F26955">
        <w:fldChar w:fldCharType="begin">
          <w:fldData xml:space="preserve">PEVuZE5vdGU+PENpdGU+PEF1dGhvcj5CaWtpbGxhPC9BdXRob3I+PFllYXI+MjAwOTwvWWVhcj48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</w:fldData>
        </w:fldChar>
      </w:r>
      <w:r w:rsidRPr="00F26955">
        <w:instrText xml:space="preserve"> ADDIN EN.CITE.DATA </w:instrText>
      </w:r>
      <w:r w:rsidRPr="00F26955">
        <w:fldChar w:fldCharType="end"/>
      </w:r>
      <w:r w:rsidRPr="00F26955">
        <w:fldChar w:fldCharType="separate"/>
      </w:r>
      <w:r w:rsidRPr="00F26955">
        <w:t>(Bikilla et al., 2009b, Kombe et al., 2004, Johns, 2014, Asfaw et al., 2012, Bikilla et al., 2009a, FHAPCO, 2012)</w:t>
      </w:r>
      <w:r w:rsidRPr="00F26955">
        <w:fldChar w:fldCharType="end"/>
      </w:r>
      <w:r>
        <w:t xml:space="preserve">. The reasons for the limited number of analyses </w:t>
      </w:r>
      <w:r w:rsidR="008E6BA9">
        <w:t>are</w:t>
      </w:r>
      <w:r>
        <w:t xml:space="preserve"> multifactorial, and include lack of research funding, limited technical capacity and </w:t>
      </w:r>
      <w:r w:rsidR="002E5265">
        <w:t>s</w:t>
      </w:r>
      <w:r>
        <w:t>carcity</w:t>
      </w:r>
      <w:r w:rsidR="002E5265">
        <w:t xml:space="preserve"> of evidence directly </w:t>
      </w:r>
      <w:r w:rsidR="00293C6C">
        <w:t xml:space="preserve">relevant </w:t>
      </w:r>
      <w:r w:rsidR="002E5265">
        <w:t>to the Ethiopian setting</w:t>
      </w:r>
      <w:r w:rsidR="008E6BA9">
        <w:t xml:space="preserve">. </w:t>
      </w:r>
      <w:r w:rsidR="00444B21">
        <w:t>However,</w:t>
      </w:r>
      <w:r>
        <w:t xml:space="preserve"> the absence of a standardised methodology for conducting economic evaluation</w:t>
      </w:r>
      <w:r w:rsidR="008E6BA9">
        <w:t>s,</w:t>
      </w:r>
      <w:r>
        <w:t xml:space="preserve"> to ensure that limited analytic capacity results in high-quality, policy relevant </w:t>
      </w:r>
      <w:r w:rsidR="008E6BA9">
        <w:t>studies</w:t>
      </w:r>
      <w:r w:rsidR="009824CF">
        <w:t xml:space="preserve"> is likely to be contributory (Asfaw 2015)</w:t>
      </w:r>
      <w:r>
        <w:t xml:space="preserve">. </w:t>
      </w:r>
      <w:r w:rsidR="0079085B">
        <w:t>T</w:t>
      </w:r>
      <w:r>
        <w:t xml:space="preserve">he iDSI Reference Case could be utilised by local academic units, stakeholders and government institutions such as the Ethiopian Public Health Institute to develop a national standardised methodology for economic evaluation, </w:t>
      </w:r>
      <w:r w:rsidR="007C04FE">
        <w:t xml:space="preserve">and provide </w:t>
      </w:r>
      <w:r>
        <w:t>a basis for future capacity building initiatives.</w:t>
      </w:r>
    </w:p>
    <w:p w14:paraId="6D7F0EA7" w14:textId="6F049D4E" w:rsidR="00EE2984" w:rsidRPr="00191CE8" w:rsidRDefault="0029593D" w:rsidP="00B6581B">
      <w:pPr>
        <w:pStyle w:val="Heading1"/>
        <w:jc w:val="both"/>
      </w:pPr>
      <w:r>
        <w:t xml:space="preserve">Components of </w:t>
      </w:r>
      <w:r w:rsidR="003C4E88" w:rsidRPr="00191CE8">
        <w:t xml:space="preserve">the </w:t>
      </w:r>
      <w:r w:rsidR="005E03E7">
        <w:t>iDSI</w:t>
      </w:r>
      <w:r w:rsidR="00A91262">
        <w:t xml:space="preserve"> </w:t>
      </w:r>
      <w:r w:rsidR="00994022">
        <w:t>Reference Case</w:t>
      </w:r>
      <w:r w:rsidR="00C44CE2" w:rsidRPr="00191CE8">
        <w:t xml:space="preserve"> </w:t>
      </w:r>
    </w:p>
    <w:p w14:paraId="0D907C2A" w14:textId="0C0BD063" w:rsidR="009374CB" w:rsidRDefault="00B52E7C" w:rsidP="00940243">
      <w:pPr>
        <w:pStyle w:val="MEEPbodytext"/>
      </w:pPr>
      <w:r w:rsidRPr="00191CE8">
        <w:t>The</w:t>
      </w:r>
      <w:r w:rsidR="00871EAA">
        <w:t xml:space="preserve"> eleven principles of the</w:t>
      </w:r>
      <w:r w:rsidR="00107482">
        <w:t xml:space="preserve"> </w:t>
      </w:r>
      <w:r w:rsidR="005E03E7">
        <w:t xml:space="preserve">iDSI </w:t>
      </w:r>
      <w:r w:rsidR="00871EAA">
        <w:t>R</w:t>
      </w:r>
      <w:r w:rsidR="00107482">
        <w:t xml:space="preserve">eference Case </w:t>
      </w:r>
      <w:r w:rsidR="00871EAA">
        <w:t xml:space="preserve">are </w:t>
      </w:r>
      <w:r w:rsidR="001615EB">
        <w:t xml:space="preserve">listed </w:t>
      </w:r>
      <w:r w:rsidR="00871EAA">
        <w:t xml:space="preserve">in table </w:t>
      </w:r>
      <w:r w:rsidR="008E6BA9">
        <w:t>1</w:t>
      </w:r>
      <w:r w:rsidR="00871EAA">
        <w:t>, and the corresponding methodological speci</w:t>
      </w:r>
      <w:r w:rsidR="008E6BA9">
        <w:t xml:space="preserve">fications are </w:t>
      </w:r>
      <w:r w:rsidR="00633C0A">
        <w:t xml:space="preserve">summarised </w:t>
      </w:r>
      <w:r w:rsidR="008E6BA9">
        <w:t>in table 2</w:t>
      </w:r>
      <w:r w:rsidR="00871EAA">
        <w:t xml:space="preserve">. </w:t>
      </w:r>
      <w:r w:rsidR="0029593D">
        <w:t xml:space="preserve">The </w:t>
      </w:r>
      <w:r w:rsidR="00681BAF">
        <w:t>t</w:t>
      </w:r>
      <w:r w:rsidR="00871EAA">
        <w:t xml:space="preserve">ransparency, </w:t>
      </w:r>
      <w:r w:rsidR="00681BAF">
        <w:t>c</w:t>
      </w:r>
      <w:r w:rsidR="00871EAA">
        <w:t xml:space="preserve">omparators, </w:t>
      </w:r>
      <w:r w:rsidR="003E00A7">
        <w:t xml:space="preserve">constraints </w:t>
      </w:r>
      <w:r w:rsidR="00871EAA">
        <w:t xml:space="preserve">and </w:t>
      </w:r>
      <w:r w:rsidR="00681BAF">
        <w:t>o</w:t>
      </w:r>
      <w:r w:rsidR="00871EAA">
        <w:t xml:space="preserve">utcome </w:t>
      </w:r>
      <w:r w:rsidR="00681BAF">
        <w:t>m</w:t>
      </w:r>
      <w:r w:rsidR="00871EAA">
        <w:t>easure principles</w:t>
      </w:r>
      <w:r w:rsidR="00CE39D4">
        <w:t xml:space="preserve"> have generated substantial interest in the development and initial application of the iDSI Reference Case and are </w:t>
      </w:r>
      <w:r w:rsidR="0029593D">
        <w:t>described below</w:t>
      </w:r>
      <w:r w:rsidR="00681BAF">
        <w:t>.</w:t>
      </w:r>
      <w:r w:rsidR="005E3C13">
        <w:t xml:space="preserve"> </w:t>
      </w:r>
      <w:r w:rsidR="005B0985">
        <w:t>A</w:t>
      </w:r>
      <w:r w:rsidR="00871EAA">
        <w:t xml:space="preserve"> </w:t>
      </w:r>
      <w:r w:rsidR="009374CB">
        <w:t xml:space="preserve">full description of all elements of the </w:t>
      </w:r>
      <w:r w:rsidR="00CE39D4">
        <w:t>iDSI</w:t>
      </w:r>
      <w:r w:rsidR="009374CB">
        <w:t xml:space="preserve"> Reference Case, including Reporting Standards,</w:t>
      </w:r>
      <w:r w:rsidR="00943D7C">
        <w:t xml:space="preserve"> </w:t>
      </w:r>
      <w:r w:rsidR="005B0985">
        <w:t>is available on the iDSI website</w:t>
      </w:r>
      <w:r w:rsidR="002C2144">
        <w:t xml:space="preserve"> (iDSI 2015a)</w:t>
      </w:r>
      <w:r w:rsidR="005B0985">
        <w:t>.</w:t>
      </w:r>
    </w:p>
    <w:p w14:paraId="63C16419" w14:textId="110647C1" w:rsidR="0029593D" w:rsidRDefault="00CA5A8F" w:rsidP="00BC6CC1">
      <w:pPr>
        <w:pStyle w:val="Heading2"/>
      </w:pPr>
      <w:r w:rsidRPr="00191CE8">
        <w:t>Transparency</w:t>
      </w:r>
      <w:bookmarkEnd w:id="7"/>
      <w:bookmarkEnd w:id="8"/>
    </w:p>
    <w:p w14:paraId="0D2A0CFE" w14:textId="1E86F0FE" w:rsidR="0029593D" w:rsidRDefault="00DC678C" w:rsidP="00940243">
      <w:pPr>
        <w:pStyle w:val="MEEPbodytext"/>
      </w:pPr>
      <w:r>
        <w:t xml:space="preserve">The transparency principle underpins all other components of the </w:t>
      </w:r>
      <w:r w:rsidR="005E03E7">
        <w:t xml:space="preserve">iDSI </w:t>
      </w:r>
      <w:r>
        <w:t>Ref</w:t>
      </w:r>
      <w:r w:rsidR="00D840D3">
        <w:t>erence Case, in particular the Reporting Standards</w:t>
      </w:r>
      <w:r>
        <w:t xml:space="preserve">. </w:t>
      </w:r>
      <w:r w:rsidR="00C85BBA">
        <w:t xml:space="preserve">The need for improvement in </w:t>
      </w:r>
      <w:r w:rsidR="00A30665">
        <w:t xml:space="preserve">the </w:t>
      </w:r>
      <w:r w:rsidR="00C85BBA">
        <w:t>c</w:t>
      </w:r>
      <w:r>
        <w:t xml:space="preserve">larity of reporting </w:t>
      </w:r>
      <w:r>
        <w:lastRenderedPageBreak/>
        <w:t xml:space="preserve">and alignment of analysis to </w:t>
      </w:r>
      <w:r w:rsidR="000F724F">
        <w:t xml:space="preserve">the </w:t>
      </w:r>
      <w:r>
        <w:t>stated decision problem in economic evaluations based in LMIC settings was a consistent theme raised by consultees in the reference c</w:t>
      </w:r>
      <w:r w:rsidR="00C85BBA">
        <w:t>ase development process. Consultees considered that</w:t>
      </w:r>
      <w:r w:rsidR="00681BAF">
        <w:t xml:space="preserve"> </w:t>
      </w:r>
      <w:r w:rsidR="00C85BBA" w:rsidRPr="00191CE8">
        <w:t xml:space="preserve">even the most methodologically robust economic evaluation will not be informative if the </w:t>
      </w:r>
      <w:r w:rsidR="00C85BBA">
        <w:t xml:space="preserve">decision problem, </w:t>
      </w:r>
      <w:r w:rsidR="00C85BBA" w:rsidRPr="00191CE8">
        <w:t>methods and results of the economic evaluation are not reported clearly and transparently.</w:t>
      </w:r>
      <w:r w:rsidR="00C85BBA">
        <w:t xml:space="preserve"> </w:t>
      </w:r>
      <w:r w:rsidR="00681BAF">
        <w:t xml:space="preserve">Building on existing reporting </w:t>
      </w:r>
      <w:r w:rsidR="003C3D27">
        <w:t>frameworks (</w:t>
      </w:r>
      <w:r w:rsidR="003C3D27" w:rsidRPr="003C3D27">
        <w:t>Husereau 2009</w:t>
      </w:r>
      <w:r w:rsidR="00681BAF">
        <w:t>, Drummond</w:t>
      </w:r>
      <w:r w:rsidR="00D840D3">
        <w:t xml:space="preserve"> 2015</w:t>
      </w:r>
      <w:r w:rsidR="003C3D27">
        <w:t>)</w:t>
      </w:r>
      <w:r w:rsidR="00681BAF">
        <w:t>, the transparency</w:t>
      </w:r>
      <w:r w:rsidR="00CA6EA8">
        <w:t xml:space="preserve"> principle</w:t>
      </w:r>
      <w:r w:rsidR="00681BAF">
        <w:t xml:space="preserve"> and corresponding methodological specifications</w:t>
      </w:r>
      <w:r w:rsidR="00CA6EA8">
        <w:t xml:space="preserve"> go beyond a requirement for clear reporting</w:t>
      </w:r>
      <w:r w:rsidR="00A30665">
        <w:t xml:space="preserve">.  It also </w:t>
      </w:r>
      <w:r w:rsidR="00CA6EA8">
        <w:t>seek</w:t>
      </w:r>
      <w:r w:rsidR="009B0E0D">
        <w:t>s</w:t>
      </w:r>
      <w:r w:rsidR="00CA6EA8">
        <w:t xml:space="preserve"> an explicit and consistent link between the stated decision problem and </w:t>
      </w:r>
      <w:r w:rsidR="00681BAF">
        <w:t xml:space="preserve">the informational needs of the decision the analysis </w:t>
      </w:r>
      <w:r w:rsidR="009B0E0D">
        <w:t>is intended</w:t>
      </w:r>
      <w:r w:rsidR="00681BAF">
        <w:t xml:space="preserve"> to inform. </w:t>
      </w:r>
    </w:p>
    <w:p w14:paraId="0297B741" w14:textId="62CEDABC" w:rsidR="00CA5A8F" w:rsidRPr="00191CE8" w:rsidRDefault="00C85BBA" w:rsidP="00940243">
      <w:pPr>
        <w:pStyle w:val="MEEPbodytext"/>
      </w:pPr>
      <w:r>
        <w:t xml:space="preserve">Improved transparency in </w:t>
      </w:r>
      <w:r w:rsidR="005B21E7">
        <w:t xml:space="preserve">the conduct and reporting of </w:t>
      </w:r>
      <w:r>
        <w:t xml:space="preserve">economic evaluation also aligns with initiatives </w:t>
      </w:r>
      <w:r w:rsidR="00A30665">
        <w:t xml:space="preserve">to </w:t>
      </w:r>
      <w:r>
        <w:t>address barriers to transferability</w:t>
      </w:r>
      <w:r w:rsidR="003C3D27">
        <w:t xml:space="preserve"> (Drummond 2009a)</w:t>
      </w:r>
      <w:r w:rsidR="009B0E0D">
        <w:t>.</w:t>
      </w:r>
      <w:r>
        <w:t xml:space="preserve"> </w:t>
      </w:r>
      <w:r w:rsidR="005B21E7" w:rsidRPr="00F17C76">
        <w:t xml:space="preserve">Clear and transparent reporting </w:t>
      </w:r>
      <w:r w:rsidR="005B21E7">
        <w:t>allows</w:t>
      </w:r>
      <w:r w:rsidR="005B21E7" w:rsidRPr="00191CE8">
        <w:t xml:space="preserve"> research undertaken in one particular context </w:t>
      </w:r>
      <w:r w:rsidR="005B21E7">
        <w:t xml:space="preserve">to </w:t>
      </w:r>
      <w:r w:rsidR="005B21E7" w:rsidRPr="00191CE8">
        <w:t xml:space="preserve">be </w:t>
      </w:r>
      <w:r w:rsidR="005B21E7">
        <w:t xml:space="preserve">applied to </w:t>
      </w:r>
      <w:r w:rsidR="005B21E7" w:rsidRPr="00191CE8">
        <w:t xml:space="preserve">decision-making in another, </w:t>
      </w:r>
      <w:r w:rsidR="005B21E7">
        <w:t>as</w:t>
      </w:r>
      <w:r w:rsidR="005B21E7" w:rsidRPr="00191CE8">
        <w:t xml:space="preserve"> even where the overall results of the economic evaluation may not be </w:t>
      </w:r>
      <w:r w:rsidR="00830FBE">
        <w:t>transferable</w:t>
      </w:r>
      <w:r w:rsidR="005B21E7" w:rsidRPr="00191CE8">
        <w:t xml:space="preserve">, aspects of the </w:t>
      </w:r>
      <w:r w:rsidR="005B21E7">
        <w:t>research</w:t>
      </w:r>
      <w:r w:rsidR="005B21E7" w:rsidRPr="00191CE8">
        <w:t xml:space="preserve"> may still inform analys</w:t>
      </w:r>
      <w:r w:rsidR="005B21E7">
        <w:t>e</w:t>
      </w:r>
      <w:r w:rsidR="005B21E7" w:rsidRPr="00191CE8">
        <w:t xml:space="preserve">s in other contexts. </w:t>
      </w:r>
      <w:r w:rsidR="005B21E7">
        <w:t xml:space="preserve">Ultimately, however, the transparency principle underscores the primacy of the role of economic evaluations in informing decisions. </w:t>
      </w:r>
      <w:r w:rsidR="005B21E7" w:rsidRPr="00F17C76">
        <w:t xml:space="preserve">Clarity and transparency </w:t>
      </w:r>
      <w:r w:rsidR="005B21E7" w:rsidRPr="00191CE8">
        <w:t xml:space="preserve">in an economic evaluation </w:t>
      </w:r>
      <w:r w:rsidR="00C547AB">
        <w:t xml:space="preserve">not only </w:t>
      </w:r>
      <w:r w:rsidR="005B21E7" w:rsidRPr="00191CE8">
        <w:t xml:space="preserve">enhance the transparency of the decision </w:t>
      </w:r>
      <w:r w:rsidR="00A30665">
        <w:t>the analysis seeks</w:t>
      </w:r>
      <w:r w:rsidR="005B21E7" w:rsidRPr="00191CE8">
        <w:t xml:space="preserve"> to inform, </w:t>
      </w:r>
      <w:r w:rsidR="00C547AB">
        <w:t>but</w:t>
      </w:r>
      <w:r w:rsidR="005B21E7" w:rsidRPr="00191CE8">
        <w:t xml:space="preserve"> </w:t>
      </w:r>
      <w:r w:rsidR="00CB522B">
        <w:t xml:space="preserve">also </w:t>
      </w:r>
      <w:r w:rsidR="005B21E7" w:rsidRPr="00191CE8">
        <w:t xml:space="preserve">the accountability of the decision-maker to the </w:t>
      </w:r>
      <w:r w:rsidR="005B21E7">
        <w:t xml:space="preserve">relevant </w:t>
      </w:r>
      <w:r w:rsidR="005B21E7" w:rsidRPr="00191CE8">
        <w:t>stakeholders.</w:t>
      </w:r>
    </w:p>
    <w:p w14:paraId="3D26CF31" w14:textId="24E7D8E5" w:rsidR="00CA5A8F" w:rsidRDefault="00CA5A8F" w:rsidP="00BC6CC1">
      <w:pPr>
        <w:pStyle w:val="Heading2"/>
      </w:pPr>
      <w:bookmarkStart w:id="9" w:name="_Toc364264613"/>
      <w:bookmarkStart w:id="10" w:name="_Toc380681296"/>
      <w:r w:rsidRPr="00191CE8">
        <w:t>Comparators</w:t>
      </w:r>
      <w:bookmarkEnd w:id="9"/>
      <w:bookmarkEnd w:id="10"/>
    </w:p>
    <w:p w14:paraId="7E3A4FDE" w14:textId="3C2AAA92" w:rsidR="005B21E7" w:rsidRPr="00191CE8" w:rsidRDefault="005B21E7" w:rsidP="00940243">
      <w:pPr>
        <w:pStyle w:val="MEEPbodytext"/>
      </w:pPr>
      <w:r w:rsidRPr="00F17C76">
        <w:t xml:space="preserve">Identifying the comparator </w:t>
      </w:r>
      <w:r w:rsidRPr="00191CE8">
        <w:t>against which costs and effects will be measured is critical to ensuring that the analysis</w:t>
      </w:r>
      <w:r>
        <w:t xml:space="preserve"> both </w:t>
      </w:r>
      <w:r w:rsidRPr="00191CE8">
        <w:t>accurately informs the decision problem</w:t>
      </w:r>
      <w:r>
        <w:t xml:space="preserve"> and is relevant to local decision making</w:t>
      </w:r>
      <w:r w:rsidRPr="00191CE8">
        <w:t>.</w:t>
      </w:r>
      <w:r>
        <w:t xml:space="preserve"> </w:t>
      </w:r>
    </w:p>
    <w:p w14:paraId="09842FDD" w14:textId="3A0EEB9F" w:rsidR="00CA5A8F" w:rsidRPr="00191CE8" w:rsidRDefault="00CF78D6" w:rsidP="00940243">
      <w:pPr>
        <w:pStyle w:val="MEEPbodytext"/>
      </w:pPr>
      <w:r>
        <w:t xml:space="preserve">Comparative incremental analysis against current practice can most accurately reflect the true nature of the decision problem facing local decision makers. </w:t>
      </w:r>
      <w:r w:rsidR="00793A95">
        <w:t xml:space="preserve">The </w:t>
      </w:r>
      <w:r w:rsidR="00306C45">
        <w:t>implications</w:t>
      </w:r>
      <w:r w:rsidR="00793A95">
        <w:t xml:space="preserve"> of reporting incremental, </w:t>
      </w:r>
      <w:r w:rsidR="0025131D">
        <w:t>rather than average</w:t>
      </w:r>
      <w:r w:rsidR="00793A95">
        <w:t xml:space="preserve"> costs and effects for an intervention has been </w:t>
      </w:r>
      <w:r w:rsidR="00793A95">
        <w:lastRenderedPageBreak/>
        <w:t>well established</w:t>
      </w:r>
      <w:r w:rsidR="00793A95" w:rsidRPr="00793A95">
        <w:rPr>
          <w:rFonts w:eastAsia="Times New Roman"/>
          <w:color w:val="222222"/>
          <w:sz w:val="20"/>
          <w:szCs w:val="20"/>
        </w:rPr>
        <w:t xml:space="preserve"> </w:t>
      </w:r>
      <w:r w:rsidR="00D15EAE">
        <w:rPr>
          <w:rFonts w:eastAsia="Times New Roman"/>
          <w:color w:val="222222"/>
          <w:sz w:val="20"/>
          <w:szCs w:val="20"/>
        </w:rPr>
        <w:t>(</w:t>
      </w:r>
      <w:r w:rsidR="00793A95" w:rsidRPr="008A2BFA">
        <w:t>Karlsson</w:t>
      </w:r>
      <w:r w:rsidR="00793A95">
        <w:t xml:space="preserve"> 1996, Drummond 2015</w:t>
      </w:r>
      <w:r w:rsidR="00D15EAE">
        <w:t>)</w:t>
      </w:r>
      <w:r w:rsidR="00793A95">
        <w:t xml:space="preserve">. </w:t>
      </w:r>
      <w:r>
        <w:t>However, a limitation of only comparing an intervention to current practice is that if current practice does not represent an optimal use of resources, the resultant incremental cost effectiveness ratio will not be a good indicator of value for money</w:t>
      </w:r>
      <w:r w:rsidR="008828C9">
        <w:t xml:space="preserve"> (</w:t>
      </w:r>
      <w:r w:rsidR="009F7DFF">
        <w:t>Murray 2000</w:t>
      </w:r>
      <w:r w:rsidR="008828C9">
        <w:t>, Drummond 2015)</w:t>
      </w:r>
      <w:r>
        <w:t xml:space="preserve">. To address this </w:t>
      </w:r>
      <w:r w:rsidR="00DC6521">
        <w:t>issue</w:t>
      </w:r>
      <w:r w:rsidR="00AF4743">
        <w:t xml:space="preserve">, </w:t>
      </w:r>
      <w:r>
        <w:t xml:space="preserve">as a minimum requirement, </w:t>
      </w:r>
      <w:r w:rsidR="00AF4743">
        <w:t xml:space="preserve">the </w:t>
      </w:r>
      <w:r w:rsidR="00DC6521">
        <w:t>iDSI</w:t>
      </w:r>
      <w:r w:rsidR="00AF4743">
        <w:t xml:space="preserve"> Reference Case requires </w:t>
      </w:r>
      <w:r w:rsidR="00AF5BFD">
        <w:t>comparative</w:t>
      </w:r>
      <w:r w:rsidR="00285CA1" w:rsidRPr="00191CE8">
        <w:t xml:space="preserve"> analysis </w:t>
      </w:r>
      <w:r w:rsidR="00AF5BFD">
        <w:t>of</w:t>
      </w:r>
      <w:r w:rsidR="00285CA1" w:rsidRPr="00191CE8">
        <w:t xml:space="preserve"> therapies currently in routine use </w:t>
      </w:r>
      <w:r w:rsidR="00AF4743">
        <w:t>(current practice)</w:t>
      </w:r>
      <w:r w:rsidR="00285CA1" w:rsidRPr="00191CE8">
        <w:t xml:space="preserve">, with additional analysis exploring </w:t>
      </w:r>
      <w:r w:rsidR="00AF4743">
        <w:t>comparison against best-sup</w:t>
      </w:r>
      <w:r w:rsidR="0025131D">
        <w:t>portive, non-interventional care</w:t>
      </w:r>
      <w:r w:rsidR="00AF4743">
        <w:t xml:space="preserve"> in the context of the decision problem</w:t>
      </w:r>
      <w:r w:rsidR="00285CA1" w:rsidRPr="00191CE8">
        <w:t>.</w:t>
      </w:r>
      <w:r w:rsidR="00AF4743">
        <w:t xml:space="preserve"> </w:t>
      </w:r>
      <w:r w:rsidR="00AF5BFD">
        <w:t>This approach will allow the analysis to accurately reflect the incremental costs and effects of an intervention</w:t>
      </w:r>
      <w:r>
        <w:t xml:space="preserve"> but will also </w:t>
      </w:r>
      <w:r w:rsidR="00AF5BFD">
        <w:t>identify where current practice does not reflect optimal care</w:t>
      </w:r>
      <w:r>
        <w:t>.</w:t>
      </w:r>
      <w:r w:rsidR="00CA5A8F" w:rsidRPr="00191CE8">
        <w:t xml:space="preserve"> </w:t>
      </w:r>
    </w:p>
    <w:p w14:paraId="2F2CD960" w14:textId="13B15315" w:rsidR="00CA5A8F" w:rsidRPr="00191CE8" w:rsidRDefault="00C73005" w:rsidP="00940243">
      <w:pPr>
        <w:pStyle w:val="MEEPbodytext"/>
      </w:pPr>
      <w:r>
        <w:t xml:space="preserve">Incorporating the transparency principle, </w:t>
      </w:r>
      <w:r w:rsidR="00793A95">
        <w:t xml:space="preserve">the </w:t>
      </w:r>
      <w:r w:rsidR="00DC6521">
        <w:t>iDSI</w:t>
      </w:r>
      <w:r w:rsidR="00793A95">
        <w:t xml:space="preserve"> Reference Case requires </w:t>
      </w:r>
      <w:r>
        <w:t>r</w:t>
      </w:r>
      <w:r w:rsidR="006513D4">
        <w:t xml:space="preserve">esearchers </w:t>
      </w:r>
      <w:r w:rsidR="00793A95">
        <w:t xml:space="preserve">to </w:t>
      </w:r>
      <w:r w:rsidR="0025131D">
        <w:t>explain their</w:t>
      </w:r>
      <w:r w:rsidR="006513D4">
        <w:t xml:space="preserve"> choice of comparator</w:t>
      </w:r>
      <w:r w:rsidR="00A30665">
        <w:t>(s)</w:t>
      </w:r>
      <w:r w:rsidR="006513D4">
        <w:t xml:space="preserve"> and how </w:t>
      </w:r>
      <w:r w:rsidR="0025131D">
        <w:t>it</w:t>
      </w:r>
      <w:r w:rsidR="006513D4">
        <w:t xml:space="preserve"> </w:t>
      </w:r>
      <w:r w:rsidR="00D50154">
        <w:t>reflects</w:t>
      </w:r>
      <w:r w:rsidR="00DC6521">
        <w:t xml:space="preserve"> the decision problem the economic evaluation is intended to inform</w:t>
      </w:r>
      <w:r w:rsidR="006513D4">
        <w:t>.</w:t>
      </w:r>
    </w:p>
    <w:p w14:paraId="04E1CD21" w14:textId="503CB956" w:rsidR="00552B98" w:rsidRDefault="00CA5A8F" w:rsidP="00BC6CC1">
      <w:pPr>
        <w:pStyle w:val="Heading2"/>
      </w:pPr>
      <w:bookmarkStart w:id="11" w:name="_Toc364264615"/>
      <w:bookmarkStart w:id="12" w:name="_Toc380681298"/>
      <w:r w:rsidRPr="00191CE8">
        <w:t>Measure of outcome</w:t>
      </w:r>
      <w:bookmarkEnd w:id="11"/>
      <w:bookmarkEnd w:id="12"/>
    </w:p>
    <w:p w14:paraId="165DFBD6" w14:textId="62161266" w:rsidR="00CA5A8F" w:rsidRPr="00191CE8" w:rsidRDefault="00D60B97" w:rsidP="00940243">
      <w:pPr>
        <w:pStyle w:val="MEEPbodytext"/>
      </w:pPr>
      <w:r>
        <w:t xml:space="preserve">The measure of outcome </w:t>
      </w:r>
      <w:r w:rsidR="006C12D1">
        <w:t xml:space="preserve">chosen </w:t>
      </w:r>
      <w:r>
        <w:t>is critical to</w:t>
      </w:r>
      <w:r w:rsidR="006C12D1">
        <w:t xml:space="preserve"> the scope of the decision that can be informed by an economic evaluation.</w:t>
      </w:r>
      <w:r>
        <w:t xml:space="preserve"> </w:t>
      </w:r>
      <w:r w:rsidR="00552B98">
        <w:t xml:space="preserve">The </w:t>
      </w:r>
      <w:r w:rsidR="0025131D">
        <w:t>iDSI</w:t>
      </w:r>
      <w:r w:rsidR="00552B98">
        <w:t xml:space="preserve"> </w:t>
      </w:r>
      <w:r w:rsidR="0025131D">
        <w:t>Reference Case is envisioned as a guide</w:t>
      </w:r>
      <w:r w:rsidR="0079085B">
        <w:t xml:space="preserve"> for</w:t>
      </w:r>
      <w:r w:rsidR="0025131D">
        <w:t xml:space="preserve"> economic evaluations </w:t>
      </w:r>
      <w:r w:rsidR="0079085B">
        <w:t xml:space="preserve">that are </w:t>
      </w:r>
      <w:r w:rsidR="0025131D">
        <w:t xml:space="preserve">intended to inform decision making in health and address issues of </w:t>
      </w:r>
      <w:r w:rsidR="00CB522B">
        <w:t>equity and</w:t>
      </w:r>
      <w:r w:rsidR="0025131D">
        <w:t xml:space="preserve"> efficiency. </w:t>
      </w:r>
      <w:r w:rsidR="00A30665">
        <w:t xml:space="preserve">Although improving health is not the only source of benefit from health care and public health initiatives, it is likely to be </w:t>
      </w:r>
      <w:r w:rsidR="00CB522B">
        <w:t xml:space="preserve">the issue </w:t>
      </w:r>
      <w:r w:rsidR="0004143C">
        <w:t>of central concern</w:t>
      </w:r>
      <w:r w:rsidR="0079085B">
        <w:t xml:space="preserve"> so</w:t>
      </w:r>
      <w:r w:rsidR="0004143C">
        <w:t xml:space="preserve"> it is appropriate for health outcomes to be the focus in economic evaluations.  </w:t>
      </w:r>
      <w:r w:rsidR="008314E7">
        <w:t xml:space="preserve">This </w:t>
      </w:r>
      <w:r w:rsidR="001C20A0">
        <w:t>me</w:t>
      </w:r>
      <w:r w:rsidR="008314E7">
        <w:t>a</w:t>
      </w:r>
      <w:r w:rsidR="001C20A0">
        <w:t>ns that a</w:t>
      </w:r>
      <w:r w:rsidR="00CA5A8F" w:rsidRPr="00191CE8">
        <w:t xml:space="preserve"> measure of health outcome</w:t>
      </w:r>
      <w:r w:rsidR="00334599">
        <w:t xml:space="preserve"> is required</w:t>
      </w:r>
      <w:r w:rsidR="00CA5A8F" w:rsidRPr="00191CE8">
        <w:t xml:space="preserve"> that is broad enough to capture</w:t>
      </w:r>
      <w:r w:rsidR="0025131D">
        <w:t xml:space="preserve"> the most significant and important</w:t>
      </w:r>
      <w:r w:rsidR="00E812E2">
        <w:t xml:space="preserve"> aspects of health and can be applied consistently to different types of health technology</w:t>
      </w:r>
      <w:r w:rsidR="0007035C">
        <w:t xml:space="preserve">, </w:t>
      </w:r>
      <w:r w:rsidR="00E812E2">
        <w:t>interventions</w:t>
      </w:r>
      <w:r w:rsidR="006A51F6">
        <w:t xml:space="preserve"> </w:t>
      </w:r>
      <w:r w:rsidR="0007035C">
        <w:t xml:space="preserve">and programmes </w:t>
      </w:r>
      <w:r w:rsidR="006A51F6">
        <w:t>across the population</w:t>
      </w:r>
      <w:r w:rsidR="00334599">
        <w:t>.</w:t>
      </w:r>
      <w:r w:rsidR="008314E7">
        <w:t xml:space="preserve"> </w:t>
      </w:r>
      <w:r w:rsidR="006A51F6">
        <w:t>Wh</w:t>
      </w:r>
      <w:r w:rsidR="00CA5A8F" w:rsidRPr="00191CE8">
        <w:t xml:space="preserve">ere the scope of the decision problem is limited to interventions and comparators that impact either length of life </w:t>
      </w:r>
      <w:r w:rsidR="00CA5A8F" w:rsidRPr="00191CE8">
        <w:rPr>
          <w:i/>
        </w:rPr>
        <w:t>or</w:t>
      </w:r>
      <w:r w:rsidR="00CA5A8F" w:rsidRPr="00191CE8">
        <w:t xml:space="preserve"> </w:t>
      </w:r>
      <w:r w:rsidR="004C377A">
        <w:t xml:space="preserve">health-related </w:t>
      </w:r>
      <w:r w:rsidR="00CA5A8F" w:rsidRPr="00191CE8">
        <w:t xml:space="preserve">quality of life, </w:t>
      </w:r>
      <w:r w:rsidR="008314E7">
        <w:t xml:space="preserve">consistently using a </w:t>
      </w:r>
      <w:r w:rsidR="00CA5A8F" w:rsidRPr="00191CE8">
        <w:t xml:space="preserve">measure that captures length </w:t>
      </w:r>
      <w:r w:rsidR="00CA5A8F" w:rsidRPr="00191CE8">
        <w:rPr>
          <w:i/>
        </w:rPr>
        <w:t>and</w:t>
      </w:r>
      <w:r w:rsidR="00CA5A8F" w:rsidRPr="00191CE8">
        <w:t xml:space="preserve"> </w:t>
      </w:r>
      <w:r w:rsidR="004C377A">
        <w:t xml:space="preserve">health-related </w:t>
      </w:r>
      <w:r w:rsidR="00CA5A8F" w:rsidRPr="00191CE8">
        <w:t>quality of life</w:t>
      </w:r>
      <w:r w:rsidR="008314E7">
        <w:t xml:space="preserve"> and is </w:t>
      </w:r>
      <w:r w:rsidR="00872CC1">
        <w:t>generalizable</w:t>
      </w:r>
      <w:r w:rsidR="008314E7">
        <w:t xml:space="preserve"> </w:t>
      </w:r>
      <w:r w:rsidR="00CA5A8F" w:rsidRPr="00191CE8">
        <w:t xml:space="preserve">across disease states allows consideration of opportunity costs for the entire health sector, and facilitates </w:t>
      </w:r>
      <w:r w:rsidR="00CA5A8F" w:rsidRPr="00191CE8">
        <w:lastRenderedPageBreak/>
        <w:t xml:space="preserve">comparisons across investment types. </w:t>
      </w:r>
      <w:r w:rsidR="00334599">
        <w:t>While a disease-specific outcome measure will inform decisions of technical efficiency, it will limit</w:t>
      </w:r>
      <w:r w:rsidR="00CA5A8F" w:rsidRPr="00191CE8">
        <w:t xml:space="preserve"> the ability of the </w:t>
      </w:r>
      <w:r w:rsidR="00A603CB" w:rsidRPr="00191CE8">
        <w:t>decision-m</w:t>
      </w:r>
      <w:r w:rsidR="00CA5A8F" w:rsidRPr="00191CE8">
        <w:t xml:space="preserve">aker to make reasoned trade-offs between competing investments in different disease states, and can undermine comparability and consistency in </w:t>
      </w:r>
      <w:r w:rsidR="00A603CB" w:rsidRPr="00191CE8">
        <w:t>decision-m</w:t>
      </w:r>
      <w:r w:rsidR="00CA5A8F" w:rsidRPr="00191CE8">
        <w:t>aking.</w:t>
      </w:r>
    </w:p>
    <w:p w14:paraId="7A51A356" w14:textId="2F4C280F" w:rsidR="00872CC1" w:rsidRDefault="006A51F6" w:rsidP="00940243">
      <w:pPr>
        <w:pStyle w:val="MEEPbodytext"/>
      </w:pPr>
      <w:r>
        <w:t xml:space="preserve">The </w:t>
      </w:r>
      <w:r w:rsidR="00CA5A8F" w:rsidRPr="00191CE8">
        <w:t xml:space="preserve">Disability-Adjusted Life Years (DALYs) averted </w:t>
      </w:r>
      <w:r w:rsidR="00DF2221">
        <w:t xml:space="preserve">or Quality Adjusted Life Years (QALYs) </w:t>
      </w:r>
      <w:r w:rsidR="00504B45">
        <w:t xml:space="preserve">gained </w:t>
      </w:r>
      <w:r w:rsidR="00692B5F">
        <w:t>are measures that meet the requirements of the Outcome Principle</w:t>
      </w:r>
      <w:r>
        <w:t xml:space="preserve"> in the iDSI Reference Case</w:t>
      </w:r>
      <w:r w:rsidR="00692B5F">
        <w:t xml:space="preserve">. </w:t>
      </w:r>
      <w:r w:rsidR="00CA5A8F" w:rsidRPr="00191CE8">
        <w:t xml:space="preserve">The </w:t>
      </w:r>
      <w:r w:rsidR="002B4B5C">
        <w:t>QALY</w:t>
      </w:r>
      <w:r w:rsidR="00504B45">
        <w:t>-gained</w:t>
      </w:r>
      <w:r w:rsidR="002B4B5C">
        <w:t xml:space="preserve"> and </w:t>
      </w:r>
      <w:r w:rsidR="00CA5A8F" w:rsidRPr="00191CE8">
        <w:t>DALY</w:t>
      </w:r>
      <w:r w:rsidR="002B4B5C">
        <w:t xml:space="preserve">-averted both </w:t>
      </w:r>
      <w:r w:rsidR="00CA5A8F" w:rsidRPr="00191CE8">
        <w:t>provide a measure of both quality and length of life</w:t>
      </w:r>
      <w:r w:rsidR="0013573F" w:rsidRPr="00191CE8">
        <w:t>,</w:t>
      </w:r>
      <w:r w:rsidR="002B4B5C">
        <w:t xml:space="preserve"> and are</w:t>
      </w:r>
      <w:r w:rsidR="00CA5A8F" w:rsidRPr="00191CE8">
        <w:t xml:space="preserve"> </w:t>
      </w:r>
      <w:r w:rsidR="00AD4CC5" w:rsidRPr="00191CE8">
        <w:t>generalizable</w:t>
      </w:r>
      <w:r w:rsidR="00CA5A8F" w:rsidRPr="00191CE8">
        <w:t xml:space="preserve"> across different disease and therapeutic areas. </w:t>
      </w:r>
      <w:r w:rsidR="000157E2">
        <w:t>T</w:t>
      </w:r>
      <w:r w:rsidR="001E75F0">
        <w:t xml:space="preserve">he DALY </w:t>
      </w:r>
      <w:r w:rsidR="00FE7810">
        <w:t xml:space="preserve">is </w:t>
      </w:r>
      <w:r w:rsidR="00FE7810" w:rsidRPr="00191CE8">
        <w:t>the metric most frequently used in economic evaluations in LMICs funded by the BMGF in the vaccination, TB, malaria, and HIV/AIDS programme areas</w:t>
      </w:r>
      <w:r>
        <w:t xml:space="preserve"> (Santatiwongchai 2015)</w:t>
      </w:r>
      <w:r w:rsidR="00B20776">
        <w:t xml:space="preserve">.  It </w:t>
      </w:r>
      <w:r w:rsidR="001E75F0">
        <w:t>is also</w:t>
      </w:r>
      <w:r w:rsidR="00CA5A8F" w:rsidRPr="00191CE8">
        <w:t xml:space="preserve"> </w:t>
      </w:r>
      <w:r w:rsidR="000157E2">
        <w:t xml:space="preserve">commonly </w:t>
      </w:r>
      <w:r w:rsidR="00CA5A8F" w:rsidRPr="00191CE8">
        <w:t>used in resource allocation decisions in health in</w:t>
      </w:r>
      <w:r>
        <w:t xml:space="preserve"> LMICs</w:t>
      </w:r>
      <w:r w:rsidR="004F7D85" w:rsidRPr="00191CE8">
        <w:t>,</w:t>
      </w:r>
      <w:r w:rsidR="00FE7810">
        <w:t xml:space="preserve"> </w:t>
      </w:r>
      <w:r>
        <w:t>supported by</w:t>
      </w:r>
      <w:r w:rsidR="00FE7810">
        <w:t xml:space="preserve"> the Global Burden of Disease analytical series</w:t>
      </w:r>
      <w:r w:rsidR="000157E2">
        <w:t xml:space="preserve"> </w:t>
      </w:r>
      <w:r w:rsidR="009F7DFF">
        <w:t>(Murray 1997)</w:t>
      </w:r>
      <w:r w:rsidR="000157E2">
        <w:t xml:space="preserve"> and various World Health Organisation programs </w:t>
      </w:r>
      <w:r w:rsidR="009F7DFF">
        <w:t>(WHO, 2010).</w:t>
      </w:r>
      <w:r w:rsidR="000157E2">
        <w:t xml:space="preserve"> </w:t>
      </w:r>
      <w:r w:rsidR="00EE1CFA">
        <w:t xml:space="preserve">The QALY is </w:t>
      </w:r>
      <w:r w:rsidR="00AB58C2">
        <w:t xml:space="preserve">frequently required by </w:t>
      </w:r>
      <w:r w:rsidR="00872CC1">
        <w:t xml:space="preserve">national </w:t>
      </w:r>
      <w:r w:rsidR="00AB58C2">
        <w:t>HTA agencies</w:t>
      </w:r>
      <w:r w:rsidR="00EE1CFA">
        <w:t xml:space="preserve"> </w:t>
      </w:r>
      <w:r w:rsidR="00AB58C2">
        <w:t>[REF NICE</w:t>
      </w:r>
      <w:r w:rsidR="00872CC1">
        <w:t xml:space="preserve"> 2013</w:t>
      </w:r>
      <w:r w:rsidR="00AB58C2">
        <w:t>, PHA</w:t>
      </w:r>
      <w:r w:rsidR="00872CC1">
        <w:t>RM</w:t>
      </w:r>
      <w:r w:rsidR="00AB58C2">
        <w:t>AC</w:t>
      </w:r>
      <w:r w:rsidR="00F84D9E">
        <w:t xml:space="preserve"> 2012</w:t>
      </w:r>
      <w:r w:rsidR="00AB58C2">
        <w:t>, CADTH</w:t>
      </w:r>
      <w:r w:rsidR="00872CC1">
        <w:t xml:space="preserve"> 2006, </w:t>
      </w:r>
      <w:r w:rsidR="00F96F17" w:rsidRPr="00F96F17">
        <w:t>Thavorncharoensap 2014</w:t>
      </w:r>
      <w:r w:rsidR="00F84D9E">
        <w:t>)</w:t>
      </w:r>
      <w:r w:rsidR="00EE1CFA">
        <w:t xml:space="preserve"> and</w:t>
      </w:r>
      <w:r w:rsidR="00B20776">
        <w:t>,</w:t>
      </w:r>
      <w:r w:rsidR="00EE1CFA">
        <w:t xml:space="preserve"> </w:t>
      </w:r>
      <w:r w:rsidR="008C748A">
        <w:t>i</w:t>
      </w:r>
      <w:r w:rsidR="003A222E">
        <w:t>n contrast to the DALY, QALYs incorporate</w:t>
      </w:r>
      <w:r w:rsidR="008C748A">
        <w:t xml:space="preserve"> estimations of quality of life through survey-based health state valuations.</w:t>
      </w:r>
      <w:r w:rsidR="003A222E">
        <w:t xml:space="preserve"> </w:t>
      </w:r>
    </w:p>
    <w:p w14:paraId="416511EB" w14:textId="0A7F61D0" w:rsidR="00CC100E" w:rsidRDefault="00692B5F" w:rsidP="00940243">
      <w:pPr>
        <w:pStyle w:val="MEEPbodytext"/>
      </w:pPr>
      <w:r>
        <w:t>The benefits and limitations of both the DALY and QALY have b</w:t>
      </w:r>
      <w:r w:rsidR="00F84D9E">
        <w:t>een extensively documented (</w:t>
      </w:r>
      <w:r>
        <w:t>Anand 1997,</w:t>
      </w:r>
      <w:r w:rsidR="0065284C">
        <w:t xml:space="preserve"> Gold 2002</w:t>
      </w:r>
      <w:r w:rsidR="00F84D9E">
        <w:t>,</w:t>
      </w:r>
      <w:r w:rsidR="0065284C">
        <w:t xml:space="preserve"> </w:t>
      </w:r>
      <w:r w:rsidR="0065284C" w:rsidRPr="0065284C">
        <w:t>Lipscomb 2009</w:t>
      </w:r>
      <w:r w:rsidR="00030F57">
        <w:t>, Drummond 2015</w:t>
      </w:r>
      <w:r w:rsidR="00F84D9E">
        <w:t>)</w:t>
      </w:r>
      <w:r w:rsidR="004B35B0">
        <w:t xml:space="preserve">, and </w:t>
      </w:r>
      <w:r w:rsidR="008C748A">
        <w:t xml:space="preserve">researchers will need to exercise judgement in choosing the most appropriate measure(s) for </w:t>
      </w:r>
      <w:r w:rsidR="00B20776">
        <w:t>a given</w:t>
      </w:r>
      <w:r w:rsidR="008C748A">
        <w:t xml:space="preserve"> economic evaluation. </w:t>
      </w:r>
      <w:r w:rsidR="0001721D">
        <w:t xml:space="preserve">Importantly, both the </w:t>
      </w:r>
      <w:r w:rsidR="005B465E">
        <w:t>DALY and the QALY are based on a series of assump</w:t>
      </w:r>
      <w:r w:rsidR="0079085B">
        <w:t>t</w:t>
      </w:r>
      <w:r w:rsidR="005B465E">
        <w:t xml:space="preserve">ions and simplifications </w:t>
      </w:r>
      <w:r w:rsidR="0079085B">
        <w:t>which necessitates judgements about</w:t>
      </w:r>
      <w:r w:rsidR="005B465E">
        <w:t xml:space="preserve"> the </w:t>
      </w:r>
      <w:r w:rsidR="00567035">
        <w:t xml:space="preserve">appropriateness of </w:t>
      </w:r>
      <w:r w:rsidR="0079085B">
        <w:t xml:space="preserve">the methods used </w:t>
      </w:r>
      <w:r w:rsidR="005B465E">
        <w:t xml:space="preserve">to quantify health state preferences and </w:t>
      </w:r>
      <w:r w:rsidR="00567035">
        <w:t xml:space="preserve">the </w:t>
      </w:r>
      <w:r w:rsidR="005B465E">
        <w:t>accur</w:t>
      </w:r>
      <w:r w:rsidR="00567035">
        <w:t xml:space="preserve">acy of </w:t>
      </w:r>
      <w:r w:rsidR="0079085B">
        <w:t xml:space="preserve">the resultant </w:t>
      </w:r>
      <w:r w:rsidR="00567035">
        <w:t>measures</w:t>
      </w:r>
      <w:r w:rsidR="005B465E">
        <w:t>. In addition, the use of DALYs and QALYs implicitly incorporate</w:t>
      </w:r>
      <w:r w:rsidR="0079085B">
        <w:t>s</w:t>
      </w:r>
      <w:r w:rsidR="005B465E">
        <w:t xml:space="preserve"> </w:t>
      </w:r>
      <w:r w:rsidR="00A85593">
        <w:t xml:space="preserve">value judgements such as the additivity of health </w:t>
      </w:r>
      <w:r w:rsidR="00CC100E">
        <w:t xml:space="preserve">and ability to compare health </w:t>
      </w:r>
      <w:r w:rsidR="00A85593">
        <w:t>across populations</w:t>
      </w:r>
      <w:r w:rsidR="00CC100E">
        <w:t xml:space="preserve"> and conditions. Researchers should </w:t>
      </w:r>
      <w:r w:rsidR="0079085B">
        <w:t>be aware of</w:t>
      </w:r>
      <w:r w:rsidR="00CC100E">
        <w:t xml:space="preserve"> these judgements and assumptions when conducting and reporting analysis. </w:t>
      </w:r>
    </w:p>
    <w:p w14:paraId="0A9F4465" w14:textId="0BDF49CF" w:rsidR="00C81526" w:rsidRDefault="008C748A" w:rsidP="00940243">
      <w:pPr>
        <w:pStyle w:val="MEEPbodytext"/>
      </w:pPr>
      <w:r>
        <w:lastRenderedPageBreak/>
        <w:t>D</w:t>
      </w:r>
      <w:r w:rsidR="004B35B0">
        <w:t xml:space="preserve">epending on the </w:t>
      </w:r>
      <w:r>
        <w:t>scope of the decision problem however,</w:t>
      </w:r>
      <w:r w:rsidR="004B35B0">
        <w:t xml:space="preserve"> the most appropriate outcome measure may </w:t>
      </w:r>
      <w:r w:rsidR="0079085B">
        <w:t xml:space="preserve">sometimes </w:t>
      </w:r>
      <w:r w:rsidR="004B35B0">
        <w:t xml:space="preserve">be intervention or disease specific, and a generalizable outcome measure may be </w:t>
      </w:r>
      <w:r>
        <w:t xml:space="preserve">irrelevant or </w:t>
      </w:r>
      <w:r w:rsidR="004B35B0">
        <w:t xml:space="preserve">impractical to calculate. In </w:t>
      </w:r>
      <w:r>
        <w:t>all</w:t>
      </w:r>
      <w:r w:rsidR="004B35B0">
        <w:t xml:space="preserve"> cases, a justification of outcome measure chosen is required. F</w:t>
      </w:r>
      <w:r w:rsidR="00692B5F">
        <w:t xml:space="preserve">uture iterations of the </w:t>
      </w:r>
      <w:r w:rsidR="006A51F6">
        <w:t>iDSI</w:t>
      </w:r>
      <w:r w:rsidR="00692B5F">
        <w:t xml:space="preserve"> Reference Case will provide f</w:t>
      </w:r>
      <w:r w:rsidR="003757EF">
        <w:t xml:space="preserve">urther </w:t>
      </w:r>
      <w:r w:rsidR="00B20776">
        <w:t xml:space="preserve">guidance </w:t>
      </w:r>
      <w:r w:rsidR="000076B3">
        <w:t>for researchers</w:t>
      </w:r>
      <w:r w:rsidR="0079085B">
        <w:t xml:space="preserve"> on</w:t>
      </w:r>
      <w:r w:rsidR="000076B3">
        <w:t xml:space="preserve"> the appropriate choice</w:t>
      </w:r>
      <w:r w:rsidR="004B35B0">
        <w:t xml:space="preserve"> and calculation</w:t>
      </w:r>
      <w:r w:rsidR="000076B3">
        <w:t xml:space="preserve"> of </w:t>
      </w:r>
      <w:r w:rsidR="0079085B">
        <w:t xml:space="preserve">an </w:t>
      </w:r>
      <w:r w:rsidR="000076B3">
        <w:t>outcome measure</w:t>
      </w:r>
      <w:r w:rsidR="00692B5F">
        <w:t xml:space="preserve">. The fundamental consideration is that the choice </w:t>
      </w:r>
      <w:r w:rsidR="004B35B0">
        <w:t xml:space="preserve">of outcome measure </w:t>
      </w:r>
      <w:r w:rsidR="00692B5F">
        <w:t xml:space="preserve">is aligned to the needs of the intended decision maker and that the methods used to calculate the outcome measure </w:t>
      </w:r>
      <w:r w:rsidR="0079085B">
        <w:t>are</w:t>
      </w:r>
      <w:r w:rsidR="00692B5F">
        <w:t xml:space="preserve"> comprehensively and transparently described. </w:t>
      </w:r>
    </w:p>
    <w:p w14:paraId="7944A084" w14:textId="200F9741" w:rsidR="003E00A7" w:rsidRPr="003E00A7" w:rsidRDefault="003E00A7" w:rsidP="004517FE">
      <w:pPr>
        <w:pStyle w:val="Heading2"/>
      </w:pPr>
      <w:r w:rsidRPr="00191CE8">
        <w:t>C</w:t>
      </w:r>
      <w:r>
        <w:t>onstraints</w:t>
      </w:r>
    </w:p>
    <w:p w14:paraId="2EFD39E8" w14:textId="77777777" w:rsidR="000C3CCC" w:rsidRDefault="003E00A7" w:rsidP="00B6581B">
      <w:pPr>
        <w:spacing w:line="480" w:lineRule="auto"/>
        <w:jc w:val="both"/>
        <w:rPr>
          <w:sz w:val="23"/>
          <w:szCs w:val="23"/>
        </w:rPr>
      </w:pPr>
      <w:r w:rsidRPr="00B6581B">
        <w:rPr>
          <w:rFonts w:ascii="Arial" w:hAnsi="Arial" w:cs="Arial"/>
          <w:sz w:val="23"/>
          <w:szCs w:val="23"/>
        </w:rPr>
        <w:t xml:space="preserve">Economic evaluation </w:t>
      </w:r>
      <w:r w:rsidR="000C3CCC">
        <w:rPr>
          <w:rFonts w:ascii="Arial" w:hAnsi="Arial" w:cs="Arial"/>
          <w:sz w:val="23"/>
          <w:szCs w:val="23"/>
        </w:rPr>
        <w:t>seeks</w:t>
      </w:r>
      <w:r>
        <w:rPr>
          <w:rFonts w:ascii="Arial" w:hAnsi="Arial" w:cs="Arial"/>
          <w:sz w:val="23"/>
          <w:szCs w:val="23"/>
        </w:rPr>
        <w:t xml:space="preserve"> to provide evidential and analytic support to decision making regarding resource allocation in a constrained environment.  As such, the objective of enhancing the health of the population (and other relevant measures of benefit such as, for example, financial protection) has to be seen against the constraints that apply in the system to achieve these objectives.  Various types of constraint exist of which decision makers need to be mindful.  </w:t>
      </w:r>
    </w:p>
    <w:p w14:paraId="4AD287A9" w14:textId="1A2C0069" w:rsidR="003E00A7" w:rsidRDefault="008A48DC" w:rsidP="00B6581B">
      <w:pPr>
        <w:spacing w:line="480" w:lineRule="auto"/>
        <w:jc w:val="both"/>
        <w:rPr>
          <w:sz w:val="23"/>
          <w:szCs w:val="23"/>
        </w:rPr>
      </w:pPr>
      <w:r>
        <w:rPr>
          <w:rFonts w:ascii="Arial" w:hAnsi="Arial" w:cs="Arial"/>
          <w:sz w:val="23"/>
          <w:szCs w:val="23"/>
        </w:rPr>
        <w:t>Key constraints relate to resource scarcity, which is an unavoidable reality in all systems, but is most challenging to decision</w:t>
      </w:r>
      <w:r w:rsidR="00C11245">
        <w:rPr>
          <w:rFonts w:ascii="Arial" w:hAnsi="Arial" w:cs="Arial"/>
          <w:sz w:val="23"/>
          <w:szCs w:val="23"/>
        </w:rPr>
        <w:t xml:space="preserve"> makers in low-i</w:t>
      </w:r>
      <w:r>
        <w:rPr>
          <w:rFonts w:ascii="Arial" w:hAnsi="Arial" w:cs="Arial"/>
          <w:sz w:val="23"/>
          <w:szCs w:val="23"/>
        </w:rPr>
        <w:t xml:space="preserve">ncome settings.  </w:t>
      </w:r>
      <w:r w:rsidR="00C11245">
        <w:rPr>
          <w:rFonts w:ascii="Arial" w:hAnsi="Arial" w:cs="Arial"/>
          <w:sz w:val="23"/>
          <w:szCs w:val="23"/>
        </w:rPr>
        <w:t>Limits to the financial resources available to a system</w:t>
      </w:r>
      <w:r w:rsidR="009F27FD">
        <w:rPr>
          <w:rFonts w:ascii="Arial" w:hAnsi="Arial" w:cs="Arial"/>
          <w:sz w:val="23"/>
          <w:szCs w:val="23"/>
        </w:rPr>
        <w:t xml:space="preserve"> (‘budget constraints’)</w:t>
      </w:r>
      <w:r w:rsidR="00C11245">
        <w:rPr>
          <w:rFonts w:ascii="Arial" w:hAnsi="Arial" w:cs="Arial"/>
          <w:sz w:val="23"/>
          <w:szCs w:val="23"/>
        </w:rPr>
        <w:t xml:space="preserve"> should be reflected in any economic evaluation.</w:t>
      </w:r>
      <w:r w:rsidR="0079085B">
        <w:rPr>
          <w:rFonts w:ascii="Arial" w:hAnsi="Arial" w:cs="Arial"/>
          <w:sz w:val="23"/>
          <w:szCs w:val="23"/>
        </w:rPr>
        <w:t xml:space="preserve"> </w:t>
      </w:r>
      <w:r w:rsidR="00C11245">
        <w:rPr>
          <w:rFonts w:ascii="Arial" w:hAnsi="Arial" w:cs="Arial"/>
          <w:sz w:val="23"/>
          <w:szCs w:val="23"/>
        </w:rPr>
        <w:t xml:space="preserve">This involves providing decision makers with estimates of the scale of additional cost (‘budget impact’) associated with a new investment.  A good analysis will take this further, however, and seek to quantify the opportunity costs associated </w:t>
      </w:r>
      <w:r w:rsidR="007A685F">
        <w:rPr>
          <w:rFonts w:ascii="Arial" w:hAnsi="Arial" w:cs="Arial"/>
          <w:sz w:val="23"/>
          <w:szCs w:val="23"/>
        </w:rPr>
        <w:t xml:space="preserve">with </w:t>
      </w:r>
      <w:r w:rsidR="00C11245">
        <w:rPr>
          <w:rFonts w:ascii="Arial" w:hAnsi="Arial" w:cs="Arial"/>
          <w:sz w:val="23"/>
          <w:szCs w:val="23"/>
        </w:rPr>
        <w:t xml:space="preserve">a new investment that requires additional financial resources and, as such, diverts those resources away from other activities. Such displacement will inevitably impact </w:t>
      </w:r>
      <w:r w:rsidR="0079085B">
        <w:rPr>
          <w:rFonts w:ascii="Arial" w:hAnsi="Arial" w:cs="Arial"/>
          <w:sz w:val="23"/>
          <w:szCs w:val="23"/>
        </w:rPr>
        <w:t xml:space="preserve">on </w:t>
      </w:r>
      <w:r w:rsidR="00C11245">
        <w:rPr>
          <w:rFonts w:ascii="Arial" w:hAnsi="Arial" w:cs="Arial"/>
          <w:sz w:val="23"/>
          <w:szCs w:val="23"/>
        </w:rPr>
        <w:t>the actual or potential health (and other benefits) accruing to other types of individual</w:t>
      </w:r>
      <w:r w:rsidR="000C3CCC">
        <w:rPr>
          <w:rFonts w:ascii="Arial" w:hAnsi="Arial" w:cs="Arial"/>
          <w:sz w:val="23"/>
          <w:szCs w:val="23"/>
        </w:rPr>
        <w:t>s</w:t>
      </w:r>
      <w:r w:rsidR="00C11245">
        <w:rPr>
          <w:rFonts w:ascii="Arial" w:hAnsi="Arial" w:cs="Arial"/>
          <w:sz w:val="23"/>
          <w:szCs w:val="23"/>
        </w:rPr>
        <w:t xml:space="preserve">. The nature and magnitude of these opportunity costs should be a key type of evidence </w:t>
      </w:r>
      <w:r w:rsidR="00B301CD">
        <w:rPr>
          <w:rFonts w:ascii="Arial" w:hAnsi="Arial" w:cs="Arial"/>
          <w:sz w:val="23"/>
          <w:szCs w:val="23"/>
        </w:rPr>
        <w:t>inform</w:t>
      </w:r>
      <w:r w:rsidR="00C11245">
        <w:rPr>
          <w:rFonts w:ascii="Arial" w:hAnsi="Arial" w:cs="Arial"/>
          <w:sz w:val="23"/>
          <w:szCs w:val="23"/>
        </w:rPr>
        <w:t xml:space="preserve">ing </w:t>
      </w:r>
      <w:r w:rsidR="00B301CD">
        <w:rPr>
          <w:rFonts w:ascii="Arial" w:hAnsi="Arial" w:cs="Arial"/>
          <w:sz w:val="23"/>
          <w:szCs w:val="23"/>
        </w:rPr>
        <w:t xml:space="preserve">the </w:t>
      </w:r>
      <w:r w:rsidR="00C11245">
        <w:rPr>
          <w:rFonts w:ascii="Arial" w:hAnsi="Arial" w:cs="Arial"/>
          <w:sz w:val="23"/>
          <w:szCs w:val="23"/>
        </w:rPr>
        <w:t xml:space="preserve">decision. In the context of incremental cost-effectiveness analysis, the measure of opportunity costs can be expressed as the threshold </w:t>
      </w:r>
      <w:r w:rsidR="000C3CCC">
        <w:rPr>
          <w:rFonts w:ascii="Arial" w:hAnsi="Arial" w:cs="Arial"/>
          <w:sz w:val="23"/>
          <w:szCs w:val="23"/>
        </w:rPr>
        <w:t>that</w:t>
      </w:r>
      <w:r w:rsidR="00C11245">
        <w:rPr>
          <w:rFonts w:ascii="Arial" w:hAnsi="Arial" w:cs="Arial"/>
          <w:sz w:val="23"/>
          <w:szCs w:val="23"/>
        </w:rPr>
        <w:t xml:space="preserve"> is used to guide </w:t>
      </w:r>
      <w:r w:rsidR="00C11245">
        <w:rPr>
          <w:rFonts w:ascii="Arial" w:hAnsi="Arial" w:cs="Arial"/>
          <w:sz w:val="23"/>
          <w:szCs w:val="23"/>
        </w:rPr>
        <w:lastRenderedPageBreak/>
        <w:t xml:space="preserve">(although not to dictate) whether an incremental cost-effectiveness ratio is acceptable to the system.  </w:t>
      </w:r>
      <w:r w:rsidR="000C3CCC">
        <w:rPr>
          <w:rFonts w:ascii="Arial" w:hAnsi="Arial" w:cs="Arial"/>
          <w:sz w:val="23"/>
          <w:szCs w:val="23"/>
        </w:rPr>
        <w:t>A</w:t>
      </w:r>
      <w:r w:rsidR="00C11245">
        <w:rPr>
          <w:rFonts w:ascii="Arial" w:hAnsi="Arial" w:cs="Arial"/>
          <w:sz w:val="23"/>
          <w:szCs w:val="23"/>
        </w:rPr>
        <w:t xml:space="preserve"> cost-effectiveness threshold </w:t>
      </w:r>
      <w:r w:rsidR="005667CF">
        <w:rPr>
          <w:rFonts w:ascii="Arial" w:hAnsi="Arial" w:cs="Arial"/>
          <w:sz w:val="23"/>
          <w:szCs w:val="23"/>
        </w:rPr>
        <w:t>that reflects</w:t>
      </w:r>
      <w:r w:rsidR="00C11245">
        <w:rPr>
          <w:rFonts w:ascii="Arial" w:hAnsi="Arial" w:cs="Arial"/>
          <w:sz w:val="23"/>
          <w:szCs w:val="23"/>
        </w:rPr>
        <w:t xml:space="preserve"> opportunity costs</w:t>
      </w:r>
      <w:r w:rsidR="000C3CCC">
        <w:rPr>
          <w:rFonts w:ascii="Arial" w:hAnsi="Arial" w:cs="Arial"/>
          <w:sz w:val="23"/>
          <w:szCs w:val="23"/>
        </w:rPr>
        <w:t xml:space="preserve"> directly links the cost-effectiveness of a new investment with its affordability</w:t>
      </w:r>
      <w:r w:rsidR="00C46716">
        <w:rPr>
          <w:rFonts w:ascii="Arial" w:hAnsi="Arial" w:cs="Arial"/>
          <w:sz w:val="23"/>
          <w:szCs w:val="23"/>
        </w:rPr>
        <w:t xml:space="preserve"> (Claxton 2015</w:t>
      </w:r>
      <w:r w:rsidR="009166DA">
        <w:rPr>
          <w:rFonts w:ascii="Arial" w:hAnsi="Arial" w:cs="Arial"/>
          <w:sz w:val="23"/>
          <w:szCs w:val="23"/>
        </w:rPr>
        <w:t>)</w:t>
      </w:r>
      <w:r w:rsidR="000C3CCC">
        <w:rPr>
          <w:rFonts w:ascii="Arial" w:hAnsi="Arial" w:cs="Arial"/>
          <w:sz w:val="23"/>
          <w:szCs w:val="23"/>
        </w:rPr>
        <w:t>.  For new interventions that impose a larger impact on limited financial resources, more valuable alternative activities will have to be displaced to fund it, imposing higher opportunity costs</w:t>
      </w:r>
      <w:r w:rsidR="005A2E2D">
        <w:rPr>
          <w:rFonts w:ascii="Arial" w:hAnsi="Arial" w:cs="Arial"/>
          <w:sz w:val="23"/>
          <w:szCs w:val="23"/>
        </w:rPr>
        <w:t xml:space="preserve"> – in effect,</w:t>
      </w:r>
      <w:r w:rsidR="000C3CCC">
        <w:rPr>
          <w:rFonts w:ascii="Arial" w:hAnsi="Arial" w:cs="Arial"/>
          <w:sz w:val="23"/>
          <w:szCs w:val="23"/>
        </w:rPr>
        <w:t xml:space="preserve"> equivalent to a lower cost-effectiveness threshold. This ‘supply side’ conceptualization of the cost-effectiveness threshold that reflects the rate at which the system can currently translate additional resources into health (and other) benefits is appropriate to guide decisions about resource allocation given </w:t>
      </w:r>
      <w:r w:rsidR="005A2E2D">
        <w:rPr>
          <w:rFonts w:ascii="Arial" w:hAnsi="Arial" w:cs="Arial"/>
          <w:sz w:val="23"/>
          <w:szCs w:val="23"/>
        </w:rPr>
        <w:t>existing</w:t>
      </w:r>
      <w:r w:rsidR="000C3CCC">
        <w:rPr>
          <w:rFonts w:ascii="Arial" w:hAnsi="Arial" w:cs="Arial"/>
          <w:sz w:val="23"/>
          <w:szCs w:val="23"/>
        </w:rPr>
        <w:t xml:space="preserve"> financial resources. It contrasts with </w:t>
      </w:r>
      <w:r w:rsidR="002F3B8B">
        <w:rPr>
          <w:rFonts w:ascii="Arial" w:hAnsi="Arial" w:cs="Arial"/>
          <w:sz w:val="23"/>
          <w:szCs w:val="23"/>
        </w:rPr>
        <w:t>other conceptualizations of the threshold</w:t>
      </w:r>
      <w:r w:rsidR="000C3CCC">
        <w:rPr>
          <w:rFonts w:ascii="Arial" w:hAnsi="Arial" w:cs="Arial"/>
          <w:sz w:val="23"/>
          <w:szCs w:val="23"/>
        </w:rPr>
        <w:t xml:space="preserve"> that have been posited which are more focused on what funding envelope should be devoted to health care (a ‘demand side’ concept)</w:t>
      </w:r>
      <w:r w:rsidR="009166DA">
        <w:rPr>
          <w:rFonts w:ascii="Arial" w:hAnsi="Arial" w:cs="Arial"/>
          <w:sz w:val="23"/>
          <w:szCs w:val="23"/>
        </w:rPr>
        <w:t xml:space="preserve"> (Woods and Revill 2016)</w:t>
      </w:r>
      <w:r w:rsidR="000F3A46">
        <w:rPr>
          <w:rFonts w:ascii="Arial" w:hAnsi="Arial" w:cs="Arial"/>
          <w:sz w:val="23"/>
          <w:szCs w:val="23"/>
        </w:rPr>
        <w:t>,</w:t>
      </w:r>
      <w:r w:rsidR="00496FC7">
        <w:rPr>
          <w:rFonts w:ascii="Arial" w:hAnsi="Arial" w:cs="Arial"/>
          <w:sz w:val="23"/>
          <w:szCs w:val="23"/>
        </w:rPr>
        <w:t xml:space="preserve"> (iDSI 2015</w:t>
      </w:r>
      <w:r w:rsidR="00543F58">
        <w:rPr>
          <w:rFonts w:ascii="Arial" w:hAnsi="Arial" w:cs="Arial"/>
          <w:sz w:val="23"/>
          <w:szCs w:val="23"/>
        </w:rPr>
        <w:t>b</w:t>
      </w:r>
      <w:r w:rsidR="00496FC7">
        <w:rPr>
          <w:rFonts w:ascii="Arial" w:hAnsi="Arial" w:cs="Arial"/>
          <w:sz w:val="23"/>
          <w:szCs w:val="23"/>
        </w:rPr>
        <w:t>)</w:t>
      </w:r>
      <w:r w:rsidR="000F3A46">
        <w:rPr>
          <w:rFonts w:ascii="Arial" w:hAnsi="Arial" w:cs="Arial"/>
          <w:sz w:val="23"/>
          <w:szCs w:val="23"/>
        </w:rPr>
        <w:t>, (Culyer 2016)</w:t>
      </w:r>
      <w:r w:rsidR="000C3CCC">
        <w:rPr>
          <w:rFonts w:ascii="Arial" w:hAnsi="Arial" w:cs="Arial"/>
          <w:sz w:val="23"/>
          <w:szCs w:val="23"/>
        </w:rPr>
        <w:t>.</w:t>
      </w:r>
    </w:p>
    <w:p w14:paraId="0A323D99" w14:textId="77777777" w:rsidR="0041505D" w:rsidRDefault="0041505D" w:rsidP="00B6581B">
      <w:pPr>
        <w:spacing w:line="480" w:lineRule="auto"/>
        <w:jc w:val="both"/>
        <w:rPr>
          <w:sz w:val="23"/>
          <w:szCs w:val="23"/>
        </w:rPr>
      </w:pPr>
    </w:p>
    <w:p w14:paraId="3160D572" w14:textId="317F59BA" w:rsidR="000C3CCC" w:rsidRDefault="0041505D" w:rsidP="00B6581B">
      <w:pPr>
        <w:spacing w:line="480" w:lineRule="auto"/>
        <w:jc w:val="both"/>
        <w:rPr>
          <w:sz w:val="23"/>
          <w:szCs w:val="23"/>
        </w:rPr>
      </w:pPr>
      <w:r>
        <w:rPr>
          <w:rFonts w:ascii="Arial" w:hAnsi="Arial" w:cs="Arial"/>
          <w:sz w:val="23"/>
          <w:szCs w:val="23"/>
        </w:rPr>
        <w:t>Although the implications of the constraint</w:t>
      </w:r>
      <w:r w:rsidR="005A2E2D">
        <w:rPr>
          <w:rFonts w:ascii="Arial" w:hAnsi="Arial" w:cs="Arial"/>
          <w:sz w:val="23"/>
          <w:szCs w:val="23"/>
        </w:rPr>
        <w:t>s</w:t>
      </w:r>
      <w:r>
        <w:rPr>
          <w:rFonts w:ascii="Arial" w:hAnsi="Arial" w:cs="Arial"/>
          <w:sz w:val="23"/>
          <w:szCs w:val="23"/>
        </w:rPr>
        <w:t xml:space="preserve"> that exist on a system’s financial resources </w:t>
      </w:r>
      <w:r w:rsidR="005A2E2D">
        <w:rPr>
          <w:rFonts w:ascii="Arial" w:hAnsi="Arial" w:cs="Arial"/>
          <w:sz w:val="23"/>
          <w:szCs w:val="23"/>
        </w:rPr>
        <w:t xml:space="preserve">are </w:t>
      </w:r>
      <w:r>
        <w:rPr>
          <w:rFonts w:ascii="Arial" w:hAnsi="Arial" w:cs="Arial"/>
          <w:sz w:val="23"/>
          <w:szCs w:val="23"/>
        </w:rPr>
        <w:t xml:space="preserve">perhaps the most obvious for analysts to </w:t>
      </w:r>
      <w:r w:rsidR="005A2E2D">
        <w:rPr>
          <w:rFonts w:ascii="Arial" w:hAnsi="Arial" w:cs="Arial"/>
          <w:sz w:val="23"/>
          <w:szCs w:val="23"/>
        </w:rPr>
        <w:t>present</w:t>
      </w:r>
      <w:r>
        <w:rPr>
          <w:rFonts w:ascii="Arial" w:hAnsi="Arial" w:cs="Arial"/>
          <w:sz w:val="23"/>
          <w:szCs w:val="23"/>
        </w:rPr>
        <w:t xml:space="preserve"> in economic evaluation, the principles </w:t>
      </w:r>
      <w:r w:rsidR="002F3B8B">
        <w:rPr>
          <w:rFonts w:ascii="Arial" w:hAnsi="Arial" w:cs="Arial"/>
          <w:sz w:val="23"/>
          <w:szCs w:val="23"/>
        </w:rPr>
        <w:t>remain</w:t>
      </w:r>
      <w:r>
        <w:rPr>
          <w:rFonts w:ascii="Arial" w:hAnsi="Arial" w:cs="Arial"/>
          <w:sz w:val="23"/>
          <w:szCs w:val="23"/>
        </w:rPr>
        <w:t xml:space="preserve"> true for other constraints as well.  In low and middle income settings, a particularly important constraint relates to human capital – e.g. limits </w:t>
      </w:r>
      <w:r w:rsidR="00D65C3F">
        <w:rPr>
          <w:rFonts w:ascii="Arial" w:hAnsi="Arial" w:cs="Arial"/>
          <w:sz w:val="23"/>
          <w:szCs w:val="23"/>
        </w:rPr>
        <w:t xml:space="preserve">to the availability </w:t>
      </w:r>
      <w:r w:rsidR="00444B21">
        <w:rPr>
          <w:rFonts w:ascii="Arial" w:hAnsi="Arial" w:cs="Arial"/>
          <w:sz w:val="23"/>
          <w:szCs w:val="23"/>
        </w:rPr>
        <w:t>of skilled</w:t>
      </w:r>
      <w:r>
        <w:rPr>
          <w:rFonts w:ascii="Arial" w:hAnsi="Arial" w:cs="Arial"/>
          <w:sz w:val="23"/>
          <w:szCs w:val="23"/>
        </w:rPr>
        <w:t xml:space="preserve"> clinical staff to deliver particular services. </w:t>
      </w:r>
      <w:r w:rsidR="00D65C3F">
        <w:rPr>
          <w:rFonts w:ascii="Arial" w:hAnsi="Arial" w:cs="Arial"/>
          <w:sz w:val="23"/>
          <w:szCs w:val="23"/>
        </w:rPr>
        <w:t>These limits may reflect not only</w:t>
      </w:r>
      <w:r>
        <w:rPr>
          <w:rFonts w:ascii="Arial" w:hAnsi="Arial" w:cs="Arial"/>
          <w:sz w:val="23"/>
          <w:szCs w:val="23"/>
        </w:rPr>
        <w:t xml:space="preserve"> </w:t>
      </w:r>
      <w:r w:rsidR="00D65C3F">
        <w:rPr>
          <w:rFonts w:ascii="Arial" w:hAnsi="Arial" w:cs="Arial"/>
          <w:sz w:val="23"/>
          <w:szCs w:val="23"/>
        </w:rPr>
        <w:t>limits to</w:t>
      </w:r>
      <w:r>
        <w:rPr>
          <w:rFonts w:ascii="Arial" w:hAnsi="Arial" w:cs="Arial"/>
          <w:sz w:val="23"/>
          <w:szCs w:val="23"/>
        </w:rPr>
        <w:t xml:space="preserve"> </w:t>
      </w:r>
      <w:r w:rsidR="000A041F">
        <w:rPr>
          <w:rFonts w:ascii="Arial" w:hAnsi="Arial" w:cs="Arial"/>
          <w:sz w:val="23"/>
          <w:szCs w:val="23"/>
        </w:rPr>
        <w:t xml:space="preserve">the </w:t>
      </w:r>
      <w:r>
        <w:rPr>
          <w:rFonts w:ascii="Arial" w:hAnsi="Arial" w:cs="Arial"/>
          <w:sz w:val="23"/>
          <w:szCs w:val="23"/>
        </w:rPr>
        <w:t xml:space="preserve">financial resources </w:t>
      </w:r>
      <w:r w:rsidR="000A041F">
        <w:rPr>
          <w:rFonts w:ascii="Arial" w:hAnsi="Arial" w:cs="Arial"/>
          <w:sz w:val="23"/>
          <w:szCs w:val="23"/>
        </w:rPr>
        <w:t>needed</w:t>
      </w:r>
      <w:r w:rsidR="00943609">
        <w:rPr>
          <w:rFonts w:ascii="Arial" w:hAnsi="Arial" w:cs="Arial"/>
          <w:sz w:val="23"/>
          <w:szCs w:val="23"/>
        </w:rPr>
        <w:t xml:space="preserve"> </w:t>
      </w:r>
      <w:r>
        <w:rPr>
          <w:rFonts w:ascii="Arial" w:hAnsi="Arial" w:cs="Arial"/>
          <w:sz w:val="23"/>
          <w:szCs w:val="23"/>
        </w:rPr>
        <w:t xml:space="preserve">to fund more staff, </w:t>
      </w:r>
      <w:r w:rsidR="00D65C3F">
        <w:rPr>
          <w:rFonts w:ascii="Arial" w:hAnsi="Arial" w:cs="Arial"/>
          <w:sz w:val="23"/>
          <w:szCs w:val="23"/>
        </w:rPr>
        <w:t>but also</w:t>
      </w:r>
      <w:r>
        <w:rPr>
          <w:rFonts w:ascii="Arial" w:hAnsi="Arial" w:cs="Arial"/>
          <w:sz w:val="23"/>
          <w:szCs w:val="23"/>
        </w:rPr>
        <w:t xml:space="preserve"> </w:t>
      </w:r>
      <w:r w:rsidR="000A041F">
        <w:rPr>
          <w:rFonts w:ascii="Arial" w:hAnsi="Arial" w:cs="Arial"/>
          <w:sz w:val="23"/>
          <w:szCs w:val="23"/>
        </w:rPr>
        <w:t xml:space="preserve">may </w:t>
      </w:r>
      <w:r>
        <w:rPr>
          <w:rFonts w:ascii="Arial" w:hAnsi="Arial" w:cs="Arial"/>
          <w:sz w:val="23"/>
          <w:szCs w:val="23"/>
        </w:rPr>
        <w:t xml:space="preserve">simply </w:t>
      </w:r>
      <w:r w:rsidR="000A041F">
        <w:rPr>
          <w:rFonts w:ascii="Arial" w:hAnsi="Arial" w:cs="Arial"/>
          <w:sz w:val="23"/>
          <w:szCs w:val="23"/>
        </w:rPr>
        <w:t>reflect the</w:t>
      </w:r>
      <w:r>
        <w:rPr>
          <w:rFonts w:ascii="Arial" w:hAnsi="Arial" w:cs="Arial"/>
          <w:sz w:val="23"/>
          <w:szCs w:val="23"/>
        </w:rPr>
        <w:t xml:space="preserve"> number available, at least in the short-term. </w:t>
      </w:r>
      <w:r w:rsidR="000A041F">
        <w:rPr>
          <w:rFonts w:ascii="Arial" w:hAnsi="Arial" w:cs="Arial"/>
          <w:sz w:val="23"/>
          <w:szCs w:val="23"/>
        </w:rPr>
        <w:t>With respect to</w:t>
      </w:r>
      <w:r>
        <w:rPr>
          <w:rFonts w:ascii="Arial" w:hAnsi="Arial" w:cs="Arial"/>
          <w:sz w:val="23"/>
          <w:szCs w:val="23"/>
        </w:rPr>
        <w:t xml:space="preserve"> financial constraints, analysts should seek to inform decision makers </w:t>
      </w:r>
      <w:r w:rsidR="000A041F">
        <w:rPr>
          <w:rFonts w:ascii="Arial" w:hAnsi="Arial" w:cs="Arial"/>
          <w:sz w:val="23"/>
          <w:szCs w:val="23"/>
        </w:rPr>
        <w:t>of</w:t>
      </w:r>
      <w:r>
        <w:rPr>
          <w:rFonts w:ascii="Arial" w:hAnsi="Arial" w:cs="Arial"/>
          <w:sz w:val="23"/>
          <w:szCs w:val="23"/>
        </w:rPr>
        <w:t xml:space="preserve"> the impact of a new investment on the constrained human resource (how many needed versus how many available), and the magnitude of the opportunity costs (in terms of health and other benefits) involved in diverting them from existing activities.  As such, the real (opportunity) cost of a constrained resource may be quite different from its apparent financial cost.</w:t>
      </w:r>
    </w:p>
    <w:p w14:paraId="3DC4078F" w14:textId="77777777" w:rsidR="000C3CCC" w:rsidRPr="00B6581B" w:rsidRDefault="000C3CCC" w:rsidP="00B6581B">
      <w:pPr>
        <w:spacing w:line="480" w:lineRule="auto"/>
        <w:jc w:val="both"/>
        <w:rPr>
          <w:sz w:val="23"/>
          <w:szCs w:val="23"/>
        </w:rPr>
      </w:pPr>
    </w:p>
    <w:p w14:paraId="43588181" w14:textId="77777777" w:rsidR="003E00A7" w:rsidRPr="003E00A7" w:rsidRDefault="003E00A7" w:rsidP="00940243">
      <w:pPr>
        <w:pStyle w:val="MEEPbodytext"/>
      </w:pPr>
    </w:p>
    <w:p w14:paraId="1F02FA92" w14:textId="6ED8EFC8" w:rsidR="00283209" w:rsidRDefault="00283209" w:rsidP="00B6581B">
      <w:pPr>
        <w:pStyle w:val="Heading1"/>
        <w:jc w:val="both"/>
      </w:pPr>
      <w:r>
        <w:lastRenderedPageBreak/>
        <w:t>Co</w:t>
      </w:r>
      <w:r w:rsidRPr="00283209">
        <w:t>nclusion</w:t>
      </w:r>
    </w:p>
    <w:p w14:paraId="0E21F7D2" w14:textId="77777777" w:rsidR="00735D88" w:rsidRDefault="00283209" w:rsidP="00940243">
      <w:pPr>
        <w:pStyle w:val="MEEPbodytext"/>
      </w:pPr>
      <w:r>
        <w:t xml:space="preserve">The </w:t>
      </w:r>
      <w:r w:rsidR="008C748A">
        <w:t>iDSI</w:t>
      </w:r>
      <w:r>
        <w:t xml:space="preserve"> Reference Case is the first standardised principle-based methodology for the planning, conduct and reporting of economic evaluations of health interventions</w:t>
      </w:r>
      <w:r w:rsidR="008C748A">
        <w:t xml:space="preserve"> developed specifically with a LMIC focus</w:t>
      </w:r>
      <w:r>
        <w:t xml:space="preserve">. </w:t>
      </w:r>
    </w:p>
    <w:p w14:paraId="2F986DB0" w14:textId="53A7342C" w:rsidR="00283209" w:rsidRDefault="00735D88" w:rsidP="00940243">
      <w:pPr>
        <w:pStyle w:val="MEEPbodytext"/>
      </w:pPr>
      <w:r>
        <w:t xml:space="preserve">The iDSI Reference Case stresses the primacy of the needs of decision makers to deliver sound decisions, and its principle-based approach provides the flexibility to enable it to be used in different countries, applied to different technologies and interventions, and in support of a variety of decisions. Crucially, the iDSI Reference Case will support decisions aimed at improving population health from within available funding, while acknowledging the relevance and trade-offs associated with the incorporation of social values into those decisions. Ultimately though, the iDSI Reference Case is only a tool, and can inform, but not replace, the judgement of accountable decision makers. </w:t>
      </w:r>
    </w:p>
    <w:p w14:paraId="6E556BF8" w14:textId="77777777" w:rsidR="00C451C8" w:rsidRDefault="00C451C8" w:rsidP="00940243">
      <w:pPr>
        <w:pStyle w:val="MEEPbodytext"/>
      </w:pPr>
    </w:p>
    <w:p w14:paraId="681F6A5A" w14:textId="77777777" w:rsidR="00C451C8" w:rsidRDefault="00C451C8" w:rsidP="00940243">
      <w:pPr>
        <w:pStyle w:val="MEEPbodytext"/>
      </w:pPr>
    </w:p>
    <w:p w14:paraId="183FF9CE" w14:textId="77777777" w:rsidR="00C451C8" w:rsidRDefault="00C451C8" w:rsidP="00940243">
      <w:pPr>
        <w:pStyle w:val="MEEPbodytext"/>
      </w:pPr>
    </w:p>
    <w:p w14:paraId="4DDD984E" w14:textId="77777777" w:rsidR="00C451C8" w:rsidRDefault="00C451C8" w:rsidP="00940243">
      <w:pPr>
        <w:pStyle w:val="MEEPbodytext"/>
      </w:pPr>
    </w:p>
    <w:p w14:paraId="4928BD61" w14:textId="3AF620AF" w:rsidR="00C451C8" w:rsidRDefault="00C451C8" w:rsidP="00940243">
      <w:pPr>
        <w:pStyle w:val="MEEPbodytext"/>
      </w:pPr>
      <w:r w:rsidRPr="007B20FA">
        <w:rPr>
          <w:noProof/>
          <w:lang w:val="en-US" w:eastAsia="en-US"/>
        </w:rPr>
        <w:drawing>
          <wp:inline distT="0" distB="0" distL="0" distR="0" wp14:anchorId="0F50A960" wp14:editId="247E8C83">
            <wp:extent cx="5372100" cy="944880"/>
            <wp:effectExtent l="0" t="25400" r="12700" b="2032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13D61C1" w14:textId="6CA74799" w:rsidR="00C451C8" w:rsidRDefault="00C451C8" w:rsidP="00940243">
      <w:pPr>
        <w:pStyle w:val="MEEPbodytext"/>
      </w:pPr>
      <w:r>
        <w:t>Figure 1</w:t>
      </w:r>
    </w:p>
    <w:p w14:paraId="701458D6" w14:textId="77777777" w:rsidR="00165DB5" w:rsidRDefault="00165DB5"/>
    <w:p w14:paraId="0AEE3CF4" w14:textId="77777777" w:rsidR="0011367E" w:rsidRDefault="0011367E">
      <w:pPr>
        <w:rPr>
          <w:rFonts w:ascii="Arial" w:eastAsiaTheme="majorEastAsia" w:hAnsi="Arial" w:cs="Arial"/>
          <w:b/>
          <w:bCs/>
          <w:color w:val="1F497D" w:themeColor="text2"/>
          <w:kern w:val="2"/>
          <w:sz w:val="28"/>
          <w:szCs w:val="30"/>
        </w:rPr>
      </w:pPr>
      <w:r>
        <w:br w:type="page"/>
      </w:r>
    </w:p>
    <w:p w14:paraId="0A72CAE9" w14:textId="42C7ADA1" w:rsidR="00397B2E" w:rsidRPr="00191CE8" w:rsidRDefault="00735D88" w:rsidP="0011367E">
      <w:pPr>
        <w:pStyle w:val="Heading1"/>
      </w:pPr>
      <w:r>
        <w:lastRenderedPageBreak/>
        <w:t>Table 1</w:t>
      </w:r>
    </w:p>
    <w:tbl>
      <w:tblPr>
        <w:tblStyle w:val="LightList-Accent1"/>
        <w:tblW w:w="10490" w:type="dxa"/>
        <w:tblInd w:w="-60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851"/>
        <w:gridCol w:w="9639"/>
      </w:tblGrid>
      <w:tr w:rsidR="004E589F" w:rsidRPr="00614043" w14:paraId="31DC2A61" w14:textId="77777777" w:rsidTr="008333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10490" w:type="dxa"/>
            <w:gridSpan w:val="2"/>
            <w:tcBorders>
              <w:top w:val="none" w:sz="0" w:space="0" w:color="auto"/>
              <w:left w:val="none" w:sz="0" w:space="0" w:color="auto"/>
              <w:bottom w:val="none" w:sz="0" w:space="0" w:color="auto"/>
              <w:right w:val="none" w:sz="0" w:space="0" w:color="auto"/>
            </w:tcBorders>
            <w:shd w:val="clear" w:color="auto" w:fill="4F81BD" w:themeFill="accent1"/>
            <w:vAlign w:val="center"/>
          </w:tcPr>
          <w:p w14:paraId="271D809F" w14:textId="05C2AF14" w:rsidR="004E589F" w:rsidRPr="00614043" w:rsidRDefault="004E589F" w:rsidP="005E03E7">
            <w:pPr>
              <w:pStyle w:val="MEEPnumberedbodytext"/>
              <w:numPr>
                <w:ilvl w:val="0"/>
                <w:numId w:val="0"/>
              </w:numPr>
              <w:spacing w:before="240" w:after="240"/>
              <w:ind w:left="357" w:hanging="357"/>
              <w:rPr>
                <w:rFonts w:ascii="Arial" w:hAnsi="Arial" w:cs="Arial"/>
                <w:sz w:val="18"/>
                <w:szCs w:val="18"/>
                <w:u w:color="000000"/>
              </w:rPr>
            </w:pPr>
            <w:r w:rsidRPr="00614043">
              <w:rPr>
                <w:rFonts w:ascii="Arial" w:hAnsi="Arial" w:cs="Arial"/>
                <w:color w:val="FFFFFF" w:themeColor="background1"/>
                <w:sz w:val="18"/>
                <w:szCs w:val="18"/>
                <w:u w:color="000000"/>
              </w:rPr>
              <w:t xml:space="preserve">The </w:t>
            </w:r>
            <w:r w:rsidR="005E03E7">
              <w:rPr>
                <w:rFonts w:ascii="Arial" w:hAnsi="Arial" w:cs="Arial"/>
                <w:color w:val="FFFFFF" w:themeColor="background1"/>
                <w:sz w:val="18"/>
                <w:szCs w:val="18"/>
                <w:u w:color="000000"/>
              </w:rPr>
              <w:t>iDSI</w:t>
            </w:r>
            <w:r w:rsidR="005E03E7" w:rsidRPr="00614043">
              <w:rPr>
                <w:rFonts w:ascii="Arial" w:hAnsi="Arial" w:cs="Arial"/>
                <w:color w:val="FFFFFF" w:themeColor="background1"/>
                <w:sz w:val="18"/>
                <w:szCs w:val="18"/>
                <w:u w:color="000000"/>
              </w:rPr>
              <w:t xml:space="preserve"> </w:t>
            </w:r>
            <w:r w:rsidRPr="00614043">
              <w:rPr>
                <w:rFonts w:ascii="Arial" w:hAnsi="Arial" w:cs="Arial"/>
                <w:color w:val="FFFFFF" w:themeColor="background1"/>
                <w:sz w:val="18"/>
                <w:szCs w:val="18"/>
                <w:u w:color="000000"/>
              </w:rPr>
              <w:t>Reference Case Principles</w:t>
            </w:r>
          </w:p>
        </w:tc>
      </w:tr>
      <w:tr w:rsidR="004E589F" w:rsidRPr="00614043" w14:paraId="1336F6E4"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6652A42D" w14:textId="77777777" w:rsidR="004E589F" w:rsidRPr="00614043" w:rsidRDefault="004E589F" w:rsidP="00AD4CC5">
            <w:pPr>
              <w:pStyle w:val="MEEPtabletext"/>
              <w:numPr>
                <w:ilvl w:val="0"/>
                <w:numId w:val="0"/>
              </w:numPr>
              <w:spacing w:before="120"/>
              <w:jc w:val="center"/>
              <w:rPr>
                <w:u w:color="000000"/>
              </w:rPr>
            </w:pPr>
            <w:r w:rsidRPr="00614043">
              <w:rPr>
                <w:u w:color="000000"/>
              </w:rPr>
              <w:t>1</w:t>
            </w:r>
          </w:p>
        </w:tc>
        <w:tc>
          <w:tcPr>
            <w:tcW w:w="9639" w:type="dxa"/>
          </w:tcPr>
          <w:p w14:paraId="0B71437E"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rFonts w:eastAsiaTheme="majorEastAsia"/>
                <w:b/>
                <w:bCs/>
                <w:u w:color="000000"/>
              </w:rPr>
            </w:pPr>
            <w:bookmarkStart w:id="13" w:name="Communication_principle"/>
            <w:r w:rsidRPr="00614043">
              <w:t xml:space="preserve">An economic evaluation should be </w:t>
            </w:r>
            <w:r w:rsidRPr="00614043">
              <w:rPr>
                <w:b/>
              </w:rPr>
              <w:t>communicated clearly and transparently</w:t>
            </w:r>
            <w:r w:rsidRPr="00614043">
              <w:t xml:space="preserve"> to enable the decision-maker(s) to i</w:t>
            </w:r>
            <w:r w:rsidRPr="00614043">
              <w:rPr>
                <w:b/>
              </w:rPr>
              <w:t>nterpret</w:t>
            </w:r>
            <w:r w:rsidRPr="00614043">
              <w:t xml:space="preserve"> the methods and results.</w:t>
            </w:r>
            <w:bookmarkEnd w:id="13"/>
          </w:p>
        </w:tc>
      </w:tr>
      <w:tr w:rsidR="004E589F" w:rsidRPr="00614043" w14:paraId="2BE655A5" w14:textId="77777777" w:rsidTr="00EE151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3EAA528F" w14:textId="77777777" w:rsidR="004E589F" w:rsidRPr="00614043" w:rsidRDefault="004E589F" w:rsidP="00AD4CC5">
            <w:pPr>
              <w:pStyle w:val="MEEPtabletext"/>
              <w:numPr>
                <w:ilvl w:val="0"/>
                <w:numId w:val="0"/>
              </w:numPr>
              <w:spacing w:before="120"/>
              <w:jc w:val="center"/>
              <w:rPr>
                <w:u w:color="000000"/>
              </w:rPr>
            </w:pPr>
            <w:r w:rsidRPr="00614043">
              <w:rPr>
                <w:u w:color="000000"/>
              </w:rPr>
              <w:t>2</w:t>
            </w:r>
          </w:p>
        </w:tc>
        <w:tc>
          <w:tcPr>
            <w:tcW w:w="9639" w:type="dxa"/>
            <w:tcBorders>
              <w:top w:val="none" w:sz="0" w:space="0" w:color="auto"/>
              <w:bottom w:val="none" w:sz="0" w:space="0" w:color="auto"/>
              <w:right w:val="none" w:sz="0" w:space="0" w:color="auto"/>
            </w:tcBorders>
          </w:tcPr>
          <w:p w14:paraId="272E079A" w14:textId="77777777" w:rsidR="004E589F" w:rsidRPr="00614043" w:rsidRDefault="004E589F" w:rsidP="00AD4CC5">
            <w:pPr>
              <w:pStyle w:val="MEEPtabletext"/>
              <w:numPr>
                <w:ilvl w:val="0"/>
                <w:numId w:val="0"/>
              </w:numPr>
              <w:spacing w:before="180" w:after="180"/>
              <w:contextualSpacing w:val="0"/>
              <w:cnfStyle w:val="000000100000" w:firstRow="0" w:lastRow="0" w:firstColumn="0" w:lastColumn="0" w:oddVBand="0" w:evenVBand="0" w:oddHBand="1" w:evenHBand="0" w:firstRowFirstColumn="0" w:firstRowLastColumn="0" w:lastRowFirstColumn="0" w:lastRowLastColumn="0"/>
              <w:rPr>
                <w:rFonts w:eastAsiaTheme="majorEastAsia"/>
                <w:b/>
                <w:bCs/>
                <w:u w:color="000000"/>
              </w:rPr>
            </w:pPr>
            <w:r w:rsidRPr="00614043">
              <w:t xml:space="preserve">The </w:t>
            </w:r>
            <w:r w:rsidRPr="00614043">
              <w:rPr>
                <w:b/>
              </w:rPr>
              <w:t>comparator(s)</w:t>
            </w:r>
            <w:r w:rsidRPr="00614043">
              <w:t xml:space="preserve"> against which costs and effects are measured should accurately </w:t>
            </w:r>
            <w:r w:rsidRPr="00614043">
              <w:rPr>
                <w:b/>
              </w:rPr>
              <w:t>reflect the decision problem.</w:t>
            </w:r>
          </w:p>
        </w:tc>
      </w:tr>
      <w:tr w:rsidR="004E589F" w:rsidRPr="00614043" w14:paraId="2EE6B06E"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3E706558" w14:textId="77777777" w:rsidR="004E589F" w:rsidRPr="00614043" w:rsidRDefault="004E589F" w:rsidP="00AD4CC5">
            <w:pPr>
              <w:pStyle w:val="MEEPtabletext"/>
              <w:numPr>
                <w:ilvl w:val="0"/>
                <w:numId w:val="0"/>
              </w:numPr>
              <w:spacing w:before="120"/>
              <w:jc w:val="center"/>
              <w:rPr>
                <w:u w:color="000000"/>
              </w:rPr>
            </w:pPr>
            <w:r w:rsidRPr="00614043">
              <w:rPr>
                <w:u w:color="000000"/>
              </w:rPr>
              <w:t>3</w:t>
            </w:r>
          </w:p>
        </w:tc>
        <w:tc>
          <w:tcPr>
            <w:tcW w:w="9639" w:type="dxa"/>
          </w:tcPr>
          <w:p w14:paraId="78ECC8F7"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u w:color="000000"/>
              </w:rPr>
            </w:pPr>
            <w:r w:rsidRPr="00614043">
              <w:t xml:space="preserve">An economic evaluation should consider </w:t>
            </w:r>
            <w:r w:rsidRPr="00614043">
              <w:rPr>
                <w:b/>
              </w:rPr>
              <w:t>all available evidence relevant</w:t>
            </w:r>
            <w:r w:rsidRPr="00614043">
              <w:t xml:space="preserve"> </w:t>
            </w:r>
            <w:r w:rsidRPr="00614043">
              <w:rPr>
                <w:b/>
              </w:rPr>
              <w:t>to the decision problem</w:t>
            </w:r>
            <w:r w:rsidRPr="00614043">
              <w:t>.</w:t>
            </w:r>
          </w:p>
        </w:tc>
      </w:tr>
      <w:tr w:rsidR="004E589F" w:rsidRPr="00614043" w14:paraId="15278554" w14:textId="77777777" w:rsidTr="00614043">
        <w:trPr>
          <w:cnfStyle w:val="000000100000" w:firstRow="0" w:lastRow="0" w:firstColumn="0" w:lastColumn="0" w:oddVBand="0" w:evenVBand="0" w:oddHBand="1" w:evenHBand="0" w:firstRowFirstColumn="0" w:firstRowLastColumn="0" w:lastRowFirstColumn="0" w:lastRowLastColumn="0"/>
          <w:trHeight w:val="1009"/>
        </w:trPr>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630B39CF" w14:textId="77777777" w:rsidR="004E589F" w:rsidRPr="00614043" w:rsidRDefault="004E589F" w:rsidP="00AD4CC5">
            <w:pPr>
              <w:pStyle w:val="MEEPtabletext"/>
              <w:numPr>
                <w:ilvl w:val="0"/>
                <w:numId w:val="0"/>
              </w:numPr>
              <w:spacing w:before="120"/>
              <w:jc w:val="center"/>
              <w:rPr>
                <w:u w:color="000000"/>
              </w:rPr>
            </w:pPr>
            <w:r w:rsidRPr="00614043">
              <w:rPr>
                <w:u w:color="000000"/>
              </w:rPr>
              <w:t>4</w:t>
            </w:r>
          </w:p>
        </w:tc>
        <w:tc>
          <w:tcPr>
            <w:tcW w:w="9639" w:type="dxa"/>
            <w:tcBorders>
              <w:top w:val="none" w:sz="0" w:space="0" w:color="auto"/>
              <w:bottom w:val="none" w:sz="0" w:space="0" w:color="auto"/>
              <w:right w:val="none" w:sz="0" w:space="0" w:color="auto"/>
            </w:tcBorders>
          </w:tcPr>
          <w:p w14:paraId="40B5AFD6" w14:textId="577CD727" w:rsidR="004E589F" w:rsidRPr="00614043" w:rsidRDefault="004E589F" w:rsidP="00AD4CC5">
            <w:pPr>
              <w:pStyle w:val="MEEPtabletext"/>
              <w:numPr>
                <w:ilvl w:val="0"/>
                <w:numId w:val="0"/>
              </w:numPr>
              <w:spacing w:before="180" w:after="180"/>
              <w:contextualSpacing w:val="0"/>
              <w:cnfStyle w:val="000000100000" w:firstRow="0" w:lastRow="0" w:firstColumn="0" w:lastColumn="0" w:oddVBand="0" w:evenVBand="0" w:oddHBand="1" w:evenHBand="0" w:firstRowFirstColumn="0" w:firstRowLastColumn="0" w:lastRowFirstColumn="0" w:lastRowLastColumn="0"/>
            </w:pPr>
            <w:r w:rsidRPr="00614043">
              <w:t xml:space="preserve">The </w:t>
            </w:r>
            <w:r w:rsidRPr="00614043">
              <w:rPr>
                <w:b/>
              </w:rPr>
              <w:t>measure of health outcome</w:t>
            </w:r>
            <w:r w:rsidRPr="00614043">
              <w:t xml:space="preserve"> should be </w:t>
            </w:r>
            <w:r w:rsidRPr="00614043">
              <w:rPr>
                <w:b/>
              </w:rPr>
              <w:t>appropriate to the decision problem</w:t>
            </w:r>
            <w:r w:rsidRPr="00614043">
              <w:t xml:space="preserve">, should capture </w:t>
            </w:r>
            <w:r w:rsidRPr="00614043">
              <w:rPr>
                <w:b/>
              </w:rPr>
              <w:t>positive and negative effects on length of life and quality of life</w:t>
            </w:r>
            <w:r w:rsidRPr="00614043">
              <w:t xml:space="preserve">, and should be </w:t>
            </w:r>
            <w:r w:rsidR="00AD4CC5" w:rsidRPr="00614043">
              <w:rPr>
                <w:b/>
              </w:rPr>
              <w:t>generalizable</w:t>
            </w:r>
            <w:r w:rsidRPr="00614043">
              <w:rPr>
                <w:b/>
              </w:rPr>
              <w:t xml:space="preserve"> </w:t>
            </w:r>
            <w:r w:rsidRPr="00614043">
              <w:t>across disease states.</w:t>
            </w:r>
            <w:r w:rsidRPr="00614043" w:rsidDel="00F54E1C">
              <w:rPr>
                <w:b/>
              </w:rPr>
              <w:t xml:space="preserve"> </w:t>
            </w:r>
          </w:p>
        </w:tc>
      </w:tr>
      <w:tr w:rsidR="004E589F" w:rsidRPr="00614043" w14:paraId="147A4EC3"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2832A02A" w14:textId="77777777" w:rsidR="004E589F" w:rsidRPr="00614043" w:rsidRDefault="004E589F" w:rsidP="00AD4CC5">
            <w:pPr>
              <w:pStyle w:val="MEEPtabletext"/>
              <w:numPr>
                <w:ilvl w:val="0"/>
                <w:numId w:val="0"/>
              </w:numPr>
              <w:spacing w:before="120"/>
              <w:jc w:val="center"/>
              <w:rPr>
                <w:u w:color="000000"/>
              </w:rPr>
            </w:pPr>
            <w:r w:rsidRPr="00614043">
              <w:rPr>
                <w:u w:color="000000"/>
              </w:rPr>
              <w:t>5</w:t>
            </w:r>
          </w:p>
        </w:tc>
        <w:tc>
          <w:tcPr>
            <w:tcW w:w="9639" w:type="dxa"/>
          </w:tcPr>
          <w:p w14:paraId="39372B06"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rFonts w:eastAsiaTheme="majorEastAsia"/>
                <w:b/>
                <w:bCs/>
              </w:rPr>
            </w:pPr>
            <w:r w:rsidRPr="00614043">
              <w:t xml:space="preserve">All </w:t>
            </w:r>
            <w:r w:rsidRPr="00614043">
              <w:rPr>
                <w:b/>
              </w:rPr>
              <w:t>differences</w:t>
            </w:r>
            <w:r w:rsidRPr="00614043">
              <w:t xml:space="preserve"> between the intervention and the comparator in </w:t>
            </w:r>
            <w:r w:rsidRPr="00614043">
              <w:rPr>
                <w:b/>
              </w:rPr>
              <w:t>expected resource use and costs</w:t>
            </w:r>
            <w:r w:rsidRPr="00614043">
              <w:t xml:space="preserve"> of delivery to the target population(s) should be incorporated into the evaluation.</w:t>
            </w:r>
          </w:p>
        </w:tc>
      </w:tr>
      <w:tr w:rsidR="004E589F" w:rsidRPr="00614043" w14:paraId="183C02B3" w14:textId="77777777" w:rsidTr="00EE151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332C508E" w14:textId="77777777" w:rsidR="004E589F" w:rsidRPr="00614043" w:rsidRDefault="004E589F" w:rsidP="00AD4CC5">
            <w:pPr>
              <w:pStyle w:val="MEEPtabletext"/>
              <w:numPr>
                <w:ilvl w:val="0"/>
                <w:numId w:val="0"/>
              </w:numPr>
              <w:spacing w:before="120"/>
              <w:jc w:val="center"/>
              <w:rPr>
                <w:u w:color="000000"/>
              </w:rPr>
            </w:pPr>
            <w:r w:rsidRPr="00614043">
              <w:rPr>
                <w:u w:color="000000"/>
              </w:rPr>
              <w:t>6</w:t>
            </w:r>
          </w:p>
        </w:tc>
        <w:tc>
          <w:tcPr>
            <w:tcW w:w="9639" w:type="dxa"/>
            <w:tcBorders>
              <w:top w:val="none" w:sz="0" w:space="0" w:color="auto"/>
              <w:bottom w:val="none" w:sz="0" w:space="0" w:color="auto"/>
              <w:right w:val="none" w:sz="0" w:space="0" w:color="auto"/>
            </w:tcBorders>
          </w:tcPr>
          <w:p w14:paraId="461B1687" w14:textId="77777777" w:rsidR="004E589F" w:rsidRPr="00614043" w:rsidRDefault="004E589F" w:rsidP="00AD4CC5">
            <w:pPr>
              <w:pStyle w:val="MEEPtabletext"/>
              <w:numPr>
                <w:ilvl w:val="0"/>
                <w:numId w:val="0"/>
              </w:numPr>
              <w:spacing w:before="180" w:after="180"/>
              <w:contextualSpacing w:val="0"/>
              <w:cnfStyle w:val="000000100000" w:firstRow="0" w:lastRow="0" w:firstColumn="0" w:lastColumn="0" w:oddVBand="0" w:evenVBand="0" w:oddHBand="1" w:evenHBand="0" w:firstRowFirstColumn="0" w:firstRowLastColumn="0" w:lastRowFirstColumn="0" w:lastRowLastColumn="0"/>
              <w:rPr>
                <w:u w:color="000000"/>
              </w:rPr>
            </w:pPr>
            <w:bookmarkStart w:id="14" w:name="time_horizon_discounting_principle"/>
            <w:r w:rsidRPr="00614043">
              <w:t xml:space="preserve">The </w:t>
            </w:r>
            <w:r w:rsidRPr="00614043">
              <w:rPr>
                <w:b/>
              </w:rPr>
              <w:t>time horizon</w:t>
            </w:r>
            <w:r w:rsidRPr="00614043">
              <w:t xml:space="preserve"> used in an economic evaluation should be of </w:t>
            </w:r>
            <w:r w:rsidRPr="00614043">
              <w:rPr>
                <w:b/>
              </w:rPr>
              <w:t>sufficient length</w:t>
            </w:r>
            <w:r w:rsidRPr="00614043">
              <w:t xml:space="preserve"> to capture all costs and effects </w:t>
            </w:r>
            <w:r w:rsidRPr="00614043">
              <w:rPr>
                <w:b/>
              </w:rPr>
              <w:t>relevant to the decision problem</w:t>
            </w:r>
            <w:r w:rsidRPr="00614043">
              <w:t xml:space="preserve">; an appropriate </w:t>
            </w:r>
            <w:r w:rsidRPr="00614043">
              <w:rPr>
                <w:b/>
              </w:rPr>
              <w:t>discount rate</w:t>
            </w:r>
            <w:r w:rsidRPr="00614043">
              <w:t xml:space="preserve"> should be used to </w:t>
            </w:r>
            <w:r w:rsidRPr="00614043">
              <w:rPr>
                <w:b/>
              </w:rPr>
              <w:t>discount cost and effects to present values.</w:t>
            </w:r>
            <w:bookmarkEnd w:id="14"/>
          </w:p>
        </w:tc>
      </w:tr>
      <w:tr w:rsidR="004E589F" w:rsidRPr="00614043" w14:paraId="1DFC7E38"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514055B5" w14:textId="77777777" w:rsidR="004E589F" w:rsidRPr="00614043" w:rsidRDefault="004E589F" w:rsidP="00AD4CC5">
            <w:pPr>
              <w:pStyle w:val="MEEPtabletext"/>
              <w:numPr>
                <w:ilvl w:val="0"/>
                <w:numId w:val="0"/>
              </w:numPr>
              <w:spacing w:before="120"/>
              <w:jc w:val="center"/>
              <w:rPr>
                <w:u w:color="000000"/>
              </w:rPr>
            </w:pPr>
            <w:r w:rsidRPr="00614043">
              <w:rPr>
                <w:u w:color="000000"/>
              </w:rPr>
              <w:t>7</w:t>
            </w:r>
          </w:p>
        </w:tc>
        <w:tc>
          <w:tcPr>
            <w:tcW w:w="9639" w:type="dxa"/>
          </w:tcPr>
          <w:p w14:paraId="2C24E1F0"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rFonts w:eastAsiaTheme="majorEastAsia"/>
                <w:b/>
                <w:bCs/>
                <w:u w:color="000000"/>
              </w:rPr>
            </w:pPr>
            <w:bookmarkStart w:id="15" w:name="Perspective_principle"/>
            <w:r w:rsidRPr="00614043">
              <w:rPr>
                <w:b/>
              </w:rPr>
              <w:t xml:space="preserve">Non-health effects </w:t>
            </w:r>
            <w:r w:rsidRPr="00614043">
              <w:t>and</w:t>
            </w:r>
            <w:r w:rsidRPr="00614043">
              <w:rPr>
                <w:b/>
              </w:rPr>
              <w:t xml:space="preserve"> costs associated with gaining or providing access to health interventions that don't accrue to the health budget</w:t>
            </w:r>
            <w:r w:rsidRPr="00614043">
              <w:t xml:space="preserve"> should be identified where </w:t>
            </w:r>
            <w:r w:rsidRPr="00614043">
              <w:rPr>
                <w:b/>
              </w:rPr>
              <w:t>relevant to the decision problem</w:t>
            </w:r>
            <w:r w:rsidRPr="00614043">
              <w:t xml:space="preserve">. All costs and effects should be </w:t>
            </w:r>
            <w:r w:rsidRPr="00614043">
              <w:rPr>
                <w:b/>
              </w:rPr>
              <w:t>disaggregated</w:t>
            </w:r>
            <w:r w:rsidRPr="00614043">
              <w:t>, either by sector of the economy or to whom they accrue.</w:t>
            </w:r>
            <w:bookmarkEnd w:id="15"/>
          </w:p>
        </w:tc>
      </w:tr>
      <w:tr w:rsidR="004E589F" w:rsidRPr="00614043" w14:paraId="66F05EF3" w14:textId="77777777" w:rsidTr="00EE151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7A82EF80" w14:textId="77777777" w:rsidR="004E589F" w:rsidRPr="00614043" w:rsidRDefault="004E589F" w:rsidP="00AD4CC5">
            <w:pPr>
              <w:pStyle w:val="MEEPtabletext"/>
              <w:numPr>
                <w:ilvl w:val="0"/>
                <w:numId w:val="0"/>
              </w:numPr>
              <w:spacing w:before="120"/>
              <w:jc w:val="center"/>
              <w:rPr>
                <w:u w:color="000000"/>
              </w:rPr>
            </w:pPr>
            <w:r w:rsidRPr="00614043">
              <w:rPr>
                <w:u w:color="000000"/>
              </w:rPr>
              <w:t>8</w:t>
            </w:r>
          </w:p>
        </w:tc>
        <w:tc>
          <w:tcPr>
            <w:tcW w:w="9639" w:type="dxa"/>
            <w:tcBorders>
              <w:top w:val="none" w:sz="0" w:space="0" w:color="auto"/>
              <w:bottom w:val="none" w:sz="0" w:space="0" w:color="auto"/>
              <w:right w:val="none" w:sz="0" w:space="0" w:color="auto"/>
            </w:tcBorders>
          </w:tcPr>
          <w:p w14:paraId="0C2AF472" w14:textId="77777777" w:rsidR="004E589F" w:rsidRPr="00614043" w:rsidRDefault="004E589F" w:rsidP="00AD4CC5">
            <w:pPr>
              <w:pStyle w:val="MEEPtabletext"/>
              <w:numPr>
                <w:ilvl w:val="0"/>
                <w:numId w:val="0"/>
              </w:numPr>
              <w:spacing w:before="180" w:after="180"/>
              <w:contextualSpacing w:val="0"/>
              <w:cnfStyle w:val="000000100000" w:firstRow="0" w:lastRow="0" w:firstColumn="0" w:lastColumn="0" w:oddVBand="0" w:evenVBand="0" w:oddHBand="1" w:evenHBand="0" w:firstRowFirstColumn="0" w:firstRowLastColumn="0" w:lastRowFirstColumn="0" w:lastRowLastColumn="0"/>
              <w:rPr>
                <w:rFonts w:eastAsiaTheme="majorEastAsia"/>
                <w:b/>
                <w:bCs/>
                <w:u w:color="000000"/>
              </w:rPr>
            </w:pPr>
            <w:bookmarkStart w:id="16" w:name="Heterogeneity_principle"/>
            <w:r w:rsidRPr="00614043">
              <w:t xml:space="preserve">The </w:t>
            </w:r>
            <w:r w:rsidRPr="00614043">
              <w:rPr>
                <w:b/>
              </w:rPr>
              <w:t>cost and effects of the intervention on sub-populations</w:t>
            </w:r>
            <w:r w:rsidRPr="00614043">
              <w:t xml:space="preserve"> within the decision problem should be </w:t>
            </w:r>
            <w:r w:rsidRPr="00614043">
              <w:rPr>
                <w:b/>
              </w:rPr>
              <w:t>explored</w:t>
            </w:r>
            <w:r w:rsidRPr="00614043">
              <w:t xml:space="preserve"> and the </w:t>
            </w:r>
            <w:r w:rsidRPr="00614043">
              <w:rPr>
                <w:b/>
              </w:rPr>
              <w:t>implications</w:t>
            </w:r>
            <w:r w:rsidRPr="00614043">
              <w:t xml:space="preserve"> appropriately </w:t>
            </w:r>
            <w:r w:rsidRPr="00614043">
              <w:rPr>
                <w:b/>
              </w:rPr>
              <w:t>characterised</w:t>
            </w:r>
            <w:r w:rsidRPr="00614043">
              <w:t>.</w:t>
            </w:r>
            <w:bookmarkEnd w:id="16"/>
          </w:p>
        </w:tc>
      </w:tr>
      <w:tr w:rsidR="004E589F" w:rsidRPr="00614043" w14:paraId="386B3657"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2E77908E" w14:textId="77777777" w:rsidR="004E589F" w:rsidRPr="00614043" w:rsidRDefault="004E589F" w:rsidP="00AD4CC5">
            <w:pPr>
              <w:pStyle w:val="MEEPtabletext"/>
              <w:numPr>
                <w:ilvl w:val="0"/>
                <w:numId w:val="0"/>
              </w:numPr>
              <w:spacing w:before="120"/>
              <w:jc w:val="center"/>
              <w:rPr>
                <w:u w:color="000000"/>
              </w:rPr>
            </w:pPr>
            <w:r w:rsidRPr="00614043">
              <w:rPr>
                <w:u w:color="000000"/>
              </w:rPr>
              <w:t>9</w:t>
            </w:r>
          </w:p>
        </w:tc>
        <w:tc>
          <w:tcPr>
            <w:tcW w:w="9639" w:type="dxa"/>
          </w:tcPr>
          <w:p w14:paraId="3BF1703A"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rFonts w:eastAsiaTheme="majorEastAsia"/>
                <w:b/>
                <w:bCs/>
                <w:u w:color="000000"/>
              </w:rPr>
            </w:pPr>
            <w:r w:rsidRPr="00614043">
              <w:t xml:space="preserve">The </w:t>
            </w:r>
            <w:r w:rsidRPr="00614043">
              <w:rPr>
                <w:b/>
              </w:rPr>
              <w:t>uncertainty</w:t>
            </w:r>
            <w:r w:rsidRPr="00614043">
              <w:t xml:space="preserve"> associated with an economic evaluation should be appropriately </w:t>
            </w:r>
            <w:r w:rsidRPr="00614043">
              <w:rPr>
                <w:b/>
              </w:rPr>
              <w:t>characterised</w:t>
            </w:r>
            <w:r w:rsidRPr="00614043">
              <w:t>.</w:t>
            </w:r>
          </w:p>
        </w:tc>
      </w:tr>
      <w:tr w:rsidR="004E589F" w:rsidRPr="00614043" w14:paraId="67274DC8" w14:textId="77777777" w:rsidTr="00EE151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04107636" w14:textId="77777777" w:rsidR="004E589F" w:rsidRPr="00614043" w:rsidRDefault="004E589F" w:rsidP="00AD4CC5">
            <w:pPr>
              <w:pStyle w:val="MEEPtabletext"/>
              <w:numPr>
                <w:ilvl w:val="0"/>
                <w:numId w:val="0"/>
              </w:numPr>
              <w:spacing w:before="120"/>
              <w:jc w:val="center"/>
              <w:rPr>
                <w:u w:color="000000"/>
              </w:rPr>
            </w:pPr>
            <w:r w:rsidRPr="00614043">
              <w:rPr>
                <w:u w:color="000000"/>
              </w:rPr>
              <w:t>10</w:t>
            </w:r>
          </w:p>
        </w:tc>
        <w:tc>
          <w:tcPr>
            <w:tcW w:w="9639" w:type="dxa"/>
            <w:tcBorders>
              <w:top w:val="none" w:sz="0" w:space="0" w:color="auto"/>
              <w:bottom w:val="none" w:sz="0" w:space="0" w:color="auto"/>
              <w:right w:val="none" w:sz="0" w:space="0" w:color="auto"/>
            </w:tcBorders>
          </w:tcPr>
          <w:p w14:paraId="0693977D" w14:textId="77777777" w:rsidR="004E589F" w:rsidRPr="00614043" w:rsidRDefault="004E589F" w:rsidP="00AD4CC5">
            <w:pPr>
              <w:pStyle w:val="MEEPtabletext"/>
              <w:numPr>
                <w:ilvl w:val="0"/>
                <w:numId w:val="0"/>
              </w:numPr>
              <w:spacing w:before="180" w:after="180"/>
              <w:contextualSpacing w:val="0"/>
              <w:cnfStyle w:val="000000100000" w:firstRow="0" w:lastRow="0" w:firstColumn="0" w:lastColumn="0" w:oddVBand="0" w:evenVBand="0" w:oddHBand="1" w:evenHBand="0" w:firstRowFirstColumn="0" w:firstRowLastColumn="0" w:lastRowFirstColumn="0" w:lastRowLastColumn="0"/>
              <w:rPr>
                <w:rFonts w:eastAsiaTheme="majorEastAsia"/>
                <w:b/>
                <w:bCs/>
                <w:u w:color="000000"/>
              </w:rPr>
            </w:pPr>
            <w:r w:rsidRPr="00614043">
              <w:t xml:space="preserve">The </w:t>
            </w:r>
            <w:r w:rsidRPr="00614043">
              <w:rPr>
                <w:b/>
              </w:rPr>
              <w:t>impact</w:t>
            </w:r>
            <w:r w:rsidRPr="00614043">
              <w:t xml:space="preserve"> of implementing the intervention on the </w:t>
            </w:r>
            <w:r w:rsidRPr="00614043">
              <w:rPr>
                <w:b/>
              </w:rPr>
              <w:t>health budget and on other constraints</w:t>
            </w:r>
            <w:r w:rsidRPr="00614043">
              <w:t xml:space="preserve"> should be </w:t>
            </w:r>
            <w:r w:rsidRPr="00614043">
              <w:rPr>
                <w:b/>
              </w:rPr>
              <w:t>identified clearly and separately</w:t>
            </w:r>
            <w:r w:rsidRPr="00614043">
              <w:t>.</w:t>
            </w:r>
          </w:p>
        </w:tc>
      </w:tr>
      <w:tr w:rsidR="004E589F" w:rsidRPr="00614043" w14:paraId="41444F94" w14:textId="77777777" w:rsidTr="00EE151D">
        <w:trPr>
          <w:trHeight w:val="350"/>
        </w:trPr>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bottom w:val="none" w:sz="0" w:space="0" w:color="auto"/>
              <w:right w:val="none" w:sz="0" w:space="0" w:color="auto"/>
            </w:tcBorders>
            <w:vAlign w:val="center"/>
          </w:tcPr>
          <w:p w14:paraId="69DFD469" w14:textId="77777777" w:rsidR="004E589F" w:rsidRPr="00614043" w:rsidRDefault="004E589F" w:rsidP="00AD4CC5">
            <w:pPr>
              <w:pStyle w:val="MEEPtabletext"/>
              <w:numPr>
                <w:ilvl w:val="0"/>
                <w:numId w:val="0"/>
              </w:numPr>
              <w:spacing w:before="120"/>
              <w:jc w:val="center"/>
              <w:rPr>
                <w:u w:color="000000"/>
              </w:rPr>
            </w:pPr>
            <w:r w:rsidRPr="00614043">
              <w:rPr>
                <w:u w:color="000000"/>
              </w:rPr>
              <w:t>11</w:t>
            </w:r>
          </w:p>
        </w:tc>
        <w:tc>
          <w:tcPr>
            <w:tcW w:w="9639" w:type="dxa"/>
          </w:tcPr>
          <w:p w14:paraId="4AE4A96B" w14:textId="77777777" w:rsidR="004E589F" w:rsidRPr="00614043" w:rsidRDefault="004E589F" w:rsidP="00AD4CC5">
            <w:pPr>
              <w:pStyle w:val="MEEPtabletext"/>
              <w:numPr>
                <w:ilvl w:val="0"/>
                <w:numId w:val="0"/>
              </w:numPr>
              <w:spacing w:before="180" w:after="180"/>
              <w:contextualSpacing w:val="0"/>
              <w:cnfStyle w:val="000000000000" w:firstRow="0" w:lastRow="0" w:firstColumn="0" w:lastColumn="0" w:oddVBand="0" w:evenVBand="0" w:oddHBand="0" w:evenHBand="0" w:firstRowFirstColumn="0" w:firstRowLastColumn="0" w:lastRowFirstColumn="0" w:lastRowLastColumn="0"/>
              <w:rPr>
                <w:rFonts w:eastAsiaTheme="majorEastAsia"/>
                <w:b/>
                <w:bCs/>
                <w:u w:color="000000"/>
              </w:rPr>
            </w:pPr>
            <w:r w:rsidRPr="00614043">
              <w:t xml:space="preserve">An economic evaluation should explore the </w:t>
            </w:r>
            <w:r w:rsidRPr="00614043">
              <w:rPr>
                <w:b/>
              </w:rPr>
              <w:t>equity implications</w:t>
            </w:r>
            <w:r w:rsidRPr="00614043">
              <w:t xml:space="preserve"> of implementing the intervention.</w:t>
            </w:r>
          </w:p>
        </w:tc>
      </w:tr>
    </w:tbl>
    <w:p w14:paraId="62DACADF" w14:textId="77777777" w:rsidR="00B60EF5" w:rsidRDefault="00B60EF5">
      <w:pPr>
        <w:rPr>
          <w:rFonts w:ascii="Arial" w:hAnsi="Arial" w:cs="Arial"/>
          <w:i/>
          <w:color w:val="632423" w:themeColor="accent2" w:themeShade="80"/>
          <w:szCs w:val="22"/>
        </w:rPr>
      </w:pPr>
    </w:p>
    <w:p w14:paraId="334376CE" w14:textId="77777777" w:rsidR="00735D88" w:rsidRDefault="00735D88">
      <w:pPr>
        <w:rPr>
          <w:rFonts w:ascii="Arial" w:hAnsi="Arial" w:cs="Arial"/>
          <w:i/>
          <w:color w:val="632423" w:themeColor="accent2" w:themeShade="80"/>
          <w:szCs w:val="22"/>
        </w:rPr>
      </w:pPr>
    </w:p>
    <w:p w14:paraId="165B10AF" w14:textId="77777777" w:rsidR="00C451C8" w:rsidRDefault="00C451C8" w:rsidP="00C451C8">
      <w:pPr>
        <w:pStyle w:val="Heading1"/>
      </w:pPr>
    </w:p>
    <w:p w14:paraId="3E9BB6FB" w14:textId="77777777" w:rsidR="00C451C8" w:rsidRDefault="00C451C8" w:rsidP="00C451C8">
      <w:pPr>
        <w:pStyle w:val="Heading1"/>
      </w:pPr>
    </w:p>
    <w:p w14:paraId="1430B9C3" w14:textId="6872AFA4" w:rsidR="00735D88" w:rsidRPr="00C451C8" w:rsidRDefault="00C451C8" w:rsidP="00C451C8">
      <w:pPr>
        <w:pStyle w:val="Heading1"/>
        <w:sectPr w:rsidR="00735D88" w:rsidRPr="00C451C8" w:rsidSect="00B60EF5">
          <w:headerReference w:type="even" r:id="rId15"/>
          <w:headerReference w:type="default" r:id="rId16"/>
          <w:footerReference w:type="even" r:id="rId17"/>
          <w:footerReference w:type="default" r:id="rId18"/>
          <w:endnotePr>
            <w:numFmt w:val="decimal"/>
          </w:endnotePr>
          <w:pgSz w:w="11900" w:h="16840"/>
          <w:pgMar w:top="1259" w:right="1361" w:bottom="1349" w:left="1361" w:header="448" w:footer="720" w:gutter="0"/>
          <w:cols w:space="720"/>
          <w:noEndnote/>
          <w:titlePg/>
          <w:docGrid w:linePitch="360"/>
        </w:sectPr>
      </w:pPr>
      <w:r w:rsidRPr="00C451C8">
        <w:t>Table 2</w:t>
      </w:r>
    </w:p>
    <w:tbl>
      <w:tblPr>
        <w:tblStyle w:val="TableGrid"/>
        <w:tblpPr w:leftFromText="180" w:rightFromText="180" w:vertAnchor="page" w:horzAnchor="page" w:tblpX="910" w:tblpY="725"/>
        <w:tblW w:w="10818" w:type="dxa"/>
        <w:tblLook w:val="04A0" w:firstRow="1" w:lastRow="0" w:firstColumn="1" w:lastColumn="0" w:noHBand="0" w:noVBand="1"/>
      </w:tblPr>
      <w:tblGrid>
        <w:gridCol w:w="1951"/>
        <w:gridCol w:w="8867"/>
      </w:tblGrid>
      <w:tr w:rsidR="00735D88" w:rsidRPr="00735D88" w14:paraId="3AAE7B59" w14:textId="77777777" w:rsidTr="00735D88">
        <w:tc>
          <w:tcPr>
            <w:tcW w:w="1951" w:type="dxa"/>
            <w:shd w:val="clear" w:color="auto" w:fill="4F81BD" w:themeFill="accent1"/>
            <w:vAlign w:val="center"/>
          </w:tcPr>
          <w:p w14:paraId="0ABFC36B" w14:textId="77777777" w:rsidR="00735D88" w:rsidRPr="00735D88" w:rsidRDefault="00735D88" w:rsidP="00735D88">
            <w:pPr>
              <w:spacing w:before="120" w:after="120"/>
              <w:jc w:val="center"/>
              <w:rPr>
                <w:rFonts w:ascii="Arial" w:hAnsi="Arial" w:cs="Arial"/>
                <w:sz w:val="18"/>
                <w:szCs w:val="18"/>
              </w:rPr>
            </w:pPr>
            <w:r w:rsidRPr="00735D88">
              <w:rPr>
                <w:rFonts w:ascii="Arial" w:eastAsia="Times New Roman" w:hAnsi="Arial" w:cs="Arial"/>
                <w:b/>
                <w:bCs/>
                <w:color w:val="FFFFFF"/>
                <w:kern w:val="28"/>
                <w:sz w:val="18"/>
                <w:szCs w:val="18"/>
                <w:lang w:eastAsia="en-GB"/>
              </w:rPr>
              <w:lastRenderedPageBreak/>
              <w:t>Principle</w:t>
            </w:r>
          </w:p>
        </w:tc>
        <w:tc>
          <w:tcPr>
            <w:tcW w:w="8867" w:type="dxa"/>
            <w:shd w:val="clear" w:color="auto" w:fill="4F81BD" w:themeFill="accent1"/>
            <w:vAlign w:val="center"/>
          </w:tcPr>
          <w:p w14:paraId="79B89EBC" w14:textId="77777777" w:rsidR="00735D88" w:rsidRPr="00735D88" w:rsidRDefault="00735D88" w:rsidP="00735D88">
            <w:pPr>
              <w:spacing w:before="120" w:after="120"/>
              <w:rPr>
                <w:rFonts w:ascii="Arial" w:hAnsi="Arial" w:cs="Arial"/>
                <w:sz w:val="18"/>
                <w:szCs w:val="18"/>
              </w:rPr>
            </w:pPr>
            <w:r w:rsidRPr="00735D88">
              <w:rPr>
                <w:rFonts w:ascii="Arial" w:eastAsia="Times New Roman" w:hAnsi="Arial" w:cs="Arial"/>
                <w:b/>
                <w:bCs/>
                <w:color w:val="FFFFFF"/>
                <w:kern w:val="28"/>
                <w:sz w:val="18"/>
                <w:szCs w:val="18"/>
                <w:lang w:eastAsia="en-GB"/>
              </w:rPr>
              <w:t>Methodological Specifications</w:t>
            </w:r>
          </w:p>
        </w:tc>
      </w:tr>
      <w:tr w:rsidR="00735D88" w:rsidRPr="00735D88" w14:paraId="2165621A" w14:textId="77777777" w:rsidTr="00735D88">
        <w:trPr>
          <w:trHeight w:val="1032"/>
        </w:trPr>
        <w:tc>
          <w:tcPr>
            <w:tcW w:w="1951" w:type="dxa"/>
            <w:shd w:val="clear" w:color="auto" w:fill="FFFFFF" w:themeFill="background1"/>
            <w:vAlign w:val="center"/>
          </w:tcPr>
          <w:p w14:paraId="52BED248"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1. Transparency</w:t>
            </w:r>
          </w:p>
        </w:tc>
        <w:tc>
          <w:tcPr>
            <w:tcW w:w="8867" w:type="dxa"/>
            <w:shd w:val="clear" w:color="auto" w:fill="FFFFFF" w:themeFill="background1"/>
            <w:vAlign w:val="center"/>
          </w:tcPr>
          <w:p w14:paraId="7D9602E6"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The decision problem must be fully and accurately described</w:t>
            </w:r>
          </w:p>
          <w:p w14:paraId="7EFA1D39"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Limitations of the economic evaluation in informing policy should be characterized</w:t>
            </w:r>
          </w:p>
          <w:p w14:paraId="5C4014A8"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color w:val="auto"/>
                <w:kern w:val="28"/>
                <w:sz w:val="18"/>
                <w:szCs w:val="18"/>
                <w:lang w:eastAsia="en-GB"/>
              </w:rPr>
              <w:t>Declarations of interest should be reported</w:t>
            </w:r>
          </w:p>
        </w:tc>
      </w:tr>
      <w:tr w:rsidR="00735D88" w:rsidRPr="00735D88" w14:paraId="5F4AF425" w14:textId="77777777" w:rsidTr="00735D88">
        <w:tc>
          <w:tcPr>
            <w:tcW w:w="1951" w:type="dxa"/>
            <w:shd w:val="clear" w:color="auto" w:fill="FFFFFF" w:themeFill="background1"/>
            <w:vAlign w:val="center"/>
          </w:tcPr>
          <w:p w14:paraId="49713698"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2. Comparator(s)</w:t>
            </w:r>
          </w:p>
        </w:tc>
        <w:tc>
          <w:tcPr>
            <w:tcW w:w="8867" w:type="dxa"/>
            <w:shd w:val="clear" w:color="auto" w:fill="FFFFFF" w:themeFill="background1"/>
            <w:vAlign w:val="center"/>
          </w:tcPr>
          <w:p w14:paraId="17483312" w14:textId="18C33C74"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Current practice in context of decision problem to serve as comparator</w:t>
            </w:r>
            <w:r w:rsidR="004C4196">
              <w:rPr>
                <w:rFonts w:ascii="Arial" w:eastAsia="Times New Roman" w:hAnsi="Arial" w:cs="Arial"/>
                <w:color w:val="auto"/>
                <w:kern w:val="28"/>
                <w:sz w:val="18"/>
                <w:szCs w:val="18"/>
                <w:lang w:eastAsia="en-GB"/>
              </w:rPr>
              <w:t xml:space="preserve"> in the analysis</w:t>
            </w:r>
          </w:p>
          <w:p w14:paraId="47DC08D0"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Best supportive, non-interventional care in context of decision problem should be explored as comparator as additional analysis</w:t>
            </w:r>
          </w:p>
        </w:tc>
      </w:tr>
      <w:tr w:rsidR="00735D88" w:rsidRPr="00735D88" w14:paraId="0AD67535" w14:textId="77777777" w:rsidTr="00735D88">
        <w:tc>
          <w:tcPr>
            <w:tcW w:w="1951" w:type="dxa"/>
            <w:shd w:val="clear" w:color="auto" w:fill="FFFFFF" w:themeFill="background1"/>
            <w:vAlign w:val="center"/>
          </w:tcPr>
          <w:p w14:paraId="59850E73"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3. Evidence.</w:t>
            </w:r>
          </w:p>
        </w:tc>
        <w:tc>
          <w:tcPr>
            <w:tcW w:w="8867" w:type="dxa"/>
            <w:shd w:val="clear" w:color="auto" w:fill="FFFFFF" w:themeFill="background1"/>
            <w:vAlign w:val="center"/>
          </w:tcPr>
          <w:p w14:paraId="608837E7"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Apply a systematic and transparent approach to obtaining evidence and to judgments about evidence exclusion</w:t>
            </w:r>
          </w:p>
          <w:p w14:paraId="64D588DC"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Estimates of clinical effect of intervention and comparator(s) should be informed systematic review of the literature</w:t>
            </w:r>
          </w:p>
          <w:p w14:paraId="6EF047FF"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Single-study or trial-based analyses should outline how these are an adequate source of evidence and should ensure that the stated decision problem is specific to particular context and time of the study or trial</w:t>
            </w:r>
          </w:p>
          <w:p w14:paraId="1306E6F1"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Budget and time allocated to perform an economic evaluation should not determine selection of evidence.</w:t>
            </w:r>
          </w:p>
        </w:tc>
      </w:tr>
      <w:tr w:rsidR="00735D88" w:rsidRPr="00735D88" w14:paraId="6FECB9A2" w14:textId="77777777" w:rsidTr="00735D88">
        <w:trPr>
          <w:trHeight w:val="765"/>
        </w:trPr>
        <w:tc>
          <w:tcPr>
            <w:tcW w:w="1951" w:type="dxa"/>
            <w:shd w:val="clear" w:color="auto" w:fill="FFFFFF" w:themeFill="background1"/>
            <w:vAlign w:val="center"/>
          </w:tcPr>
          <w:p w14:paraId="605B3AEF"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4. Measure of health outcome</w:t>
            </w:r>
          </w:p>
        </w:tc>
        <w:tc>
          <w:tcPr>
            <w:tcW w:w="8867" w:type="dxa"/>
            <w:shd w:val="clear" w:color="auto" w:fill="FFFFFF" w:themeFill="background1"/>
            <w:vAlign w:val="center"/>
          </w:tcPr>
          <w:p w14:paraId="26F0C402"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Methodological choices include either DALYs averted or QALYs gained</w:t>
            </w:r>
          </w:p>
          <w:p w14:paraId="7D9C4AC1" w14:textId="3BC5BD34"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Full and transparent description of method used to calculate the chose</w:t>
            </w:r>
            <w:r w:rsidR="00FB4746">
              <w:rPr>
                <w:rFonts w:ascii="Arial" w:eastAsia="Times New Roman" w:hAnsi="Arial" w:cs="Arial"/>
                <w:color w:val="auto"/>
                <w:kern w:val="28"/>
                <w:sz w:val="18"/>
                <w:szCs w:val="18"/>
                <w:lang w:eastAsia="en-GB"/>
              </w:rPr>
              <w:t>n</w:t>
            </w:r>
            <w:r w:rsidRPr="00735D88">
              <w:rPr>
                <w:rFonts w:ascii="Arial" w:eastAsia="Times New Roman" w:hAnsi="Arial" w:cs="Arial"/>
                <w:color w:val="auto"/>
                <w:kern w:val="28"/>
                <w:sz w:val="18"/>
                <w:szCs w:val="18"/>
                <w:lang w:eastAsia="en-GB"/>
              </w:rPr>
              <w:t xml:space="preserve"> outcome measure  </w:t>
            </w:r>
          </w:p>
        </w:tc>
      </w:tr>
      <w:tr w:rsidR="00735D88" w:rsidRPr="00735D88" w14:paraId="5A51EDCD" w14:textId="77777777" w:rsidTr="00735D88">
        <w:tc>
          <w:tcPr>
            <w:tcW w:w="1951" w:type="dxa"/>
            <w:shd w:val="clear" w:color="auto" w:fill="FFFFFF" w:themeFill="background1"/>
            <w:vAlign w:val="center"/>
          </w:tcPr>
          <w:p w14:paraId="679A6EDD"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5. Costs</w:t>
            </w:r>
          </w:p>
        </w:tc>
        <w:tc>
          <w:tcPr>
            <w:tcW w:w="8867" w:type="dxa"/>
            <w:shd w:val="clear" w:color="auto" w:fill="FFFFFF" w:themeFill="background1"/>
            <w:vAlign w:val="center"/>
          </w:tcPr>
          <w:p w14:paraId="2A9C0D98"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Estimates should reflect the resource use and unit costs/prices that may be expected if the intervention is rolled out to the population defined in the decision problem</w:t>
            </w:r>
          </w:p>
          <w:p w14:paraId="3FC25CFB" w14:textId="14F2EBBC"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Costs not incurred in study settings but likely if intervention is rolled out should be captured in the analysis</w:t>
            </w:r>
          </w:p>
          <w:p w14:paraId="1E75DE14"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Cost all resource implications relevant to the decision problem, including donated inputs and out of pocket inputs from individuals</w:t>
            </w:r>
          </w:p>
          <w:p w14:paraId="2AD57763" w14:textId="464A4A9C"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xml:space="preserve">● Analysis should include estimation of changes in costs estimates due to </w:t>
            </w:r>
            <w:r w:rsidR="00FB4746">
              <w:rPr>
                <w:rFonts w:ascii="Arial" w:eastAsia="Times New Roman" w:hAnsi="Arial" w:cs="Arial"/>
                <w:color w:val="auto"/>
                <w:kern w:val="28"/>
                <w:sz w:val="18"/>
                <w:szCs w:val="18"/>
                <w:lang w:eastAsia="en-GB"/>
              </w:rPr>
              <w:t>economies (or diseconomies) of scale</w:t>
            </w:r>
          </w:p>
        </w:tc>
      </w:tr>
      <w:tr w:rsidR="00735D88" w:rsidRPr="00735D88" w14:paraId="2996C6F9" w14:textId="77777777" w:rsidTr="00735D88">
        <w:tc>
          <w:tcPr>
            <w:tcW w:w="1951" w:type="dxa"/>
            <w:shd w:val="clear" w:color="auto" w:fill="FFFFFF" w:themeFill="background1"/>
            <w:vAlign w:val="center"/>
          </w:tcPr>
          <w:p w14:paraId="141CAD56"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6. Time horizon and discount rate</w:t>
            </w:r>
          </w:p>
        </w:tc>
        <w:tc>
          <w:tcPr>
            <w:tcW w:w="8867" w:type="dxa"/>
            <w:shd w:val="clear" w:color="auto" w:fill="FFFFFF" w:themeFill="background1"/>
            <w:vAlign w:val="center"/>
          </w:tcPr>
          <w:p w14:paraId="2B328A3E"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Lifetime time horizon should be used in first instance.</w:t>
            </w:r>
          </w:p>
          <w:p w14:paraId="4CEE49BC"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A shorter time horizon may be used where shown that all relevant costs and effects are captured.</w:t>
            </w:r>
          </w:p>
          <w:p w14:paraId="6C8F89A3" w14:textId="2B1D2F2B"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xml:space="preserve">● 3% annual discount rate for costs and effects </w:t>
            </w:r>
            <w:r w:rsidR="004C4196">
              <w:rPr>
                <w:rFonts w:ascii="Arial" w:eastAsia="Times New Roman" w:hAnsi="Arial" w:cs="Arial"/>
                <w:color w:val="auto"/>
                <w:kern w:val="28"/>
                <w:sz w:val="18"/>
                <w:szCs w:val="18"/>
                <w:lang w:eastAsia="en-GB"/>
              </w:rPr>
              <w:t>should be used in the analysis</w:t>
            </w:r>
            <w:r w:rsidRPr="00735D88">
              <w:rPr>
                <w:rFonts w:ascii="Arial" w:eastAsia="Times New Roman" w:hAnsi="Arial" w:cs="Arial"/>
                <w:color w:val="auto"/>
                <w:kern w:val="28"/>
                <w:sz w:val="18"/>
                <w:szCs w:val="18"/>
                <w:lang w:eastAsia="en-GB"/>
              </w:rPr>
              <w:t>, with additional analyses exploring differing discount rates</w:t>
            </w:r>
          </w:p>
          <w:p w14:paraId="59A011F9"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Additional analysis should explore an annual discount rate that reflects the rate for government borrowings</w:t>
            </w:r>
          </w:p>
          <w:p w14:paraId="6CDE5CB0"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Where the time horizon is&gt; 30 years, the impact of lower discount rates should be explored in a sensitivity analysis</w:t>
            </w:r>
          </w:p>
        </w:tc>
      </w:tr>
      <w:tr w:rsidR="00735D88" w:rsidRPr="00735D88" w14:paraId="0A0B0888" w14:textId="77777777" w:rsidTr="00735D88">
        <w:tc>
          <w:tcPr>
            <w:tcW w:w="1951" w:type="dxa"/>
            <w:shd w:val="clear" w:color="auto" w:fill="FFFFFF" w:themeFill="background1"/>
            <w:vAlign w:val="center"/>
          </w:tcPr>
          <w:p w14:paraId="185BFBD3"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7.</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bCs/>
                <w:color w:val="auto"/>
                <w:kern w:val="28"/>
                <w:sz w:val="18"/>
                <w:szCs w:val="18"/>
                <w:lang w:eastAsia="en-GB"/>
              </w:rPr>
              <w:t xml:space="preserve">Non-health effects </w:t>
            </w:r>
            <w:r w:rsidRPr="00735D88">
              <w:rPr>
                <w:rFonts w:ascii="Arial" w:eastAsia="Times New Roman" w:hAnsi="Arial" w:cs="Arial"/>
                <w:color w:val="auto"/>
                <w:kern w:val="28"/>
                <w:sz w:val="18"/>
                <w:szCs w:val="18"/>
                <w:lang w:eastAsia="en-GB"/>
              </w:rPr>
              <w:t xml:space="preserve">and </w:t>
            </w:r>
            <w:r w:rsidRPr="00735D88">
              <w:rPr>
                <w:rFonts w:ascii="Arial" w:eastAsia="Times New Roman" w:hAnsi="Arial" w:cs="Arial"/>
                <w:bCs/>
                <w:color w:val="auto"/>
                <w:kern w:val="28"/>
                <w:sz w:val="18"/>
                <w:szCs w:val="18"/>
                <w:lang w:eastAsia="en-GB"/>
              </w:rPr>
              <w:t>costs outside health budget (perspective)</w:t>
            </w:r>
          </w:p>
        </w:tc>
        <w:tc>
          <w:tcPr>
            <w:tcW w:w="8867" w:type="dxa"/>
            <w:shd w:val="clear" w:color="auto" w:fill="FFFFFF" w:themeFill="background1"/>
            <w:vAlign w:val="center"/>
          </w:tcPr>
          <w:p w14:paraId="1BD89E6D" w14:textId="453824A6"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w:t>
            </w:r>
            <w:r w:rsidR="004C4196">
              <w:rPr>
                <w:rFonts w:ascii="Arial" w:eastAsia="Times New Roman" w:hAnsi="Arial" w:cs="Arial"/>
                <w:color w:val="auto"/>
                <w:kern w:val="28"/>
                <w:sz w:val="18"/>
                <w:szCs w:val="18"/>
                <w:lang w:eastAsia="en-GB"/>
              </w:rPr>
              <w:t>A</w:t>
            </w:r>
            <w:r w:rsidRPr="00735D88">
              <w:rPr>
                <w:rFonts w:ascii="Arial" w:eastAsia="Times New Roman" w:hAnsi="Arial" w:cs="Arial"/>
                <w:color w:val="auto"/>
                <w:kern w:val="28"/>
                <w:sz w:val="18"/>
                <w:szCs w:val="18"/>
                <w:lang w:eastAsia="en-GB"/>
              </w:rPr>
              <w:t>nalysis should reflect direct health costs and health outcomes</w:t>
            </w:r>
          </w:p>
          <w:p w14:paraId="60428E18" w14:textId="77777777" w:rsidR="00735D88" w:rsidRPr="00735D88" w:rsidRDefault="00735D88" w:rsidP="00735D88">
            <w:pPr>
              <w:ind w:left="170" w:hanging="170"/>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A disaggregated societal perspective should be used to capture relevant non-health effects and costs that fall outside the health budget, to be included in additional analysis; the mechanism of inclusion will depend on the decision problem and context.</w:t>
            </w:r>
          </w:p>
          <w:p w14:paraId="74520808" w14:textId="37C0A1FD" w:rsidR="00735D88" w:rsidRPr="00735D88" w:rsidRDefault="00735D88" w:rsidP="004C4196">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Where external funding or individual OOP payments substitute for costs that would otherwise fall on a health budget, these costs should be included in the analysis</w:t>
            </w:r>
            <w:r w:rsidR="008E6DD9">
              <w:rPr>
                <w:rFonts w:ascii="Arial" w:eastAsia="Times New Roman" w:hAnsi="Arial" w:cs="Arial"/>
                <w:color w:val="auto"/>
                <w:kern w:val="28"/>
                <w:sz w:val="18"/>
                <w:szCs w:val="18"/>
                <w:lang w:eastAsia="en-GB"/>
              </w:rPr>
              <w:t xml:space="preserve">; </w:t>
            </w:r>
            <w:r w:rsidRPr="00735D88">
              <w:rPr>
                <w:rFonts w:ascii="Arial" w:eastAsia="Times New Roman" w:hAnsi="Arial" w:cs="Arial"/>
                <w:color w:val="auto"/>
                <w:kern w:val="28"/>
                <w:sz w:val="18"/>
                <w:szCs w:val="18"/>
                <w:lang w:eastAsia="en-GB"/>
              </w:rPr>
              <w:t xml:space="preserve"> the impact of excluding these should be explored in sensitivity analyses</w:t>
            </w:r>
          </w:p>
        </w:tc>
      </w:tr>
      <w:tr w:rsidR="00735D88" w:rsidRPr="00735D88" w14:paraId="47925172" w14:textId="77777777" w:rsidTr="00735D88">
        <w:tc>
          <w:tcPr>
            <w:tcW w:w="1951" w:type="dxa"/>
            <w:shd w:val="clear" w:color="auto" w:fill="FFFFFF" w:themeFill="background1"/>
            <w:vAlign w:val="center"/>
          </w:tcPr>
          <w:p w14:paraId="6452F2FD"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8.</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color w:val="auto"/>
                <w:kern w:val="28"/>
                <w:sz w:val="18"/>
                <w:szCs w:val="18"/>
                <w:lang w:eastAsia="en-GB"/>
              </w:rPr>
              <w:t>Heterogeneity</w:t>
            </w:r>
          </w:p>
        </w:tc>
        <w:tc>
          <w:tcPr>
            <w:tcW w:w="8867" w:type="dxa"/>
            <w:shd w:val="clear" w:color="auto" w:fill="FFFFFF" w:themeFill="background1"/>
            <w:vAlign w:val="center"/>
          </w:tcPr>
          <w:p w14:paraId="5D40CCD8"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Heterogeneity should be explored in population subgroups, where subgroup formation should be informed by:</w:t>
            </w:r>
          </w:p>
          <w:p w14:paraId="19FF5AC1"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Relevant effect of the intervention differs in different populations</w:t>
            </w:r>
          </w:p>
          <w:p w14:paraId="7449613F"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Characteristics of different populations that may influence the absolute health effects</w:t>
            </w:r>
          </w:p>
          <w:p w14:paraId="3E24A480"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Characteristics that influence direct costs of provision or other associated costs across the constituency</w:t>
            </w:r>
          </w:p>
          <w:p w14:paraId="1EC78AA9"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Subgroup analysis should always be determined by:</w:t>
            </w:r>
          </w:p>
          <w:p w14:paraId="681F25CC"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The evidence base regarding differences in relative effect, baseline risk or other characteristics</w:t>
            </w:r>
          </w:p>
          <w:p w14:paraId="0DF9E9FD" w14:textId="7413277F" w:rsidR="00735D88" w:rsidRPr="00735D88" w:rsidRDefault="00735D88" w:rsidP="002E7E42">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Whether the differences have an important influences on costs and effects</w:t>
            </w:r>
          </w:p>
        </w:tc>
      </w:tr>
      <w:tr w:rsidR="00735D88" w:rsidRPr="00735D88" w14:paraId="03C5D2F7" w14:textId="77777777" w:rsidTr="00735D88">
        <w:tc>
          <w:tcPr>
            <w:tcW w:w="1951" w:type="dxa"/>
            <w:shd w:val="clear" w:color="auto" w:fill="FFFFFF" w:themeFill="background1"/>
            <w:vAlign w:val="center"/>
          </w:tcPr>
          <w:p w14:paraId="534B67A4"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9.</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color w:val="auto"/>
                <w:kern w:val="28"/>
                <w:sz w:val="18"/>
                <w:szCs w:val="18"/>
                <w:lang w:eastAsia="en-GB"/>
              </w:rPr>
              <w:t>Uncertainty</w:t>
            </w:r>
          </w:p>
        </w:tc>
        <w:tc>
          <w:tcPr>
            <w:tcW w:w="8867" w:type="dxa"/>
            <w:shd w:val="clear" w:color="auto" w:fill="FFFFFF" w:themeFill="background1"/>
            <w:vAlign w:val="center"/>
          </w:tcPr>
          <w:p w14:paraId="0ED3E7A2"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The economic evaluation should explore:</w:t>
            </w:r>
          </w:p>
          <w:p w14:paraId="7269D849"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Uncertainty in the structure of the analysis</w:t>
            </w:r>
          </w:p>
          <w:p w14:paraId="619B6FB0"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Uncertainty due to source of parameters</w:t>
            </w:r>
          </w:p>
          <w:p w14:paraId="2318A6DB"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Uncertainty due to precision of parameters</w:t>
            </w:r>
          </w:p>
        </w:tc>
      </w:tr>
      <w:tr w:rsidR="00735D88" w:rsidRPr="00735D88" w14:paraId="03BD60AE" w14:textId="77777777" w:rsidTr="00735D88">
        <w:trPr>
          <w:trHeight w:val="859"/>
        </w:trPr>
        <w:tc>
          <w:tcPr>
            <w:tcW w:w="1951" w:type="dxa"/>
            <w:shd w:val="clear" w:color="auto" w:fill="FFFFFF" w:themeFill="background1"/>
            <w:vAlign w:val="center"/>
          </w:tcPr>
          <w:p w14:paraId="573AF212"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10.</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color w:val="auto"/>
                <w:kern w:val="28"/>
                <w:sz w:val="18"/>
                <w:szCs w:val="18"/>
                <w:lang w:eastAsia="en-GB"/>
              </w:rPr>
              <w:t>Constraints</w:t>
            </w:r>
          </w:p>
        </w:tc>
        <w:tc>
          <w:tcPr>
            <w:tcW w:w="8867" w:type="dxa"/>
            <w:shd w:val="clear" w:color="auto" w:fill="FFFFFF" w:themeFill="background1"/>
            <w:vAlign w:val="center"/>
          </w:tcPr>
          <w:p w14:paraId="0B657A0E"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Budget impact analysis should estimate the implications of implementing the intervention on various budgets</w:t>
            </w:r>
          </w:p>
          <w:p w14:paraId="4F081293"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Budget impact analysis should reflect the decision problem and the constituency in which the intervention will be used.</w:t>
            </w:r>
          </w:p>
        </w:tc>
      </w:tr>
      <w:tr w:rsidR="00735D88" w:rsidRPr="00735D88" w14:paraId="304AEB99" w14:textId="77777777" w:rsidTr="00735D88">
        <w:trPr>
          <w:trHeight w:val="997"/>
        </w:trPr>
        <w:tc>
          <w:tcPr>
            <w:tcW w:w="1951" w:type="dxa"/>
            <w:shd w:val="clear" w:color="auto" w:fill="FFFFFF" w:themeFill="background1"/>
            <w:vAlign w:val="center"/>
          </w:tcPr>
          <w:p w14:paraId="1332AD6F" w14:textId="77777777" w:rsidR="00735D88" w:rsidRPr="00735D88" w:rsidRDefault="00735D88" w:rsidP="00735D88">
            <w:pPr>
              <w:rPr>
                <w:rFonts w:ascii="Arial" w:hAnsi="Arial" w:cs="Arial"/>
                <w:color w:val="auto"/>
                <w:sz w:val="18"/>
                <w:szCs w:val="18"/>
              </w:rPr>
            </w:pPr>
            <w:r w:rsidRPr="00735D88">
              <w:rPr>
                <w:rFonts w:ascii="Arial" w:eastAsia="Times New Roman" w:hAnsi="Arial" w:cs="Arial"/>
                <w:color w:val="auto"/>
                <w:kern w:val="28"/>
                <w:sz w:val="18"/>
                <w:szCs w:val="18"/>
                <w:lang w:eastAsia="en-GB"/>
              </w:rPr>
              <w:t>11.</w:t>
            </w:r>
            <w:r w:rsidRPr="00735D88">
              <w:rPr>
                <w:rFonts w:ascii="Arial" w:eastAsia="Times New Roman" w:hAnsi="Arial" w:cs="Arial"/>
                <w:color w:val="auto"/>
                <w:kern w:val="28"/>
                <w:sz w:val="18"/>
                <w:szCs w:val="18"/>
                <w:lang w:val="en-GB" w:eastAsia="en-GB"/>
              </w:rPr>
              <w:t> </w:t>
            </w:r>
            <w:r w:rsidRPr="00735D88">
              <w:rPr>
                <w:rFonts w:ascii="Arial" w:eastAsia="Times New Roman" w:hAnsi="Arial" w:cs="Arial"/>
                <w:color w:val="auto"/>
                <w:kern w:val="28"/>
                <w:sz w:val="18"/>
                <w:szCs w:val="18"/>
                <w:lang w:eastAsia="en-GB"/>
              </w:rPr>
              <w:t>Equity considerations</w:t>
            </w:r>
          </w:p>
        </w:tc>
        <w:tc>
          <w:tcPr>
            <w:tcW w:w="8867" w:type="dxa"/>
            <w:shd w:val="clear" w:color="auto" w:fill="FFFFFF" w:themeFill="background1"/>
            <w:vAlign w:val="center"/>
          </w:tcPr>
          <w:p w14:paraId="1A3433F9"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There are various mechanisms available for assessing equity implications of an intervention.</w:t>
            </w:r>
          </w:p>
          <w:p w14:paraId="5FBA9738" w14:textId="77777777" w:rsidR="00735D88" w:rsidRPr="00735D88" w:rsidRDefault="00735D88" w:rsidP="00735D88">
            <w:pPr>
              <w:ind w:left="283" w:hanging="283"/>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The method chosen should be appropriate to the decision problem and justifiable to the decision maker</w:t>
            </w:r>
          </w:p>
          <w:p w14:paraId="14482F4A" w14:textId="77777777" w:rsidR="00735D88" w:rsidRPr="00735D88" w:rsidRDefault="00735D88" w:rsidP="00735D88">
            <w:pPr>
              <w:rPr>
                <w:rFonts w:ascii="Arial" w:eastAsia="Times New Roman" w:hAnsi="Arial" w:cs="Arial"/>
                <w:color w:val="auto"/>
                <w:kern w:val="28"/>
                <w:sz w:val="18"/>
                <w:szCs w:val="18"/>
                <w:lang w:eastAsia="en-GB"/>
              </w:rPr>
            </w:pPr>
            <w:r w:rsidRPr="00735D88">
              <w:rPr>
                <w:rFonts w:ascii="Arial" w:eastAsia="Times New Roman" w:hAnsi="Arial" w:cs="Arial"/>
                <w:color w:val="auto"/>
                <w:kern w:val="28"/>
                <w:sz w:val="18"/>
                <w:szCs w:val="18"/>
                <w:lang w:eastAsia="en-GB"/>
              </w:rPr>
              <w:t>● Equity implications should be considered at all stages of the evaluation, including design, analysis and reporting</w:t>
            </w:r>
          </w:p>
        </w:tc>
      </w:tr>
    </w:tbl>
    <w:p w14:paraId="6A826304" w14:textId="3E371985" w:rsidR="004E589F" w:rsidRPr="00191CE8" w:rsidRDefault="004E589F">
      <w:pPr>
        <w:rPr>
          <w:rFonts w:ascii="Arial" w:hAnsi="Arial" w:cs="Arial"/>
          <w:i/>
          <w:color w:val="632423" w:themeColor="accent2" w:themeShade="80"/>
          <w:szCs w:val="22"/>
        </w:rPr>
      </w:pPr>
    </w:p>
    <w:p w14:paraId="53012BC6" w14:textId="77777777" w:rsidR="008651B2" w:rsidRPr="00191CE8" w:rsidRDefault="008651B2" w:rsidP="00270B3D">
      <w:pPr>
        <w:pStyle w:val="NoSpacing"/>
        <w:ind w:right="14"/>
        <w:rPr>
          <w:rFonts w:ascii="Arial" w:hAnsi="Arial" w:cs="Arial"/>
          <w:i/>
          <w:color w:val="632423" w:themeColor="accent2" w:themeShade="80"/>
          <w:sz w:val="24"/>
        </w:rPr>
        <w:sectPr w:rsidR="008651B2" w:rsidRPr="00191CE8" w:rsidSect="00107482">
          <w:endnotePr>
            <w:numFmt w:val="decimal"/>
          </w:endnotePr>
          <w:pgSz w:w="11900" w:h="16840"/>
          <w:pgMar w:top="284" w:right="720" w:bottom="284" w:left="720" w:header="448" w:footer="720" w:gutter="0"/>
          <w:cols w:space="720"/>
          <w:noEndnote/>
          <w:titlePg/>
          <w:docGrid w:linePitch="360"/>
        </w:sectPr>
      </w:pPr>
    </w:p>
    <w:p w14:paraId="1AD36F2C" w14:textId="77777777" w:rsidR="003F0968" w:rsidRDefault="003F0968">
      <w:pPr>
        <w:rPr>
          <w:rFonts w:ascii="Arial" w:hAnsi="Arial" w:cs="Arial"/>
        </w:rPr>
      </w:pPr>
    </w:p>
    <w:p w14:paraId="5C1BCAB6" w14:textId="43D7761F" w:rsidR="00224F74" w:rsidRDefault="00224F74" w:rsidP="00224F74">
      <w:pPr>
        <w:pStyle w:val="Heading1"/>
      </w:pPr>
      <w:r>
        <w:t xml:space="preserve">References </w:t>
      </w:r>
    </w:p>
    <w:p w14:paraId="25593DA0" w14:textId="77777777" w:rsidR="005A71CA" w:rsidRDefault="005A71CA" w:rsidP="005A71CA">
      <w:pPr>
        <w:rPr>
          <w:rFonts w:ascii="Arial" w:eastAsia="Times New Roman" w:hAnsi="Arial" w:cs="Arial"/>
          <w:color w:val="222222"/>
          <w:sz w:val="20"/>
          <w:szCs w:val="20"/>
          <w:lang w:val="en-GB" w:eastAsia="en-GB"/>
        </w:rPr>
      </w:pPr>
      <w:r w:rsidRPr="001E75F0">
        <w:rPr>
          <w:rFonts w:ascii="Arial" w:eastAsia="Times New Roman" w:hAnsi="Arial" w:cs="Arial"/>
          <w:color w:val="222222"/>
          <w:sz w:val="20"/>
          <w:szCs w:val="20"/>
          <w:lang w:val="en-GB" w:eastAsia="en-GB"/>
        </w:rPr>
        <w:t xml:space="preserve">Anand, S., &amp; Hanson, K. (1997). Disability-adjusted life years: a critical review. </w:t>
      </w:r>
      <w:r w:rsidRPr="001E75F0">
        <w:rPr>
          <w:rFonts w:ascii="Arial" w:eastAsia="Times New Roman" w:hAnsi="Arial" w:cs="Arial"/>
          <w:i/>
          <w:iCs/>
          <w:color w:val="222222"/>
          <w:sz w:val="20"/>
          <w:szCs w:val="20"/>
          <w:lang w:val="en-GB" w:eastAsia="en-GB"/>
        </w:rPr>
        <w:t>Journal of health economics</w:t>
      </w:r>
      <w:r w:rsidRPr="001E75F0">
        <w:rPr>
          <w:rFonts w:ascii="Arial" w:eastAsia="Times New Roman" w:hAnsi="Arial" w:cs="Arial"/>
          <w:color w:val="222222"/>
          <w:sz w:val="20"/>
          <w:szCs w:val="20"/>
          <w:lang w:val="en-GB" w:eastAsia="en-GB"/>
        </w:rPr>
        <w:t xml:space="preserve">, </w:t>
      </w:r>
      <w:r w:rsidRPr="001E75F0">
        <w:rPr>
          <w:rFonts w:ascii="Arial" w:eastAsia="Times New Roman" w:hAnsi="Arial" w:cs="Arial"/>
          <w:i/>
          <w:iCs/>
          <w:color w:val="222222"/>
          <w:sz w:val="20"/>
          <w:szCs w:val="20"/>
          <w:lang w:val="en-GB" w:eastAsia="en-GB"/>
        </w:rPr>
        <w:t>16</w:t>
      </w:r>
      <w:r w:rsidRPr="001E75F0">
        <w:rPr>
          <w:rFonts w:ascii="Arial" w:eastAsia="Times New Roman" w:hAnsi="Arial" w:cs="Arial"/>
          <w:color w:val="222222"/>
          <w:sz w:val="20"/>
          <w:szCs w:val="20"/>
          <w:lang w:val="en-GB" w:eastAsia="en-GB"/>
        </w:rPr>
        <w:t>(6), 685-702.</w:t>
      </w:r>
    </w:p>
    <w:p w14:paraId="6B9DE283" w14:textId="77777777" w:rsidR="005A71CA" w:rsidRDefault="005A71CA" w:rsidP="005A71CA">
      <w:pPr>
        <w:rPr>
          <w:rFonts w:ascii="Arial" w:eastAsia="Times New Roman" w:hAnsi="Arial" w:cs="Arial"/>
          <w:color w:val="222222"/>
          <w:sz w:val="20"/>
          <w:szCs w:val="20"/>
          <w:lang w:val="en-GB" w:eastAsia="en-GB"/>
        </w:rPr>
      </w:pPr>
    </w:p>
    <w:p w14:paraId="754C1E06" w14:textId="0E8CEFCA" w:rsidR="00404289" w:rsidRDefault="00404289" w:rsidP="005A71CA">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Bill and Melinda Gates Foundation, </w:t>
      </w:r>
      <w:hyperlink r:id="rId19" w:history="1">
        <w:r w:rsidRPr="0036650E">
          <w:rPr>
            <w:rStyle w:val="Hyperlink"/>
            <w:rFonts w:ascii="Arial" w:eastAsia="Times New Roman" w:hAnsi="Arial" w:cs="Arial"/>
            <w:sz w:val="20"/>
            <w:szCs w:val="20"/>
            <w:lang w:val="en-GB" w:eastAsia="en-GB"/>
          </w:rPr>
          <w:t>http://www.gatesfoundation.org/How-We-Work</w:t>
        </w:r>
      </w:hyperlink>
      <w:r>
        <w:rPr>
          <w:rFonts w:ascii="Arial" w:eastAsia="Times New Roman" w:hAnsi="Arial" w:cs="Arial"/>
          <w:color w:val="222222"/>
          <w:sz w:val="20"/>
          <w:szCs w:val="20"/>
          <w:lang w:val="en-GB" w:eastAsia="en-GB"/>
        </w:rPr>
        <w:t xml:space="preserve"> (Accessed November 2015) </w:t>
      </w:r>
    </w:p>
    <w:p w14:paraId="53C3AF7D" w14:textId="77777777" w:rsidR="00404289" w:rsidRDefault="00404289" w:rsidP="005A71CA">
      <w:pPr>
        <w:rPr>
          <w:rFonts w:ascii="Arial" w:eastAsia="Times New Roman" w:hAnsi="Arial" w:cs="Arial"/>
          <w:color w:val="222222"/>
          <w:sz w:val="20"/>
          <w:szCs w:val="20"/>
          <w:lang w:val="en-GB" w:eastAsia="en-GB"/>
        </w:rPr>
      </w:pPr>
    </w:p>
    <w:p w14:paraId="7D749789" w14:textId="428E22ED" w:rsidR="005A71CA" w:rsidRDefault="005A71CA" w:rsidP="005A71CA">
      <w:pPr>
        <w:rPr>
          <w:rFonts w:ascii="Arial" w:eastAsia="Times New Roman" w:hAnsi="Arial" w:cs="Arial"/>
          <w:color w:val="222222"/>
          <w:sz w:val="20"/>
          <w:szCs w:val="20"/>
          <w:lang w:val="en-GB" w:eastAsia="en-GB"/>
        </w:rPr>
      </w:pPr>
      <w:r w:rsidRPr="00872CC1">
        <w:rPr>
          <w:rFonts w:ascii="Arial" w:eastAsia="Times New Roman" w:hAnsi="Arial" w:cs="Arial"/>
          <w:color w:val="222222"/>
          <w:sz w:val="20"/>
          <w:szCs w:val="20"/>
          <w:lang w:val="en-GB" w:eastAsia="en-GB"/>
        </w:rPr>
        <w:t>Canadian Agency for Drugs and Technologies in Health</w:t>
      </w:r>
      <w:r>
        <w:rPr>
          <w:rFonts w:ascii="Arial" w:eastAsia="Times New Roman" w:hAnsi="Arial" w:cs="Arial"/>
          <w:color w:val="222222"/>
          <w:sz w:val="20"/>
          <w:szCs w:val="20"/>
          <w:lang w:val="en-GB" w:eastAsia="en-GB"/>
        </w:rPr>
        <w:t xml:space="preserve"> (CADTH)</w:t>
      </w:r>
      <w:r w:rsidRPr="00872CC1">
        <w:rPr>
          <w:rFonts w:ascii="Arial" w:eastAsia="Times New Roman" w:hAnsi="Arial" w:cs="Arial"/>
          <w:color w:val="222222"/>
          <w:sz w:val="20"/>
          <w:szCs w:val="20"/>
          <w:lang w:val="en-GB" w:eastAsia="en-GB"/>
        </w:rPr>
        <w:t xml:space="preserve"> Guidelines for the economic evaluation of health technologies: Canada [3rd Edition]. Ottawa:; 2006. </w:t>
      </w:r>
    </w:p>
    <w:p w14:paraId="4CBAF273" w14:textId="77777777" w:rsidR="00F302DE" w:rsidRDefault="00F302DE" w:rsidP="005A71CA">
      <w:pPr>
        <w:rPr>
          <w:rFonts w:ascii="Arial" w:eastAsia="Times New Roman" w:hAnsi="Arial" w:cs="Arial"/>
          <w:color w:val="222222"/>
          <w:sz w:val="20"/>
          <w:szCs w:val="20"/>
          <w:lang w:val="en-GB" w:eastAsia="en-GB"/>
        </w:rPr>
      </w:pPr>
    </w:p>
    <w:p w14:paraId="1BEAA1FF" w14:textId="3C9B652D" w:rsidR="00F302DE" w:rsidRPr="00F302DE" w:rsidRDefault="00444B21" w:rsidP="00F302DE">
      <w:pPr>
        <w:rPr>
          <w:rFonts w:ascii="Arial" w:eastAsia="Times New Roman" w:hAnsi="Arial" w:cs="Arial"/>
          <w:color w:val="222222"/>
          <w:sz w:val="20"/>
          <w:szCs w:val="20"/>
          <w:lang w:val="en-GB" w:eastAsia="en-GB"/>
        </w:rPr>
      </w:pPr>
      <w:r w:rsidRPr="00F302DE">
        <w:rPr>
          <w:rFonts w:ascii="Arial" w:eastAsia="Times New Roman" w:hAnsi="Arial" w:cs="Arial"/>
          <w:color w:val="222222"/>
          <w:sz w:val="20"/>
          <w:szCs w:val="20"/>
          <w:lang w:val="en-GB" w:eastAsia="en-GB"/>
        </w:rPr>
        <w:t>Cha</w:t>
      </w:r>
      <w:r>
        <w:rPr>
          <w:rFonts w:ascii="Arial" w:eastAsia="Times New Roman" w:hAnsi="Arial" w:cs="Arial"/>
          <w:color w:val="222222"/>
          <w:sz w:val="20"/>
          <w:szCs w:val="20"/>
          <w:lang w:val="en-GB" w:eastAsia="en-GB"/>
        </w:rPr>
        <w:t>lkidou K, Glassman A, Marten R, Vega J, Teerawattananon Y, Tritasavit N,</w:t>
      </w:r>
      <w:r w:rsidRPr="00F302DE">
        <w:rPr>
          <w:rFonts w:ascii="Arial" w:eastAsia="Times New Roman" w:hAnsi="Arial" w:cs="Arial"/>
          <w:color w:val="222222"/>
          <w:sz w:val="20"/>
          <w:szCs w:val="20"/>
          <w:lang w:val="en-GB" w:eastAsia="en-GB"/>
        </w:rPr>
        <w:t xml:space="preserve"> Gyansa- Lutt</w:t>
      </w:r>
      <w:r>
        <w:rPr>
          <w:rFonts w:ascii="Arial" w:eastAsia="Times New Roman" w:hAnsi="Arial" w:cs="Arial"/>
          <w:color w:val="222222"/>
          <w:sz w:val="20"/>
          <w:szCs w:val="20"/>
          <w:lang w:val="en-GB" w:eastAsia="en-GB"/>
        </w:rPr>
        <w:t>erodt M, Seiter A,</w:t>
      </w:r>
      <w:r w:rsidRPr="00F302DE">
        <w:rPr>
          <w:rFonts w:ascii="Arial" w:eastAsia="Times New Roman" w:hAnsi="Arial" w:cs="Arial"/>
          <w:color w:val="222222"/>
          <w:sz w:val="20"/>
          <w:szCs w:val="20"/>
          <w:lang w:val="en-GB" w:eastAsia="en-GB"/>
        </w:rPr>
        <w:t xml:space="preserve"> Paule-K</w:t>
      </w:r>
      <w:r>
        <w:rPr>
          <w:rFonts w:ascii="Arial" w:eastAsia="Times New Roman" w:hAnsi="Arial" w:cs="Arial"/>
          <w:color w:val="222222"/>
          <w:sz w:val="20"/>
          <w:szCs w:val="20"/>
          <w:lang w:val="en-GB" w:eastAsia="en-GB"/>
        </w:rPr>
        <w:t xml:space="preserve">ieny M, </w:t>
      </w:r>
      <w:r w:rsidRPr="00F302DE">
        <w:rPr>
          <w:rFonts w:ascii="Arial" w:eastAsia="Times New Roman" w:hAnsi="Arial" w:cs="Arial"/>
          <w:color w:val="222222"/>
          <w:sz w:val="20"/>
          <w:szCs w:val="20"/>
          <w:lang w:val="en-GB" w:eastAsia="en-GB"/>
        </w:rPr>
        <w:t>Hofman K, Culyer AJ</w:t>
      </w:r>
      <w:r>
        <w:rPr>
          <w:rFonts w:ascii="Arial" w:eastAsia="Times New Roman" w:hAnsi="Arial" w:cs="Arial"/>
          <w:color w:val="222222"/>
          <w:sz w:val="20"/>
          <w:szCs w:val="20"/>
          <w:lang w:val="en-GB" w:eastAsia="en-GB"/>
        </w:rPr>
        <w:t>.</w:t>
      </w:r>
      <w:r w:rsidRPr="00F302DE">
        <w:rPr>
          <w:rFonts w:ascii="Arial" w:eastAsia="Times New Roman" w:hAnsi="Arial" w:cs="Arial"/>
          <w:color w:val="222222"/>
          <w:sz w:val="20"/>
          <w:szCs w:val="20"/>
          <w:lang w:val="en-GB" w:eastAsia="en-GB"/>
        </w:rPr>
        <w:t xml:space="preserve"> </w:t>
      </w:r>
      <w:r w:rsidRPr="00F302DE">
        <w:rPr>
          <w:rFonts w:ascii="Arial" w:eastAsia="Times New Roman" w:hAnsi="Arial" w:cs="Arial"/>
          <w:i/>
          <w:color w:val="222222"/>
          <w:sz w:val="20"/>
          <w:szCs w:val="20"/>
          <w:lang w:val="en-GB" w:eastAsia="en-GB"/>
        </w:rPr>
        <w:t>Priority</w:t>
      </w:r>
      <w:r w:rsidR="00F302DE" w:rsidRPr="00F302DE">
        <w:rPr>
          <w:rFonts w:ascii="Arial" w:eastAsia="Times New Roman" w:hAnsi="Arial" w:cs="Arial"/>
          <w:i/>
          <w:color w:val="222222"/>
          <w:sz w:val="20"/>
          <w:szCs w:val="20"/>
          <w:lang w:val="en-GB" w:eastAsia="en-GB"/>
        </w:rPr>
        <w:t xml:space="preserve"> Setting or Universal Health Coverage.</w:t>
      </w:r>
      <w:r w:rsidR="00F302DE" w:rsidRPr="00F302DE">
        <w:rPr>
          <w:rFonts w:ascii="Arial" w:eastAsia="Times New Roman" w:hAnsi="Arial" w:cs="Arial"/>
          <w:color w:val="222222"/>
          <w:sz w:val="20"/>
          <w:szCs w:val="20"/>
          <w:lang w:val="en-GB" w:eastAsia="en-GB"/>
        </w:rPr>
        <w:t xml:space="preserve"> Bulletin of the World Health Organization; Type: Policy &amp; practice Article ID: BLT.15.155721 </w:t>
      </w:r>
      <w:r w:rsidR="00F302DE">
        <w:rPr>
          <w:rFonts w:ascii="Arial" w:eastAsia="Times New Roman" w:hAnsi="Arial" w:cs="Arial"/>
          <w:color w:val="222222"/>
          <w:sz w:val="20"/>
          <w:szCs w:val="20"/>
          <w:lang w:val="en-GB" w:eastAsia="en-GB"/>
        </w:rPr>
        <w:t>2016.</w:t>
      </w:r>
    </w:p>
    <w:p w14:paraId="1355804B" w14:textId="77777777" w:rsidR="00F302DE" w:rsidRDefault="00F302DE" w:rsidP="005A71CA">
      <w:pPr>
        <w:rPr>
          <w:rFonts w:ascii="Arial" w:eastAsia="Times New Roman" w:hAnsi="Arial" w:cs="Arial"/>
          <w:color w:val="222222"/>
          <w:sz w:val="20"/>
          <w:szCs w:val="20"/>
          <w:lang w:val="en-GB" w:eastAsia="en-GB"/>
        </w:rPr>
      </w:pPr>
    </w:p>
    <w:p w14:paraId="500544CD" w14:textId="6654CAA4" w:rsidR="006B649F" w:rsidRDefault="006B649F" w:rsidP="005A71CA">
      <w:pPr>
        <w:rPr>
          <w:rFonts w:ascii="Arial" w:eastAsia="Times New Roman" w:hAnsi="Arial" w:cs="Arial"/>
          <w:color w:val="222222"/>
          <w:sz w:val="20"/>
          <w:szCs w:val="20"/>
          <w:lang w:val="en-GB" w:eastAsia="en-GB"/>
        </w:rPr>
      </w:pPr>
      <w:r w:rsidRPr="006B649F">
        <w:rPr>
          <w:rFonts w:ascii="Arial" w:eastAsia="Times New Roman" w:hAnsi="Arial" w:cs="Arial"/>
          <w:color w:val="222222"/>
          <w:sz w:val="20"/>
          <w:szCs w:val="20"/>
          <w:lang w:val="en-GB" w:eastAsia="en-GB"/>
        </w:rPr>
        <w:t xml:space="preserve">Culyer, A.J. Lomas, J. (2006) </w:t>
      </w:r>
      <w:r w:rsidRPr="006B649F">
        <w:rPr>
          <w:rFonts w:ascii="Arial" w:eastAsia="Times New Roman" w:hAnsi="Arial" w:cs="Arial"/>
          <w:i/>
          <w:color w:val="222222"/>
          <w:sz w:val="20"/>
          <w:szCs w:val="20"/>
          <w:lang w:val="en-GB" w:eastAsia="en-GB"/>
        </w:rPr>
        <w:t>“Deliberative processes and evidence-informed decision-making in health care – do they work and how might we know?”</w:t>
      </w:r>
      <w:r w:rsidRPr="006B649F">
        <w:rPr>
          <w:rFonts w:ascii="Arial" w:eastAsia="Times New Roman" w:hAnsi="Arial" w:cs="Arial"/>
          <w:color w:val="222222"/>
          <w:sz w:val="20"/>
          <w:szCs w:val="20"/>
          <w:lang w:val="en-GB" w:eastAsia="en-GB"/>
        </w:rPr>
        <w:t xml:space="preserve"> Evidence and Policy, 2: 357-371</w:t>
      </w:r>
      <w:r>
        <w:rPr>
          <w:rFonts w:ascii="Arial" w:eastAsia="Times New Roman" w:hAnsi="Arial" w:cs="Arial"/>
          <w:color w:val="222222"/>
          <w:sz w:val="20"/>
          <w:szCs w:val="20"/>
          <w:lang w:val="en-GB" w:eastAsia="en-GB"/>
        </w:rPr>
        <w:t xml:space="preserve">, 2006. </w:t>
      </w:r>
    </w:p>
    <w:p w14:paraId="752D531F" w14:textId="77777777" w:rsidR="006B649F" w:rsidRDefault="006B649F" w:rsidP="005A71CA">
      <w:pPr>
        <w:rPr>
          <w:rFonts w:ascii="Arial" w:eastAsia="Times New Roman" w:hAnsi="Arial" w:cs="Arial"/>
          <w:color w:val="222222"/>
          <w:sz w:val="20"/>
          <w:szCs w:val="20"/>
          <w:lang w:val="en-GB" w:eastAsia="en-GB"/>
        </w:rPr>
      </w:pPr>
    </w:p>
    <w:p w14:paraId="2307AF0E" w14:textId="06131411" w:rsidR="005A71CA" w:rsidRDefault="005A71CA" w:rsidP="005A71CA">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Culyer, </w:t>
      </w:r>
      <w:r w:rsidR="00444B21">
        <w:rPr>
          <w:rFonts w:ascii="Arial" w:eastAsia="Times New Roman" w:hAnsi="Arial" w:cs="Arial"/>
          <w:color w:val="222222"/>
          <w:sz w:val="20"/>
          <w:szCs w:val="20"/>
          <w:lang w:val="en-GB" w:eastAsia="en-GB"/>
        </w:rPr>
        <w:t>A.J.</w:t>
      </w:r>
      <w:r>
        <w:rPr>
          <w:rFonts w:ascii="Arial" w:eastAsia="Times New Roman" w:hAnsi="Arial" w:cs="Arial"/>
          <w:color w:val="222222"/>
          <w:sz w:val="20"/>
          <w:szCs w:val="20"/>
          <w:lang w:val="en-GB" w:eastAsia="en-GB"/>
        </w:rPr>
        <w:t xml:space="preserve"> The Dictionary of Health Economics, Third Edition. Edward Elgar, Cheltenham, 2014</w:t>
      </w:r>
    </w:p>
    <w:p w14:paraId="7F19DC31" w14:textId="77777777" w:rsidR="000F3A46" w:rsidRDefault="000F3A46" w:rsidP="005A71CA">
      <w:pPr>
        <w:rPr>
          <w:rFonts w:ascii="Arial" w:eastAsia="Times New Roman" w:hAnsi="Arial" w:cs="Arial"/>
          <w:color w:val="222222"/>
          <w:sz w:val="20"/>
          <w:szCs w:val="20"/>
          <w:lang w:val="en-GB" w:eastAsia="en-GB"/>
        </w:rPr>
      </w:pPr>
    </w:p>
    <w:p w14:paraId="024E89E8" w14:textId="0673CC17" w:rsidR="000F3A46" w:rsidRPr="000F3A46" w:rsidRDefault="000F3A46" w:rsidP="005A71CA">
      <w:pPr>
        <w:rPr>
          <w:rFonts w:ascii="Arial" w:eastAsia="Times New Roman" w:hAnsi="Arial" w:cs="Arial"/>
          <w:color w:val="222222"/>
          <w:sz w:val="20"/>
          <w:szCs w:val="20"/>
          <w:lang w:val="en-GB" w:eastAsia="en-GB"/>
        </w:rPr>
      </w:pPr>
      <w:r w:rsidRPr="00F302DE">
        <w:rPr>
          <w:rFonts w:ascii="Arial" w:eastAsia="Times New Roman" w:hAnsi="Arial" w:cs="Arial"/>
          <w:color w:val="222222"/>
          <w:sz w:val="20"/>
          <w:szCs w:val="20"/>
          <w:lang w:val="en-GB" w:eastAsia="en-GB"/>
        </w:rPr>
        <w:t>Culyer, A. J. "Cost-effectiveness thresholds: a</w:t>
      </w:r>
      <w:r w:rsidRPr="000F3A46">
        <w:rPr>
          <w:rFonts w:ascii="Arial" w:hAnsi="Arial" w:cs="Arial"/>
          <w:color w:val="1A1A1A"/>
          <w:sz w:val="20"/>
          <w:szCs w:val="20"/>
        </w:rPr>
        <w:t xml:space="preserve"> comment on the commentaries." </w:t>
      </w:r>
      <w:r w:rsidRPr="000F3A46">
        <w:rPr>
          <w:rFonts w:ascii="Arial" w:hAnsi="Arial" w:cs="Arial"/>
          <w:i/>
          <w:iCs/>
          <w:color w:val="1A1A1A"/>
          <w:sz w:val="20"/>
          <w:szCs w:val="20"/>
        </w:rPr>
        <w:t>Health economics, policy, and law</w:t>
      </w:r>
      <w:r w:rsidRPr="000F3A46">
        <w:rPr>
          <w:rFonts w:ascii="Arial" w:hAnsi="Arial" w:cs="Arial"/>
          <w:color w:val="1A1A1A"/>
          <w:sz w:val="20"/>
          <w:szCs w:val="20"/>
        </w:rPr>
        <w:t xml:space="preserve"> (2016): 1.</w:t>
      </w:r>
    </w:p>
    <w:p w14:paraId="38C1421C" w14:textId="77777777" w:rsidR="00C46716" w:rsidRDefault="00C46716" w:rsidP="005A71CA">
      <w:pPr>
        <w:rPr>
          <w:rFonts w:ascii="Arial" w:eastAsia="Times New Roman" w:hAnsi="Arial" w:cs="Arial"/>
          <w:color w:val="222222"/>
          <w:sz w:val="20"/>
          <w:szCs w:val="20"/>
          <w:lang w:val="en-GB" w:eastAsia="en-GB"/>
        </w:rPr>
      </w:pPr>
    </w:p>
    <w:p w14:paraId="1D9802BE" w14:textId="6BADFA81" w:rsidR="00C46716" w:rsidRDefault="00C46716" w:rsidP="005A71CA">
      <w:pPr>
        <w:rPr>
          <w:rFonts w:ascii="Arial" w:eastAsia="Times New Roman" w:hAnsi="Arial" w:cs="Arial"/>
          <w:color w:val="222222"/>
          <w:sz w:val="20"/>
          <w:szCs w:val="20"/>
          <w:lang w:val="en-GB" w:eastAsia="en-GB"/>
        </w:rPr>
      </w:pPr>
      <w:r w:rsidRPr="00C46716">
        <w:rPr>
          <w:rFonts w:ascii="Arial" w:eastAsia="Times New Roman" w:hAnsi="Arial" w:cs="Arial"/>
          <w:color w:val="222222"/>
          <w:sz w:val="20"/>
          <w:szCs w:val="20"/>
          <w:lang w:val="en-GB" w:eastAsia="en-GB"/>
        </w:rPr>
        <w:t>Claxton K, Martin S, Soares M, Rice N, Spackman E, Hinde S, et al. Methods for the Estimation of the NICE Cost Effectiveness Threshold. Health Technol Assessment. 2015;19(14):503.</w:t>
      </w:r>
    </w:p>
    <w:p w14:paraId="1922E2E0" w14:textId="77777777" w:rsidR="003F0968" w:rsidRDefault="003F0968" w:rsidP="003F0968"/>
    <w:p w14:paraId="6A666E22" w14:textId="77777777" w:rsidR="003F0968" w:rsidRDefault="003F0968" w:rsidP="003F0968">
      <w:pPr>
        <w:rPr>
          <w:rFonts w:ascii="Arial" w:eastAsia="Times New Roman" w:hAnsi="Arial" w:cs="Arial"/>
          <w:color w:val="222222"/>
          <w:sz w:val="20"/>
          <w:szCs w:val="20"/>
          <w:lang w:val="en-GB" w:eastAsia="en-GB"/>
        </w:rPr>
      </w:pPr>
      <w:r w:rsidRPr="009B0E0D">
        <w:rPr>
          <w:rFonts w:ascii="Arial" w:eastAsia="Times New Roman" w:hAnsi="Arial" w:cs="Arial"/>
          <w:color w:val="222222"/>
          <w:sz w:val="20"/>
          <w:szCs w:val="20"/>
          <w:lang w:val="en-GB" w:eastAsia="en-GB"/>
        </w:rPr>
        <w:t>Drummond, M., Barbieri, M., Cook, J., Glick, H. A., Lis, J., Malik, F., ... &amp; Severens, J. (2009</w:t>
      </w:r>
      <w:r>
        <w:rPr>
          <w:rFonts w:ascii="Arial" w:eastAsia="Times New Roman" w:hAnsi="Arial" w:cs="Arial"/>
          <w:color w:val="222222"/>
          <w:sz w:val="20"/>
          <w:szCs w:val="20"/>
          <w:lang w:val="en-GB" w:eastAsia="en-GB"/>
        </w:rPr>
        <w:t>a</w:t>
      </w:r>
      <w:r w:rsidRPr="009B0E0D">
        <w:rPr>
          <w:rFonts w:ascii="Arial" w:eastAsia="Times New Roman" w:hAnsi="Arial" w:cs="Arial"/>
          <w:color w:val="222222"/>
          <w:sz w:val="20"/>
          <w:szCs w:val="20"/>
          <w:lang w:val="en-GB" w:eastAsia="en-GB"/>
        </w:rPr>
        <w:t xml:space="preserve">). Transferability of economic evaluations across jurisdictions: ISPOR Good Research Practices Task Force report. </w:t>
      </w:r>
      <w:r w:rsidRPr="009B0E0D">
        <w:rPr>
          <w:rFonts w:ascii="Arial" w:eastAsia="Times New Roman" w:hAnsi="Arial" w:cs="Arial"/>
          <w:i/>
          <w:iCs/>
          <w:color w:val="222222"/>
          <w:sz w:val="20"/>
          <w:szCs w:val="20"/>
          <w:lang w:val="en-GB" w:eastAsia="en-GB"/>
        </w:rPr>
        <w:t>Value in health</w:t>
      </w:r>
      <w:r w:rsidRPr="009B0E0D">
        <w:rPr>
          <w:rFonts w:ascii="Arial" w:eastAsia="Times New Roman" w:hAnsi="Arial" w:cs="Arial"/>
          <w:color w:val="222222"/>
          <w:sz w:val="20"/>
          <w:szCs w:val="20"/>
          <w:lang w:val="en-GB" w:eastAsia="en-GB"/>
        </w:rPr>
        <w:t xml:space="preserve">, </w:t>
      </w:r>
      <w:r w:rsidRPr="009B0E0D">
        <w:rPr>
          <w:rFonts w:ascii="Arial" w:eastAsia="Times New Roman" w:hAnsi="Arial" w:cs="Arial"/>
          <w:i/>
          <w:iCs/>
          <w:color w:val="222222"/>
          <w:sz w:val="20"/>
          <w:szCs w:val="20"/>
          <w:lang w:val="en-GB" w:eastAsia="en-GB"/>
        </w:rPr>
        <w:t>12</w:t>
      </w:r>
      <w:r w:rsidRPr="009B0E0D">
        <w:rPr>
          <w:rFonts w:ascii="Arial" w:eastAsia="Times New Roman" w:hAnsi="Arial" w:cs="Arial"/>
          <w:color w:val="222222"/>
          <w:sz w:val="20"/>
          <w:szCs w:val="20"/>
          <w:lang w:val="en-GB" w:eastAsia="en-GB"/>
        </w:rPr>
        <w:t>(4), 409-418.</w:t>
      </w:r>
    </w:p>
    <w:p w14:paraId="769C087B" w14:textId="77777777" w:rsidR="003F0968" w:rsidRDefault="003F0968" w:rsidP="003F0968">
      <w:pPr>
        <w:rPr>
          <w:rFonts w:ascii="Arial" w:eastAsia="Times New Roman" w:hAnsi="Arial" w:cs="Arial"/>
          <w:color w:val="222222"/>
          <w:sz w:val="20"/>
          <w:szCs w:val="20"/>
          <w:lang w:val="en-GB" w:eastAsia="en-GB"/>
        </w:rPr>
      </w:pPr>
    </w:p>
    <w:p w14:paraId="5AFE59BB" w14:textId="77777777" w:rsidR="003F0968" w:rsidRDefault="003F0968" w:rsidP="003F0968">
      <w:pPr>
        <w:rPr>
          <w:rFonts w:ascii="Arial" w:eastAsia="Times New Roman" w:hAnsi="Arial" w:cs="Arial"/>
          <w:color w:val="222222"/>
          <w:sz w:val="20"/>
          <w:szCs w:val="20"/>
          <w:lang w:val="en-GB" w:eastAsia="en-GB"/>
        </w:rPr>
      </w:pPr>
      <w:r w:rsidRPr="0011367E">
        <w:rPr>
          <w:rFonts w:ascii="Arial" w:eastAsia="Times New Roman" w:hAnsi="Arial" w:cs="Arial"/>
          <w:color w:val="222222"/>
          <w:sz w:val="20"/>
          <w:szCs w:val="20"/>
          <w:lang w:val="en-GB" w:eastAsia="en-GB"/>
        </w:rPr>
        <w:t>Drummond, M., Brixner, D., Gold, M., Kind, P., McGuire, A., &amp; Nord, E. (2009</w:t>
      </w:r>
      <w:r>
        <w:rPr>
          <w:rFonts w:ascii="Arial" w:eastAsia="Times New Roman" w:hAnsi="Arial" w:cs="Arial"/>
          <w:color w:val="222222"/>
          <w:sz w:val="20"/>
          <w:szCs w:val="20"/>
          <w:lang w:val="en-GB" w:eastAsia="en-GB"/>
        </w:rPr>
        <w:t>b</w:t>
      </w:r>
      <w:r w:rsidRPr="0011367E">
        <w:rPr>
          <w:rFonts w:ascii="Arial" w:eastAsia="Times New Roman" w:hAnsi="Arial" w:cs="Arial"/>
          <w:color w:val="222222"/>
          <w:sz w:val="20"/>
          <w:szCs w:val="20"/>
          <w:lang w:val="en-GB" w:eastAsia="en-GB"/>
        </w:rPr>
        <w:t xml:space="preserve">). Toward a consensus on the QALY. </w:t>
      </w:r>
      <w:r w:rsidRPr="0011367E">
        <w:rPr>
          <w:rFonts w:ascii="Arial" w:eastAsia="Times New Roman" w:hAnsi="Arial" w:cs="Arial"/>
          <w:i/>
          <w:iCs/>
          <w:color w:val="222222"/>
          <w:sz w:val="20"/>
          <w:szCs w:val="20"/>
          <w:lang w:val="en-GB" w:eastAsia="en-GB"/>
        </w:rPr>
        <w:t>Value in Health</w:t>
      </w:r>
      <w:r w:rsidRPr="0011367E">
        <w:rPr>
          <w:rFonts w:ascii="Arial" w:eastAsia="Times New Roman" w:hAnsi="Arial" w:cs="Arial"/>
          <w:color w:val="222222"/>
          <w:sz w:val="20"/>
          <w:szCs w:val="20"/>
          <w:lang w:val="en-GB" w:eastAsia="en-GB"/>
        </w:rPr>
        <w:t xml:space="preserve">, </w:t>
      </w:r>
      <w:r w:rsidRPr="0011367E">
        <w:rPr>
          <w:rFonts w:ascii="Arial" w:eastAsia="Times New Roman" w:hAnsi="Arial" w:cs="Arial"/>
          <w:i/>
          <w:iCs/>
          <w:color w:val="222222"/>
          <w:sz w:val="20"/>
          <w:szCs w:val="20"/>
          <w:lang w:val="en-GB" w:eastAsia="en-GB"/>
        </w:rPr>
        <w:t>12</w:t>
      </w:r>
      <w:r w:rsidRPr="0011367E">
        <w:rPr>
          <w:rFonts w:ascii="Arial" w:eastAsia="Times New Roman" w:hAnsi="Arial" w:cs="Arial"/>
          <w:color w:val="222222"/>
          <w:sz w:val="20"/>
          <w:szCs w:val="20"/>
          <w:lang w:val="en-GB" w:eastAsia="en-GB"/>
        </w:rPr>
        <w:t>(s1), S31-S35.</w:t>
      </w:r>
    </w:p>
    <w:p w14:paraId="6AC54F4C" w14:textId="77777777" w:rsidR="003F0968" w:rsidRDefault="003F0968" w:rsidP="003F0968">
      <w:pPr>
        <w:rPr>
          <w:rFonts w:ascii="Arial" w:eastAsia="Times New Roman" w:hAnsi="Arial" w:cs="Arial"/>
          <w:color w:val="222222"/>
          <w:sz w:val="20"/>
          <w:szCs w:val="20"/>
          <w:lang w:val="en-GB" w:eastAsia="en-GB"/>
        </w:rPr>
      </w:pPr>
    </w:p>
    <w:p w14:paraId="2E7FF3D2" w14:textId="1EF9C515" w:rsidR="003F0968" w:rsidRDefault="003F0968" w:rsidP="003F0968">
      <w:pPr>
        <w:rPr>
          <w:rFonts w:ascii="Arial" w:eastAsia="Times New Roman" w:hAnsi="Arial" w:cs="Arial"/>
          <w:color w:val="222222"/>
          <w:sz w:val="20"/>
          <w:szCs w:val="20"/>
          <w:lang w:val="en-GB" w:eastAsia="en-GB"/>
        </w:rPr>
      </w:pPr>
      <w:r w:rsidRPr="00157FF9">
        <w:t>D</w:t>
      </w:r>
      <w:r w:rsidRPr="00095B17">
        <w:rPr>
          <w:rFonts w:ascii="Arial" w:eastAsia="Times New Roman" w:hAnsi="Arial" w:cs="Arial"/>
          <w:color w:val="222222"/>
          <w:sz w:val="20"/>
          <w:szCs w:val="20"/>
          <w:lang w:val="en-GB" w:eastAsia="en-GB"/>
        </w:rPr>
        <w:t>rummond MF., Sculpher MJ., Claxton K., Stoddart GL. and Torrance GW (2015</w:t>
      </w:r>
      <w:r w:rsidR="00444B21" w:rsidRPr="00095B17">
        <w:rPr>
          <w:rFonts w:ascii="Arial" w:eastAsia="Times New Roman" w:hAnsi="Arial" w:cs="Arial"/>
          <w:color w:val="222222"/>
          <w:sz w:val="20"/>
          <w:szCs w:val="20"/>
          <w:lang w:val="en-GB" w:eastAsia="en-GB"/>
        </w:rPr>
        <w:t>), Methods</w:t>
      </w:r>
      <w:r w:rsidRPr="00095B17">
        <w:rPr>
          <w:rFonts w:ascii="Arial" w:eastAsia="Times New Roman" w:hAnsi="Arial" w:cs="Arial"/>
          <w:color w:val="222222"/>
          <w:sz w:val="20"/>
          <w:szCs w:val="20"/>
          <w:lang w:val="en-GB" w:eastAsia="en-GB"/>
        </w:rPr>
        <w:t xml:space="preserve"> for the economic evaluation of health care programmes (4th edition), Oxford Medical Publications</w:t>
      </w:r>
    </w:p>
    <w:p w14:paraId="7DB997A0" w14:textId="77777777" w:rsidR="003F0968" w:rsidRDefault="003F0968" w:rsidP="003F0968">
      <w:pPr>
        <w:rPr>
          <w:rFonts w:ascii="Arial" w:eastAsia="Times New Roman" w:hAnsi="Arial" w:cs="Arial"/>
          <w:color w:val="222222"/>
          <w:sz w:val="20"/>
          <w:szCs w:val="20"/>
          <w:lang w:val="en-GB" w:eastAsia="en-GB"/>
        </w:rPr>
      </w:pPr>
    </w:p>
    <w:p w14:paraId="53FADB3F" w14:textId="77777777" w:rsidR="003F0968" w:rsidRDefault="003F0968" w:rsidP="003F0968">
      <w:pPr>
        <w:rPr>
          <w:rFonts w:ascii="Arial" w:eastAsia="Times New Roman" w:hAnsi="Arial" w:cs="Arial"/>
          <w:color w:val="222222"/>
          <w:sz w:val="20"/>
          <w:szCs w:val="20"/>
          <w:lang w:val="en-GB" w:eastAsia="en-GB"/>
        </w:rPr>
      </w:pPr>
      <w:r w:rsidRPr="001761C0">
        <w:rPr>
          <w:rFonts w:ascii="Arial" w:eastAsia="Times New Roman" w:hAnsi="Arial" w:cs="Arial"/>
          <w:color w:val="222222"/>
          <w:sz w:val="20"/>
          <w:szCs w:val="20"/>
          <w:lang w:val="en-GB" w:eastAsia="en-GB"/>
        </w:rPr>
        <w:t>Edejer, T. T. T. (2003). Making choices in health: WHO guide to cost-effectiveness analysis (Vol. 1). World Health Organization.</w:t>
      </w:r>
    </w:p>
    <w:p w14:paraId="7D80CD22" w14:textId="77777777" w:rsidR="005A71CA" w:rsidRDefault="005A71CA" w:rsidP="003F0968">
      <w:pPr>
        <w:rPr>
          <w:rFonts w:ascii="Arial" w:eastAsia="Times New Roman" w:hAnsi="Arial" w:cs="Arial"/>
          <w:color w:val="222222"/>
          <w:sz w:val="20"/>
          <w:szCs w:val="20"/>
          <w:lang w:val="en-GB" w:eastAsia="en-GB"/>
        </w:rPr>
      </w:pPr>
    </w:p>
    <w:p w14:paraId="34B0670E" w14:textId="77777777" w:rsidR="005A71CA" w:rsidRPr="003F0968" w:rsidRDefault="005A71CA" w:rsidP="005A71CA">
      <w:pPr>
        <w:rPr>
          <w:rFonts w:ascii="Arial" w:eastAsia="Times New Roman" w:hAnsi="Arial" w:cs="Arial"/>
          <w:color w:val="222222"/>
          <w:sz w:val="20"/>
          <w:szCs w:val="20"/>
          <w:lang w:val="en-GB" w:eastAsia="en-GB"/>
        </w:rPr>
      </w:pPr>
      <w:r w:rsidRPr="003F0968">
        <w:rPr>
          <w:rFonts w:ascii="Arial" w:eastAsia="Times New Roman" w:hAnsi="Arial" w:cs="Arial"/>
          <w:color w:val="222222"/>
          <w:sz w:val="20"/>
          <w:szCs w:val="20"/>
          <w:lang w:val="en-GB" w:eastAsia="en-GB"/>
        </w:rPr>
        <w:t>Eldessouki R, Smith MD, Health Care System Information Sharing: A Step Toward Better Health Globally. Value Health Regional Issues 2012; 1:118-129</w:t>
      </w:r>
    </w:p>
    <w:p w14:paraId="16129A0B" w14:textId="77777777" w:rsidR="003F0968" w:rsidRDefault="003F0968" w:rsidP="003F0968">
      <w:pPr>
        <w:rPr>
          <w:rFonts w:ascii="Arial" w:eastAsia="Times New Roman" w:hAnsi="Arial" w:cs="Arial"/>
          <w:color w:val="222222"/>
          <w:sz w:val="20"/>
          <w:szCs w:val="20"/>
          <w:lang w:val="en-GB" w:eastAsia="en-GB"/>
        </w:rPr>
      </w:pPr>
    </w:p>
    <w:p w14:paraId="62AC5AD5" w14:textId="77777777" w:rsidR="003F0968" w:rsidRDefault="003F0968" w:rsidP="003F0968">
      <w:pPr>
        <w:rPr>
          <w:rFonts w:ascii="Arial" w:eastAsia="Times New Roman" w:hAnsi="Arial" w:cs="Arial"/>
          <w:color w:val="222222"/>
          <w:sz w:val="20"/>
          <w:szCs w:val="20"/>
          <w:lang w:val="en-GB" w:eastAsia="en-GB"/>
        </w:rPr>
      </w:pPr>
      <w:r w:rsidRPr="0011367E">
        <w:rPr>
          <w:rFonts w:ascii="Arial" w:eastAsia="Times New Roman" w:hAnsi="Arial" w:cs="Arial"/>
          <w:color w:val="222222"/>
          <w:sz w:val="20"/>
          <w:szCs w:val="20"/>
          <w:lang w:val="en-GB" w:eastAsia="en-GB"/>
        </w:rPr>
        <w:t xml:space="preserve">Gold, M. R., Stevenson, D., &amp; Fryback, D. G. (2002). HALYS and QALYS and DALYS, Oh My: similarities and differences in summary measures of population Health. </w:t>
      </w:r>
      <w:r w:rsidRPr="0011367E">
        <w:rPr>
          <w:rFonts w:ascii="Arial" w:eastAsia="Times New Roman" w:hAnsi="Arial" w:cs="Arial"/>
          <w:i/>
          <w:iCs/>
          <w:color w:val="222222"/>
          <w:sz w:val="20"/>
          <w:szCs w:val="20"/>
          <w:lang w:val="en-GB" w:eastAsia="en-GB"/>
        </w:rPr>
        <w:t>Annual Review of Public Health</w:t>
      </w:r>
      <w:r w:rsidRPr="0011367E">
        <w:rPr>
          <w:rFonts w:ascii="Arial" w:eastAsia="Times New Roman" w:hAnsi="Arial" w:cs="Arial"/>
          <w:color w:val="222222"/>
          <w:sz w:val="20"/>
          <w:szCs w:val="20"/>
          <w:lang w:val="en-GB" w:eastAsia="en-GB"/>
        </w:rPr>
        <w:t xml:space="preserve">, </w:t>
      </w:r>
      <w:r w:rsidRPr="0011367E">
        <w:rPr>
          <w:rFonts w:ascii="Arial" w:eastAsia="Times New Roman" w:hAnsi="Arial" w:cs="Arial"/>
          <w:i/>
          <w:iCs/>
          <w:color w:val="222222"/>
          <w:sz w:val="20"/>
          <w:szCs w:val="20"/>
          <w:lang w:val="en-GB" w:eastAsia="en-GB"/>
        </w:rPr>
        <w:t>23</w:t>
      </w:r>
      <w:r w:rsidRPr="0011367E">
        <w:rPr>
          <w:rFonts w:ascii="Arial" w:eastAsia="Times New Roman" w:hAnsi="Arial" w:cs="Arial"/>
          <w:color w:val="222222"/>
          <w:sz w:val="20"/>
          <w:szCs w:val="20"/>
          <w:lang w:val="en-GB" w:eastAsia="en-GB"/>
        </w:rPr>
        <w:t>(1), 115-134.</w:t>
      </w:r>
    </w:p>
    <w:p w14:paraId="0925781F" w14:textId="77777777" w:rsidR="003F0968" w:rsidRPr="001761C0" w:rsidRDefault="003F0968" w:rsidP="003F0968">
      <w:pPr>
        <w:rPr>
          <w:rFonts w:ascii="Arial" w:eastAsia="Times New Roman" w:hAnsi="Arial" w:cs="Arial"/>
          <w:color w:val="222222"/>
          <w:sz w:val="20"/>
          <w:szCs w:val="20"/>
          <w:lang w:val="en-GB" w:eastAsia="en-GB"/>
        </w:rPr>
      </w:pPr>
    </w:p>
    <w:p w14:paraId="7D7DEF76" w14:textId="77777777" w:rsidR="003F0968" w:rsidRDefault="003F0968" w:rsidP="003F0968">
      <w:pPr>
        <w:rPr>
          <w:rFonts w:ascii="Arial" w:eastAsia="Times New Roman" w:hAnsi="Arial" w:cs="Arial"/>
          <w:color w:val="222222"/>
          <w:sz w:val="20"/>
          <w:szCs w:val="20"/>
          <w:lang w:val="en-GB" w:eastAsia="en-GB"/>
        </w:rPr>
      </w:pPr>
      <w:r w:rsidRPr="001761C0">
        <w:rPr>
          <w:rFonts w:ascii="Arial" w:eastAsia="Times New Roman" w:hAnsi="Arial" w:cs="Arial"/>
          <w:color w:val="222222"/>
          <w:sz w:val="20"/>
          <w:szCs w:val="20"/>
          <w:lang w:val="en-GB" w:eastAsia="en-GB"/>
        </w:rPr>
        <w:t>Gold, M. R., Russell, L. B., Siegel, J. E., Weinstein, M. C. (1996). Cost-effectiveness in health and medicine. New York: Oxford University, 55.</w:t>
      </w:r>
    </w:p>
    <w:p w14:paraId="180E946E" w14:textId="77777777" w:rsidR="003F0968" w:rsidRDefault="003F0968" w:rsidP="003F0968">
      <w:pPr>
        <w:rPr>
          <w:rFonts w:ascii="Arial" w:eastAsia="Times New Roman" w:hAnsi="Arial" w:cs="Arial"/>
          <w:color w:val="222222"/>
          <w:sz w:val="20"/>
          <w:szCs w:val="20"/>
          <w:lang w:val="en-GB" w:eastAsia="en-GB"/>
        </w:rPr>
      </w:pPr>
    </w:p>
    <w:p w14:paraId="0260FC0F" w14:textId="64EDBFE8" w:rsidR="003F0968" w:rsidRDefault="003F0968" w:rsidP="003F0968">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Gray AM, Clarke PM, Wolstenholme JL, Wordsworth S. (2011). Applied Methods of Cost-Effectiveness Analysis in Health Care. Oxford University Press.  </w:t>
      </w:r>
    </w:p>
    <w:p w14:paraId="4234097B" w14:textId="77777777" w:rsidR="003C3D27" w:rsidRDefault="003C3D27" w:rsidP="003F0968">
      <w:pPr>
        <w:rPr>
          <w:rFonts w:ascii="Arial" w:eastAsia="Times New Roman" w:hAnsi="Arial" w:cs="Arial"/>
          <w:color w:val="222222"/>
          <w:sz w:val="20"/>
          <w:szCs w:val="20"/>
          <w:lang w:val="en-GB" w:eastAsia="en-GB"/>
        </w:rPr>
      </w:pPr>
    </w:p>
    <w:p w14:paraId="615C92D7" w14:textId="667CF752" w:rsidR="003C3D27" w:rsidRPr="001761C0" w:rsidRDefault="003C3D27" w:rsidP="003F0968">
      <w:pPr>
        <w:rPr>
          <w:rFonts w:ascii="Arial" w:eastAsia="Times New Roman" w:hAnsi="Arial" w:cs="Arial"/>
          <w:color w:val="222222"/>
          <w:sz w:val="20"/>
          <w:szCs w:val="20"/>
          <w:lang w:val="en-GB" w:eastAsia="en-GB"/>
        </w:rPr>
      </w:pPr>
      <w:r w:rsidRPr="003C3D27">
        <w:rPr>
          <w:rFonts w:ascii="Arial" w:eastAsia="Times New Roman" w:hAnsi="Arial" w:cs="Arial"/>
          <w:color w:val="222222"/>
          <w:sz w:val="20"/>
          <w:szCs w:val="20"/>
          <w:lang w:val="en-GB" w:eastAsia="en-GB"/>
        </w:rPr>
        <w:t>Husereau, D., Drummond, M., Petrou, S., Carswell, C., Moher, D., Greenberg, D., ... &amp; Loder, E. (2013). Consolidated health economic evaluation reporting standards (CHEERS) statement. BMC medicine, 11(1), 80.</w:t>
      </w:r>
    </w:p>
    <w:p w14:paraId="1A289BEB" w14:textId="77777777" w:rsidR="002C2144" w:rsidRDefault="002C2144" w:rsidP="00B6581B">
      <w:pPr>
        <w:rPr>
          <w:rFonts w:ascii="Arial" w:eastAsia="Times New Roman" w:hAnsi="Arial" w:cs="Arial"/>
          <w:color w:val="222222"/>
          <w:sz w:val="20"/>
          <w:szCs w:val="20"/>
          <w:lang w:val="en-GB" w:eastAsia="en-GB"/>
        </w:rPr>
      </w:pPr>
    </w:p>
    <w:p w14:paraId="22F25559" w14:textId="5B9DC131" w:rsidR="002C2144" w:rsidRDefault="002C2144" w:rsidP="00B6581B">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International </w:t>
      </w:r>
      <w:r w:rsidR="00444B21">
        <w:rPr>
          <w:rFonts w:ascii="Arial" w:eastAsia="Times New Roman" w:hAnsi="Arial" w:cs="Arial"/>
          <w:color w:val="222222"/>
          <w:sz w:val="20"/>
          <w:szCs w:val="20"/>
          <w:lang w:val="en-GB" w:eastAsia="en-GB"/>
        </w:rPr>
        <w:t>Decision</w:t>
      </w:r>
      <w:r>
        <w:rPr>
          <w:rFonts w:ascii="Arial" w:eastAsia="Times New Roman" w:hAnsi="Arial" w:cs="Arial"/>
          <w:color w:val="222222"/>
          <w:sz w:val="20"/>
          <w:szCs w:val="20"/>
          <w:lang w:val="en-GB" w:eastAsia="en-GB"/>
        </w:rPr>
        <w:t xml:space="preserve"> Support Initiative (iDSI) 2015a. The Reference Case for Economic </w:t>
      </w:r>
      <w:r w:rsidR="00444B21">
        <w:rPr>
          <w:rFonts w:ascii="Arial" w:eastAsia="Times New Roman" w:hAnsi="Arial" w:cs="Arial"/>
          <w:color w:val="222222"/>
          <w:sz w:val="20"/>
          <w:szCs w:val="20"/>
          <w:lang w:val="en-GB" w:eastAsia="en-GB"/>
        </w:rPr>
        <w:t>Evaluation</w:t>
      </w:r>
      <w:r>
        <w:rPr>
          <w:rFonts w:ascii="Arial" w:eastAsia="Times New Roman" w:hAnsi="Arial" w:cs="Arial"/>
          <w:color w:val="222222"/>
          <w:sz w:val="20"/>
          <w:szCs w:val="20"/>
          <w:lang w:val="en-GB" w:eastAsia="en-GB"/>
        </w:rPr>
        <w:t xml:space="preserve">. Accessed January 2015.  </w:t>
      </w:r>
      <w:hyperlink r:id="rId20" w:history="1">
        <w:r w:rsidRPr="0060546E">
          <w:rPr>
            <w:rStyle w:val="Hyperlink"/>
          </w:rPr>
          <w:t>www.idsihealth.org/knowledge_base/the-reference-case-for-economic-evaluation</w:t>
        </w:r>
      </w:hyperlink>
    </w:p>
    <w:p w14:paraId="565BDF41" w14:textId="77777777" w:rsidR="002C2144" w:rsidRDefault="002C2144" w:rsidP="00B6581B">
      <w:pPr>
        <w:rPr>
          <w:rFonts w:ascii="Arial" w:eastAsia="Times New Roman" w:hAnsi="Arial" w:cs="Arial"/>
          <w:color w:val="222222"/>
          <w:sz w:val="20"/>
          <w:szCs w:val="20"/>
          <w:lang w:val="en-GB" w:eastAsia="en-GB"/>
        </w:rPr>
      </w:pPr>
    </w:p>
    <w:p w14:paraId="51C08A86" w14:textId="56DE3274" w:rsidR="00245115" w:rsidRPr="00B6581B" w:rsidRDefault="00496FC7" w:rsidP="00B6581B">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International </w:t>
      </w:r>
      <w:r w:rsidR="00444B21">
        <w:rPr>
          <w:rFonts w:ascii="Arial" w:eastAsia="Times New Roman" w:hAnsi="Arial" w:cs="Arial"/>
          <w:color w:val="222222"/>
          <w:sz w:val="20"/>
          <w:szCs w:val="20"/>
          <w:lang w:val="en-GB" w:eastAsia="en-GB"/>
        </w:rPr>
        <w:t>Decision</w:t>
      </w:r>
      <w:r>
        <w:rPr>
          <w:rFonts w:ascii="Arial" w:eastAsia="Times New Roman" w:hAnsi="Arial" w:cs="Arial"/>
          <w:color w:val="222222"/>
          <w:sz w:val="20"/>
          <w:szCs w:val="20"/>
          <w:lang w:val="en-GB" w:eastAsia="en-GB"/>
        </w:rPr>
        <w:t xml:space="preserve"> Support Initiative (iDSI) 2015</w:t>
      </w:r>
      <w:r w:rsidR="002C2144">
        <w:rPr>
          <w:rFonts w:ascii="Arial" w:eastAsia="Times New Roman" w:hAnsi="Arial" w:cs="Arial"/>
          <w:color w:val="222222"/>
          <w:sz w:val="20"/>
          <w:szCs w:val="20"/>
          <w:lang w:val="en-GB" w:eastAsia="en-GB"/>
        </w:rPr>
        <w:t>b</w:t>
      </w:r>
      <w:r>
        <w:rPr>
          <w:rFonts w:ascii="Arial" w:eastAsia="Times New Roman" w:hAnsi="Arial" w:cs="Arial"/>
          <w:color w:val="222222"/>
          <w:sz w:val="20"/>
          <w:szCs w:val="20"/>
          <w:lang w:val="en-GB" w:eastAsia="en-GB"/>
        </w:rPr>
        <w:t xml:space="preserve">. </w:t>
      </w:r>
      <w:r w:rsidRPr="00B6581B">
        <w:rPr>
          <w:rFonts w:ascii="Arial" w:eastAsia="Times New Roman" w:hAnsi="Arial" w:cs="Arial"/>
          <w:color w:val="222222"/>
          <w:sz w:val="20"/>
          <w:szCs w:val="20"/>
          <w:lang w:val="en-GB" w:eastAsia="en-GB"/>
        </w:rPr>
        <w:t>Determining Value from Healthcare Spending:</w:t>
      </w:r>
      <w:r w:rsidRPr="00B6581B">
        <w:rPr>
          <w:rFonts w:ascii="Arial" w:eastAsia="Times New Roman" w:hAnsi="Arial" w:cs="Arial"/>
          <w:color w:val="222222"/>
          <w:sz w:val="20"/>
          <w:szCs w:val="20"/>
          <w:lang w:val="en-GB" w:eastAsia="en-GB"/>
        </w:rPr>
        <w:br/>
        <w:t>The Role of Cost-Effectiveness Thresholds</w:t>
      </w:r>
      <w:r>
        <w:rPr>
          <w:rFonts w:ascii="Arial" w:eastAsia="Times New Roman" w:hAnsi="Arial" w:cs="Arial"/>
          <w:color w:val="222222"/>
          <w:sz w:val="20"/>
          <w:szCs w:val="20"/>
          <w:lang w:val="en-GB" w:eastAsia="en-GB"/>
        </w:rPr>
        <w:t xml:space="preserve">. Accessed August 2015. </w:t>
      </w:r>
      <w:hyperlink r:id="rId21" w:history="1">
        <w:r w:rsidR="00245115" w:rsidRPr="0036650E">
          <w:rPr>
            <w:rStyle w:val="Hyperlink"/>
            <w:rFonts w:ascii="Arial" w:eastAsia="Times New Roman" w:hAnsi="Arial" w:cs="Arial"/>
            <w:sz w:val="20"/>
            <w:szCs w:val="20"/>
            <w:lang w:val="en-GB" w:eastAsia="en-GB"/>
          </w:rPr>
          <w:t>www.idsihealth.org/knowledge_base/cost-effectiveness-thresholds/</w:t>
        </w:r>
      </w:hyperlink>
    </w:p>
    <w:p w14:paraId="2AA97050" w14:textId="77777777" w:rsidR="00496FC7" w:rsidRDefault="00496FC7" w:rsidP="003F0968">
      <w:pPr>
        <w:rPr>
          <w:rFonts w:ascii="Arial" w:eastAsia="Times New Roman" w:hAnsi="Arial" w:cs="Arial"/>
          <w:color w:val="222222"/>
          <w:sz w:val="20"/>
          <w:szCs w:val="20"/>
          <w:lang w:val="en-GB" w:eastAsia="en-GB"/>
        </w:rPr>
      </w:pPr>
    </w:p>
    <w:p w14:paraId="45C5ABC6" w14:textId="77777777" w:rsidR="005A71CA" w:rsidRPr="008A2BFA" w:rsidRDefault="005A71CA" w:rsidP="005A71CA">
      <w:pPr>
        <w:rPr>
          <w:rFonts w:ascii="Arial" w:eastAsia="Times New Roman" w:hAnsi="Arial" w:cs="Arial"/>
          <w:color w:val="222222"/>
          <w:sz w:val="20"/>
          <w:szCs w:val="20"/>
          <w:lang w:val="en-GB" w:eastAsia="en-GB"/>
        </w:rPr>
      </w:pPr>
      <w:r w:rsidRPr="008A2BFA">
        <w:rPr>
          <w:rFonts w:ascii="Arial" w:eastAsia="Times New Roman" w:hAnsi="Arial" w:cs="Arial"/>
          <w:color w:val="222222"/>
          <w:sz w:val="20"/>
          <w:szCs w:val="20"/>
          <w:lang w:val="en-GB" w:eastAsia="en-GB"/>
        </w:rPr>
        <w:t xml:space="preserve">Karlsson, G., &amp; Johannesson, M. (1996). The decision rules of cost-effectiveness analysis. </w:t>
      </w:r>
      <w:r w:rsidRPr="008A2BFA">
        <w:rPr>
          <w:rFonts w:ascii="Arial" w:eastAsia="Times New Roman" w:hAnsi="Arial" w:cs="Arial"/>
          <w:i/>
          <w:iCs/>
          <w:color w:val="222222"/>
          <w:sz w:val="20"/>
          <w:szCs w:val="20"/>
          <w:lang w:val="en-GB" w:eastAsia="en-GB"/>
        </w:rPr>
        <w:t>Pharmacoeconomics</w:t>
      </w:r>
      <w:r w:rsidRPr="008A2BFA">
        <w:rPr>
          <w:rFonts w:ascii="Arial" w:eastAsia="Times New Roman" w:hAnsi="Arial" w:cs="Arial"/>
          <w:color w:val="222222"/>
          <w:sz w:val="20"/>
          <w:szCs w:val="20"/>
          <w:lang w:val="en-GB" w:eastAsia="en-GB"/>
        </w:rPr>
        <w:t xml:space="preserve">, </w:t>
      </w:r>
      <w:r w:rsidRPr="008A2BFA">
        <w:rPr>
          <w:rFonts w:ascii="Arial" w:eastAsia="Times New Roman" w:hAnsi="Arial" w:cs="Arial"/>
          <w:i/>
          <w:iCs/>
          <w:color w:val="222222"/>
          <w:sz w:val="20"/>
          <w:szCs w:val="20"/>
          <w:lang w:val="en-GB" w:eastAsia="en-GB"/>
        </w:rPr>
        <w:t>9</w:t>
      </w:r>
      <w:r w:rsidRPr="008A2BFA">
        <w:rPr>
          <w:rFonts w:ascii="Arial" w:eastAsia="Times New Roman" w:hAnsi="Arial" w:cs="Arial"/>
          <w:color w:val="222222"/>
          <w:sz w:val="20"/>
          <w:szCs w:val="20"/>
          <w:lang w:val="en-GB" w:eastAsia="en-GB"/>
        </w:rPr>
        <w:t>(2), 113-120.</w:t>
      </w:r>
    </w:p>
    <w:p w14:paraId="784D3A62" w14:textId="77777777" w:rsidR="005A71CA" w:rsidRDefault="005A71CA" w:rsidP="003F0968">
      <w:pPr>
        <w:rPr>
          <w:rFonts w:ascii="Arial" w:eastAsia="Times New Roman" w:hAnsi="Arial" w:cs="Arial"/>
          <w:color w:val="222222"/>
          <w:sz w:val="20"/>
          <w:szCs w:val="20"/>
          <w:lang w:val="en-GB" w:eastAsia="en-GB"/>
        </w:rPr>
      </w:pPr>
    </w:p>
    <w:p w14:paraId="65416CB7" w14:textId="1B204D37" w:rsidR="005A71CA" w:rsidRDefault="005A71CA" w:rsidP="003F0968">
      <w:pPr>
        <w:rPr>
          <w:rFonts w:ascii="Arial" w:eastAsia="Times New Roman" w:hAnsi="Arial" w:cs="Arial"/>
          <w:color w:val="222222"/>
          <w:sz w:val="20"/>
          <w:szCs w:val="20"/>
          <w:lang w:val="en-GB" w:eastAsia="en-GB"/>
        </w:rPr>
      </w:pPr>
      <w:r w:rsidRPr="0011367E">
        <w:rPr>
          <w:rFonts w:ascii="Arial" w:eastAsia="Times New Roman" w:hAnsi="Arial" w:cs="Arial"/>
          <w:color w:val="222222"/>
          <w:sz w:val="20"/>
          <w:szCs w:val="20"/>
          <w:lang w:val="en-GB" w:eastAsia="en-GB"/>
        </w:rPr>
        <w:lastRenderedPageBreak/>
        <w:t xml:space="preserve">Lipscomb, J., Drummond, M., Fryback, D., Gold, M., &amp; Revicki, D. (2009). Retaining, and enhancing, the QALY. </w:t>
      </w:r>
      <w:r w:rsidRPr="0011367E">
        <w:rPr>
          <w:rFonts w:ascii="Arial" w:eastAsia="Times New Roman" w:hAnsi="Arial" w:cs="Arial"/>
          <w:i/>
          <w:iCs/>
          <w:color w:val="222222"/>
          <w:sz w:val="20"/>
          <w:szCs w:val="20"/>
          <w:lang w:val="en-GB" w:eastAsia="en-GB"/>
        </w:rPr>
        <w:t>Value in Health</w:t>
      </w:r>
      <w:r w:rsidRPr="0011367E">
        <w:rPr>
          <w:rFonts w:ascii="Arial" w:eastAsia="Times New Roman" w:hAnsi="Arial" w:cs="Arial"/>
          <w:color w:val="222222"/>
          <w:sz w:val="20"/>
          <w:szCs w:val="20"/>
          <w:lang w:val="en-GB" w:eastAsia="en-GB"/>
        </w:rPr>
        <w:t xml:space="preserve">, </w:t>
      </w:r>
      <w:r w:rsidRPr="0011367E">
        <w:rPr>
          <w:rFonts w:ascii="Arial" w:eastAsia="Times New Roman" w:hAnsi="Arial" w:cs="Arial"/>
          <w:i/>
          <w:iCs/>
          <w:color w:val="222222"/>
          <w:sz w:val="20"/>
          <w:szCs w:val="20"/>
          <w:lang w:val="en-GB" w:eastAsia="en-GB"/>
        </w:rPr>
        <w:t>12</w:t>
      </w:r>
      <w:r>
        <w:rPr>
          <w:rFonts w:ascii="Arial" w:eastAsia="Times New Roman" w:hAnsi="Arial" w:cs="Arial"/>
          <w:color w:val="222222"/>
          <w:sz w:val="20"/>
          <w:szCs w:val="20"/>
          <w:lang w:val="en-GB" w:eastAsia="en-GB"/>
        </w:rPr>
        <w:t>(s1), S18-S26.</w:t>
      </w:r>
    </w:p>
    <w:p w14:paraId="19F4A5FD" w14:textId="77777777" w:rsidR="005A71CA" w:rsidRDefault="005A71CA" w:rsidP="003F0968">
      <w:pPr>
        <w:rPr>
          <w:rFonts w:ascii="Arial" w:eastAsia="Times New Roman" w:hAnsi="Arial" w:cs="Arial"/>
          <w:color w:val="222222"/>
          <w:sz w:val="20"/>
          <w:szCs w:val="20"/>
          <w:lang w:val="en-GB" w:eastAsia="en-GB"/>
        </w:rPr>
      </w:pPr>
    </w:p>
    <w:p w14:paraId="491BF58F" w14:textId="77777777" w:rsidR="005A71CA" w:rsidRDefault="005A71CA" w:rsidP="005A71CA">
      <w:pPr>
        <w:rPr>
          <w:rFonts w:ascii="Arial" w:eastAsia="Times New Roman" w:hAnsi="Arial" w:cs="Arial"/>
          <w:color w:val="222222"/>
          <w:sz w:val="20"/>
          <w:szCs w:val="20"/>
          <w:lang w:val="en-GB" w:eastAsia="en-GB"/>
        </w:rPr>
      </w:pPr>
      <w:r w:rsidRPr="00D7182C">
        <w:rPr>
          <w:rFonts w:ascii="Arial" w:eastAsia="Times New Roman" w:hAnsi="Arial" w:cs="Arial"/>
          <w:color w:val="222222"/>
          <w:sz w:val="20"/>
          <w:szCs w:val="20"/>
          <w:lang w:val="en-GB" w:eastAsia="en-GB"/>
        </w:rPr>
        <w:t xml:space="preserve">Moller, Lars Christian. 2015. </w:t>
      </w:r>
      <w:r>
        <w:rPr>
          <w:rFonts w:ascii="Arial" w:eastAsia="Times New Roman" w:hAnsi="Arial" w:cs="Arial"/>
          <w:color w:val="222222"/>
          <w:sz w:val="20"/>
          <w:szCs w:val="20"/>
          <w:lang w:val="en-GB" w:eastAsia="en-GB"/>
        </w:rPr>
        <w:t>Ethiopia’s great run</w:t>
      </w:r>
      <w:r w:rsidRPr="00D7182C">
        <w:rPr>
          <w:rFonts w:ascii="Arial" w:eastAsia="Times New Roman" w:hAnsi="Arial" w:cs="Arial"/>
          <w:color w:val="222222"/>
          <w:sz w:val="20"/>
          <w:szCs w:val="20"/>
          <w:lang w:val="en-GB" w:eastAsia="en-GB"/>
        </w:rPr>
        <w:t>: the growth acceleration and how to pace it. Washi</w:t>
      </w:r>
      <w:r>
        <w:rPr>
          <w:rFonts w:ascii="Arial" w:eastAsia="Times New Roman" w:hAnsi="Arial" w:cs="Arial"/>
          <w:color w:val="222222"/>
          <w:sz w:val="20"/>
          <w:szCs w:val="20"/>
          <w:lang w:val="en-GB" w:eastAsia="en-GB"/>
        </w:rPr>
        <w:t>ngton, D.C. World Bank Group.</w:t>
      </w:r>
    </w:p>
    <w:p w14:paraId="50A83F32" w14:textId="77777777" w:rsidR="005A71CA" w:rsidRDefault="005A71CA" w:rsidP="005A71CA">
      <w:pPr>
        <w:rPr>
          <w:rFonts w:ascii="Arial" w:eastAsia="Times New Roman" w:hAnsi="Arial" w:cs="Arial"/>
          <w:color w:val="222222"/>
          <w:sz w:val="20"/>
          <w:szCs w:val="20"/>
          <w:lang w:val="en-GB" w:eastAsia="en-GB"/>
        </w:rPr>
      </w:pPr>
    </w:p>
    <w:p w14:paraId="618D4F9B" w14:textId="77777777" w:rsidR="005A71CA" w:rsidRPr="009F7DFF" w:rsidRDefault="005A71CA" w:rsidP="005A71CA">
      <w:pPr>
        <w:rPr>
          <w:rFonts w:ascii="Arial" w:eastAsia="Times New Roman" w:hAnsi="Arial" w:cs="Arial"/>
          <w:color w:val="222222"/>
          <w:sz w:val="20"/>
          <w:szCs w:val="20"/>
          <w:lang w:val="en-GB" w:eastAsia="en-GB"/>
        </w:rPr>
      </w:pPr>
      <w:r w:rsidRPr="009F7DFF">
        <w:rPr>
          <w:rFonts w:ascii="Arial" w:eastAsia="Times New Roman" w:hAnsi="Arial" w:cs="Arial"/>
          <w:color w:val="222222"/>
          <w:sz w:val="20"/>
          <w:szCs w:val="20"/>
          <w:lang w:val="en-GB" w:eastAsia="en-GB"/>
        </w:rPr>
        <w:t>Murray, C. J., &amp; Lopez, A. D. (1997). Alternative projections of mortality and disability by cause 1990–2020: Global Burden of Disease Study. The Lancet, 349(9064), 1498-1504.</w:t>
      </w:r>
    </w:p>
    <w:p w14:paraId="0533E379" w14:textId="77777777" w:rsidR="005A71CA" w:rsidRDefault="005A71CA" w:rsidP="005A71CA">
      <w:pPr>
        <w:rPr>
          <w:rFonts w:ascii="Arial" w:eastAsia="Times New Roman" w:hAnsi="Arial" w:cs="Arial"/>
          <w:color w:val="222222"/>
          <w:sz w:val="20"/>
          <w:szCs w:val="20"/>
          <w:lang w:eastAsia="en-GB"/>
        </w:rPr>
      </w:pPr>
    </w:p>
    <w:p w14:paraId="32AA5D98" w14:textId="77777777" w:rsidR="005A71CA" w:rsidRPr="00A33F21" w:rsidRDefault="005A71CA" w:rsidP="005A71CA">
      <w:pPr>
        <w:rPr>
          <w:rFonts w:ascii="Arial" w:eastAsia="Times New Roman" w:hAnsi="Arial" w:cs="Arial"/>
          <w:color w:val="222222"/>
          <w:sz w:val="20"/>
          <w:szCs w:val="20"/>
          <w:lang w:val="en-GB" w:eastAsia="en-GB"/>
        </w:rPr>
      </w:pPr>
      <w:r w:rsidRPr="006A2ED6">
        <w:rPr>
          <w:rFonts w:ascii="Arial" w:eastAsia="Times New Roman" w:hAnsi="Arial" w:cs="Arial"/>
          <w:color w:val="222222"/>
          <w:sz w:val="20"/>
          <w:szCs w:val="20"/>
          <w:lang w:eastAsia="en-GB"/>
        </w:rPr>
        <w:t xml:space="preserve">Murray, C. J., et al. "Development of WHO guidelines on generalized cost-effectiveness analysis." </w:t>
      </w:r>
      <w:r w:rsidRPr="006A2ED6">
        <w:rPr>
          <w:rFonts w:ascii="Arial" w:eastAsia="Times New Roman" w:hAnsi="Arial" w:cs="Arial"/>
          <w:i/>
          <w:iCs/>
          <w:color w:val="222222"/>
          <w:sz w:val="20"/>
          <w:szCs w:val="20"/>
          <w:lang w:eastAsia="en-GB"/>
        </w:rPr>
        <w:t>Health economics</w:t>
      </w:r>
      <w:r w:rsidRPr="006A2ED6">
        <w:rPr>
          <w:rFonts w:ascii="Arial" w:eastAsia="Times New Roman" w:hAnsi="Arial" w:cs="Arial"/>
          <w:color w:val="222222"/>
          <w:sz w:val="20"/>
          <w:szCs w:val="20"/>
          <w:lang w:eastAsia="en-GB"/>
        </w:rPr>
        <w:t xml:space="preserve"> 9.3 (2000): 235-251</w:t>
      </w:r>
    </w:p>
    <w:p w14:paraId="07FE7D5C" w14:textId="77777777" w:rsidR="005A71CA" w:rsidRDefault="005A71CA" w:rsidP="003F0968">
      <w:pPr>
        <w:rPr>
          <w:rFonts w:ascii="Arial" w:eastAsia="Times New Roman" w:hAnsi="Arial" w:cs="Arial"/>
          <w:color w:val="222222"/>
          <w:sz w:val="20"/>
          <w:szCs w:val="20"/>
          <w:lang w:val="en-GB" w:eastAsia="en-GB"/>
        </w:rPr>
      </w:pPr>
    </w:p>
    <w:p w14:paraId="6B89F4A8" w14:textId="77777777" w:rsidR="003F0968" w:rsidRDefault="003F0968" w:rsidP="003F0968">
      <w:pPr>
        <w:rPr>
          <w:rFonts w:ascii="Arial" w:eastAsia="Times New Roman" w:hAnsi="Arial" w:cs="Arial"/>
          <w:color w:val="222222"/>
          <w:sz w:val="20"/>
          <w:szCs w:val="20"/>
          <w:lang w:val="en-GB" w:eastAsia="en-GB"/>
        </w:rPr>
      </w:pPr>
      <w:r w:rsidRPr="001761C0">
        <w:rPr>
          <w:rFonts w:ascii="Arial" w:eastAsia="Times New Roman" w:hAnsi="Arial" w:cs="Arial"/>
          <w:color w:val="222222"/>
          <w:sz w:val="20"/>
          <w:szCs w:val="20"/>
          <w:lang w:val="en-GB" w:eastAsia="en-GB"/>
        </w:rPr>
        <w:t>National Institute for Clinical Excellence. Scientific and social value judgements. London: NICE, 2004.</w:t>
      </w:r>
    </w:p>
    <w:p w14:paraId="7504F4F4" w14:textId="77777777" w:rsidR="009F7DFF" w:rsidRDefault="009F7DFF" w:rsidP="003F0968">
      <w:pPr>
        <w:rPr>
          <w:rFonts w:ascii="Arial" w:eastAsia="Times New Roman" w:hAnsi="Arial" w:cs="Arial"/>
          <w:color w:val="222222"/>
          <w:sz w:val="20"/>
          <w:szCs w:val="20"/>
          <w:lang w:val="en-GB" w:eastAsia="en-GB"/>
        </w:rPr>
      </w:pPr>
    </w:p>
    <w:p w14:paraId="5A362C73" w14:textId="1030836E" w:rsidR="009F7DFF" w:rsidRDefault="009F7DFF" w:rsidP="003F0968">
      <w:pPr>
        <w:rPr>
          <w:rFonts w:ascii="Arial" w:eastAsia="Times New Roman" w:hAnsi="Arial" w:cs="Arial"/>
          <w:color w:val="222222"/>
          <w:sz w:val="20"/>
          <w:szCs w:val="20"/>
          <w:lang w:val="en-GB" w:eastAsia="en-GB"/>
        </w:rPr>
      </w:pPr>
      <w:r w:rsidRPr="001761C0">
        <w:rPr>
          <w:rFonts w:ascii="Arial" w:eastAsia="Times New Roman" w:hAnsi="Arial" w:cs="Arial"/>
          <w:color w:val="222222"/>
          <w:sz w:val="20"/>
          <w:szCs w:val="20"/>
          <w:lang w:val="en-GB" w:eastAsia="en-GB"/>
        </w:rPr>
        <w:t xml:space="preserve">National Institute for </w:t>
      </w:r>
      <w:r>
        <w:rPr>
          <w:rFonts w:ascii="Arial" w:eastAsia="Times New Roman" w:hAnsi="Arial" w:cs="Arial"/>
          <w:color w:val="222222"/>
          <w:sz w:val="20"/>
          <w:szCs w:val="20"/>
          <w:lang w:val="en-GB" w:eastAsia="en-GB"/>
        </w:rPr>
        <w:t xml:space="preserve">Health and Care Excellence. Guide to the Methods of Technology Appraisal. London: NICE 2013 </w:t>
      </w:r>
    </w:p>
    <w:p w14:paraId="77C70785" w14:textId="77777777" w:rsidR="0021235A" w:rsidRDefault="0021235A" w:rsidP="003F0968">
      <w:pPr>
        <w:rPr>
          <w:rFonts w:ascii="Arial" w:eastAsia="Times New Roman" w:hAnsi="Arial" w:cs="Arial"/>
          <w:color w:val="222222"/>
          <w:sz w:val="20"/>
          <w:szCs w:val="20"/>
          <w:lang w:val="en-GB" w:eastAsia="en-GB"/>
        </w:rPr>
      </w:pPr>
    </w:p>
    <w:p w14:paraId="29786717" w14:textId="3E2F5245" w:rsidR="0021235A" w:rsidRDefault="0021235A" w:rsidP="003F0968">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NICE International, Health Intervention and Technology Assessment Program, Thailand, Centre for Health Economics, University of York, Bill and Melinda Gates Foundation. Methods for Economic Evaluation Project (MEEP) Final Report. London: NICE 2014</w:t>
      </w:r>
      <w:r w:rsidR="00527C8C">
        <w:rPr>
          <w:rFonts w:ascii="Arial" w:eastAsia="Times New Roman" w:hAnsi="Arial" w:cs="Arial"/>
          <w:color w:val="222222"/>
          <w:sz w:val="20"/>
          <w:szCs w:val="20"/>
          <w:lang w:val="en-GB" w:eastAsia="en-GB"/>
        </w:rPr>
        <w:t>a</w:t>
      </w:r>
      <w:r>
        <w:rPr>
          <w:rFonts w:ascii="Arial" w:eastAsia="Times New Roman" w:hAnsi="Arial" w:cs="Arial"/>
          <w:color w:val="222222"/>
          <w:sz w:val="20"/>
          <w:szCs w:val="20"/>
          <w:lang w:val="en-GB" w:eastAsia="en-GB"/>
        </w:rPr>
        <w:t xml:space="preserve">. </w:t>
      </w:r>
    </w:p>
    <w:p w14:paraId="51BE67D5" w14:textId="77777777" w:rsidR="00527C8C" w:rsidRDefault="00527C8C" w:rsidP="003F0968">
      <w:pPr>
        <w:rPr>
          <w:rFonts w:ascii="Arial" w:eastAsia="Times New Roman" w:hAnsi="Arial" w:cs="Arial"/>
          <w:color w:val="222222"/>
          <w:sz w:val="20"/>
          <w:szCs w:val="20"/>
          <w:lang w:val="en-GB" w:eastAsia="en-GB"/>
        </w:rPr>
      </w:pPr>
    </w:p>
    <w:p w14:paraId="3A6B3725" w14:textId="683F3582" w:rsidR="00527C8C" w:rsidRPr="001761C0" w:rsidRDefault="00527C8C" w:rsidP="00527C8C">
      <w:pPr>
        <w:rPr>
          <w:rFonts w:ascii="Arial" w:eastAsia="Times New Roman" w:hAnsi="Arial" w:cs="Arial"/>
          <w:color w:val="222222"/>
          <w:sz w:val="20"/>
          <w:szCs w:val="20"/>
          <w:lang w:val="en-GB" w:eastAsia="en-GB"/>
        </w:rPr>
      </w:pPr>
      <w:r>
        <w:rPr>
          <w:rFonts w:ascii="Arial" w:eastAsia="Times New Roman" w:hAnsi="Arial" w:cs="Arial"/>
          <w:color w:val="222222"/>
          <w:sz w:val="20"/>
          <w:szCs w:val="20"/>
          <w:lang w:val="en-GB" w:eastAsia="en-GB"/>
        </w:rPr>
        <w:t xml:space="preserve">NICE International, Health Intervention and Technology Assessment Program, Thailand, Centre for Health Economics, University of York, Bill and Melinda Gates Foundation. The Gates Reference Case, What it is, why it is important, and how to use it. London: NICE 2014b. </w:t>
      </w:r>
    </w:p>
    <w:p w14:paraId="267BD249" w14:textId="77777777" w:rsidR="003F0968" w:rsidRDefault="003F0968" w:rsidP="003F0968"/>
    <w:p w14:paraId="160260C5" w14:textId="009D9E94" w:rsidR="00F84D9E" w:rsidRDefault="00F84D9E" w:rsidP="003F0968">
      <w:r>
        <w:t>P</w:t>
      </w:r>
      <w:r w:rsidRPr="00F84D9E">
        <w:rPr>
          <w:rFonts w:ascii="Arial" w:eastAsia="Times New Roman" w:hAnsi="Arial" w:cs="Arial"/>
          <w:color w:val="222222"/>
          <w:sz w:val="20"/>
          <w:szCs w:val="20"/>
          <w:lang w:val="en-GB" w:eastAsia="en-GB"/>
        </w:rPr>
        <w:t>harmaceutical Management Agency of New Zealand (PHARMAC)</w:t>
      </w:r>
      <w:r>
        <w:rPr>
          <w:rFonts w:ascii="Arial" w:eastAsia="Times New Roman" w:hAnsi="Arial" w:cs="Arial"/>
          <w:color w:val="222222"/>
          <w:sz w:val="20"/>
          <w:szCs w:val="20"/>
          <w:lang w:val="en-GB" w:eastAsia="en-GB"/>
        </w:rPr>
        <w:t xml:space="preserve">. Prescription for Pharmacoeconomic Analysis. Wellington 2012. </w:t>
      </w:r>
    </w:p>
    <w:p w14:paraId="0F9FFC2D" w14:textId="77777777" w:rsidR="003F0968" w:rsidRDefault="003F0968" w:rsidP="003F0968"/>
    <w:p w14:paraId="079A1069" w14:textId="77777777" w:rsidR="003F0968" w:rsidRDefault="003F0968" w:rsidP="003F0968">
      <w:pPr>
        <w:rPr>
          <w:rFonts w:ascii="Arial" w:eastAsia="Times New Roman" w:hAnsi="Arial" w:cs="Arial"/>
          <w:color w:val="222222"/>
          <w:sz w:val="20"/>
          <w:szCs w:val="20"/>
          <w:lang w:val="en-GB" w:eastAsia="en-GB"/>
        </w:rPr>
      </w:pPr>
      <w:r w:rsidRPr="00552B98">
        <w:rPr>
          <w:rFonts w:ascii="Arial" w:eastAsia="Times New Roman" w:hAnsi="Arial" w:cs="Arial"/>
          <w:color w:val="222222"/>
          <w:sz w:val="20"/>
          <w:szCs w:val="20"/>
          <w:lang w:val="en-GB" w:eastAsia="en-GB"/>
        </w:rPr>
        <w:t>Santatiwongchai, B., Chantarastapornchit, V., Wilkinson, T., Thiboonboon, K., Rattanavipapong, W., Walker, D. G., ... &amp; Teerawattananon, Y. (2015). Methodological Variation in Economic Evaluations Conducted in Low-and Middle-Income Countries: Information for Reference Case Development.</w:t>
      </w:r>
    </w:p>
    <w:p w14:paraId="3C743940" w14:textId="77777777" w:rsidR="003F0968" w:rsidRDefault="003F0968" w:rsidP="003F0968">
      <w:pPr>
        <w:rPr>
          <w:rFonts w:ascii="Arial" w:eastAsia="Times New Roman" w:hAnsi="Arial" w:cs="Arial"/>
          <w:color w:val="222222"/>
          <w:sz w:val="20"/>
          <w:szCs w:val="20"/>
          <w:lang w:val="en-GB" w:eastAsia="en-GB"/>
        </w:rPr>
      </w:pPr>
    </w:p>
    <w:p w14:paraId="51C5336D" w14:textId="77777777" w:rsidR="003F0968" w:rsidRPr="008F03CF" w:rsidRDefault="003F0968" w:rsidP="003F0968">
      <w:pPr>
        <w:rPr>
          <w:rFonts w:ascii="Arial" w:eastAsia="Times New Roman" w:hAnsi="Arial" w:cs="Arial"/>
          <w:color w:val="222222"/>
          <w:sz w:val="20"/>
          <w:szCs w:val="20"/>
          <w:lang w:val="en-GB" w:eastAsia="en-GB"/>
        </w:rPr>
      </w:pPr>
      <w:r w:rsidRPr="008F03CF">
        <w:rPr>
          <w:rFonts w:ascii="Arial" w:eastAsia="Times New Roman" w:hAnsi="Arial" w:cs="Arial"/>
          <w:color w:val="222222"/>
          <w:sz w:val="20"/>
          <w:szCs w:val="20"/>
          <w:lang w:val="en-GB" w:eastAsia="en-GB"/>
        </w:rPr>
        <w:t xml:space="preserve">Sculpher MJ, Pang FS, Manca A, Drummond MF, Golder S, Urdahl H, et al. Generalisability in economic evaluation studies in healthcare: a review and case studies. Health Technol Assess 2004;8(49) </w:t>
      </w:r>
    </w:p>
    <w:p w14:paraId="1552BB03" w14:textId="77777777" w:rsidR="003F0968" w:rsidRDefault="003F0968" w:rsidP="003F0968">
      <w:pPr>
        <w:rPr>
          <w:rFonts w:ascii="Arial" w:eastAsia="Times New Roman" w:hAnsi="Arial" w:cs="Arial"/>
          <w:color w:val="222222"/>
          <w:sz w:val="20"/>
          <w:szCs w:val="20"/>
          <w:lang w:val="en-GB" w:eastAsia="en-GB"/>
        </w:rPr>
      </w:pPr>
    </w:p>
    <w:p w14:paraId="180611A2" w14:textId="18F7A998" w:rsidR="005A71CA" w:rsidRPr="005A71CA" w:rsidRDefault="005A71CA" w:rsidP="003F0968">
      <w:r>
        <w:rPr>
          <w:rFonts w:ascii="Arial" w:hAnsi="Arial" w:cs="Arial"/>
          <w:color w:val="303030"/>
          <w:sz w:val="20"/>
          <w:szCs w:val="20"/>
          <w:shd w:val="clear" w:color="auto" w:fill="FFFFFF"/>
        </w:rPr>
        <w:t>Shillcutt, Samuel D. et al. “Cost-Effectiveness in Low- and Middle-Income Countries: A Review of the Debates Surrounding Decision Rules.”</w:t>
      </w:r>
      <w:r>
        <w:rPr>
          <w:rFonts w:ascii="Arial" w:hAnsi="Arial" w:cs="Arial"/>
          <w:i/>
          <w:iCs/>
          <w:color w:val="303030"/>
          <w:sz w:val="20"/>
          <w:szCs w:val="20"/>
          <w:shd w:val="clear" w:color="auto" w:fill="FFFFFF"/>
        </w:rPr>
        <w:t>PharmacoEconomics</w:t>
      </w:r>
      <w:r>
        <w:rPr>
          <w:rStyle w:val="apple-converted-space"/>
          <w:color w:val="303030"/>
          <w:sz w:val="20"/>
          <w:szCs w:val="20"/>
          <w:shd w:val="clear" w:color="auto" w:fill="FFFFFF"/>
        </w:rPr>
        <w:t> </w:t>
      </w:r>
      <w:r>
        <w:rPr>
          <w:rFonts w:ascii="Arial" w:hAnsi="Arial" w:cs="Arial"/>
          <w:color w:val="303030"/>
          <w:sz w:val="20"/>
          <w:szCs w:val="20"/>
          <w:shd w:val="clear" w:color="auto" w:fill="FFFFFF"/>
        </w:rPr>
        <w:t>27.11 (2009): 903–917.</w:t>
      </w:r>
      <w:r>
        <w:rPr>
          <w:rStyle w:val="apple-converted-space"/>
          <w:color w:val="303030"/>
          <w:sz w:val="20"/>
          <w:szCs w:val="20"/>
          <w:shd w:val="clear" w:color="auto" w:fill="FFFFFF"/>
        </w:rPr>
        <w:t> </w:t>
      </w:r>
      <w:r>
        <w:rPr>
          <w:rFonts w:ascii="Arial" w:hAnsi="Arial" w:cs="Arial"/>
          <w:i/>
          <w:iCs/>
          <w:color w:val="303030"/>
          <w:sz w:val="20"/>
          <w:szCs w:val="20"/>
          <w:shd w:val="clear" w:color="auto" w:fill="FFFFFF"/>
        </w:rPr>
        <w:t>PMC</w:t>
      </w:r>
      <w:r>
        <w:rPr>
          <w:rFonts w:ascii="Arial" w:hAnsi="Arial" w:cs="Arial"/>
          <w:color w:val="303030"/>
          <w:sz w:val="20"/>
          <w:szCs w:val="20"/>
          <w:shd w:val="clear" w:color="auto" w:fill="FFFFFF"/>
        </w:rPr>
        <w:t>..</w:t>
      </w:r>
    </w:p>
    <w:p w14:paraId="6C10C287" w14:textId="77777777" w:rsidR="003F0968" w:rsidRDefault="003F0968" w:rsidP="003F0968">
      <w:pPr>
        <w:rPr>
          <w:rFonts w:ascii="Arial" w:eastAsia="Times New Roman" w:hAnsi="Arial" w:cs="Arial"/>
          <w:color w:val="222222"/>
          <w:sz w:val="20"/>
          <w:szCs w:val="20"/>
          <w:lang w:val="en-GB" w:eastAsia="en-GB"/>
        </w:rPr>
      </w:pPr>
    </w:p>
    <w:p w14:paraId="5A03A25D" w14:textId="77777777" w:rsidR="003F0968" w:rsidRPr="00872CC1" w:rsidRDefault="003F0968" w:rsidP="003F0968">
      <w:pPr>
        <w:rPr>
          <w:rFonts w:ascii="Arial" w:eastAsia="Times New Roman" w:hAnsi="Arial" w:cs="Arial"/>
          <w:color w:val="222222"/>
          <w:sz w:val="20"/>
          <w:szCs w:val="20"/>
          <w:lang w:val="en-GB" w:eastAsia="en-GB"/>
        </w:rPr>
      </w:pPr>
      <w:r w:rsidRPr="00F96F17">
        <w:rPr>
          <w:rFonts w:ascii="Arial" w:eastAsia="Times New Roman" w:hAnsi="Arial" w:cs="Arial"/>
          <w:color w:val="222222"/>
          <w:sz w:val="20"/>
          <w:szCs w:val="20"/>
          <w:lang w:val="en-GB" w:eastAsia="en-GB"/>
        </w:rPr>
        <w:t xml:space="preserve">Thavorncharoensap M. </w:t>
      </w:r>
      <w:r>
        <w:rPr>
          <w:rFonts w:ascii="Arial" w:eastAsia="Times New Roman" w:hAnsi="Arial" w:cs="Arial"/>
          <w:color w:val="222222"/>
          <w:sz w:val="20"/>
          <w:szCs w:val="20"/>
          <w:lang w:val="en-GB" w:eastAsia="en-GB"/>
        </w:rPr>
        <w:t xml:space="preserve">Measurement of Health Outcomes. </w:t>
      </w:r>
      <w:r w:rsidRPr="00F96F17">
        <w:rPr>
          <w:rFonts w:ascii="Arial" w:eastAsia="Times New Roman" w:hAnsi="Arial" w:cs="Arial"/>
          <w:color w:val="222222"/>
          <w:sz w:val="20"/>
          <w:szCs w:val="20"/>
          <w:lang w:val="en-GB" w:eastAsia="en-GB"/>
        </w:rPr>
        <w:t>J Med Assoc Thai 2014; 97 (Suppl. 5): S27-S32</w:t>
      </w:r>
    </w:p>
    <w:p w14:paraId="5878A439" w14:textId="77777777" w:rsidR="003F0968" w:rsidRDefault="003F0968" w:rsidP="003F0968">
      <w:pPr>
        <w:rPr>
          <w:rFonts w:ascii="Arial" w:eastAsia="Times New Roman" w:hAnsi="Arial" w:cs="Arial"/>
          <w:color w:val="222222"/>
          <w:sz w:val="20"/>
          <w:szCs w:val="20"/>
          <w:lang w:val="en-GB" w:eastAsia="en-GB"/>
        </w:rPr>
      </w:pPr>
    </w:p>
    <w:p w14:paraId="460EADF0" w14:textId="445BF879" w:rsidR="005A71CA" w:rsidRDefault="005A71CA" w:rsidP="003F0968">
      <w:pPr>
        <w:rPr>
          <w:rFonts w:ascii="Arial" w:eastAsia="Times New Roman" w:hAnsi="Arial" w:cs="Arial"/>
          <w:color w:val="222222"/>
          <w:sz w:val="20"/>
          <w:szCs w:val="20"/>
          <w:lang w:val="en-GB" w:eastAsia="en-GB"/>
        </w:rPr>
      </w:pPr>
      <w:r w:rsidRPr="00A33F21">
        <w:rPr>
          <w:rFonts w:ascii="Arial" w:eastAsia="Times New Roman" w:hAnsi="Arial" w:cs="Arial"/>
          <w:color w:val="222222"/>
          <w:sz w:val="20"/>
          <w:szCs w:val="20"/>
          <w:lang w:val="en-GB" w:eastAsia="en-GB"/>
        </w:rPr>
        <w:t xml:space="preserve">Wang, Huihui; Ramana, G.N.V. 2014. Ethiopia - Universal health coverage for inclusive and sustainable </w:t>
      </w:r>
      <w:r w:rsidR="00444B21" w:rsidRPr="00A33F21">
        <w:rPr>
          <w:rFonts w:ascii="Arial" w:eastAsia="Times New Roman" w:hAnsi="Arial" w:cs="Arial"/>
          <w:color w:val="222222"/>
          <w:sz w:val="20"/>
          <w:szCs w:val="20"/>
          <w:lang w:val="en-GB" w:eastAsia="en-GB"/>
        </w:rPr>
        <w:t>development:</w:t>
      </w:r>
      <w:r w:rsidRPr="00A33F21">
        <w:rPr>
          <w:rFonts w:ascii="Arial" w:eastAsia="Times New Roman" w:hAnsi="Arial" w:cs="Arial"/>
          <w:color w:val="222222"/>
          <w:sz w:val="20"/>
          <w:szCs w:val="20"/>
          <w:lang w:val="en-GB" w:eastAsia="en-GB"/>
        </w:rPr>
        <w:t xml:space="preserve"> country summary report. Washington, </w:t>
      </w:r>
      <w:r w:rsidR="00444B21" w:rsidRPr="00A33F21">
        <w:rPr>
          <w:rFonts w:ascii="Arial" w:eastAsia="Times New Roman" w:hAnsi="Arial" w:cs="Arial"/>
          <w:color w:val="222222"/>
          <w:sz w:val="20"/>
          <w:szCs w:val="20"/>
          <w:lang w:val="en-GB" w:eastAsia="en-GB"/>
        </w:rPr>
        <w:t>DC:</w:t>
      </w:r>
      <w:r w:rsidRPr="00A33F21">
        <w:rPr>
          <w:rFonts w:ascii="Arial" w:eastAsia="Times New Roman" w:hAnsi="Arial" w:cs="Arial"/>
          <w:color w:val="222222"/>
          <w:sz w:val="20"/>
          <w:szCs w:val="20"/>
          <w:lang w:val="en-GB" w:eastAsia="en-GB"/>
        </w:rPr>
        <w:t xml:space="preserve"> World Bank Group</w:t>
      </w:r>
    </w:p>
    <w:p w14:paraId="29379FF0" w14:textId="77777777" w:rsidR="009166DA" w:rsidRDefault="009166DA" w:rsidP="003F0968">
      <w:pPr>
        <w:rPr>
          <w:rFonts w:ascii="Arial" w:eastAsia="Times New Roman" w:hAnsi="Arial" w:cs="Arial"/>
          <w:color w:val="222222"/>
          <w:sz w:val="20"/>
          <w:szCs w:val="20"/>
          <w:lang w:val="en-GB" w:eastAsia="en-GB"/>
        </w:rPr>
      </w:pPr>
    </w:p>
    <w:p w14:paraId="55FF8FFB" w14:textId="4293F241" w:rsidR="009166DA" w:rsidRDefault="009166DA" w:rsidP="003F0968">
      <w:pPr>
        <w:rPr>
          <w:rFonts w:ascii="Arial" w:eastAsia="Times New Roman" w:hAnsi="Arial" w:cs="Arial"/>
          <w:color w:val="222222"/>
          <w:sz w:val="20"/>
          <w:szCs w:val="20"/>
          <w:lang w:val="en-GB" w:eastAsia="en-GB"/>
        </w:rPr>
      </w:pPr>
      <w:r w:rsidRPr="009166DA">
        <w:rPr>
          <w:rFonts w:ascii="Arial" w:eastAsia="Times New Roman" w:hAnsi="Arial" w:cs="Arial"/>
          <w:color w:val="222222"/>
          <w:sz w:val="20"/>
          <w:szCs w:val="20"/>
          <w:lang w:val="en-GB" w:eastAsia="en-GB"/>
        </w:rPr>
        <w:t>Woods B, Revill P, Sculpher M, Claxton K Claxton(PhD) Country-level cost-effectiveness thresholds: initial estimates and the need for further research [in press]</w:t>
      </w:r>
    </w:p>
    <w:p w14:paraId="3C33A53B" w14:textId="77777777" w:rsidR="005A71CA" w:rsidRDefault="005A71CA" w:rsidP="003F0968">
      <w:pPr>
        <w:rPr>
          <w:rFonts w:ascii="Arial" w:eastAsia="Times New Roman" w:hAnsi="Arial" w:cs="Arial"/>
          <w:color w:val="222222"/>
          <w:sz w:val="20"/>
          <w:szCs w:val="20"/>
          <w:lang w:val="en-GB" w:eastAsia="en-GB"/>
        </w:rPr>
      </w:pPr>
    </w:p>
    <w:p w14:paraId="54FD6C6B" w14:textId="7702C1E7" w:rsidR="009F7DFF" w:rsidRDefault="009F7DFF" w:rsidP="003F0968">
      <w:pPr>
        <w:rPr>
          <w:rFonts w:ascii="Arial" w:eastAsia="Times New Roman" w:hAnsi="Arial" w:cs="Arial"/>
          <w:color w:val="222222"/>
          <w:sz w:val="20"/>
          <w:szCs w:val="20"/>
          <w:lang w:val="en-GB" w:eastAsia="en-GB"/>
        </w:rPr>
      </w:pPr>
      <w:r w:rsidRPr="009F7DFF">
        <w:rPr>
          <w:rFonts w:ascii="Arial" w:eastAsia="Times New Roman" w:hAnsi="Arial" w:cs="Arial"/>
          <w:color w:val="222222"/>
          <w:sz w:val="20"/>
          <w:szCs w:val="20"/>
          <w:lang w:val="en-GB" w:eastAsia="en-GB"/>
        </w:rPr>
        <w:t>World Health Organization. (2010). Choosing interventions that are cost effective (WHO-CHOICE).</w:t>
      </w:r>
    </w:p>
    <w:p w14:paraId="313C9763" w14:textId="77777777" w:rsidR="00224F74" w:rsidRDefault="00224F74">
      <w:pPr>
        <w:rPr>
          <w:rFonts w:ascii="Arial" w:hAnsi="Arial" w:cs="Arial"/>
        </w:rPr>
      </w:pPr>
    </w:p>
    <w:sectPr w:rsidR="00224F74" w:rsidSect="00C341C8">
      <w:headerReference w:type="default" r:id="rId22"/>
      <w:footerReference w:type="default" r:id="rId23"/>
      <w:endnotePr>
        <w:numFmt w:val="decimal"/>
      </w:endnotePr>
      <w:pgSz w:w="11900" w:h="16840"/>
      <w:pgMar w:top="720" w:right="720" w:bottom="720" w:left="72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C3FB" w14:textId="77777777" w:rsidR="005D5F1D" w:rsidRDefault="005D5F1D"/>
  </w:endnote>
  <w:endnote w:type="continuationSeparator" w:id="0">
    <w:p w14:paraId="2378553E" w14:textId="77777777" w:rsidR="005D5F1D" w:rsidRDefault="005D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2E24" w14:textId="77777777" w:rsidR="00D0701C" w:rsidRDefault="00D0701C" w:rsidP="00511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240B75" w14:textId="77777777" w:rsidR="00D0701C" w:rsidRDefault="00D0701C" w:rsidP="00511D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DD4F" w14:textId="77777777" w:rsidR="00D0701C" w:rsidRPr="008D16F8" w:rsidRDefault="00D0701C" w:rsidP="00146E49">
    <w:pPr>
      <w:pStyle w:val="Footer"/>
      <w:pBdr>
        <w:top w:val="single" w:sz="2" w:space="0" w:color="auto"/>
      </w:pBdr>
      <w:tabs>
        <w:tab w:val="clear" w:pos="9360"/>
        <w:tab w:val="right" w:pos="9270"/>
      </w:tabs>
      <w:rPr>
        <w:rFonts w:ascii="Arial Narrow" w:hAnsi="Arial Narrow"/>
        <w:color w:val="632423" w:themeColor="accent2" w:themeShade="80"/>
        <w:sz w:val="10"/>
      </w:rPr>
    </w:pPr>
  </w:p>
  <w:p w14:paraId="332CD903" w14:textId="77777777" w:rsidR="00D0701C" w:rsidRPr="00AD4CC5" w:rsidRDefault="00D0701C" w:rsidP="007E2BC1">
    <w:pPr>
      <w:pStyle w:val="Footer"/>
      <w:framePr w:wrap="around" w:vAnchor="text" w:hAnchor="page" w:x="10261" w:y="21"/>
      <w:rPr>
        <w:rStyle w:val="PageNumber"/>
        <w:color w:val="1F497D" w:themeColor="text2"/>
      </w:rPr>
    </w:pPr>
    <w:r w:rsidRPr="00AD4CC5">
      <w:rPr>
        <w:rStyle w:val="PageNumber"/>
        <w:color w:val="1F497D" w:themeColor="text2"/>
      </w:rPr>
      <w:fldChar w:fldCharType="begin"/>
    </w:r>
    <w:r w:rsidRPr="00AD4CC5">
      <w:rPr>
        <w:rStyle w:val="PageNumber"/>
        <w:color w:val="1F497D" w:themeColor="text2"/>
      </w:rPr>
      <w:instrText xml:space="preserve">PAGE  </w:instrText>
    </w:r>
    <w:r w:rsidRPr="00AD4CC5">
      <w:rPr>
        <w:rStyle w:val="PageNumber"/>
        <w:color w:val="1F497D" w:themeColor="text2"/>
      </w:rPr>
      <w:fldChar w:fldCharType="separate"/>
    </w:r>
    <w:r w:rsidR="00EB32B8">
      <w:rPr>
        <w:rStyle w:val="PageNumber"/>
        <w:noProof/>
        <w:color w:val="1F497D" w:themeColor="text2"/>
      </w:rPr>
      <w:t>19</w:t>
    </w:r>
    <w:r w:rsidRPr="00AD4CC5">
      <w:rPr>
        <w:rStyle w:val="PageNumber"/>
        <w:color w:val="1F497D" w:themeColor="text2"/>
      </w:rPr>
      <w:fldChar w:fldCharType="end"/>
    </w:r>
  </w:p>
  <w:p w14:paraId="576FEC84" w14:textId="1A8A88BE" w:rsidR="00D0701C" w:rsidRPr="00AD4CC5" w:rsidRDefault="00D0701C" w:rsidP="00146E49">
    <w:pPr>
      <w:pStyle w:val="Footer"/>
      <w:tabs>
        <w:tab w:val="clear" w:pos="9360"/>
        <w:tab w:val="right" w:pos="9270"/>
      </w:tabs>
      <w:rPr>
        <w:color w:val="1F497D" w:themeColor="text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6977" w14:textId="43E209E2" w:rsidR="00D0701C" w:rsidRPr="00AD4CC5" w:rsidRDefault="00D0701C" w:rsidP="008D16F8">
    <w:pPr>
      <w:pStyle w:val="Footer"/>
      <w:tabs>
        <w:tab w:val="clear" w:pos="9360"/>
        <w:tab w:val="right" w:pos="9270"/>
      </w:tabs>
      <w:rPr>
        <w:color w:val="1F497D" w:themeColor="text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A5A16" w14:textId="77777777" w:rsidR="005D5F1D" w:rsidRDefault="005D5F1D">
      <w:r>
        <w:separator/>
      </w:r>
    </w:p>
  </w:footnote>
  <w:footnote w:type="continuationSeparator" w:id="0">
    <w:p w14:paraId="67BC8F66" w14:textId="77777777" w:rsidR="005D5F1D" w:rsidRDefault="005D5F1D">
      <w:r>
        <w:continuationSeparator/>
      </w:r>
    </w:p>
  </w:footnote>
  <w:footnote w:id="1">
    <w:p w14:paraId="76D4FC7E" w14:textId="4DCAE251" w:rsidR="00D0701C" w:rsidRPr="00AC7A7A" w:rsidRDefault="00D0701C">
      <w:pPr>
        <w:pStyle w:val="FootnoteText"/>
        <w:rPr>
          <w:lang w:val="en-GB"/>
        </w:rPr>
      </w:pPr>
      <w:r>
        <w:rPr>
          <w:rStyle w:val="FootnoteReference"/>
        </w:rPr>
        <w:footnoteRef/>
      </w:r>
      <w:r>
        <w:t xml:space="preserve"> </w:t>
      </w:r>
      <w:r>
        <w:rPr>
          <w:lang w:val="en-GB"/>
        </w:rPr>
        <w:t xml:space="preserve">World Health Assembly Resolution 67.23 used the term Health Intervention and Technology Assessment (HITA), which for the purposes of this article, can be considered synonymous with HTA.  </w:t>
      </w:r>
    </w:p>
  </w:footnote>
  <w:footnote w:id="2">
    <w:p w14:paraId="4E09AF06" w14:textId="5BAA32D8" w:rsidR="00D0701C" w:rsidRPr="004B5BF9" w:rsidRDefault="00D0701C" w:rsidP="00C3779D">
      <w:pPr>
        <w:pStyle w:val="FootnoteText"/>
        <w:rPr>
          <w:lang w:val="en-GB"/>
        </w:rPr>
      </w:pPr>
      <w:r>
        <w:rPr>
          <w:rStyle w:val="FootnoteReference"/>
        </w:rPr>
        <w:footnoteRef/>
      </w:r>
      <w:r>
        <w:t xml:space="preserve"> </w:t>
      </w:r>
      <w:r>
        <w:rPr>
          <w:lang w:val="en-GB"/>
        </w:rPr>
        <w:t>As of April 2013, NICE is called National Institute for Health and Care Excellence, and maintains the same acronym.</w:t>
      </w:r>
    </w:p>
  </w:footnote>
  <w:footnote w:id="3">
    <w:p w14:paraId="36003339" w14:textId="6E624DE4" w:rsidR="00D62934" w:rsidRPr="00B6581B" w:rsidRDefault="00D62934">
      <w:pPr>
        <w:pStyle w:val="FootnoteText"/>
        <w:rPr>
          <w:lang w:val="en-GB"/>
        </w:rPr>
      </w:pPr>
      <w:r>
        <w:rPr>
          <w:rStyle w:val="FootnoteReference"/>
        </w:rPr>
        <w:footnoteRef/>
      </w:r>
      <w:r>
        <w:t xml:space="preserve"> </w:t>
      </w:r>
      <w:r w:rsidRPr="00B6581B">
        <w:rPr>
          <w:sz w:val="20"/>
          <w:lang w:val="en-GB"/>
        </w:rPr>
        <w:t xml:space="preserve">In press. </w:t>
      </w:r>
      <w:r w:rsidR="00C734F9" w:rsidRPr="00B6581B">
        <w:rPr>
          <w:sz w:val="20"/>
          <w:lang w:val="en-GB"/>
        </w:rPr>
        <w:t xml:space="preserve">iDSI </w:t>
      </w:r>
      <w:r w:rsidRPr="00B6581B">
        <w:rPr>
          <w:sz w:val="20"/>
          <w:lang w:val="en-GB"/>
        </w:rPr>
        <w:t>Methodological Working Group Reports</w:t>
      </w:r>
      <w:r>
        <w:rPr>
          <w:lang w:val="en-G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2FFEC" w14:textId="77777777" w:rsidR="00D0701C" w:rsidRDefault="00D0701C" w:rsidP="004A62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F91C64" w14:textId="77777777" w:rsidR="00D0701C" w:rsidRDefault="00D0701C" w:rsidP="004A62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8A97E" w14:textId="77777777" w:rsidR="00D0701C" w:rsidRDefault="00D0701C" w:rsidP="00FF464B">
    <w:pPr>
      <w:pStyle w:val="Header"/>
      <w:spacing w:after="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C34D" w14:textId="77777777" w:rsidR="00D0701C" w:rsidRDefault="00D0701C" w:rsidP="00FF464B">
    <w:pPr>
      <w:pStyle w:val="Heade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A3E55"/>
    <w:multiLevelType w:val="hybridMultilevel"/>
    <w:tmpl w:val="8BBE8B38"/>
    <w:lvl w:ilvl="0" w:tplc="5C6E3C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68668A5"/>
    <w:multiLevelType w:val="hybridMultilevel"/>
    <w:tmpl w:val="131A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3108E5"/>
    <w:multiLevelType w:val="hybridMultilevel"/>
    <w:tmpl w:val="DFA42C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CC18A7"/>
    <w:multiLevelType w:val="hybridMultilevel"/>
    <w:tmpl w:val="3AC87DA0"/>
    <w:lvl w:ilvl="0" w:tplc="32A0B4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C949F8"/>
    <w:multiLevelType w:val="hybridMultilevel"/>
    <w:tmpl w:val="052846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365B4A"/>
    <w:multiLevelType w:val="hybridMultilevel"/>
    <w:tmpl w:val="52CE1FD8"/>
    <w:lvl w:ilvl="0" w:tplc="1E5288D8">
      <w:start w:val="1"/>
      <w:numFmt w:val="decimal"/>
      <w:pStyle w:val="MEEPnumberedbodytex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7A41EE1"/>
    <w:multiLevelType w:val="hybridMultilevel"/>
    <w:tmpl w:val="12800886"/>
    <w:lvl w:ilvl="0" w:tplc="71600420">
      <w:start w:val="1"/>
      <w:numFmt w:val="bullet"/>
      <w:pStyle w:val="MEEPtabletex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A250BC"/>
    <w:multiLevelType w:val="hybridMultilevel"/>
    <w:tmpl w:val="0F92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753CCA"/>
    <w:multiLevelType w:val="hybridMultilevel"/>
    <w:tmpl w:val="0D84F1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3A0982"/>
    <w:multiLevelType w:val="hybridMultilevel"/>
    <w:tmpl w:val="F490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3075DA"/>
    <w:multiLevelType w:val="hybridMultilevel"/>
    <w:tmpl w:val="75943CCA"/>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6"/>
  </w:num>
  <w:num w:numId="14">
    <w:abstractNumId w:val="11"/>
  </w:num>
  <w:num w:numId="15">
    <w:abstractNumId w:val="18"/>
  </w:num>
  <w:num w:numId="16">
    <w:abstractNumId w:val="21"/>
  </w:num>
  <w:num w:numId="17">
    <w:abstractNumId w:val="20"/>
  </w:num>
  <w:num w:numId="18">
    <w:abstractNumId w:val="13"/>
  </w:num>
  <w:num w:numId="19">
    <w:abstractNumId w:val="19"/>
  </w:num>
  <w:num w:numId="20">
    <w:abstractNumId w:val="15"/>
  </w:num>
  <w:num w:numId="21">
    <w:abstractNumId w:val="14"/>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259C7"/>
    <w:rsid w:val="000019D7"/>
    <w:rsid w:val="00001A57"/>
    <w:rsid w:val="0000413C"/>
    <w:rsid w:val="00004442"/>
    <w:rsid w:val="000050CE"/>
    <w:rsid w:val="000076B3"/>
    <w:rsid w:val="000077CB"/>
    <w:rsid w:val="00014FED"/>
    <w:rsid w:val="0001563F"/>
    <w:rsid w:val="000157E2"/>
    <w:rsid w:val="00016089"/>
    <w:rsid w:val="0001721D"/>
    <w:rsid w:val="000259C7"/>
    <w:rsid w:val="00030F57"/>
    <w:rsid w:val="00034253"/>
    <w:rsid w:val="0004143C"/>
    <w:rsid w:val="000427D9"/>
    <w:rsid w:val="00050385"/>
    <w:rsid w:val="00052497"/>
    <w:rsid w:val="000540F2"/>
    <w:rsid w:val="00063004"/>
    <w:rsid w:val="00064E8D"/>
    <w:rsid w:val="000664F0"/>
    <w:rsid w:val="0007035C"/>
    <w:rsid w:val="00070464"/>
    <w:rsid w:val="00072613"/>
    <w:rsid w:val="00076FC9"/>
    <w:rsid w:val="00085310"/>
    <w:rsid w:val="00094123"/>
    <w:rsid w:val="00094C47"/>
    <w:rsid w:val="00095B17"/>
    <w:rsid w:val="00096807"/>
    <w:rsid w:val="00096E5E"/>
    <w:rsid w:val="00097202"/>
    <w:rsid w:val="000A041F"/>
    <w:rsid w:val="000A1142"/>
    <w:rsid w:val="000A5203"/>
    <w:rsid w:val="000A52A2"/>
    <w:rsid w:val="000A6F3A"/>
    <w:rsid w:val="000A7470"/>
    <w:rsid w:val="000B0C9A"/>
    <w:rsid w:val="000C0A17"/>
    <w:rsid w:val="000C3CCC"/>
    <w:rsid w:val="000C478C"/>
    <w:rsid w:val="000C5176"/>
    <w:rsid w:val="000D6456"/>
    <w:rsid w:val="000D6D12"/>
    <w:rsid w:val="000D760D"/>
    <w:rsid w:val="000D7AE6"/>
    <w:rsid w:val="000D7E8E"/>
    <w:rsid w:val="000E293D"/>
    <w:rsid w:val="000E2D79"/>
    <w:rsid w:val="000E347A"/>
    <w:rsid w:val="000F13F6"/>
    <w:rsid w:val="000F3A46"/>
    <w:rsid w:val="000F6B01"/>
    <w:rsid w:val="000F724F"/>
    <w:rsid w:val="001038C4"/>
    <w:rsid w:val="00103D89"/>
    <w:rsid w:val="00107335"/>
    <w:rsid w:val="00107482"/>
    <w:rsid w:val="00107FC7"/>
    <w:rsid w:val="0011367E"/>
    <w:rsid w:val="00120C6E"/>
    <w:rsid w:val="00123175"/>
    <w:rsid w:val="001309E9"/>
    <w:rsid w:val="00130ABD"/>
    <w:rsid w:val="001351C7"/>
    <w:rsid w:val="0013573F"/>
    <w:rsid w:val="00135BAE"/>
    <w:rsid w:val="00136CF4"/>
    <w:rsid w:val="00141C7E"/>
    <w:rsid w:val="00143B6C"/>
    <w:rsid w:val="00143D9E"/>
    <w:rsid w:val="0014694E"/>
    <w:rsid w:val="00146E49"/>
    <w:rsid w:val="00150354"/>
    <w:rsid w:val="0015109A"/>
    <w:rsid w:val="0015344E"/>
    <w:rsid w:val="00154482"/>
    <w:rsid w:val="00155E57"/>
    <w:rsid w:val="00157083"/>
    <w:rsid w:val="001615EB"/>
    <w:rsid w:val="00165DB5"/>
    <w:rsid w:val="00172A40"/>
    <w:rsid w:val="001742FC"/>
    <w:rsid w:val="001761C0"/>
    <w:rsid w:val="001770D9"/>
    <w:rsid w:val="00180748"/>
    <w:rsid w:val="001913F2"/>
    <w:rsid w:val="00191CE8"/>
    <w:rsid w:val="001A2BD8"/>
    <w:rsid w:val="001A5C59"/>
    <w:rsid w:val="001B0365"/>
    <w:rsid w:val="001B32DF"/>
    <w:rsid w:val="001B4CAF"/>
    <w:rsid w:val="001B5BCF"/>
    <w:rsid w:val="001B6BE3"/>
    <w:rsid w:val="001B6C70"/>
    <w:rsid w:val="001C045C"/>
    <w:rsid w:val="001C121C"/>
    <w:rsid w:val="001C20A0"/>
    <w:rsid w:val="001C6B6A"/>
    <w:rsid w:val="001C7203"/>
    <w:rsid w:val="001C7263"/>
    <w:rsid w:val="001D1AC4"/>
    <w:rsid w:val="001E0048"/>
    <w:rsid w:val="001E540F"/>
    <w:rsid w:val="001E75F0"/>
    <w:rsid w:val="001F267A"/>
    <w:rsid w:val="001F611A"/>
    <w:rsid w:val="001F6672"/>
    <w:rsid w:val="002106C8"/>
    <w:rsid w:val="0021235A"/>
    <w:rsid w:val="0021327C"/>
    <w:rsid w:val="00213E5F"/>
    <w:rsid w:val="002147DC"/>
    <w:rsid w:val="00214BA9"/>
    <w:rsid w:val="00220259"/>
    <w:rsid w:val="002206F8"/>
    <w:rsid w:val="00223E6F"/>
    <w:rsid w:val="00224049"/>
    <w:rsid w:val="00224F74"/>
    <w:rsid w:val="0023266A"/>
    <w:rsid w:val="00232B1C"/>
    <w:rsid w:val="002347C4"/>
    <w:rsid w:val="00234D37"/>
    <w:rsid w:val="00234E51"/>
    <w:rsid w:val="00235548"/>
    <w:rsid w:val="0023576D"/>
    <w:rsid w:val="002361EA"/>
    <w:rsid w:val="0023644B"/>
    <w:rsid w:val="00243547"/>
    <w:rsid w:val="00245115"/>
    <w:rsid w:val="00246A56"/>
    <w:rsid w:val="0025131D"/>
    <w:rsid w:val="00253E4D"/>
    <w:rsid w:val="00254983"/>
    <w:rsid w:val="00257103"/>
    <w:rsid w:val="002628F7"/>
    <w:rsid w:val="00265947"/>
    <w:rsid w:val="00270278"/>
    <w:rsid w:val="00270B3D"/>
    <w:rsid w:val="00274609"/>
    <w:rsid w:val="002767B7"/>
    <w:rsid w:val="00276A50"/>
    <w:rsid w:val="002773EC"/>
    <w:rsid w:val="00283209"/>
    <w:rsid w:val="00284765"/>
    <w:rsid w:val="00284788"/>
    <w:rsid w:val="00285CA1"/>
    <w:rsid w:val="002931E7"/>
    <w:rsid w:val="00293C6C"/>
    <w:rsid w:val="00294F50"/>
    <w:rsid w:val="0029593D"/>
    <w:rsid w:val="00296A7A"/>
    <w:rsid w:val="00296FC5"/>
    <w:rsid w:val="002A71B0"/>
    <w:rsid w:val="002A7913"/>
    <w:rsid w:val="002B0D70"/>
    <w:rsid w:val="002B1B32"/>
    <w:rsid w:val="002B2F97"/>
    <w:rsid w:val="002B3A70"/>
    <w:rsid w:val="002B4B5C"/>
    <w:rsid w:val="002B6155"/>
    <w:rsid w:val="002B66C7"/>
    <w:rsid w:val="002C02AC"/>
    <w:rsid w:val="002C0AEF"/>
    <w:rsid w:val="002C1156"/>
    <w:rsid w:val="002C17B3"/>
    <w:rsid w:val="002C2144"/>
    <w:rsid w:val="002C265B"/>
    <w:rsid w:val="002C3815"/>
    <w:rsid w:val="002C50C1"/>
    <w:rsid w:val="002C5F98"/>
    <w:rsid w:val="002D490E"/>
    <w:rsid w:val="002D4BC4"/>
    <w:rsid w:val="002D5B74"/>
    <w:rsid w:val="002D6143"/>
    <w:rsid w:val="002E33C8"/>
    <w:rsid w:val="002E5265"/>
    <w:rsid w:val="002E7A9F"/>
    <w:rsid w:val="002E7E42"/>
    <w:rsid w:val="002F3883"/>
    <w:rsid w:val="002F3B8B"/>
    <w:rsid w:val="002F7A5C"/>
    <w:rsid w:val="0030055D"/>
    <w:rsid w:val="00302E14"/>
    <w:rsid w:val="00303560"/>
    <w:rsid w:val="003047A9"/>
    <w:rsid w:val="00304BAD"/>
    <w:rsid w:val="00306C45"/>
    <w:rsid w:val="003079F9"/>
    <w:rsid w:val="00312627"/>
    <w:rsid w:val="0031666B"/>
    <w:rsid w:val="00317FE5"/>
    <w:rsid w:val="00323FB9"/>
    <w:rsid w:val="00324B53"/>
    <w:rsid w:val="0032593B"/>
    <w:rsid w:val="00327D76"/>
    <w:rsid w:val="00332E3D"/>
    <w:rsid w:val="00334599"/>
    <w:rsid w:val="003345F3"/>
    <w:rsid w:val="00336E78"/>
    <w:rsid w:val="003418F5"/>
    <w:rsid w:val="00343037"/>
    <w:rsid w:val="003441E2"/>
    <w:rsid w:val="00345F56"/>
    <w:rsid w:val="0034724A"/>
    <w:rsid w:val="00350FB5"/>
    <w:rsid w:val="00351BE3"/>
    <w:rsid w:val="003522C7"/>
    <w:rsid w:val="00353184"/>
    <w:rsid w:val="003578F2"/>
    <w:rsid w:val="00363761"/>
    <w:rsid w:val="00365887"/>
    <w:rsid w:val="00366EA3"/>
    <w:rsid w:val="00370315"/>
    <w:rsid w:val="00371D07"/>
    <w:rsid w:val="00372125"/>
    <w:rsid w:val="0037485D"/>
    <w:rsid w:val="003757EF"/>
    <w:rsid w:val="00375C3A"/>
    <w:rsid w:val="003773D1"/>
    <w:rsid w:val="0038389B"/>
    <w:rsid w:val="00383E03"/>
    <w:rsid w:val="00385306"/>
    <w:rsid w:val="00397B2E"/>
    <w:rsid w:val="00397F80"/>
    <w:rsid w:val="003A0BB4"/>
    <w:rsid w:val="003A222E"/>
    <w:rsid w:val="003A39BC"/>
    <w:rsid w:val="003A580E"/>
    <w:rsid w:val="003B19B6"/>
    <w:rsid w:val="003B5849"/>
    <w:rsid w:val="003C183E"/>
    <w:rsid w:val="003C1C38"/>
    <w:rsid w:val="003C2B84"/>
    <w:rsid w:val="003C32AF"/>
    <w:rsid w:val="003C3572"/>
    <w:rsid w:val="003C3D27"/>
    <w:rsid w:val="003C4E88"/>
    <w:rsid w:val="003D0A20"/>
    <w:rsid w:val="003D4950"/>
    <w:rsid w:val="003D68D5"/>
    <w:rsid w:val="003E00A7"/>
    <w:rsid w:val="003E4356"/>
    <w:rsid w:val="003E4CD3"/>
    <w:rsid w:val="003E5661"/>
    <w:rsid w:val="003E7B6C"/>
    <w:rsid w:val="003F080F"/>
    <w:rsid w:val="003F0968"/>
    <w:rsid w:val="003F0EFB"/>
    <w:rsid w:val="003F1257"/>
    <w:rsid w:val="003F346A"/>
    <w:rsid w:val="003F5C7A"/>
    <w:rsid w:val="003F65F6"/>
    <w:rsid w:val="003F7072"/>
    <w:rsid w:val="00404289"/>
    <w:rsid w:val="004062B4"/>
    <w:rsid w:val="004070B2"/>
    <w:rsid w:val="0041284F"/>
    <w:rsid w:val="0041505D"/>
    <w:rsid w:val="00417509"/>
    <w:rsid w:val="00420251"/>
    <w:rsid w:val="00420749"/>
    <w:rsid w:val="00420DB6"/>
    <w:rsid w:val="00421086"/>
    <w:rsid w:val="00421B05"/>
    <w:rsid w:val="00422263"/>
    <w:rsid w:val="004333C1"/>
    <w:rsid w:val="00435247"/>
    <w:rsid w:val="00435A2D"/>
    <w:rsid w:val="00440243"/>
    <w:rsid w:val="004416B7"/>
    <w:rsid w:val="00441D71"/>
    <w:rsid w:val="00444B21"/>
    <w:rsid w:val="00447306"/>
    <w:rsid w:val="00447AE2"/>
    <w:rsid w:val="00447FC8"/>
    <w:rsid w:val="0045002C"/>
    <w:rsid w:val="00450AFC"/>
    <w:rsid w:val="004517FE"/>
    <w:rsid w:val="0045663E"/>
    <w:rsid w:val="004621EF"/>
    <w:rsid w:val="00465289"/>
    <w:rsid w:val="00467833"/>
    <w:rsid w:val="00470945"/>
    <w:rsid w:val="004719D7"/>
    <w:rsid w:val="00471ACF"/>
    <w:rsid w:val="00472C76"/>
    <w:rsid w:val="00473043"/>
    <w:rsid w:val="0047372C"/>
    <w:rsid w:val="00474EC0"/>
    <w:rsid w:val="004755EC"/>
    <w:rsid w:val="00476839"/>
    <w:rsid w:val="004768A6"/>
    <w:rsid w:val="00482F2D"/>
    <w:rsid w:val="004832FB"/>
    <w:rsid w:val="0048753A"/>
    <w:rsid w:val="0048786A"/>
    <w:rsid w:val="00490788"/>
    <w:rsid w:val="00491832"/>
    <w:rsid w:val="00493A8D"/>
    <w:rsid w:val="00495B73"/>
    <w:rsid w:val="00496FC7"/>
    <w:rsid w:val="00497622"/>
    <w:rsid w:val="004A0B4B"/>
    <w:rsid w:val="004A2621"/>
    <w:rsid w:val="004A266A"/>
    <w:rsid w:val="004A311D"/>
    <w:rsid w:val="004A3AE5"/>
    <w:rsid w:val="004A463E"/>
    <w:rsid w:val="004A6207"/>
    <w:rsid w:val="004A6500"/>
    <w:rsid w:val="004B025C"/>
    <w:rsid w:val="004B291A"/>
    <w:rsid w:val="004B2C65"/>
    <w:rsid w:val="004B35B0"/>
    <w:rsid w:val="004B5A36"/>
    <w:rsid w:val="004B5BF9"/>
    <w:rsid w:val="004B7D7C"/>
    <w:rsid w:val="004C377A"/>
    <w:rsid w:val="004C4196"/>
    <w:rsid w:val="004D5B72"/>
    <w:rsid w:val="004D6E33"/>
    <w:rsid w:val="004D729C"/>
    <w:rsid w:val="004E2C94"/>
    <w:rsid w:val="004E589F"/>
    <w:rsid w:val="004E6D7D"/>
    <w:rsid w:val="004F13E5"/>
    <w:rsid w:val="004F26AA"/>
    <w:rsid w:val="004F716D"/>
    <w:rsid w:val="004F7D85"/>
    <w:rsid w:val="00501A4B"/>
    <w:rsid w:val="005027EB"/>
    <w:rsid w:val="00504B45"/>
    <w:rsid w:val="00504E4B"/>
    <w:rsid w:val="0051121C"/>
    <w:rsid w:val="00511DAD"/>
    <w:rsid w:val="00512E83"/>
    <w:rsid w:val="005154F0"/>
    <w:rsid w:val="005213DC"/>
    <w:rsid w:val="00521D96"/>
    <w:rsid w:val="005220E3"/>
    <w:rsid w:val="005220EA"/>
    <w:rsid w:val="00525E37"/>
    <w:rsid w:val="0052708A"/>
    <w:rsid w:val="00527C8C"/>
    <w:rsid w:val="00527F9F"/>
    <w:rsid w:val="005306A6"/>
    <w:rsid w:val="005330AE"/>
    <w:rsid w:val="005353C7"/>
    <w:rsid w:val="00536A12"/>
    <w:rsid w:val="00536B84"/>
    <w:rsid w:val="00543A78"/>
    <w:rsid w:val="00543F58"/>
    <w:rsid w:val="00545B07"/>
    <w:rsid w:val="00551225"/>
    <w:rsid w:val="0055233E"/>
    <w:rsid w:val="00552B98"/>
    <w:rsid w:val="00553DF3"/>
    <w:rsid w:val="00556C0D"/>
    <w:rsid w:val="00562161"/>
    <w:rsid w:val="0056638B"/>
    <w:rsid w:val="005667CF"/>
    <w:rsid w:val="00566D27"/>
    <w:rsid w:val="00567035"/>
    <w:rsid w:val="00571C20"/>
    <w:rsid w:val="00572577"/>
    <w:rsid w:val="00572B8E"/>
    <w:rsid w:val="005736F2"/>
    <w:rsid w:val="005754F2"/>
    <w:rsid w:val="005764ED"/>
    <w:rsid w:val="00576841"/>
    <w:rsid w:val="005802C2"/>
    <w:rsid w:val="00581874"/>
    <w:rsid w:val="00581A6C"/>
    <w:rsid w:val="005827A2"/>
    <w:rsid w:val="00591F0C"/>
    <w:rsid w:val="0059219E"/>
    <w:rsid w:val="00594716"/>
    <w:rsid w:val="005A2E2D"/>
    <w:rsid w:val="005A3ECD"/>
    <w:rsid w:val="005A4904"/>
    <w:rsid w:val="005A71CA"/>
    <w:rsid w:val="005B0985"/>
    <w:rsid w:val="005B1801"/>
    <w:rsid w:val="005B21E7"/>
    <w:rsid w:val="005B465E"/>
    <w:rsid w:val="005C2FF5"/>
    <w:rsid w:val="005D0CD7"/>
    <w:rsid w:val="005D5F1D"/>
    <w:rsid w:val="005E03E7"/>
    <w:rsid w:val="005E2BBC"/>
    <w:rsid w:val="005E2F87"/>
    <w:rsid w:val="005E326A"/>
    <w:rsid w:val="005E3C13"/>
    <w:rsid w:val="005E7473"/>
    <w:rsid w:val="005E7CE7"/>
    <w:rsid w:val="005F0411"/>
    <w:rsid w:val="005F23BE"/>
    <w:rsid w:val="005F50F3"/>
    <w:rsid w:val="005F56EA"/>
    <w:rsid w:val="005F737E"/>
    <w:rsid w:val="006059F8"/>
    <w:rsid w:val="00611AA5"/>
    <w:rsid w:val="00612168"/>
    <w:rsid w:val="00612FA4"/>
    <w:rsid w:val="00614043"/>
    <w:rsid w:val="006151C7"/>
    <w:rsid w:val="00615709"/>
    <w:rsid w:val="00620C77"/>
    <w:rsid w:val="00622FD0"/>
    <w:rsid w:val="00623470"/>
    <w:rsid w:val="0062515D"/>
    <w:rsid w:val="00632AEE"/>
    <w:rsid w:val="006332C4"/>
    <w:rsid w:val="00633C0A"/>
    <w:rsid w:val="0063571A"/>
    <w:rsid w:val="006374D0"/>
    <w:rsid w:val="00637EFF"/>
    <w:rsid w:val="00641072"/>
    <w:rsid w:val="00642D6E"/>
    <w:rsid w:val="00643C20"/>
    <w:rsid w:val="00646528"/>
    <w:rsid w:val="006471E7"/>
    <w:rsid w:val="006513D4"/>
    <w:rsid w:val="0065284C"/>
    <w:rsid w:val="00653169"/>
    <w:rsid w:val="006616C3"/>
    <w:rsid w:val="006629CF"/>
    <w:rsid w:val="0066327E"/>
    <w:rsid w:val="006678F1"/>
    <w:rsid w:val="00667E72"/>
    <w:rsid w:val="00672475"/>
    <w:rsid w:val="0067339A"/>
    <w:rsid w:val="006733AF"/>
    <w:rsid w:val="00673E69"/>
    <w:rsid w:val="00674563"/>
    <w:rsid w:val="006761AA"/>
    <w:rsid w:val="0067689E"/>
    <w:rsid w:val="00681BAF"/>
    <w:rsid w:val="00683765"/>
    <w:rsid w:val="00683ADB"/>
    <w:rsid w:val="00684215"/>
    <w:rsid w:val="00684CCE"/>
    <w:rsid w:val="006850FB"/>
    <w:rsid w:val="00690B94"/>
    <w:rsid w:val="006926BE"/>
    <w:rsid w:val="00692B5F"/>
    <w:rsid w:val="00697D60"/>
    <w:rsid w:val="006A51F6"/>
    <w:rsid w:val="006A615C"/>
    <w:rsid w:val="006B3B85"/>
    <w:rsid w:val="006B45FB"/>
    <w:rsid w:val="006B6040"/>
    <w:rsid w:val="006B649F"/>
    <w:rsid w:val="006C12D1"/>
    <w:rsid w:val="006C5ED3"/>
    <w:rsid w:val="006C6751"/>
    <w:rsid w:val="006D5350"/>
    <w:rsid w:val="006E0494"/>
    <w:rsid w:val="006E40E2"/>
    <w:rsid w:val="006E502C"/>
    <w:rsid w:val="006F0145"/>
    <w:rsid w:val="006F0AD9"/>
    <w:rsid w:val="006F3AF4"/>
    <w:rsid w:val="006F4511"/>
    <w:rsid w:val="006F71D9"/>
    <w:rsid w:val="006F7562"/>
    <w:rsid w:val="006F75C5"/>
    <w:rsid w:val="006F7912"/>
    <w:rsid w:val="007026D8"/>
    <w:rsid w:val="00707904"/>
    <w:rsid w:val="00707E44"/>
    <w:rsid w:val="007154DB"/>
    <w:rsid w:val="00717081"/>
    <w:rsid w:val="00721288"/>
    <w:rsid w:val="00721B72"/>
    <w:rsid w:val="00722BA2"/>
    <w:rsid w:val="00723394"/>
    <w:rsid w:val="00723456"/>
    <w:rsid w:val="00730DD2"/>
    <w:rsid w:val="00731B9A"/>
    <w:rsid w:val="00735D88"/>
    <w:rsid w:val="00737974"/>
    <w:rsid w:val="007424C7"/>
    <w:rsid w:val="00750440"/>
    <w:rsid w:val="0075393B"/>
    <w:rsid w:val="007613DC"/>
    <w:rsid w:val="00763961"/>
    <w:rsid w:val="00764DCF"/>
    <w:rsid w:val="0076567C"/>
    <w:rsid w:val="007677EB"/>
    <w:rsid w:val="00776F25"/>
    <w:rsid w:val="00780606"/>
    <w:rsid w:val="007823C5"/>
    <w:rsid w:val="00786D1E"/>
    <w:rsid w:val="0079085B"/>
    <w:rsid w:val="0079217E"/>
    <w:rsid w:val="00793A95"/>
    <w:rsid w:val="00794BFD"/>
    <w:rsid w:val="00796687"/>
    <w:rsid w:val="007A010C"/>
    <w:rsid w:val="007A0C01"/>
    <w:rsid w:val="007A22FB"/>
    <w:rsid w:val="007A2E05"/>
    <w:rsid w:val="007A3166"/>
    <w:rsid w:val="007A55CD"/>
    <w:rsid w:val="007A685F"/>
    <w:rsid w:val="007B11DB"/>
    <w:rsid w:val="007B614F"/>
    <w:rsid w:val="007B6F5E"/>
    <w:rsid w:val="007B71D0"/>
    <w:rsid w:val="007C04FE"/>
    <w:rsid w:val="007C65D2"/>
    <w:rsid w:val="007C6CF9"/>
    <w:rsid w:val="007D0D2C"/>
    <w:rsid w:val="007D17BE"/>
    <w:rsid w:val="007D363C"/>
    <w:rsid w:val="007E2968"/>
    <w:rsid w:val="007E2BC1"/>
    <w:rsid w:val="007E2D40"/>
    <w:rsid w:val="007E5695"/>
    <w:rsid w:val="007E6FFC"/>
    <w:rsid w:val="007F11E4"/>
    <w:rsid w:val="007F146A"/>
    <w:rsid w:val="007F69C6"/>
    <w:rsid w:val="007F6A2A"/>
    <w:rsid w:val="007F7A06"/>
    <w:rsid w:val="00805EA7"/>
    <w:rsid w:val="008073CC"/>
    <w:rsid w:val="00811089"/>
    <w:rsid w:val="00814D4D"/>
    <w:rsid w:val="008211A4"/>
    <w:rsid w:val="00825247"/>
    <w:rsid w:val="0082595F"/>
    <w:rsid w:val="00830FBE"/>
    <w:rsid w:val="008314E7"/>
    <w:rsid w:val="00831B27"/>
    <w:rsid w:val="00831D49"/>
    <w:rsid w:val="00833387"/>
    <w:rsid w:val="008337E5"/>
    <w:rsid w:val="00836A48"/>
    <w:rsid w:val="00841ACA"/>
    <w:rsid w:val="00841D9C"/>
    <w:rsid w:val="00843B82"/>
    <w:rsid w:val="0084698F"/>
    <w:rsid w:val="00846F8A"/>
    <w:rsid w:val="0084739B"/>
    <w:rsid w:val="0085243B"/>
    <w:rsid w:val="0085373E"/>
    <w:rsid w:val="00855452"/>
    <w:rsid w:val="00856C84"/>
    <w:rsid w:val="00860F3F"/>
    <w:rsid w:val="00861EDC"/>
    <w:rsid w:val="0086283F"/>
    <w:rsid w:val="008651B2"/>
    <w:rsid w:val="00865F3E"/>
    <w:rsid w:val="00866B1A"/>
    <w:rsid w:val="008673ED"/>
    <w:rsid w:val="00867476"/>
    <w:rsid w:val="00871EAA"/>
    <w:rsid w:val="00872470"/>
    <w:rsid w:val="00872CC1"/>
    <w:rsid w:val="0087777F"/>
    <w:rsid w:val="008828C9"/>
    <w:rsid w:val="00885261"/>
    <w:rsid w:val="00891FDD"/>
    <w:rsid w:val="00891FFC"/>
    <w:rsid w:val="00893085"/>
    <w:rsid w:val="008957BD"/>
    <w:rsid w:val="00897B7B"/>
    <w:rsid w:val="008A017E"/>
    <w:rsid w:val="008A03ED"/>
    <w:rsid w:val="008A1D8F"/>
    <w:rsid w:val="008A1F1D"/>
    <w:rsid w:val="008A2BFA"/>
    <w:rsid w:val="008A366F"/>
    <w:rsid w:val="008A48DC"/>
    <w:rsid w:val="008A5343"/>
    <w:rsid w:val="008A54EE"/>
    <w:rsid w:val="008A6F6B"/>
    <w:rsid w:val="008B25BB"/>
    <w:rsid w:val="008B5E82"/>
    <w:rsid w:val="008B6F2A"/>
    <w:rsid w:val="008B77EE"/>
    <w:rsid w:val="008C18FA"/>
    <w:rsid w:val="008C2D6D"/>
    <w:rsid w:val="008C53FB"/>
    <w:rsid w:val="008C6706"/>
    <w:rsid w:val="008C703B"/>
    <w:rsid w:val="008C70C2"/>
    <w:rsid w:val="008C748A"/>
    <w:rsid w:val="008C7FA8"/>
    <w:rsid w:val="008D16F8"/>
    <w:rsid w:val="008D59E9"/>
    <w:rsid w:val="008D6AFD"/>
    <w:rsid w:val="008D7420"/>
    <w:rsid w:val="008E180C"/>
    <w:rsid w:val="008E1EC6"/>
    <w:rsid w:val="008E50EC"/>
    <w:rsid w:val="008E6BA9"/>
    <w:rsid w:val="008E6DD9"/>
    <w:rsid w:val="008F03CF"/>
    <w:rsid w:val="008F0832"/>
    <w:rsid w:val="008F085F"/>
    <w:rsid w:val="008F0AA5"/>
    <w:rsid w:val="008F0B7D"/>
    <w:rsid w:val="008F3EFC"/>
    <w:rsid w:val="008F459E"/>
    <w:rsid w:val="008F4E5D"/>
    <w:rsid w:val="00900A44"/>
    <w:rsid w:val="0090128B"/>
    <w:rsid w:val="009029ED"/>
    <w:rsid w:val="00904BE1"/>
    <w:rsid w:val="0090500F"/>
    <w:rsid w:val="00907CF2"/>
    <w:rsid w:val="009166DA"/>
    <w:rsid w:val="00920A63"/>
    <w:rsid w:val="009228FB"/>
    <w:rsid w:val="00923E73"/>
    <w:rsid w:val="009261BA"/>
    <w:rsid w:val="009330CE"/>
    <w:rsid w:val="00936192"/>
    <w:rsid w:val="009374CB"/>
    <w:rsid w:val="00940243"/>
    <w:rsid w:val="009422E2"/>
    <w:rsid w:val="00943609"/>
    <w:rsid w:val="00943D7C"/>
    <w:rsid w:val="00944B88"/>
    <w:rsid w:val="00945EB5"/>
    <w:rsid w:val="0094652F"/>
    <w:rsid w:val="00947427"/>
    <w:rsid w:val="00952E5D"/>
    <w:rsid w:val="009537D0"/>
    <w:rsid w:val="00953AD6"/>
    <w:rsid w:val="0095517B"/>
    <w:rsid w:val="0095570C"/>
    <w:rsid w:val="009573AB"/>
    <w:rsid w:val="009624CD"/>
    <w:rsid w:val="009628C6"/>
    <w:rsid w:val="009775AC"/>
    <w:rsid w:val="00980604"/>
    <w:rsid w:val="009824CF"/>
    <w:rsid w:val="0098319E"/>
    <w:rsid w:val="009911DA"/>
    <w:rsid w:val="00993F83"/>
    <w:rsid w:val="00994022"/>
    <w:rsid w:val="00994CEB"/>
    <w:rsid w:val="00996381"/>
    <w:rsid w:val="00996AAE"/>
    <w:rsid w:val="009A07EA"/>
    <w:rsid w:val="009A35AE"/>
    <w:rsid w:val="009A3A27"/>
    <w:rsid w:val="009A41E1"/>
    <w:rsid w:val="009A66B6"/>
    <w:rsid w:val="009B0D1C"/>
    <w:rsid w:val="009B0E0D"/>
    <w:rsid w:val="009B4FC6"/>
    <w:rsid w:val="009B55A4"/>
    <w:rsid w:val="009C7FAA"/>
    <w:rsid w:val="009D43CC"/>
    <w:rsid w:val="009D5D55"/>
    <w:rsid w:val="009D76FD"/>
    <w:rsid w:val="009E004F"/>
    <w:rsid w:val="009E14E3"/>
    <w:rsid w:val="009E48E2"/>
    <w:rsid w:val="009E6958"/>
    <w:rsid w:val="009F2793"/>
    <w:rsid w:val="009F27FD"/>
    <w:rsid w:val="009F41BF"/>
    <w:rsid w:val="009F6FC1"/>
    <w:rsid w:val="009F7DFF"/>
    <w:rsid w:val="00A10731"/>
    <w:rsid w:val="00A148AB"/>
    <w:rsid w:val="00A17F80"/>
    <w:rsid w:val="00A204EF"/>
    <w:rsid w:val="00A23349"/>
    <w:rsid w:val="00A2389B"/>
    <w:rsid w:val="00A248E5"/>
    <w:rsid w:val="00A25A00"/>
    <w:rsid w:val="00A266D9"/>
    <w:rsid w:val="00A30665"/>
    <w:rsid w:val="00A30818"/>
    <w:rsid w:val="00A30C9C"/>
    <w:rsid w:val="00A33F21"/>
    <w:rsid w:val="00A37BEA"/>
    <w:rsid w:val="00A427DB"/>
    <w:rsid w:val="00A43275"/>
    <w:rsid w:val="00A47031"/>
    <w:rsid w:val="00A47DDE"/>
    <w:rsid w:val="00A5090E"/>
    <w:rsid w:val="00A516BB"/>
    <w:rsid w:val="00A52583"/>
    <w:rsid w:val="00A548DC"/>
    <w:rsid w:val="00A55C67"/>
    <w:rsid w:val="00A57329"/>
    <w:rsid w:val="00A603CB"/>
    <w:rsid w:val="00A61F73"/>
    <w:rsid w:val="00A62A7D"/>
    <w:rsid w:val="00A631E3"/>
    <w:rsid w:val="00A634DE"/>
    <w:rsid w:val="00A63C59"/>
    <w:rsid w:val="00A64F32"/>
    <w:rsid w:val="00A65A3C"/>
    <w:rsid w:val="00A65B37"/>
    <w:rsid w:val="00A7108F"/>
    <w:rsid w:val="00A71932"/>
    <w:rsid w:val="00A741B3"/>
    <w:rsid w:val="00A75463"/>
    <w:rsid w:val="00A75678"/>
    <w:rsid w:val="00A8187E"/>
    <w:rsid w:val="00A8299A"/>
    <w:rsid w:val="00A85593"/>
    <w:rsid w:val="00A9094F"/>
    <w:rsid w:val="00A91262"/>
    <w:rsid w:val="00A9195B"/>
    <w:rsid w:val="00A9765E"/>
    <w:rsid w:val="00AA0D8F"/>
    <w:rsid w:val="00AA129B"/>
    <w:rsid w:val="00AB101E"/>
    <w:rsid w:val="00AB1D27"/>
    <w:rsid w:val="00AB2C4D"/>
    <w:rsid w:val="00AB58C2"/>
    <w:rsid w:val="00AB6143"/>
    <w:rsid w:val="00AB6A7F"/>
    <w:rsid w:val="00AC3CF8"/>
    <w:rsid w:val="00AC3D03"/>
    <w:rsid w:val="00AC41EE"/>
    <w:rsid w:val="00AC4D78"/>
    <w:rsid w:val="00AC5159"/>
    <w:rsid w:val="00AC55A1"/>
    <w:rsid w:val="00AC7375"/>
    <w:rsid w:val="00AC7A7A"/>
    <w:rsid w:val="00AC7DF6"/>
    <w:rsid w:val="00AD132B"/>
    <w:rsid w:val="00AD27B1"/>
    <w:rsid w:val="00AD27F3"/>
    <w:rsid w:val="00AD4CC5"/>
    <w:rsid w:val="00AD5AE1"/>
    <w:rsid w:val="00AE01B7"/>
    <w:rsid w:val="00AE1CE0"/>
    <w:rsid w:val="00AF02A5"/>
    <w:rsid w:val="00AF1270"/>
    <w:rsid w:val="00AF1A34"/>
    <w:rsid w:val="00AF34E5"/>
    <w:rsid w:val="00AF4743"/>
    <w:rsid w:val="00AF5BFD"/>
    <w:rsid w:val="00AF681B"/>
    <w:rsid w:val="00AF714F"/>
    <w:rsid w:val="00B00C3F"/>
    <w:rsid w:val="00B06BAC"/>
    <w:rsid w:val="00B20776"/>
    <w:rsid w:val="00B21239"/>
    <w:rsid w:val="00B21437"/>
    <w:rsid w:val="00B219FA"/>
    <w:rsid w:val="00B22112"/>
    <w:rsid w:val="00B22687"/>
    <w:rsid w:val="00B242BD"/>
    <w:rsid w:val="00B24AD4"/>
    <w:rsid w:val="00B301CD"/>
    <w:rsid w:val="00B31A41"/>
    <w:rsid w:val="00B325CF"/>
    <w:rsid w:val="00B331EC"/>
    <w:rsid w:val="00B3481E"/>
    <w:rsid w:val="00B348A3"/>
    <w:rsid w:val="00B3513E"/>
    <w:rsid w:val="00B356FD"/>
    <w:rsid w:val="00B41365"/>
    <w:rsid w:val="00B43017"/>
    <w:rsid w:val="00B46394"/>
    <w:rsid w:val="00B50177"/>
    <w:rsid w:val="00B50553"/>
    <w:rsid w:val="00B52E7C"/>
    <w:rsid w:val="00B60EF5"/>
    <w:rsid w:val="00B6545F"/>
    <w:rsid w:val="00B6581B"/>
    <w:rsid w:val="00B66386"/>
    <w:rsid w:val="00B67273"/>
    <w:rsid w:val="00B712F1"/>
    <w:rsid w:val="00B74475"/>
    <w:rsid w:val="00B8023B"/>
    <w:rsid w:val="00B80D86"/>
    <w:rsid w:val="00B825D4"/>
    <w:rsid w:val="00B84FC8"/>
    <w:rsid w:val="00B8638E"/>
    <w:rsid w:val="00B87DA8"/>
    <w:rsid w:val="00B87DE7"/>
    <w:rsid w:val="00B91E95"/>
    <w:rsid w:val="00B92DE9"/>
    <w:rsid w:val="00B943D8"/>
    <w:rsid w:val="00B96351"/>
    <w:rsid w:val="00B96E15"/>
    <w:rsid w:val="00B97590"/>
    <w:rsid w:val="00B97E13"/>
    <w:rsid w:val="00BA132D"/>
    <w:rsid w:val="00BA3747"/>
    <w:rsid w:val="00BA73DC"/>
    <w:rsid w:val="00BB1F5F"/>
    <w:rsid w:val="00BB3505"/>
    <w:rsid w:val="00BC02B7"/>
    <w:rsid w:val="00BC6CC1"/>
    <w:rsid w:val="00BD01CA"/>
    <w:rsid w:val="00BD091C"/>
    <w:rsid w:val="00BD19AE"/>
    <w:rsid w:val="00BD2852"/>
    <w:rsid w:val="00BD4D9F"/>
    <w:rsid w:val="00BD5699"/>
    <w:rsid w:val="00BD612C"/>
    <w:rsid w:val="00BD61E2"/>
    <w:rsid w:val="00BE01A3"/>
    <w:rsid w:val="00BE07FE"/>
    <w:rsid w:val="00BE0F84"/>
    <w:rsid w:val="00BE3CAD"/>
    <w:rsid w:val="00BE4104"/>
    <w:rsid w:val="00BE50CA"/>
    <w:rsid w:val="00BF253B"/>
    <w:rsid w:val="00BF35C8"/>
    <w:rsid w:val="00BF6AFD"/>
    <w:rsid w:val="00BF6E84"/>
    <w:rsid w:val="00C10885"/>
    <w:rsid w:val="00C11245"/>
    <w:rsid w:val="00C112E9"/>
    <w:rsid w:val="00C149A4"/>
    <w:rsid w:val="00C14C28"/>
    <w:rsid w:val="00C14DFD"/>
    <w:rsid w:val="00C1684F"/>
    <w:rsid w:val="00C25036"/>
    <w:rsid w:val="00C262A5"/>
    <w:rsid w:val="00C3038A"/>
    <w:rsid w:val="00C30542"/>
    <w:rsid w:val="00C3060B"/>
    <w:rsid w:val="00C30BAD"/>
    <w:rsid w:val="00C30BDC"/>
    <w:rsid w:val="00C341C8"/>
    <w:rsid w:val="00C35A8B"/>
    <w:rsid w:val="00C36121"/>
    <w:rsid w:val="00C363A8"/>
    <w:rsid w:val="00C3779D"/>
    <w:rsid w:val="00C37B39"/>
    <w:rsid w:val="00C42EF8"/>
    <w:rsid w:val="00C44459"/>
    <w:rsid w:val="00C44CE2"/>
    <w:rsid w:val="00C451C8"/>
    <w:rsid w:val="00C456EC"/>
    <w:rsid w:val="00C46716"/>
    <w:rsid w:val="00C46AC6"/>
    <w:rsid w:val="00C47570"/>
    <w:rsid w:val="00C47A68"/>
    <w:rsid w:val="00C547AB"/>
    <w:rsid w:val="00C60038"/>
    <w:rsid w:val="00C657FF"/>
    <w:rsid w:val="00C65D9A"/>
    <w:rsid w:val="00C66DD5"/>
    <w:rsid w:val="00C73005"/>
    <w:rsid w:val="00C734F9"/>
    <w:rsid w:val="00C742F6"/>
    <w:rsid w:val="00C769AD"/>
    <w:rsid w:val="00C76C4C"/>
    <w:rsid w:val="00C80E30"/>
    <w:rsid w:val="00C81526"/>
    <w:rsid w:val="00C81D84"/>
    <w:rsid w:val="00C839C6"/>
    <w:rsid w:val="00C85BBA"/>
    <w:rsid w:val="00C85EAE"/>
    <w:rsid w:val="00C9268E"/>
    <w:rsid w:val="00C96540"/>
    <w:rsid w:val="00C969E7"/>
    <w:rsid w:val="00CA2831"/>
    <w:rsid w:val="00CA4866"/>
    <w:rsid w:val="00CA5419"/>
    <w:rsid w:val="00CA5A8F"/>
    <w:rsid w:val="00CA6EA8"/>
    <w:rsid w:val="00CB522B"/>
    <w:rsid w:val="00CC07AE"/>
    <w:rsid w:val="00CC100E"/>
    <w:rsid w:val="00CD4955"/>
    <w:rsid w:val="00CD6FA0"/>
    <w:rsid w:val="00CE1779"/>
    <w:rsid w:val="00CE1CC8"/>
    <w:rsid w:val="00CE39D4"/>
    <w:rsid w:val="00CE6BDF"/>
    <w:rsid w:val="00CF2344"/>
    <w:rsid w:val="00CF46BA"/>
    <w:rsid w:val="00CF4B5B"/>
    <w:rsid w:val="00CF7629"/>
    <w:rsid w:val="00CF78D6"/>
    <w:rsid w:val="00D02662"/>
    <w:rsid w:val="00D04DC7"/>
    <w:rsid w:val="00D05EFE"/>
    <w:rsid w:val="00D0701C"/>
    <w:rsid w:val="00D07050"/>
    <w:rsid w:val="00D11CC4"/>
    <w:rsid w:val="00D128B8"/>
    <w:rsid w:val="00D135C1"/>
    <w:rsid w:val="00D15EAE"/>
    <w:rsid w:val="00D167B1"/>
    <w:rsid w:val="00D16D9C"/>
    <w:rsid w:val="00D16F38"/>
    <w:rsid w:val="00D16F68"/>
    <w:rsid w:val="00D2075A"/>
    <w:rsid w:val="00D20A74"/>
    <w:rsid w:val="00D26797"/>
    <w:rsid w:val="00D27703"/>
    <w:rsid w:val="00D35666"/>
    <w:rsid w:val="00D3684C"/>
    <w:rsid w:val="00D43C65"/>
    <w:rsid w:val="00D50154"/>
    <w:rsid w:val="00D51C3C"/>
    <w:rsid w:val="00D547C1"/>
    <w:rsid w:val="00D60B97"/>
    <w:rsid w:val="00D610B1"/>
    <w:rsid w:val="00D62934"/>
    <w:rsid w:val="00D62DAF"/>
    <w:rsid w:val="00D639DC"/>
    <w:rsid w:val="00D65C3F"/>
    <w:rsid w:val="00D67398"/>
    <w:rsid w:val="00D7182C"/>
    <w:rsid w:val="00D7192D"/>
    <w:rsid w:val="00D72626"/>
    <w:rsid w:val="00D72E53"/>
    <w:rsid w:val="00D7347F"/>
    <w:rsid w:val="00D73A50"/>
    <w:rsid w:val="00D755F2"/>
    <w:rsid w:val="00D8064D"/>
    <w:rsid w:val="00D81671"/>
    <w:rsid w:val="00D83B87"/>
    <w:rsid w:val="00D840D3"/>
    <w:rsid w:val="00D8703B"/>
    <w:rsid w:val="00D8740D"/>
    <w:rsid w:val="00D87F69"/>
    <w:rsid w:val="00D9294C"/>
    <w:rsid w:val="00D93849"/>
    <w:rsid w:val="00D962DA"/>
    <w:rsid w:val="00DA2A39"/>
    <w:rsid w:val="00DA4676"/>
    <w:rsid w:val="00DA4CB5"/>
    <w:rsid w:val="00DA6E2E"/>
    <w:rsid w:val="00DB0731"/>
    <w:rsid w:val="00DB4B8B"/>
    <w:rsid w:val="00DC49C6"/>
    <w:rsid w:val="00DC5B42"/>
    <w:rsid w:val="00DC6521"/>
    <w:rsid w:val="00DC678C"/>
    <w:rsid w:val="00DD0E07"/>
    <w:rsid w:val="00DD3129"/>
    <w:rsid w:val="00DD42F0"/>
    <w:rsid w:val="00DD5BC3"/>
    <w:rsid w:val="00DD6AD0"/>
    <w:rsid w:val="00DD6C4A"/>
    <w:rsid w:val="00DE0B0E"/>
    <w:rsid w:val="00DE6018"/>
    <w:rsid w:val="00DE613F"/>
    <w:rsid w:val="00DE63E5"/>
    <w:rsid w:val="00DF0E62"/>
    <w:rsid w:val="00DF14BE"/>
    <w:rsid w:val="00DF2221"/>
    <w:rsid w:val="00DF237F"/>
    <w:rsid w:val="00DF498A"/>
    <w:rsid w:val="00DF7980"/>
    <w:rsid w:val="00DF7F38"/>
    <w:rsid w:val="00E00365"/>
    <w:rsid w:val="00E0515D"/>
    <w:rsid w:val="00E05BCC"/>
    <w:rsid w:val="00E05EA1"/>
    <w:rsid w:val="00E069F2"/>
    <w:rsid w:val="00E10DCC"/>
    <w:rsid w:val="00E154C2"/>
    <w:rsid w:val="00E17961"/>
    <w:rsid w:val="00E25AA1"/>
    <w:rsid w:val="00E272FF"/>
    <w:rsid w:val="00E32E52"/>
    <w:rsid w:val="00E339FB"/>
    <w:rsid w:val="00E35269"/>
    <w:rsid w:val="00E369AE"/>
    <w:rsid w:val="00E46468"/>
    <w:rsid w:val="00E46F4E"/>
    <w:rsid w:val="00E47D8B"/>
    <w:rsid w:val="00E5118A"/>
    <w:rsid w:val="00E52B39"/>
    <w:rsid w:val="00E54337"/>
    <w:rsid w:val="00E56D20"/>
    <w:rsid w:val="00E57207"/>
    <w:rsid w:val="00E621C9"/>
    <w:rsid w:val="00E6275B"/>
    <w:rsid w:val="00E62DC8"/>
    <w:rsid w:val="00E64224"/>
    <w:rsid w:val="00E65996"/>
    <w:rsid w:val="00E662D0"/>
    <w:rsid w:val="00E736C3"/>
    <w:rsid w:val="00E737EE"/>
    <w:rsid w:val="00E75F55"/>
    <w:rsid w:val="00E76DBE"/>
    <w:rsid w:val="00E81240"/>
    <w:rsid w:val="00E812E2"/>
    <w:rsid w:val="00E8187F"/>
    <w:rsid w:val="00E872F1"/>
    <w:rsid w:val="00E925B1"/>
    <w:rsid w:val="00E93470"/>
    <w:rsid w:val="00E94F49"/>
    <w:rsid w:val="00E9504F"/>
    <w:rsid w:val="00E95C51"/>
    <w:rsid w:val="00EA1959"/>
    <w:rsid w:val="00EA25BE"/>
    <w:rsid w:val="00EA298E"/>
    <w:rsid w:val="00EA29F4"/>
    <w:rsid w:val="00EA3310"/>
    <w:rsid w:val="00EA779E"/>
    <w:rsid w:val="00EB09DF"/>
    <w:rsid w:val="00EB0A64"/>
    <w:rsid w:val="00EB2567"/>
    <w:rsid w:val="00EB2C2E"/>
    <w:rsid w:val="00EB32B8"/>
    <w:rsid w:val="00EB4C95"/>
    <w:rsid w:val="00EB63E2"/>
    <w:rsid w:val="00EB640C"/>
    <w:rsid w:val="00EC2C5B"/>
    <w:rsid w:val="00EC4A52"/>
    <w:rsid w:val="00ED0315"/>
    <w:rsid w:val="00ED14EB"/>
    <w:rsid w:val="00ED1ACB"/>
    <w:rsid w:val="00ED1FB5"/>
    <w:rsid w:val="00ED7488"/>
    <w:rsid w:val="00EE00D9"/>
    <w:rsid w:val="00EE151D"/>
    <w:rsid w:val="00EE1CFA"/>
    <w:rsid w:val="00EE2984"/>
    <w:rsid w:val="00EF16F5"/>
    <w:rsid w:val="00EF3F0F"/>
    <w:rsid w:val="00EF46BC"/>
    <w:rsid w:val="00EF47CD"/>
    <w:rsid w:val="00EF5D71"/>
    <w:rsid w:val="00F01CB3"/>
    <w:rsid w:val="00F02EC1"/>
    <w:rsid w:val="00F07021"/>
    <w:rsid w:val="00F14709"/>
    <w:rsid w:val="00F17C76"/>
    <w:rsid w:val="00F17CC3"/>
    <w:rsid w:val="00F17E6C"/>
    <w:rsid w:val="00F203FA"/>
    <w:rsid w:val="00F21100"/>
    <w:rsid w:val="00F26ED7"/>
    <w:rsid w:val="00F26F9C"/>
    <w:rsid w:val="00F2726B"/>
    <w:rsid w:val="00F279EA"/>
    <w:rsid w:val="00F302DE"/>
    <w:rsid w:val="00F30686"/>
    <w:rsid w:val="00F30F1A"/>
    <w:rsid w:val="00F319E9"/>
    <w:rsid w:val="00F31CAC"/>
    <w:rsid w:val="00F328FB"/>
    <w:rsid w:val="00F32E33"/>
    <w:rsid w:val="00F4162F"/>
    <w:rsid w:val="00F428F7"/>
    <w:rsid w:val="00F43501"/>
    <w:rsid w:val="00F47A2E"/>
    <w:rsid w:val="00F47AED"/>
    <w:rsid w:val="00F50CF9"/>
    <w:rsid w:val="00F52B8E"/>
    <w:rsid w:val="00F55EBE"/>
    <w:rsid w:val="00F57F9F"/>
    <w:rsid w:val="00F60202"/>
    <w:rsid w:val="00F60478"/>
    <w:rsid w:val="00F61D07"/>
    <w:rsid w:val="00F64D9A"/>
    <w:rsid w:val="00F64E46"/>
    <w:rsid w:val="00F677E0"/>
    <w:rsid w:val="00F7067F"/>
    <w:rsid w:val="00F7156D"/>
    <w:rsid w:val="00F7357A"/>
    <w:rsid w:val="00F81CCB"/>
    <w:rsid w:val="00F83F08"/>
    <w:rsid w:val="00F84D9E"/>
    <w:rsid w:val="00F8718A"/>
    <w:rsid w:val="00F95799"/>
    <w:rsid w:val="00F96812"/>
    <w:rsid w:val="00F96F17"/>
    <w:rsid w:val="00FA3B37"/>
    <w:rsid w:val="00FA53E5"/>
    <w:rsid w:val="00FA68E3"/>
    <w:rsid w:val="00FB28A7"/>
    <w:rsid w:val="00FB2BF1"/>
    <w:rsid w:val="00FB4746"/>
    <w:rsid w:val="00FB5CFF"/>
    <w:rsid w:val="00FB6FE5"/>
    <w:rsid w:val="00FB7791"/>
    <w:rsid w:val="00FB7860"/>
    <w:rsid w:val="00FC0B6A"/>
    <w:rsid w:val="00FC2517"/>
    <w:rsid w:val="00FC7686"/>
    <w:rsid w:val="00FD0E61"/>
    <w:rsid w:val="00FD59C8"/>
    <w:rsid w:val="00FE7401"/>
    <w:rsid w:val="00FE7810"/>
    <w:rsid w:val="00FF020D"/>
    <w:rsid w:val="00FF10A0"/>
    <w:rsid w:val="00FF33C5"/>
    <w:rsid w:val="00FF464B"/>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69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E30"/>
    <w:rPr>
      <w:color w:val="404040" w:themeColor="text1" w:themeTint="BF"/>
      <w:sz w:val="24"/>
      <w:szCs w:val="24"/>
    </w:rPr>
  </w:style>
  <w:style w:type="paragraph" w:styleId="Heading1">
    <w:name w:val="heading 1"/>
    <w:basedOn w:val="Normal"/>
    <w:next w:val="Normal"/>
    <w:link w:val="Heading1Char"/>
    <w:uiPriority w:val="9"/>
    <w:qFormat/>
    <w:rsid w:val="00F17C76"/>
    <w:pPr>
      <w:spacing w:before="240" w:after="120" w:line="276" w:lineRule="auto"/>
      <w:ind w:right="20"/>
      <w:outlineLvl w:val="0"/>
    </w:pPr>
    <w:rPr>
      <w:rFonts w:ascii="Arial" w:eastAsiaTheme="majorEastAsia" w:hAnsi="Arial" w:cs="Arial"/>
      <w:b/>
      <w:bCs/>
      <w:color w:val="1F497D" w:themeColor="text2"/>
      <w:kern w:val="2"/>
      <w:sz w:val="28"/>
      <w:szCs w:val="30"/>
    </w:rPr>
  </w:style>
  <w:style w:type="paragraph" w:styleId="Heading2">
    <w:name w:val="heading 2"/>
    <w:basedOn w:val="Heading1"/>
    <w:next w:val="Normal"/>
    <w:link w:val="Heading2Char"/>
    <w:autoRedefine/>
    <w:uiPriority w:val="9"/>
    <w:unhideWhenUsed/>
    <w:qFormat/>
    <w:rsid w:val="00BC6CC1"/>
    <w:pPr>
      <w:spacing w:before="120" w:after="0"/>
      <w:ind w:right="11"/>
      <w:jc w:val="both"/>
      <w:outlineLvl w:val="1"/>
    </w:pPr>
    <w:rPr>
      <w:b w:val="0"/>
      <w:sz w:val="26"/>
      <w:szCs w:val="26"/>
    </w:rPr>
  </w:style>
  <w:style w:type="paragraph" w:styleId="Heading3">
    <w:name w:val="heading 3"/>
    <w:basedOn w:val="Normal"/>
    <w:next w:val="Normal"/>
    <w:link w:val="Heading3Char"/>
    <w:uiPriority w:val="9"/>
    <w:unhideWhenUsed/>
    <w:qFormat/>
    <w:rsid w:val="00143D9E"/>
    <w:pPr>
      <w:keepNext/>
      <w:keepLines/>
      <w:spacing w:before="200" w:after="120"/>
      <w:outlineLvl w:val="2"/>
    </w:pPr>
    <w:rPr>
      <w:rFonts w:ascii="Arial Narrow" w:eastAsiaTheme="majorEastAsia" w:hAnsi="Arial Narrow" w:cstheme="majorBidi"/>
      <w:bCs/>
      <w:color w:val="632423" w:themeColor="accent2" w:themeShade="80"/>
      <w:kern w:val="2"/>
    </w:rPr>
  </w:style>
  <w:style w:type="paragraph" w:styleId="Heading4">
    <w:name w:val="heading 4"/>
    <w:basedOn w:val="Normal"/>
    <w:next w:val="Normal"/>
    <w:link w:val="Heading4Char"/>
    <w:uiPriority w:val="9"/>
    <w:unhideWhenUsed/>
    <w:qFormat/>
    <w:rsid w:val="002C265B"/>
    <w:pPr>
      <w:keepNext/>
      <w:keepLines/>
      <w:tabs>
        <w:tab w:val="left" w:pos="450"/>
      </w:tabs>
      <w:spacing w:before="240" w:after="120"/>
      <w:outlineLvl w:val="3"/>
    </w:pPr>
    <w:rPr>
      <w:rFonts w:asciiTheme="majorHAnsi" w:eastAsiaTheme="majorEastAsia" w:hAnsiTheme="majorHAnsi" w:cstheme="majorBidi"/>
      <w:b/>
      <w:bCs/>
      <w:color w:val="632423" w:themeColor="accent2" w:themeShade="80"/>
    </w:rPr>
  </w:style>
  <w:style w:type="paragraph" w:styleId="Heading5">
    <w:name w:val="heading 5"/>
    <w:basedOn w:val="Normal"/>
    <w:next w:val="Normal"/>
    <w:link w:val="Heading5Char"/>
    <w:unhideWhenUsed/>
    <w:qFormat/>
    <w:rsid w:val="000F1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76"/>
    <w:rPr>
      <w:rFonts w:ascii="Arial" w:eastAsiaTheme="majorEastAsia" w:hAnsi="Arial" w:cs="Arial"/>
      <w:b/>
      <w:bCs/>
      <w:color w:val="1F497D" w:themeColor="text2"/>
      <w:kern w:val="2"/>
      <w:sz w:val="28"/>
      <w:szCs w:val="30"/>
    </w:rPr>
  </w:style>
  <w:style w:type="character" w:customStyle="1" w:styleId="Heading2Char">
    <w:name w:val="Heading 2 Char"/>
    <w:basedOn w:val="DefaultParagraphFont"/>
    <w:link w:val="Heading2"/>
    <w:uiPriority w:val="9"/>
    <w:rsid w:val="00BC6CC1"/>
    <w:rPr>
      <w:rFonts w:ascii="Arial" w:eastAsiaTheme="majorEastAsia" w:hAnsi="Arial" w:cs="Arial"/>
      <w:bCs/>
      <w:color w:val="1F497D" w:themeColor="text2"/>
      <w:kern w:val="2"/>
      <w:sz w:val="26"/>
      <w:szCs w:val="26"/>
    </w:rPr>
  </w:style>
  <w:style w:type="character" w:customStyle="1" w:styleId="Heading3Char">
    <w:name w:val="Heading 3 Char"/>
    <w:basedOn w:val="DefaultParagraphFont"/>
    <w:link w:val="Heading3"/>
    <w:uiPriority w:val="9"/>
    <w:rsid w:val="00143D9E"/>
    <w:rPr>
      <w:rFonts w:ascii="Arial Narrow" w:eastAsiaTheme="majorEastAsia" w:hAnsi="Arial Narrow" w:cstheme="majorBidi"/>
      <w:bCs/>
      <w:color w:val="632423" w:themeColor="accent2" w:themeShade="80"/>
      <w:kern w:val="2"/>
      <w:sz w:val="24"/>
      <w:szCs w:val="24"/>
    </w:rPr>
  </w:style>
  <w:style w:type="character" w:customStyle="1" w:styleId="Heading4Char">
    <w:name w:val="Heading 4 Char"/>
    <w:basedOn w:val="DefaultParagraphFont"/>
    <w:link w:val="Heading4"/>
    <w:uiPriority w:val="9"/>
    <w:rsid w:val="002C265B"/>
    <w:rPr>
      <w:rFonts w:asciiTheme="majorHAnsi" w:eastAsiaTheme="majorEastAsia" w:hAnsiTheme="majorHAnsi" w:cstheme="majorBidi"/>
      <w:b/>
      <w:bCs/>
      <w:color w:val="632423" w:themeColor="accent2" w:themeShade="80"/>
      <w:sz w:val="24"/>
      <w:szCs w:val="24"/>
    </w:rPr>
  </w:style>
  <w:style w:type="character" w:customStyle="1" w:styleId="Heading5Char">
    <w:name w:val="Heading 5 Char"/>
    <w:basedOn w:val="DefaultParagraphFont"/>
    <w:link w:val="Heading5"/>
    <w:rsid w:val="000F13F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0F13F6"/>
    <w:pPr>
      <w:numPr>
        <w:ilvl w:val="1"/>
      </w:numPr>
      <w:spacing w:before="1440"/>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8DB3E2" w:themeColor="text2" w:themeTint="66"/>
      <w:spacing w:val="100"/>
      <w:sz w:val="36"/>
      <w:szCs w:val="36"/>
    </w:rPr>
  </w:style>
  <w:style w:type="paragraph" w:styleId="Header">
    <w:name w:val="header"/>
    <w:basedOn w:val="Normal"/>
    <w:link w:val="HeaderChar"/>
    <w:uiPriority w:val="99"/>
    <w:rsid w:val="000F13F6"/>
    <w:pPr>
      <w:spacing w:after="240"/>
    </w:pPr>
    <w:rPr>
      <w:color w:val="1F497D" w:themeColor="text2"/>
    </w:rPr>
  </w:style>
  <w:style w:type="character" w:customStyle="1" w:styleId="HeaderChar">
    <w:name w:val="Header Char"/>
    <w:basedOn w:val="DefaultParagraphFont"/>
    <w:link w:val="Header"/>
    <w:uiPriority w:val="99"/>
    <w:rsid w:val="000F13F6"/>
    <w:rPr>
      <w:color w:val="1F497D" w:themeColor="text2"/>
      <w:sz w:val="24"/>
    </w:rPr>
  </w:style>
  <w:style w:type="paragraph" w:styleId="Title">
    <w:name w:val="Title"/>
    <w:basedOn w:val="Normal"/>
    <w:next w:val="Normal"/>
    <w:link w:val="TitleChar"/>
    <w:qFormat/>
    <w:rsid w:val="000F13F6"/>
    <w:pPr>
      <w:spacing w:before="480" w:after="480"/>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uiPriority w:val="99"/>
    <w:rsid w:val="000F13F6"/>
    <w:pPr>
      <w:spacing w:after="200"/>
    </w:pPr>
  </w:style>
  <w:style w:type="character" w:customStyle="1" w:styleId="BodyTextChar">
    <w:name w:val="Body Text Char"/>
    <w:basedOn w:val="DefaultParagraphFont"/>
    <w:link w:val="BodyText"/>
    <w:uiPriority w:val="99"/>
    <w:rsid w:val="000F13F6"/>
    <w:rPr>
      <w:color w:val="404040" w:themeColor="text1" w:themeTint="BF"/>
      <w:sz w:val="20"/>
    </w:r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548DD4" w:themeFill="text2" w:themeFillTint="99"/>
      </w:tcPr>
    </w:tblStylePr>
    <w:tblStylePr w:type="lastRow">
      <w:rPr>
        <w:color w:val="FFFFFF" w:themeColor="background1"/>
      </w:rPr>
      <w:tblPr/>
      <w:tcPr>
        <w:shd w:val="clear" w:color="auto" w:fill="548DD4" w:themeFill="text2" w:themeFillTint="99"/>
      </w:tcPr>
    </w:tblStylePr>
    <w:tblStylePr w:type="band2Horz">
      <w:tblPr/>
      <w:tcPr>
        <w:shd w:val="clear" w:color="auto" w:fill="C6D9F1" w:themeFill="text2" w:themeFillTint="33"/>
      </w:tcPr>
    </w:tblStylePr>
  </w:style>
  <w:style w:type="paragraph" w:customStyle="1" w:styleId="TableText-Left">
    <w:name w:val="Table Text - Left"/>
    <w:basedOn w:val="Normal"/>
    <w:rsid w:val="000F13F6"/>
    <w:pPr>
      <w:spacing w:before="40" w:after="40"/>
    </w:pPr>
    <w:rPr>
      <w:color w:val="548DD4"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548DD4" w:themeColor="text2" w:themeTint="99"/>
      <w:sz w:val="18"/>
      <w:szCs w:val="18"/>
    </w:rPr>
  </w:style>
  <w:style w:type="paragraph" w:customStyle="1" w:styleId="TableText-Right">
    <w:name w:val="Table Text - Right"/>
    <w:basedOn w:val="Normal"/>
    <w:rsid w:val="000F13F6"/>
    <w:pPr>
      <w:spacing w:before="40" w:after="40"/>
      <w:jc w:val="right"/>
    </w:pPr>
    <w:rPr>
      <w:color w:val="548DD4"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paragraph" w:styleId="BalloonText">
    <w:name w:val="Balloon Text"/>
    <w:basedOn w:val="Normal"/>
    <w:link w:val="BalloonTextChar"/>
    <w:uiPriority w:val="99"/>
    <w:semiHidden/>
    <w:unhideWhenUsed/>
    <w:rsid w:val="000F13F6"/>
    <w:rPr>
      <w:rFonts w:ascii="Tahoma" w:hAnsi="Tahoma" w:cs="Tahoma"/>
      <w:sz w:val="16"/>
      <w:szCs w:val="16"/>
    </w:rPr>
  </w:style>
  <w:style w:type="character" w:customStyle="1" w:styleId="BalloonTextChar">
    <w:name w:val="Balloon Text Char"/>
    <w:basedOn w:val="DefaultParagraphFont"/>
    <w:link w:val="BalloonText"/>
    <w:uiPriority w:val="99"/>
    <w:semiHidden/>
    <w:rsid w:val="000F13F6"/>
    <w:rPr>
      <w:rFonts w:ascii="Tahoma" w:hAnsi="Tahoma" w:cs="Tahoma"/>
      <w:color w:val="404040" w:themeColor="text1" w:themeTint="BF"/>
      <w:sz w:val="16"/>
      <w:szCs w:val="16"/>
    </w:rPr>
  </w:style>
  <w:style w:type="paragraph" w:styleId="Bibliography">
    <w:name w:val="Bibliography"/>
    <w:basedOn w:val="Normal"/>
    <w:next w:val="Normal"/>
    <w:uiPriority w:val="37"/>
    <w:unhideWhenUsed/>
    <w:rsid w:val="000F13F6"/>
  </w:style>
  <w:style w:type="paragraph" w:styleId="BlockText">
    <w:name w:val="Block Text"/>
    <w:basedOn w:val="Normal"/>
    <w:semiHidden/>
    <w:unhideWhenUsed/>
    <w:rsid w:val="000F13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F13F6"/>
    <w:pPr>
      <w:spacing w:after="120"/>
      <w:ind w:left="360"/>
    </w:p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uiPriority w:val="35"/>
    <w:unhideWhenUsed/>
    <w:qFormat/>
    <w:rsid w:val="000F13F6"/>
    <w:pPr>
      <w:spacing w:after="200"/>
    </w:pPr>
    <w:rPr>
      <w:b/>
      <w:bCs/>
      <w:color w:val="4F81BD" w:themeColor="accent1"/>
      <w:sz w:val="18"/>
      <w:szCs w:val="18"/>
    </w:rPr>
  </w:style>
  <w:style w:type="paragraph" w:styleId="Closing">
    <w:name w:val="Closing"/>
    <w:basedOn w:val="Normal"/>
    <w:link w:val="ClosingChar"/>
    <w:semiHidden/>
    <w:unhideWhenUsed/>
    <w:rsid w:val="000F13F6"/>
    <w:pPr>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F13F6"/>
    <w:rPr>
      <w:b/>
      <w:bCs/>
    </w:rPr>
  </w:style>
  <w:style w:type="character" w:customStyle="1" w:styleId="CommentSubjectChar">
    <w:name w:val="Comment Subject Char"/>
    <w:basedOn w:val="CommentTextChar"/>
    <w:link w:val="CommentSubject"/>
    <w:uiPriority w:val="99"/>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uiPriority w:val="99"/>
    <w:unhideWhenUsed/>
    <w:rsid w:val="000F13F6"/>
    <w:rPr>
      <w:szCs w:val="20"/>
    </w:rPr>
  </w:style>
  <w:style w:type="character" w:customStyle="1" w:styleId="EndnoteTextChar">
    <w:name w:val="Endnote Text Char"/>
    <w:basedOn w:val="DefaultParagraphFont"/>
    <w:link w:val="EndnoteText"/>
    <w:uiPriority w:val="99"/>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F13F6"/>
    <w:rPr>
      <w:rFonts w:asciiTheme="majorHAnsi" w:eastAsiaTheme="majorEastAsia" w:hAnsiTheme="majorHAnsi" w:cstheme="majorBidi"/>
      <w:szCs w:val="20"/>
    </w:rPr>
  </w:style>
  <w:style w:type="paragraph" w:styleId="Footer">
    <w:name w:val="footer"/>
    <w:basedOn w:val="Normal"/>
    <w:link w:val="FooterChar"/>
    <w:uiPriority w:val="99"/>
    <w:unhideWhenUsed/>
    <w:rsid w:val="000F13F6"/>
    <w:pPr>
      <w:tabs>
        <w:tab w:val="center" w:pos="4680"/>
        <w:tab w:val="right" w:pos="9360"/>
      </w:tabs>
    </w:pPr>
  </w:style>
  <w:style w:type="character" w:customStyle="1" w:styleId="FooterChar">
    <w:name w:val="Footer Char"/>
    <w:basedOn w:val="DefaultParagraphFont"/>
    <w:link w:val="Footer"/>
    <w:uiPriority w:val="99"/>
    <w:rsid w:val="000F13F6"/>
    <w:rPr>
      <w:color w:val="404040" w:themeColor="text1" w:themeTint="BF"/>
      <w:sz w:val="20"/>
    </w:rPr>
  </w:style>
  <w:style w:type="paragraph" w:styleId="FootnoteText">
    <w:name w:val="footnote text"/>
    <w:basedOn w:val="Normal"/>
    <w:link w:val="FootnoteTextChar"/>
    <w:unhideWhenUsed/>
    <w:rsid w:val="000F13F6"/>
    <w:rPr>
      <w:szCs w:val="20"/>
    </w:rPr>
  </w:style>
  <w:style w:type="character" w:customStyle="1" w:styleId="FootnoteTextChar">
    <w:name w:val="Footnote Text Char"/>
    <w:basedOn w:val="DefaultParagraphFont"/>
    <w:link w:val="FootnoteText"/>
    <w:rsid w:val="000F13F6"/>
    <w:rPr>
      <w:color w:val="404040" w:themeColor="text1" w:themeTint="BF"/>
      <w:sz w:val="20"/>
      <w:szCs w:val="20"/>
    </w:rPr>
  </w:style>
  <w:style w:type="paragraph" w:styleId="HTMLAddress">
    <w:name w:val="HTML Address"/>
    <w:basedOn w:val="Normal"/>
    <w:link w:val="HTMLAddressChar"/>
    <w:semiHidden/>
    <w:unhideWhenUsed/>
    <w:rsid w:val="000F13F6"/>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ind w:left="200" w:hanging="200"/>
    </w:pPr>
  </w:style>
  <w:style w:type="paragraph" w:styleId="Index2">
    <w:name w:val="index 2"/>
    <w:basedOn w:val="Normal"/>
    <w:next w:val="Normal"/>
    <w:autoRedefine/>
    <w:semiHidden/>
    <w:unhideWhenUsed/>
    <w:rsid w:val="000F13F6"/>
    <w:pPr>
      <w:ind w:left="400" w:hanging="200"/>
    </w:pPr>
  </w:style>
  <w:style w:type="paragraph" w:styleId="Index3">
    <w:name w:val="index 3"/>
    <w:basedOn w:val="Normal"/>
    <w:next w:val="Normal"/>
    <w:autoRedefine/>
    <w:semiHidden/>
    <w:unhideWhenUsed/>
    <w:rsid w:val="000F13F6"/>
    <w:pPr>
      <w:ind w:left="600" w:hanging="200"/>
    </w:pPr>
  </w:style>
  <w:style w:type="paragraph" w:styleId="Index4">
    <w:name w:val="index 4"/>
    <w:basedOn w:val="Normal"/>
    <w:next w:val="Normal"/>
    <w:autoRedefine/>
    <w:semiHidden/>
    <w:unhideWhenUsed/>
    <w:rsid w:val="000F13F6"/>
    <w:pPr>
      <w:ind w:left="800" w:hanging="200"/>
    </w:pPr>
  </w:style>
  <w:style w:type="paragraph" w:styleId="Index5">
    <w:name w:val="index 5"/>
    <w:basedOn w:val="Normal"/>
    <w:next w:val="Normal"/>
    <w:autoRedefine/>
    <w:semiHidden/>
    <w:unhideWhenUsed/>
    <w:rsid w:val="000F13F6"/>
    <w:pPr>
      <w:ind w:left="1000" w:hanging="200"/>
    </w:pPr>
  </w:style>
  <w:style w:type="paragraph" w:styleId="Index6">
    <w:name w:val="index 6"/>
    <w:basedOn w:val="Normal"/>
    <w:next w:val="Normal"/>
    <w:autoRedefine/>
    <w:semiHidden/>
    <w:unhideWhenUsed/>
    <w:rsid w:val="000F13F6"/>
    <w:pPr>
      <w:ind w:left="1200" w:hanging="200"/>
    </w:pPr>
  </w:style>
  <w:style w:type="paragraph" w:styleId="Index7">
    <w:name w:val="index 7"/>
    <w:basedOn w:val="Normal"/>
    <w:next w:val="Normal"/>
    <w:autoRedefine/>
    <w:semiHidden/>
    <w:unhideWhenUsed/>
    <w:rsid w:val="000F13F6"/>
    <w:pPr>
      <w:ind w:left="1400" w:hanging="200"/>
    </w:pPr>
  </w:style>
  <w:style w:type="paragraph" w:styleId="Index8">
    <w:name w:val="index 8"/>
    <w:basedOn w:val="Normal"/>
    <w:next w:val="Normal"/>
    <w:autoRedefine/>
    <w:semiHidden/>
    <w:unhideWhenUsed/>
    <w:rsid w:val="000F13F6"/>
    <w:pPr>
      <w:ind w:left="1600" w:hanging="200"/>
    </w:pPr>
  </w:style>
  <w:style w:type="paragraph" w:styleId="Index9">
    <w:name w:val="index 9"/>
    <w:basedOn w:val="Normal"/>
    <w:next w:val="Normal"/>
    <w:autoRedefine/>
    <w:semiHidden/>
    <w:unhideWhenUsed/>
    <w:rsid w:val="000F13F6"/>
    <w:pPr>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F13F6"/>
    <w:rPr>
      <w:b/>
      <w:bCs/>
      <w:i/>
      <w:iCs/>
      <w:color w:val="4F81BD"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uiPriority w:val="34"/>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link w:val="NoSpacingChar"/>
    <w:qFormat/>
    <w:rsid w:val="000F13F6"/>
    <w:rPr>
      <w:color w:val="404040" w:themeColor="text1" w:themeTint="BF"/>
      <w:sz w:val="20"/>
    </w:rPr>
  </w:style>
  <w:style w:type="paragraph" w:styleId="NormalWeb">
    <w:name w:val="Normal (Web)"/>
    <w:basedOn w:val="Normal"/>
    <w:uiPriority w:val="99"/>
    <w:semiHidden/>
    <w:unhideWhenUsed/>
    <w:rsid w:val="000F13F6"/>
    <w:rPr>
      <w:rFonts w:ascii="Times New Roman" w:hAnsi="Times New Roman" w:cs="Times New Roman"/>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uiPriority w:val="99"/>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qFormat/>
    <w:rsid w:val="000F13F6"/>
    <w:pPr>
      <w:spacing w:after="100"/>
    </w:pPr>
  </w:style>
  <w:style w:type="paragraph" w:styleId="TOC2">
    <w:name w:val="toc 2"/>
    <w:basedOn w:val="Normal"/>
    <w:next w:val="Normal"/>
    <w:autoRedefine/>
    <w:uiPriority w:val="39"/>
    <w:unhideWhenUsed/>
    <w:qFormat/>
    <w:rsid w:val="000F13F6"/>
    <w:pPr>
      <w:spacing w:after="100"/>
      <w:ind w:left="200"/>
    </w:pPr>
  </w:style>
  <w:style w:type="paragraph" w:styleId="TOC3">
    <w:name w:val="toc 3"/>
    <w:basedOn w:val="Normal"/>
    <w:next w:val="Normal"/>
    <w:autoRedefine/>
    <w:uiPriority w:val="39"/>
    <w:unhideWhenUsed/>
    <w:qFormat/>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uiPriority w:val="39"/>
    <w:unhideWhenUsed/>
    <w:qFormat/>
    <w:rsid w:val="000F13F6"/>
    <w:pPr>
      <w:spacing w:after="0" w:line="300" w:lineRule="auto"/>
      <w:outlineLvl w:val="9"/>
    </w:pPr>
    <w:rPr>
      <w:b w:val="0"/>
      <w:color w:val="365F91" w:themeColor="accent1" w:themeShade="BF"/>
      <w:szCs w:val="28"/>
    </w:rPr>
  </w:style>
  <w:style w:type="table" w:styleId="TableGrid">
    <w:name w:val="Table Grid"/>
    <w:basedOn w:val="TableNormal"/>
    <w:uiPriority w:val="59"/>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8DB3E2" w:themeColor="text2" w:themeTint="66"/>
      <w:sz w:val="18"/>
      <w:szCs w:val="18"/>
    </w:rPr>
  </w:style>
  <w:style w:type="character" w:styleId="PlaceholderText">
    <w:name w:val="Placeholder Text"/>
    <w:basedOn w:val="DefaultParagraphFont"/>
    <w:semiHidden/>
    <w:rsid w:val="000F13F6"/>
    <w:rPr>
      <w:color w:val="808080"/>
    </w:rPr>
  </w:style>
  <w:style w:type="paragraph" w:customStyle="1" w:styleId="Principles">
    <w:name w:val="Principles"/>
    <w:basedOn w:val="Normal"/>
    <w:next w:val="Normal"/>
    <w:qFormat/>
    <w:rsid w:val="00A548DC"/>
    <w:pPr>
      <w:spacing w:before="120" w:after="120"/>
    </w:pPr>
    <w:rPr>
      <w:rFonts w:ascii="Arial Narrow" w:hAnsi="Arial Narrow"/>
      <w:color w:val="632423" w:themeColor="accent2" w:themeShade="80"/>
      <w:kern w:val="2"/>
      <w:u w:color="000000"/>
    </w:rPr>
  </w:style>
  <w:style w:type="character" w:styleId="Hyperlink">
    <w:name w:val="Hyperlink"/>
    <w:basedOn w:val="DefaultParagraphFont"/>
    <w:uiPriority w:val="99"/>
    <w:unhideWhenUsed/>
    <w:rsid w:val="00CA5A8F"/>
    <w:rPr>
      <w:color w:val="0000FF" w:themeColor="hyperlink"/>
      <w:u w:val="single"/>
    </w:rPr>
  </w:style>
  <w:style w:type="character" w:styleId="FootnoteReference">
    <w:name w:val="footnote reference"/>
    <w:basedOn w:val="DefaultParagraphFont"/>
    <w:unhideWhenUsed/>
    <w:rsid w:val="00CA5A8F"/>
    <w:rPr>
      <w:vertAlign w:val="superscript"/>
    </w:rPr>
  </w:style>
  <w:style w:type="paragraph" w:customStyle="1" w:styleId="Planningstyle">
    <w:name w:val="Planning style"/>
    <w:basedOn w:val="BodyText"/>
    <w:rsid w:val="00CA5A8F"/>
    <w:pPr>
      <w:widowControl w:val="0"/>
      <w:tabs>
        <w:tab w:val="num" w:pos="360"/>
      </w:tabs>
      <w:spacing w:after="0" w:line="360" w:lineRule="auto"/>
      <w:jc w:val="both"/>
    </w:pPr>
    <w:rPr>
      <w:rFonts w:ascii="Arial" w:eastAsia="Times New Roman" w:hAnsi="Arial" w:cs="Arial"/>
      <w:bCs/>
      <w:color w:val="auto"/>
    </w:rPr>
  </w:style>
  <w:style w:type="paragraph" w:customStyle="1" w:styleId="Paragraph">
    <w:name w:val="Paragraph"/>
    <w:basedOn w:val="Paragraphnonumbers"/>
    <w:uiPriority w:val="4"/>
    <w:qFormat/>
    <w:rsid w:val="00521D96"/>
    <w:pPr>
      <w:numPr>
        <w:numId w:val="12"/>
      </w:numPr>
      <w:tabs>
        <w:tab w:val="left" w:pos="567"/>
      </w:tabs>
      <w:spacing w:before="120" w:after="0"/>
    </w:pPr>
    <w:rPr>
      <w:rFonts w:asciiTheme="minorHAnsi" w:hAnsiTheme="minorHAnsi"/>
    </w:rPr>
  </w:style>
  <w:style w:type="paragraph" w:customStyle="1" w:styleId="Paragraphnonumbers">
    <w:name w:val="Paragraph no numbers"/>
    <w:basedOn w:val="Normal"/>
    <w:uiPriority w:val="99"/>
    <w:qFormat/>
    <w:rsid w:val="00CA5A8F"/>
    <w:pPr>
      <w:spacing w:after="240"/>
    </w:pPr>
    <w:rPr>
      <w:rFonts w:ascii="Arial" w:eastAsia="Times New Roman" w:hAnsi="Arial" w:cs="Times New Roman"/>
      <w:color w:val="auto"/>
      <w:lang w:val="en-GB" w:eastAsia="en-GB"/>
    </w:rPr>
  </w:style>
  <w:style w:type="paragraph" w:customStyle="1" w:styleId="MEEPbodytext">
    <w:name w:val="MEEP body text"/>
    <w:basedOn w:val="Normal"/>
    <w:autoRedefine/>
    <w:qFormat/>
    <w:rsid w:val="00940243"/>
    <w:pPr>
      <w:spacing w:before="120" w:line="480" w:lineRule="auto"/>
      <w:ind w:right="14"/>
    </w:pPr>
    <w:rPr>
      <w:rFonts w:ascii="Arial" w:hAnsi="Arial" w:cs="Arial"/>
      <w:color w:val="auto"/>
      <w:kern w:val="2"/>
      <w:sz w:val="23"/>
      <w:lang w:val="en-GB" w:eastAsia="en-GB"/>
    </w:rPr>
  </w:style>
  <w:style w:type="paragraph" w:customStyle="1" w:styleId="MEEPnumberedbodytext">
    <w:name w:val="MEEP numbered body text"/>
    <w:basedOn w:val="ListParagraph"/>
    <w:qFormat/>
    <w:rsid w:val="002D490E"/>
    <w:pPr>
      <w:numPr>
        <w:numId w:val="13"/>
      </w:numPr>
      <w:spacing w:after="200"/>
    </w:pPr>
    <w:rPr>
      <w:color w:val="auto"/>
      <w:sz w:val="22"/>
      <w:lang w:val="en-GB" w:eastAsia="en-GB"/>
    </w:rPr>
  </w:style>
  <w:style w:type="paragraph" w:customStyle="1" w:styleId="MEEPfigureortable">
    <w:name w:val="MEEP figure or table"/>
    <w:basedOn w:val="Normal"/>
    <w:rsid w:val="00CA5A8F"/>
    <w:pPr>
      <w:spacing w:after="200"/>
    </w:pPr>
    <w:rPr>
      <w:rFonts w:ascii="Century Gothic" w:hAnsi="Century Gothic"/>
      <w:b/>
      <w:i/>
      <w:noProof/>
      <w:color w:val="4F81BD" w:themeColor="accent1"/>
      <w:sz w:val="22"/>
      <w:lang w:val="en-GB" w:eastAsia="en-GB"/>
    </w:rPr>
  </w:style>
  <w:style w:type="table" w:styleId="LightList-Accent1">
    <w:name w:val="Light List Accent 1"/>
    <w:basedOn w:val="TableNormal"/>
    <w:uiPriority w:val="61"/>
    <w:rsid w:val="00CA5A8F"/>
    <w:rPr>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EEPtabletext">
    <w:name w:val="MEEP table text"/>
    <w:basedOn w:val="ListParagraph"/>
    <w:qFormat/>
    <w:rsid w:val="00CA5A8F"/>
    <w:pPr>
      <w:numPr>
        <w:numId w:val="11"/>
      </w:numPr>
      <w:spacing w:before="240" w:after="120" w:line="360" w:lineRule="auto"/>
    </w:pPr>
    <w:rPr>
      <w:rFonts w:ascii="Arial" w:hAnsi="Arial" w:cs="Arial"/>
      <w:color w:val="auto"/>
      <w:sz w:val="18"/>
      <w:szCs w:val="18"/>
      <w:lang w:val="en-GB" w:eastAsia="en-GB"/>
    </w:rPr>
  </w:style>
  <w:style w:type="character" w:customStyle="1" w:styleId="field-content">
    <w:name w:val="field-content"/>
    <w:basedOn w:val="DefaultParagraphFont"/>
    <w:rsid w:val="00CA5A8F"/>
  </w:style>
  <w:style w:type="character" w:customStyle="1" w:styleId="NoSpacingChar">
    <w:name w:val="No Spacing Char"/>
    <w:basedOn w:val="DefaultParagraphFont"/>
    <w:link w:val="NoSpacing"/>
    <w:rsid w:val="00FB2BF1"/>
    <w:rPr>
      <w:color w:val="404040" w:themeColor="text1" w:themeTint="BF"/>
      <w:sz w:val="20"/>
    </w:rPr>
  </w:style>
  <w:style w:type="character" w:styleId="PageNumber">
    <w:name w:val="page number"/>
    <w:basedOn w:val="DefaultParagraphFont"/>
    <w:uiPriority w:val="99"/>
    <w:semiHidden/>
    <w:unhideWhenUsed/>
    <w:rsid w:val="004A6207"/>
  </w:style>
  <w:style w:type="character" w:styleId="EndnoteReference">
    <w:name w:val="endnote reference"/>
    <w:basedOn w:val="DefaultParagraphFont"/>
    <w:uiPriority w:val="99"/>
    <w:unhideWhenUsed/>
    <w:rsid w:val="005F737E"/>
    <w:rPr>
      <w:vertAlign w:val="superscript"/>
    </w:rPr>
  </w:style>
  <w:style w:type="character" w:styleId="CommentReference">
    <w:name w:val="annotation reference"/>
    <w:basedOn w:val="DefaultParagraphFont"/>
    <w:semiHidden/>
    <w:unhideWhenUsed/>
    <w:rsid w:val="0079217E"/>
    <w:rPr>
      <w:sz w:val="18"/>
      <w:szCs w:val="18"/>
    </w:rPr>
  </w:style>
  <w:style w:type="character" w:customStyle="1" w:styleId="apple-converted-space">
    <w:name w:val="apple-converted-space"/>
    <w:basedOn w:val="DefaultParagraphFont"/>
    <w:rsid w:val="00CA6EA8"/>
  </w:style>
  <w:style w:type="paragraph" w:styleId="Revision">
    <w:name w:val="Revision"/>
    <w:hidden/>
    <w:uiPriority w:val="99"/>
    <w:semiHidden/>
    <w:rsid w:val="00A9765E"/>
    <w:rPr>
      <w:color w:val="404040" w:themeColor="text1" w:themeTint="B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E30"/>
    <w:rPr>
      <w:color w:val="404040" w:themeColor="text1" w:themeTint="BF"/>
      <w:sz w:val="24"/>
      <w:szCs w:val="24"/>
    </w:rPr>
  </w:style>
  <w:style w:type="paragraph" w:styleId="Heading1">
    <w:name w:val="heading 1"/>
    <w:basedOn w:val="Normal"/>
    <w:next w:val="Normal"/>
    <w:link w:val="Heading1Char"/>
    <w:uiPriority w:val="9"/>
    <w:qFormat/>
    <w:rsid w:val="00F17C76"/>
    <w:pPr>
      <w:spacing w:before="240" w:after="120" w:line="276" w:lineRule="auto"/>
      <w:ind w:right="20"/>
      <w:outlineLvl w:val="0"/>
    </w:pPr>
    <w:rPr>
      <w:rFonts w:ascii="Arial" w:eastAsiaTheme="majorEastAsia" w:hAnsi="Arial" w:cs="Arial"/>
      <w:b/>
      <w:bCs/>
      <w:color w:val="1F497D" w:themeColor="text2"/>
      <w:kern w:val="2"/>
      <w:sz w:val="28"/>
      <w:szCs w:val="30"/>
    </w:rPr>
  </w:style>
  <w:style w:type="paragraph" w:styleId="Heading2">
    <w:name w:val="heading 2"/>
    <w:basedOn w:val="Heading1"/>
    <w:next w:val="Normal"/>
    <w:link w:val="Heading2Char"/>
    <w:autoRedefine/>
    <w:uiPriority w:val="9"/>
    <w:unhideWhenUsed/>
    <w:qFormat/>
    <w:rsid w:val="00BC6CC1"/>
    <w:pPr>
      <w:spacing w:before="120" w:after="0"/>
      <w:ind w:right="11"/>
      <w:jc w:val="both"/>
      <w:outlineLvl w:val="1"/>
    </w:pPr>
    <w:rPr>
      <w:b w:val="0"/>
      <w:sz w:val="26"/>
      <w:szCs w:val="26"/>
    </w:rPr>
  </w:style>
  <w:style w:type="paragraph" w:styleId="Heading3">
    <w:name w:val="heading 3"/>
    <w:basedOn w:val="Normal"/>
    <w:next w:val="Normal"/>
    <w:link w:val="Heading3Char"/>
    <w:uiPriority w:val="9"/>
    <w:unhideWhenUsed/>
    <w:qFormat/>
    <w:rsid w:val="00143D9E"/>
    <w:pPr>
      <w:keepNext/>
      <w:keepLines/>
      <w:spacing w:before="200" w:after="120"/>
      <w:outlineLvl w:val="2"/>
    </w:pPr>
    <w:rPr>
      <w:rFonts w:ascii="Arial Narrow" w:eastAsiaTheme="majorEastAsia" w:hAnsi="Arial Narrow" w:cstheme="majorBidi"/>
      <w:bCs/>
      <w:color w:val="632423" w:themeColor="accent2" w:themeShade="80"/>
      <w:kern w:val="2"/>
    </w:rPr>
  </w:style>
  <w:style w:type="paragraph" w:styleId="Heading4">
    <w:name w:val="heading 4"/>
    <w:basedOn w:val="Normal"/>
    <w:next w:val="Normal"/>
    <w:link w:val="Heading4Char"/>
    <w:uiPriority w:val="9"/>
    <w:unhideWhenUsed/>
    <w:qFormat/>
    <w:rsid w:val="002C265B"/>
    <w:pPr>
      <w:keepNext/>
      <w:keepLines/>
      <w:tabs>
        <w:tab w:val="left" w:pos="450"/>
      </w:tabs>
      <w:spacing w:before="240" w:after="120"/>
      <w:outlineLvl w:val="3"/>
    </w:pPr>
    <w:rPr>
      <w:rFonts w:asciiTheme="majorHAnsi" w:eastAsiaTheme="majorEastAsia" w:hAnsiTheme="majorHAnsi" w:cstheme="majorBidi"/>
      <w:b/>
      <w:bCs/>
      <w:color w:val="632423" w:themeColor="accent2" w:themeShade="80"/>
    </w:rPr>
  </w:style>
  <w:style w:type="paragraph" w:styleId="Heading5">
    <w:name w:val="heading 5"/>
    <w:basedOn w:val="Normal"/>
    <w:next w:val="Normal"/>
    <w:link w:val="Heading5Char"/>
    <w:unhideWhenUsed/>
    <w:qFormat/>
    <w:rsid w:val="000F1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76"/>
    <w:rPr>
      <w:rFonts w:ascii="Arial" w:eastAsiaTheme="majorEastAsia" w:hAnsi="Arial" w:cs="Arial"/>
      <w:b/>
      <w:bCs/>
      <w:color w:val="1F497D" w:themeColor="text2"/>
      <w:kern w:val="2"/>
      <w:sz w:val="28"/>
      <w:szCs w:val="30"/>
    </w:rPr>
  </w:style>
  <w:style w:type="character" w:customStyle="1" w:styleId="Heading2Char">
    <w:name w:val="Heading 2 Char"/>
    <w:basedOn w:val="DefaultParagraphFont"/>
    <w:link w:val="Heading2"/>
    <w:uiPriority w:val="9"/>
    <w:rsid w:val="00BC6CC1"/>
    <w:rPr>
      <w:rFonts w:ascii="Arial" w:eastAsiaTheme="majorEastAsia" w:hAnsi="Arial" w:cs="Arial"/>
      <w:bCs/>
      <w:color w:val="1F497D" w:themeColor="text2"/>
      <w:kern w:val="2"/>
      <w:sz w:val="26"/>
      <w:szCs w:val="26"/>
    </w:rPr>
  </w:style>
  <w:style w:type="character" w:customStyle="1" w:styleId="Heading3Char">
    <w:name w:val="Heading 3 Char"/>
    <w:basedOn w:val="DefaultParagraphFont"/>
    <w:link w:val="Heading3"/>
    <w:uiPriority w:val="9"/>
    <w:rsid w:val="00143D9E"/>
    <w:rPr>
      <w:rFonts w:ascii="Arial Narrow" w:eastAsiaTheme="majorEastAsia" w:hAnsi="Arial Narrow" w:cstheme="majorBidi"/>
      <w:bCs/>
      <w:color w:val="632423" w:themeColor="accent2" w:themeShade="80"/>
      <w:kern w:val="2"/>
      <w:sz w:val="24"/>
      <w:szCs w:val="24"/>
    </w:rPr>
  </w:style>
  <w:style w:type="character" w:customStyle="1" w:styleId="Heading4Char">
    <w:name w:val="Heading 4 Char"/>
    <w:basedOn w:val="DefaultParagraphFont"/>
    <w:link w:val="Heading4"/>
    <w:uiPriority w:val="9"/>
    <w:rsid w:val="002C265B"/>
    <w:rPr>
      <w:rFonts w:asciiTheme="majorHAnsi" w:eastAsiaTheme="majorEastAsia" w:hAnsiTheme="majorHAnsi" w:cstheme="majorBidi"/>
      <w:b/>
      <w:bCs/>
      <w:color w:val="632423" w:themeColor="accent2" w:themeShade="80"/>
      <w:sz w:val="24"/>
      <w:szCs w:val="24"/>
    </w:rPr>
  </w:style>
  <w:style w:type="character" w:customStyle="1" w:styleId="Heading5Char">
    <w:name w:val="Heading 5 Char"/>
    <w:basedOn w:val="DefaultParagraphFont"/>
    <w:link w:val="Heading5"/>
    <w:rsid w:val="000F13F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0F13F6"/>
    <w:pPr>
      <w:numPr>
        <w:ilvl w:val="1"/>
      </w:numPr>
      <w:spacing w:before="1440"/>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8DB3E2" w:themeColor="text2" w:themeTint="66"/>
      <w:spacing w:val="100"/>
      <w:sz w:val="36"/>
      <w:szCs w:val="36"/>
    </w:rPr>
  </w:style>
  <w:style w:type="paragraph" w:styleId="Header">
    <w:name w:val="header"/>
    <w:basedOn w:val="Normal"/>
    <w:link w:val="HeaderChar"/>
    <w:uiPriority w:val="99"/>
    <w:rsid w:val="000F13F6"/>
    <w:pPr>
      <w:spacing w:after="240"/>
    </w:pPr>
    <w:rPr>
      <w:color w:val="1F497D" w:themeColor="text2"/>
    </w:rPr>
  </w:style>
  <w:style w:type="character" w:customStyle="1" w:styleId="HeaderChar">
    <w:name w:val="Header Char"/>
    <w:basedOn w:val="DefaultParagraphFont"/>
    <w:link w:val="Header"/>
    <w:uiPriority w:val="99"/>
    <w:rsid w:val="000F13F6"/>
    <w:rPr>
      <w:color w:val="1F497D" w:themeColor="text2"/>
      <w:sz w:val="24"/>
    </w:rPr>
  </w:style>
  <w:style w:type="paragraph" w:styleId="Title">
    <w:name w:val="Title"/>
    <w:basedOn w:val="Normal"/>
    <w:next w:val="Normal"/>
    <w:link w:val="TitleChar"/>
    <w:qFormat/>
    <w:rsid w:val="000F13F6"/>
    <w:pPr>
      <w:spacing w:before="480" w:after="480"/>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uiPriority w:val="99"/>
    <w:rsid w:val="000F13F6"/>
    <w:pPr>
      <w:spacing w:after="200"/>
    </w:pPr>
  </w:style>
  <w:style w:type="character" w:customStyle="1" w:styleId="BodyTextChar">
    <w:name w:val="Body Text Char"/>
    <w:basedOn w:val="DefaultParagraphFont"/>
    <w:link w:val="BodyText"/>
    <w:uiPriority w:val="99"/>
    <w:rsid w:val="000F13F6"/>
    <w:rPr>
      <w:color w:val="404040" w:themeColor="text1" w:themeTint="BF"/>
      <w:sz w:val="20"/>
    </w:r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548DD4" w:themeFill="text2" w:themeFillTint="99"/>
      </w:tcPr>
    </w:tblStylePr>
    <w:tblStylePr w:type="lastRow">
      <w:rPr>
        <w:color w:val="FFFFFF" w:themeColor="background1"/>
      </w:rPr>
      <w:tblPr/>
      <w:tcPr>
        <w:shd w:val="clear" w:color="auto" w:fill="548DD4" w:themeFill="text2" w:themeFillTint="99"/>
      </w:tcPr>
    </w:tblStylePr>
    <w:tblStylePr w:type="band2Horz">
      <w:tblPr/>
      <w:tcPr>
        <w:shd w:val="clear" w:color="auto" w:fill="C6D9F1" w:themeFill="text2" w:themeFillTint="33"/>
      </w:tcPr>
    </w:tblStylePr>
  </w:style>
  <w:style w:type="paragraph" w:customStyle="1" w:styleId="TableText-Left">
    <w:name w:val="Table Text - Left"/>
    <w:basedOn w:val="Normal"/>
    <w:rsid w:val="000F13F6"/>
    <w:pPr>
      <w:spacing w:before="40" w:after="40"/>
    </w:pPr>
    <w:rPr>
      <w:color w:val="548DD4"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548DD4" w:themeColor="text2" w:themeTint="99"/>
      <w:sz w:val="18"/>
      <w:szCs w:val="18"/>
    </w:rPr>
  </w:style>
  <w:style w:type="paragraph" w:customStyle="1" w:styleId="TableText-Right">
    <w:name w:val="Table Text - Right"/>
    <w:basedOn w:val="Normal"/>
    <w:rsid w:val="000F13F6"/>
    <w:pPr>
      <w:spacing w:before="40" w:after="40"/>
      <w:jc w:val="right"/>
    </w:pPr>
    <w:rPr>
      <w:color w:val="548DD4"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paragraph" w:styleId="BalloonText">
    <w:name w:val="Balloon Text"/>
    <w:basedOn w:val="Normal"/>
    <w:link w:val="BalloonTextChar"/>
    <w:uiPriority w:val="99"/>
    <w:semiHidden/>
    <w:unhideWhenUsed/>
    <w:rsid w:val="000F13F6"/>
    <w:rPr>
      <w:rFonts w:ascii="Tahoma" w:hAnsi="Tahoma" w:cs="Tahoma"/>
      <w:sz w:val="16"/>
      <w:szCs w:val="16"/>
    </w:rPr>
  </w:style>
  <w:style w:type="character" w:customStyle="1" w:styleId="BalloonTextChar">
    <w:name w:val="Balloon Text Char"/>
    <w:basedOn w:val="DefaultParagraphFont"/>
    <w:link w:val="BalloonText"/>
    <w:uiPriority w:val="99"/>
    <w:semiHidden/>
    <w:rsid w:val="000F13F6"/>
    <w:rPr>
      <w:rFonts w:ascii="Tahoma" w:hAnsi="Tahoma" w:cs="Tahoma"/>
      <w:color w:val="404040" w:themeColor="text1" w:themeTint="BF"/>
      <w:sz w:val="16"/>
      <w:szCs w:val="16"/>
    </w:rPr>
  </w:style>
  <w:style w:type="paragraph" w:styleId="Bibliography">
    <w:name w:val="Bibliography"/>
    <w:basedOn w:val="Normal"/>
    <w:next w:val="Normal"/>
    <w:uiPriority w:val="37"/>
    <w:unhideWhenUsed/>
    <w:rsid w:val="000F13F6"/>
  </w:style>
  <w:style w:type="paragraph" w:styleId="BlockText">
    <w:name w:val="Block Text"/>
    <w:basedOn w:val="Normal"/>
    <w:semiHidden/>
    <w:unhideWhenUsed/>
    <w:rsid w:val="000F13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F13F6"/>
    <w:pPr>
      <w:spacing w:after="120"/>
      <w:ind w:left="360"/>
    </w:p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uiPriority w:val="35"/>
    <w:unhideWhenUsed/>
    <w:qFormat/>
    <w:rsid w:val="000F13F6"/>
    <w:pPr>
      <w:spacing w:after="200"/>
    </w:pPr>
    <w:rPr>
      <w:b/>
      <w:bCs/>
      <w:color w:val="4F81BD" w:themeColor="accent1"/>
      <w:sz w:val="18"/>
      <w:szCs w:val="18"/>
    </w:rPr>
  </w:style>
  <w:style w:type="paragraph" w:styleId="Closing">
    <w:name w:val="Closing"/>
    <w:basedOn w:val="Normal"/>
    <w:link w:val="ClosingChar"/>
    <w:semiHidden/>
    <w:unhideWhenUsed/>
    <w:rsid w:val="000F13F6"/>
    <w:pPr>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F13F6"/>
    <w:rPr>
      <w:b/>
      <w:bCs/>
    </w:rPr>
  </w:style>
  <w:style w:type="character" w:customStyle="1" w:styleId="CommentSubjectChar">
    <w:name w:val="Comment Subject Char"/>
    <w:basedOn w:val="CommentTextChar"/>
    <w:link w:val="CommentSubject"/>
    <w:uiPriority w:val="99"/>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uiPriority w:val="99"/>
    <w:unhideWhenUsed/>
    <w:rsid w:val="000F13F6"/>
    <w:rPr>
      <w:szCs w:val="20"/>
    </w:rPr>
  </w:style>
  <w:style w:type="character" w:customStyle="1" w:styleId="EndnoteTextChar">
    <w:name w:val="Endnote Text Char"/>
    <w:basedOn w:val="DefaultParagraphFont"/>
    <w:link w:val="EndnoteText"/>
    <w:uiPriority w:val="99"/>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F13F6"/>
    <w:rPr>
      <w:rFonts w:asciiTheme="majorHAnsi" w:eastAsiaTheme="majorEastAsia" w:hAnsiTheme="majorHAnsi" w:cstheme="majorBidi"/>
      <w:szCs w:val="20"/>
    </w:rPr>
  </w:style>
  <w:style w:type="paragraph" w:styleId="Footer">
    <w:name w:val="footer"/>
    <w:basedOn w:val="Normal"/>
    <w:link w:val="FooterChar"/>
    <w:uiPriority w:val="99"/>
    <w:unhideWhenUsed/>
    <w:rsid w:val="000F13F6"/>
    <w:pPr>
      <w:tabs>
        <w:tab w:val="center" w:pos="4680"/>
        <w:tab w:val="right" w:pos="9360"/>
      </w:tabs>
    </w:pPr>
  </w:style>
  <w:style w:type="character" w:customStyle="1" w:styleId="FooterChar">
    <w:name w:val="Footer Char"/>
    <w:basedOn w:val="DefaultParagraphFont"/>
    <w:link w:val="Footer"/>
    <w:uiPriority w:val="99"/>
    <w:rsid w:val="000F13F6"/>
    <w:rPr>
      <w:color w:val="404040" w:themeColor="text1" w:themeTint="BF"/>
      <w:sz w:val="20"/>
    </w:rPr>
  </w:style>
  <w:style w:type="paragraph" w:styleId="FootnoteText">
    <w:name w:val="footnote text"/>
    <w:basedOn w:val="Normal"/>
    <w:link w:val="FootnoteTextChar"/>
    <w:unhideWhenUsed/>
    <w:rsid w:val="000F13F6"/>
    <w:rPr>
      <w:szCs w:val="20"/>
    </w:rPr>
  </w:style>
  <w:style w:type="character" w:customStyle="1" w:styleId="FootnoteTextChar">
    <w:name w:val="Footnote Text Char"/>
    <w:basedOn w:val="DefaultParagraphFont"/>
    <w:link w:val="FootnoteText"/>
    <w:rsid w:val="000F13F6"/>
    <w:rPr>
      <w:color w:val="404040" w:themeColor="text1" w:themeTint="BF"/>
      <w:sz w:val="20"/>
      <w:szCs w:val="20"/>
    </w:rPr>
  </w:style>
  <w:style w:type="paragraph" w:styleId="HTMLAddress">
    <w:name w:val="HTML Address"/>
    <w:basedOn w:val="Normal"/>
    <w:link w:val="HTMLAddressChar"/>
    <w:semiHidden/>
    <w:unhideWhenUsed/>
    <w:rsid w:val="000F13F6"/>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ind w:left="200" w:hanging="200"/>
    </w:pPr>
  </w:style>
  <w:style w:type="paragraph" w:styleId="Index2">
    <w:name w:val="index 2"/>
    <w:basedOn w:val="Normal"/>
    <w:next w:val="Normal"/>
    <w:autoRedefine/>
    <w:semiHidden/>
    <w:unhideWhenUsed/>
    <w:rsid w:val="000F13F6"/>
    <w:pPr>
      <w:ind w:left="400" w:hanging="200"/>
    </w:pPr>
  </w:style>
  <w:style w:type="paragraph" w:styleId="Index3">
    <w:name w:val="index 3"/>
    <w:basedOn w:val="Normal"/>
    <w:next w:val="Normal"/>
    <w:autoRedefine/>
    <w:semiHidden/>
    <w:unhideWhenUsed/>
    <w:rsid w:val="000F13F6"/>
    <w:pPr>
      <w:ind w:left="600" w:hanging="200"/>
    </w:pPr>
  </w:style>
  <w:style w:type="paragraph" w:styleId="Index4">
    <w:name w:val="index 4"/>
    <w:basedOn w:val="Normal"/>
    <w:next w:val="Normal"/>
    <w:autoRedefine/>
    <w:semiHidden/>
    <w:unhideWhenUsed/>
    <w:rsid w:val="000F13F6"/>
    <w:pPr>
      <w:ind w:left="800" w:hanging="200"/>
    </w:pPr>
  </w:style>
  <w:style w:type="paragraph" w:styleId="Index5">
    <w:name w:val="index 5"/>
    <w:basedOn w:val="Normal"/>
    <w:next w:val="Normal"/>
    <w:autoRedefine/>
    <w:semiHidden/>
    <w:unhideWhenUsed/>
    <w:rsid w:val="000F13F6"/>
    <w:pPr>
      <w:ind w:left="1000" w:hanging="200"/>
    </w:pPr>
  </w:style>
  <w:style w:type="paragraph" w:styleId="Index6">
    <w:name w:val="index 6"/>
    <w:basedOn w:val="Normal"/>
    <w:next w:val="Normal"/>
    <w:autoRedefine/>
    <w:semiHidden/>
    <w:unhideWhenUsed/>
    <w:rsid w:val="000F13F6"/>
    <w:pPr>
      <w:ind w:left="1200" w:hanging="200"/>
    </w:pPr>
  </w:style>
  <w:style w:type="paragraph" w:styleId="Index7">
    <w:name w:val="index 7"/>
    <w:basedOn w:val="Normal"/>
    <w:next w:val="Normal"/>
    <w:autoRedefine/>
    <w:semiHidden/>
    <w:unhideWhenUsed/>
    <w:rsid w:val="000F13F6"/>
    <w:pPr>
      <w:ind w:left="1400" w:hanging="200"/>
    </w:pPr>
  </w:style>
  <w:style w:type="paragraph" w:styleId="Index8">
    <w:name w:val="index 8"/>
    <w:basedOn w:val="Normal"/>
    <w:next w:val="Normal"/>
    <w:autoRedefine/>
    <w:semiHidden/>
    <w:unhideWhenUsed/>
    <w:rsid w:val="000F13F6"/>
    <w:pPr>
      <w:ind w:left="1600" w:hanging="200"/>
    </w:pPr>
  </w:style>
  <w:style w:type="paragraph" w:styleId="Index9">
    <w:name w:val="index 9"/>
    <w:basedOn w:val="Normal"/>
    <w:next w:val="Normal"/>
    <w:autoRedefine/>
    <w:semiHidden/>
    <w:unhideWhenUsed/>
    <w:rsid w:val="000F13F6"/>
    <w:pPr>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F13F6"/>
    <w:rPr>
      <w:b/>
      <w:bCs/>
      <w:i/>
      <w:iCs/>
      <w:color w:val="4F81BD"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uiPriority w:val="34"/>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link w:val="NoSpacingChar"/>
    <w:qFormat/>
    <w:rsid w:val="000F13F6"/>
    <w:rPr>
      <w:color w:val="404040" w:themeColor="text1" w:themeTint="BF"/>
      <w:sz w:val="20"/>
    </w:rPr>
  </w:style>
  <w:style w:type="paragraph" w:styleId="NormalWeb">
    <w:name w:val="Normal (Web)"/>
    <w:basedOn w:val="Normal"/>
    <w:uiPriority w:val="99"/>
    <w:semiHidden/>
    <w:unhideWhenUsed/>
    <w:rsid w:val="000F13F6"/>
    <w:rPr>
      <w:rFonts w:ascii="Times New Roman" w:hAnsi="Times New Roman" w:cs="Times New Roman"/>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uiPriority w:val="99"/>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qFormat/>
    <w:rsid w:val="000F13F6"/>
    <w:pPr>
      <w:spacing w:after="100"/>
    </w:pPr>
  </w:style>
  <w:style w:type="paragraph" w:styleId="TOC2">
    <w:name w:val="toc 2"/>
    <w:basedOn w:val="Normal"/>
    <w:next w:val="Normal"/>
    <w:autoRedefine/>
    <w:uiPriority w:val="39"/>
    <w:unhideWhenUsed/>
    <w:qFormat/>
    <w:rsid w:val="000F13F6"/>
    <w:pPr>
      <w:spacing w:after="100"/>
      <w:ind w:left="200"/>
    </w:pPr>
  </w:style>
  <w:style w:type="paragraph" w:styleId="TOC3">
    <w:name w:val="toc 3"/>
    <w:basedOn w:val="Normal"/>
    <w:next w:val="Normal"/>
    <w:autoRedefine/>
    <w:uiPriority w:val="39"/>
    <w:unhideWhenUsed/>
    <w:qFormat/>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uiPriority w:val="39"/>
    <w:unhideWhenUsed/>
    <w:qFormat/>
    <w:rsid w:val="000F13F6"/>
    <w:pPr>
      <w:spacing w:after="0" w:line="300" w:lineRule="auto"/>
      <w:outlineLvl w:val="9"/>
    </w:pPr>
    <w:rPr>
      <w:b w:val="0"/>
      <w:color w:val="365F91" w:themeColor="accent1" w:themeShade="BF"/>
      <w:szCs w:val="28"/>
    </w:rPr>
  </w:style>
  <w:style w:type="table" w:styleId="TableGrid">
    <w:name w:val="Table Grid"/>
    <w:basedOn w:val="TableNormal"/>
    <w:uiPriority w:val="59"/>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8DB3E2" w:themeColor="text2" w:themeTint="66"/>
      <w:sz w:val="18"/>
      <w:szCs w:val="18"/>
    </w:rPr>
  </w:style>
  <w:style w:type="character" w:styleId="PlaceholderText">
    <w:name w:val="Placeholder Text"/>
    <w:basedOn w:val="DefaultParagraphFont"/>
    <w:semiHidden/>
    <w:rsid w:val="000F13F6"/>
    <w:rPr>
      <w:color w:val="808080"/>
    </w:rPr>
  </w:style>
  <w:style w:type="paragraph" w:customStyle="1" w:styleId="Principles">
    <w:name w:val="Principles"/>
    <w:basedOn w:val="Normal"/>
    <w:next w:val="Normal"/>
    <w:qFormat/>
    <w:rsid w:val="00A548DC"/>
    <w:pPr>
      <w:spacing w:before="120" w:after="120"/>
    </w:pPr>
    <w:rPr>
      <w:rFonts w:ascii="Arial Narrow" w:hAnsi="Arial Narrow"/>
      <w:color w:val="632423" w:themeColor="accent2" w:themeShade="80"/>
      <w:kern w:val="2"/>
      <w:u w:color="000000"/>
    </w:rPr>
  </w:style>
  <w:style w:type="character" w:styleId="Hyperlink">
    <w:name w:val="Hyperlink"/>
    <w:basedOn w:val="DefaultParagraphFont"/>
    <w:uiPriority w:val="99"/>
    <w:unhideWhenUsed/>
    <w:rsid w:val="00CA5A8F"/>
    <w:rPr>
      <w:color w:val="0000FF" w:themeColor="hyperlink"/>
      <w:u w:val="single"/>
    </w:rPr>
  </w:style>
  <w:style w:type="character" w:styleId="FootnoteReference">
    <w:name w:val="footnote reference"/>
    <w:basedOn w:val="DefaultParagraphFont"/>
    <w:unhideWhenUsed/>
    <w:rsid w:val="00CA5A8F"/>
    <w:rPr>
      <w:vertAlign w:val="superscript"/>
    </w:rPr>
  </w:style>
  <w:style w:type="paragraph" w:customStyle="1" w:styleId="Planningstyle">
    <w:name w:val="Planning style"/>
    <w:basedOn w:val="BodyText"/>
    <w:rsid w:val="00CA5A8F"/>
    <w:pPr>
      <w:widowControl w:val="0"/>
      <w:tabs>
        <w:tab w:val="num" w:pos="360"/>
      </w:tabs>
      <w:spacing w:after="0" w:line="360" w:lineRule="auto"/>
      <w:jc w:val="both"/>
    </w:pPr>
    <w:rPr>
      <w:rFonts w:ascii="Arial" w:eastAsia="Times New Roman" w:hAnsi="Arial" w:cs="Arial"/>
      <w:bCs/>
      <w:color w:val="auto"/>
    </w:rPr>
  </w:style>
  <w:style w:type="paragraph" w:customStyle="1" w:styleId="Paragraph">
    <w:name w:val="Paragraph"/>
    <w:basedOn w:val="Paragraphnonumbers"/>
    <w:uiPriority w:val="4"/>
    <w:qFormat/>
    <w:rsid w:val="00521D96"/>
    <w:pPr>
      <w:numPr>
        <w:numId w:val="12"/>
      </w:numPr>
      <w:tabs>
        <w:tab w:val="left" w:pos="567"/>
      </w:tabs>
      <w:spacing w:before="120" w:after="0"/>
    </w:pPr>
    <w:rPr>
      <w:rFonts w:asciiTheme="minorHAnsi" w:hAnsiTheme="minorHAnsi"/>
    </w:rPr>
  </w:style>
  <w:style w:type="paragraph" w:customStyle="1" w:styleId="Paragraphnonumbers">
    <w:name w:val="Paragraph no numbers"/>
    <w:basedOn w:val="Normal"/>
    <w:uiPriority w:val="99"/>
    <w:qFormat/>
    <w:rsid w:val="00CA5A8F"/>
    <w:pPr>
      <w:spacing w:after="240"/>
    </w:pPr>
    <w:rPr>
      <w:rFonts w:ascii="Arial" w:eastAsia="Times New Roman" w:hAnsi="Arial" w:cs="Times New Roman"/>
      <w:color w:val="auto"/>
      <w:lang w:val="en-GB" w:eastAsia="en-GB"/>
    </w:rPr>
  </w:style>
  <w:style w:type="paragraph" w:customStyle="1" w:styleId="MEEPbodytext">
    <w:name w:val="MEEP body text"/>
    <w:basedOn w:val="Normal"/>
    <w:autoRedefine/>
    <w:qFormat/>
    <w:rsid w:val="00940243"/>
    <w:pPr>
      <w:spacing w:before="120" w:line="480" w:lineRule="auto"/>
      <w:ind w:right="14"/>
    </w:pPr>
    <w:rPr>
      <w:rFonts w:ascii="Arial" w:hAnsi="Arial" w:cs="Arial"/>
      <w:color w:val="auto"/>
      <w:kern w:val="2"/>
      <w:sz w:val="23"/>
      <w:lang w:val="en-GB" w:eastAsia="en-GB"/>
    </w:rPr>
  </w:style>
  <w:style w:type="paragraph" w:customStyle="1" w:styleId="MEEPnumberedbodytext">
    <w:name w:val="MEEP numbered body text"/>
    <w:basedOn w:val="ListParagraph"/>
    <w:qFormat/>
    <w:rsid w:val="002D490E"/>
    <w:pPr>
      <w:numPr>
        <w:numId w:val="13"/>
      </w:numPr>
      <w:spacing w:after="200"/>
    </w:pPr>
    <w:rPr>
      <w:color w:val="auto"/>
      <w:sz w:val="22"/>
      <w:lang w:val="en-GB" w:eastAsia="en-GB"/>
    </w:rPr>
  </w:style>
  <w:style w:type="paragraph" w:customStyle="1" w:styleId="MEEPfigureortable">
    <w:name w:val="MEEP figure or table"/>
    <w:basedOn w:val="Normal"/>
    <w:rsid w:val="00CA5A8F"/>
    <w:pPr>
      <w:spacing w:after="200"/>
    </w:pPr>
    <w:rPr>
      <w:rFonts w:ascii="Century Gothic" w:hAnsi="Century Gothic"/>
      <w:b/>
      <w:i/>
      <w:noProof/>
      <w:color w:val="4F81BD" w:themeColor="accent1"/>
      <w:sz w:val="22"/>
      <w:lang w:val="en-GB" w:eastAsia="en-GB"/>
    </w:rPr>
  </w:style>
  <w:style w:type="table" w:styleId="LightList-Accent1">
    <w:name w:val="Light List Accent 1"/>
    <w:basedOn w:val="TableNormal"/>
    <w:uiPriority w:val="61"/>
    <w:rsid w:val="00CA5A8F"/>
    <w:rPr>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EEPtabletext">
    <w:name w:val="MEEP table text"/>
    <w:basedOn w:val="ListParagraph"/>
    <w:qFormat/>
    <w:rsid w:val="00CA5A8F"/>
    <w:pPr>
      <w:numPr>
        <w:numId w:val="11"/>
      </w:numPr>
      <w:spacing w:before="240" w:after="120" w:line="360" w:lineRule="auto"/>
    </w:pPr>
    <w:rPr>
      <w:rFonts w:ascii="Arial" w:hAnsi="Arial" w:cs="Arial"/>
      <w:color w:val="auto"/>
      <w:sz w:val="18"/>
      <w:szCs w:val="18"/>
      <w:lang w:val="en-GB" w:eastAsia="en-GB"/>
    </w:rPr>
  </w:style>
  <w:style w:type="character" w:customStyle="1" w:styleId="field-content">
    <w:name w:val="field-content"/>
    <w:basedOn w:val="DefaultParagraphFont"/>
    <w:rsid w:val="00CA5A8F"/>
  </w:style>
  <w:style w:type="character" w:customStyle="1" w:styleId="NoSpacingChar">
    <w:name w:val="No Spacing Char"/>
    <w:basedOn w:val="DefaultParagraphFont"/>
    <w:link w:val="NoSpacing"/>
    <w:rsid w:val="00FB2BF1"/>
    <w:rPr>
      <w:color w:val="404040" w:themeColor="text1" w:themeTint="BF"/>
      <w:sz w:val="20"/>
    </w:rPr>
  </w:style>
  <w:style w:type="character" w:styleId="PageNumber">
    <w:name w:val="page number"/>
    <w:basedOn w:val="DefaultParagraphFont"/>
    <w:uiPriority w:val="99"/>
    <w:semiHidden/>
    <w:unhideWhenUsed/>
    <w:rsid w:val="004A6207"/>
  </w:style>
  <w:style w:type="character" w:styleId="EndnoteReference">
    <w:name w:val="endnote reference"/>
    <w:basedOn w:val="DefaultParagraphFont"/>
    <w:uiPriority w:val="99"/>
    <w:unhideWhenUsed/>
    <w:rsid w:val="005F737E"/>
    <w:rPr>
      <w:vertAlign w:val="superscript"/>
    </w:rPr>
  </w:style>
  <w:style w:type="character" w:styleId="CommentReference">
    <w:name w:val="annotation reference"/>
    <w:basedOn w:val="DefaultParagraphFont"/>
    <w:semiHidden/>
    <w:unhideWhenUsed/>
    <w:rsid w:val="0079217E"/>
    <w:rPr>
      <w:sz w:val="18"/>
      <w:szCs w:val="18"/>
    </w:rPr>
  </w:style>
  <w:style w:type="character" w:customStyle="1" w:styleId="apple-converted-space">
    <w:name w:val="apple-converted-space"/>
    <w:basedOn w:val="DefaultParagraphFont"/>
    <w:rsid w:val="00CA6EA8"/>
  </w:style>
  <w:style w:type="paragraph" w:styleId="Revision">
    <w:name w:val="Revision"/>
    <w:hidden/>
    <w:uiPriority w:val="99"/>
    <w:semiHidden/>
    <w:rsid w:val="00A9765E"/>
    <w:rPr>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9225">
      <w:bodyDiv w:val="1"/>
      <w:marLeft w:val="0"/>
      <w:marRight w:val="0"/>
      <w:marTop w:val="0"/>
      <w:marBottom w:val="0"/>
      <w:divBdr>
        <w:top w:val="none" w:sz="0" w:space="0" w:color="auto"/>
        <w:left w:val="none" w:sz="0" w:space="0" w:color="auto"/>
        <w:bottom w:val="none" w:sz="0" w:space="0" w:color="auto"/>
        <w:right w:val="none" w:sz="0" w:space="0" w:color="auto"/>
      </w:divBdr>
    </w:div>
    <w:div w:id="153108424">
      <w:bodyDiv w:val="1"/>
      <w:marLeft w:val="0"/>
      <w:marRight w:val="0"/>
      <w:marTop w:val="0"/>
      <w:marBottom w:val="0"/>
      <w:divBdr>
        <w:top w:val="none" w:sz="0" w:space="0" w:color="auto"/>
        <w:left w:val="none" w:sz="0" w:space="0" w:color="auto"/>
        <w:bottom w:val="none" w:sz="0" w:space="0" w:color="auto"/>
        <w:right w:val="none" w:sz="0" w:space="0" w:color="auto"/>
      </w:divBdr>
    </w:div>
    <w:div w:id="197936756">
      <w:bodyDiv w:val="1"/>
      <w:marLeft w:val="0"/>
      <w:marRight w:val="0"/>
      <w:marTop w:val="0"/>
      <w:marBottom w:val="0"/>
      <w:divBdr>
        <w:top w:val="none" w:sz="0" w:space="0" w:color="auto"/>
        <w:left w:val="none" w:sz="0" w:space="0" w:color="auto"/>
        <w:bottom w:val="none" w:sz="0" w:space="0" w:color="auto"/>
        <w:right w:val="none" w:sz="0" w:space="0" w:color="auto"/>
      </w:divBdr>
      <w:divsChild>
        <w:div w:id="47610822">
          <w:marLeft w:val="0"/>
          <w:marRight w:val="0"/>
          <w:marTop w:val="0"/>
          <w:marBottom w:val="0"/>
          <w:divBdr>
            <w:top w:val="none" w:sz="0" w:space="0" w:color="auto"/>
            <w:left w:val="none" w:sz="0" w:space="0" w:color="auto"/>
            <w:bottom w:val="none" w:sz="0" w:space="0" w:color="auto"/>
            <w:right w:val="none" w:sz="0" w:space="0" w:color="auto"/>
          </w:divBdr>
          <w:divsChild>
            <w:div w:id="1947348031">
              <w:marLeft w:val="0"/>
              <w:marRight w:val="0"/>
              <w:marTop w:val="0"/>
              <w:marBottom w:val="0"/>
              <w:divBdr>
                <w:top w:val="none" w:sz="0" w:space="0" w:color="auto"/>
                <w:left w:val="none" w:sz="0" w:space="0" w:color="auto"/>
                <w:bottom w:val="none" w:sz="0" w:space="0" w:color="auto"/>
                <w:right w:val="none" w:sz="0" w:space="0" w:color="auto"/>
              </w:divBdr>
              <w:divsChild>
                <w:div w:id="4775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0932">
      <w:bodyDiv w:val="1"/>
      <w:marLeft w:val="0"/>
      <w:marRight w:val="0"/>
      <w:marTop w:val="0"/>
      <w:marBottom w:val="0"/>
      <w:divBdr>
        <w:top w:val="none" w:sz="0" w:space="0" w:color="auto"/>
        <w:left w:val="none" w:sz="0" w:space="0" w:color="auto"/>
        <w:bottom w:val="none" w:sz="0" w:space="0" w:color="auto"/>
        <w:right w:val="none" w:sz="0" w:space="0" w:color="auto"/>
      </w:divBdr>
      <w:divsChild>
        <w:div w:id="2090691395">
          <w:marLeft w:val="0"/>
          <w:marRight w:val="0"/>
          <w:marTop w:val="0"/>
          <w:marBottom w:val="0"/>
          <w:divBdr>
            <w:top w:val="none" w:sz="0" w:space="0" w:color="auto"/>
            <w:left w:val="none" w:sz="0" w:space="0" w:color="auto"/>
            <w:bottom w:val="none" w:sz="0" w:space="0" w:color="auto"/>
            <w:right w:val="none" w:sz="0" w:space="0" w:color="auto"/>
          </w:divBdr>
          <w:divsChild>
            <w:div w:id="295914298">
              <w:marLeft w:val="0"/>
              <w:marRight w:val="0"/>
              <w:marTop w:val="0"/>
              <w:marBottom w:val="0"/>
              <w:divBdr>
                <w:top w:val="none" w:sz="0" w:space="0" w:color="auto"/>
                <w:left w:val="none" w:sz="0" w:space="0" w:color="auto"/>
                <w:bottom w:val="none" w:sz="0" w:space="0" w:color="auto"/>
                <w:right w:val="none" w:sz="0" w:space="0" w:color="auto"/>
              </w:divBdr>
              <w:divsChild>
                <w:div w:id="2020623071">
                  <w:marLeft w:val="0"/>
                  <w:marRight w:val="0"/>
                  <w:marTop w:val="0"/>
                  <w:marBottom w:val="0"/>
                  <w:divBdr>
                    <w:top w:val="none" w:sz="0" w:space="0" w:color="auto"/>
                    <w:left w:val="none" w:sz="0" w:space="0" w:color="auto"/>
                    <w:bottom w:val="none" w:sz="0" w:space="0" w:color="auto"/>
                    <w:right w:val="none" w:sz="0" w:space="0" w:color="auto"/>
                  </w:divBdr>
                  <w:divsChild>
                    <w:div w:id="1423841225">
                      <w:marLeft w:val="0"/>
                      <w:marRight w:val="0"/>
                      <w:marTop w:val="0"/>
                      <w:marBottom w:val="0"/>
                      <w:divBdr>
                        <w:top w:val="none" w:sz="0" w:space="0" w:color="auto"/>
                        <w:left w:val="none" w:sz="0" w:space="0" w:color="auto"/>
                        <w:bottom w:val="none" w:sz="0" w:space="0" w:color="auto"/>
                        <w:right w:val="none" w:sz="0" w:space="0" w:color="auto"/>
                      </w:divBdr>
                      <w:divsChild>
                        <w:div w:id="17315656">
                          <w:marLeft w:val="0"/>
                          <w:marRight w:val="0"/>
                          <w:marTop w:val="0"/>
                          <w:marBottom w:val="0"/>
                          <w:divBdr>
                            <w:top w:val="none" w:sz="0" w:space="0" w:color="auto"/>
                            <w:left w:val="none" w:sz="0" w:space="0" w:color="auto"/>
                            <w:bottom w:val="none" w:sz="0" w:space="0" w:color="auto"/>
                            <w:right w:val="none" w:sz="0" w:space="0" w:color="auto"/>
                          </w:divBdr>
                          <w:divsChild>
                            <w:div w:id="20689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111958">
      <w:bodyDiv w:val="1"/>
      <w:marLeft w:val="0"/>
      <w:marRight w:val="0"/>
      <w:marTop w:val="0"/>
      <w:marBottom w:val="0"/>
      <w:divBdr>
        <w:top w:val="none" w:sz="0" w:space="0" w:color="auto"/>
        <w:left w:val="none" w:sz="0" w:space="0" w:color="auto"/>
        <w:bottom w:val="none" w:sz="0" w:space="0" w:color="auto"/>
        <w:right w:val="none" w:sz="0" w:space="0" w:color="auto"/>
      </w:divBdr>
    </w:div>
    <w:div w:id="255402723">
      <w:bodyDiv w:val="1"/>
      <w:marLeft w:val="0"/>
      <w:marRight w:val="0"/>
      <w:marTop w:val="0"/>
      <w:marBottom w:val="0"/>
      <w:divBdr>
        <w:top w:val="none" w:sz="0" w:space="0" w:color="auto"/>
        <w:left w:val="none" w:sz="0" w:space="0" w:color="auto"/>
        <w:bottom w:val="none" w:sz="0" w:space="0" w:color="auto"/>
        <w:right w:val="none" w:sz="0" w:space="0" w:color="auto"/>
      </w:divBdr>
      <w:divsChild>
        <w:div w:id="541870682">
          <w:marLeft w:val="0"/>
          <w:marRight w:val="0"/>
          <w:marTop w:val="0"/>
          <w:marBottom w:val="0"/>
          <w:divBdr>
            <w:top w:val="none" w:sz="0" w:space="0" w:color="auto"/>
            <w:left w:val="none" w:sz="0" w:space="0" w:color="auto"/>
            <w:bottom w:val="none" w:sz="0" w:space="0" w:color="auto"/>
            <w:right w:val="none" w:sz="0" w:space="0" w:color="auto"/>
          </w:divBdr>
          <w:divsChild>
            <w:div w:id="1058629830">
              <w:marLeft w:val="0"/>
              <w:marRight w:val="0"/>
              <w:marTop w:val="0"/>
              <w:marBottom w:val="0"/>
              <w:divBdr>
                <w:top w:val="none" w:sz="0" w:space="0" w:color="auto"/>
                <w:left w:val="none" w:sz="0" w:space="0" w:color="auto"/>
                <w:bottom w:val="none" w:sz="0" w:space="0" w:color="auto"/>
                <w:right w:val="none" w:sz="0" w:space="0" w:color="auto"/>
              </w:divBdr>
              <w:divsChild>
                <w:div w:id="297540752">
                  <w:marLeft w:val="0"/>
                  <w:marRight w:val="0"/>
                  <w:marTop w:val="0"/>
                  <w:marBottom w:val="0"/>
                  <w:divBdr>
                    <w:top w:val="none" w:sz="0" w:space="0" w:color="auto"/>
                    <w:left w:val="none" w:sz="0" w:space="0" w:color="auto"/>
                    <w:bottom w:val="none" w:sz="0" w:space="0" w:color="auto"/>
                    <w:right w:val="none" w:sz="0" w:space="0" w:color="auto"/>
                  </w:divBdr>
                  <w:divsChild>
                    <w:div w:id="1784567107">
                      <w:marLeft w:val="0"/>
                      <w:marRight w:val="0"/>
                      <w:marTop w:val="0"/>
                      <w:marBottom w:val="0"/>
                      <w:divBdr>
                        <w:top w:val="none" w:sz="0" w:space="0" w:color="auto"/>
                        <w:left w:val="none" w:sz="0" w:space="0" w:color="auto"/>
                        <w:bottom w:val="none" w:sz="0" w:space="0" w:color="auto"/>
                        <w:right w:val="none" w:sz="0" w:space="0" w:color="auto"/>
                      </w:divBdr>
                      <w:divsChild>
                        <w:div w:id="359745317">
                          <w:marLeft w:val="0"/>
                          <w:marRight w:val="0"/>
                          <w:marTop w:val="0"/>
                          <w:marBottom w:val="0"/>
                          <w:divBdr>
                            <w:top w:val="none" w:sz="0" w:space="0" w:color="auto"/>
                            <w:left w:val="none" w:sz="0" w:space="0" w:color="auto"/>
                            <w:bottom w:val="none" w:sz="0" w:space="0" w:color="auto"/>
                            <w:right w:val="none" w:sz="0" w:space="0" w:color="auto"/>
                          </w:divBdr>
                          <w:divsChild>
                            <w:div w:id="6285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377807">
      <w:bodyDiv w:val="1"/>
      <w:marLeft w:val="0"/>
      <w:marRight w:val="0"/>
      <w:marTop w:val="0"/>
      <w:marBottom w:val="0"/>
      <w:divBdr>
        <w:top w:val="none" w:sz="0" w:space="0" w:color="auto"/>
        <w:left w:val="none" w:sz="0" w:space="0" w:color="auto"/>
        <w:bottom w:val="none" w:sz="0" w:space="0" w:color="auto"/>
        <w:right w:val="none" w:sz="0" w:space="0" w:color="auto"/>
      </w:divBdr>
      <w:divsChild>
        <w:div w:id="441803940">
          <w:marLeft w:val="0"/>
          <w:marRight w:val="0"/>
          <w:marTop w:val="0"/>
          <w:marBottom w:val="0"/>
          <w:divBdr>
            <w:top w:val="none" w:sz="0" w:space="0" w:color="auto"/>
            <w:left w:val="none" w:sz="0" w:space="0" w:color="auto"/>
            <w:bottom w:val="none" w:sz="0" w:space="0" w:color="auto"/>
            <w:right w:val="none" w:sz="0" w:space="0" w:color="auto"/>
          </w:divBdr>
          <w:divsChild>
            <w:div w:id="747725404">
              <w:marLeft w:val="0"/>
              <w:marRight w:val="0"/>
              <w:marTop w:val="0"/>
              <w:marBottom w:val="0"/>
              <w:divBdr>
                <w:top w:val="none" w:sz="0" w:space="0" w:color="auto"/>
                <w:left w:val="none" w:sz="0" w:space="0" w:color="auto"/>
                <w:bottom w:val="none" w:sz="0" w:space="0" w:color="auto"/>
                <w:right w:val="none" w:sz="0" w:space="0" w:color="auto"/>
              </w:divBdr>
              <w:divsChild>
                <w:div w:id="2086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6254">
      <w:bodyDiv w:val="1"/>
      <w:marLeft w:val="0"/>
      <w:marRight w:val="0"/>
      <w:marTop w:val="0"/>
      <w:marBottom w:val="0"/>
      <w:divBdr>
        <w:top w:val="none" w:sz="0" w:space="0" w:color="auto"/>
        <w:left w:val="none" w:sz="0" w:space="0" w:color="auto"/>
        <w:bottom w:val="none" w:sz="0" w:space="0" w:color="auto"/>
        <w:right w:val="none" w:sz="0" w:space="0" w:color="auto"/>
      </w:divBdr>
      <w:divsChild>
        <w:div w:id="996105687">
          <w:marLeft w:val="0"/>
          <w:marRight w:val="0"/>
          <w:marTop w:val="0"/>
          <w:marBottom w:val="0"/>
          <w:divBdr>
            <w:top w:val="none" w:sz="0" w:space="0" w:color="auto"/>
            <w:left w:val="none" w:sz="0" w:space="0" w:color="auto"/>
            <w:bottom w:val="none" w:sz="0" w:space="0" w:color="auto"/>
            <w:right w:val="none" w:sz="0" w:space="0" w:color="auto"/>
          </w:divBdr>
          <w:divsChild>
            <w:div w:id="2091390859">
              <w:marLeft w:val="0"/>
              <w:marRight w:val="0"/>
              <w:marTop w:val="0"/>
              <w:marBottom w:val="0"/>
              <w:divBdr>
                <w:top w:val="none" w:sz="0" w:space="0" w:color="auto"/>
                <w:left w:val="none" w:sz="0" w:space="0" w:color="auto"/>
                <w:bottom w:val="none" w:sz="0" w:space="0" w:color="auto"/>
                <w:right w:val="none" w:sz="0" w:space="0" w:color="auto"/>
              </w:divBdr>
              <w:divsChild>
                <w:div w:id="354581256">
                  <w:marLeft w:val="0"/>
                  <w:marRight w:val="0"/>
                  <w:marTop w:val="0"/>
                  <w:marBottom w:val="0"/>
                  <w:divBdr>
                    <w:top w:val="none" w:sz="0" w:space="0" w:color="auto"/>
                    <w:left w:val="none" w:sz="0" w:space="0" w:color="auto"/>
                    <w:bottom w:val="none" w:sz="0" w:space="0" w:color="auto"/>
                    <w:right w:val="none" w:sz="0" w:space="0" w:color="auto"/>
                  </w:divBdr>
                  <w:divsChild>
                    <w:div w:id="800851515">
                      <w:marLeft w:val="0"/>
                      <w:marRight w:val="0"/>
                      <w:marTop w:val="0"/>
                      <w:marBottom w:val="0"/>
                      <w:divBdr>
                        <w:top w:val="none" w:sz="0" w:space="0" w:color="auto"/>
                        <w:left w:val="none" w:sz="0" w:space="0" w:color="auto"/>
                        <w:bottom w:val="none" w:sz="0" w:space="0" w:color="auto"/>
                        <w:right w:val="none" w:sz="0" w:space="0" w:color="auto"/>
                      </w:divBdr>
                      <w:divsChild>
                        <w:div w:id="427164106">
                          <w:marLeft w:val="0"/>
                          <w:marRight w:val="0"/>
                          <w:marTop w:val="0"/>
                          <w:marBottom w:val="0"/>
                          <w:divBdr>
                            <w:top w:val="none" w:sz="0" w:space="0" w:color="auto"/>
                            <w:left w:val="none" w:sz="0" w:space="0" w:color="auto"/>
                            <w:bottom w:val="none" w:sz="0" w:space="0" w:color="auto"/>
                            <w:right w:val="none" w:sz="0" w:space="0" w:color="auto"/>
                          </w:divBdr>
                          <w:divsChild>
                            <w:div w:id="1568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159190">
      <w:bodyDiv w:val="1"/>
      <w:marLeft w:val="0"/>
      <w:marRight w:val="0"/>
      <w:marTop w:val="0"/>
      <w:marBottom w:val="0"/>
      <w:divBdr>
        <w:top w:val="none" w:sz="0" w:space="0" w:color="auto"/>
        <w:left w:val="none" w:sz="0" w:space="0" w:color="auto"/>
        <w:bottom w:val="none" w:sz="0" w:space="0" w:color="auto"/>
        <w:right w:val="none" w:sz="0" w:space="0" w:color="auto"/>
      </w:divBdr>
      <w:divsChild>
        <w:div w:id="1812333078">
          <w:marLeft w:val="0"/>
          <w:marRight w:val="0"/>
          <w:marTop w:val="0"/>
          <w:marBottom w:val="0"/>
          <w:divBdr>
            <w:top w:val="none" w:sz="0" w:space="0" w:color="auto"/>
            <w:left w:val="none" w:sz="0" w:space="0" w:color="auto"/>
            <w:bottom w:val="none" w:sz="0" w:space="0" w:color="auto"/>
            <w:right w:val="none" w:sz="0" w:space="0" w:color="auto"/>
          </w:divBdr>
          <w:divsChild>
            <w:div w:id="1581057297">
              <w:marLeft w:val="0"/>
              <w:marRight w:val="0"/>
              <w:marTop w:val="0"/>
              <w:marBottom w:val="0"/>
              <w:divBdr>
                <w:top w:val="none" w:sz="0" w:space="0" w:color="auto"/>
                <w:left w:val="none" w:sz="0" w:space="0" w:color="auto"/>
                <w:bottom w:val="none" w:sz="0" w:space="0" w:color="auto"/>
                <w:right w:val="none" w:sz="0" w:space="0" w:color="auto"/>
              </w:divBdr>
              <w:divsChild>
                <w:div w:id="21389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9042">
      <w:bodyDiv w:val="1"/>
      <w:marLeft w:val="0"/>
      <w:marRight w:val="0"/>
      <w:marTop w:val="0"/>
      <w:marBottom w:val="0"/>
      <w:divBdr>
        <w:top w:val="none" w:sz="0" w:space="0" w:color="auto"/>
        <w:left w:val="none" w:sz="0" w:space="0" w:color="auto"/>
        <w:bottom w:val="none" w:sz="0" w:space="0" w:color="auto"/>
        <w:right w:val="none" w:sz="0" w:space="0" w:color="auto"/>
      </w:divBdr>
    </w:div>
    <w:div w:id="514465159">
      <w:bodyDiv w:val="1"/>
      <w:marLeft w:val="0"/>
      <w:marRight w:val="0"/>
      <w:marTop w:val="0"/>
      <w:marBottom w:val="0"/>
      <w:divBdr>
        <w:top w:val="none" w:sz="0" w:space="0" w:color="auto"/>
        <w:left w:val="none" w:sz="0" w:space="0" w:color="auto"/>
        <w:bottom w:val="none" w:sz="0" w:space="0" w:color="auto"/>
        <w:right w:val="none" w:sz="0" w:space="0" w:color="auto"/>
      </w:divBdr>
      <w:divsChild>
        <w:div w:id="2069330473">
          <w:marLeft w:val="0"/>
          <w:marRight w:val="0"/>
          <w:marTop w:val="0"/>
          <w:marBottom w:val="0"/>
          <w:divBdr>
            <w:top w:val="none" w:sz="0" w:space="0" w:color="auto"/>
            <w:left w:val="none" w:sz="0" w:space="0" w:color="auto"/>
            <w:bottom w:val="none" w:sz="0" w:space="0" w:color="auto"/>
            <w:right w:val="none" w:sz="0" w:space="0" w:color="auto"/>
          </w:divBdr>
          <w:divsChild>
            <w:div w:id="343095770">
              <w:marLeft w:val="0"/>
              <w:marRight w:val="0"/>
              <w:marTop w:val="0"/>
              <w:marBottom w:val="0"/>
              <w:divBdr>
                <w:top w:val="none" w:sz="0" w:space="0" w:color="auto"/>
                <w:left w:val="none" w:sz="0" w:space="0" w:color="auto"/>
                <w:bottom w:val="none" w:sz="0" w:space="0" w:color="auto"/>
                <w:right w:val="none" w:sz="0" w:space="0" w:color="auto"/>
              </w:divBdr>
              <w:divsChild>
                <w:div w:id="1193887022">
                  <w:marLeft w:val="0"/>
                  <w:marRight w:val="0"/>
                  <w:marTop w:val="0"/>
                  <w:marBottom w:val="0"/>
                  <w:divBdr>
                    <w:top w:val="none" w:sz="0" w:space="0" w:color="auto"/>
                    <w:left w:val="none" w:sz="0" w:space="0" w:color="auto"/>
                    <w:bottom w:val="none" w:sz="0" w:space="0" w:color="auto"/>
                    <w:right w:val="none" w:sz="0" w:space="0" w:color="auto"/>
                  </w:divBdr>
                  <w:divsChild>
                    <w:div w:id="299116538">
                      <w:marLeft w:val="0"/>
                      <w:marRight w:val="0"/>
                      <w:marTop w:val="0"/>
                      <w:marBottom w:val="0"/>
                      <w:divBdr>
                        <w:top w:val="none" w:sz="0" w:space="0" w:color="auto"/>
                        <w:left w:val="none" w:sz="0" w:space="0" w:color="auto"/>
                        <w:bottom w:val="none" w:sz="0" w:space="0" w:color="auto"/>
                        <w:right w:val="none" w:sz="0" w:space="0" w:color="auto"/>
                      </w:divBdr>
                      <w:divsChild>
                        <w:div w:id="1729331069">
                          <w:marLeft w:val="0"/>
                          <w:marRight w:val="0"/>
                          <w:marTop w:val="0"/>
                          <w:marBottom w:val="0"/>
                          <w:divBdr>
                            <w:top w:val="none" w:sz="0" w:space="0" w:color="auto"/>
                            <w:left w:val="none" w:sz="0" w:space="0" w:color="auto"/>
                            <w:bottom w:val="none" w:sz="0" w:space="0" w:color="auto"/>
                            <w:right w:val="none" w:sz="0" w:space="0" w:color="auto"/>
                          </w:divBdr>
                          <w:divsChild>
                            <w:div w:id="17071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726805">
      <w:bodyDiv w:val="1"/>
      <w:marLeft w:val="0"/>
      <w:marRight w:val="0"/>
      <w:marTop w:val="0"/>
      <w:marBottom w:val="0"/>
      <w:divBdr>
        <w:top w:val="none" w:sz="0" w:space="0" w:color="auto"/>
        <w:left w:val="none" w:sz="0" w:space="0" w:color="auto"/>
        <w:bottom w:val="none" w:sz="0" w:space="0" w:color="auto"/>
        <w:right w:val="none" w:sz="0" w:space="0" w:color="auto"/>
      </w:divBdr>
      <w:divsChild>
        <w:div w:id="632564353">
          <w:marLeft w:val="0"/>
          <w:marRight w:val="0"/>
          <w:marTop w:val="0"/>
          <w:marBottom w:val="0"/>
          <w:divBdr>
            <w:top w:val="none" w:sz="0" w:space="0" w:color="auto"/>
            <w:left w:val="none" w:sz="0" w:space="0" w:color="auto"/>
            <w:bottom w:val="none" w:sz="0" w:space="0" w:color="auto"/>
            <w:right w:val="none" w:sz="0" w:space="0" w:color="auto"/>
          </w:divBdr>
          <w:divsChild>
            <w:div w:id="1958372366">
              <w:marLeft w:val="0"/>
              <w:marRight w:val="0"/>
              <w:marTop w:val="0"/>
              <w:marBottom w:val="0"/>
              <w:divBdr>
                <w:top w:val="none" w:sz="0" w:space="0" w:color="auto"/>
                <w:left w:val="none" w:sz="0" w:space="0" w:color="auto"/>
                <w:bottom w:val="none" w:sz="0" w:space="0" w:color="auto"/>
                <w:right w:val="none" w:sz="0" w:space="0" w:color="auto"/>
              </w:divBdr>
              <w:divsChild>
                <w:div w:id="7646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3338">
      <w:bodyDiv w:val="1"/>
      <w:marLeft w:val="0"/>
      <w:marRight w:val="0"/>
      <w:marTop w:val="0"/>
      <w:marBottom w:val="0"/>
      <w:divBdr>
        <w:top w:val="none" w:sz="0" w:space="0" w:color="auto"/>
        <w:left w:val="none" w:sz="0" w:space="0" w:color="auto"/>
        <w:bottom w:val="none" w:sz="0" w:space="0" w:color="auto"/>
        <w:right w:val="none" w:sz="0" w:space="0" w:color="auto"/>
      </w:divBdr>
    </w:div>
    <w:div w:id="673873611">
      <w:bodyDiv w:val="1"/>
      <w:marLeft w:val="0"/>
      <w:marRight w:val="0"/>
      <w:marTop w:val="0"/>
      <w:marBottom w:val="0"/>
      <w:divBdr>
        <w:top w:val="none" w:sz="0" w:space="0" w:color="auto"/>
        <w:left w:val="none" w:sz="0" w:space="0" w:color="auto"/>
        <w:bottom w:val="none" w:sz="0" w:space="0" w:color="auto"/>
        <w:right w:val="none" w:sz="0" w:space="0" w:color="auto"/>
      </w:divBdr>
    </w:div>
    <w:div w:id="892498049">
      <w:bodyDiv w:val="1"/>
      <w:marLeft w:val="0"/>
      <w:marRight w:val="0"/>
      <w:marTop w:val="0"/>
      <w:marBottom w:val="0"/>
      <w:divBdr>
        <w:top w:val="none" w:sz="0" w:space="0" w:color="auto"/>
        <w:left w:val="none" w:sz="0" w:space="0" w:color="auto"/>
        <w:bottom w:val="none" w:sz="0" w:space="0" w:color="auto"/>
        <w:right w:val="none" w:sz="0" w:space="0" w:color="auto"/>
      </w:divBdr>
    </w:div>
    <w:div w:id="976187199">
      <w:bodyDiv w:val="1"/>
      <w:marLeft w:val="0"/>
      <w:marRight w:val="0"/>
      <w:marTop w:val="0"/>
      <w:marBottom w:val="0"/>
      <w:divBdr>
        <w:top w:val="none" w:sz="0" w:space="0" w:color="auto"/>
        <w:left w:val="none" w:sz="0" w:space="0" w:color="auto"/>
        <w:bottom w:val="none" w:sz="0" w:space="0" w:color="auto"/>
        <w:right w:val="none" w:sz="0" w:space="0" w:color="auto"/>
      </w:divBdr>
    </w:div>
    <w:div w:id="1102342758">
      <w:bodyDiv w:val="1"/>
      <w:marLeft w:val="0"/>
      <w:marRight w:val="0"/>
      <w:marTop w:val="0"/>
      <w:marBottom w:val="0"/>
      <w:divBdr>
        <w:top w:val="none" w:sz="0" w:space="0" w:color="auto"/>
        <w:left w:val="none" w:sz="0" w:space="0" w:color="auto"/>
        <w:bottom w:val="none" w:sz="0" w:space="0" w:color="auto"/>
        <w:right w:val="none" w:sz="0" w:space="0" w:color="auto"/>
      </w:divBdr>
    </w:div>
    <w:div w:id="1218473523">
      <w:bodyDiv w:val="1"/>
      <w:marLeft w:val="0"/>
      <w:marRight w:val="0"/>
      <w:marTop w:val="0"/>
      <w:marBottom w:val="0"/>
      <w:divBdr>
        <w:top w:val="none" w:sz="0" w:space="0" w:color="auto"/>
        <w:left w:val="none" w:sz="0" w:space="0" w:color="auto"/>
        <w:bottom w:val="none" w:sz="0" w:space="0" w:color="auto"/>
        <w:right w:val="none" w:sz="0" w:space="0" w:color="auto"/>
      </w:divBdr>
    </w:div>
    <w:div w:id="1263883107">
      <w:bodyDiv w:val="1"/>
      <w:marLeft w:val="0"/>
      <w:marRight w:val="0"/>
      <w:marTop w:val="0"/>
      <w:marBottom w:val="0"/>
      <w:divBdr>
        <w:top w:val="none" w:sz="0" w:space="0" w:color="auto"/>
        <w:left w:val="none" w:sz="0" w:space="0" w:color="auto"/>
        <w:bottom w:val="none" w:sz="0" w:space="0" w:color="auto"/>
        <w:right w:val="none" w:sz="0" w:space="0" w:color="auto"/>
      </w:divBdr>
      <w:divsChild>
        <w:div w:id="1179388223">
          <w:marLeft w:val="0"/>
          <w:marRight w:val="0"/>
          <w:marTop w:val="0"/>
          <w:marBottom w:val="0"/>
          <w:divBdr>
            <w:top w:val="none" w:sz="0" w:space="0" w:color="auto"/>
            <w:left w:val="none" w:sz="0" w:space="0" w:color="auto"/>
            <w:bottom w:val="none" w:sz="0" w:space="0" w:color="auto"/>
            <w:right w:val="none" w:sz="0" w:space="0" w:color="auto"/>
          </w:divBdr>
          <w:divsChild>
            <w:div w:id="1596129639">
              <w:marLeft w:val="0"/>
              <w:marRight w:val="0"/>
              <w:marTop w:val="0"/>
              <w:marBottom w:val="0"/>
              <w:divBdr>
                <w:top w:val="none" w:sz="0" w:space="0" w:color="auto"/>
                <w:left w:val="none" w:sz="0" w:space="0" w:color="auto"/>
                <w:bottom w:val="none" w:sz="0" w:space="0" w:color="auto"/>
                <w:right w:val="none" w:sz="0" w:space="0" w:color="auto"/>
              </w:divBdr>
              <w:divsChild>
                <w:div w:id="554269844">
                  <w:marLeft w:val="0"/>
                  <w:marRight w:val="0"/>
                  <w:marTop w:val="0"/>
                  <w:marBottom w:val="0"/>
                  <w:divBdr>
                    <w:top w:val="none" w:sz="0" w:space="0" w:color="auto"/>
                    <w:left w:val="none" w:sz="0" w:space="0" w:color="auto"/>
                    <w:bottom w:val="none" w:sz="0" w:space="0" w:color="auto"/>
                    <w:right w:val="none" w:sz="0" w:space="0" w:color="auto"/>
                  </w:divBdr>
                  <w:divsChild>
                    <w:div w:id="512959811">
                      <w:marLeft w:val="0"/>
                      <w:marRight w:val="0"/>
                      <w:marTop w:val="0"/>
                      <w:marBottom w:val="0"/>
                      <w:divBdr>
                        <w:top w:val="none" w:sz="0" w:space="0" w:color="auto"/>
                        <w:left w:val="none" w:sz="0" w:space="0" w:color="auto"/>
                        <w:bottom w:val="none" w:sz="0" w:space="0" w:color="auto"/>
                        <w:right w:val="none" w:sz="0" w:space="0" w:color="auto"/>
                      </w:divBdr>
                      <w:divsChild>
                        <w:div w:id="733092393">
                          <w:marLeft w:val="0"/>
                          <w:marRight w:val="0"/>
                          <w:marTop w:val="0"/>
                          <w:marBottom w:val="0"/>
                          <w:divBdr>
                            <w:top w:val="none" w:sz="0" w:space="0" w:color="auto"/>
                            <w:left w:val="none" w:sz="0" w:space="0" w:color="auto"/>
                            <w:bottom w:val="none" w:sz="0" w:space="0" w:color="auto"/>
                            <w:right w:val="none" w:sz="0" w:space="0" w:color="auto"/>
                          </w:divBdr>
                          <w:divsChild>
                            <w:div w:id="13795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8315">
      <w:bodyDiv w:val="1"/>
      <w:marLeft w:val="0"/>
      <w:marRight w:val="0"/>
      <w:marTop w:val="0"/>
      <w:marBottom w:val="0"/>
      <w:divBdr>
        <w:top w:val="none" w:sz="0" w:space="0" w:color="auto"/>
        <w:left w:val="none" w:sz="0" w:space="0" w:color="auto"/>
        <w:bottom w:val="none" w:sz="0" w:space="0" w:color="auto"/>
        <w:right w:val="none" w:sz="0" w:space="0" w:color="auto"/>
      </w:divBdr>
    </w:div>
    <w:div w:id="1524633632">
      <w:bodyDiv w:val="1"/>
      <w:marLeft w:val="0"/>
      <w:marRight w:val="0"/>
      <w:marTop w:val="0"/>
      <w:marBottom w:val="0"/>
      <w:divBdr>
        <w:top w:val="none" w:sz="0" w:space="0" w:color="auto"/>
        <w:left w:val="none" w:sz="0" w:space="0" w:color="auto"/>
        <w:bottom w:val="none" w:sz="0" w:space="0" w:color="auto"/>
        <w:right w:val="none" w:sz="0" w:space="0" w:color="auto"/>
      </w:divBdr>
      <w:divsChild>
        <w:div w:id="222788902">
          <w:marLeft w:val="0"/>
          <w:marRight w:val="0"/>
          <w:marTop w:val="100"/>
          <w:marBottom w:val="100"/>
          <w:divBdr>
            <w:top w:val="none" w:sz="0" w:space="0" w:color="auto"/>
            <w:left w:val="none" w:sz="0" w:space="0" w:color="auto"/>
            <w:bottom w:val="none" w:sz="0" w:space="0" w:color="auto"/>
            <w:right w:val="none" w:sz="0" w:space="0" w:color="auto"/>
          </w:divBdr>
          <w:divsChild>
            <w:div w:id="669018463">
              <w:marLeft w:val="0"/>
              <w:marRight w:val="0"/>
              <w:marTop w:val="0"/>
              <w:marBottom w:val="0"/>
              <w:divBdr>
                <w:top w:val="none" w:sz="0" w:space="0" w:color="auto"/>
                <w:left w:val="none" w:sz="0" w:space="0" w:color="auto"/>
                <w:bottom w:val="none" w:sz="0" w:space="0" w:color="auto"/>
                <w:right w:val="none" w:sz="0" w:space="0" w:color="auto"/>
              </w:divBdr>
              <w:divsChild>
                <w:div w:id="1749308720">
                  <w:marLeft w:val="105"/>
                  <w:marRight w:val="105"/>
                  <w:marTop w:val="150"/>
                  <w:marBottom w:val="150"/>
                  <w:divBdr>
                    <w:top w:val="none" w:sz="0" w:space="0" w:color="auto"/>
                    <w:left w:val="none" w:sz="0" w:space="0" w:color="auto"/>
                    <w:bottom w:val="none" w:sz="0" w:space="0" w:color="auto"/>
                    <w:right w:val="none" w:sz="0" w:space="0" w:color="auto"/>
                  </w:divBdr>
                  <w:divsChild>
                    <w:div w:id="1371765841">
                      <w:marLeft w:val="0"/>
                      <w:marRight w:val="0"/>
                      <w:marTop w:val="0"/>
                      <w:marBottom w:val="0"/>
                      <w:divBdr>
                        <w:top w:val="none" w:sz="0" w:space="0" w:color="auto"/>
                        <w:left w:val="none" w:sz="0" w:space="0" w:color="auto"/>
                        <w:bottom w:val="none" w:sz="0" w:space="0" w:color="auto"/>
                        <w:right w:val="none" w:sz="0" w:space="0" w:color="auto"/>
                      </w:divBdr>
                      <w:divsChild>
                        <w:div w:id="1734544427">
                          <w:marLeft w:val="0"/>
                          <w:marRight w:val="0"/>
                          <w:marTop w:val="0"/>
                          <w:marBottom w:val="0"/>
                          <w:divBdr>
                            <w:top w:val="none" w:sz="0" w:space="0" w:color="auto"/>
                            <w:left w:val="none" w:sz="0" w:space="0" w:color="auto"/>
                            <w:bottom w:val="none" w:sz="0" w:space="0" w:color="auto"/>
                            <w:right w:val="none" w:sz="0" w:space="0" w:color="auto"/>
                          </w:divBdr>
                          <w:divsChild>
                            <w:div w:id="1020088148">
                              <w:marLeft w:val="0"/>
                              <w:marRight w:val="0"/>
                              <w:marTop w:val="0"/>
                              <w:marBottom w:val="0"/>
                              <w:divBdr>
                                <w:top w:val="none" w:sz="0" w:space="0" w:color="auto"/>
                                <w:left w:val="none" w:sz="0" w:space="0" w:color="auto"/>
                                <w:bottom w:val="none" w:sz="0" w:space="0" w:color="auto"/>
                                <w:right w:val="none" w:sz="0" w:space="0" w:color="auto"/>
                              </w:divBdr>
                              <w:divsChild>
                                <w:div w:id="1573616697">
                                  <w:marLeft w:val="105"/>
                                  <w:marRight w:val="105"/>
                                  <w:marTop w:val="150"/>
                                  <w:marBottom w:val="150"/>
                                  <w:divBdr>
                                    <w:top w:val="none" w:sz="0" w:space="0" w:color="auto"/>
                                    <w:left w:val="none" w:sz="0" w:space="0" w:color="auto"/>
                                    <w:bottom w:val="none" w:sz="0" w:space="0" w:color="auto"/>
                                    <w:right w:val="none" w:sz="0" w:space="0" w:color="auto"/>
                                  </w:divBdr>
                                  <w:divsChild>
                                    <w:div w:id="854077245">
                                      <w:marLeft w:val="0"/>
                                      <w:marRight w:val="0"/>
                                      <w:marTop w:val="0"/>
                                      <w:marBottom w:val="0"/>
                                      <w:divBdr>
                                        <w:top w:val="none" w:sz="0" w:space="0" w:color="auto"/>
                                        <w:left w:val="none" w:sz="0" w:space="0" w:color="auto"/>
                                        <w:bottom w:val="none" w:sz="0" w:space="0" w:color="auto"/>
                                        <w:right w:val="none" w:sz="0" w:space="0" w:color="auto"/>
                                      </w:divBdr>
                                      <w:divsChild>
                                        <w:div w:id="1929269048">
                                          <w:marLeft w:val="0"/>
                                          <w:marRight w:val="0"/>
                                          <w:marTop w:val="0"/>
                                          <w:marBottom w:val="0"/>
                                          <w:divBdr>
                                            <w:top w:val="none" w:sz="0" w:space="0" w:color="auto"/>
                                            <w:left w:val="none" w:sz="0" w:space="0" w:color="auto"/>
                                            <w:bottom w:val="none" w:sz="0" w:space="0" w:color="auto"/>
                                            <w:right w:val="none" w:sz="0" w:space="0" w:color="auto"/>
                                          </w:divBdr>
                                          <w:divsChild>
                                            <w:div w:id="134417972">
                                              <w:marLeft w:val="0"/>
                                              <w:marRight w:val="0"/>
                                              <w:marTop w:val="0"/>
                                              <w:marBottom w:val="0"/>
                                              <w:divBdr>
                                                <w:top w:val="none" w:sz="0" w:space="0" w:color="auto"/>
                                                <w:left w:val="none" w:sz="0" w:space="0" w:color="auto"/>
                                                <w:bottom w:val="none" w:sz="0" w:space="0" w:color="auto"/>
                                                <w:right w:val="none" w:sz="0" w:space="0" w:color="auto"/>
                                              </w:divBdr>
                                              <w:divsChild>
                                                <w:div w:id="330644898">
                                                  <w:marLeft w:val="0"/>
                                                  <w:marRight w:val="0"/>
                                                  <w:marTop w:val="0"/>
                                                  <w:marBottom w:val="0"/>
                                                  <w:divBdr>
                                                    <w:top w:val="none" w:sz="0" w:space="0" w:color="auto"/>
                                                    <w:left w:val="none" w:sz="0" w:space="0" w:color="auto"/>
                                                    <w:bottom w:val="none" w:sz="0" w:space="0" w:color="auto"/>
                                                    <w:right w:val="none" w:sz="0" w:space="0" w:color="auto"/>
                                                  </w:divBdr>
                                                  <w:divsChild>
                                                    <w:div w:id="2077702872">
                                                      <w:marLeft w:val="105"/>
                                                      <w:marRight w:val="105"/>
                                                      <w:marTop w:val="150"/>
                                                      <w:marBottom w:val="150"/>
                                                      <w:divBdr>
                                                        <w:top w:val="none" w:sz="0" w:space="0" w:color="auto"/>
                                                        <w:left w:val="none" w:sz="0" w:space="0" w:color="auto"/>
                                                        <w:bottom w:val="none" w:sz="0" w:space="0" w:color="auto"/>
                                                        <w:right w:val="none" w:sz="0" w:space="0" w:color="auto"/>
                                                      </w:divBdr>
                                                      <w:divsChild>
                                                        <w:div w:id="120002034">
                                                          <w:marLeft w:val="0"/>
                                                          <w:marRight w:val="0"/>
                                                          <w:marTop w:val="0"/>
                                                          <w:marBottom w:val="0"/>
                                                          <w:divBdr>
                                                            <w:top w:val="none" w:sz="0" w:space="0" w:color="auto"/>
                                                            <w:left w:val="none" w:sz="0" w:space="0" w:color="auto"/>
                                                            <w:bottom w:val="none" w:sz="0" w:space="0" w:color="auto"/>
                                                            <w:right w:val="none" w:sz="0" w:space="0" w:color="auto"/>
                                                          </w:divBdr>
                                                          <w:divsChild>
                                                            <w:div w:id="468203757">
                                                              <w:marLeft w:val="0"/>
                                                              <w:marRight w:val="0"/>
                                                              <w:marTop w:val="0"/>
                                                              <w:marBottom w:val="0"/>
                                                              <w:divBdr>
                                                                <w:top w:val="none" w:sz="0" w:space="0" w:color="auto"/>
                                                                <w:left w:val="none" w:sz="0" w:space="0" w:color="auto"/>
                                                                <w:bottom w:val="none" w:sz="0" w:space="0" w:color="auto"/>
                                                                <w:right w:val="none" w:sz="0" w:space="0" w:color="auto"/>
                                                              </w:divBdr>
                                                              <w:divsChild>
                                                                <w:div w:id="2065254656">
                                                                  <w:marLeft w:val="0"/>
                                                                  <w:marRight w:val="0"/>
                                                                  <w:marTop w:val="0"/>
                                                                  <w:marBottom w:val="0"/>
                                                                  <w:divBdr>
                                                                    <w:top w:val="none" w:sz="0" w:space="0" w:color="auto"/>
                                                                    <w:left w:val="none" w:sz="0" w:space="0" w:color="auto"/>
                                                                    <w:bottom w:val="none" w:sz="0" w:space="0" w:color="auto"/>
                                                                    <w:right w:val="none" w:sz="0" w:space="0" w:color="auto"/>
                                                                  </w:divBdr>
                                                                  <w:divsChild>
                                                                    <w:div w:id="1861384053">
                                                                      <w:marLeft w:val="0"/>
                                                                      <w:marRight w:val="0"/>
                                                                      <w:marTop w:val="0"/>
                                                                      <w:marBottom w:val="0"/>
                                                                      <w:divBdr>
                                                                        <w:top w:val="none" w:sz="0" w:space="0" w:color="auto"/>
                                                                        <w:left w:val="none" w:sz="0" w:space="0" w:color="auto"/>
                                                                        <w:bottom w:val="none" w:sz="0" w:space="0" w:color="auto"/>
                                                                        <w:right w:val="none" w:sz="0" w:space="0" w:color="auto"/>
                                                                      </w:divBdr>
                                                                      <w:divsChild>
                                                                        <w:div w:id="962156116">
                                                                          <w:marLeft w:val="0"/>
                                                                          <w:marRight w:val="0"/>
                                                                          <w:marTop w:val="0"/>
                                                                          <w:marBottom w:val="0"/>
                                                                          <w:divBdr>
                                                                            <w:top w:val="none" w:sz="0" w:space="0" w:color="auto"/>
                                                                            <w:left w:val="none" w:sz="0" w:space="0" w:color="auto"/>
                                                                            <w:bottom w:val="none" w:sz="0" w:space="0" w:color="auto"/>
                                                                            <w:right w:val="none" w:sz="0" w:space="0" w:color="auto"/>
                                                                          </w:divBdr>
                                                                          <w:divsChild>
                                                                            <w:div w:id="202988328">
                                                                              <w:marLeft w:val="105"/>
                                                                              <w:marRight w:val="105"/>
                                                                              <w:marTop w:val="150"/>
                                                                              <w:marBottom w:val="150"/>
                                                                              <w:divBdr>
                                                                                <w:top w:val="none" w:sz="0" w:space="0" w:color="auto"/>
                                                                                <w:left w:val="none" w:sz="0" w:space="0" w:color="auto"/>
                                                                                <w:bottom w:val="none" w:sz="0" w:space="0" w:color="auto"/>
                                                                                <w:right w:val="none" w:sz="0" w:space="0" w:color="auto"/>
                                                                              </w:divBdr>
                                                                              <w:divsChild>
                                                                                <w:div w:id="443620898">
                                                                                  <w:marLeft w:val="0"/>
                                                                                  <w:marRight w:val="0"/>
                                                                                  <w:marTop w:val="0"/>
                                                                                  <w:marBottom w:val="0"/>
                                                                                  <w:divBdr>
                                                                                    <w:top w:val="none" w:sz="0" w:space="0" w:color="auto"/>
                                                                                    <w:left w:val="none" w:sz="0" w:space="0" w:color="auto"/>
                                                                                    <w:bottom w:val="none" w:sz="0" w:space="0" w:color="auto"/>
                                                                                    <w:right w:val="none" w:sz="0" w:space="0" w:color="auto"/>
                                                                                  </w:divBdr>
                                                                                  <w:divsChild>
                                                                                    <w:div w:id="933708462">
                                                                                      <w:marLeft w:val="0"/>
                                                                                      <w:marRight w:val="0"/>
                                                                                      <w:marTop w:val="0"/>
                                                                                      <w:marBottom w:val="0"/>
                                                                                      <w:divBdr>
                                                                                        <w:top w:val="none" w:sz="0" w:space="0" w:color="auto"/>
                                                                                        <w:left w:val="none" w:sz="0" w:space="0" w:color="auto"/>
                                                                                        <w:bottom w:val="none" w:sz="0" w:space="0" w:color="auto"/>
                                                                                        <w:right w:val="none" w:sz="0" w:space="0" w:color="auto"/>
                                                                                      </w:divBdr>
                                                                                      <w:divsChild>
                                                                                        <w:div w:id="1871717857">
                                                                                          <w:marLeft w:val="0"/>
                                                                                          <w:marRight w:val="0"/>
                                                                                          <w:marTop w:val="0"/>
                                                                                          <w:marBottom w:val="0"/>
                                                                                          <w:divBdr>
                                                                                            <w:top w:val="none" w:sz="0" w:space="0" w:color="auto"/>
                                                                                            <w:left w:val="none" w:sz="0" w:space="0" w:color="auto"/>
                                                                                            <w:bottom w:val="none" w:sz="0" w:space="0" w:color="auto"/>
                                                                                            <w:right w:val="none" w:sz="0" w:space="0" w:color="auto"/>
                                                                                          </w:divBdr>
                                                                                        </w:div>
                                                                                        <w:div w:id="7786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3060">
      <w:bodyDiv w:val="1"/>
      <w:marLeft w:val="0"/>
      <w:marRight w:val="0"/>
      <w:marTop w:val="0"/>
      <w:marBottom w:val="0"/>
      <w:divBdr>
        <w:top w:val="none" w:sz="0" w:space="0" w:color="auto"/>
        <w:left w:val="none" w:sz="0" w:space="0" w:color="auto"/>
        <w:bottom w:val="none" w:sz="0" w:space="0" w:color="auto"/>
        <w:right w:val="none" w:sz="0" w:space="0" w:color="auto"/>
      </w:divBdr>
      <w:divsChild>
        <w:div w:id="1563709255">
          <w:marLeft w:val="0"/>
          <w:marRight w:val="0"/>
          <w:marTop w:val="0"/>
          <w:marBottom w:val="0"/>
          <w:divBdr>
            <w:top w:val="none" w:sz="0" w:space="0" w:color="auto"/>
            <w:left w:val="none" w:sz="0" w:space="0" w:color="auto"/>
            <w:bottom w:val="none" w:sz="0" w:space="0" w:color="auto"/>
            <w:right w:val="none" w:sz="0" w:space="0" w:color="auto"/>
          </w:divBdr>
          <w:divsChild>
            <w:div w:id="875627125">
              <w:marLeft w:val="0"/>
              <w:marRight w:val="0"/>
              <w:marTop w:val="0"/>
              <w:marBottom w:val="0"/>
              <w:divBdr>
                <w:top w:val="none" w:sz="0" w:space="0" w:color="auto"/>
                <w:left w:val="none" w:sz="0" w:space="0" w:color="auto"/>
                <w:bottom w:val="none" w:sz="0" w:space="0" w:color="auto"/>
                <w:right w:val="none" w:sz="0" w:space="0" w:color="auto"/>
              </w:divBdr>
              <w:divsChild>
                <w:div w:id="677776376">
                  <w:marLeft w:val="0"/>
                  <w:marRight w:val="0"/>
                  <w:marTop w:val="0"/>
                  <w:marBottom w:val="0"/>
                  <w:divBdr>
                    <w:top w:val="none" w:sz="0" w:space="0" w:color="auto"/>
                    <w:left w:val="none" w:sz="0" w:space="0" w:color="auto"/>
                    <w:bottom w:val="none" w:sz="0" w:space="0" w:color="auto"/>
                    <w:right w:val="none" w:sz="0" w:space="0" w:color="auto"/>
                  </w:divBdr>
                  <w:divsChild>
                    <w:div w:id="1183010809">
                      <w:marLeft w:val="0"/>
                      <w:marRight w:val="0"/>
                      <w:marTop w:val="0"/>
                      <w:marBottom w:val="0"/>
                      <w:divBdr>
                        <w:top w:val="none" w:sz="0" w:space="0" w:color="auto"/>
                        <w:left w:val="none" w:sz="0" w:space="0" w:color="auto"/>
                        <w:bottom w:val="none" w:sz="0" w:space="0" w:color="auto"/>
                        <w:right w:val="none" w:sz="0" w:space="0" w:color="auto"/>
                      </w:divBdr>
                      <w:divsChild>
                        <w:div w:id="845903198">
                          <w:marLeft w:val="0"/>
                          <w:marRight w:val="0"/>
                          <w:marTop w:val="0"/>
                          <w:marBottom w:val="0"/>
                          <w:divBdr>
                            <w:top w:val="none" w:sz="0" w:space="0" w:color="auto"/>
                            <w:left w:val="none" w:sz="0" w:space="0" w:color="auto"/>
                            <w:bottom w:val="none" w:sz="0" w:space="0" w:color="auto"/>
                            <w:right w:val="none" w:sz="0" w:space="0" w:color="auto"/>
                          </w:divBdr>
                          <w:divsChild>
                            <w:div w:id="11474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977357">
      <w:bodyDiv w:val="1"/>
      <w:marLeft w:val="0"/>
      <w:marRight w:val="0"/>
      <w:marTop w:val="0"/>
      <w:marBottom w:val="0"/>
      <w:divBdr>
        <w:top w:val="none" w:sz="0" w:space="0" w:color="auto"/>
        <w:left w:val="none" w:sz="0" w:space="0" w:color="auto"/>
        <w:bottom w:val="none" w:sz="0" w:space="0" w:color="auto"/>
        <w:right w:val="none" w:sz="0" w:space="0" w:color="auto"/>
      </w:divBdr>
      <w:divsChild>
        <w:div w:id="94401740">
          <w:marLeft w:val="0"/>
          <w:marRight w:val="0"/>
          <w:marTop w:val="0"/>
          <w:marBottom w:val="0"/>
          <w:divBdr>
            <w:top w:val="none" w:sz="0" w:space="0" w:color="auto"/>
            <w:left w:val="none" w:sz="0" w:space="0" w:color="auto"/>
            <w:bottom w:val="none" w:sz="0" w:space="0" w:color="auto"/>
            <w:right w:val="none" w:sz="0" w:space="0" w:color="auto"/>
          </w:divBdr>
          <w:divsChild>
            <w:div w:id="593172195">
              <w:marLeft w:val="0"/>
              <w:marRight w:val="0"/>
              <w:marTop w:val="0"/>
              <w:marBottom w:val="0"/>
              <w:divBdr>
                <w:top w:val="none" w:sz="0" w:space="0" w:color="auto"/>
                <w:left w:val="none" w:sz="0" w:space="0" w:color="auto"/>
                <w:bottom w:val="none" w:sz="0" w:space="0" w:color="auto"/>
                <w:right w:val="none" w:sz="0" w:space="0" w:color="auto"/>
              </w:divBdr>
              <w:divsChild>
                <w:div w:id="17934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451">
      <w:bodyDiv w:val="1"/>
      <w:marLeft w:val="0"/>
      <w:marRight w:val="0"/>
      <w:marTop w:val="0"/>
      <w:marBottom w:val="0"/>
      <w:divBdr>
        <w:top w:val="none" w:sz="0" w:space="0" w:color="auto"/>
        <w:left w:val="none" w:sz="0" w:space="0" w:color="auto"/>
        <w:bottom w:val="none" w:sz="0" w:space="0" w:color="auto"/>
        <w:right w:val="none" w:sz="0" w:space="0" w:color="auto"/>
      </w:divBdr>
      <w:divsChild>
        <w:div w:id="448084091">
          <w:marLeft w:val="0"/>
          <w:marRight w:val="0"/>
          <w:marTop w:val="0"/>
          <w:marBottom w:val="0"/>
          <w:divBdr>
            <w:top w:val="none" w:sz="0" w:space="0" w:color="auto"/>
            <w:left w:val="none" w:sz="0" w:space="0" w:color="auto"/>
            <w:bottom w:val="none" w:sz="0" w:space="0" w:color="auto"/>
            <w:right w:val="none" w:sz="0" w:space="0" w:color="auto"/>
          </w:divBdr>
          <w:divsChild>
            <w:div w:id="1071201321">
              <w:marLeft w:val="0"/>
              <w:marRight w:val="0"/>
              <w:marTop w:val="0"/>
              <w:marBottom w:val="0"/>
              <w:divBdr>
                <w:top w:val="none" w:sz="0" w:space="0" w:color="auto"/>
                <w:left w:val="none" w:sz="0" w:space="0" w:color="auto"/>
                <w:bottom w:val="none" w:sz="0" w:space="0" w:color="auto"/>
                <w:right w:val="none" w:sz="0" w:space="0" w:color="auto"/>
              </w:divBdr>
              <w:divsChild>
                <w:div w:id="1908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9702">
      <w:bodyDiv w:val="1"/>
      <w:marLeft w:val="0"/>
      <w:marRight w:val="0"/>
      <w:marTop w:val="0"/>
      <w:marBottom w:val="0"/>
      <w:divBdr>
        <w:top w:val="none" w:sz="0" w:space="0" w:color="auto"/>
        <w:left w:val="none" w:sz="0" w:space="0" w:color="auto"/>
        <w:bottom w:val="none" w:sz="0" w:space="0" w:color="auto"/>
        <w:right w:val="none" w:sz="0" w:space="0" w:color="auto"/>
      </w:divBdr>
      <w:divsChild>
        <w:div w:id="318653324">
          <w:marLeft w:val="0"/>
          <w:marRight w:val="0"/>
          <w:marTop w:val="0"/>
          <w:marBottom w:val="0"/>
          <w:divBdr>
            <w:top w:val="none" w:sz="0" w:space="0" w:color="auto"/>
            <w:left w:val="none" w:sz="0" w:space="0" w:color="auto"/>
            <w:bottom w:val="none" w:sz="0" w:space="0" w:color="auto"/>
            <w:right w:val="none" w:sz="0" w:space="0" w:color="auto"/>
          </w:divBdr>
          <w:divsChild>
            <w:div w:id="706838330">
              <w:marLeft w:val="0"/>
              <w:marRight w:val="0"/>
              <w:marTop w:val="0"/>
              <w:marBottom w:val="0"/>
              <w:divBdr>
                <w:top w:val="none" w:sz="0" w:space="0" w:color="auto"/>
                <w:left w:val="none" w:sz="0" w:space="0" w:color="auto"/>
                <w:bottom w:val="none" w:sz="0" w:space="0" w:color="auto"/>
                <w:right w:val="none" w:sz="0" w:space="0" w:color="auto"/>
              </w:divBdr>
              <w:divsChild>
                <w:div w:id="435711108">
                  <w:marLeft w:val="0"/>
                  <w:marRight w:val="0"/>
                  <w:marTop w:val="0"/>
                  <w:marBottom w:val="0"/>
                  <w:divBdr>
                    <w:top w:val="none" w:sz="0" w:space="0" w:color="auto"/>
                    <w:left w:val="none" w:sz="0" w:space="0" w:color="auto"/>
                    <w:bottom w:val="none" w:sz="0" w:space="0" w:color="auto"/>
                    <w:right w:val="none" w:sz="0" w:space="0" w:color="auto"/>
                  </w:divBdr>
                  <w:divsChild>
                    <w:div w:id="700324216">
                      <w:marLeft w:val="0"/>
                      <w:marRight w:val="0"/>
                      <w:marTop w:val="0"/>
                      <w:marBottom w:val="0"/>
                      <w:divBdr>
                        <w:top w:val="none" w:sz="0" w:space="0" w:color="auto"/>
                        <w:left w:val="none" w:sz="0" w:space="0" w:color="auto"/>
                        <w:bottom w:val="none" w:sz="0" w:space="0" w:color="auto"/>
                        <w:right w:val="none" w:sz="0" w:space="0" w:color="auto"/>
                      </w:divBdr>
                      <w:divsChild>
                        <w:div w:id="1680424472">
                          <w:marLeft w:val="0"/>
                          <w:marRight w:val="0"/>
                          <w:marTop w:val="0"/>
                          <w:marBottom w:val="0"/>
                          <w:divBdr>
                            <w:top w:val="none" w:sz="0" w:space="0" w:color="auto"/>
                            <w:left w:val="none" w:sz="0" w:space="0" w:color="auto"/>
                            <w:bottom w:val="none" w:sz="0" w:space="0" w:color="auto"/>
                            <w:right w:val="none" w:sz="0" w:space="0" w:color="auto"/>
                          </w:divBdr>
                          <w:divsChild>
                            <w:div w:id="19811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3194">
      <w:bodyDiv w:val="1"/>
      <w:marLeft w:val="0"/>
      <w:marRight w:val="0"/>
      <w:marTop w:val="0"/>
      <w:marBottom w:val="0"/>
      <w:divBdr>
        <w:top w:val="none" w:sz="0" w:space="0" w:color="auto"/>
        <w:left w:val="none" w:sz="0" w:space="0" w:color="auto"/>
        <w:bottom w:val="none" w:sz="0" w:space="0" w:color="auto"/>
        <w:right w:val="none" w:sz="0" w:space="0" w:color="auto"/>
      </w:divBdr>
    </w:div>
    <w:div w:id="2086023310">
      <w:bodyDiv w:val="1"/>
      <w:marLeft w:val="0"/>
      <w:marRight w:val="0"/>
      <w:marTop w:val="0"/>
      <w:marBottom w:val="0"/>
      <w:divBdr>
        <w:top w:val="none" w:sz="0" w:space="0" w:color="auto"/>
        <w:left w:val="none" w:sz="0" w:space="0" w:color="auto"/>
        <w:bottom w:val="none" w:sz="0" w:space="0" w:color="auto"/>
        <w:right w:val="none" w:sz="0" w:space="0" w:color="auto"/>
      </w:divBdr>
    </w:div>
    <w:div w:id="21139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dsihealth.org/knowledge_base/the-reference-case-for-economic-evaluation/" TargetMode="External"/><Relationship Id="rId20" Type="http://schemas.openxmlformats.org/officeDocument/2006/relationships/hyperlink" Target="http://www.idsihealth.org/knowledge_base/the-reference-case-for-economic-evaluation" TargetMode="External"/><Relationship Id="rId21" Type="http://schemas.openxmlformats.org/officeDocument/2006/relationships/hyperlink" Target="http://www.idsihealth.org/knowledge_base/cost-effectiveness-thresholds/" TargetMode="Externa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http://www.gatesfoundation.org/How-We-Wor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260E4-72D3-4ECE-A10C-85E7B3002E3B}" type="doc">
      <dgm:prSet loTypeId="urn:microsoft.com/office/officeart/2005/8/layout/process1" loCatId="process" qsTypeId="urn:microsoft.com/office/officeart/2005/8/quickstyle/simple5" qsCatId="simple" csTypeId="urn:microsoft.com/office/officeart/2005/8/colors/colorful1#2" csCatId="colorful" phldr="1"/>
      <dgm:spPr/>
    </dgm:pt>
    <dgm:pt modelId="{767E9343-ED4B-46D4-9D95-B2CBD331C563}">
      <dgm:prSet phldrT="[Text]" custT="1">
        <dgm:style>
          <a:lnRef idx="2">
            <a:schemeClr val="dk1"/>
          </a:lnRef>
          <a:fillRef idx="1">
            <a:schemeClr val="lt1"/>
          </a:fillRef>
          <a:effectRef idx="0">
            <a:schemeClr val="dk1"/>
          </a:effectRef>
          <a:fontRef idx="minor">
            <a:schemeClr val="dk1"/>
          </a:fontRef>
        </dgm:style>
      </dgm:prSet>
      <dgm:spPr/>
      <dgm:t>
        <a:bodyPr/>
        <a:lstStyle/>
        <a:p>
          <a:pPr algn="ctr">
            <a:lnSpc>
              <a:spcPct val="100000"/>
            </a:lnSpc>
            <a:spcAft>
              <a:spcPts val="0"/>
            </a:spcAft>
          </a:pPr>
          <a:r>
            <a:rPr lang="en-US" sz="1100">
              <a:latin typeface="Arial"/>
              <a:cs typeface="Arial"/>
            </a:rPr>
            <a:t>Fundamental principles</a:t>
          </a:r>
        </a:p>
      </dgm:t>
    </dgm:pt>
    <dgm:pt modelId="{258F27F8-8044-45DD-BE33-CB2EAE4608E6}" type="parTrans" cxnId="{5B4D67B8-E8E8-4B06-A3EE-BDBD81713BD2}">
      <dgm:prSet/>
      <dgm:spPr/>
      <dgm:t>
        <a:bodyPr/>
        <a:lstStyle/>
        <a:p>
          <a:pPr algn="ctr"/>
          <a:endParaRPr lang="x-none"/>
        </a:p>
      </dgm:t>
    </dgm:pt>
    <dgm:pt modelId="{6516C2C1-5BA1-4E69-9C85-4C1669098EBA}" type="sibTrans" cxnId="{5B4D67B8-E8E8-4B06-A3EE-BDBD81713BD2}">
      <dgm:prSet>
        <dgm:style>
          <a:lnRef idx="2">
            <a:schemeClr val="dk1"/>
          </a:lnRef>
          <a:fillRef idx="1">
            <a:schemeClr val="lt1"/>
          </a:fillRef>
          <a:effectRef idx="0">
            <a:schemeClr val="dk1"/>
          </a:effectRef>
          <a:fontRef idx="minor">
            <a:schemeClr val="dk1"/>
          </a:fontRef>
        </dgm:style>
      </dgm:prSet>
      <dgm:spPr/>
      <dgm:t>
        <a:bodyPr/>
        <a:lstStyle/>
        <a:p>
          <a:pPr algn="ctr"/>
          <a:endParaRPr lang="x-none"/>
        </a:p>
      </dgm:t>
    </dgm:pt>
    <dgm:pt modelId="{C18D6911-57A6-4CE3-98C6-C982693089C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100">
              <a:latin typeface="Arial"/>
              <a:cs typeface="Arial"/>
            </a:rPr>
            <a:t>Methodological specifications</a:t>
          </a:r>
        </a:p>
      </dgm:t>
    </dgm:pt>
    <dgm:pt modelId="{504A09CE-9A5D-49EC-8E20-99DB22ED09D5}" type="parTrans" cxnId="{BE9758F3-1090-4FF2-A90C-A7ACB2FBA7BA}">
      <dgm:prSet/>
      <dgm:spPr/>
      <dgm:t>
        <a:bodyPr/>
        <a:lstStyle/>
        <a:p>
          <a:pPr algn="ctr"/>
          <a:endParaRPr lang="x-none"/>
        </a:p>
      </dgm:t>
    </dgm:pt>
    <dgm:pt modelId="{4E6DE46B-3263-465B-8ED5-E9DC7841ED27}" type="sibTrans" cxnId="{BE9758F3-1090-4FF2-A90C-A7ACB2FBA7BA}">
      <dgm:prSet>
        <dgm:style>
          <a:lnRef idx="2">
            <a:schemeClr val="dk1"/>
          </a:lnRef>
          <a:fillRef idx="1">
            <a:schemeClr val="lt1"/>
          </a:fillRef>
          <a:effectRef idx="0">
            <a:schemeClr val="dk1"/>
          </a:effectRef>
          <a:fontRef idx="minor">
            <a:schemeClr val="dk1"/>
          </a:fontRef>
        </dgm:style>
      </dgm:prSet>
      <dgm:spPr/>
      <dgm:t>
        <a:bodyPr/>
        <a:lstStyle/>
        <a:p>
          <a:pPr algn="ctr"/>
          <a:endParaRPr lang="x-none"/>
        </a:p>
      </dgm:t>
    </dgm:pt>
    <dgm:pt modelId="{A628752E-E694-43EB-BB96-F1CAC435F755}">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100">
              <a:latin typeface="Arial"/>
              <a:cs typeface="Arial"/>
            </a:rPr>
            <a:t>Reporting standards</a:t>
          </a:r>
        </a:p>
      </dgm:t>
    </dgm:pt>
    <dgm:pt modelId="{569A9D9A-BC27-4C33-8817-3C40BC0673BF}" type="parTrans" cxnId="{78F029FD-2655-4EB5-BF09-96993EBADB9C}">
      <dgm:prSet/>
      <dgm:spPr/>
      <dgm:t>
        <a:bodyPr/>
        <a:lstStyle/>
        <a:p>
          <a:pPr algn="ctr"/>
          <a:endParaRPr lang="x-none"/>
        </a:p>
      </dgm:t>
    </dgm:pt>
    <dgm:pt modelId="{A2B627FB-30FC-469A-AC3E-166BF2611596}" type="sibTrans" cxnId="{78F029FD-2655-4EB5-BF09-96993EBADB9C}">
      <dgm:prSet/>
      <dgm:spPr/>
      <dgm:t>
        <a:bodyPr/>
        <a:lstStyle/>
        <a:p>
          <a:pPr algn="ctr"/>
          <a:endParaRPr lang="x-none"/>
        </a:p>
      </dgm:t>
    </dgm:pt>
    <dgm:pt modelId="{0B412ED3-CB29-4B00-A56C-0FB6C1D5B13B}" type="pres">
      <dgm:prSet presAssocID="{BF3260E4-72D3-4ECE-A10C-85E7B3002E3B}" presName="Name0" presStyleCnt="0">
        <dgm:presLayoutVars>
          <dgm:dir/>
          <dgm:resizeHandles val="exact"/>
        </dgm:presLayoutVars>
      </dgm:prSet>
      <dgm:spPr/>
    </dgm:pt>
    <dgm:pt modelId="{F2200D93-ADA2-46F2-B1A3-4811B4816C51}" type="pres">
      <dgm:prSet presAssocID="{767E9343-ED4B-46D4-9D95-B2CBD331C563}" presName="node" presStyleLbl="node1" presStyleIdx="0" presStyleCnt="3" custScaleY="113306" custLinFactNeighborX="41919" custLinFactNeighborY="-305">
        <dgm:presLayoutVars>
          <dgm:bulletEnabled val="1"/>
        </dgm:presLayoutVars>
      </dgm:prSet>
      <dgm:spPr/>
      <dgm:t>
        <a:bodyPr/>
        <a:lstStyle/>
        <a:p>
          <a:endParaRPr lang="x-none"/>
        </a:p>
      </dgm:t>
    </dgm:pt>
    <dgm:pt modelId="{B35C48DB-A38E-45D5-9AC3-C1B5B3E91675}" type="pres">
      <dgm:prSet presAssocID="{6516C2C1-5BA1-4E69-9C85-4C1669098EBA}" presName="sibTrans" presStyleLbl="sibTrans2D1" presStyleIdx="0" presStyleCnt="2"/>
      <dgm:spPr/>
      <dgm:t>
        <a:bodyPr/>
        <a:lstStyle/>
        <a:p>
          <a:endParaRPr lang="x-none"/>
        </a:p>
      </dgm:t>
    </dgm:pt>
    <dgm:pt modelId="{99AA65C9-ACC6-4DB4-98A7-FA95E5F0F45E}" type="pres">
      <dgm:prSet presAssocID="{6516C2C1-5BA1-4E69-9C85-4C1669098EBA}" presName="connectorText" presStyleLbl="sibTrans2D1" presStyleIdx="0" presStyleCnt="2"/>
      <dgm:spPr/>
      <dgm:t>
        <a:bodyPr/>
        <a:lstStyle/>
        <a:p>
          <a:endParaRPr lang="x-none"/>
        </a:p>
      </dgm:t>
    </dgm:pt>
    <dgm:pt modelId="{E6087F08-EDC5-4B65-9E5A-06235525779D}" type="pres">
      <dgm:prSet presAssocID="{C18D6911-57A6-4CE3-98C6-C982693089C0}" presName="node" presStyleLbl="node1" presStyleIdx="1" presStyleCnt="3" custScaleY="113306" custLinFactNeighborX="25867" custLinFactNeighborY="1416">
        <dgm:presLayoutVars>
          <dgm:bulletEnabled val="1"/>
        </dgm:presLayoutVars>
      </dgm:prSet>
      <dgm:spPr/>
      <dgm:t>
        <a:bodyPr/>
        <a:lstStyle/>
        <a:p>
          <a:endParaRPr lang="x-none"/>
        </a:p>
      </dgm:t>
    </dgm:pt>
    <dgm:pt modelId="{31EF9DBD-2955-443C-87E4-4178642D0D89}" type="pres">
      <dgm:prSet presAssocID="{4E6DE46B-3263-465B-8ED5-E9DC7841ED27}" presName="sibTrans" presStyleLbl="sibTrans2D1" presStyleIdx="1" presStyleCnt="2"/>
      <dgm:spPr/>
      <dgm:t>
        <a:bodyPr/>
        <a:lstStyle/>
        <a:p>
          <a:endParaRPr lang="x-none"/>
        </a:p>
      </dgm:t>
    </dgm:pt>
    <dgm:pt modelId="{830BB96E-CA52-4CF0-9D6D-59B030269B9B}" type="pres">
      <dgm:prSet presAssocID="{4E6DE46B-3263-465B-8ED5-E9DC7841ED27}" presName="connectorText" presStyleLbl="sibTrans2D1" presStyleIdx="1" presStyleCnt="2"/>
      <dgm:spPr/>
      <dgm:t>
        <a:bodyPr/>
        <a:lstStyle/>
        <a:p>
          <a:endParaRPr lang="x-none"/>
        </a:p>
      </dgm:t>
    </dgm:pt>
    <dgm:pt modelId="{191BBE1D-74AF-4EA7-9159-DF0935593C1C}" type="pres">
      <dgm:prSet presAssocID="{A628752E-E694-43EB-BB96-F1CAC435F755}" presName="node" presStyleLbl="node1" presStyleIdx="2" presStyleCnt="3" custScaleY="113306">
        <dgm:presLayoutVars>
          <dgm:bulletEnabled val="1"/>
        </dgm:presLayoutVars>
      </dgm:prSet>
      <dgm:spPr/>
      <dgm:t>
        <a:bodyPr/>
        <a:lstStyle/>
        <a:p>
          <a:endParaRPr lang="x-none"/>
        </a:p>
      </dgm:t>
    </dgm:pt>
  </dgm:ptLst>
  <dgm:cxnLst>
    <dgm:cxn modelId="{42D5E8AF-7384-DE4C-9598-9DF0A95DABDB}" type="presOf" srcId="{767E9343-ED4B-46D4-9D95-B2CBD331C563}" destId="{F2200D93-ADA2-46F2-B1A3-4811B4816C51}" srcOrd="0" destOrd="0" presId="urn:microsoft.com/office/officeart/2005/8/layout/process1"/>
    <dgm:cxn modelId="{13FBDE1E-9F4E-E549-9E40-AD3425E1B06B}" type="presOf" srcId="{6516C2C1-5BA1-4E69-9C85-4C1669098EBA}" destId="{99AA65C9-ACC6-4DB4-98A7-FA95E5F0F45E}" srcOrd="1" destOrd="0" presId="urn:microsoft.com/office/officeart/2005/8/layout/process1"/>
    <dgm:cxn modelId="{78F029FD-2655-4EB5-BF09-96993EBADB9C}" srcId="{BF3260E4-72D3-4ECE-A10C-85E7B3002E3B}" destId="{A628752E-E694-43EB-BB96-F1CAC435F755}" srcOrd="2" destOrd="0" parTransId="{569A9D9A-BC27-4C33-8817-3C40BC0673BF}" sibTransId="{A2B627FB-30FC-469A-AC3E-166BF2611596}"/>
    <dgm:cxn modelId="{659C4E6A-75E5-554B-AFA5-BFC3B58D770A}" type="presOf" srcId="{A628752E-E694-43EB-BB96-F1CAC435F755}" destId="{191BBE1D-74AF-4EA7-9159-DF0935593C1C}" srcOrd="0" destOrd="0" presId="urn:microsoft.com/office/officeart/2005/8/layout/process1"/>
    <dgm:cxn modelId="{1E4FB0E6-268E-0A44-9935-FDA558D11262}" type="presOf" srcId="{6516C2C1-5BA1-4E69-9C85-4C1669098EBA}" destId="{B35C48DB-A38E-45D5-9AC3-C1B5B3E91675}" srcOrd="0" destOrd="0" presId="urn:microsoft.com/office/officeart/2005/8/layout/process1"/>
    <dgm:cxn modelId="{BE9758F3-1090-4FF2-A90C-A7ACB2FBA7BA}" srcId="{BF3260E4-72D3-4ECE-A10C-85E7B3002E3B}" destId="{C18D6911-57A6-4CE3-98C6-C982693089C0}" srcOrd="1" destOrd="0" parTransId="{504A09CE-9A5D-49EC-8E20-99DB22ED09D5}" sibTransId="{4E6DE46B-3263-465B-8ED5-E9DC7841ED27}"/>
    <dgm:cxn modelId="{F2DA8A0D-AE0A-3040-A7D0-CD2F2B600238}" type="presOf" srcId="{C18D6911-57A6-4CE3-98C6-C982693089C0}" destId="{E6087F08-EDC5-4B65-9E5A-06235525779D}" srcOrd="0" destOrd="0" presId="urn:microsoft.com/office/officeart/2005/8/layout/process1"/>
    <dgm:cxn modelId="{C41E3BFD-4151-644E-8768-A840F2EC40C0}" type="presOf" srcId="{BF3260E4-72D3-4ECE-A10C-85E7B3002E3B}" destId="{0B412ED3-CB29-4B00-A56C-0FB6C1D5B13B}" srcOrd="0" destOrd="0" presId="urn:microsoft.com/office/officeart/2005/8/layout/process1"/>
    <dgm:cxn modelId="{5B4D67B8-E8E8-4B06-A3EE-BDBD81713BD2}" srcId="{BF3260E4-72D3-4ECE-A10C-85E7B3002E3B}" destId="{767E9343-ED4B-46D4-9D95-B2CBD331C563}" srcOrd="0" destOrd="0" parTransId="{258F27F8-8044-45DD-BE33-CB2EAE4608E6}" sibTransId="{6516C2C1-5BA1-4E69-9C85-4C1669098EBA}"/>
    <dgm:cxn modelId="{41DE3823-2767-AE4E-A241-C6ECB843EDE5}" type="presOf" srcId="{4E6DE46B-3263-465B-8ED5-E9DC7841ED27}" destId="{830BB96E-CA52-4CF0-9D6D-59B030269B9B}" srcOrd="1" destOrd="0" presId="urn:microsoft.com/office/officeart/2005/8/layout/process1"/>
    <dgm:cxn modelId="{278A6B27-EECD-C749-9E1A-A115A38C79E5}" type="presOf" srcId="{4E6DE46B-3263-465B-8ED5-E9DC7841ED27}" destId="{31EF9DBD-2955-443C-87E4-4178642D0D89}" srcOrd="0" destOrd="0" presId="urn:microsoft.com/office/officeart/2005/8/layout/process1"/>
    <dgm:cxn modelId="{EA5992C8-2888-FC46-925A-74F09B3E515F}" type="presParOf" srcId="{0B412ED3-CB29-4B00-A56C-0FB6C1D5B13B}" destId="{F2200D93-ADA2-46F2-B1A3-4811B4816C51}" srcOrd="0" destOrd="0" presId="urn:microsoft.com/office/officeart/2005/8/layout/process1"/>
    <dgm:cxn modelId="{07654B6B-7E22-5543-8125-9B230E840BF0}" type="presParOf" srcId="{0B412ED3-CB29-4B00-A56C-0FB6C1D5B13B}" destId="{B35C48DB-A38E-45D5-9AC3-C1B5B3E91675}" srcOrd="1" destOrd="0" presId="urn:microsoft.com/office/officeart/2005/8/layout/process1"/>
    <dgm:cxn modelId="{68EA87E1-EA6B-1041-8D2A-1CB509CAB6F8}" type="presParOf" srcId="{B35C48DB-A38E-45D5-9AC3-C1B5B3E91675}" destId="{99AA65C9-ACC6-4DB4-98A7-FA95E5F0F45E}" srcOrd="0" destOrd="0" presId="urn:microsoft.com/office/officeart/2005/8/layout/process1"/>
    <dgm:cxn modelId="{89087463-43DA-F04C-A0B2-4791233427EB}" type="presParOf" srcId="{0B412ED3-CB29-4B00-A56C-0FB6C1D5B13B}" destId="{E6087F08-EDC5-4B65-9E5A-06235525779D}" srcOrd="2" destOrd="0" presId="urn:microsoft.com/office/officeart/2005/8/layout/process1"/>
    <dgm:cxn modelId="{8BF28592-C256-774B-814E-A4FF1EF8859D}" type="presParOf" srcId="{0B412ED3-CB29-4B00-A56C-0FB6C1D5B13B}" destId="{31EF9DBD-2955-443C-87E4-4178642D0D89}" srcOrd="3" destOrd="0" presId="urn:microsoft.com/office/officeart/2005/8/layout/process1"/>
    <dgm:cxn modelId="{7DEB29A9-0236-4D48-BA8D-EC79E6236825}" type="presParOf" srcId="{31EF9DBD-2955-443C-87E4-4178642D0D89}" destId="{830BB96E-CA52-4CF0-9D6D-59B030269B9B}" srcOrd="0" destOrd="0" presId="urn:microsoft.com/office/officeart/2005/8/layout/process1"/>
    <dgm:cxn modelId="{DD0BAEA0-0C7A-A540-A628-5B65CB3B906F}" type="presParOf" srcId="{0B412ED3-CB29-4B00-A56C-0FB6C1D5B13B}" destId="{191BBE1D-74AF-4EA7-9159-DF0935593C1C}" srcOrd="4" destOrd="0" presId="urn:microsoft.com/office/officeart/2005/8/layout/process1"/>
  </dgm:cxnLst>
  <dgm:bg>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00D93-ADA2-46F2-B1A3-4811B4816C51}">
      <dsp:nvSpPr>
        <dsp:cNvPr id="0" name=""/>
        <dsp:cNvSpPr/>
      </dsp:nvSpPr>
      <dsp:spPr>
        <a:xfrm>
          <a:off x="241350" y="0"/>
          <a:ext cx="1411225" cy="944880"/>
        </a:xfrm>
        <a:prstGeom prst="roundRect">
          <a:avLst>
            <a:gd name="adj" fmla="val 10000"/>
          </a:avLst>
        </a:prstGeom>
        <a:solidFill>
          <a:schemeClr val="lt1"/>
        </a:solidFill>
        <a:ln w="476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kern="1200">
              <a:latin typeface="Arial"/>
              <a:cs typeface="Arial"/>
            </a:rPr>
            <a:t>Fundamental principles</a:t>
          </a:r>
        </a:p>
      </dsp:txBody>
      <dsp:txXfrm>
        <a:off x="269025" y="27675"/>
        <a:ext cx="1355875" cy="889530"/>
      </dsp:txXfrm>
    </dsp:sp>
    <dsp:sp modelId="{B35C48DB-A38E-45D5-9AC3-C1B5B3E91675}">
      <dsp:nvSpPr>
        <dsp:cNvPr id="0" name=""/>
        <dsp:cNvSpPr/>
      </dsp:nvSpPr>
      <dsp:spPr>
        <a:xfrm>
          <a:off x="1771045" y="297448"/>
          <a:ext cx="251155" cy="349983"/>
        </a:xfrm>
        <a:prstGeom prst="rightArrow">
          <a:avLst>
            <a:gd name="adj1" fmla="val 60000"/>
            <a:gd name="adj2" fmla="val 50000"/>
          </a:avLst>
        </a:prstGeom>
        <a:solidFill>
          <a:schemeClr val="lt1"/>
        </a:solidFill>
        <a:ln w="476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x-none" sz="1500" kern="1200"/>
        </a:p>
      </dsp:txBody>
      <dsp:txXfrm>
        <a:off x="1771045" y="367445"/>
        <a:ext cx="175809" cy="209989"/>
      </dsp:txXfrm>
    </dsp:sp>
    <dsp:sp modelId="{E6087F08-EDC5-4B65-9E5A-06235525779D}">
      <dsp:nvSpPr>
        <dsp:cNvPr id="0" name=""/>
        <dsp:cNvSpPr/>
      </dsp:nvSpPr>
      <dsp:spPr>
        <a:xfrm>
          <a:off x="2126453" y="0"/>
          <a:ext cx="1411225" cy="944880"/>
        </a:xfrm>
        <a:prstGeom prst="roundRect">
          <a:avLst>
            <a:gd name="adj" fmla="val 10000"/>
          </a:avLst>
        </a:prstGeom>
        <a:solidFill>
          <a:schemeClr val="lt1"/>
        </a:solidFill>
        <a:ln w="476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a:cs typeface="Arial"/>
            </a:rPr>
            <a:t>Methodological specifications</a:t>
          </a:r>
        </a:p>
      </dsp:txBody>
      <dsp:txXfrm>
        <a:off x="2154128" y="27675"/>
        <a:ext cx="1355875" cy="889530"/>
      </dsp:txXfrm>
    </dsp:sp>
    <dsp:sp modelId="{31EF9DBD-2955-443C-87E4-4178642D0D89}">
      <dsp:nvSpPr>
        <dsp:cNvPr id="0" name=""/>
        <dsp:cNvSpPr/>
      </dsp:nvSpPr>
      <dsp:spPr>
        <a:xfrm>
          <a:off x="3642297" y="297448"/>
          <a:ext cx="221790" cy="349983"/>
        </a:xfrm>
        <a:prstGeom prst="rightArrow">
          <a:avLst>
            <a:gd name="adj1" fmla="val 60000"/>
            <a:gd name="adj2" fmla="val 50000"/>
          </a:avLst>
        </a:prstGeom>
        <a:solidFill>
          <a:schemeClr val="lt1"/>
        </a:solidFill>
        <a:ln w="476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x-none" sz="1500" kern="1200"/>
        </a:p>
      </dsp:txBody>
      <dsp:txXfrm>
        <a:off x="3642297" y="367445"/>
        <a:ext cx="155253" cy="209989"/>
      </dsp:txXfrm>
    </dsp:sp>
    <dsp:sp modelId="{191BBE1D-74AF-4EA7-9159-DF0935593C1C}">
      <dsp:nvSpPr>
        <dsp:cNvPr id="0" name=""/>
        <dsp:cNvSpPr/>
      </dsp:nvSpPr>
      <dsp:spPr>
        <a:xfrm>
          <a:off x="3956152" y="0"/>
          <a:ext cx="1411225" cy="944880"/>
        </a:xfrm>
        <a:prstGeom prst="roundRect">
          <a:avLst>
            <a:gd name="adj" fmla="val 10000"/>
          </a:avLst>
        </a:prstGeom>
        <a:solidFill>
          <a:schemeClr val="lt1"/>
        </a:solidFill>
        <a:ln w="476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a:cs typeface="Arial"/>
            </a:rPr>
            <a:t>Reporting standards</a:t>
          </a:r>
        </a:p>
      </dsp:txBody>
      <dsp:txXfrm>
        <a:off x="3983827" y="27675"/>
        <a:ext cx="1355875" cy="8895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ＭＳ ゴシック"/>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ＭＳ ゴシック"/>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38000">
              <a:schemeClr val="phClr">
                <a:tint val="100000"/>
                <a:satMod val="100000"/>
              </a:schemeClr>
            </a:gs>
            <a:gs pos="100000">
              <a:schemeClr val="phClr">
                <a:tint val="100000"/>
                <a:shade val="50000"/>
                <a:hueMod val="100000"/>
                <a:satMod val="100000"/>
                <a:lumMod val="100000"/>
              </a:schemeClr>
            </a:gs>
          </a:gsLst>
          <a:lin ang="5400000" scaled="1"/>
        </a:gradFill>
        <a:gradFill rotWithShape="1">
          <a:gsLst>
            <a:gs pos="0">
              <a:schemeClr val="phClr">
                <a:tint val="100000"/>
                <a:shade val="100000"/>
                <a:satMod val="100000"/>
              </a:schemeClr>
            </a:gs>
            <a:gs pos="60000">
              <a:schemeClr val="phClr">
                <a:tint val="100000"/>
                <a:shade val="60000"/>
                <a:alpha val="100000"/>
                <a:satMod val="100000"/>
                <a:lumMod val="100000"/>
              </a:schemeClr>
            </a:gs>
            <a:gs pos="100000">
              <a:schemeClr val="phClr">
                <a:shade val="20000"/>
                <a:satMod val="100000"/>
                <a:lumMod val="100000"/>
              </a:schemeClr>
            </a:gs>
          </a:gsLst>
          <a:lin ang="5400000" scaled="0"/>
        </a:gradFill>
      </a:fillStyleLst>
      <a:lnStyleLst>
        <a:ln w="28575" cap="flat" cmpd="sng" algn="ctr">
          <a:solidFill>
            <a:schemeClr val="phClr">
              <a:shade val="95000"/>
              <a:satMod val="105000"/>
            </a:schemeClr>
          </a:solidFill>
          <a:prstDash val="solid"/>
        </a:ln>
        <a:ln w="47625" cap="flat" cmpd="sng" algn="ctr">
          <a:solidFill>
            <a:schemeClr val="phClr"/>
          </a:solidFill>
          <a:prstDash val="solid"/>
        </a:ln>
        <a:ln w="47625" cap="flat" cmpd="sng" algn="ctr">
          <a:solidFill>
            <a:schemeClr val="phClr"/>
          </a:solidFill>
          <a:prstDash val="solid"/>
        </a:ln>
      </a:lnStyleLst>
      <a:effectStyleLst>
        <a:effectStyle>
          <a:effectLst/>
        </a:effectStyle>
        <a:effectStyle>
          <a:effectLst>
            <a:reflection blurRad="101600" stA="26000" endPos="20000" dist="12700" dir="5400000" sy="-100000" rotWithShape="0"/>
          </a:effectLst>
        </a:effectStyle>
        <a:effectStyle>
          <a:effectLst>
            <a:outerShdw blurRad="444500" dist="317500" dir="5400000" sx="90000" sy="-25000" rotWithShape="0">
              <a:srgbClr val="000000">
                <a:alpha val="35000"/>
              </a:srgbClr>
            </a:outerShdw>
          </a:effectLst>
          <a:scene3d>
            <a:camera prst="orthographicFront">
              <a:rot lat="0" lon="0" rev="0"/>
            </a:camera>
            <a:lightRig rig="chilly" dir="t"/>
          </a:scene3d>
          <a:sp3d contourW="12700" prstMaterial="softEdge">
            <a:bevelT w="63500" h="2540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Dru05</b:Tag>
    <b:SourceType>Book</b:SourceType>
    <b:Guid>{2699A3B5-4DC6-44B7-B286-C8E9DD7FCB03}</b:Guid>
    <b:Author>
      <b:Author>
        <b:NameList>
          <b:Person>
            <b:Last>Drummond M</b:Last>
            <b:First>Sculpher</b:First>
            <b:Middle>M, Torrance G, O'Brian B, Stoddart G</b:Middle>
          </b:Person>
        </b:NameList>
      </b:Author>
    </b:Author>
    <b:Title>Methods for the Economic Evaluation of Health Care Programs</b:Title>
    <b:Year>2005</b:Year>
    <b:City>Oxford</b:City>
    <b:Publisher>Oxford University Press</b:Publisher>
    <b:RefOrder>3</b:RefOrder>
  </b:Source>
  <b:Source>
    <b:Tag>Ros95</b:Tag>
    <b:SourceType>ArticleInAPeriodical</b:SourceType>
    <b:Guid>{F8437738-E9DC-4AAA-822C-21A9D87E26EC}</b:Guid>
    <b:Title>The use of economic evaluation in health care: Australian decision makers' perceptions</b:Title>
    <b:Year>1995</b:Year>
    <b:Publisher>Health policy</b:Publisher>
    <b:Author>
      <b:Author>
        <b:NameList>
          <b:Person>
            <b:Last>J</b:Last>
            <b:First>Ross</b:First>
          </b:Person>
        </b:NameList>
      </b:Author>
    </b:Author>
    <b:Volume>2</b:Volume>
    <b:Issue>103-10</b:Issue>
    <b:PeriodicalTitle>Health Policy</b:PeriodicalTitle>
    <b:Edition>31</b:Edition>
    <b:RefOrder>4</b:RefOrder>
  </b:Source>
  <b:Source>
    <b:Tag>Yot09</b:Tag>
    <b:SourceType>ArticleInAPeriodical</b:SourceType>
    <b:Guid>{83E354BC-B1F9-4A5D-A7C7-A6C92E8F95BB}</b:Guid>
    <b:Author>
      <b:Author>
        <b:NameList>
          <b:Person>
            <b:Last>Yothasamut J</b:Last>
            <b:First>Tanvess</b:First>
            <b:Middle>S, Teerawattananon Y</b:Middle>
          </b:Person>
        </b:NameList>
      </b:Author>
    </b:Author>
    <b:Title>Using economic evaluation in policy decision-making in Asian countries: mission impossible or mission probable?</b:Title>
    <b:Year>2009</b:Year>
    <b:Volume>Suppl3</b:Volume>
    <b:Issue>S26-30</b:Issue>
    <b:PeriodicalTitle>Value in Health</b:PeriodicalTitle>
    <b:Edition>12</b:Edition>
    <b:RefOrder>5</b:RefOrder>
  </b:Source>
  <b:Source>
    <b:Tag>Bux06</b:Tag>
    <b:SourceType>ArticleInAPeriodical</b:SourceType>
    <b:Guid>{4BCC5AB7-2331-4CB8-BEF5-AC0BA199A2A4}</b:Guid>
    <b:Author>
      <b:Author>
        <b:NameList>
          <b:Person>
            <b:Last>M</b:Last>
            <b:First>Buxton</b:First>
          </b:Person>
        </b:NameList>
      </b:Author>
    </b:Author>
    <b:Title>Economic Evaluation and decision making in the UK</b:Title>
    <b:PeriodicalTitle>Pharmacoeconomics</b:PeriodicalTitle>
    <b:Year>2006</b:Year>
    <b:Edition>24</b:Edition>
    <b:Volume>11</b:Volume>
    <b:Issue>1133-42</b:Issue>
    <b:RefOrder>6</b:RefOrder>
  </b:Source>
  <b:Source>
    <b:Tag>Cha13</b:Tag>
    <b:SourceType>ArticleInAPeriodical</b:SourceType>
    <b:Guid>{4281A615-CA59-4D1D-9923-F4FCBE48AEB2}</b:Guid>
    <b:Author>
      <b:Author>
        <b:NameList>
          <b:Person>
            <b:Last>Chalkidou K</b:Last>
            <b:First>Marten</b:First>
            <b:Middle>R, Cutler D, Culyer T, Smith R, Teerawattananon Y, Cluzeau F, Li R, Sullivan R, Huang Y, Fan V, Glassmen A, Dezhi Y, Gyansa-Lutterodt M, McPherson S, Gadelha C, Sundararaman, Squires N, Daulaire N, Sadanandan R, Shiro K, Lemgruber A</b:Middle>
          </b:Person>
        </b:NameList>
      </b:Author>
    </b:Author>
    <b:Title>Health Technology Assessement in Universal Health Coverage</b:Title>
    <b:PeriodicalTitle>The Lancet</b:PeriodicalTitle>
    <b:Year>2013</b:Year>
    <b:Volume>382</b:Volume>
    <b:Issue>9910 pp48-49</b:Issue>
    <b:RefOrder>7</b:RefOrder>
  </b:Source>
  <b:Source>
    <b:Tag>Gol96</b:Tag>
    <b:SourceType>Book</b:SourceType>
    <b:Guid>{08CBB15C-4F25-4117-AE22-69CFE7AE07F4}</b:Guid>
    <b:Title>Cost-effectiveness in Health and Medicine</b:Title>
    <b:Year>1996</b:Year>
    <b:Author>
      <b:Author>
        <b:NameList>
          <b:Person>
            <b:Last>Gold M</b:Last>
            <b:First>Siegel</b:First>
            <b:Middle>J, Russell L, Weinstein M</b:Middle>
          </b:Person>
        </b:NameList>
      </b:Author>
    </b:Author>
    <b:City>New York</b:City>
    <b:Publisher>Oxford University Press</b:Publisher>
    <b:RefOrder>8</b:RefOrder>
  </b:Source>
  <b:Source>
    <b:Tag>Dru051</b:Tag>
    <b:SourceType>ArticleInAPeriodical</b:SourceType>
    <b:Guid>{32897FD6-048A-4648-B351-41D4126BEF17}</b:Guid>
    <b:Title>Common Methodological Flaws in Economic Evaluations</b:Title>
    <b:Year>2005</b:Year>
    <b:Author>
      <b:Author>
        <b:NameList>
          <b:Person>
            <b:Last>Drummond M</b:Last>
            <b:First>Sculpher</b:First>
            <b:Middle>M</b:Middle>
          </b:Person>
        </b:NameList>
      </b:Author>
    </b:Author>
    <b:PeriodicalTitle>Medical Care</b:PeriodicalTitle>
    <b:Edition>43</b:Edition>
    <b:Volume>(7 Suppl)</b:Volume>
    <b:Issue>II-5-14</b:Issue>
    <b:RefOrder>9</b:RefOrder>
  </b:Source>
  <b:Source>
    <b:Tag>Jef02</b:Tag>
    <b:SourceType>ArticleInAPeriodical</b:SourceType>
    <b:Guid>{93753E06-D88F-4F42-869A-33E6F98D1C1F}</b:Guid>
    <b:Author>
      <b:Author>
        <b:NameList>
          <b:Person>
            <b:Last>Jefferson T</b:Last>
            <b:First>Demicheli</b:First>
            <b:Middle>V</b:Middle>
          </b:Person>
        </b:NameList>
      </b:Author>
    </b:Author>
    <b:Title>Quality of economic evaluaitons on health care: it is time for action to ensure higher methodological quality</b:Title>
    <b:Year>2002</b:Year>
    <b:Edition>324</b:Edition>
    <b:Volume>313-4</b:Volume>
    <b:RefOrder>10</b:RefOrder>
  </b:Source>
  <b:Source>
    <b:Tag>SAA12</b:Tag>
    <b:SourceType>ArticleInAPeriodical</b:SourceType>
    <b:Guid>{91F648C1-B24F-488C-99A1-874DA3B65DEE}</b:Guid>
    <b:Author>
      <b:Author>
        <b:NameList>
          <b:Person>
            <b:Last>Al-Aqeel</b:Last>
            <b:First>SA</b:First>
          </b:Person>
        </b:NameList>
      </b:Author>
    </b:Author>
    <b:Title>State of health economic evaluation research in Saudi Arabia: a review</b:Title>
    <b:PeriodicalTitle>Journal of Clinicoeconomic and Outcomes Research</b:PeriodicalTitle>
    <b:Year>2012</b:Year>
    <b:Edition>4</b:Edition>
    <b:Volume>177-84</b:Volume>
    <b:RefOrder>11</b:RefOrder>
  </b:Source>
  <b:Source>
    <b:Tag>Hoq11</b:Tag>
    <b:SourceType>ArticleInAPeriodical</b:SourceType>
    <b:Guid>{E35C68E4-C8A7-4213-B9A1-79540530EC33}</b:Guid>
    <b:Author>
      <b:Author>
        <b:NameList>
          <b:Person>
            <b:Last>Hoque M</b:Last>
            <b:First>Khan</b:First>
            <b:Middle>J, Hossain S, Gazi R, Rashid H-A, Keohlmoos T, et al.</b:Middle>
          </b:Person>
        </b:NameList>
      </b:Author>
    </b:Author>
    <b:Title>A systematic review of of economic evaluations of health and health-related interventions in Banglidesh</b:Title>
    <b:PeriodicalTitle>Cost Effectiveness and Resources and Resource Allocation</b:PeriodicalTitle>
    <b:Year>2011</b:Year>
    <b:Edition>9</b:Edition>
    <b:Volume>12</b:Volume>
    <b:RefOrder>12</b:RefOrder>
  </b:Source>
  <b:Source>
    <b:Tag>Bildo</b:Tag>
    <b:SourceType>ArticleInAPeriodical</b:SourceType>
    <b:Guid>{AFD2816D-98C3-4703-9575-3B5C6CAA89F6}</b:Guid>
    <b:Title>What we do - Bill &amp; Melinda Gates Foundation</b:Title>
    <b:PeriodicalTitle>17 May 2013</b:PeriodicalTitle>
    <b:Year>www.gatesfoundation.org/What-We-do</b:Year>
    <b:Author>
      <b:Author>
        <b:NameList>
          <b:Person>
            <b:Last>Bill &amp; Melinda Gates Foundation</b:Last>
          </b:Person>
        </b:NameList>
      </b:Author>
    </b:Author>
    <b:RefOrder>13</b:RefOrder>
  </b:Source>
  <b:Source>
    <b:Tag>Oza12</b:Tag>
    <b:SourceType>ArticleInAPeriodical</b:SourceType>
    <b:Guid>{9DC79209-52EF-409B-924A-28F81BAC1A26}</b:Guid>
    <b:Author>
      <b:Author>
        <b:NameList>
          <b:Person>
            <b:Last>Ozawa S</b:Last>
            <b:First>Mirelman</b:First>
            <b:Middle>A, Stack ML, Walker DG, Levine OS</b:Middle>
          </b:Person>
        </b:NameList>
      </b:Author>
    </b:Author>
    <b:Title>Cost-effectiveness and economic benefits of vaccines in low- and middle-income countries: a systematic review</b:Title>
    <b:Year>2012</b:Year>
    <b:RefOrder>14</b:RefOrder>
  </b:Source>
  <b:Source>
    <b:Tag>Gui13</b:Tag>
    <b:SourceType>ConferenceProceedings</b:SourceType>
    <b:Guid>{673CBD34-35F7-4E5D-B294-F424CA624439}</b:Guid>
    <b:Author>
      <b:Author>
        <b:NameList>
          <b:Person>
            <b:Last>Guiness L</b:Last>
            <b:First>Harker</b:First>
            <b:Middle>M</b:Middle>
          </b:Person>
        </b:NameList>
      </b:Author>
    </b:Author>
    <b:Title>The Use of QALYs in economic evaluation in low- and middle-income countries: a systematic review</b:Title>
    <b:Year>2013</b:Year>
    <b:City>Sydney</b:City>
    <b:Publisher>9th World Congress on Health Economics</b:Publisher>
    <b:RefOrder>15</b:RefOrder>
  </b:Source>
  <b:Source>
    <b:Tag>Bri</b:Tag>
    <b:SourceType>ArticleInAPeriodical</b:SourceType>
    <b:Guid>{792AE48A-595C-49CE-A778-6D4DFA643E99}</b:Guid>
    <b:Title>Uncertainty in the economic evaluation of health care technologies: the role of sensitivity analysis</b:Title>
    <b:Author>
      <b:Author>
        <b:NameList>
          <b:Person>
            <b:Last>Briggs A</b:Last>
            <b:First>Sculpher</b:First>
            <b:Middle>M, Buxton M,</b:Middle>
          </b:Person>
        </b:NameList>
      </b:Author>
    </b:Author>
    <b:RefOrder>16</b:RefOrder>
  </b:Source>
  <b:Source>
    <b:Tag>Tee07</b:Tag>
    <b:SourceType>ArticleInAPeriodical</b:SourceType>
    <b:Guid>{0A8A48BA-DEEB-4423-B2E5-E2384D6EA731}</b:Guid>
    <b:Author>
      <b:Author>
        <b:NameList>
          <b:Person>
            <b:Last>Teerawattananon Y</b:Last>
            <b:First>Russell</b:First>
            <b:Middle>S, Mugford M</b:Middle>
          </b:Person>
        </b:NameList>
      </b:Author>
    </b:Author>
    <b:Title>A systematic review of economic evaluation literature in Thailand: Are the data good enough to be used by policy makers?</b:Title>
    <b:PeriodicalTitle>Pharmacoeconomics</b:PeriodicalTitle>
    <b:Year>2007</b:Year>
    <b:Edition>25</b:Edition>
    <b:Volume>6</b:Volume>
    <b:Issue>467-79</b:Issue>
    <b:RefOrder>17</b:RefOrder>
  </b:Source>
  <b:Source>
    <b:Tag>Tee13</b:Tag>
    <b:SourceType>ArticleInAPeriodical</b:SourceType>
    <b:Guid>{A4DA0D39-35BA-4FAF-A1A9-3AE4C5515297}</b:Guid>
    <b:Title>Health technology assessments as a mechanism for increased value for money: recommendations to the global fund</b:Title>
    <b:Year>2013</b:Year>
    <b:Author>
      <b:Author>
        <b:NameList>
          <b:Person>
            <b:Last>Teerawattananon Y</b:Last>
            <b:First>McQuestion</b:First>
            <b:Middle>K, Glassman A, Yothasamut J, Myint CY</b:Middle>
          </b:Person>
        </b:NameList>
      </b:Author>
    </b:Author>
    <b:RefOrder>18</b:RefOrder>
  </b:Source>
  <b:Source>
    <b:Tag>Tes03</b:Tag>
    <b:SourceType>Report</b:SourceType>
    <b:Guid>{F79DAE50-2435-4A41-89F4-C1F535C83ECE}</b:Guid>
    <b:Title>WHO guide to cost-effectiveness analysis</b:Title>
    <b:Year>2003</b:Year>
    <b:Publisher>World Health Organisation</b:Publisher>
    <b:Author>
      <b:Author>
        <b:NameList>
          <b:Person>
            <b:Last>Tessa Tan-Torres Edejer</b:Last>
            <b:First>ed</b:First>
          </b:Person>
        </b:NameList>
      </b:Author>
    </b:Author>
    <b:RefOrder>1</b:RefOrder>
  </b:Source>
  <b:Source>
    <b:Tag>NICE1</b:Tag>
    <b:SourceType>Report</b:SourceType>
    <b:Guid>{DA9EDA3D-2CFE-4B06-8450-ACC07096FBBB}</b:Guid>
    <b:Title>Guide to the methods of technology appraisal</b:Title>
    <b:Year>2013</b:Year>
    <b:Publisher>NICE</b:Publisher>
    <b:Author>
      <b:Author>
        <b:Corporate>National Institute for Health and Care Excellence</b:Corporate>
      </b:Author>
    </b:Author>
    <b:RefOrder>19</b:RefOrder>
  </b:Source>
  <b:Source>
    <b:Tag>Int13</b:Tag>
    <b:SourceType>InternetSite</b:SourceType>
    <b:Guid>{E61DD333-F272-4010-91B5-66AEBE2FBCFA}</b:Guid>
    <b:Title>www.ispor.org/PEguidelines/index.asp</b:Title>
    <b:Author>
      <b:Author>
        <b:Corporate>International Society for Pharmacoeconomics and Outcomes Research</b:Corporate>
      </b:Author>
    </b:Author>
    <b:YearAccessed>2013</b:YearAccessed>
    <b:MonthAccessed>May</b:MonthAccessed>
    <b:DayAccessed>05</b:DayAccessed>
    <b:RefOrder>2</b:RefOrder>
  </b:Source>
  <b:Source>
    <b:Tag>Bil13</b:Tag>
    <b:SourceType>InternetSite</b:SourceType>
    <b:Guid>{973B066D-5E3E-45CC-8624-FED4C76DD732}</b:Guid>
    <b:Title>Who we are - Bill and Melinda Gates Foundation</b:Title>
    <b:InternetSiteTitle>www.gatesfoundation.org/who-we-are</b:InternetSiteTitle>
    <b:YearAccessed>2013</b:YearAccessed>
    <b:MonthAccessed>May</b:MonthAccessed>
    <b:DayAccessed>05</b:DayAccessed>
    <b:Author>
      <b:Author>
        <b:Corporate>Bill and Melinda Gates Foundation</b:Corporate>
      </b:Author>
    </b:Author>
    <b:RefOrder>20</b:RefOrder>
  </b:Source>
  <b:Source>
    <b:Tag>Nat13</b:Tag>
    <b:SourceType>Report</b:SourceType>
    <b:Guid>{733ECB3A-2702-49C1-803B-AD3D351EFB96}</b:Guid>
    <b:Title>Appendix H: Methodology Checklist - economic evaluations</b:Title>
    <b:Year>2013</b:Year>
    <b:Author>
      <b:Author>
        <b:Corporate>National Institute for Health and Care Excellence (NICE)</b:Corporate>
      </b:Author>
    </b:Author>
    <b:RefOrder>21</b:RefOrder>
  </b:Source>
  <b:Source>
    <b:Tag>Dru09</b:Tag>
    <b:SourceType>ArticleInAPeriodical</b:SourceType>
    <b:Guid>{FF6F8C64-1C4E-4EE0-AB62-E91BB85D7435}</b:Guid>
    <b:Title>"Transferability of economic evaluations across jurisdictions: ISPOR Good Research Practices Task Force report"</b:Title>
    <b:Year>2009</b:Year>
    <b:Author>
      <b:Author>
        <b:NameList>
          <b:Person>
            <b:Last>Drummond</b:Last>
            <b:First>M</b:First>
            <b:Middle>et al.</b:Middle>
          </b:Person>
        </b:NameList>
      </b:Author>
    </b:Author>
    <b:PeriodicalTitle>Value in Health</b:PeriodicalTitle>
    <b:Edition>12</b:Edition>
    <b:Volume>4</b:Volume>
    <b:Issue>409-418</b:Issue>
    <b:RefOrder>22</b:RefOrder>
  </b:Source>
  <b:Source>
    <b:Tag>Shi09</b:Tag>
    <b:SourceType>ArticleInAPeriodical</b:SourceType>
    <b:Guid>{4604B18B-5891-402B-90A7-389B50780450}</b:Guid>
    <b:Title>Cost-effectiveness in Low- and Middle-Income Countries</b:Title>
    <b:Year>2009</b:Year>
    <b:Volume>11</b:Volume>
    <b:Issue>903-917</b:Issue>
    <b:Author>
      <b:Author>
        <b:NameList>
          <b:Person>
            <b:Last>S</b:Last>
            <b:First>Shillcutt</b:First>
          </b:Person>
          <b:Person>
            <b:Last>D</b:Last>
            <b:First>Walker</b:First>
          </b:Person>
          <b:Person>
            <b:Last>C</b:Last>
            <b:First>Goodman</b:First>
          </b:Person>
          <b:Person>
            <b:Last>A</b:Last>
            <b:First>Mills</b:First>
          </b:Person>
        </b:NameList>
      </b:Author>
    </b:Author>
    <b:Publisher>Pharmacoeconomics</b:Publisher>
    <b:PeriodicalTitle>Pharmacoeconomics</b:PeriodicalTitle>
    <b:Edition>27</b:Edition>
    <b:RefOrder>23</b:RefOrder>
  </b:Source>
</b:Sources>
</file>

<file path=customXml/itemProps1.xml><?xml version="1.0" encoding="utf-8"?>
<ds:datastoreItem xmlns:ds="http://schemas.openxmlformats.org/officeDocument/2006/customXml" ds:itemID="{DC0FAA88-FFF6-2B4E-A651-5692500C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7148</Words>
  <Characters>40750</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47803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Lopert</dc:creator>
  <cp:lastModifiedBy>Paul Revill</cp:lastModifiedBy>
  <cp:revision>2</cp:revision>
  <cp:lastPrinted>2014-05-21T11:16:00Z</cp:lastPrinted>
  <dcterms:created xsi:type="dcterms:W3CDTF">2016-05-09T19:40:00Z</dcterms:created>
  <dcterms:modified xsi:type="dcterms:W3CDTF">2016-05-09T19:40:00Z</dcterms:modified>
</cp:coreProperties>
</file>