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0C543" w14:textId="77777777" w:rsidR="007426E1" w:rsidRDefault="007426E1">
      <w:pPr>
        <w:rPr>
          <w:sz w:val="28"/>
          <w:szCs w:val="28"/>
        </w:rPr>
      </w:pPr>
      <w:bookmarkStart w:id="0" w:name="_GoBack"/>
      <w:bookmarkEnd w:id="0"/>
    </w:p>
    <w:p w14:paraId="5B1C5F00" w14:textId="77777777" w:rsidR="007426E1" w:rsidRDefault="007426E1">
      <w:pPr>
        <w:rPr>
          <w:sz w:val="28"/>
          <w:szCs w:val="28"/>
        </w:rPr>
      </w:pPr>
    </w:p>
    <w:p w14:paraId="6A755DA9" w14:textId="1CB11A2A" w:rsidR="008F2E3A" w:rsidRPr="007426E1" w:rsidRDefault="00476113">
      <w:pPr>
        <w:rPr>
          <w:sz w:val="28"/>
          <w:szCs w:val="28"/>
        </w:rPr>
      </w:pPr>
      <w:r>
        <w:rPr>
          <w:sz w:val="28"/>
          <w:szCs w:val="28"/>
        </w:rPr>
        <w:t>C</w:t>
      </w:r>
      <w:r w:rsidR="00974F6D" w:rsidRPr="007426E1">
        <w:rPr>
          <w:sz w:val="28"/>
          <w:szCs w:val="28"/>
        </w:rPr>
        <w:t xml:space="preserve">ost effectiveness of potential ART adherence </w:t>
      </w:r>
      <w:r w:rsidR="00444095">
        <w:rPr>
          <w:sz w:val="28"/>
          <w:szCs w:val="28"/>
        </w:rPr>
        <w:t xml:space="preserve">monitoring </w:t>
      </w:r>
      <w:r w:rsidR="00974F6D" w:rsidRPr="007426E1">
        <w:rPr>
          <w:sz w:val="28"/>
          <w:szCs w:val="28"/>
        </w:rPr>
        <w:t>interventions in sub-Saharan Africa</w:t>
      </w:r>
    </w:p>
    <w:p w14:paraId="3397145B" w14:textId="77777777" w:rsidR="002067D5" w:rsidRPr="009D5FB6" w:rsidRDefault="002067D5">
      <w:pPr>
        <w:rPr>
          <w:color w:val="5B9BD5" w:themeColor="accent1"/>
        </w:rPr>
      </w:pPr>
    </w:p>
    <w:p w14:paraId="0E3BD9FB" w14:textId="77777777" w:rsidR="009D5FB6" w:rsidRPr="00F61D81" w:rsidRDefault="009D5FB6"/>
    <w:p w14:paraId="7C833AB3" w14:textId="77777777" w:rsidR="007C13F2" w:rsidRDefault="007C13F2" w:rsidP="007C13F2">
      <w:pPr>
        <w:spacing w:after="0"/>
      </w:pPr>
      <w:r w:rsidRPr="00DE0956">
        <w:t xml:space="preserve">Andrew </w:t>
      </w:r>
      <w:r>
        <w:t xml:space="preserve">N </w:t>
      </w:r>
      <w:r w:rsidRPr="00DE0956">
        <w:t>Phillips</w:t>
      </w:r>
      <w:r w:rsidRPr="00DE0956">
        <w:rPr>
          <w:vertAlign w:val="superscript"/>
        </w:rPr>
        <w:t>1</w:t>
      </w:r>
    </w:p>
    <w:p w14:paraId="516FE934" w14:textId="77777777" w:rsidR="007C13F2" w:rsidRDefault="007C13F2" w:rsidP="007C13F2">
      <w:pPr>
        <w:spacing w:after="0"/>
        <w:rPr>
          <w:vertAlign w:val="superscript"/>
        </w:rPr>
      </w:pPr>
      <w:r>
        <w:t>Valentina Cambiano</w:t>
      </w:r>
      <w:r w:rsidRPr="00DE0956">
        <w:rPr>
          <w:vertAlign w:val="superscript"/>
        </w:rPr>
        <w:t>1</w:t>
      </w:r>
    </w:p>
    <w:p w14:paraId="4D524A54" w14:textId="77777777" w:rsidR="007C13F2" w:rsidRPr="00DE0956" w:rsidRDefault="007C13F2" w:rsidP="007C13F2">
      <w:pPr>
        <w:spacing w:after="0"/>
      </w:pPr>
      <w:r w:rsidRPr="00DE0956">
        <w:t>Fumiyo Nakagawa</w:t>
      </w:r>
      <w:r w:rsidRPr="00DE0956">
        <w:rPr>
          <w:vertAlign w:val="superscript"/>
        </w:rPr>
        <w:t>1</w:t>
      </w:r>
    </w:p>
    <w:p w14:paraId="68FA5B92" w14:textId="45971924" w:rsidR="007C13F2" w:rsidRDefault="007C13F2" w:rsidP="007C13F2">
      <w:pPr>
        <w:spacing w:after="0"/>
      </w:pPr>
      <w:r>
        <w:t>Loveleen Bansi</w:t>
      </w:r>
      <w:r w:rsidR="003F4A5D">
        <w:t>-Matharu</w:t>
      </w:r>
      <w:r w:rsidRPr="00DE0956">
        <w:rPr>
          <w:vertAlign w:val="superscript"/>
        </w:rPr>
        <w:t>1</w:t>
      </w:r>
      <w:r>
        <w:rPr>
          <w:vertAlign w:val="superscript"/>
        </w:rPr>
        <w:t xml:space="preserve"> </w:t>
      </w:r>
    </w:p>
    <w:p w14:paraId="6797CED2" w14:textId="77777777" w:rsidR="007C13F2" w:rsidRDefault="007C13F2" w:rsidP="007C13F2">
      <w:pPr>
        <w:spacing w:after="0"/>
      </w:pPr>
      <w:r>
        <w:t>Papa Salif Sow</w:t>
      </w:r>
      <w:r w:rsidRPr="00EA7404">
        <w:rPr>
          <w:vertAlign w:val="superscript"/>
        </w:rPr>
        <w:t>2</w:t>
      </w:r>
    </w:p>
    <w:p w14:paraId="45E645E0" w14:textId="77777777" w:rsidR="007C13F2" w:rsidRDefault="007C13F2" w:rsidP="007C13F2">
      <w:pPr>
        <w:spacing w:after="0"/>
      </w:pPr>
      <w:r>
        <w:t>Peter Ehrenkranz</w:t>
      </w:r>
      <w:r w:rsidRPr="00EA7404">
        <w:rPr>
          <w:vertAlign w:val="superscript"/>
        </w:rPr>
        <w:t>2</w:t>
      </w:r>
    </w:p>
    <w:p w14:paraId="2E137852" w14:textId="77777777" w:rsidR="007C13F2" w:rsidRDefault="007C13F2" w:rsidP="007C13F2">
      <w:pPr>
        <w:spacing w:after="0"/>
        <w:rPr>
          <w:vertAlign w:val="superscript"/>
        </w:rPr>
      </w:pPr>
      <w:r>
        <w:t>Deborah Ford</w:t>
      </w:r>
      <w:r>
        <w:rPr>
          <w:vertAlign w:val="superscript"/>
        </w:rPr>
        <w:t>3</w:t>
      </w:r>
    </w:p>
    <w:p w14:paraId="7435688C" w14:textId="1B1A4D0E" w:rsidR="00BE6AED" w:rsidRPr="00BE6AED" w:rsidRDefault="00BE6AED" w:rsidP="007C13F2">
      <w:pPr>
        <w:spacing w:after="0"/>
      </w:pPr>
      <w:r>
        <w:t>Owen Mugurungi</w:t>
      </w:r>
      <w:r>
        <w:rPr>
          <w:vertAlign w:val="superscript"/>
        </w:rPr>
        <w:t>4</w:t>
      </w:r>
    </w:p>
    <w:p w14:paraId="3BFBA261" w14:textId="77777777" w:rsidR="007C13F2" w:rsidRDefault="007C13F2" w:rsidP="007C13F2">
      <w:pPr>
        <w:spacing w:after="0"/>
      </w:pPr>
      <w:r>
        <w:t>Tsitsi Apollo</w:t>
      </w:r>
      <w:r>
        <w:rPr>
          <w:vertAlign w:val="superscript"/>
        </w:rPr>
        <w:t>4</w:t>
      </w:r>
    </w:p>
    <w:p w14:paraId="3F912CBE" w14:textId="77777777" w:rsidR="007C13F2" w:rsidRPr="005913A1" w:rsidRDefault="007C13F2" w:rsidP="007C13F2">
      <w:pPr>
        <w:spacing w:after="0"/>
      </w:pPr>
      <w:r>
        <w:t>Joseph Murungu</w:t>
      </w:r>
      <w:r>
        <w:rPr>
          <w:vertAlign w:val="superscript"/>
        </w:rPr>
        <w:t>4</w:t>
      </w:r>
    </w:p>
    <w:p w14:paraId="3F6E5622" w14:textId="77777777" w:rsidR="007C13F2" w:rsidRDefault="007C13F2" w:rsidP="007C13F2">
      <w:pPr>
        <w:spacing w:after="0"/>
      </w:pPr>
      <w:r>
        <w:t>David R. Bangsberg</w:t>
      </w:r>
      <w:r>
        <w:rPr>
          <w:vertAlign w:val="superscript"/>
        </w:rPr>
        <w:t>5</w:t>
      </w:r>
    </w:p>
    <w:p w14:paraId="06EB196B" w14:textId="77777777" w:rsidR="007C13F2" w:rsidRPr="00DE0956" w:rsidRDefault="007C13F2" w:rsidP="007C13F2">
      <w:pPr>
        <w:spacing w:after="0"/>
      </w:pPr>
      <w:r w:rsidRPr="00DE0956">
        <w:t>Paul Revill</w:t>
      </w:r>
      <w:r>
        <w:rPr>
          <w:vertAlign w:val="superscript"/>
        </w:rPr>
        <w:t>6</w:t>
      </w:r>
    </w:p>
    <w:p w14:paraId="450A13CB" w14:textId="77777777" w:rsidR="000C707F" w:rsidRDefault="000C707F" w:rsidP="000A7DA8">
      <w:pPr>
        <w:spacing w:after="0"/>
        <w:rPr>
          <w:b/>
          <w:color w:val="AB112E"/>
        </w:rPr>
      </w:pPr>
    </w:p>
    <w:p w14:paraId="08F6E038" w14:textId="77777777" w:rsidR="007C13F2" w:rsidRDefault="007C13F2" w:rsidP="007C13F2">
      <w:pPr>
        <w:spacing w:after="0"/>
        <w:rPr>
          <w:b/>
        </w:rPr>
      </w:pPr>
    </w:p>
    <w:p w14:paraId="02048CBB" w14:textId="77777777" w:rsidR="007C13F2" w:rsidRDefault="007C13F2" w:rsidP="007C13F2">
      <w:pPr>
        <w:spacing w:after="0"/>
      </w:pPr>
      <w:r>
        <w:t>1  Research Department of Infection &amp; Population Health, UCL, London, UK.</w:t>
      </w:r>
    </w:p>
    <w:p w14:paraId="039780E2" w14:textId="77777777" w:rsidR="007C13F2" w:rsidRDefault="007C13F2" w:rsidP="007C13F2">
      <w:pPr>
        <w:spacing w:after="0"/>
      </w:pPr>
      <w:r>
        <w:t>2. Bill and Melinda Gates Foundation, Seattle, WA, USA</w:t>
      </w:r>
    </w:p>
    <w:p w14:paraId="66381241" w14:textId="77777777" w:rsidR="007C13F2" w:rsidRDefault="007C13F2" w:rsidP="007C13F2">
      <w:pPr>
        <w:spacing w:after="0"/>
      </w:pPr>
      <w:r>
        <w:t>3. Institute for Clinical Trials and Methodology, UCL, London, UK.</w:t>
      </w:r>
    </w:p>
    <w:p w14:paraId="10212245" w14:textId="1D2BCF12" w:rsidR="007C13F2" w:rsidRDefault="007C13F2" w:rsidP="007C13F2">
      <w:pPr>
        <w:spacing w:after="0"/>
      </w:pPr>
      <w:r>
        <w:t>4. Min</w:t>
      </w:r>
      <w:r w:rsidR="00CE128B">
        <w:t>i</w:t>
      </w:r>
      <w:r>
        <w:t>stry of Health &amp; Child Care, Harare, Zimbabwe.</w:t>
      </w:r>
    </w:p>
    <w:p w14:paraId="622C7360" w14:textId="77777777" w:rsidR="007C13F2" w:rsidRDefault="007C13F2" w:rsidP="007C13F2">
      <w:pPr>
        <w:spacing w:after="0"/>
      </w:pPr>
      <w:r>
        <w:t>5. Oregon Health Sciences University-Portland State University School of Public Health, Portland OR, USA</w:t>
      </w:r>
    </w:p>
    <w:p w14:paraId="5E53208F" w14:textId="77777777" w:rsidR="007C13F2" w:rsidRDefault="007C13F2" w:rsidP="007C13F2">
      <w:pPr>
        <w:spacing w:after="0"/>
      </w:pPr>
      <w:r>
        <w:t>6. Centre for Health Economics, University of York, York, UK.</w:t>
      </w:r>
    </w:p>
    <w:p w14:paraId="3615035D" w14:textId="77777777" w:rsidR="007C13F2" w:rsidRPr="00DE0956" w:rsidRDefault="007C13F2" w:rsidP="007C13F2">
      <w:pPr>
        <w:spacing w:after="0"/>
      </w:pPr>
    </w:p>
    <w:p w14:paraId="3E6A2414" w14:textId="77777777" w:rsidR="007C13F2" w:rsidRPr="009102F0" w:rsidRDefault="007C13F2" w:rsidP="000A7DA8">
      <w:pPr>
        <w:spacing w:after="0"/>
        <w:rPr>
          <w:b/>
          <w:color w:val="AB112E"/>
        </w:rPr>
      </w:pPr>
    </w:p>
    <w:p w14:paraId="2EA638E0" w14:textId="77777777" w:rsidR="000C707F" w:rsidRPr="009102F0" w:rsidRDefault="000C707F" w:rsidP="000A7DA8">
      <w:pPr>
        <w:spacing w:after="0"/>
        <w:rPr>
          <w:b/>
          <w:color w:val="AB112E"/>
        </w:rPr>
      </w:pPr>
    </w:p>
    <w:p w14:paraId="39E0B2F5" w14:textId="77777777" w:rsidR="000C707F" w:rsidRPr="009102F0" w:rsidRDefault="000C707F" w:rsidP="000A7DA8">
      <w:pPr>
        <w:spacing w:after="0"/>
        <w:rPr>
          <w:b/>
          <w:color w:val="AB112E"/>
        </w:rPr>
      </w:pPr>
    </w:p>
    <w:p w14:paraId="7C3E22B6" w14:textId="77777777" w:rsidR="00CF468F" w:rsidRPr="009102F0" w:rsidRDefault="00CF468F">
      <w:r w:rsidRPr="009102F0">
        <w:rPr>
          <w:b/>
          <w:color w:val="AB112E"/>
        </w:rPr>
        <w:br w:type="page"/>
      </w:r>
    </w:p>
    <w:p w14:paraId="76C6ABC8" w14:textId="77777777" w:rsidR="00BF733E" w:rsidRPr="00DC3A0F" w:rsidRDefault="007426E1" w:rsidP="00641E66">
      <w:pPr>
        <w:spacing w:line="420" w:lineRule="auto"/>
        <w:rPr>
          <w:b/>
          <w:color w:val="AB112E"/>
          <w:sz w:val="36"/>
          <w:szCs w:val="36"/>
        </w:rPr>
      </w:pPr>
      <w:r w:rsidRPr="00DC3A0F">
        <w:rPr>
          <w:b/>
          <w:color w:val="AB112E"/>
          <w:sz w:val="36"/>
          <w:szCs w:val="36"/>
        </w:rPr>
        <w:lastRenderedPageBreak/>
        <w:t>Abstract</w:t>
      </w:r>
    </w:p>
    <w:p w14:paraId="6359D79E" w14:textId="77777777" w:rsidR="001A560A" w:rsidRPr="009102F0" w:rsidRDefault="001A560A" w:rsidP="001A560A">
      <w:pPr>
        <w:spacing w:line="420" w:lineRule="auto"/>
      </w:pPr>
      <w:r w:rsidRPr="009102F0">
        <w:rPr>
          <w:b/>
        </w:rPr>
        <w:t>Background:</w:t>
      </w:r>
      <w:r w:rsidRPr="009102F0">
        <w:t xml:space="preserve">  Interventions based around objective measurement of adherence </w:t>
      </w:r>
      <w:r>
        <w:t xml:space="preserve">to antiretroviral drugs for HIV </w:t>
      </w:r>
      <w:r w:rsidRPr="009102F0">
        <w:t>have potential to improve adherence and to enable differentiation of care such that clinical visits are reduced in those with high adherence.</w:t>
      </w:r>
      <w:r>
        <w:t xml:space="preserve">   </w:t>
      </w:r>
      <w:r w:rsidRPr="009102F0">
        <w:t xml:space="preserve"> </w:t>
      </w:r>
      <w:r>
        <w:t>I</w:t>
      </w:r>
      <w:r w:rsidRPr="009102F0">
        <w:t>t would be useful to understand the approximate upper limit of cost that could be considered for such interve</w:t>
      </w:r>
      <w:r>
        <w:t xml:space="preserve">ntions of a given effectiveness in order to be </w:t>
      </w:r>
      <w:r w:rsidRPr="009102F0">
        <w:t>cost effective. </w:t>
      </w:r>
      <w:r>
        <w:t xml:space="preserve">  Such information can guide whether to implement an intervention in the light of a trial showing a certain effectiveness and cost.  </w:t>
      </w:r>
    </w:p>
    <w:p w14:paraId="08B1A3F7" w14:textId="77777777" w:rsidR="001A560A" w:rsidRPr="009102F0" w:rsidRDefault="001A560A" w:rsidP="001A560A">
      <w:pPr>
        <w:spacing w:line="420" w:lineRule="auto"/>
      </w:pPr>
      <w:r w:rsidRPr="009102F0">
        <w:rPr>
          <w:b/>
        </w:rPr>
        <w:t>Methods:</w:t>
      </w:r>
      <w:r w:rsidRPr="009102F0">
        <w:t xml:space="preserve">   An individual-based model, calibrated to Zimbabwe, which incorporates effects of adherence and resistance to antiretroviral therapy was used to model the potential impact of adherence monitoring-based interventions on viral suppression, death rates, disability adjusted life years and costs.  Potential component effects of the intervention were: enhanced average adherence when on ART, reduced risk of ART discontinuation, and reduced risk of resistance acquisition.  We considered a situation in which viral load monitoring is not available and one in which it is.  </w:t>
      </w:r>
      <w:r>
        <w:t xml:space="preserve">In the former case, it was assumed that care would be differentiated based on the adherence level, with fewer clinic visits in those demonstrated to have high adherence.  </w:t>
      </w:r>
      <w:r w:rsidRPr="009102F0">
        <w:t>In the latter case, care was assumed to be primarily differentiated according to viral load level.  The maximum intervention cost required to be cost effective was calculated</w:t>
      </w:r>
      <w:r>
        <w:t xml:space="preserve"> based on a cost effectiveness threshold of $500 per DALY averted</w:t>
      </w:r>
      <w:r w:rsidRPr="009102F0">
        <w:t>.</w:t>
      </w:r>
    </w:p>
    <w:p w14:paraId="21EBECDC" w14:textId="77777777" w:rsidR="001A560A" w:rsidRPr="009102F0" w:rsidRDefault="001A560A" w:rsidP="001A560A">
      <w:pPr>
        <w:spacing w:line="420" w:lineRule="auto"/>
      </w:pPr>
      <w:r>
        <w:rPr>
          <w:b/>
        </w:rPr>
        <w:t>Findings</w:t>
      </w:r>
      <w:r w:rsidRPr="009102F0">
        <w:rPr>
          <w:b/>
        </w:rPr>
        <w:t>:</w:t>
      </w:r>
      <w:r w:rsidRPr="009102F0">
        <w:t xml:space="preserve">   In the absence of viral load monitoring, an adherence monitoring-based intervention which results in a durable 6% increase in the proportion of ART experienced people with viral load &lt; 1000 cps/mL was cost effective if it cost up to $50 per person-year on ART, mainly driven by the cost savings of differentiation of care.  In the presence of viral load monitoring availability, an intervention with a similar effect on viral load suppression was cost-effective when costing $23-$32 per year, depending on whether the adherence intervention is used to reduce the level of need for viral load measurement.   </w:t>
      </w:r>
    </w:p>
    <w:p w14:paraId="72EA7B40" w14:textId="77777777" w:rsidR="001A560A" w:rsidRPr="009102F0" w:rsidRDefault="001A560A" w:rsidP="001A560A">
      <w:pPr>
        <w:spacing w:line="420" w:lineRule="auto"/>
      </w:pPr>
      <w:r>
        <w:rPr>
          <w:b/>
        </w:rPr>
        <w:t>Conclusion</w:t>
      </w:r>
      <w:r w:rsidRPr="009102F0">
        <w:rPr>
          <w:b/>
        </w:rPr>
        <w:t>:</w:t>
      </w:r>
      <w:r w:rsidRPr="009102F0">
        <w:t xml:space="preserve">  </w:t>
      </w:r>
      <w:r w:rsidRPr="009102F0">
        <w:br/>
        <w:t xml:space="preserve">The cost thresholds identified suggest that there is clear scope for adherence monitoring-based interventions to provide net population health gain, with potential cost-effective use in situations </w:t>
      </w:r>
      <w:r w:rsidRPr="009102F0">
        <w:lastRenderedPageBreak/>
        <w:t>where viral load monitoring is or is not available.</w:t>
      </w:r>
      <w:r>
        <w:t xml:space="preserve">  Our results guide the implementation of future adherence monitoring interventions found in randomized trials to have health benefit.  </w:t>
      </w:r>
    </w:p>
    <w:p w14:paraId="4320E5CF" w14:textId="77777777" w:rsidR="00CF468F" w:rsidRPr="009102F0" w:rsidRDefault="00CF468F" w:rsidP="00641E66">
      <w:pPr>
        <w:spacing w:line="420" w:lineRule="auto"/>
      </w:pPr>
    </w:p>
    <w:p w14:paraId="6D56DF37" w14:textId="77777777" w:rsidR="007426E1" w:rsidRPr="00DC3A0F" w:rsidRDefault="007426E1" w:rsidP="00641E66">
      <w:pPr>
        <w:spacing w:line="420" w:lineRule="auto"/>
        <w:rPr>
          <w:b/>
          <w:color w:val="AB112E"/>
          <w:sz w:val="36"/>
          <w:szCs w:val="36"/>
        </w:rPr>
      </w:pPr>
      <w:r w:rsidRPr="00DC3A0F">
        <w:rPr>
          <w:b/>
          <w:color w:val="AB112E"/>
          <w:sz w:val="36"/>
          <w:szCs w:val="36"/>
        </w:rPr>
        <w:t>Introduction</w:t>
      </w:r>
    </w:p>
    <w:p w14:paraId="38BE2E60" w14:textId="08DC4CBC" w:rsidR="00C26617" w:rsidRPr="009102F0" w:rsidRDefault="00676A60" w:rsidP="00641E66">
      <w:pPr>
        <w:spacing w:line="420" w:lineRule="auto"/>
      </w:pPr>
      <w:r w:rsidRPr="009102F0">
        <w:t>V</w:t>
      </w:r>
      <w:r w:rsidR="006A34BA" w:rsidRPr="009102F0">
        <w:t>arious potential means to improve adherence to antiretroviral therapy</w:t>
      </w:r>
      <w:r w:rsidRPr="009102F0">
        <w:t xml:space="preserve"> have been evaluated</w:t>
      </w:r>
      <w:r w:rsidR="007D16BB" w:rsidRPr="009102F0">
        <w:t xml:space="preserve"> in sub-Saharan Africa</w:t>
      </w:r>
      <w:r w:rsidRPr="009102F0">
        <w:t xml:space="preserve"> </w:t>
      </w:r>
      <w:r w:rsidR="003F2B07">
        <w:t>[1,2]</w:t>
      </w:r>
      <w:r w:rsidR="006A34BA" w:rsidRPr="009102F0">
        <w:t xml:space="preserve">.  Most involve </w:t>
      </w:r>
      <w:r w:rsidR="004804D3" w:rsidRPr="009102F0">
        <w:t xml:space="preserve">a component of </w:t>
      </w:r>
      <w:r w:rsidR="006A34BA" w:rsidRPr="009102F0">
        <w:t>counselling and/or support by clinic staff or community based counsellors</w:t>
      </w:r>
      <w:r w:rsidR="004804D3" w:rsidRPr="009102F0">
        <w:t xml:space="preserve">, which often takes place </w:t>
      </w:r>
      <w:r w:rsidR="006A34BA" w:rsidRPr="009102F0">
        <w:t xml:space="preserve">face-to-face but can also include phone calls or text messaging. </w:t>
      </w:r>
      <w:r w:rsidR="00EE4FAD" w:rsidRPr="009102F0">
        <w:t xml:space="preserve"> A key challenge with any such intervention is having access to a reliable and objective indicator of the extent and pattern of the patient’s adherence. </w:t>
      </w:r>
      <w:r w:rsidR="006A34BA" w:rsidRPr="009102F0">
        <w:t xml:space="preserve"> </w:t>
      </w:r>
      <w:r w:rsidR="007C34DB" w:rsidRPr="009102F0">
        <w:t xml:space="preserve"> Objective measures of adherence that do not rely on self-report are attractive in </w:t>
      </w:r>
      <w:r w:rsidR="00384309">
        <w:t xml:space="preserve">not </w:t>
      </w:r>
      <w:r w:rsidR="007C34DB" w:rsidRPr="009102F0">
        <w:t>being subject to reporting bias</w:t>
      </w:r>
      <w:r w:rsidR="00CB6D2A" w:rsidRPr="009102F0">
        <w:t xml:space="preserve"> and as such they have potential for routine use as a means of informing and targeting interventions to improve adherence</w:t>
      </w:r>
      <w:r w:rsidR="007C34DB" w:rsidRPr="009102F0">
        <w:t xml:space="preserve">. </w:t>
      </w:r>
      <w:r w:rsidR="00C67B32" w:rsidRPr="009102F0">
        <w:t>O</w:t>
      </w:r>
      <w:r w:rsidR="007C34DB" w:rsidRPr="009102F0">
        <w:t xml:space="preserve">bjective </w:t>
      </w:r>
      <w:r w:rsidR="00CB6D2A" w:rsidRPr="009102F0">
        <w:t xml:space="preserve">adherence </w:t>
      </w:r>
      <w:r w:rsidR="007C34DB" w:rsidRPr="009102F0">
        <w:t>measure</w:t>
      </w:r>
      <w:r w:rsidR="00C67B32" w:rsidRPr="009102F0">
        <w:t>ment approaches</w:t>
      </w:r>
      <w:r w:rsidR="007C34DB" w:rsidRPr="009102F0">
        <w:t xml:space="preserve"> include </w:t>
      </w:r>
      <w:r w:rsidR="00CB6D2A" w:rsidRPr="009102F0">
        <w:t>recording</w:t>
      </w:r>
      <w:r w:rsidR="007C34DB" w:rsidRPr="009102F0">
        <w:t xml:space="preserve"> of on-time drug pick-up and electronic monitors of adherence</w:t>
      </w:r>
      <w:r w:rsidR="00EE4FAD" w:rsidRPr="009102F0">
        <w:t xml:space="preserve"> </w:t>
      </w:r>
      <w:r w:rsidR="003F2B07">
        <w:t>[3-7]</w:t>
      </w:r>
      <w:r w:rsidR="006A34BA" w:rsidRPr="009102F0">
        <w:t xml:space="preserve">.  </w:t>
      </w:r>
      <w:r w:rsidR="00444095" w:rsidRPr="009102F0">
        <w:t>Th</w:t>
      </w:r>
      <w:r w:rsidR="00CB6D2A" w:rsidRPr="009102F0">
        <w:t xml:space="preserve">is latter </w:t>
      </w:r>
      <w:r w:rsidR="00444095" w:rsidRPr="009102F0">
        <w:t>might consist of a device that enables clinic staff to read out the adherence history of the patient since the last clinic visit</w:t>
      </w:r>
      <w:r w:rsidR="008B2702" w:rsidRPr="009102F0">
        <w:t xml:space="preserve"> </w:t>
      </w:r>
      <w:r w:rsidR="003F2B07">
        <w:t>[3,4]</w:t>
      </w:r>
      <w:r w:rsidR="00444095" w:rsidRPr="009102F0">
        <w:t>, or perhaps even monitoring of adherence in real time using mobile phone technology</w:t>
      </w:r>
      <w:r w:rsidR="003F2B07">
        <w:t xml:space="preserve"> [3, 8</w:t>
      </w:r>
      <w:r w:rsidR="0014332F">
        <w:t>, 9</w:t>
      </w:r>
      <w:r w:rsidR="003F2B07">
        <w:t>]</w:t>
      </w:r>
      <w:r w:rsidR="00444095" w:rsidRPr="009102F0">
        <w:t xml:space="preserve">.  </w:t>
      </w:r>
      <w:r w:rsidR="00B726B5" w:rsidRPr="009102F0">
        <w:t xml:space="preserve">Real time monitoring means there is the potential to react rapidly to missed doses to prevent default from care and reduce the risk of resistance development. </w:t>
      </w:r>
      <w:r w:rsidR="00C26617" w:rsidRPr="009102F0">
        <w:rPr>
          <w:color w:val="000000" w:themeColor="text1"/>
        </w:rPr>
        <w:t>Adherence monitoring-based inte</w:t>
      </w:r>
      <w:r w:rsidR="007C34DB" w:rsidRPr="009102F0">
        <w:rPr>
          <w:color w:val="000000" w:themeColor="text1"/>
        </w:rPr>
        <w:t xml:space="preserve">rventions </w:t>
      </w:r>
      <w:r w:rsidR="00C26617" w:rsidRPr="009102F0">
        <w:rPr>
          <w:color w:val="000000" w:themeColor="text1"/>
        </w:rPr>
        <w:t>could be used to enable differentiation of care so that those with high adherence can have reduced visit frequency and/or attend for pharmacy-only visits, allowing appreciable non-ART clinic cost savings, as has been proposed based on viral load monitoring</w:t>
      </w:r>
      <w:r w:rsidR="008510E9" w:rsidRPr="009102F0">
        <w:rPr>
          <w:color w:val="000000" w:themeColor="text1"/>
        </w:rPr>
        <w:t xml:space="preserve"> </w:t>
      </w:r>
      <w:r w:rsidR="0014332F">
        <w:rPr>
          <w:color w:val="000000" w:themeColor="text1"/>
        </w:rPr>
        <w:t>[10, 11]</w:t>
      </w:r>
      <w:r w:rsidR="00C26617" w:rsidRPr="009102F0">
        <w:rPr>
          <w:color w:val="000000" w:themeColor="text1"/>
        </w:rPr>
        <w:t>.</w:t>
      </w:r>
      <w:r w:rsidR="00F04EC1" w:rsidRPr="009102F0">
        <w:rPr>
          <w:color w:val="000000" w:themeColor="text1"/>
        </w:rPr>
        <w:t xml:space="preserve">  In addition, even where viral load monitoring is in place, adherence monitoring-based interventions have potential to replace viral load measurement in people in whom viral suppression has been demonstrated.</w:t>
      </w:r>
    </w:p>
    <w:p w14:paraId="7305FA34" w14:textId="4A8EC8C5" w:rsidR="00E1258C" w:rsidRPr="009102F0" w:rsidRDefault="006A34BA" w:rsidP="00641E66">
      <w:pPr>
        <w:spacing w:line="420" w:lineRule="auto"/>
      </w:pPr>
      <w:r w:rsidRPr="009102F0">
        <w:t>M</w:t>
      </w:r>
      <w:r w:rsidR="006B1B0A" w:rsidRPr="009102F0">
        <w:t>easured o</w:t>
      </w:r>
      <w:r w:rsidR="00E412AE" w:rsidRPr="009102F0">
        <w:t xml:space="preserve">utcomes </w:t>
      </w:r>
      <w:r w:rsidR="006B1B0A" w:rsidRPr="009102F0">
        <w:t>for</w:t>
      </w:r>
      <w:r w:rsidR="004E152C" w:rsidRPr="009102F0">
        <w:t xml:space="preserve"> studies of adherence</w:t>
      </w:r>
      <w:r w:rsidR="00444095" w:rsidRPr="009102F0">
        <w:t xml:space="preserve"> monitoring</w:t>
      </w:r>
      <w:r w:rsidR="00EE4FAD" w:rsidRPr="009102F0">
        <w:t>-based</w:t>
      </w:r>
      <w:r w:rsidR="004E152C" w:rsidRPr="009102F0">
        <w:t xml:space="preserve"> interventions </w:t>
      </w:r>
      <w:r w:rsidR="00E412AE" w:rsidRPr="009102F0">
        <w:t xml:space="preserve">may include </w:t>
      </w:r>
      <w:r w:rsidR="00D61FC1" w:rsidRPr="009102F0">
        <w:t>percent</w:t>
      </w:r>
      <w:r w:rsidR="00384309">
        <w:t xml:space="preserve"> of</w:t>
      </w:r>
      <w:r w:rsidR="00D61FC1" w:rsidRPr="009102F0">
        <w:t xml:space="preserve"> doses taken (</w:t>
      </w:r>
      <w:r w:rsidR="00384309">
        <w:t xml:space="preserve">often referred to in the drug adherence literature as </w:t>
      </w:r>
      <w:r w:rsidR="00D61FC1" w:rsidRPr="009102F0">
        <w:t>execution), duration of treatment (persistence)</w:t>
      </w:r>
      <w:r w:rsidR="004E152C" w:rsidRPr="009102F0">
        <w:t xml:space="preserve">, </w:t>
      </w:r>
      <w:r w:rsidR="00E412AE" w:rsidRPr="009102F0">
        <w:t>frequency of ART interruption</w:t>
      </w:r>
      <w:r w:rsidR="004E152C" w:rsidRPr="009102F0">
        <w:t xml:space="preserve">, and </w:t>
      </w:r>
      <w:r w:rsidR="0004239D" w:rsidRPr="009102F0">
        <w:t xml:space="preserve">the proportion of people with </w:t>
      </w:r>
      <w:r w:rsidR="004E152C" w:rsidRPr="009102F0">
        <w:t>viral load</w:t>
      </w:r>
      <w:r w:rsidR="0004239D" w:rsidRPr="009102F0">
        <w:t xml:space="preserve"> suppression</w:t>
      </w:r>
      <w:r w:rsidR="00E412AE" w:rsidRPr="009102F0">
        <w:t xml:space="preserve">. </w:t>
      </w:r>
      <w:r w:rsidR="0004239D" w:rsidRPr="009102F0">
        <w:t xml:space="preserve"> </w:t>
      </w:r>
      <w:r w:rsidR="00E412AE" w:rsidRPr="009102F0">
        <w:t xml:space="preserve"> However, t</w:t>
      </w:r>
      <w:r w:rsidR="004B7630" w:rsidRPr="009102F0">
        <w:t xml:space="preserve">he </w:t>
      </w:r>
      <w:r w:rsidR="00E412AE" w:rsidRPr="009102F0">
        <w:t>ultimate impact that adoption of</w:t>
      </w:r>
      <w:r w:rsidR="004B7630" w:rsidRPr="009102F0">
        <w:t xml:space="preserve"> such interventions </w:t>
      </w:r>
      <w:r w:rsidR="00E412AE" w:rsidRPr="009102F0">
        <w:t xml:space="preserve">would have </w:t>
      </w:r>
      <w:r w:rsidR="004B7630" w:rsidRPr="009102F0">
        <w:t xml:space="preserve">on key program outcomes such as death rates and </w:t>
      </w:r>
      <w:r w:rsidR="00B726B5" w:rsidRPr="009102F0">
        <w:t>disability-adjusted life years (</w:t>
      </w:r>
      <w:r w:rsidR="004B7630" w:rsidRPr="009102F0">
        <w:t>DALYs</w:t>
      </w:r>
      <w:r w:rsidR="00B726B5" w:rsidRPr="009102F0">
        <w:t>)</w:t>
      </w:r>
      <w:r w:rsidR="004B7630" w:rsidRPr="009102F0">
        <w:t xml:space="preserve"> averted </w:t>
      </w:r>
      <w:r w:rsidR="00C77611" w:rsidRPr="009102F0">
        <w:t xml:space="preserve">is </w:t>
      </w:r>
      <w:r w:rsidR="004E152C" w:rsidRPr="009102F0">
        <w:t xml:space="preserve">often </w:t>
      </w:r>
      <w:r w:rsidR="00C77611" w:rsidRPr="009102F0">
        <w:t>unclear</w:t>
      </w:r>
      <w:r w:rsidR="004B7630" w:rsidRPr="009102F0">
        <w:t xml:space="preserve">. </w:t>
      </w:r>
      <w:r w:rsidRPr="009102F0">
        <w:t xml:space="preserve"> </w:t>
      </w:r>
      <w:r w:rsidR="00E1258C" w:rsidRPr="009102F0">
        <w:t xml:space="preserve">Further, it is not intuitively clear how much money it is worth spending on an adherence </w:t>
      </w:r>
      <w:r w:rsidR="00444095" w:rsidRPr="009102F0">
        <w:lastRenderedPageBreak/>
        <w:t>monitoring</w:t>
      </w:r>
      <w:r w:rsidR="00B0328E" w:rsidRPr="009102F0">
        <w:t>-based</w:t>
      </w:r>
      <w:r w:rsidR="00444095" w:rsidRPr="009102F0">
        <w:t xml:space="preserve"> </w:t>
      </w:r>
      <w:r w:rsidR="00E1258C" w:rsidRPr="009102F0">
        <w:t>intervention in order for its introduction to be cost-effective; i.e. of net health benefit given the opportunity costs of its introduction.   In thinking of designing such interventions it would be useful to understand the approximate upp</w:t>
      </w:r>
      <w:r w:rsidR="000A7363" w:rsidRPr="009102F0">
        <w:t xml:space="preserve">er limit of cost that could be </w:t>
      </w:r>
      <w:r w:rsidR="00E1258C" w:rsidRPr="009102F0">
        <w:t xml:space="preserve">considered for an intervention of a given effectiveness, in order for the intervention to be cost effective.  </w:t>
      </w:r>
    </w:p>
    <w:p w14:paraId="475C9B38" w14:textId="4CEBD88A" w:rsidR="004A466C" w:rsidRPr="009102F0" w:rsidRDefault="006B1B0A" w:rsidP="00641E66">
      <w:pPr>
        <w:spacing w:line="420" w:lineRule="auto"/>
      </w:pPr>
      <w:r w:rsidRPr="009102F0">
        <w:t xml:space="preserve">In this paper we </w:t>
      </w:r>
      <w:r w:rsidR="0085281B" w:rsidRPr="009102F0">
        <w:t xml:space="preserve">apply </w:t>
      </w:r>
      <w:r w:rsidRPr="009102F0">
        <w:t xml:space="preserve">a </w:t>
      </w:r>
      <w:r w:rsidR="0085281B" w:rsidRPr="009102F0">
        <w:t>model</w:t>
      </w:r>
      <w:r w:rsidRPr="009102F0">
        <w:t xml:space="preserve"> which captures the joint effects of adherence and viral resistance on response to ART in order </w:t>
      </w:r>
      <w:r w:rsidR="0085281B" w:rsidRPr="009102F0">
        <w:t xml:space="preserve">to provide </w:t>
      </w:r>
      <w:r w:rsidRPr="009102F0">
        <w:t xml:space="preserve">a </w:t>
      </w:r>
      <w:r w:rsidR="0085281B" w:rsidRPr="009102F0">
        <w:t xml:space="preserve">link between </w:t>
      </w:r>
      <w:r w:rsidR="006A34BA" w:rsidRPr="009102F0">
        <w:t>v</w:t>
      </w:r>
      <w:r w:rsidR="00E412AE" w:rsidRPr="009102F0">
        <w:t xml:space="preserve">iral suppression outcomes and these key program outcomes.   This should </w:t>
      </w:r>
      <w:r w:rsidRPr="009102F0">
        <w:t xml:space="preserve">facilitate use of data from trials of </w:t>
      </w:r>
      <w:r w:rsidR="00E412AE" w:rsidRPr="009102F0">
        <w:t xml:space="preserve">adherence </w:t>
      </w:r>
      <w:r w:rsidR="00444095" w:rsidRPr="009102F0">
        <w:t>monitoring</w:t>
      </w:r>
      <w:r w:rsidR="00B0328E" w:rsidRPr="009102F0">
        <w:t>-based</w:t>
      </w:r>
      <w:r w:rsidR="00444095" w:rsidRPr="009102F0">
        <w:t xml:space="preserve"> </w:t>
      </w:r>
      <w:r w:rsidR="00E412AE" w:rsidRPr="009102F0">
        <w:t>intervention</w:t>
      </w:r>
      <w:r w:rsidRPr="009102F0">
        <w:t>s</w:t>
      </w:r>
      <w:r w:rsidR="00E412AE" w:rsidRPr="009102F0">
        <w:t xml:space="preserve"> to be used to predict the population impact</w:t>
      </w:r>
      <w:r w:rsidRPr="009102F0">
        <w:t xml:space="preserve"> of the interventions, and </w:t>
      </w:r>
      <w:r w:rsidR="006A34BA" w:rsidRPr="009102F0">
        <w:t>he</w:t>
      </w:r>
      <w:r w:rsidRPr="009102F0">
        <w:t>nce allow</w:t>
      </w:r>
      <w:r w:rsidR="00D46687" w:rsidRPr="009102F0">
        <w:t xml:space="preserve"> </w:t>
      </w:r>
      <w:r w:rsidRPr="009102F0">
        <w:t xml:space="preserve">assessment of </w:t>
      </w:r>
      <w:r w:rsidR="00384309">
        <w:t>their cost effectiveness</w:t>
      </w:r>
      <w:r w:rsidRPr="009102F0">
        <w:t xml:space="preserve">.  </w:t>
      </w:r>
    </w:p>
    <w:p w14:paraId="4F2EAA5C" w14:textId="77777777" w:rsidR="0099071A" w:rsidRDefault="0099071A" w:rsidP="00641E66">
      <w:pPr>
        <w:spacing w:line="420" w:lineRule="auto"/>
        <w:rPr>
          <w:b/>
          <w:color w:val="AB112E"/>
        </w:rPr>
      </w:pPr>
    </w:p>
    <w:p w14:paraId="25940532" w14:textId="77777777" w:rsidR="00E412AE" w:rsidRPr="00DC3A0F" w:rsidRDefault="007426E1" w:rsidP="00641E66">
      <w:pPr>
        <w:spacing w:line="420" w:lineRule="auto"/>
        <w:rPr>
          <w:b/>
          <w:color w:val="AB112E"/>
          <w:sz w:val="36"/>
          <w:szCs w:val="36"/>
        </w:rPr>
      </w:pPr>
      <w:r w:rsidRPr="00DC3A0F">
        <w:rPr>
          <w:b/>
          <w:color w:val="AB112E"/>
          <w:sz w:val="36"/>
          <w:szCs w:val="36"/>
        </w:rPr>
        <w:t>Methods</w:t>
      </w:r>
    </w:p>
    <w:p w14:paraId="3A980BC8" w14:textId="081F4F4D" w:rsidR="00632187" w:rsidRPr="009102F0" w:rsidRDefault="00B0328E" w:rsidP="00641E66">
      <w:pPr>
        <w:spacing w:line="420" w:lineRule="auto"/>
      </w:pPr>
      <w:r w:rsidRPr="009102F0">
        <w:t>We used t</w:t>
      </w:r>
      <w:r w:rsidR="00E412AE" w:rsidRPr="009102F0">
        <w:t>he HIV Synthesis model</w:t>
      </w:r>
      <w:r w:rsidRPr="009102F0">
        <w:t xml:space="preserve"> -</w:t>
      </w:r>
      <w:r w:rsidR="00E412AE" w:rsidRPr="009102F0">
        <w:t xml:space="preserve"> an individual based model that models </w:t>
      </w:r>
      <w:r w:rsidR="006B5BA1">
        <w:t>HIV sexual transmission, progression and the effect of ART in adults</w:t>
      </w:r>
      <w:r w:rsidR="00C903F7">
        <w:t xml:space="preserve"> that models</w:t>
      </w:r>
      <w:r w:rsidR="006B5BA1">
        <w:t xml:space="preserve"> </w:t>
      </w:r>
      <w:r w:rsidR="00E412AE" w:rsidRPr="009102F0">
        <w:t>ART effects through adherence, accounting for current resistance to the ART regimen</w:t>
      </w:r>
      <w:r w:rsidR="00376F88">
        <w:t xml:space="preserve"> [11-14]</w:t>
      </w:r>
      <w:r w:rsidR="00C3238B" w:rsidRPr="009102F0">
        <w:t>.   V</w:t>
      </w:r>
      <w:r w:rsidR="00E412AE" w:rsidRPr="009102F0">
        <w:t xml:space="preserve">ariables simulated include the current average adherence (a </w:t>
      </w:r>
      <w:r w:rsidR="00BA5F55" w:rsidRPr="009102F0">
        <w:t>3</w:t>
      </w:r>
      <w:r w:rsidR="00E412AE" w:rsidRPr="009102F0">
        <w:t xml:space="preserve"> month average</w:t>
      </w:r>
      <w:r w:rsidR="00F04EC1" w:rsidRPr="009102F0">
        <w:t>, but see below</w:t>
      </w:r>
      <w:r w:rsidR="00E412AE" w:rsidRPr="009102F0">
        <w:t xml:space="preserve">) for those on ART, viral load and CD4 count.   </w:t>
      </w:r>
      <w:r w:rsidR="008B31AA" w:rsidRPr="009102F0">
        <w:t xml:space="preserve">Details of the assumptions in modelling of adherence are </w:t>
      </w:r>
      <w:r w:rsidR="00C903F7">
        <w:t xml:space="preserve">presented in section 6 of </w:t>
      </w:r>
      <w:r w:rsidR="008B31AA" w:rsidRPr="009102F0">
        <w:t xml:space="preserve">the accompanying </w:t>
      </w:r>
      <w:r w:rsidR="001C0AB1" w:rsidRPr="009102F0">
        <w:t xml:space="preserve">Supplementary Material </w:t>
      </w:r>
      <w:r w:rsidR="008B31AA" w:rsidRPr="009102F0">
        <w:t>wh</w:t>
      </w:r>
      <w:r w:rsidR="001C0AB1" w:rsidRPr="009102F0">
        <w:t>ich provides full model details</w:t>
      </w:r>
      <w:r w:rsidR="008B31AA" w:rsidRPr="009102F0">
        <w:t>, but brief details are given here.</w:t>
      </w:r>
      <w:r w:rsidR="00E240FE">
        <w:t xml:space="preserve">  </w:t>
      </w:r>
    </w:p>
    <w:p w14:paraId="6091A805" w14:textId="77777777" w:rsidR="006F07A4" w:rsidRDefault="006F07A4" w:rsidP="00641E66">
      <w:pPr>
        <w:spacing w:line="420" w:lineRule="auto"/>
        <w:rPr>
          <w:i/>
        </w:rPr>
      </w:pPr>
    </w:p>
    <w:p w14:paraId="7608CF78" w14:textId="77777777" w:rsidR="00632187" w:rsidRPr="00444ED5" w:rsidRDefault="00632187" w:rsidP="00641E66">
      <w:pPr>
        <w:spacing w:line="420" w:lineRule="auto"/>
        <w:rPr>
          <w:i/>
          <w:sz w:val="28"/>
          <w:szCs w:val="28"/>
        </w:rPr>
      </w:pPr>
      <w:r w:rsidRPr="00444ED5">
        <w:rPr>
          <w:i/>
          <w:sz w:val="28"/>
          <w:szCs w:val="28"/>
        </w:rPr>
        <w:t>Modelling of adherence and its effect on viral load and drug resistance outcomes</w:t>
      </w:r>
    </w:p>
    <w:p w14:paraId="4B0C2A4D" w14:textId="07461311" w:rsidR="008B31AA" w:rsidRPr="009102F0" w:rsidRDefault="001C0AB1" w:rsidP="00641E66">
      <w:pPr>
        <w:spacing w:line="420" w:lineRule="auto"/>
        <w:rPr>
          <w:b/>
        </w:rPr>
      </w:pPr>
      <w:r w:rsidRPr="009102F0">
        <w:rPr>
          <w:lang w:val="en-US"/>
        </w:rPr>
        <w:t xml:space="preserve">We refer to </w:t>
      </w:r>
      <w:r w:rsidRPr="009102F0">
        <w:rPr>
          <w:bCs/>
          <w:i/>
          <w:lang w:val="en-US"/>
        </w:rPr>
        <w:t>adherence</w:t>
      </w:r>
      <w:r w:rsidRPr="009102F0">
        <w:rPr>
          <w:lang w:val="en-US"/>
        </w:rPr>
        <w:t xml:space="preserve"> specifically as the average adherence in people on </w:t>
      </w:r>
      <w:r w:rsidR="00B726B5" w:rsidRPr="009102F0">
        <w:rPr>
          <w:lang w:val="en-US"/>
        </w:rPr>
        <w:t xml:space="preserve">antiretroviral </w:t>
      </w:r>
      <w:r w:rsidRPr="009102F0">
        <w:rPr>
          <w:lang w:val="en-US"/>
        </w:rPr>
        <w:t>drug</w:t>
      </w:r>
      <w:r w:rsidR="00B726B5" w:rsidRPr="009102F0">
        <w:rPr>
          <w:lang w:val="en-US"/>
        </w:rPr>
        <w:t>s</w:t>
      </w:r>
      <w:r w:rsidRPr="009102F0">
        <w:rPr>
          <w:lang w:val="en-US"/>
        </w:rPr>
        <w:t xml:space="preserve">.  Since our model updates in 3 month periods, short term  interruptions of days or a few weeks are treated as sub-optimal average adherence during the 3 month period.  Interruption of ART over periods of 3 months or greater are referred to as </w:t>
      </w:r>
      <w:r w:rsidRPr="009102F0">
        <w:rPr>
          <w:bCs/>
          <w:i/>
          <w:lang w:val="en-US"/>
        </w:rPr>
        <w:t xml:space="preserve">ART </w:t>
      </w:r>
      <w:r w:rsidR="00F04EC1" w:rsidRPr="009102F0">
        <w:rPr>
          <w:bCs/>
          <w:i/>
          <w:lang w:val="en-US"/>
        </w:rPr>
        <w:t>discontinuation</w:t>
      </w:r>
      <w:r w:rsidRPr="009102F0">
        <w:rPr>
          <w:b/>
          <w:bCs/>
          <w:lang w:val="en-US"/>
        </w:rPr>
        <w:t xml:space="preserve"> </w:t>
      </w:r>
      <w:r w:rsidRPr="009102F0">
        <w:rPr>
          <w:lang w:val="en-US"/>
        </w:rPr>
        <w:t xml:space="preserve">and modelled explicitly.  </w:t>
      </w:r>
      <w:r w:rsidRPr="009102F0">
        <w:t xml:space="preserve">ART </w:t>
      </w:r>
      <w:r w:rsidR="00F04EC1" w:rsidRPr="009102F0">
        <w:t>discontinuation</w:t>
      </w:r>
      <w:r w:rsidRPr="009102F0">
        <w:t xml:space="preserve"> is usually concomitant with disengagement from clinic attendance.  </w:t>
      </w:r>
    </w:p>
    <w:p w14:paraId="2CBFA19E" w14:textId="6CC9408B" w:rsidR="00A710F1" w:rsidRDefault="00A710F1" w:rsidP="00641E66">
      <w:pPr>
        <w:spacing w:line="420" w:lineRule="auto"/>
      </w:pPr>
      <w:r w:rsidRPr="009102F0">
        <w:t xml:space="preserve">Average adherence in each </w:t>
      </w:r>
      <w:r w:rsidR="00BA5F55" w:rsidRPr="009102F0">
        <w:t>3</w:t>
      </w:r>
      <w:r w:rsidRPr="009102F0">
        <w:t xml:space="preserve"> month period for an individual is determined from the underlying tendency to adhere (which is a lifelong value for the individual, unless changed as a result of an adherence intervention) with within-person period-to-period variability (Figure 1)</w:t>
      </w:r>
      <w:r w:rsidR="00376F88">
        <w:t xml:space="preserve"> [</w:t>
      </w:r>
      <w:r w:rsidR="00001F15">
        <w:t xml:space="preserve">6, </w:t>
      </w:r>
      <w:r w:rsidR="00376F88">
        <w:t>15-</w:t>
      </w:r>
      <w:r w:rsidR="00001F15">
        <w:t>24</w:t>
      </w:r>
      <w:r w:rsidR="00376F88">
        <w:rPr>
          <w:color w:val="000000" w:themeColor="text1"/>
        </w:rPr>
        <w:t>]</w:t>
      </w:r>
      <w:r w:rsidRPr="009102F0">
        <w:t xml:space="preserve">.  </w:t>
      </w:r>
      <w:r w:rsidR="00B726B5" w:rsidRPr="009102F0">
        <w:t xml:space="preserve"> E</w:t>
      </w:r>
      <w:r w:rsidRPr="009102F0">
        <w:rPr>
          <w:color w:val="000000" w:themeColor="text1"/>
        </w:rPr>
        <w:t xml:space="preserve">ach patient </w:t>
      </w:r>
      <w:r w:rsidR="00B726B5" w:rsidRPr="009102F0">
        <w:rPr>
          <w:color w:val="000000" w:themeColor="text1"/>
        </w:rPr>
        <w:t xml:space="preserve">thus </w:t>
      </w:r>
      <w:r w:rsidRPr="009102F0">
        <w:rPr>
          <w:color w:val="000000" w:themeColor="text1"/>
        </w:rPr>
        <w:t xml:space="preserve">has a certain higher or lower tendency to adhere but their actual adherence varies over time, both at random and according to the presence of symptoms (with drug toxicity or presence of WHO stage 4 disease leading to a decrease in adherence) and age (tendency for increasing adherence with age).  </w:t>
      </w:r>
      <w:r w:rsidRPr="009102F0">
        <w:t xml:space="preserve"> </w:t>
      </w:r>
    </w:p>
    <w:p w14:paraId="7B42706A" w14:textId="77777777" w:rsidR="00F002F5" w:rsidRDefault="00F002F5" w:rsidP="00641E66">
      <w:pPr>
        <w:spacing w:line="420" w:lineRule="auto"/>
        <w:rPr>
          <w:b/>
          <w:color w:val="C00000"/>
        </w:rPr>
      </w:pPr>
    </w:p>
    <w:p w14:paraId="5F72E9AF" w14:textId="7D009A02" w:rsidR="00641E66" w:rsidRDefault="00641E66" w:rsidP="00641E66">
      <w:pPr>
        <w:spacing w:line="420" w:lineRule="auto"/>
      </w:pPr>
      <w:r w:rsidRPr="00641E66">
        <w:rPr>
          <w:b/>
          <w:color w:val="C00000"/>
        </w:rPr>
        <w:t>Figure 1</w:t>
      </w:r>
      <w:r>
        <w:t>.  Modelling of distribution of adherence patterns over individuals in the population.</w:t>
      </w:r>
    </w:p>
    <w:p w14:paraId="22DBBED5" w14:textId="77777777" w:rsidR="00641E66" w:rsidRPr="009102F0" w:rsidRDefault="00641E66" w:rsidP="00641E66">
      <w:pPr>
        <w:spacing w:line="420" w:lineRule="auto"/>
      </w:pPr>
    </w:p>
    <w:p w14:paraId="4EA7F57A" w14:textId="1F555FE3" w:rsidR="00436F30" w:rsidRPr="009102F0" w:rsidRDefault="00B035EF" w:rsidP="00641E66">
      <w:pPr>
        <w:spacing w:line="420" w:lineRule="auto"/>
      </w:pPr>
      <w:r w:rsidRPr="009102F0">
        <w:t xml:space="preserve">The average adherence in each </w:t>
      </w:r>
      <w:r w:rsidR="00BA5F55" w:rsidRPr="009102F0">
        <w:t>3</w:t>
      </w:r>
      <w:r w:rsidRPr="009102F0">
        <w:t xml:space="preserve"> month period is a value between 0%-100%.  Effects of adherence on viral load and resistance acquisition risk are modelled by classifying levels into &lt; 50%, 50-79%, </w:t>
      </w:r>
      <w:r w:rsidRPr="009102F0">
        <w:rPr>
          <w:u w:val="single"/>
        </w:rPr>
        <w:t>&gt;</w:t>
      </w:r>
      <w:r w:rsidRPr="009102F0">
        <w:t xml:space="preserve"> 80%, with effects </w:t>
      </w:r>
      <w:r w:rsidR="00B726B5" w:rsidRPr="009102F0">
        <w:t xml:space="preserve">of ART </w:t>
      </w:r>
      <w:r w:rsidRPr="009102F0">
        <w:t xml:space="preserve">on viral load </w:t>
      </w:r>
      <w:r w:rsidR="00B726B5" w:rsidRPr="009102F0">
        <w:t xml:space="preserve">suppression </w:t>
      </w:r>
      <w:r w:rsidRPr="009102F0">
        <w:t>being greater the higher the adherence level and the resistance acquisition risk being highest in the 50%-79% category.</w:t>
      </w:r>
      <w:r w:rsidR="00CD779F" w:rsidRPr="009102F0">
        <w:t xml:space="preserve">  </w:t>
      </w:r>
      <w:r w:rsidR="00436F30" w:rsidRPr="009102F0">
        <w:t>We do not distinguish between patterns of adherenc</w:t>
      </w:r>
      <w:r w:rsidR="00BA5F55" w:rsidRPr="009102F0">
        <w:t>e at a level more granular</w:t>
      </w:r>
      <w:r w:rsidR="00436F30" w:rsidRPr="009102F0">
        <w:t xml:space="preserve"> than the 3 monthly average level and </w:t>
      </w:r>
      <w:r w:rsidR="00BA5F55" w:rsidRPr="009102F0">
        <w:t xml:space="preserve">hence cannot explicitly  take into account </w:t>
      </w:r>
      <w:r w:rsidR="00436F30" w:rsidRPr="009102F0">
        <w:t>the specific pattern within the 3 month period</w:t>
      </w:r>
      <w:r w:rsidR="00BA5F55" w:rsidRPr="009102F0">
        <w:t>, which</w:t>
      </w:r>
      <w:r w:rsidR="00436F30" w:rsidRPr="009102F0">
        <w:t xml:space="preserve"> could be important</w:t>
      </w:r>
      <w:r w:rsidR="00A710F1" w:rsidRPr="009102F0">
        <w:t xml:space="preserve"> (e.g. whether 80% adherence consists of missing </w:t>
      </w:r>
      <w:r w:rsidR="00466F54" w:rsidRPr="009102F0">
        <w:t xml:space="preserve">drug </w:t>
      </w:r>
      <w:r w:rsidR="00A710F1" w:rsidRPr="009102F0">
        <w:t>one day in every five or a 1 week interruption in every 5 weeks)</w:t>
      </w:r>
      <w:r w:rsidR="00436F30" w:rsidRPr="009102F0">
        <w:t xml:space="preserve">.  </w:t>
      </w:r>
      <w:r w:rsidR="00CD779F" w:rsidRPr="009102F0">
        <w:t>Thus the adherence level in</w:t>
      </w:r>
      <w:r w:rsidR="00BA5F55" w:rsidRPr="009102F0">
        <w:t xml:space="preserve"> each</w:t>
      </w:r>
      <w:r w:rsidR="00CD779F" w:rsidRPr="009102F0">
        <w:t xml:space="preserve"> period</w:t>
      </w:r>
      <w:r w:rsidR="00436F30" w:rsidRPr="009102F0">
        <w:t xml:space="preserve"> should be conceived </w:t>
      </w:r>
      <w:r w:rsidR="00CD779F" w:rsidRPr="009102F0">
        <w:t xml:space="preserve">of </w:t>
      </w:r>
      <w:r w:rsidR="00436F30" w:rsidRPr="009102F0">
        <w:t xml:space="preserve">as </w:t>
      </w:r>
      <w:r w:rsidR="00CD779F" w:rsidRPr="009102F0">
        <w:t xml:space="preserve">conveying </w:t>
      </w:r>
      <w:r w:rsidR="00436F30" w:rsidRPr="009102F0">
        <w:t>the degree to which the pattern of adherence means that drug levels are maintained</w:t>
      </w:r>
      <w:r w:rsidR="00CD779F" w:rsidRPr="009102F0">
        <w:t xml:space="preserve"> at intended therapeutic levels, rather than simply the average adherence over the period</w:t>
      </w:r>
      <w:r w:rsidR="00436F30" w:rsidRPr="009102F0">
        <w:t xml:space="preserve">.  </w:t>
      </w:r>
    </w:p>
    <w:p w14:paraId="1C812350" w14:textId="5111EAFA" w:rsidR="002F13B5" w:rsidRPr="009102F0" w:rsidRDefault="002F13B5" w:rsidP="00641E66">
      <w:pPr>
        <w:spacing w:line="420" w:lineRule="auto"/>
        <w:rPr>
          <w:color w:val="000000" w:themeColor="text1"/>
        </w:rPr>
      </w:pPr>
      <w:r w:rsidRPr="009102F0">
        <w:rPr>
          <w:color w:val="000000" w:themeColor="text1"/>
        </w:rPr>
        <w:t xml:space="preserve">This distribution of adherence </w:t>
      </w:r>
      <w:r w:rsidR="00E97043" w:rsidRPr="009102F0">
        <w:rPr>
          <w:color w:val="000000" w:themeColor="text1"/>
        </w:rPr>
        <w:t xml:space="preserve">levels </w:t>
      </w:r>
      <w:r w:rsidRPr="009102F0">
        <w:rPr>
          <w:color w:val="000000" w:themeColor="text1"/>
        </w:rPr>
        <w:t xml:space="preserve">is primarily determined by the adherence levels required for the model outputs to mimic observed data.  This includes data on rates of resistance development and virologic failure and also data on the proportion of patients at first virologic failure who have no resistance mutations present </w:t>
      </w:r>
      <w:r w:rsidR="00602EA6">
        <w:rPr>
          <w:color w:val="000000" w:themeColor="text1"/>
        </w:rPr>
        <w:t>[25-</w:t>
      </w:r>
      <w:r w:rsidR="004D7EA7">
        <w:rPr>
          <w:color w:val="000000" w:themeColor="text1"/>
        </w:rPr>
        <w:t>37</w:t>
      </w:r>
      <w:r w:rsidR="00602EA6">
        <w:rPr>
          <w:color w:val="000000" w:themeColor="text1"/>
        </w:rPr>
        <w:t>]</w:t>
      </w:r>
      <w:r w:rsidRPr="009102F0">
        <w:rPr>
          <w:color w:val="000000" w:themeColor="text1"/>
        </w:rPr>
        <w:t xml:space="preserve">.  It is clear from such data in more recent years that the great majority of patients who started ART with 3 or more drugs are sufficiently adherent that virologic failure rates are low (and so resistance accumulation is also likely to be low) </w:t>
      </w:r>
      <w:r w:rsidR="004D7EA7">
        <w:rPr>
          <w:color w:val="000000" w:themeColor="text1"/>
        </w:rPr>
        <w:t>[17, 38]</w:t>
      </w:r>
      <w:r w:rsidRPr="009102F0">
        <w:rPr>
          <w:color w:val="000000" w:themeColor="text1"/>
        </w:rPr>
        <w:t xml:space="preserve">. </w:t>
      </w:r>
    </w:p>
    <w:p w14:paraId="21346D4F" w14:textId="2B391A23" w:rsidR="002F13B5" w:rsidRPr="009102F0" w:rsidRDefault="002F13B5" w:rsidP="00641E66">
      <w:pPr>
        <w:spacing w:line="420" w:lineRule="auto"/>
        <w:rPr>
          <w:color w:val="000000" w:themeColor="text1"/>
        </w:rPr>
      </w:pPr>
      <w:r w:rsidRPr="009102F0">
        <w:rPr>
          <w:color w:val="000000" w:themeColor="text1"/>
        </w:rPr>
        <w:t xml:space="preserve">The distribution of adherence over the first year of ART has been compared with data from a large programme in Zambia (see Figure S11; </w:t>
      </w:r>
      <w:r w:rsidR="004D7EA7">
        <w:rPr>
          <w:color w:val="000000" w:themeColor="text1"/>
        </w:rPr>
        <w:t>[39]</w:t>
      </w:r>
      <w:r w:rsidRPr="009102F0">
        <w:rPr>
          <w:color w:val="000000" w:themeColor="text1"/>
        </w:rPr>
        <w:t>).  The degree to which outputs on viral load at one year from start of ART</w:t>
      </w:r>
      <w:r w:rsidR="0025170B" w:rsidRPr="009102F0">
        <w:rPr>
          <w:color w:val="000000" w:themeColor="text1"/>
        </w:rPr>
        <w:t xml:space="preserve"> correspond to observed data</w:t>
      </w:r>
      <w:r w:rsidRPr="009102F0">
        <w:rPr>
          <w:color w:val="000000" w:themeColor="text1"/>
        </w:rPr>
        <w:t xml:space="preserve"> is shown in Figure S12</w:t>
      </w:r>
      <w:r w:rsidR="00AA7071">
        <w:rPr>
          <w:color w:val="000000" w:themeColor="text1"/>
        </w:rPr>
        <w:t xml:space="preserve"> (in the Supplementary Material)</w:t>
      </w:r>
      <w:r w:rsidRPr="009102F0">
        <w:rPr>
          <w:color w:val="000000" w:themeColor="text1"/>
        </w:rPr>
        <w:t>.  These are reconstructed outcomes for all people who have initiated ART in Zimbabwe</w:t>
      </w:r>
      <w:r w:rsidR="0025170B" w:rsidRPr="009102F0">
        <w:rPr>
          <w:color w:val="000000" w:themeColor="text1"/>
        </w:rPr>
        <w:t xml:space="preserve"> up to 2014</w:t>
      </w:r>
      <w:r w:rsidRPr="009102F0">
        <w:rPr>
          <w:color w:val="000000" w:themeColor="text1"/>
        </w:rPr>
        <w:t xml:space="preserve"> (the overall mean CD4 count at initiation is 145 /mm</w:t>
      </w:r>
      <w:r w:rsidRPr="00AA7071">
        <w:rPr>
          <w:color w:val="000000" w:themeColor="text1"/>
          <w:vertAlign w:val="superscript"/>
        </w:rPr>
        <w:t>3</w:t>
      </w:r>
      <w:r w:rsidRPr="009102F0">
        <w:rPr>
          <w:color w:val="000000" w:themeColor="text1"/>
        </w:rPr>
        <w:t xml:space="preserve">). Figures S13 and S14 compare Kaplan Meier estimates of time to virologic failure and resistance, respectively, between the model and observed data, in the latter case </w:t>
      </w:r>
      <w:r w:rsidR="00FF0C16" w:rsidRPr="009102F0">
        <w:rPr>
          <w:color w:val="000000" w:themeColor="text1"/>
        </w:rPr>
        <w:t xml:space="preserve">data are </w:t>
      </w:r>
      <w:r w:rsidRPr="009102F0">
        <w:rPr>
          <w:color w:val="000000" w:themeColor="text1"/>
        </w:rPr>
        <w:t>from the UK due to the lack of data from sub-Saharan Africa. Figure S15 illustrates the proportion of people with resistance (amongst those on ART with non-suppressed viral load) and corresponds to estimates from the large WHO resistance surveillance.</w:t>
      </w:r>
    </w:p>
    <w:p w14:paraId="2B90979D" w14:textId="4BEFE9A4" w:rsidR="00BA69D5" w:rsidRDefault="00BA69D5">
      <w:pPr>
        <w:rPr>
          <w:i/>
          <w:color w:val="000000" w:themeColor="text1"/>
        </w:rPr>
      </w:pPr>
    </w:p>
    <w:p w14:paraId="735240D8" w14:textId="4F2723AE" w:rsidR="002F13B5" w:rsidRPr="00DC3A0F" w:rsidRDefault="00F04EC1" w:rsidP="00641E66">
      <w:pPr>
        <w:spacing w:line="420" w:lineRule="auto"/>
        <w:rPr>
          <w:i/>
          <w:color w:val="000000" w:themeColor="text1"/>
          <w:sz w:val="28"/>
          <w:szCs w:val="28"/>
        </w:rPr>
      </w:pPr>
      <w:r w:rsidRPr="00DC3A0F">
        <w:rPr>
          <w:i/>
          <w:color w:val="000000" w:themeColor="text1"/>
          <w:sz w:val="28"/>
          <w:szCs w:val="28"/>
        </w:rPr>
        <w:t>Discontinuation</w:t>
      </w:r>
      <w:r w:rsidR="002F13B5" w:rsidRPr="00DC3A0F">
        <w:rPr>
          <w:i/>
          <w:color w:val="000000" w:themeColor="text1"/>
          <w:sz w:val="28"/>
          <w:szCs w:val="28"/>
        </w:rPr>
        <w:t xml:space="preserve"> of ART </w:t>
      </w:r>
    </w:p>
    <w:p w14:paraId="0D569D20" w14:textId="0A9B72FA" w:rsidR="004D7EA7" w:rsidRDefault="001E6029" w:rsidP="00641E66">
      <w:pPr>
        <w:spacing w:line="420" w:lineRule="auto"/>
        <w:rPr>
          <w:color w:val="000000" w:themeColor="text1"/>
        </w:rPr>
      </w:pPr>
      <w:r w:rsidRPr="009102F0">
        <w:rPr>
          <w:color w:val="000000" w:themeColor="text1"/>
        </w:rPr>
        <w:t xml:space="preserve">Within the model, people can simultaneously </w:t>
      </w:r>
      <w:r w:rsidR="006C07C8" w:rsidRPr="009102F0">
        <w:rPr>
          <w:color w:val="000000" w:themeColor="text1"/>
        </w:rPr>
        <w:t>discontinue</w:t>
      </w:r>
      <w:r w:rsidRPr="009102F0">
        <w:rPr>
          <w:color w:val="000000" w:themeColor="text1"/>
        </w:rPr>
        <w:t xml:space="preserve"> ART and disengage from care (</w:t>
      </w:r>
      <w:r w:rsidR="00AA7071">
        <w:rPr>
          <w:color w:val="000000" w:themeColor="text1"/>
        </w:rPr>
        <w:t xml:space="preserve">i.e. they </w:t>
      </w:r>
      <w:r w:rsidRPr="009102F0">
        <w:rPr>
          <w:color w:val="000000" w:themeColor="text1"/>
        </w:rPr>
        <w:t>do</w:t>
      </w:r>
      <w:r w:rsidR="00AA7071">
        <w:rPr>
          <w:color w:val="000000" w:themeColor="text1"/>
        </w:rPr>
        <w:t xml:space="preserve"> no</w:t>
      </w:r>
      <w:r w:rsidRPr="009102F0">
        <w:rPr>
          <w:color w:val="000000" w:themeColor="text1"/>
        </w:rPr>
        <w:t xml:space="preserve">t attend the clinic anymore) or can </w:t>
      </w:r>
      <w:r w:rsidR="006C07C8" w:rsidRPr="009102F0">
        <w:rPr>
          <w:color w:val="000000" w:themeColor="text1"/>
        </w:rPr>
        <w:t>discontinue</w:t>
      </w:r>
      <w:r w:rsidRPr="009102F0">
        <w:rPr>
          <w:color w:val="000000" w:themeColor="text1"/>
        </w:rPr>
        <w:t xml:space="preserve"> ART but still attend clinical vis</w:t>
      </w:r>
      <w:r w:rsidR="006C07C8" w:rsidRPr="009102F0">
        <w:rPr>
          <w:color w:val="000000" w:themeColor="text1"/>
        </w:rPr>
        <w:t>its.  The basic rate of discontinuat</w:t>
      </w:r>
      <w:r w:rsidRPr="009102F0">
        <w:rPr>
          <w:color w:val="000000" w:themeColor="text1"/>
        </w:rPr>
        <w:t xml:space="preserve">ion </w:t>
      </w:r>
      <w:r w:rsidR="00B726B5" w:rsidRPr="009102F0">
        <w:rPr>
          <w:color w:val="000000" w:themeColor="text1"/>
        </w:rPr>
        <w:t xml:space="preserve">(for reasons apart from drug stock-out) </w:t>
      </w:r>
      <w:r w:rsidRPr="009102F0">
        <w:rPr>
          <w:color w:val="000000" w:themeColor="text1"/>
        </w:rPr>
        <w:t xml:space="preserve">is assumed to be 0.02 per </w:t>
      </w:r>
      <w:r w:rsidR="00BA5F55" w:rsidRPr="009102F0">
        <w:rPr>
          <w:color w:val="000000" w:themeColor="text1"/>
        </w:rPr>
        <w:t>3</w:t>
      </w:r>
      <w:r w:rsidRPr="009102F0">
        <w:rPr>
          <w:color w:val="000000" w:themeColor="text1"/>
        </w:rPr>
        <w:t xml:space="preserve"> months; this rate is doubled in people with current toxicity  (note that in addition to this increased risk of </w:t>
      </w:r>
      <w:r w:rsidR="006C07C8" w:rsidRPr="009102F0">
        <w:rPr>
          <w:color w:val="000000" w:themeColor="text1"/>
        </w:rPr>
        <w:t>discontinuation</w:t>
      </w:r>
      <w:r w:rsidRPr="009102F0">
        <w:rPr>
          <w:color w:val="000000" w:themeColor="text1"/>
        </w:rPr>
        <w:t xml:space="preserve"> with current toxicity, there is assumed to be some substitution of drugs causing toxicity with available alternatives and a greater rate of </w:t>
      </w:r>
      <w:r w:rsidR="006C07C8" w:rsidRPr="009102F0">
        <w:rPr>
          <w:color w:val="000000" w:themeColor="text1"/>
        </w:rPr>
        <w:t>discontinuation</w:t>
      </w:r>
      <w:r w:rsidRPr="009102F0">
        <w:rPr>
          <w:color w:val="000000" w:themeColor="text1"/>
        </w:rPr>
        <w:t xml:space="preserve"> in patients with a greater tendency to be non-adherent (1.5-fold if the person’s adherence average is 50 – 79% and 2-fold if their adherence average is &lt; 50%)</w:t>
      </w:r>
      <w:r w:rsidR="009E0D07" w:rsidRPr="009102F0">
        <w:rPr>
          <w:color w:val="000000" w:themeColor="text1"/>
        </w:rPr>
        <w:t xml:space="preserve"> </w:t>
      </w:r>
      <w:r w:rsidR="004D7EA7">
        <w:rPr>
          <w:color w:val="000000" w:themeColor="text1"/>
        </w:rPr>
        <w:t>[40]</w:t>
      </w:r>
      <w:r w:rsidRPr="009102F0">
        <w:rPr>
          <w:color w:val="000000" w:themeColor="text1"/>
        </w:rPr>
        <w:t>.  In a systematic review, drug toxicity, adverse events and side effects have been found to be the most commonly given reasons for dru</w:t>
      </w:r>
      <w:r w:rsidR="004D7EA7">
        <w:rPr>
          <w:color w:val="000000" w:themeColor="text1"/>
        </w:rPr>
        <w:t>g discontinuation [40]</w:t>
      </w:r>
      <w:r w:rsidRPr="009102F0">
        <w:rPr>
          <w:color w:val="000000" w:themeColor="text1"/>
        </w:rPr>
        <w:t>.</w:t>
      </w:r>
    </w:p>
    <w:p w14:paraId="39C9310F" w14:textId="003C3F59" w:rsidR="00924CEA" w:rsidRPr="009102F0" w:rsidRDefault="002F13B5" w:rsidP="00641E66">
      <w:pPr>
        <w:spacing w:line="420" w:lineRule="auto"/>
        <w:rPr>
          <w:color w:val="000000" w:themeColor="text1"/>
        </w:rPr>
      </w:pPr>
      <w:r w:rsidRPr="009102F0">
        <w:rPr>
          <w:color w:val="000000" w:themeColor="text1"/>
        </w:rPr>
        <w:t xml:space="preserve">The rate of </w:t>
      </w:r>
      <w:r w:rsidR="006C07C8" w:rsidRPr="009102F0">
        <w:rPr>
          <w:color w:val="000000" w:themeColor="text1"/>
        </w:rPr>
        <w:t>discontinuation</w:t>
      </w:r>
      <w:r w:rsidRPr="009102F0">
        <w:rPr>
          <w:color w:val="000000" w:themeColor="text1"/>
        </w:rPr>
        <w:t xml:space="preserve"> also reduces with</w:t>
      </w:r>
      <w:r w:rsidR="00E97043" w:rsidRPr="009102F0">
        <w:rPr>
          <w:color w:val="000000" w:themeColor="text1"/>
        </w:rPr>
        <w:t xml:space="preserve"> time on ART, decreasing after 1 year </w:t>
      </w:r>
      <w:r w:rsidR="004D7EA7">
        <w:rPr>
          <w:color w:val="000000" w:themeColor="text1"/>
        </w:rPr>
        <w:t>[41-43]</w:t>
      </w:r>
      <w:r w:rsidRPr="009102F0">
        <w:rPr>
          <w:color w:val="000000" w:themeColor="text1"/>
        </w:rPr>
        <w:t xml:space="preserve">.   If </w:t>
      </w:r>
      <w:r w:rsidR="00E97043" w:rsidRPr="009102F0">
        <w:rPr>
          <w:color w:val="000000" w:themeColor="text1"/>
        </w:rPr>
        <w:t xml:space="preserve">the person’s </w:t>
      </w:r>
      <w:r w:rsidR="00543923" w:rsidRPr="009102F0">
        <w:rPr>
          <w:color w:val="000000" w:themeColor="text1"/>
        </w:rPr>
        <w:t xml:space="preserve">average </w:t>
      </w:r>
      <w:r w:rsidRPr="009102F0">
        <w:rPr>
          <w:color w:val="000000" w:themeColor="text1"/>
        </w:rPr>
        <w:t xml:space="preserve">adherence </w:t>
      </w:r>
      <w:r w:rsidR="00E97043" w:rsidRPr="009102F0">
        <w:rPr>
          <w:color w:val="000000" w:themeColor="text1"/>
        </w:rPr>
        <w:t xml:space="preserve">is </w:t>
      </w:r>
      <w:r w:rsidRPr="009102F0">
        <w:rPr>
          <w:color w:val="000000" w:themeColor="text1"/>
        </w:rPr>
        <w:t xml:space="preserve">&gt; 80% then there is a 30% chance that </w:t>
      </w:r>
      <w:r w:rsidR="006C07C8" w:rsidRPr="009102F0">
        <w:rPr>
          <w:color w:val="000000" w:themeColor="text1"/>
        </w:rPr>
        <w:t>discontinuation</w:t>
      </w:r>
      <w:r w:rsidRPr="009102F0">
        <w:rPr>
          <w:color w:val="000000" w:themeColor="text1"/>
        </w:rPr>
        <w:t xml:space="preserve"> coincides with stopping visits to the clinic, if </w:t>
      </w:r>
      <w:r w:rsidR="0078005B" w:rsidRPr="009102F0">
        <w:rPr>
          <w:color w:val="000000" w:themeColor="text1"/>
        </w:rPr>
        <w:t xml:space="preserve">the long term average adherence is </w:t>
      </w:r>
      <w:r w:rsidRPr="009102F0">
        <w:rPr>
          <w:color w:val="000000" w:themeColor="text1"/>
        </w:rPr>
        <w:t>50</w:t>
      </w:r>
      <w:r w:rsidR="0078005B" w:rsidRPr="009102F0">
        <w:rPr>
          <w:color w:val="000000" w:themeColor="text1"/>
        </w:rPr>
        <w:t>%-</w:t>
      </w:r>
      <w:r w:rsidRPr="009102F0">
        <w:rPr>
          <w:color w:val="000000" w:themeColor="text1"/>
        </w:rPr>
        <w:t xml:space="preserve">80% then </w:t>
      </w:r>
      <w:r w:rsidR="0078005B" w:rsidRPr="009102F0">
        <w:rPr>
          <w:color w:val="000000" w:themeColor="text1"/>
        </w:rPr>
        <w:t xml:space="preserve">there is a </w:t>
      </w:r>
      <w:r w:rsidRPr="009102F0">
        <w:rPr>
          <w:color w:val="000000" w:themeColor="text1"/>
        </w:rPr>
        <w:t xml:space="preserve">45% chance, </w:t>
      </w:r>
      <w:r w:rsidR="002A03E4" w:rsidRPr="009102F0">
        <w:rPr>
          <w:color w:val="000000" w:themeColor="text1"/>
        </w:rPr>
        <w:t xml:space="preserve">and </w:t>
      </w:r>
      <w:r w:rsidRPr="009102F0">
        <w:rPr>
          <w:color w:val="000000" w:themeColor="text1"/>
        </w:rPr>
        <w:t xml:space="preserve">if </w:t>
      </w:r>
      <w:r w:rsidR="0078005B" w:rsidRPr="009102F0">
        <w:rPr>
          <w:color w:val="000000" w:themeColor="text1"/>
        </w:rPr>
        <w:t>the long term average adherence is</w:t>
      </w:r>
      <w:r w:rsidRPr="009102F0">
        <w:rPr>
          <w:color w:val="000000" w:themeColor="text1"/>
        </w:rPr>
        <w:t xml:space="preserve"> &lt; 50% then </w:t>
      </w:r>
      <w:r w:rsidR="0078005B" w:rsidRPr="009102F0">
        <w:rPr>
          <w:color w:val="000000" w:themeColor="text1"/>
        </w:rPr>
        <w:t xml:space="preserve">there is a </w:t>
      </w:r>
      <w:r w:rsidRPr="009102F0">
        <w:rPr>
          <w:color w:val="000000" w:themeColor="text1"/>
        </w:rPr>
        <w:t xml:space="preserve">60% chance.   This is due to an assumption that factors leading to poor adherence are also likely to be associated with </w:t>
      </w:r>
      <w:r w:rsidR="00BB3C15" w:rsidRPr="009102F0">
        <w:rPr>
          <w:color w:val="000000" w:themeColor="text1"/>
        </w:rPr>
        <w:t>disengagement from care</w:t>
      </w:r>
      <w:r w:rsidRPr="009102F0">
        <w:rPr>
          <w:color w:val="000000" w:themeColor="text1"/>
        </w:rPr>
        <w:t xml:space="preserve">.    The rate of </w:t>
      </w:r>
      <w:r w:rsidR="006C07C8" w:rsidRPr="009102F0">
        <w:rPr>
          <w:color w:val="000000" w:themeColor="text1"/>
        </w:rPr>
        <w:t>discontinuation</w:t>
      </w:r>
      <w:r w:rsidRPr="009102F0">
        <w:rPr>
          <w:color w:val="000000" w:themeColor="text1"/>
        </w:rPr>
        <w:t xml:space="preserve"> and disengagement </w:t>
      </w:r>
      <w:r w:rsidR="00BB3C15" w:rsidRPr="009102F0">
        <w:rPr>
          <w:color w:val="000000" w:themeColor="text1"/>
        </w:rPr>
        <w:t>from</w:t>
      </w:r>
      <w:r w:rsidRPr="009102F0">
        <w:rPr>
          <w:color w:val="000000" w:themeColor="text1"/>
        </w:rPr>
        <w:t xml:space="preserve"> care is likely to vary by setting.  Figure S16 shows a comparison between modelled and observed (from a study by Kranzer et al. </w:t>
      </w:r>
      <w:r w:rsidR="008C0342">
        <w:rPr>
          <w:color w:val="000000" w:themeColor="text1"/>
        </w:rPr>
        <w:t>[42</w:t>
      </w:r>
      <w:r w:rsidR="004D7EA7">
        <w:rPr>
          <w:color w:val="000000" w:themeColor="text1"/>
        </w:rPr>
        <w:t>]</w:t>
      </w:r>
      <w:r w:rsidR="00444ED5">
        <w:rPr>
          <w:color w:val="000000" w:themeColor="text1"/>
        </w:rPr>
        <w:t xml:space="preserve"> of</w:t>
      </w:r>
      <w:r w:rsidR="0005397D" w:rsidRPr="009102F0">
        <w:rPr>
          <w:color w:val="000000" w:themeColor="text1"/>
        </w:rPr>
        <w:t xml:space="preserve"> </w:t>
      </w:r>
      <w:r w:rsidRPr="009102F0">
        <w:rPr>
          <w:color w:val="000000" w:themeColor="text1"/>
        </w:rPr>
        <w:t>Kaplan Meier estimates of the percent of people having discontinued ART by time from ART initiation.</w:t>
      </w:r>
      <w:r w:rsidR="00E97043" w:rsidRPr="009102F0">
        <w:rPr>
          <w:color w:val="000000" w:themeColor="text1"/>
        </w:rPr>
        <w:t xml:space="preserve">  </w:t>
      </w:r>
      <w:r w:rsidR="006C07C8" w:rsidRPr="009102F0">
        <w:rPr>
          <w:color w:val="000000" w:themeColor="text1"/>
        </w:rPr>
        <w:t>Discontinuation</w:t>
      </w:r>
      <w:r w:rsidR="00E97043" w:rsidRPr="009102F0">
        <w:rPr>
          <w:color w:val="000000" w:themeColor="text1"/>
        </w:rPr>
        <w:t xml:space="preserve"> of ART leads to return of viral load</w:t>
      </w:r>
      <w:r w:rsidR="00924CEA" w:rsidRPr="009102F0">
        <w:rPr>
          <w:color w:val="000000" w:themeColor="text1"/>
        </w:rPr>
        <w:t xml:space="preserve"> to </w:t>
      </w:r>
      <w:r w:rsidR="00E97043" w:rsidRPr="009102F0">
        <w:rPr>
          <w:color w:val="000000" w:themeColor="text1"/>
        </w:rPr>
        <w:t xml:space="preserve">the pre-ART maximum </w:t>
      </w:r>
      <w:r w:rsidR="00924CEA" w:rsidRPr="009102F0">
        <w:rPr>
          <w:color w:val="000000" w:themeColor="text1"/>
        </w:rPr>
        <w:t xml:space="preserve">and </w:t>
      </w:r>
      <w:r w:rsidR="00E97043" w:rsidRPr="009102F0">
        <w:rPr>
          <w:color w:val="000000" w:themeColor="text1"/>
        </w:rPr>
        <w:t xml:space="preserve">a </w:t>
      </w:r>
      <w:r w:rsidR="00924CEA" w:rsidRPr="009102F0">
        <w:rPr>
          <w:color w:val="000000" w:themeColor="text1"/>
        </w:rPr>
        <w:t xml:space="preserve">relatively rapid CD4 return of CD4 towards </w:t>
      </w:r>
      <w:r w:rsidR="004D7EA7">
        <w:rPr>
          <w:color w:val="000000" w:themeColor="text1"/>
        </w:rPr>
        <w:t>pre-ART value [4</w:t>
      </w:r>
      <w:r w:rsidR="008C0342">
        <w:rPr>
          <w:color w:val="000000" w:themeColor="text1"/>
        </w:rPr>
        <w:t>4</w:t>
      </w:r>
      <w:r w:rsidR="004D7EA7">
        <w:rPr>
          <w:color w:val="000000" w:themeColor="text1"/>
        </w:rPr>
        <w:t>]</w:t>
      </w:r>
      <w:r w:rsidR="00924CEA" w:rsidRPr="009102F0">
        <w:rPr>
          <w:color w:val="000000" w:themeColor="text1"/>
        </w:rPr>
        <w:t>.</w:t>
      </w:r>
    </w:p>
    <w:p w14:paraId="2256E1CC" w14:textId="77777777" w:rsidR="00444ED5" w:rsidRDefault="00444ED5" w:rsidP="00641E66">
      <w:pPr>
        <w:spacing w:line="420" w:lineRule="auto"/>
        <w:rPr>
          <w:i/>
          <w:sz w:val="28"/>
          <w:szCs w:val="28"/>
        </w:rPr>
      </w:pPr>
    </w:p>
    <w:p w14:paraId="766BE383" w14:textId="77777777" w:rsidR="00632187" w:rsidRPr="00DC3A0F" w:rsidRDefault="00D8285B" w:rsidP="00641E66">
      <w:pPr>
        <w:spacing w:line="420" w:lineRule="auto"/>
        <w:rPr>
          <w:i/>
          <w:sz w:val="28"/>
          <w:szCs w:val="28"/>
        </w:rPr>
      </w:pPr>
      <w:r w:rsidRPr="00DC3A0F">
        <w:rPr>
          <w:i/>
          <w:sz w:val="28"/>
          <w:szCs w:val="28"/>
        </w:rPr>
        <w:t xml:space="preserve">Setting and intervention </w:t>
      </w:r>
      <w:r w:rsidR="005C4601" w:rsidRPr="00DC3A0F">
        <w:rPr>
          <w:i/>
          <w:sz w:val="28"/>
          <w:szCs w:val="28"/>
        </w:rPr>
        <w:t>targeting</w:t>
      </w:r>
      <w:r w:rsidR="007A0852" w:rsidRPr="00DC3A0F">
        <w:rPr>
          <w:i/>
          <w:sz w:val="28"/>
          <w:szCs w:val="28"/>
        </w:rPr>
        <w:t xml:space="preserve"> and effect</w:t>
      </w:r>
    </w:p>
    <w:p w14:paraId="24041B57" w14:textId="0ACCA17C" w:rsidR="00217225" w:rsidRDefault="00D8285B" w:rsidP="00641E66">
      <w:pPr>
        <w:spacing w:line="420" w:lineRule="auto"/>
      </w:pPr>
      <w:r w:rsidRPr="009102F0">
        <w:t>We assume the</w:t>
      </w:r>
      <w:r w:rsidR="00DA5F9A" w:rsidRPr="009102F0">
        <w:t xml:space="preserve"> adherence monitoring</w:t>
      </w:r>
      <w:r w:rsidRPr="009102F0">
        <w:t xml:space="preserve"> intervention is introduced in 2017 in the example setting of Zimbabwe. </w:t>
      </w:r>
      <w:r w:rsidR="006E399D" w:rsidRPr="009102F0">
        <w:t xml:space="preserve"> </w:t>
      </w:r>
      <w:r w:rsidR="00450E4B" w:rsidRPr="009102F0">
        <w:t>The effect of any given adherence intervention</w:t>
      </w:r>
      <w:r w:rsidR="00450E4B">
        <w:t xml:space="preserve"> (Table 1) is</w:t>
      </w:r>
      <w:r w:rsidR="00450E4B" w:rsidRPr="009102F0">
        <w:t xml:space="preserve"> modelled as effects on one or more of the following three elements: (i) e</w:t>
      </w:r>
      <w:r w:rsidR="00450E4B" w:rsidRPr="009102F0">
        <w:rPr>
          <w:i/>
        </w:rPr>
        <w:t>nhanced average adherence when on ART -</w:t>
      </w:r>
      <w:r w:rsidR="00450E4B" w:rsidRPr="009102F0">
        <w:t xml:space="preserve"> implemented as a change in adherence to 95% for individuals in whom intervention is currently effective; (ii) r</w:t>
      </w:r>
      <w:r w:rsidR="00450E4B" w:rsidRPr="009102F0">
        <w:rPr>
          <w:i/>
        </w:rPr>
        <w:t>educed risk of ART discontinuation -</w:t>
      </w:r>
      <w:r w:rsidR="00450E4B" w:rsidRPr="009102F0">
        <w:t xml:space="preserve"> implemented as a 75% reduction in risk of discontinuation for individuals in whom intervention is currently effective; (iii) r</w:t>
      </w:r>
      <w:r w:rsidR="00450E4B" w:rsidRPr="009102F0">
        <w:rPr>
          <w:i/>
        </w:rPr>
        <w:t xml:space="preserve">educed risk of resistance acquisition - </w:t>
      </w:r>
      <w:r w:rsidR="00450E4B" w:rsidRPr="009102F0">
        <w:t xml:space="preserve">implemented as a 50% lower risk of resistance for individuals in whom intervention is currently effective.  In each case this represents a large effect at the individual level - the overall effect of the intervention is then determined by the percent of people in whom the intervention is effective.   </w:t>
      </w:r>
      <w:r w:rsidR="00E95E43" w:rsidRPr="009102F0">
        <w:t>We consider scenarios in which the adherence intervention is effective in 20%, 50% or 80% of people to whom it is applied.</w:t>
      </w:r>
      <w:r w:rsidR="0039491A" w:rsidRPr="009102F0">
        <w:t xml:space="preserve"> </w:t>
      </w:r>
      <w:r w:rsidR="00CF4CFA" w:rsidRPr="009102F0">
        <w:t xml:space="preserve"> </w:t>
      </w:r>
      <w:r w:rsidR="00450E4B" w:rsidRPr="009102F0">
        <w:t>We consider that the intervention has potential effects for all people on ART, including those who have high average adherence (e.g. by potentially reducing the risk of discontinuation)</w:t>
      </w:r>
      <w:r w:rsidR="00450E4B">
        <w:t xml:space="preserve">.  </w:t>
      </w:r>
      <w:r w:rsidR="00CF4CFA" w:rsidRPr="009102F0">
        <w:t xml:space="preserve">The </w:t>
      </w:r>
      <w:r w:rsidR="00144DDD" w:rsidRPr="009102F0">
        <w:t xml:space="preserve">intervention </w:t>
      </w:r>
      <w:r w:rsidR="00CF4CFA" w:rsidRPr="009102F0">
        <w:t xml:space="preserve">effect is considered to be </w:t>
      </w:r>
      <w:r w:rsidR="00A80030" w:rsidRPr="009102F0">
        <w:t>durable for up to the full 2</w:t>
      </w:r>
      <w:r w:rsidR="00CF4CFA" w:rsidRPr="009102F0">
        <w:t>0 year time horizon that we consider, although a shorter duration of effect (1 year) is c</w:t>
      </w:r>
      <w:r w:rsidR="00E76818" w:rsidRPr="009102F0">
        <w:t>onsidered in sensitivity analyse</w:t>
      </w:r>
      <w:r w:rsidR="00CF4CFA" w:rsidRPr="009102F0">
        <w:t xml:space="preserve">s.  </w:t>
      </w:r>
      <w:r w:rsidR="0039491A" w:rsidRPr="009102F0">
        <w:t xml:space="preserve"> </w:t>
      </w:r>
    </w:p>
    <w:p w14:paraId="094F7AA3" w14:textId="30055CEE" w:rsidR="00641E66" w:rsidRDefault="00641E66">
      <w:r>
        <w:br w:type="page"/>
      </w:r>
    </w:p>
    <w:p w14:paraId="7B189B29" w14:textId="77777777" w:rsidR="00641E66" w:rsidRPr="009102F0" w:rsidRDefault="00641E66" w:rsidP="00641E66">
      <w:pPr>
        <w:spacing w:after="0"/>
        <w:rPr>
          <w:sz w:val="20"/>
          <w:szCs w:val="20"/>
        </w:rPr>
      </w:pPr>
      <w:r w:rsidRPr="009102F0">
        <w:rPr>
          <w:b/>
          <w:color w:val="A50021"/>
        </w:rPr>
        <w:t>Table 1.</w:t>
      </w:r>
      <w:r w:rsidRPr="009102F0">
        <w:rPr>
          <w:color w:val="A50021"/>
        </w:rPr>
        <w:t xml:space="preserve">  </w:t>
      </w:r>
      <w:r w:rsidRPr="009102F0">
        <w:rPr>
          <w:sz w:val="20"/>
          <w:szCs w:val="20"/>
        </w:rPr>
        <w:t>Modelled intervention effects in individuals in whom adherence monitoring intervention is currently effective.  In each case, this represents a large effect at the individual level - the overall effect of the intervention is then determined by the percent of people in whom the intervention is effective</w:t>
      </w:r>
    </w:p>
    <w:p w14:paraId="7A056F73" w14:textId="77777777" w:rsidR="00641E66" w:rsidRPr="009102F0" w:rsidRDefault="00641E66" w:rsidP="00641E66"/>
    <w:tbl>
      <w:tblPr>
        <w:tblStyle w:val="TableGrid"/>
        <w:tblW w:w="0" w:type="auto"/>
        <w:tblLook w:val="04A0" w:firstRow="1" w:lastRow="0" w:firstColumn="1" w:lastColumn="0" w:noHBand="0" w:noVBand="1"/>
      </w:tblPr>
      <w:tblGrid>
        <w:gridCol w:w="3005"/>
        <w:gridCol w:w="3005"/>
        <w:gridCol w:w="3006"/>
      </w:tblGrid>
      <w:tr w:rsidR="00641E66" w:rsidRPr="009102F0" w14:paraId="2EBCB753" w14:textId="77777777" w:rsidTr="0073510C">
        <w:trPr>
          <w:trHeight w:val="770"/>
        </w:trPr>
        <w:tc>
          <w:tcPr>
            <w:tcW w:w="3005" w:type="dxa"/>
          </w:tcPr>
          <w:p w14:paraId="3D917CD9" w14:textId="77777777" w:rsidR="00641E66" w:rsidRPr="009102F0" w:rsidRDefault="00641E66" w:rsidP="0073510C">
            <w:pPr>
              <w:rPr>
                <w:b/>
                <w:sz w:val="18"/>
                <w:szCs w:val="18"/>
              </w:rPr>
            </w:pPr>
            <w:r w:rsidRPr="009102F0">
              <w:rPr>
                <w:b/>
                <w:sz w:val="18"/>
                <w:szCs w:val="18"/>
              </w:rPr>
              <w:t>Parameter potentially influenced by adherence intervention</w:t>
            </w:r>
          </w:p>
        </w:tc>
        <w:tc>
          <w:tcPr>
            <w:tcW w:w="3005" w:type="dxa"/>
          </w:tcPr>
          <w:p w14:paraId="116F643B" w14:textId="77777777" w:rsidR="00641E66" w:rsidRPr="009102F0" w:rsidRDefault="00641E66" w:rsidP="0073510C">
            <w:pPr>
              <w:rPr>
                <w:b/>
                <w:sz w:val="18"/>
                <w:szCs w:val="18"/>
              </w:rPr>
            </w:pPr>
            <w:r w:rsidRPr="009102F0">
              <w:rPr>
                <w:b/>
                <w:sz w:val="18"/>
                <w:szCs w:val="18"/>
              </w:rPr>
              <w:t>Value for parameter in absence of intervention</w:t>
            </w:r>
          </w:p>
        </w:tc>
        <w:tc>
          <w:tcPr>
            <w:tcW w:w="3006" w:type="dxa"/>
          </w:tcPr>
          <w:p w14:paraId="7964E546" w14:textId="77777777" w:rsidR="00641E66" w:rsidRPr="009102F0" w:rsidRDefault="00641E66" w:rsidP="0073510C">
            <w:pPr>
              <w:rPr>
                <w:sz w:val="18"/>
                <w:szCs w:val="18"/>
              </w:rPr>
            </w:pPr>
            <w:r w:rsidRPr="009102F0">
              <w:rPr>
                <w:b/>
                <w:sz w:val="18"/>
                <w:szCs w:val="18"/>
              </w:rPr>
              <w:t>Intervention effect</w:t>
            </w:r>
          </w:p>
        </w:tc>
      </w:tr>
      <w:tr w:rsidR="00641E66" w:rsidRPr="009102F0" w14:paraId="651F7877" w14:textId="77777777" w:rsidTr="0073510C">
        <w:tc>
          <w:tcPr>
            <w:tcW w:w="3005" w:type="dxa"/>
          </w:tcPr>
          <w:p w14:paraId="18D1BF99" w14:textId="77777777" w:rsidR="00641E66" w:rsidRPr="009102F0" w:rsidRDefault="00641E66" w:rsidP="0073510C">
            <w:pPr>
              <w:rPr>
                <w:sz w:val="18"/>
                <w:szCs w:val="18"/>
              </w:rPr>
            </w:pPr>
            <w:r w:rsidRPr="009102F0">
              <w:rPr>
                <w:sz w:val="18"/>
                <w:szCs w:val="18"/>
              </w:rPr>
              <w:t xml:space="preserve">Distribution of average adherence when on ART (each person’s underling tendency to adhere).  * and see Figure 1. </w:t>
            </w:r>
          </w:p>
          <w:p w14:paraId="41B01F42" w14:textId="77777777" w:rsidR="00641E66" w:rsidRPr="009102F0" w:rsidRDefault="00641E66" w:rsidP="0073510C">
            <w:pPr>
              <w:rPr>
                <w:sz w:val="18"/>
                <w:szCs w:val="18"/>
              </w:rPr>
            </w:pPr>
          </w:p>
        </w:tc>
        <w:tc>
          <w:tcPr>
            <w:tcW w:w="3005" w:type="dxa"/>
          </w:tcPr>
          <w:p w14:paraId="1CABF62E" w14:textId="77777777" w:rsidR="00641E66" w:rsidRPr="009102F0" w:rsidRDefault="00641E66" w:rsidP="0073510C">
            <w:pPr>
              <w:rPr>
                <w:sz w:val="18"/>
                <w:szCs w:val="18"/>
              </w:rPr>
            </w:pPr>
            <w:r w:rsidRPr="009102F0">
              <w:rPr>
                <w:sz w:val="18"/>
                <w:szCs w:val="18"/>
              </w:rPr>
              <w:t xml:space="preserve">5% of the population have long term average adherence 10%, period-to-period variability (standard deviation = 20%) </w:t>
            </w:r>
          </w:p>
          <w:p w14:paraId="0C0FF5F7" w14:textId="77777777" w:rsidR="00641E66" w:rsidRPr="009102F0" w:rsidRDefault="00641E66" w:rsidP="0073510C">
            <w:pPr>
              <w:rPr>
                <w:sz w:val="18"/>
                <w:szCs w:val="18"/>
              </w:rPr>
            </w:pPr>
          </w:p>
          <w:p w14:paraId="5B5BC17F" w14:textId="77777777" w:rsidR="00641E66" w:rsidRPr="009102F0" w:rsidRDefault="00641E66" w:rsidP="0073510C">
            <w:pPr>
              <w:rPr>
                <w:sz w:val="18"/>
                <w:szCs w:val="18"/>
              </w:rPr>
            </w:pPr>
            <w:r w:rsidRPr="009102F0">
              <w:rPr>
                <w:sz w:val="18"/>
                <w:szCs w:val="18"/>
              </w:rPr>
              <w:t xml:space="preserve">10% of the population have long term average adherence 80%, period-to-period variability (standard deviation = 20%) </w:t>
            </w:r>
          </w:p>
          <w:p w14:paraId="6A1B0AE3" w14:textId="77777777" w:rsidR="00641E66" w:rsidRPr="009102F0" w:rsidRDefault="00641E66" w:rsidP="0073510C">
            <w:pPr>
              <w:rPr>
                <w:sz w:val="18"/>
                <w:szCs w:val="18"/>
              </w:rPr>
            </w:pPr>
          </w:p>
          <w:p w14:paraId="2A7D99EE" w14:textId="77777777" w:rsidR="00641E66" w:rsidRPr="009102F0" w:rsidRDefault="00641E66" w:rsidP="0073510C">
            <w:pPr>
              <w:rPr>
                <w:sz w:val="18"/>
                <w:szCs w:val="18"/>
              </w:rPr>
            </w:pPr>
            <w:r w:rsidRPr="009102F0">
              <w:rPr>
                <w:sz w:val="18"/>
                <w:szCs w:val="18"/>
              </w:rPr>
              <w:t xml:space="preserve">65% of the population have long term average adherence 90%, period-to-period variability (standard deviation = 5%) </w:t>
            </w:r>
          </w:p>
          <w:p w14:paraId="2F8715C8" w14:textId="77777777" w:rsidR="00641E66" w:rsidRPr="009102F0" w:rsidRDefault="00641E66" w:rsidP="0073510C">
            <w:pPr>
              <w:rPr>
                <w:sz w:val="18"/>
                <w:szCs w:val="18"/>
              </w:rPr>
            </w:pPr>
          </w:p>
          <w:p w14:paraId="6C5B56B8" w14:textId="77777777" w:rsidR="00641E66" w:rsidRPr="009102F0" w:rsidRDefault="00641E66" w:rsidP="0073510C">
            <w:pPr>
              <w:rPr>
                <w:b/>
                <w:sz w:val="18"/>
                <w:szCs w:val="18"/>
              </w:rPr>
            </w:pPr>
          </w:p>
          <w:p w14:paraId="071AD279" w14:textId="77777777" w:rsidR="00641E66" w:rsidRPr="009102F0" w:rsidRDefault="00641E66" w:rsidP="0073510C">
            <w:pPr>
              <w:rPr>
                <w:sz w:val="18"/>
                <w:szCs w:val="18"/>
              </w:rPr>
            </w:pPr>
            <w:r w:rsidRPr="009102F0">
              <w:rPr>
                <w:sz w:val="18"/>
                <w:szCs w:val="18"/>
              </w:rPr>
              <w:t xml:space="preserve">20% of the population have long term average adherence 95%, period-to-period variability (standard deviation = 5%) </w:t>
            </w:r>
          </w:p>
          <w:p w14:paraId="2B0928BA" w14:textId="77777777" w:rsidR="00641E66" w:rsidRPr="009102F0" w:rsidRDefault="00641E66" w:rsidP="0073510C">
            <w:pPr>
              <w:rPr>
                <w:sz w:val="18"/>
                <w:szCs w:val="18"/>
              </w:rPr>
            </w:pPr>
            <w:r w:rsidRPr="009102F0">
              <w:rPr>
                <w:sz w:val="18"/>
                <w:szCs w:val="18"/>
              </w:rPr>
              <w:t xml:space="preserve"> </w:t>
            </w:r>
          </w:p>
        </w:tc>
        <w:tc>
          <w:tcPr>
            <w:tcW w:w="3006" w:type="dxa"/>
          </w:tcPr>
          <w:p w14:paraId="196C26F6" w14:textId="77777777" w:rsidR="00641E66" w:rsidRPr="009102F0" w:rsidRDefault="00641E66" w:rsidP="0073510C">
            <w:pPr>
              <w:rPr>
                <w:sz w:val="18"/>
                <w:szCs w:val="18"/>
              </w:rPr>
            </w:pPr>
            <w:r w:rsidRPr="009102F0">
              <w:rPr>
                <w:sz w:val="18"/>
                <w:szCs w:val="18"/>
              </w:rPr>
              <w:t>Change in adherence to 95% for individuals in whom intervention is currently effective.</w:t>
            </w:r>
          </w:p>
        </w:tc>
      </w:tr>
      <w:tr w:rsidR="00641E66" w:rsidRPr="009102F0" w14:paraId="0C7AC4FB" w14:textId="77777777" w:rsidTr="0073510C">
        <w:tc>
          <w:tcPr>
            <w:tcW w:w="3005" w:type="dxa"/>
          </w:tcPr>
          <w:p w14:paraId="035D69EA" w14:textId="77777777" w:rsidR="00641E66" w:rsidRPr="009102F0" w:rsidRDefault="00641E66" w:rsidP="0073510C">
            <w:pPr>
              <w:rPr>
                <w:sz w:val="18"/>
                <w:szCs w:val="18"/>
              </w:rPr>
            </w:pPr>
            <w:r w:rsidRPr="009102F0">
              <w:rPr>
                <w:sz w:val="18"/>
                <w:szCs w:val="18"/>
              </w:rPr>
              <w:t>Risk of ART discontinuation</w:t>
            </w:r>
          </w:p>
          <w:p w14:paraId="31B4F313" w14:textId="77777777" w:rsidR="00641E66" w:rsidRPr="009102F0" w:rsidRDefault="00641E66" w:rsidP="0073510C">
            <w:pPr>
              <w:rPr>
                <w:sz w:val="18"/>
                <w:szCs w:val="18"/>
              </w:rPr>
            </w:pPr>
          </w:p>
        </w:tc>
        <w:tc>
          <w:tcPr>
            <w:tcW w:w="3005" w:type="dxa"/>
          </w:tcPr>
          <w:p w14:paraId="05DDFB2B" w14:textId="77777777" w:rsidR="00641E66" w:rsidRPr="009102F0" w:rsidRDefault="00641E66" w:rsidP="0073510C">
            <w:pPr>
              <w:rPr>
                <w:sz w:val="18"/>
                <w:szCs w:val="18"/>
              </w:rPr>
            </w:pPr>
            <w:r w:rsidRPr="009102F0">
              <w:rPr>
                <w:sz w:val="18"/>
                <w:szCs w:val="18"/>
              </w:rPr>
              <w:t xml:space="preserve">Rate of 0.02 per 3 months (with higher rate in those with ART toxicity and those with lower underlying tendency to adhere) </w:t>
            </w:r>
          </w:p>
        </w:tc>
        <w:tc>
          <w:tcPr>
            <w:tcW w:w="3006" w:type="dxa"/>
          </w:tcPr>
          <w:p w14:paraId="2FF95D3D" w14:textId="77777777" w:rsidR="00641E66" w:rsidRPr="009102F0" w:rsidRDefault="00641E66" w:rsidP="0073510C">
            <w:pPr>
              <w:rPr>
                <w:sz w:val="18"/>
                <w:szCs w:val="18"/>
              </w:rPr>
            </w:pPr>
            <w:r w:rsidRPr="009102F0">
              <w:rPr>
                <w:sz w:val="18"/>
                <w:szCs w:val="18"/>
              </w:rPr>
              <w:t>75% decline in rate of risk of discontinuation (to 0.005) per 3 months for individuals in whom intervention is currently effective.</w:t>
            </w:r>
          </w:p>
        </w:tc>
      </w:tr>
      <w:tr w:rsidR="00641E66" w:rsidRPr="009102F0" w14:paraId="34612188" w14:textId="77777777" w:rsidTr="0073510C">
        <w:tc>
          <w:tcPr>
            <w:tcW w:w="3005" w:type="dxa"/>
          </w:tcPr>
          <w:p w14:paraId="5CE3802A" w14:textId="77777777" w:rsidR="00641E66" w:rsidRPr="009102F0" w:rsidRDefault="00641E66" w:rsidP="0073510C">
            <w:pPr>
              <w:rPr>
                <w:sz w:val="18"/>
                <w:szCs w:val="18"/>
              </w:rPr>
            </w:pPr>
            <w:r w:rsidRPr="009102F0">
              <w:rPr>
                <w:sz w:val="18"/>
                <w:szCs w:val="18"/>
              </w:rPr>
              <w:t>Risk of resistance acquisition</w:t>
            </w:r>
          </w:p>
          <w:p w14:paraId="1EB8A0D4" w14:textId="77777777" w:rsidR="00641E66" w:rsidRPr="009102F0" w:rsidRDefault="00641E66" w:rsidP="0073510C">
            <w:pPr>
              <w:rPr>
                <w:sz w:val="18"/>
                <w:szCs w:val="18"/>
              </w:rPr>
            </w:pPr>
          </w:p>
        </w:tc>
        <w:tc>
          <w:tcPr>
            <w:tcW w:w="3005" w:type="dxa"/>
          </w:tcPr>
          <w:p w14:paraId="2BFEA921" w14:textId="77777777" w:rsidR="00641E66" w:rsidRPr="009102F0" w:rsidRDefault="00641E66" w:rsidP="0073510C">
            <w:pPr>
              <w:rPr>
                <w:sz w:val="18"/>
                <w:szCs w:val="18"/>
              </w:rPr>
            </w:pPr>
            <w:r w:rsidRPr="009102F0">
              <w:rPr>
                <w:sz w:val="18"/>
                <w:szCs w:val="18"/>
              </w:rPr>
              <w:t>Dependent on current adherence, current number of active drugs, current viral load (Details in appendix)</w:t>
            </w:r>
          </w:p>
        </w:tc>
        <w:tc>
          <w:tcPr>
            <w:tcW w:w="3006" w:type="dxa"/>
          </w:tcPr>
          <w:p w14:paraId="63AB0EBC" w14:textId="77777777" w:rsidR="00641E66" w:rsidRPr="009102F0" w:rsidRDefault="00641E66" w:rsidP="0073510C">
            <w:pPr>
              <w:rPr>
                <w:sz w:val="18"/>
                <w:szCs w:val="18"/>
              </w:rPr>
            </w:pPr>
            <w:r w:rsidRPr="009102F0">
              <w:rPr>
                <w:sz w:val="18"/>
                <w:szCs w:val="18"/>
              </w:rPr>
              <w:t>50% lower risk of resistance for individuals in whom intervention is currently effective.</w:t>
            </w:r>
          </w:p>
        </w:tc>
      </w:tr>
    </w:tbl>
    <w:p w14:paraId="0D503314" w14:textId="77777777" w:rsidR="00641E66" w:rsidRPr="009102F0" w:rsidRDefault="00641E66" w:rsidP="00641E66">
      <w:pPr>
        <w:spacing w:before="120" w:after="0" w:line="240" w:lineRule="auto"/>
        <w:rPr>
          <w:sz w:val="18"/>
          <w:szCs w:val="18"/>
        </w:rPr>
      </w:pPr>
      <w:r w:rsidRPr="009102F0">
        <w:rPr>
          <w:sz w:val="18"/>
          <w:szCs w:val="18"/>
        </w:rPr>
        <w:t xml:space="preserve">*  adherence in each 3 month period is determined by the person’s underlying tendency to adhere (which is a lifelong value, unless changed as a result of an adherence intervention) with within-person period-to-period variability.  The within person variability is also a lifelong value.  Adherence is also influenced by (i) current toxicity (current ADC) (ii) start second line (iii) viral load measurement &gt; 1000 copies/mL.  This distribution of adherence patterns is chosen on the basis of data on adherence and on patterns on virologic failure in people followed on ART.  Details in Supplementary Materials.  </w:t>
      </w:r>
    </w:p>
    <w:p w14:paraId="58C4437B" w14:textId="77777777" w:rsidR="00641E66" w:rsidRPr="009102F0" w:rsidRDefault="00641E66" w:rsidP="00641E66"/>
    <w:p w14:paraId="4C99B118" w14:textId="77777777" w:rsidR="00D90677" w:rsidRPr="00DC3A0F" w:rsidRDefault="00D90677" w:rsidP="00641E66">
      <w:pPr>
        <w:spacing w:line="420" w:lineRule="auto"/>
        <w:rPr>
          <w:i/>
          <w:sz w:val="28"/>
          <w:szCs w:val="28"/>
        </w:rPr>
      </w:pPr>
      <w:r w:rsidRPr="00DC3A0F">
        <w:rPr>
          <w:i/>
          <w:sz w:val="28"/>
          <w:szCs w:val="28"/>
        </w:rPr>
        <w:t>ART monitoring strategy</w:t>
      </w:r>
    </w:p>
    <w:p w14:paraId="3F2BD36A" w14:textId="3E5507A3" w:rsidR="00494C87" w:rsidRPr="009102F0" w:rsidRDefault="00D90677" w:rsidP="00641E66">
      <w:pPr>
        <w:spacing w:line="420" w:lineRule="auto"/>
        <w:rPr>
          <w:color w:val="000000" w:themeColor="text1"/>
        </w:rPr>
      </w:pPr>
      <w:r w:rsidRPr="009102F0">
        <w:t xml:space="preserve">We consider two main scenarios regarding </w:t>
      </w:r>
      <w:r w:rsidR="00255DA5" w:rsidRPr="009102F0">
        <w:t xml:space="preserve">laboratory </w:t>
      </w:r>
      <w:r w:rsidRPr="009102F0">
        <w:t xml:space="preserve">monitoring of people on ART.  One in which the roll-out of viral load testing will occur as planned in Zimbabwe by 2017, the other in which viral load testing is not available and hence the CD4 count is </w:t>
      </w:r>
      <w:r w:rsidR="00255DA5" w:rsidRPr="009102F0">
        <w:t xml:space="preserve">still </w:t>
      </w:r>
      <w:r w:rsidRPr="009102F0">
        <w:t>used (using a switching strategy based on absolute CD4 count</w:t>
      </w:r>
      <w:r w:rsidR="0096141D">
        <w:t>)</w:t>
      </w:r>
      <w:r w:rsidRPr="009102F0">
        <w:t xml:space="preserve"> </w:t>
      </w:r>
      <w:r w:rsidR="0099071A">
        <w:t>[11]</w:t>
      </w:r>
      <w:r w:rsidRPr="009102F0">
        <w:t>.</w:t>
      </w:r>
      <w:r w:rsidR="007762D6">
        <w:t xml:space="preserve">   </w:t>
      </w:r>
      <w:r w:rsidRPr="009102F0">
        <w:t>In the scenario in which we assume that viral load monitoring is in place we consider also the ef</w:t>
      </w:r>
      <w:r w:rsidR="00D9093A" w:rsidRPr="009102F0">
        <w:t>fects of viral load measurement</w:t>
      </w:r>
      <w:r w:rsidR="00144DDD" w:rsidRPr="009102F0">
        <w:t xml:space="preserve"> triggering a positive effect on </w:t>
      </w:r>
      <w:r w:rsidRPr="009102F0">
        <w:t xml:space="preserve">adherence. </w:t>
      </w:r>
      <w:r w:rsidR="00ED32AC" w:rsidRPr="009102F0">
        <w:t xml:space="preserve"> Viral load being identified as being above 1000 copies/mL</w:t>
      </w:r>
      <w:r w:rsidRPr="009102F0">
        <w:t xml:space="preserve"> </w:t>
      </w:r>
      <w:r w:rsidR="00ED32AC" w:rsidRPr="009102F0">
        <w:rPr>
          <w:color w:val="000000" w:themeColor="text1"/>
        </w:rPr>
        <w:t xml:space="preserve">is assumed to lead to an increase in adherence in 70% of people as a result of targeted adherence intervention; this is consistent with data showing that a high proportion of people with measured viral load &gt; 1000 copies/mL who undergo an adherence intervention subsequently achieve viral suppression without a change in ART </w:t>
      </w:r>
      <w:r w:rsidR="0099071A">
        <w:rPr>
          <w:color w:val="000000" w:themeColor="text1"/>
        </w:rPr>
        <w:t>[45-48]</w:t>
      </w:r>
      <w:r w:rsidR="00ED32AC" w:rsidRPr="009102F0">
        <w:rPr>
          <w:color w:val="000000" w:themeColor="text1"/>
        </w:rPr>
        <w:t xml:space="preserve"> and broadly consistent with a meta-analysis </w:t>
      </w:r>
      <w:r w:rsidR="0099071A">
        <w:rPr>
          <w:color w:val="000000" w:themeColor="text1"/>
        </w:rPr>
        <w:t>[49]</w:t>
      </w:r>
      <w:r w:rsidR="00ED32AC" w:rsidRPr="009102F0">
        <w:rPr>
          <w:color w:val="000000" w:themeColor="text1"/>
        </w:rPr>
        <w:t xml:space="preserve">.   </w:t>
      </w:r>
      <w:r w:rsidR="00376014" w:rsidRPr="009102F0">
        <w:rPr>
          <w:color w:val="000000" w:themeColor="text1"/>
        </w:rPr>
        <w:t>Although the appropriate duration to assume for this effect is uncertain</w:t>
      </w:r>
      <w:r w:rsidR="0099071A">
        <w:rPr>
          <w:color w:val="000000" w:themeColor="text1"/>
        </w:rPr>
        <w:t xml:space="preserve"> [47]</w:t>
      </w:r>
      <w:r w:rsidR="00376014" w:rsidRPr="009102F0">
        <w:rPr>
          <w:color w:val="000000" w:themeColor="text1"/>
        </w:rPr>
        <w:t xml:space="preserve"> we assume, consistent with our previous work </w:t>
      </w:r>
      <w:r w:rsidR="0099071A">
        <w:rPr>
          <w:color w:val="000000" w:themeColor="text1"/>
        </w:rPr>
        <w:t>[11]</w:t>
      </w:r>
      <w:r w:rsidR="00376014" w:rsidRPr="009102F0">
        <w:rPr>
          <w:color w:val="000000" w:themeColor="text1"/>
        </w:rPr>
        <w:t xml:space="preserve">, that the adherence intervention is effective only the first time the viral load triggers an adherence intervention and that for 40% the effect is permanent (i.e. 70% x 40%= 28% of those with a viral load &gt;1000), but that in the remaining 60% (i.e. 70% x 60% = 42% of those with viral load&gt;1000) it lasts only 6 months.  </w:t>
      </w:r>
    </w:p>
    <w:p w14:paraId="21622E36" w14:textId="77777777" w:rsidR="00710935" w:rsidRDefault="00710935" w:rsidP="00641E66">
      <w:pPr>
        <w:spacing w:after="0" w:line="420" w:lineRule="auto"/>
        <w:rPr>
          <w:i/>
        </w:rPr>
      </w:pPr>
    </w:p>
    <w:p w14:paraId="0F5A605A" w14:textId="77777777" w:rsidR="00E03B42" w:rsidRPr="00DC3A0F" w:rsidRDefault="009735CB" w:rsidP="00641E66">
      <w:pPr>
        <w:spacing w:after="0" w:line="420" w:lineRule="auto"/>
        <w:rPr>
          <w:i/>
          <w:sz w:val="28"/>
          <w:szCs w:val="28"/>
        </w:rPr>
      </w:pPr>
      <w:r w:rsidRPr="00DC3A0F">
        <w:rPr>
          <w:i/>
          <w:sz w:val="28"/>
          <w:szCs w:val="28"/>
        </w:rPr>
        <w:t>D</w:t>
      </w:r>
      <w:r w:rsidR="00E03B42" w:rsidRPr="00DC3A0F">
        <w:rPr>
          <w:i/>
          <w:sz w:val="28"/>
          <w:szCs w:val="28"/>
        </w:rPr>
        <w:t>ifferentiat</w:t>
      </w:r>
      <w:r w:rsidRPr="00DC3A0F">
        <w:rPr>
          <w:i/>
          <w:sz w:val="28"/>
          <w:szCs w:val="28"/>
        </w:rPr>
        <w:t>ion of c</w:t>
      </w:r>
      <w:r w:rsidR="00E03B42" w:rsidRPr="00DC3A0F">
        <w:rPr>
          <w:i/>
          <w:sz w:val="28"/>
          <w:szCs w:val="28"/>
        </w:rPr>
        <w:t>are</w:t>
      </w:r>
      <w:r w:rsidRPr="00DC3A0F">
        <w:rPr>
          <w:i/>
          <w:sz w:val="28"/>
          <w:szCs w:val="28"/>
        </w:rPr>
        <w:t xml:space="preserve"> </w:t>
      </w:r>
    </w:p>
    <w:p w14:paraId="408BB720" w14:textId="34B3B0EB" w:rsidR="007A0852" w:rsidRDefault="0092303A" w:rsidP="00641E66">
      <w:pPr>
        <w:spacing w:after="0" w:line="420" w:lineRule="auto"/>
      </w:pPr>
      <w:r w:rsidRPr="009102F0">
        <w:t>In the scenario in which viral load monitoring is not available (as remains the case in m</w:t>
      </w:r>
      <w:r w:rsidR="00CB6D2A" w:rsidRPr="009102F0">
        <w:t>any</w:t>
      </w:r>
      <w:r w:rsidRPr="009102F0">
        <w:t xml:space="preserve"> low income settings in sub-Saharan Africa) we consider that the adherence monitoring-based intervention can be used to differentiate care. </w:t>
      </w:r>
      <w:r w:rsidR="00BA69D5">
        <w:t xml:space="preserve">  </w:t>
      </w:r>
      <w:r w:rsidRPr="00967234">
        <w:rPr>
          <w:highlight w:val="lightGray"/>
        </w:rPr>
        <w:t>In particular, for those with high adherence over the past 3</w:t>
      </w:r>
      <w:r w:rsidR="0005397D" w:rsidRPr="00967234">
        <w:rPr>
          <w:highlight w:val="lightGray"/>
        </w:rPr>
        <w:t xml:space="preserve"> </w:t>
      </w:r>
      <w:r w:rsidRPr="00967234">
        <w:rPr>
          <w:highlight w:val="lightGray"/>
        </w:rPr>
        <w:t>month period</w:t>
      </w:r>
      <w:r w:rsidR="00371E0C" w:rsidRPr="00967234">
        <w:rPr>
          <w:highlight w:val="lightGray"/>
        </w:rPr>
        <w:t>,</w:t>
      </w:r>
      <w:r w:rsidRPr="00967234">
        <w:rPr>
          <w:highlight w:val="lightGray"/>
        </w:rPr>
        <w:t xml:space="preserve"> visits are simplified such that visit cost</w:t>
      </w:r>
      <w:r w:rsidR="00967234" w:rsidRPr="00967234">
        <w:rPr>
          <w:highlight w:val="lightGray"/>
        </w:rPr>
        <w:t>s are</w:t>
      </w:r>
      <w:r w:rsidRPr="00967234">
        <w:rPr>
          <w:highlight w:val="lightGray"/>
        </w:rPr>
        <w:t xml:space="preserve"> reduced by 50%</w:t>
      </w:r>
      <w:r w:rsidR="00967234" w:rsidRPr="00967234">
        <w:rPr>
          <w:highlight w:val="lightGray"/>
        </w:rPr>
        <w:t xml:space="preserve"> (from $20 per 3 months to $10)</w:t>
      </w:r>
      <w:r w:rsidRPr="00967234">
        <w:rPr>
          <w:highlight w:val="lightGray"/>
        </w:rPr>
        <w:t>, based on the concept that adherence can be rapi</w:t>
      </w:r>
      <w:r w:rsidR="00D9093A" w:rsidRPr="00967234">
        <w:rPr>
          <w:highlight w:val="lightGray"/>
        </w:rPr>
        <w:t xml:space="preserve">dly checked and, if high and </w:t>
      </w:r>
      <w:r w:rsidRPr="00967234">
        <w:rPr>
          <w:highlight w:val="lightGray"/>
        </w:rPr>
        <w:t xml:space="preserve">no symptoms present, then a pharmacy-only visit is possible. </w:t>
      </w:r>
      <w:r w:rsidR="00967234" w:rsidRPr="00967234">
        <w:rPr>
          <w:highlight w:val="lightGray"/>
        </w:rPr>
        <w:t xml:space="preserve"> </w:t>
      </w:r>
      <w:r w:rsidR="00BA69D5" w:rsidRPr="00967234">
        <w:rPr>
          <w:highlight w:val="lightGray"/>
        </w:rPr>
        <w:t xml:space="preserve">  In terms of health outcomes, being on such a simplified visit schedule is assumed to have the effect that if a WHO stage 4 condition develops then the risk of death due to the condition is 1.5 times raised, as result of potentially later detection of symptoms by clinic staff.   </w:t>
      </w:r>
      <w:r w:rsidR="00390F6B" w:rsidRPr="00967234">
        <w:rPr>
          <w:highlight w:val="lightGray"/>
        </w:rPr>
        <w:t>If viral load monitoring is used</w:t>
      </w:r>
      <w:r w:rsidR="00052AA0" w:rsidRPr="00967234">
        <w:rPr>
          <w:highlight w:val="lightGray"/>
        </w:rPr>
        <w:t>,</w:t>
      </w:r>
      <w:r w:rsidR="00390F6B" w:rsidRPr="00967234">
        <w:rPr>
          <w:highlight w:val="lightGray"/>
        </w:rPr>
        <w:t xml:space="preserve"> then we as</w:t>
      </w:r>
      <w:r w:rsidR="007B49B5" w:rsidRPr="00967234">
        <w:rPr>
          <w:highlight w:val="lightGray"/>
        </w:rPr>
        <w:t xml:space="preserve">sume that care </w:t>
      </w:r>
      <w:r w:rsidR="00967234" w:rsidRPr="00967234">
        <w:rPr>
          <w:highlight w:val="lightGray"/>
        </w:rPr>
        <w:t xml:space="preserve">can also be </w:t>
      </w:r>
      <w:r w:rsidR="00390F6B" w:rsidRPr="00967234">
        <w:rPr>
          <w:highlight w:val="lightGray"/>
        </w:rPr>
        <w:t>differentiated</w:t>
      </w:r>
      <w:r w:rsidR="00967234" w:rsidRPr="00967234">
        <w:rPr>
          <w:highlight w:val="lightGray"/>
        </w:rPr>
        <w:t>,</w:t>
      </w:r>
      <w:r w:rsidR="00390F6B" w:rsidRPr="00967234">
        <w:rPr>
          <w:highlight w:val="lightGray"/>
        </w:rPr>
        <w:t xml:space="preserve"> </w:t>
      </w:r>
      <w:r w:rsidR="00EE4FAD" w:rsidRPr="00967234">
        <w:rPr>
          <w:highlight w:val="lightGray"/>
        </w:rPr>
        <w:t xml:space="preserve">primarily </w:t>
      </w:r>
      <w:r w:rsidR="00390F6B" w:rsidRPr="00967234">
        <w:rPr>
          <w:highlight w:val="lightGray"/>
        </w:rPr>
        <w:t xml:space="preserve">according to the most recent viral load measured in the past year, with </w:t>
      </w:r>
      <w:r w:rsidR="00967234" w:rsidRPr="00967234">
        <w:rPr>
          <w:highlight w:val="lightGray"/>
        </w:rPr>
        <w:t xml:space="preserve">again </w:t>
      </w:r>
      <w:r w:rsidR="00390F6B" w:rsidRPr="00967234">
        <w:rPr>
          <w:highlight w:val="lightGray"/>
        </w:rPr>
        <w:t xml:space="preserve">a 50% reduction in visit costs if the </w:t>
      </w:r>
      <w:r w:rsidR="00967234" w:rsidRPr="00967234">
        <w:rPr>
          <w:highlight w:val="lightGray"/>
        </w:rPr>
        <w:t xml:space="preserve">most recent </w:t>
      </w:r>
      <w:r w:rsidR="00390F6B" w:rsidRPr="00967234">
        <w:rPr>
          <w:highlight w:val="lightGray"/>
        </w:rPr>
        <w:t xml:space="preserve">viral load is &lt; 1000 </w:t>
      </w:r>
      <w:r w:rsidR="007B49B5" w:rsidRPr="00967234">
        <w:rPr>
          <w:highlight w:val="lightGray"/>
        </w:rPr>
        <w:t>copies/mL</w:t>
      </w:r>
      <w:r w:rsidR="00967234" w:rsidRPr="00967234">
        <w:rPr>
          <w:highlight w:val="lightGray"/>
        </w:rPr>
        <w:t xml:space="preserve"> and this has been measured in the past year</w:t>
      </w:r>
      <w:r w:rsidR="007B49B5" w:rsidRPr="00967234">
        <w:rPr>
          <w:highlight w:val="lightGray"/>
        </w:rPr>
        <w:t xml:space="preserve">.  </w:t>
      </w:r>
      <w:r w:rsidRPr="00967234">
        <w:rPr>
          <w:highlight w:val="lightGray"/>
        </w:rPr>
        <w:t xml:space="preserve"> However, if </w:t>
      </w:r>
      <w:r w:rsidR="00967234" w:rsidRPr="00967234">
        <w:rPr>
          <w:highlight w:val="lightGray"/>
        </w:rPr>
        <w:t xml:space="preserve">the adherence monitoring-based intervention is in use and </w:t>
      </w:r>
      <w:r w:rsidRPr="00967234">
        <w:rPr>
          <w:highlight w:val="lightGray"/>
        </w:rPr>
        <w:t>no viral load measure is avail</w:t>
      </w:r>
      <w:r w:rsidR="00967234" w:rsidRPr="00967234">
        <w:rPr>
          <w:highlight w:val="lightGray"/>
        </w:rPr>
        <w:t>able in the past 1 year but if the most recent viral load was &lt; 1000 copies/mL and the</w:t>
      </w:r>
      <w:r w:rsidR="00CB6D2A" w:rsidRPr="00967234">
        <w:rPr>
          <w:highlight w:val="lightGray"/>
        </w:rPr>
        <w:t xml:space="preserve"> </w:t>
      </w:r>
      <w:r w:rsidRPr="00967234">
        <w:rPr>
          <w:highlight w:val="lightGray"/>
        </w:rPr>
        <w:t xml:space="preserve">adherence </w:t>
      </w:r>
      <w:r w:rsidR="00CB6D2A" w:rsidRPr="00967234">
        <w:rPr>
          <w:highlight w:val="lightGray"/>
        </w:rPr>
        <w:t>measure</w:t>
      </w:r>
      <w:r w:rsidRPr="00967234">
        <w:rPr>
          <w:highlight w:val="lightGray"/>
        </w:rPr>
        <w:t xml:space="preserve"> shows &gt; 80% adherence</w:t>
      </w:r>
      <w:r w:rsidR="00967234" w:rsidRPr="00967234">
        <w:rPr>
          <w:highlight w:val="lightGray"/>
        </w:rPr>
        <w:t xml:space="preserve"> then</w:t>
      </w:r>
      <w:r w:rsidRPr="00967234">
        <w:rPr>
          <w:highlight w:val="lightGray"/>
        </w:rPr>
        <w:t xml:space="preserve"> we </w:t>
      </w:r>
      <w:r w:rsidR="00967234" w:rsidRPr="00967234">
        <w:rPr>
          <w:highlight w:val="lightGray"/>
        </w:rPr>
        <w:t xml:space="preserve">again </w:t>
      </w:r>
      <w:r w:rsidRPr="00967234">
        <w:rPr>
          <w:highlight w:val="lightGray"/>
        </w:rPr>
        <w:t xml:space="preserve">assume that </w:t>
      </w:r>
      <w:r w:rsidR="00967234" w:rsidRPr="00967234">
        <w:rPr>
          <w:highlight w:val="lightGray"/>
        </w:rPr>
        <w:t>v</w:t>
      </w:r>
      <w:r w:rsidRPr="00967234">
        <w:rPr>
          <w:highlight w:val="lightGray"/>
        </w:rPr>
        <w:t>isit costs are also reduced in this circumstance.</w:t>
      </w:r>
      <w:r w:rsidRPr="009102F0">
        <w:t xml:space="preserve">   This use of the </w:t>
      </w:r>
      <w:r w:rsidR="00CB6D2A" w:rsidRPr="009102F0">
        <w:t xml:space="preserve">objective </w:t>
      </w:r>
      <w:r w:rsidRPr="009102F0">
        <w:t xml:space="preserve">adherence monitoring to identify additional opportunities for reduced clinic visits includes the </w:t>
      </w:r>
      <w:r w:rsidR="0005397D" w:rsidRPr="009102F0">
        <w:t xml:space="preserve">second 3 </w:t>
      </w:r>
      <w:r w:rsidR="00B206DA" w:rsidRPr="009102F0">
        <w:t xml:space="preserve">month </w:t>
      </w:r>
      <w:r w:rsidR="007B49B5" w:rsidRPr="009102F0">
        <w:t xml:space="preserve">period after start of ART (because the first viral load test is at 6 months). </w:t>
      </w:r>
      <w:r w:rsidR="00974610" w:rsidRPr="009102F0">
        <w:t xml:space="preserve"> In a </w:t>
      </w:r>
      <w:r w:rsidR="006E165D" w:rsidRPr="009102F0">
        <w:t xml:space="preserve">key </w:t>
      </w:r>
      <w:r w:rsidR="004B695E" w:rsidRPr="009102F0">
        <w:t xml:space="preserve">additional </w:t>
      </w:r>
      <w:r w:rsidR="00974610" w:rsidRPr="009102F0">
        <w:t xml:space="preserve">analysis we also consider the possibility that </w:t>
      </w:r>
      <w:r w:rsidR="005A42D0" w:rsidRPr="009102F0">
        <w:t xml:space="preserve">even when viral load monitoring is available the viral load testing will cease in those in whom viral load suppression has been demonstrated where there is an adherence monitoring based intervention in place and adherence is &gt; 80%.  </w:t>
      </w:r>
    </w:p>
    <w:p w14:paraId="358401B6" w14:textId="77777777" w:rsidR="00967234" w:rsidRDefault="00967234" w:rsidP="00641E66">
      <w:pPr>
        <w:spacing w:after="0" w:line="420" w:lineRule="auto"/>
        <w:rPr>
          <w:i/>
          <w:sz w:val="28"/>
          <w:szCs w:val="28"/>
        </w:rPr>
      </w:pPr>
    </w:p>
    <w:p w14:paraId="6D969298" w14:textId="77777777" w:rsidR="00912F8E" w:rsidRPr="00DC3A0F" w:rsidRDefault="00912F8E" w:rsidP="00641E66">
      <w:pPr>
        <w:spacing w:after="0" w:line="420" w:lineRule="auto"/>
        <w:rPr>
          <w:i/>
          <w:sz w:val="28"/>
          <w:szCs w:val="28"/>
        </w:rPr>
      </w:pPr>
      <w:r w:rsidRPr="00DC3A0F">
        <w:rPr>
          <w:i/>
          <w:sz w:val="28"/>
          <w:szCs w:val="28"/>
        </w:rPr>
        <w:t xml:space="preserve">Economic considerations </w:t>
      </w:r>
    </w:p>
    <w:p w14:paraId="6A5E05E8" w14:textId="1A11463A" w:rsidR="004E0B49" w:rsidRPr="009102F0" w:rsidRDefault="0005397D" w:rsidP="00641E66">
      <w:pPr>
        <w:spacing w:line="420" w:lineRule="auto"/>
      </w:pPr>
      <w:r w:rsidRPr="009102F0">
        <w:t>Pr</w:t>
      </w:r>
      <w:r w:rsidR="00912F8E" w:rsidRPr="009102F0">
        <w:t>ogramme costs resulting from adherence monitoring interventions are also considered</w:t>
      </w:r>
      <w:r w:rsidR="00322D2E">
        <w:t xml:space="preserve"> to allow a full economic evaluation</w:t>
      </w:r>
      <w:r w:rsidR="00912F8E" w:rsidRPr="009102F0">
        <w:t xml:space="preserve">. </w:t>
      </w:r>
      <w:r w:rsidR="00F20E50" w:rsidRPr="009102F0">
        <w:t xml:space="preserve"> The cost of the intervention is considered per person year on ART.</w:t>
      </w:r>
      <w:r w:rsidR="00F167D2" w:rsidRPr="009102F0">
        <w:t xml:space="preserve"> </w:t>
      </w:r>
      <w:r w:rsidR="00912F8E" w:rsidRPr="009102F0">
        <w:t xml:space="preserve"> Our objective is to maximize population health from within available </w:t>
      </w:r>
      <w:r w:rsidR="00C733D6">
        <w:t xml:space="preserve">health care </w:t>
      </w:r>
      <w:r w:rsidR="00912F8E" w:rsidRPr="009102F0">
        <w:t xml:space="preserve">resources.  </w:t>
      </w:r>
      <w:r w:rsidR="00297922" w:rsidRPr="009102F0">
        <w:t>A health sector perspective has therefore been adopted for the analysis</w:t>
      </w:r>
      <w:r w:rsidR="00C733D6">
        <w:t>, so d</w:t>
      </w:r>
      <w:r w:rsidR="00C733D6" w:rsidRPr="009102F0">
        <w:t>irect and indirect costs incurred by the patients are not included</w:t>
      </w:r>
      <w:r w:rsidR="00297922" w:rsidRPr="009102F0">
        <w:t xml:space="preserve">. </w:t>
      </w:r>
      <w:r w:rsidR="00912F8E" w:rsidRPr="009102F0">
        <w:t xml:space="preserve"> Health benefits associated with the adherence intervention are estimated using the metric </w:t>
      </w:r>
      <w:r w:rsidR="00097025" w:rsidRPr="006950B6">
        <w:rPr>
          <w:i/>
        </w:rPr>
        <w:t>DALYs</w:t>
      </w:r>
      <w:r w:rsidR="00912F8E" w:rsidRPr="006950B6">
        <w:rPr>
          <w:i/>
        </w:rPr>
        <w:t xml:space="preserve"> averted</w:t>
      </w:r>
      <w:r w:rsidR="00F20E50" w:rsidRPr="009102F0">
        <w:t xml:space="preserve"> in the entire adult population</w:t>
      </w:r>
      <w:r w:rsidR="00912F8E" w:rsidRPr="009102F0">
        <w:t>.   The increment in programme costs resulting from introduction of the adherence monitoring intervention divided by number of DALYs averted (the health benefit) gives the incremental cost effectiveness ratio (ICER).</w:t>
      </w:r>
      <w:r w:rsidR="00F20E50" w:rsidRPr="009102F0">
        <w:t xml:space="preserve">  The ICER can be compared with a cost effectiveness threshold to ascertain whether the intervention is likely to represent an appropriate use of resources given the opportunity costs of using those resources for this purpose (i</w:t>
      </w:r>
      <w:r w:rsidR="00371E0C" w:rsidRPr="009102F0">
        <w:t>.</w:t>
      </w:r>
      <w:r w:rsidR="00F20E50" w:rsidRPr="009102F0">
        <w:t>e</w:t>
      </w:r>
      <w:r w:rsidR="00371E0C" w:rsidRPr="009102F0">
        <w:t>.</w:t>
      </w:r>
      <w:r w:rsidR="00F20E50" w:rsidRPr="009102F0">
        <w:t xml:space="preserve"> to be cost effective).    The cost-effectiveness threshold for a country represents the opportunity costs of resources required to fund the intervention, in terms of the health gains those resources could generate if used for alternative purposes in the public health care system </w:t>
      </w:r>
      <w:r w:rsidR="00710935">
        <w:t>[50]</w:t>
      </w:r>
      <w:r w:rsidR="00F20E50" w:rsidRPr="009102F0">
        <w:t>. As such, the threshold for a country is not readily apparent, but $500 per DALY averted is likely to be at the upper end based on the magnitude of benefit if resources were spent o</w:t>
      </w:r>
      <w:r w:rsidR="00E054E3">
        <w:t>n other programmatic priorities</w:t>
      </w:r>
      <w:r w:rsidR="00710935">
        <w:t xml:space="preserve"> [51]</w:t>
      </w:r>
      <w:r w:rsidR="00F20E50" w:rsidRPr="009102F0">
        <w:t xml:space="preserve">.   We consider the cost that the intervention would have to be </w:t>
      </w:r>
      <w:r w:rsidR="00E054E3">
        <w:t xml:space="preserve">delivered at </w:t>
      </w:r>
      <w:r w:rsidR="00F20E50" w:rsidRPr="009102F0">
        <w:t>in order for it to be cost effective</w:t>
      </w:r>
      <w:r w:rsidR="00766FBD">
        <w:t xml:space="preserve"> based on the </w:t>
      </w:r>
      <w:r w:rsidR="004E0B49" w:rsidRPr="009102F0">
        <w:t>$500 threshold</w:t>
      </w:r>
      <w:r w:rsidR="00F20E50" w:rsidRPr="009102F0">
        <w:t xml:space="preserve">.  </w:t>
      </w:r>
      <w:r w:rsidR="007C6DB1" w:rsidRPr="009102F0">
        <w:t xml:space="preserve"> </w:t>
      </w:r>
      <w:r w:rsidR="004E0B49" w:rsidRPr="009102F0">
        <w:t>We consider a 2</w:t>
      </w:r>
      <w:r w:rsidR="00F20E50" w:rsidRPr="009102F0">
        <w:t xml:space="preserve">0 year time </w:t>
      </w:r>
      <w:r w:rsidR="0078005B" w:rsidRPr="009102F0">
        <w:t>perspective</w:t>
      </w:r>
      <w:r w:rsidR="00F20E50" w:rsidRPr="009102F0">
        <w:t xml:space="preserve"> from 2017-20</w:t>
      </w:r>
      <w:r w:rsidR="00965CAC" w:rsidRPr="009102F0">
        <w:t>3</w:t>
      </w:r>
      <w:r w:rsidR="00F20E50" w:rsidRPr="009102F0">
        <w:t xml:space="preserve">6.  </w:t>
      </w:r>
      <w:r w:rsidR="004E0B49" w:rsidRPr="009102F0">
        <w:t>Both costs and health benefits were discounted to present value using a 3% per annum discount rate in our base case.   The modelling results are intended to inform decisions in sub-Saharan African countries classified as low and low-middle income countries using the World Bank country classification.</w:t>
      </w:r>
    </w:p>
    <w:p w14:paraId="34158586" w14:textId="2F351189" w:rsidR="00912F8E" w:rsidRDefault="00912F8E" w:rsidP="00641E66">
      <w:pPr>
        <w:spacing w:line="420" w:lineRule="auto"/>
      </w:pPr>
      <w:r w:rsidRPr="009102F0">
        <w:t>Disability weights to calculate DALYs averted were derived fro</w:t>
      </w:r>
      <w:r w:rsidR="00710935">
        <w:t>m a recent comprehensive study [52]</w:t>
      </w:r>
      <w:r w:rsidRPr="009102F0">
        <w:t xml:space="preserve">. Unit costs (in $US at 2014 prices) are detailed in Supplementary Material. In brief, costs of viral load assays are assumed to be $22, counting all components of the cost (reagents, costs of equipment, human resources, buildings, </w:t>
      </w:r>
      <w:r w:rsidR="0078005B" w:rsidRPr="009102F0">
        <w:t>etc.</w:t>
      </w:r>
      <w:r w:rsidRPr="009102F0">
        <w:t>) (details in Supplementary Material</w:t>
      </w:r>
      <w:r w:rsidR="00515D8E" w:rsidRPr="009102F0">
        <w:t xml:space="preserve">; </w:t>
      </w:r>
      <w:r w:rsidR="00004CD9">
        <w:t>[53, 54]</w:t>
      </w:r>
      <w:r w:rsidRPr="009102F0">
        <w:t xml:space="preserve">). </w:t>
      </w:r>
      <w:r w:rsidR="004D2AB7" w:rsidRPr="009102F0">
        <w:t xml:space="preserve"> Likewise, t</w:t>
      </w:r>
      <w:r w:rsidRPr="009102F0">
        <w:t>he cost of measuring C</w:t>
      </w:r>
      <w:r w:rsidR="00004CD9">
        <w:t>D4 counts is assumed to be $10 [55]</w:t>
      </w:r>
      <w:r w:rsidRPr="009102F0">
        <w:t>. The current annual cost (including supply chain) of the first-line regimen of efavirenz, emtricitabine, tenofovir (assumed used as a fixed dose combination) is assumed to be $144 per person per year and second-line regimen of zidovudine, emtricitabine, ritonavir-boosted ataza</w:t>
      </w:r>
      <w:r w:rsidR="00004CD9">
        <w:t>navir $312 per person per year [56]</w:t>
      </w:r>
      <w:r w:rsidR="004E0B49" w:rsidRPr="009102F0">
        <w:t>.  P</w:t>
      </w:r>
      <w:r w:rsidRPr="009102F0">
        <w:t xml:space="preserve">rogramme costs for clinic visits (not including drug or viral load / CD4 count tests) are $20 per 3 months </w:t>
      </w:r>
      <w:r w:rsidR="00B666FC">
        <w:t>[57, 58]</w:t>
      </w:r>
      <w:r w:rsidRPr="009102F0">
        <w:t xml:space="preserve"> with an assumed reduction to $10 per 3 months </w:t>
      </w:r>
      <w:r w:rsidR="00C733D6">
        <w:t xml:space="preserve">when care is differentiated and the person has </w:t>
      </w:r>
      <w:r w:rsidRPr="009102F0">
        <w:t xml:space="preserve">viral suppression </w:t>
      </w:r>
      <w:r w:rsidR="00C733D6">
        <w:t xml:space="preserve">or high measured adherence.   </w:t>
      </w:r>
    </w:p>
    <w:p w14:paraId="7A400275" w14:textId="77777777" w:rsidR="00C733D6" w:rsidRPr="009102F0" w:rsidRDefault="00C733D6" w:rsidP="00641E66">
      <w:pPr>
        <w:spacing w:line="420" w:lineRule="auto"/>
      </w:pPr>
    </w:p>
    <w:p w14:paraId="38B04344" w14:textId="77777777" w:rsidR="007426E1" w:rsidRPr="00DC3A0F" w:rsidRDefault="007426E1" w:rsidP="00641E66">
      <w:pPr>
        <w:spacing w:after="0" w:line="420" w:lineRule="auto"/>
        <w:rPr>
          <w:i/>
          <w:sz w:val="28"/>
          <w:szCs w:val="28"/>
        </w:rPr>
      </w:pPr>
      <w:r w:rsidRPr="00DC3A0F">
        <w:rPr>
          <w:i/>
          <w:sz w:val="28"/>
          <w:szCs w:val="28"/>
        </w:rPr>
        <w:t>Sensitivity analyses</w:t>
      </w:r>
    </w:p>
    <w:p w14:paraId="75265729" w14:textId="1716753F" w:rsidR="009464AF" w:rsidRDefault="002C1D76" w:rsidP="009464AF">
      <w:pPr>
        <w:spacing w:line="420" w:lineRule="auto"/>
        <w:rPr>
          <w:b/>
          <w:color w:val="C00000"/>
        </w:rPr>
      </w:pPr>
      <w:r w:rsidRPr="009102F0">
        <w:t xml:space="preserve">Besides considering the various possible component effects of the adherence monitoring intervention, and varying the percent of people in whom the intervention has an effect, we considered the effect of varying several other factors.   We considered scenarios in which: the overall population adherence profile was lower or higher; the background rate of treatment </w:t>
      </w:r>
      <w:r w:rsidR="006C07C8" w:rsidRPr="009102F0">
        <w:t>discontinuation</w:t>
      </w:r>
      <w:r w:rsidRPr="009102F0">
        <w:t xml:space="preserve"> was lower or higher; the intervention effect was of 1 year duration only; there was no differentiation of care based on adherence</w:t>
      </w:r>
      <w:r w:rsidR="004B695E" w:rsidRPr="009102F0">
        <w:t xml:space="preserve">; </w:t>
      </w:r>
      <w:r w:rsidRPr="009102F0">
        <w:t>there is n</w:t>
      </w:r>
      <w:r w:rsidR="007C6DB1" w:rsidRPr="009102F0">
        <w:t>o effect of viral load &gt; 1000 on adherence</w:t>
      </w:r>
      <w:r w:rsidRPr="009102F0">
        <w:t xml:space="preserve">; </w:t>
      </w:r>
      <w:r w:rsidR="007C6DB1" w:rsidRPr="009102F0">
        <w:t xml:space="preserve"> </w:t>
      </w:r>
      <w:r w:rsidRPr="009102F0">
        <w:t xml:space="preserve">there </w:t>
      </w:r>
      <w:r w:rsidR="00180468">
        <w:t>wa</w:t>
      </w:r>
      <w:r w:rsidRPr="009102F0">
        <w:t>s n</w:t>
      </w:r>
      <w:r w:rsidR="007C6DB1" w:rsidRPr="009102F0">
        <w:t>o differentiated care (neither driven by viral load nor by adherence)</w:t>
      </w:r>
      <w:r w:rsidRPr="009102F0">
        <w:t xml:space="preserve">; there is </w:t>
      </w:r>
      <w:r w:rsidR="005946AC" w:rsidRPr="009102F0">
        <w:t xml:space="preserve">only </w:t>
      </w:r>
      <w:r w:rsidRPr="009102F0">
        <w:t xml:space="preserve">a </w:t>
      </w:r>
      <w:r w:rsidR="007C6DB1" w:rsidRPr="009102F0">
        <w:t>$5 per 3 m</w:t>
      </w:r>
      <w:r w:rsidR="0005397D" w:rsidRPr="009102F0">
        <w:t>on</w:t>
      </w:r>
      <w:r w:rsidR="007C6DB1" w:rsidRPr="009102F0">
        <w:t>th saving from adh</w:t>
      </w:r>
      <w:r w:rsidRPr="009102F0">
        <w:t>erence</w:t>
      </w:r>
      <w:r w:rsidR="007C6DB1" w:rsidRPr="009102F0">
        <w:t>-informed differentiated care</w:t>
      </w:r>
      <w:r w:rsidRPr="009102F0">
        <w:t>; and where the a</w:t>
      </w:r>
      <w:r w:rsidR="007C6DB1" w:rsidRPr="009102F0">
        <w:t xml:space="preserve">dherence intervention </w:t>
      </w:r>
      <w:r w:rsidRPr="009102F0">
        <w:t xml:space="preserve">is used </w:t>
      </w:r>
      <w:r w:rsidR="007C6DB1" w:rsidRPr="009102F0">
        <w:t>i</w:t>
      </w:r>
      <w:r w:rsidRPr="009102F0">
        <w:t>nstead of viral load monitoring.</w:t>
      </w:r>
      <w:r w:rsidR="005A0648">
        <w:t xml:space="preserve">  </w:t>
      </w:r>
      <w:r w:rsidR="009464AF" w:rsidRPr="0013357B">
        <w:rPr>
          <w:highlight w:val="lightGray"/>
        </w:rPr>
        <w:t>Finally, we consider a sensitivity analysis in which we change the underlying adherence structure such that a person’s underlying tendency to adhere can shift during their lifetime for other reasons besides the adherence interventions, for example due to changes in life circumstances</w:t>
      </w:r>
      <w:r w:rsidR="0013357B" w:rsidRPr="0013357B">
        <w:rPr>
          <w:highlight w:val="lightGray"/>
        </w:rPr>
        <w:t xml:space="preserve"> (their “lifetime” adherence is re-sampled from the original distribution used to generate each individuals lifetime adherence level)</w:t>
      </w:r>
      <w:r w:rsidR="009464AF" w:rsidRPr="0013357B">
        <w:rPr>
          <w:highlight w:val="lightGray"/>
        </w:rPr>
        <w:t>.</w:t>
      </w:r>
      <w:r w:rsidR="009464AF" w:rsidRPr="0013357B">
        <w:t xml:space="preserve">   </w:t>
      </w:r>
    </w:p>
    <w:p w14:paraId="122A9BE0" w14:textId="77777777" w:rsidR="00D64597" w:rsidRPr="009102F0" w:rsidRDefault="00D64597" w:rsidP="00641E66">
      <w:pPr>
        <w:spacing w:after="0" w:line="420" w:lineRule="auto"/>
      </w:pPr>
    </w:p>
    <w:p w14:paraId="11240AB3" w14:textId="07AAACA8" w:rsidR="000F0193" w:rsidRDefault="007426E1" w:rsidP="00D64597">
      <w:pPr>
        <w:spacing w:line="420" w:lineRule="auto"/>
      </w:pPr>
      <w:r w:rsidRPr="00DC3A0F">
        <w:rPr>
          <w:b/>
          <w:color w:val="A50021"/>
          <w:sz w:val="36"/>
          <w:szCs w:val="36"/>
        </w:rPr>
        <w:t>Results</w:t>
      </w:r>
    </w:p>
    <w:p w14:paraId="5DDE01A7" w14:textId="34EA23AA" w:rsidR="003F431B" w:rsidRPr="00D64597" w:rsidRDefault="00D64597" w:rsidP="00D64597">
      <w:pPr>
        <w:spacing w:line="420" w:lineRule="auto"/>
      </w:pPr>
      <w:r w:rsidRPr="009102F0">
        <w:t>The status of the simulated adult population of Zimbabwe in 2014 is shown in Table S1</w:t>
      </w:r>
      <w:r>
        <w:t xml:space="preserve"> in Supplementary Material</w:t>
      </w:r>
      <w:r w:rsidRPr="009102F0">
        <w:t xml:space="preserve">.   </w:t>
      </w:r>
      <w:r w:rsidRPr="003F431B">
        <w:rPr>
          <w:highlight w:val="lightGray"/>
        </w:rPr>
        <w:t xml:space="preserve">Outputs from the model include: number of adults living with HIV 1,161,000 out of a population size of 8,117,000 aged 15-65; prevalence of HIV in women age 15-45 17%; 2.8 million HIV tests done in the year; 655,000 people on ART, meaning that 56% of all people with HIV were on ART; death rate for people on ART 3.21 /100 person years, for all HIV positive people 5.22 /100 person years; of people on ART the proportion with viral load &lt; 500 copies/mL 82%.  </w:t>
      </w:r>
      <w:r w:rsidR="003F431B" w:rsidRPr="003F431B">
        <w:rPr>
          <w:highlight w:val="lightGray"/>
        </w:rPr>
        <w:t>By 2016, the model has 776,000 on ART (66% of all people with HIV).</w:t>
      </w:r>
      <w:r w:rsidR="003F431B">
        <w:t xml:space="preserve">  </w:t>
      </w:r>
    </w:p>
    <w:p w14:paraId="5C914032" w14:textId="179E495D" w:rsidR="00BD5387" w:rsidRPr="009102F0" w:rsidRDefault="00D00B1D" w:rsidP="00641E66">
      <w:pPr>
        <w:spacing w:line="420" w:lineRule="auto"/>
      </w:pPr>
      <w:r w:rsidRPr="009102F0">
        <w:t xml:space="preserve">The modelled outcomes of the introduction of an adherence </w:t>
      </w:r>
      <w:r w:rsidR="00C230BB" w:rsidRPr="009102F0">
        <w:t xml:space="preserve">monitoring </w:t>
      </w:r>
      <w:r w:rsidRPr="009102F0">
        <w:t>intervention in 2017, according to the at</w:t>
      </w:r>
      <w:r w:rsidR="00AD460B" w:rsidRPr="009102F0">
        <w:t>tributes of that intervention, are</w:t>
      </w:r>
      <w:r w:rsidRPr="009102F0">
        <w:t xml:space="preserve"> shown in Table 2.   </w:t>
      </w:r>
      <w:r w:rsidR="00C230BB" w:rsidRPr="009102F0">
        <w:t xml:space="preserve"> </w:t>
      </w:r>
      <w:r w:rsidR="00C230BB" w:rsidRPr="00B260A7">
        <w:rPr>
          <w:highlight w:val="lightGray"/>
        </w:rPr>
        <w:t>Ou</w:t>
      </w:r>
      <w:r w:rsidR="00B64E87" w:rsidRPr="00B260A7">
        <w:rPr>
          <w:highlight w:val="lightGray"/>
        </w:rPr>
        <w:t>tcomes shown are averages over 20 years from 2017-203</w:t>
      </w:r>
      <w:r w:rsidR="00C230BB" w:rsidRPr="00B260A7">
        <w:rPr>
          <w:highlight w:val="lightGray"/>
        </w:rPr>
        <w:t xml:space="preserve">6.  </w:t>
      </w:r>
      <w:r w:rsidR="00DA204D" w:rsidRPr="00B260A7">
        <w:rPr>
          <w:highlight w:val="lightGray"/>
        </w:rPr>
        <w:t xml:space="preserve"> </w:t>
      </w:r>
      <w:r w:rsidR="00967234" w:rsidRPr="00B260A7">
        <w:rPr>
          <w:highlight w:val="lightGray"/>
        </w:rPr>
        <w:t xml:space="preserve">As our main overall measure of the effect of the adherence monitoring-based interventions we consider the </w:t>
      </w:r>
      <w:r w:rsidR="00B260A7" w:rsidRPr="00B260A7">
        <w:rPr>
          <w:highlight w:val="lightGray"/>
        </w:rPr>
        <w:t xml:space="preserve">population of ART experienced people (i.e. i.e. all those who have ever started ART regardless of whether they remain on ART) and focus on the </w:t>
      </w:r>
      <w:r w:rsidR="00CE128B" w:rsidRPr="00B260A7">
        <w:rPr>
          <w:highlight w:val="lightGray"/>
        </w:rPr>
        <w:t>proportion</w:t>
      </w:r>
      <w:r w:rsidR="00B260A7" w:rsidRPr="00B260A7">
        <w:rPr>
          <w:highlight w:val="lightGray"/>
        </w:rPr>
        <w:t xml:space="preserve"> of this population with high adherence and the proportion with viral load &lt; 1000 copies / mL.   The reason for considering this measure is that each of the various components of the effect of the adherence monitoring-based intervention act to increase this proportion.   When considering our measure of population health, DALYs, we consider the whole adult population, those with and HIV and those without.  This is because we wish to take into account the effects of the intervention on reduced HIV transmission.</w:t>
      </w:r>
      <w:r w:rsidR="00B260A7">
        <w:t xml:space="preserve">     </w:t>
      </w:r>
      <w:r w:rsidR="00DA204D">
        <w:t>First (</w:t>
      </w:r>
      <w:r w:rsidR="002B7893" w:rsidRPr="009102F0">
        <w:t>Table 2a</w:t>
      </w:r>
      <w:r w:rsidR="00DA204D">
        <w:t>)</w:t>
      </w:r>
      <w:r w:rsidR="002B7893" w:rsidRPr="009102F0">
        <w:t xml:space="preserve">, </w:t>
      </w:r>
      <w:r w:rsidRPr="009102F0">
        <w:t xml:space="preserve">viral load monitoring is assumed not to be in place during the </w:t>
      </w:r>
      <w:r w:rsidR="00B64E87" w:rsidRPr="009102F0">
        <w:t>2</w:t>
      </w:r>
      <w:r w:rsidRPr="009102F0">
        <w:t>0 year period</w:t>
      </w:r>
      <w:r w:rsidR="007762D6">
        <w:t xml:space="preserve"> (which is not likely to be the case in Zimbabwe itself but could be elsewhere in the region)</w:t>
      </w:r>
      <w:r w:rsidRPr="009102F0">
        <w:t xml:space="preserve">.  </w:t>
      </w:r>
      <w:r w:rsidR="002B7893" w:rsidRPr="009102F0">
        <w:t xml:space="preserve"> </w:t>
      </w:r>
      <w:r w:rsidR="00BD5387" w:rsidRPr="009102F0">
        <w:t xml:space="preserve">If the intervention is </w:t>
      </w:r>
      <w:r w:rsidRPr="009102F0">
        <w:t xml:space="preserve">effective in only 20% of the population then </w:t>
      </w:r>
      <w:r w:rsidR="00EA3B04" w:rsidRPr="009102F0">
        <w:t xml:space="preserve">the effect on the proportion of ART experienced people with viral load suppression below 1000 copies/mL is </w:t>
      </w:r>
      <w:r w:rsidR="00F50E3F" w:rsidRPr="009102F0">
        <w:t xml:space="preserve">only </w:t>
      </w:r>
      <w:r w:rsidR="00B64E87" w:rsidRPr="009102F0">
        <w:t>2.7</w:t>
      </w:r>
      <w:r w:rsidR="002F1768" w:rsidRPr="009102F0">
        <w:t>%</w:t>
      </w:r>
      <w:r w:rsidR="00F50E3F" w:rsidRPr="009102F0">
        <w:t>,</w:t>
      </w:r>
      <w:r w:rsidR="002F1768" w:rsidRPr="009102F0">
        <w:t xml:space="preserve"> even when all three components of the effect </w:t>
      </w:r>
      <w:r w:rsidR="00F50E3F" w:rsidRPr="009102F0">
        <w:t>are</w:t>
      </w:r>
      <w:r w:rsidR="002F1768" w:rsidRPr="009102F0">
        <w:t xml:space="preserve"> present</w:t>
      </w:r>
      <w:r w:rsidR="00EA3B04" w:rsidRPr="009102F0">
        <w:t xml:space="preserve">: improving adherence in those on ART, reducing the rate of </w:t>
      </w:r>
      <w:r w:rsidR="006C07C8" w:rsidRPr="009102F0">
        <w:t>discontinuation</w:t>
      </w:r>
      <w:r w:rsidR="00EA3B04" w:rsidRPr="009102F0">
        <w:t xml:space="preserve"> of those on ART, and reducing the risk of resistance acquisition</w:t>
      </w:r>
      <w:r w:rsidR="00BD5387" w:rsidRPr="009102F0">
        <w:t xml:space="preserve">.  </w:t>
      </w:r>
      <w:r w:rsidR="00C7710B" w:rsidRPr="009102F0">
        <w:t xml:space="preserve">This modest effect is largely due to the relatively high levels of adherence without </w:t>
      </w:r>
      <w:r w:rsidR="00DA204D">
        <w:t xml:space="preserve">the </w:t>
      </w:r>
      <w:r w:rsidR="00C7710B" w:rsidRPr="009102F0">
        <w:t xml:space="preserve">intervention.  </w:t>
      </w:r>
      <w:r w:rsidR="002F1768" w:rsidRPr="009102F0">
        <w:t xml:space="preserve">Even so, an </w:t>
      </w:r>
      <w:r w:rsidR="00C230BB" w:rsidRPr="009102F0">
        <w:t xml:space="preserve">intervention </w:t>
      </w:r>
      <w:r w:rsidR="002F1768" w:rsidRPr="009102F0">
        <w:t xml:space="preserve">with this effect costing </w:t>
      </w:r>
      <w:r w:rsidR="00C230BB" w:rsidRPr="009102F0">
        <w:t>$</w:t>
      </w:r>
      <w:r w:rsidR="00EC6F1A" w:rsidRPr="009102F0">
        <w:t>3</w:t>
      </w:r>
      <w:r w:rsidR="002F1768" w:rsidRPr="009102F0">
        <w:t>7</w:t>
      </w:r>
      <w:r w:rsidR="00C230BB" w:rsidRPr="009102F0">
        <w:t xml:space="preserve"> per person on ART </w:t>
      </w:r>
      <w:r w:rsidR="002F1768" w:rsidRPr="009102F0">
        <w:t xml:space="preserve">per </w:t>
      </w:r>
      <w:r w:rsidR="00EC6F1A" w:rsidRPr="009102F0">
        <w:t xml:space="preserve">year </w:t>
      </w:r>
      <w:r w:rsidR="00E95E15" w:rsidRPr="009102F0">
        <w:t xml:space="preserve">(including patients in whom the intervention is not effective) </w:t>
      </w:r>
      <w:r w:rsidR="002F1768" w:rsidRPr="009102F0">
        <w:t xml:space="preserve">would be </w:t>
      </w:r>
      <w:r w:rsidR="00C230BB" w:rsidRPr="009102F0">
        <w:t>cost effective</w:t>
      </w:r>
      <w:r w:rsidR="002F1768" w:rsidRPr="009102F0">
        <w:t>, due mainly to the clinic visit savings from differentiation of care</w:t>
      </w:r>
      <w:r w:rsidR="00C230BB" w:rsidRPr="009102F0">
        <w:t xml:space="preserve">.  </w:t>
      </w:r>
      <w:r w:rsidR="00BD5387" w:rsidRPr="009102F0">
        <w:t>Considering that the intervention is effective</w:t>
      </w:r>
      <w:r w:rsidR="00040737" w:rsidRPr="009102F0">
        <w:t xml:space="preserve"> in 50% of people rath</w:t>
      </w:r>
      <w:r w:rsidR="00C230BB" w:rsidRPr="009102F0">
        <w:t xml:space="preserve">er than 20% there is now </w:t>
      </w:r>
      <w:r w:rsidR="00B64E87" w:rsidRPr="009102F0">
        <w:t>a 6.5</w:t>
      </w:r>
      <w:r w:rsidR="00F50E3F" w:rsidRPr="009102F0">
        <w:t>%</w:t>
      </w:r>
      <w:r w:rsidR="00C230BB" w:rsidRPr="009102F0">
        <w:t xml:space="preserve"> </w:t>
      </w:r>
      <w:r w:rsidR="00040737" w:rsidRPr="009102F0">
        <w:t xml:space="preserve">benefit on the proportion of ART experienced people with viral load suppression below 1000 copies/mL with the adherence intervention if it has an effect on all three components listed above.  Of the three components, it is the effect on reducing the rate of ART </w:t>
      </w:r>
      <w:r w:rsidR="006C07C8" w:rsidRPr="009102F0">
        <w:t>discontinuation</w:t>
      </w:r>
      <w:r w:rsidR="00040737" w:rsidRPr="009102F0">
        <w:t xml:space="preserve"> that had the greatest beneficial effects.   </w:t>
      </w:r>
      <w:r w:rsidR="00DA204D">
        <w:t xml:space="preserve">The </w:t>
      </w:r>
      <w:r w:rsidR="00BC1B98" w:rsidRPr="009102F0">
        <w:t xml:space="preserve">death rate in those with diagnosed HIV is likewise </w:t>
      </w:r>
      <w:r w:rsidR="00DA204D">
        <w:t>reduced</w:t>
      </w:r>
      <w:r w:rsidR="00BC1B98" w:rsidRPr="009102F0">
        <w:t xml:space="preserve">, from </w:t>
      </w:r>
      <w:r w:rsidR="00EC6F1A" w:rsidRPr="009102F0">
        <w:t>4.69</w:t>
      </w:r>
      <w:r w:rsidR="00BC1B98" w:rsidRPr="009102F0">
        <w:t xml:space="preserve"> per 100 person ye</w:t>
      </w:r>
      <w:r w:rsidR="00EC6F1A" w:rsidRPr="009102F0">
        <w:t>ars with no intervention to 4.08</w:t>
      </w:r>
      <w:r w:rsidR="00BC1B98" w:rsidRPr="009102F0">
        <w:t xml:space="preserve"> p</w:t>
      </w:r>
      <w:r w:rsidR="00F50E3F" w:rsidRPr="009102F0">
        <w:t>er 100 person years (i.e. a 13</w:t>
      </w:r>
      <w:r w:rsidR="00BC1B98" w:rsidRPr="009102F0">
        <w:t xml:space="preserve">% </w:t>
      </w:r>
      <w:r w:rsidR="00E95E15" w:rsidRPr="009102F0">
        <w:t>relative</w:t>
      </w:r>
      <w:r w:rsidR="007C1929" w:rsidRPr="009102F0">
        <w:t xml:space="preserve"> </w:t>
      </w:r>
      <w:r w:rsidR="00BC1B98" w:rsidRPr="009102F0">
        <w:t>reduction) with an intervention having an effect on all three components.</w:t>
      </w:r>
      <w:r w:rsidR="00AF7E88" w:rsidRPr="009102F0">
        <w:t xml:space="preserve">  </w:t>
      </w:r>
      <w:r w:rsidR="006045CA" w:rsidRPr="009102F0">
        <w:t>W</w:t>
      </w:r>
      <w:r w:rsidR="00025BCF" w:rsidRPr="009102F0">
        <w:t>hen the intervention has</w:t>
      </w:r>
      <w:r w:rsidR="006045CA" w:rsidRPr="009102F0">
        <w:t xml:space="preserve"> an effect on 80% of people then with an effect on all three components there is an 8</w:t>
      </w:r>
      <w:r w:rsidR="0054717F" w:rsidRPr="009102F0">
        <w:t>.2</w:t>
      </w:r>
      <w:r w:rsidR="006045CA" w:rsidRPr="009102F0">
        <w:t xml:space="preserve">% </w:t>
      </w:r>
      <w:r w:rsidR="00025BCF" w:rsidRPr="009102F0">
        <w:t xml:space="preserve">benefit </w:t>
      </w:r>
      <w:r w:rsidR="006045CA" w:rsidRPr="009102F0">
        <w:t xml:space="preserve">in terms of proportion of ART experienced people with viral load suppression and a 20% reduction in </w:t>
      </w:r>
      <w:r w:rsidR="00025BCF" w:rsidRPr="009102F0">
        <w:t xml:space="preserve">death rate in people with diagnosed HIV </w:t>
      </w:r>
      <w:r w:rsidR="00BB09F7" w:rsidRPr="009102F0">
        <w:t>from 4.</w:t>
      </w:r>
      <w:r w:rsidR="00540AE2" w:rsidRPr="009102F0">
        <w:t>69</w:t>
      </w:r>
      <w:r w:rsidR="006045CA" w:rsidRPr="009102F0">
        <w:t xml:space="preserve"> to 3.</w:t>
      </w:r>
      <w:r w:rsidR="00540AE2" w:rsidRPr="009102F0">
        <w:t>73</w:t>
      </w:r>
      <w:r w:rsidR="006045CA" w:rsidRPr="009102F0">
        <w:t xml:space="preserve"> / 100 person years.  In this situation, an intervention with this effect costing $</w:t>
      </w:r>
      <w:r w:rsidR="00540AE2" w:rsidRPr="009102F0">
        <w:t>62</w:t>
      </w:r>
      <w:r w:rsidR="006045CA" w:rsidRPr="009102F0">
        <w:t xml:space="preserve"> per person on ART per </w:t>
      </w:r>
      <w:r w:rsidR="00540AE2" w:rsidRPr="009102F0">
        <w:t>year would be cost effective.</w:t>
      </w:r>
      <w:r w:rsidR="005A42D0" w:rsidRPr="009102F0">
        <w:t xml:space="preserve"> </w:t>
      </w:r>
      <w:r w:rsidR="00B03603" w:rsidRPr="009102F0">
        <w:t xml:space="preserve">   T</w:t>
      </w:r>
      <w:r w:rsidR="004F2235" w:rsidRPr="009102F0">
        <w:t xml:space="preserve">he maximum </w:t>
      </w:r>
      <w:r w:rsidR="00B03603" w:rsidRPr="009102F0">
        <w:t xml:space="preserve">intervention </w:t>
      </w:r>
      <w:r w:rsidR="004F2235" w:rsidRPr="009102F0">
        <w:t>cost</w:t>
      </w:r>
      <w:r w:rsidR="006556A2" w:rsidRPr="009102F0">
        <w:t xml:space="preserve"> </w:t>
      </w:r>
      <w:r w:rsidR="00B03603" w:rsidRPr="009102F0">
        <w:t xml:space="preserve">to </w:t>
      </w:r>
      <w:r w:rsidR="006556A2" w:rsidRPr="009102F0">
        <w:t xml:space="preserve">be cost-effective is lowest when the </w:t>
      </w:r>
      <w:r w:rsidR="00B03603" w:rsidRPr="009102F0">
        <w:t xml:space="preserve">intervention only influences </w:t>
      </w:r>
      <w:r w:rsidR="006556A2" w:rsidRPr="009102F0">
        <w:t xml:space="preserve">ART </w:t>
      </w:r>
      <w:r w:rsidR="006C07C8" w:rsidRPr="009102F0">
        <w:t>discontinuation</w:t>
      </w:r>
      <w:r w:rsidR="00B03603" w:rsidRPr="009102F0">
        <w:t xml:space="preserve"> (combination of components (c), second column in Table 2)</w:t>
      </w:r>
      <w:r w:rsidR="006556A2" w:rsidRPr="009102F0">
        <w:t>.  This is</w:t>
      </w:r>
      <w:r w:rsidR="0033668B" w:rsidRPr="009102F0">
        <w:t xml:space="preserve"> due to the fact that more drug costs are incurred, wh</w:t>
      </w:r>
      <w:r w:rsidR="00C063EF" w:rsidRPr="009102F0">
        <w:t>ereas</w:t>
      </w:r>
      <w:r w:rsidR="0033668B" w:rsidRPr="009102F0">
        <w:t xml:space="preserve"> when there are beneficial effects on average adherence or on resistance acquisition while on ART there are no additional drug costs assumed.    </w:t>
      </w:r>
    </w:p>
    <w:p w14:paraId="2B92896C" w14:textId="77777777" w:rsidR="00641E66" w:rsidRDefault="00641E66">
      <w:pPr>
        <w:rPr>
          <w:b/>
          <w:color w:val="A50021"/>
        </w:rPr>
      </w:pPr>
      <w:r>
        <w:rPr>
          <w:b/>
          <w:color w:val="A50021"/>
        </w:rPr>
        <w:br w:type="page"/>
      </w:r>
    </w:p>
    <w:p w14:paraId="42C5A22C" w14:textId="690623A6" w:rsidR="00641E66" w:rsidRPr="009102F0" w:rsidRDefault="00641E66" w:rsidP="00641E66">
      <w:r w:rsidRPr="009102F0">
        <w:rPr>
          <w:b/>
          <w:noProof/>
          <w:color w:val="A50021"/>
          <w:lang w:val="en-US"/>
        </w:rPr>
        <mc:AlternateContent>
          <mc:Choice Requires="wps">
            <w:drawing>
              <wp:anchor distT="0" distB="0" distL="114300" distR="114300" simplePos="0" relativeHeight="251673600" behindDoc="0" locked="0" layoutInCell="1" allowOverlap="1" wp14:anchorId="25D07BD1" wp14:editId="4A2ADA51">
                <wp:simplePos x="0" y="0"/>
                <wp:positionH relativeFrom="column">
                  <wp:posOffset>477520</wp:posOffset>
                </wp:positionH>
                <wp:positionV relativeFrom="paragraph">
                  <wp:posOffset>11121390</wp:posOffset>
                </wp:positionV>
                <wp:extent cx="8712968" cy="707886"/>
                <wp:effectExtent l="0" t="0" r="0" b="0"/>
                <wp:wrapNone/>
                <wp:docPr id="72" name="TextBox 71"/>
                <wp:cNvGraphicFramePr/>
                <a:graphic xmlns:a="http://schemas.openxmlformats.org/drawingml/2006/main">
                  <a:graphicData uri="http://schemas.microsoft.com/office/word/2010/wordprocessingShape">
                    <wps:wsp>
                      <wps:cNvSpPr txBox="1"/>
                      <wps:spPr>
                        <a:xfrm>
                          <a:off x="0" y="0"/>
                          <a:ext cx="8712968" cy="707886"/>
                        </a:xfrm>
                        <a:prstGeom prst="rect">
                          <a:avLst/>
                        </a:prstGeom>
                        <a:noFill/>
                      </wps:spPr>
                      <wps:txbx>
                        <w:txbxContent>
                          <w:p w14:paraId="346FDEDD" w14:textId="77777777" w:rsidR="007970AB" w:rsidRDefault="007970AB" w:rsidP="00641E66">
                            <w:pPr>
                              <w:pStyle w:val="NormalWeb"/>
                              <w:spacing w:before="0" w:beforeAutospacing="0" w:after="0" w:afterAutospacing="0"/>
                            </w:pPr>
                            <w:r>
                              <w:rPr>
                                <w:rFonts w:asciiTheme="minorHAnsi" w:hAnsi="Calibri" w:cstheme="minorBidi"/>
                                <w:color w:val="000000" w:themeColor="text1"/>
                                <w:kern w:val="24"/>
                                <w:sz w:val="40"/>
                                <w:szCs w:val="40"/>
                              </w:rPr>
                              <w:t>Adherence also influenced by (i) current toxicity (current ADC) (ii) start second line (iii) viral load measurement</w:t>
                            </w:r>
                          </w:p>
                        </w:txbxContent>
                      </wps:txbx>
                      <wps:bodyPr wrap="square" rtlCol="0">
                        <a:spAutoFit/>
                      </wps:bodyPr>
                    </wps:wsp>
                  </a:graphicData>
                </a:graphic>
              </wp:anchor>
            </w:drawing>
          </mc:Choice>
          <mc:Fallback>
            <w:pict>
              <v:shapetype w14:anchorId="25D07BD1" id="_x0000_t202" coordsize="21600,21600" o:spt="202" path="m,l,21600r21600,l21600,xe">
                <v:stroke joinstyle="miter"/>
                <v:path gradientshapeok="t" o:connecttype="rect"/>
              </v:shapetype>
              <v:shape id="TextBox 71" o:spid="_x0000_s1026" type="#_x0000_t202" style="position:absolute;margin-left:37.6pt;margin-top:875.7pt;width:686.05pt;height:5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" filled="f" stroked="f">
                <v:textbox style="mso-fit-shape-to-text:t">
                  <w:txbxContent>
                    <w:p w14:paraId="346FDEDD" w14:textId="77777777" w:rsidR="007970AB" w:rsidRDefault="007970AB" w:rsidP="00641E66">
                      <w:pPr>
                        <w:pStyle w:val="NormalWeb"/>
                        <w:spacing w:before="0" w:beforeAutospacing="0" w:after="0" w:afterAutospacing="0"/>
                      </w:pPr>
                      <w:r>
                        <w:rPr>
                          <w:rFonts w:asciiTheme="minorHAnsi" w:hAnsi="Calibri" w:cstheme="minorBidi"/>
                          <w:color w:val="000000" w:themeColor="text1"/>
                          <w:kern w:val="24"/>
                          <w:sz w:val="40"/>
                          <w:szCs w:val="40"/>
                        </w:rPr>
                        <w:t>Adherence also influenced by (i) current toxicity (current ADC) (ii) start second line (iii) viral load measurement</w:t>
                      </w:r>
                    </w:p>
                  </w:txbxContent>
                </v:textbox>
              </v:shape>
            </w:pict>
          </mc:Fallback>
        </mc:AlternateContent>
      </w:r>
      <w:r w:rsidRPr="009102F0">
        <w:rPr>
          <w:b/>
          <w:color w:val="A50021"/>
        </w:rPr>
        <w:t>Table 2.</w:t>
      </w:r>
      <w:r w:rsidRPr="009102F0">
        <w:t xml:space="preserve">   </w:t>
      </w:r>
      <w:r w:rsidRPr="009102F0">
        <w:rPr>
          <w:sz w:val="20"/>
          <w:szCs w:val="20"/>
        </w:rPr>
        <w:t>Outcomes of adherence interventions according to the components the intervention has an effect on, the percent of people the intervention is effective in and whether viral load monitoring is employed, all in the context of an intervention with a durable effect.</w:t>
      </w:r>
      <w:r w:rsidRPr="009102F0">
        <w:t xml:space="preserve">   </w:t>
      </w:r>
      <w:r w:rsidRPr="009102F0">
        <w:rPr>
          <w:sz w:val="16"/>
          <w:szCs w:val="16"/>
        </w:rPr>
        <w:t xml:space="preserve"> </w:t>
      </w:r>
    </w:p>
    <w:tbl>
      <w:tblPr>
        <w:tblStyle w:val="TableGrid"/>
        <w:tblW w:w="9290" w:type="dxa"/>
        <w:tblLook w:val="04A0" w:firstRow="1" w:lastRow="0" w:firstColumn="1" w:lastColumn="0" w:noHBand="0" w:noVBand="1"/>
        <w:tblDescription w:val="Page Layout"/>
      </w:tblPr>
      <w:tblGrid>
        <w:gridCol w:w="1423"/>
        <w:gridCol w:w="1820"/>
        <w:gridCol w:w="1218"/>
        <w:gridCol w:w="1176"/>
        <w:gridCol w:w="1203"/>
        <w:gridCol w:w="7"/>
        <w:gridCol w:w="1169"/>
        <w:gridCol w:w="1274"/>
      </w:tblGrid>
      <w:tr w:rsidR="00641E66" w:rsidRPr="009102F0" w14:paraId="12486742" w14:textId="77777777" w:rsidTr="0073510C">
        <w:trPr>
          <w:trHeight w:val="2804"/>
        </w:trPr>
        <w:tc>
          <w:tcPr>
            <w:tcW w:w="1423" w:type="dxa"/>
            <w:tcBorders>
              <w:bottom w:val="single" w:sz="4" w:space="0" w:color="auto"/>
            </w:tcBorders>
            <w:noWrap/>
            <w:hideMark/>
          </w:tcPr>
          <w:p w14:paraId="32EB3C50" w14:textId="77777777" w:rsidR="00641E66" w:rsidRPr="009102F0" w:rsidRDefault="00641E66" w:rsidP="0073510C">
            <w:pPr>
              <w:rPr>
                <w:sz w:val="18"/>
                <w:szCs w:val="18"/>
              </w:rPr>
            </w:pPr>
            <w:r w:rsidRPr="009102F0">
              <w:rPr>
                <w:sz w:val="18"/>
                <w:szCs w:val="18"/>
              </w:rPr>
              <w:t>% of people adherence intervention effective in</w:t>
            </w:r>
          </w:p>
        </w:tc>
        <w:tc>
          <w:tcPr>
            <w:tcW w:w="1820" w:type="dxa"/>
            <w:tcBorders>
              <w:bottom w:val="single" w:sz="4" w:space="0" w:color="auto"/>
            </w:tcBorders>
            <w:noWrap/>
            <w:hideMark/>
          </w:tcPr>
          <w:p w14:paraId="0575AA19" w14:textId="77777777" w:rsidR="00641E66" w:rsidRPr="009102F0" w:rsidRDefault="00641E66" w:rsidP="0073510C">
            <w:pPr>
              <w:rPr>
                <w:sz w:val="18"/>
                <w:szCs w:val="18"/>
              </w:rPr>
            </w:pPr>
            <w:r w:rsidRPr="009102F0">
              <w:rPr>
                <w:sz w:val="18"/>
                <w:szCs w:val="18"/>
              </w:rPr>
              <w:t>Components intervention has beneficial effect on</w:t>
            </w:r>
          </w:p>
          <w:p w14:paraId="0E0B3D2E" w14:textId="77777777" w:rsidR="00641E66" w:rsidRPr="009102F0" w:rsidRDefault="00641E66" w:rsidP="0073510C">
            <w:pPr>
              <w:rPr>
                <w:sz w:val="18"/>
                <w:szCs w:val="18"/>
              </w:rPr>
            </w:pPr>
            <w:r w:rsidRPr="009102F0">
              <w:rPr>
                <w:sz w:val="18"/>
                <w:szCs w:val="18"/>
              </w:rPr>
              <w:t>(a) adherence on ART only (b) adherence on ART + discontinuation of ART (c) discontinuation of ART only (d) adherence on ART + risk of resistance (e) adherence on ART + discontinuation of ART + risk of resistance</w:t>
            </w:r>
          </w:p>
        </w:tc>
        <w:tc>
          <w:tcPr>
            <w:tcW w:w="1218" w:type="dxa"/>
            <w:tcBorders>
              <w:bottom w:val="single" w:sz="4" w:space="0" w:color="auto"/>
            </w:tcBorders>
            <w:noWrap/>
            <w:hideMark/>
          </w:tcPr>
          <w:p w14:paraId="6036B4BF" w14:textId="77777777" w:rsidR="00641E66" w:rsidRPr="009102F0" w:rsidRDefault="00641E66" w:rsidP="0073510C">
            <w:pPr>
              <w:rPr>
                <w:sz w:val="18"/>
                <w:szCs w:val="18"/>
              </w:rPr>
            </w:pPr>
            <w:r w:rsidRPr="009102F0">
              <w:rPr>
                <w:sz w:val="18"/>
                <w:szCs w:val="18"/>
              </w:rPr>
              <w:t>Proportion</w:t>
            </w:r>
          </w:p>
          <w:p w14:paraId="2DC0F594" w14:textId="77777777" w:rsidR="00641E66" w:rsidRPr="009102F0" w:rsidRDefault="00641E66" w:rsidP="0073510C">
            <w:pPr>
              <w:rPr>
                <w:sz w:val="18"/>
                <w:szCs w:val="18"/>
              </w:rPr>
            </w:pPr>
            <w:r w:rsidRPr="009102F0">
              <w:rPr>
                <w:sz w:val="18"/>
                <w:szCs w:val="18"/>
              </w:rPr>
              <w:t>of ART experienced</w:t>
            </w:r>
          </w:p>
          <w:p w14:paraId="5E9A01B6" w14:textId="77777777" w:rsidR="00641E66" w:rsidRPr="009102F0" w:rsidRDefault="00641E66" w:rsidP="0073510C">
            <w:pPr>
              <w:rPr>
                <w:sz w:val="18"/>
                <w:szCs w:val="18"/>
              </w:rPr>
            </w:pPr>
            <w:r w:rsidRPr="009102F0">
              <w:rPr>
                <w:sz w:val="18"/>
                <w:szCs w:val="18"/>
              </w:rPr>
              <w:t>people on</w:t>
            </w:r>
          </w:p>
          <w:p w14:paraId="55407FE1" w14:textId="77777777" w:rsidR="00641E66" w:rsidRPr="009102F0" w:rsidRDefault="00641E66" w:rsidP="0073510C">
            <w:pPr>
              <w:rPr>
                <w:sz w:val="18"/>
                <w:szCs w:val="18"/>
              </w:rPr>
            </w:pPr>
            <w:r w:rsidRPr="009102F0">
              <w:rPr>
                <w:sz w:val="18"/>
                <w:szCs w:val="18"/>
              </w:rPr>
              <w:t>ART with high</w:t>
            </w:r>
          </w:p>
          <w:p w14:paraId="2676AFA2" w14:textId="77777777" w:rsidR="00641E66" w:rsidRPr="009102F0" w:rsidRDefault="00641E66" w:rsidP="0073510C">
            <w:pPr>
              <w:rPr>
                <w:sz w:val="18"/>
                <w:szCs w:val="18"/>
              </w:rPr>
            </w:pPr>
            <w:r w:rsidRPr="009102F0">
              <w:rPr>
                <w:sz w:val="18"/>
                <w:szCs w:val="18"/>
              </w:rPr>
              <w:t>adherence</w:t>
            </w:r>
          </w:p>
        </w:tc>
        <w:tc>
          <w:tcPr>
            <w:tcW w:w="1176" w:type="dxa"/>
            <w:tcBorders>
              <w:bottom w:val="single" w:sz="4" w:space="0" w:color="auto"/>
            </w:tcBorders>
            <w:noWrap/>
            <w:hideMark/>
          </w:tcPr>
          <w:p w14:paraId="323CABF9" w14:textId="77777777" w:rsidR="00641E66" w:rsidRPr="009102F0" w:rsidRDefault="00641E66" w:rsidP="0073510C">
            <w:pPr>
              <w:rPr>
                <w:sz w:val="18"/>
                <w:szCs w:val="18"/>
              </w:rPr>
            </w:pPr>
            <w:r w:rsidRPr="009102F0">
              <w:rPr>
                <w:sz w:val="18"/>
                <w:szCs w:val="18"/>
              </w:rPr>
              <w:t>Proportion</w:t>
            </w:r>
          </w:p>
          <w:p w14:paraId="5C9E4C4B" w14:textId="77777777" w:rsidR="00641E66" w:rsidRPr="009102F0" w:rsidRDefault="00641E66" w:rsidP="0073510C">
            <w:pPr>
              <w:rPr>
                <w:sz w:val="18"/>
                <w:szCs w:val="18"/>
              </w:rPr>
            </w:pPr>
            <w:r w:rsidRPr="009102F0">
              <w:rPr>
                <w:sz w:val="18"/>
                <w:szCs w:val="18"/>
              </w:rPr>
              <w:t>of ART experienced</w:t>
            </w:r>
          </w:p>
          <w:p w14:paraId="3FE1B51C" w14:textId="77777777" w:rsidR="00641E66" w:rsidRPr="009102F0" w:rsidRDefault="00641E66" w:rsidP="0073510C">
            <w:pPr>
              <w:rPr>
                <w:sz w:val="18"/>
                <w:szCs w:val="18"/>
              </w:rPr>
            </w:pPr>
            <w:r w:rsidRPr="009102F0">
              <w:rPr>
                <w:sz w:val="18"/>
                <w:szCs w:val="18"/>
              </w:rPr>
              <w:t>people with</w:t>
            </w:r>
          </w:p>
          <w:p w14:paraId="50EDC12C" w14:textId="77777777" w:rsidR="00641E66" w:rsidRPr="009102F0" w:rsidRDefault="00641E66" w:rsidP="0073510C">
            <w:pPr>
              <w:rPr>
                <w:sz w:val="18"/>
                <w:szCs w:val="18"/>
              </w:rPr>
            </w:pPr>
            <w:r w:rsidRPr="009102F0">
              <w:rPr>
                <w:sz w:val="18"/>
                <w:szCs w:val="18"/>
              </w:rPr>
              <w:t>viral load</w:t>
            </w:r>
          </w:p>
          <w:p w14:paraId="4C189232" w14:textId="77777777" w:rsidR="00641E66" w:rsidRPr="009102F0" w:rsidRDefault="00641E66" w:rsidP="0073510C">
            <w:pPr>
              <w:rPr>
                <w:sz w:val="18"/>
                <w:szCs w:val="18"/>
              </w:rPr>
            </w:pPr>
            <w:r w:rsidRPr="009102F0">
              <w:rPr>
                <w:sz w:val="18"/>
                <w:szCs w:val="18"/>
              </w:rPr>
              <w:t>&lt; 1000</w:t>
            </w:r>
          </w:p>
        </w:tc>
        <w:tc>
          <w:tcPr>
            <w:tcW w:w="1203" w:type="dxa"/>
            <w:tcBorders>
              <w:bottom w:val="single" w:sz="4" w:space="0" w:color="auto"/>
            </w:tcBorders>
            <w:noWrap/>
            <w:hideMark/>
          </w:tcPr>
          <w:p w14:paraId="65AD6081" w14:textId="77777777" w:rsidR="00641E66" w:rsidRPr="009102F0" w:rsidRDefault="00641E66" w:rsidP="0073510C">
            <w:pPr>
              <w:rPr>
                <w:sz w:val="18"/>
                <w:szCs w:val="18"/>
              </w:rPr>
            </w:pPr>
            <w:r w:rsidRPr="009102F0">
              <w:rPr>
                <w:sz w:val="18"/>
                <w:szCs w:val="18"/>
              </w:rPr>
              <w:t>Death rate</w:t>
            </w:r>
          </w:p>
          <w:p w14:paraId="475C149F" w14:textId="77777777" w:rsidR="00641E66" w:rsidRPr="009102F0" w:rsidRDefault="00641E66" w:rsidP="0073510C">
            <w:pPr>
              <w:rPr>
                <w:sz w:val="18"/>
                <w:szCs w:val="18"/>
              </w:rPr>
            </w:pPr>
            <w:r w:rsidRPr="009102F0">
              <w:rPr>
                <w:sz w:val="18"/>
                <w:szCs w:val="18"/>
              </w:rPr>
              <w:t>in ART experienced</w:t>
            </w:r>
          </w:p>
          <w:p w14:paraId="328FF6D9" w14:textId="77777777" w:rsidR="00641E66" w:rsidRPr="009102F0" w:rsidRDefault="00641E66" w:rsidP="0073510C">
            <w:pPr>
              <w:rPr>
                <w:sz w:val="18"/>
                <w:szCs w:val="18"/>
              </w:rPr>
            </w:pPr>
            <w:r w:rsidRPr="009102F0">
              <w:rPr>
                <w:sz w:val="18"/>
                <w:szCs w:val="18"/>
              </w:rPr>
              <w:t>people</w:t>
            </w:r>
          </w:p>
        </w:tc>
        <w:tc>
          <w:tcPr>
            <w:tcW w:w="1176" w:type="dxa"/>
            <w:gridSpan w:val="2"/>
            <w:tcBorders>
              <w:bottom w:val="single" w:sz="4" w:space="0" w:color="auto"/>
            </w:tcBorders>
            <w:noWrap/>
            <w:hideMark/>
          </w:tcPr>
          <w:p w14:paraId="57FDA990" w14:textId="77777777" w:rsidR="00641E66" w:rsidRPr="009102F0" w:rsidRDefault="00641E66" w:rsidP="0073510C">
            <w:pPr>
              <w:rPr>
                <w:sz w:val="18"/>
                <w:szCs w:val="18"/>
              </w:rPr>
            </w:pPr>
            <w:r w:rsidRPr="009102F0">
              <w:rPr>
                <w:sz w:val="18"/>
                <w:szCs w:val="18"/>
              </w:rPr>
              <w:t>DALYs averted per 3 months (over 20 years, compared</w:t>
            </w:r>
          </w:p>
          <w:p w14:paraId="395EE523" w14:textId="77777777" w:rsidR="00641E66" w:rsidRPr="009102F0" w:rsidRDefault="00641E66" w:rsidP="0073510C">
            <w:pPr>
              <w:rPr>
                <w:sz w:val="18"/>
                <w:szCs w:val="18"/>
              </w:rPr>
            </w:pPr>
            <w:r w:rsidRPr="009102F0">
              <w:rPr>
                <w:sz w:val="18"/>
                <w:szCs w:val="18"/>
              </w:rPr>
              <w:t>with no intervention)</w:t>
            </w:r>
          </w:p>
        </w:tc>
        <w:tc>
          <w:tcPr>
            <w:tcW w:w="1274" w:type="dxa"/>
            <w:tcBorders>
              <w:bottom w:val="single" w:sz="4" w:space="0" w:color="auto"/>
            </w:tcBorders>
            <w:noWrap/>
            <w:hideMark/>
          </w:tcPr>
          <w:p w14:paraId="088931CE" w14:textId="77777777" w:rsidR="00641E66" w:rsidRPr="009102F0" w:rsidRDefault="00641E66" w:rsidP="0073510C">
            <w:pPr>
              <w:rPr>
                <w:sz w:val="18"/>
                <w:szCs w:val="18"/>
              </w:rPr>
            </w:pPr>
            <w:r w:rsidRPr="009102F0">
              <w:rPr>
                <w:rFonts w:eastAsia="Times New Roman" w:cs="Times New Roman"/>
                <w:color w:val="000000"/>
                <w:sz w:val="18"/>
                <w:szCs w:val="18"/>
                <w:lang w:eastAsia="en-GB"/>
              </w:rPr>
              <w:t>Maximum cost of adherence intervention (per person  on ART per year) to be cost effective</w:t>
            </w:r>
          </w:p>
        </w:tc>
      </w:tr>
      <w:tr w:rsidR="00641E66" w:rsidRPr="009102F0" w14:paraId="7C5F5C11" w14:textId="77777777" w:rsidTr="0073510C">
        <w:trPr>
          <w:trHeight w:val="343"/>
        </w:trPr>
        <w:tc>
          <w:tcPr>
            <w:tcW w:w="9290" w:type="dxa"/>
            <w:gridSpan w:val="8"/>
            <w:tcBorders>
              <w:left w:val="single" w:sz="4" w:space="0" w:color="auto"/>
              <w:right w:val="single" w:sz="4" w:space="0" w:color="auto"/>
            </w:tcBorders>
            <w:noWrap/>
          </w:tcPr>
          <w:p w14:paraId="7EAE0406" w14:textId="77777777" w:rsidR="00641E66" w:rsidRPr="009102F0" w:rsidRDefault="00641E66" w:rsidP="0073510C">
            <w:pPr>
              <w:rPr>
                <w:rFonts w:ascii="Calibri" w:hAnsi="Calibri"/>
                <w:b/>
                <w:color w:val="C00000"/>
                <w:sz w:val="18"/>
                <w:szCs w:val="18"/>
              </w:rPr>
            </w:pPr>
          </w:p>
          <w:p w14:paraId="74DD4B18" w14:textId="77777777" w:rsidR="00641E66" w:rsidRPr="009102F0" w:rsidRDefault="00641E66" w:rsidP="0073510C">
            <w:pPr>
              <w:rPr>
                <w:rFonts w:ascii="Calibri" w:hAnsi="Calibri"/>
                <w:b/>
                <w:color w:val="C00000"/>
                <w:sz w:val="18"/>
                <w:szCs w:val="18"/>
              </w:rPr>
            </w:pPr>
            <w:r w:rsidRPr="009102F0">
              <w:rPr>
                <w:rFonts w:ascii="Calibri" w:hAnsi="Calibri"/>
                <w:b/>
                <w:color w:val="C00000"/>
                <w:sz w:val="18"/>
                <w:szCs w:val="18"/>
              </w:rPr>
              <w:t>(a) No viral load monitoring</w:t>
            </w:r>
          </w:p>
          <w:p w14:paraId="6896CDBB" w14:textId="77777777" w:rsidR="00641E66" w:rsidRPr="009102F0" w:rsidRDefault="00641E66" w:rsidP="0073510C">
            <w:pPr>
              <w:rPr>
                <w:rFonts w:ascii="Calibri" w:hAnsi="Calibri"/>
                <w:color w:val="000000"/>
                <w:sz w:val="18"/>
                <w:szCs w:val="18"/>
              </w:rPr>
            </w:pPr>
          </w:p>
        </w:tc>
      </w:tr>
      <w:tr w:rsidR="00641E66" w:rsidRPr="009102F0" w14:paraId="64E6C2A2" w14:textId="77777777" w:rsidTr="0073510C">
        <w:trPr>
          <w:trHeight w:val="227"/>
        </w:trPr>
        <w:tc>
          <w:tcPr>
            <w:tcW w:w="1423" w:type="dxa"/>
            <w:noWrap/>
            <w:hideMark/>
          </w:tcPr>
          <w:p w14:paraId="715BEFE9" w14:textId="77777777" w:rsidR="00641E66" w:rsidRPr="009102F0" w:rsidRDefault="00641E66" w:rsidP="0073510C">
            <w:pPr>
              <w:spacing w:line="204" w:lineRule="auto"/>
              <w:rPr>
                <w:rFonts w:ascii="Calibri" w:hAnsi="Calibri"/>
                <w:color w:val="000000"/>
                <w:sz w:val="18"/>
                <w:szCs w:val="18"/>
              </w:rPr>
            </w:pPr>
            <w:r w:rsidRPr="009102F0">
              <w:rPr>
                <w:rFonts w:ascii="Calibri" w:hAnsi="Calibri"/>
                <w:color w:val="000000"/>
                <w:sz w:val="18"/>
                <w:szCs w:val="18"/>
              </w:rPr>
              <w:t>No intervention</w:t>
            </w:r>
          </w:p>
        </w:tc>
        <w:tc>
          <w:tcPr>
            <w:tcW w:w="1820" w:type="dxa"/>
            <w:noWrap/>
            <w:hideMark/>
          </w:tcPr>
          <w:p w14:paraId="6F0FA1AC"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w:t>
            </w:r>
          </w:p>
        </w:tc>
        <w:tc>
          <w:tcPr>
            <w:tcW w:w="1218" w:type="dxa"/>
            <w:noWrap/>
            <w:hideMark/>
          </w:tcPr>
          <w:p w14:paraId="45BA3035" w14:textId="77777777" w:rsidR="00641E66" w:rsidRPr="009102F0" w:rsidRDefault="00641E66" w:rsidP="0073510C">
            <w:pPr>
              <w:rPr>
                <w:sz w:val="18"/>
                <w:szCs w:val="18"/>
              </w:rPr>
            </w:pPr>
            <w:r w:rsidRPr="009102F0">
              <w:rPr>
                <w:sz w:val="18"/>
                <w:szCs w:val="18"/>
              </w:rPr>
              <w:t>0.805</w:t>
            </w:r>
          </w:p>
        </w:tc>
        <w:tc>
          <w:tcPr>
            <w:tcW w:w="1176" w:type="dxa"/>
            <w:noWrap/>
            <w:hideMark/>
          </w:tcPr>
          <w:p w14:paraId="12D82A50" w14:textId="77777777" w:rsidR="00641E66" w:rsidRPr="009102F0" w:rsidRDefault="00641E66" w:rsidP="0073510C">
            <w:pPr>
              <w:rPr>
                <w:sz w:val="18"/>
                <w:szCs w:val="18"/>
              </w:rPr>
            </w:pPr>
            <w:r w:rsidRPr="009102F0">
              <w:rPr>
                <w:sz w:val="18"/>
                <w:szCs w:val="18"/>
              </w:rPr>
              <w:t>0.741</w:t>
            </w:r>
          </w:p>
        </w:tc>
        <w:tc>
          <w:tcPr>
            <w:tcW w:w="1203" w:type="dxa"/>
            <w:noWrap/>
            <w:hideMark/>
          </w:tcPr>
          <w:p w14:paraId="09DBF65D" w14:textId="77777777" w:rsidR="00641E66" w:rsidRPr="009102F0" w:rsidRDefault="00641E66" w:rsidP="0073510C">
            <w:pPr>
              <w:rPr>
                <w:sz w:val="18"/>
                <w:szCs w:val="18"/>
              </w:rPr>
            </w:pPr>
            <w:r w:rsidRPr="009102F0">
              <w:rPr>
                <w:sz w:val="18"/>
                <w:szCs w:val="18"/>
              </w:rPr>
              <w:t>4.69</w:t>
            </w:r>
          </w:p>
        </w:tc>
        <w:tc>
          <w:tcPr>
            <w:tcW w:w="1176" w:type="dxa"/>
            <w:gridSpan w:val="2"/>
            <w:noWrap/>
            <w:hideMark/>
          </w:tcPr>
          <w:p w14:paraId="56870335" w14:textId="77777777" w:rsidR="00641E66" w:rsidRPr="009102F0" w:rsidRDefault="00641E66" w:rsidP="0073510C">
            <w:pPr>
              <w:rPr>
                <w:sz w:val="18"/>
                <w:szCs w:val="18"/>
              </w:rPr>
            </w:pPr>
            <w:r w:rsidRPr="009102F0">
              <w:rPr>
                <w:sz w:val="18"/>
                <w:szCs w:val="18"/>
              </w:rPr>
              <w:t>---</w:t>
            </w:r>
          </w:p>
        </w:tc>
        <w:tc>
          <w:tcPr>
            <w:tcW w:w="1274" w:type="dxa"/>
            <w:noWrap/>
          </w:tcPr>
          <w:p w14:paraId="1492F5A7" w14:textId="77777777" w:rsidR="00641E66" w:rsidRPr="009102F0" w:rsidRDefault="00641E66" w:rsidP="0073510C">
            <w:pPr>
              <w:rPr>
                <w:rFonts w:ascii="Calibri" w:hAnsi="Calibri"/>
                <w:sz w:val="18"/>
                <w:szCs w:val="18"/>
              </w:rPr>
            </w:pPr>
          </w:p>
        </w:tc>
      </w:tr>
      <w:tr w:rsidR="00641E66" w:rsidRPr="009102F0" w14:paraId="2034727B" w14:textId="77777777" w:rsidTr="0073510C">
        <w:trPr>
          <w:trHeight w:val="227"/>
        </w:trPr>
        <w:tc>
          <w:tcPr>
            <w:tcW w:w="1423" w:type="dxa"/>
            <w:noWrap/>
            <w:hideMark/>
          </w:tcPr>
          <w:p w14:paraId="03C5BF2F"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54442AFD"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(a)</w:t>
            </w:r>
          </w:p>
        </w:tc>
        <w:tc>
          <w:tcPr>
            <w:tcW w:w="1218" w:type="dxa"/>
            <w:noWrap/>
            <w:hideMark/>
          </w:tcPr>
          <w:p w14:paraId="56321F99" w14:textId="77777777" w:rsidR="00641E66" w:rsidRPr="009102F0" w:rsidRDefault="00641E66" w:rsidP="0073510C">
            <w:pPr>
              <w:rPr>
                <w:sz w:val="18"/>
                <w:szCs w:val="18"/>
              </w:rPr>
            </w:pPr>
            <w:r w:rsidRPr="009102F0">
              <w:rPr>
                <w:sz w:val="18"/>
                <w:szCs w:val="18"/>
              </w:rPr>
              <w:t>0.812</w:t>
            </w:r>
          </w:p>
        </w:tc>
        <w:tc>
          <w:tcPr>
            <w:tcW w:w="1176" w:type="dxa"/>
            <w:noWrap/>
            <w:hideMark/>
          </w:tcPr>
          <w:p w14:paraId="5BF31BCE" w14:textId="77777777" w:rsidR="00641E66" w:rsidRPr="009102F0" w:rsidRDefault="00641E66" w:rsidP="0073510C">
            <w:pPr>
              <w:rPr>
                <w:sz w:val="18"/>
                <w:szCs w:val="18"/>
              </w:rPr>
            </w:pPr>
            <w:r w:rsidRPr="009102F0">
              <w:rPr>
                <w:sz w:val="18"/>
                <w:szCs w:val="18"/>
              </w:rPr>
              <w:t>0.747</w:t>
            </w:r>
          </w:p>
        </w:tc>
        <w:tc>
          <w:tcPr>
            <w:tcW w:w="1203" w:type="dxa"/>
            <w:noWrap/>
            <w:hideMark/>
          </w:tcPr>
          <w:p w14:paraId="187E84E8" w14:textId="77777777" w:rsidR="00641E66" w:rsidRPr="009102F0" w:rsidRDefault="00641E66" w:rsidP="0073510C">
            <w:pPr>
              <w:rPr>
                <w:sz w:val="18"/>
                <w:szCs w:val="18"/>
              </w:rPr>
            </w:pPr>
            <w:r w:rsidRPr="009102F0">
              <w:rPr>
                <w:sz w:val="18"/>
                <w:szCs w:val="18"/>
              </w:rPr>
              <w:t>4.62</w:t>
            </w:r>
          </w:p>
        </w:tc>
        <w:tc>
          <w:tcPr>
            <w:tcW w:w="1176" w:type="dxa"/>
            <w:gridSpan w:val="2"/>
            <w:noWrap/>
            <w:hideMark/>
          </w:tcPr>
          <w:p w14:paraId="48BD6E4E" w14:textId="77777777" w:rsidR="00641E66" w:rsidRPr="009102F0" w:rsidRDefault="00641E66" w:rsidP="0073510C">
            <w:pPr>
              <w:rPr>
                <w:sz w:val="18"/>
                <w:szCs w:val="18"/>
              </w:rPr>
            </w:pPr>
            <w:r w:rsidRPr="009102F0">
              <w:rPr>
                <w:sz w:val="18"/>
                <w:szCs w:val="18"/>
              </w:rPr>
              <w:t>1226</w:t>
            </w:r>
          </w:p>
        </w:tc>
        <w:tc>
          <w:tcPr>
            <w:tcW w:w="1274" w:type="dxa"/>
            <w:noWrap/>
          </w:tcPr>
          <w:p w14:paraId="263D7EC1" w14:textId="77777777" w:rsidR="00641E66" w:rsidRPr="009102F0" w:rsidRDefault="00641E66" w:rsidP="0073510C">
            <w:pPr>
              <w:rPr>
                <w:rFonts w:ascii="Calibri" w:hAnsi="Calibri"/>
                <w:sz w:val="18"/>
                <w:szCs w:val="18"/>
              </w:rPr>
            </w:pPr>
            <w:r w:rsidRPr="009102F0">
              <w:rPr>
                <w:rFonts w:ascii="Calibri" w:hAnsi="Calibri"/>
                <w:sz w:val="18"/>
                <w:szCs w:val="18"/>
              </w:rPr>
              <w:t>$33</w:t>
            </w:r>
          </w:p>
        </w:tc>
      </w:tr>
      <w:tr w:rsidR="00641E66" w:rsidRPr="009102F0" w14:paraId="60EBC5D1" w14:textId="77777777" w:rsidTr="0073510C">
        <w:trPr>
          <w:trHeight w:val="227"/>
        </w:trPr>
        <w:tc>
          <w:tcPr>
            <w:tcW w:w="1423" w:type="dxa"/>
            <w:noWrap/>
            <w:hideMark/>
          </w:tcPr>
          <w:p w14:paraId="17188D49"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23F0F0A1"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(b)</w:t>
            </w:r>
          </w:p>
        </w:tc>
        <w:tc>
          <w:tcPr>
            <w:tcW w:w="1218" w:type="dxa"/>
            <w:noWrap/>
            <w:hideMark/>
          </w:tcPr>
          <w:p w14:paraId="6D4C126C" w14:textId="77777777" w:rsidR="00641E66" w:rsidRPr="009102F0" w:rsidRDefault="00641E66" w:rsidP="0073510C">
            <w:pPr>
              <w:rPr>
                <w:sz w:val="18"/>
                <w:szCs w:val="18"/>
              </w:rPr>
            </w:pPr>
            <w:r w:rsidRPr="009102F0">
              <w:rPr>
                <w:sz w:val="18"/>
                <w:szCs w:val="18"/>
              </w:rPr>
              <w:t>0.828</w:t>
            </w:r>
          </w:p>
        </w:tc>
        <w:tc>
          <w:tcPr>
            <w:tcW w:w="1176" w:type="dxa"/>
            <w:noWrap/>
            <w:hideMark/>
          </w:tcPr>
          <w:p w14:paraId="1A6BB372" w14:textId="77777777" w:rsidR="00641E66" w:rsidRPr="009102F0" w:rsidRDefault="00641E66" w:rsidP="0073510C">
            <w:pPr>
              <w:rPr>
                <w:sz w:val="18"/>
                <w:szCs w:val="18"/>
              </w:rPr>
            </w:pPr>
            <w:r w:rsidRPr="009102F0">
              <w:rPr>
                <w:sz w:val="18"/>
                <w:szCs w:val="18"/>
              </w:rPr>
              <w:t>0.760</w:t>
            </w:r>
          </w:p>
        </w:tc>
        <w:tc>
          <w:tcPr>
            <w:tcW w:w="1203" w:type="dxa"/>
            <w:noWrap/>
            <w:hideMark/>
          </w:tcPr>
          <w:p w14:paraId="30CFD9C8" w14:textId="77777777" w:rsidR="00641E66" w:rsidRPr="009102F0" w:rsidRDefault="00641E66" w:rsidP="0073510C">
            <w:pPr>
              <w:rPr>
                <w:sz w:val="18"/>
                <w:szCs w:val="18"/>
              </w:rPr>
            </w:pPr>
            <w:r w:rsidRPr="009102F0">
              <w:rPr>
                <w:sz w:val="18"/>
                <w:szCs w:val="18"/>
              </w:rPr>
              <w:t>4.48</w:t>
            </w:r>
          </w:p>
        </w:tc>
        <w:tc>
          <w:tcPr>
            <w:tcW w:w="1176" w:type="dxa"/>
            <w:gridSpan w:val="2"/>
            <w:noWrap/>
            <w:hideMark/>
          </w:tcPr>
          <w:p w14:paraId="30E29E6E" w14:textId="77777777" w:rsidR="00641E66" w:rsidRPr="009102F0" w:rsidRDefault="00641E66" w:rsidP="0073510C">
            <w:pPr>
              <w:rPr>
                <w:sz w:val="18"/>
                <w:szCs w:val="18"/>
              </w:rPr>
            </w:pPr>
            <w:r w:rsidRPr="009102F0">
              <w:rPr>
                <w:sz w:val="18"/>
                <w:szCs w:val="18"/>
              </w:rPr>
              <w:t>2889</w:t>
            </w:r>
          </w:p>
        </w:tc>
        <w:tc>
          <w:tcPr>
            <w:tcW w:w="1274" w:type="dxa"/>
            <w:noWrap/>
          </w:tcPr>
          <w:p w14:paraId="00E4B476" w14:textId="77777777" w:rsidR="00641E66" w:rsidRPr="009102F0" w:rsidRDefault="00641E66" w:rsidP="0073510C">
            <w:pPr>
              <w:rPr>
                <w:rFonts w:ascii="Calibri" w:hAnsi="Calibri"/>
                <w:sz w:val="18"/>
                <w:szCs w:val="18"/>
              </w:rPr>
            </w:pPr>
            <w:r w:rsidRPr="009102F0">
              <w:rPr>
                <w:rFonts w:ascii="Calibri" w:hAnsi="Calibri"/>
                <w:sz w:val="18"/>
                <w:szCs w:val="18"/>
              </w:rPr>
              <w:t>$35</w:t>
            </w:r>
          </w:p>
        </w:tc>
      </w:tr>
      <w:tr w:rsidR="00641E66" w:rsidRPr="009102F0" w14:paraId="566DA118" w14:textId="77777777" w:rsidTr="0073510C">
        <w:trPr>
          <w:trHeight w:val="227"/>
        </w:trPr>
        <w:tc>
          <w:tcPr>
            <w:tcW w:w="1423" w:type="dxa"/>
            <w:noWrap/>
            <w:hideMark/>
          </w:tcPr>
          <w:p w14:paraId="5010D08C"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301D6633"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(c)</w:t>
            </w:r>
          </w:p>
        </w:tc>
        <w:tc>
          <w:tcPr>
            <w:tcW w:w="1218" w:type="dxa"/>
            <w:noWrap/>
            <w:hideMark/>
          </w:tcPr>
          <w:p w14:paraId="72E6761C" w14:textId="77777777" w:rsidR="00641E66" w:rsidRPr="009102F0" w:rsidRDefault="00641E66" w:rsidP="0073510C">
            <w:pPr>
              <w:rPr>
                <w:sz w:val="18"/>
                <w:szCs w:val="18"/>
              </w:rPr>
            </w:pPr>
            <w:r w:rsidRPr="009102F0">
              <w:rPr>
                <w:sz w:val="18"/>
                <w:szCs w:val="18"/>
              </w:rPr>
              <w:t>0.818</w:t>
            </w:r>
          </w:p>
        </w:tc>
        <w:tc>
          <w:tcPr>
            <w:tcW w:w="1176" w:type="dxa"/>
            <w:noWrap/>
            <w:hideMark/>
          </w:tcPr>
          <w:p w14:paraId="0E4E0A3C" w14:textId="77777777" w:rsidR="00641E66" w:rsidRPr="009102F0" w:rsidRDefault="00641E66" w:rsidP="0073510C">
            <w:pPr>
              <w:rPr>
                <w:sz w:val="18"/>
                <w:szCs w:val="18"/>
              </w:rPr>
            </w:pPr>
            <w:r w:rsidRPr="009102F0">
              <w:rPr>
                <w:sz w:val="18"/>
                <w:szCs w:val="18"/>
              </w:rPr>
              <w:t>0.752</w:t>
            </w:r>
          </w:p>
        </w:tc>
        <w:tc>
          <w:tcPr>
            <w:tcW w:w="1203" w:type="dxa"/>
            <w:noWrap/>
            <w:hideMark/>
          </w:tcPr>
          <w:p w14:paraId="62EB4F3A" w14:textId="77777777" w:rsidR="00641E66" w:rsidRPr="009102F0" w:rsidRDefault="00641E66" w:rsidP="0073510C">
            <w:pPr>
              <w:rPr>
                <w:sz w:val="18"/>
                <w:szCs w:val="18"/>
              </w:rPr>
            </w:pPr>
            <w:r w:rsidRPr="009102F0">
              <w:rPr>
                <w:sz w:val="18"/>
                <w:szCs w:val="18"/>
              </w:rPr>
              <w:t>4.55</w:t>
            </w:r>
          </w:p>
        </w:tc>
        <w:tc>
          <w:tcPr>
            <w:tcW w:w="1176" w:type="dxa"/>
            <w:gridSpan w:val="2"/>
            <w:noWrap/>
            <w:hideMark/>
          </w:tcPr>
          <w:p w14:paraId="784B3D15" w14:textId="77777777" w:rsidR="00641E66" w:rsidRPr="009102F0" w:rsidRDefault="00641E66" w:rsidP="0073510C">
            <w:pPr>
              <w:rPr>
                <w:sz w:val="18"/>
                <w:szCs w:val="18"/>
              </w:rPr>
            </w:pPr>
            <w:r w:rsidRPr="009102F0">
              <w:rPr>
                <w:sz w:val="18"/>
                <w:szCs w:val="18"/>
              </w:rPr>
              <w:t>2203</w:t>
            </w:r>
          </w:p>
        </w:tc>
        <w:tc>
          <w:tcPr>
            <w:tcW w:w="1274" w:type="dxa"/>
            <w:noWrap/>
          </w:tcPr>
          <w:p w14:paraId="797346BC" w14:textId="77777777" w:rsidR="00641E66" w:rsidRPr="009102F0" w:rsidRDefault="00641E66" w:rsidP="0073510C">
            <w:pPr>
              <w:rPr>
                <w:rFonts w:ascii="Calibri" w:hAnsi="Calibri"/>
                <w:sz w:val="18"/>
                <w:szCs w:val="18"/>
              </w:rPr>
            </w:pPr>
            <w:r w:rsidRPr="009102F0">
              <w:rPr>
                <w:rFonts w:ascii="Calibri" w:hAnsi="Calibri"/>
                <w:sz w:val="18"/>
                <w:szCs w:val="18"/>
              </w:rPr>
              <w:t>$30</w:t>
            </w:r>
          </w:p>
        </w:tc>
      </w:tr>
      <w:tr w:rsidR="00641E66" w:rsidRPr="009102F0" w14:paraId="24D39A0F" w14:textId="77777777" w:rsidTr="0073510C">
        <w:trPr>
          <w:trHeight w:val="227"/>
        </w:trPr>
        <w:tc>
          <w:tcPr>
            <w:tcW w:w="1423" w:type="dxa"/>
            <w:noWrap/>
            <w:hideMark/>
          </w:tcPr>
          <w:p w14:paraId="46C9E6DE"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4AAAA19F"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(d)</w:t>
            </w:r>
          </w:p>
        </w:tc>
        <w:tc>
          <w:tcPr>
            <w:tcW w:w="1218" w:type="dxa"/>
            <w:noWrap/>
            <w:hideMark/>
          </w:tcPr>
          <w:p w14:paraId="0F073BD6" w14:textId="77777777" w:rsidR="00641E66" w:rsidRPr="009102F0" w:rsidRDefault="00641E66" w:rsidP="0073510C">
            <w:pPr>
              <w:rPr>
                <w:sz w:val="18"/>
                <w:szCs w:val="18"/>
              </w:rPr>
            </w:pPr>
            <w:r w:rsidRPr="009102F0">
              <w:rPr>
                <w:sz w:val="18"/>
                <w:szCs w:val="18"/>
              </w:rPr>
              <w:t>0.812</w:t>
            </w:r>
          </w:p>
        </w:tc>
        <w:tc>
          <w:tcPr>
            <w:tcW w:w="1176" w:type="dxa"/>
            <w:noWrap/>
            <w:hideMark/>
          </w:tcPr>
          <w:p w14:paraId="238F49E0" w14:textId="77777777" w:rsidR="00641E66" w:rsidRPr="009102F0" w:rsidRDefault="00641E66" w:rsidP="0073510C">
            <w:pPr>
              <w:rPr>
                <w:sz w:val="18"/>
                <w:szCs w:val="18"/>
              </w:rPr>
            </w:pPr>
            <w:r w:rsidRPr="009102F0">
              <w:rPr>
                <w:sz w:val="18"/>
                <w:szCs w:val="18"/>
              </w:rPr>
              <w:t>0.753</w:t>
            </w:r>
          </w:p>
        </w:tc>
        <w:tc>
          <w:tcPr>
            <w:tcW w:w="1203" w:type="dxa"/>
            <w:noWrap/>
            <w:hideMark/>
          </w:tcPr>
          <w:p w14:paraId="4B11D4A4" w14:textId="77777777" w:rsidR="00641E66" w:rsidRPr="009102F0" w:rsidRDefault="00641E66" w:rsidP="0073510C">
            <w:pPr>
              <w:rPr>
                <w:sz w:val="18"/>
                <w:szCs w:val="18"/>
              </w:rPr>
            </w:pPr>
            <w:r w:rsidRPr="009102F0">
              <w:rPr>
                <w:sz w:val="18"/>
                <w:szCs w:val="18"/>
              </w:rPr>
              <w:t>4.59</w:t>
            </w:r>
          </w:p>
        </w:tc>
        <w:tc>
          <w:tcPr>
            <w:tcW w:w="1176" w:type="dxa"/>
            <w:gridSpan w:val="2"/>
            <w:noWrap/>
            <w:hideMark/>
          </w:tcPr>
          <w:p w14:paraId="06176F40" w14:textId="77777777" w:rsidR="00641E66" w:rsidRPr="009102F0" w:rsidRDefault="00641E66" w:rsidP="0073510C">
            <w:pPr>
              <w:rPr>
                <w:sz w:val="18"/>
                <w:szCs w:val="18"/>
              </w:rPr>
            </w:pPr>
            <w:r w:rsidRPr="009102F0">
              <w:rPr>
                <w:sz w:val="18"/>
                <w:szCs w:val="18"/>
              </w:rPr>
              <w:t>1534</w:t>
            </w:r>
          </w:p>
        </w:tc>
        <w:tc>
          <w:tcPr>
            <w:tcW w:w="1274" w:type="dxa"/>
            <w:noWrap/>
          </w:tcPr>
          <w:p w14:paraId="4C138B4B" w14:textId="77777777" w:rsidR="00641E66" w:rsidRPr="009102F0" w:rsidRDefault="00641E66" w:rsidP="0073510C">
            <w:pPr>
              <w:rPr>
                <w:rFonts w:ascii="Calibri" w:hAnsi="Calibri"/>
                <w:sz w:val="18"/>
                <w:szCs w:val="18"/>
              </w:rPr>
            </w:pPr>
            <w:r w:rsidRPr="009102F0">
              <w:rPr>
                <w:rFonts w:ascii="Calibri" w:hAnsi="Calibri"/>
                <w:sz w:val="18"/>
                <w:szCs w:val="18"/>
              </w:rPr>
              <w:t>$34</w:t>
            </w:r>
          </w:p>
        </w:tc>
      </w:tr>
      <w:tr w:rsidR="00641E66" w:rsidRPr="009102F0" w14:paraId="00A60B4A" w14:textId="77777777" w:rsidTr="0073510C">
        <w:trPr>
          <w:trHeight w:val="227"/>
        </w:trPr>
        <w:tc>
          <w:tcPr>
            <w:tcW w:w="1423" w:type="dxa"/>
            <w:noWrap/>
            <w:hideMark/>
          </w:tcPr>
          <w:p w14:paraId="64C9F4CF"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32C18E5B"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(e)</w:t>
            </w:r>
          </w:p>
        </w:tc>
        <w:tc>
          <w:tcPr>
            <w:tcW w:w="1218" w:type="dxa"/>
            <w:noWrap/>
            <w:hideMark/>
          </w:tcPr>
          <w:p w14:paraId="467EF4C7" w14:textId="77777777" w:rsidR="00641E66" w:rsidRPr="009102F0" w:rsidRDefault="00641E66" w:rsidP="0073510C">
            <w:pPr>
              <w:rPr>
                <w:sz w:val="18"/>
                <w:szCs w:val="18"/>
              </w:rPr>
            </w:pPr>
            <w:r w:rsidRPr="009102F0">
              <w:rPr>
                <w:sz w:val="18"/>
                <w:szCs w:val="18"/>
              </w:rPr>
              <w:t>0.828</w:t>
            </w:r>
          </w:p>
        </w:tc>
        <w:tc>
          <w:tcPr>
            <w:tcW w:w="1176" w:type="dxa"/>
            <w:noWrap/>
            <w:hideMark/>
          </w:tcPr>
          <w:p w14:paraId="0F814738" w14:textId="77777777" w:rsidR="00641E66" w:rsidRPr="009102F0" w:rsidRDefault="00641E66" w:rsidP="0073510C">
            <w:pPr>
              <w:rPr>
                <w:sz w:val="18"/>
                <w:szCs w:val="18"/>
              </w:rPr>
            </w:pPr>
            <w:r w:rsidRPr="009102F0">
              <w:rPr>
                <w:sz w:val="18"/>
                <w:szCs w:val="18"/>
              </w:rPr>
              <w:t>0.768</w:t>
            </w:r>
          </w:p>
        </w:tc>
        <w:tc>
          <w:tcPr>
            <w:tcW w:w="1203" w:type="dxa"/>
            <w:noWrap/>
            <w:hideMark/>
          </w:tcPr>
          <w:p w14:paraId="6D95E969" w14:textId="77777777" w:rsidR="00641E66" w:rsidRPr="009102F0" w:rsidRDefault="00641E66" w:rsidP="0073510C">
            <w:pPr>
              <w:rPr>
                <w:sz w:val="18"/>
                <w:szCs w:val="18"/>
              </w:rPr>
            </w:pPr>
            <w:r w:rsidRPr="009102F0">
              <w:rPr>
                <w:sz w:val="18"/>
                <w:szCs w:val="18"/>
              </w:rPr>
              <w:t>4.44</w:t>
            </w:r>
          </w:p>
        </w:tc>
        <w:tc>
          <w:tcPr>
            <w:tcW w:w="1176" w:type="dxa"/>
            <w:gridSpan w:val="2"/>
            <w:noWrap/>
            <w:hideMark/>
          </w:tcPr>
          <w:p w14:paraId="2B285895" w14:textId="77777777" w:rsidR="00641E66" w:rsidRPr="009102F0" w:rsidRDefault="00641E66" w:rsidP="0073510C">
            <w:pPr>
              <w:rPr>
                <w:sz w:val="18"/>
                <w:szCs w:val="18"/>
              </w:rPr>
            </w:pPr>
            <w:r w:rsidRPr="009102F0">
              <w:rPr>
                <w:sz w:val="18"/>
                <w:szCs w:val="18"/>
              </w:rPr>
              <w:t>3483</w:t>
            </w:r>
          </w:p>
        </w:tc>
        <w:tc>
          <w:tcPr>
            <w:tcW w:w="1274" w:type="dxa"/>
            <w:noWrap/>
          </w:tcPr>
          <w:p w14:paraId="45DB1449" w14:textId="77777777" w:rsidR="00641E66" w:rsidRPr="009102F0" w:rsidRDefault="00641E66" w:rsidP="0073510C">
            <w:pPr>
              <w:rPr>
                <w:rFonts w:ascii="Calibri" w:hAnsi="Calibri"/>
                <w:sz w:val="18"/>
                <w:szCs w:val="18"/>
              </w:rPr>
            </w:pPr>
            <w:r w:rsidRPr="009102F0">
              <w:rPr>
                <w:rFonts w:ascii="Calibri" w:hAnsi="Calibri"/>
                <w:sz w:val="18"/>
                <w:szCs w:val="18"/>
              </w:rPr>
              <w:t>$37</w:t>
            </w:r>
          </w:p>
        </w:tc>
      </w:tr>
      <w:tr w:rsidR="00641E66" w:rsidRPr="009102F0" w14:paraId="3EA95676" w14:textId="77777777" w:rsidTr="0073510C">
        <w:trPr>
          <w:trHeight w:val="227"/>
        </w:trPr>
        <w:tc>
          <w:tcPr>
            <w:tcW w:w="1423" w:type="dxa"/>
            <w:noWrap/>
            <w:hideMark/>
          </w:tcPr>
          <w:p w14:paraId="7D0BD665"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4A2CC998"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(a)</w:t>
            </w:r>
          </w:p>
        </w:tc>
        <w:tc>
          <w:tcPr>
            <w:tcW w:w="1218" w:type="dxa"/>
            <w:noWrap/>
            <w:hideMark/>
          </w:tcPr>
          <w:p w14:paraId="333E96A0" w14:textId="77777777" w:rsidR="00641E66" w:rsidRPr="009102F0" w:rsidRDefault="00641E66" w:rsidP="0073510C">
            <w:pPr>
              <w:rPr>
                <w:sz w:val="18"/>
                <w:szCs w:val="18"/>
              </w:rPr>
            </w:pPr>
            <w:r w:rsidRPr="009102F0">
              <w:rPr>
                <w:sz w:val="18"/>
                <w:szCs w:val="18"/>
              </w:rPr>
              <w:t>0.823</w:t>
            </w:r>
          </w:p>
        </w:tc>
        <w:tc>
          <w:tcPr>
            <w:tcW w:w="1176" w:type="dxa"/>
            <w:noWrap/>
            <w:hideMark/>
          </w:tcPr>
          <w:p w14:paraId="032539C4" w14:textId="77777777" w:rsidR="00641E66" w:rsidRPr="009102F0" w:rsidRDefault="00641E66" w:rsidP="0073510C">
            <w:pPr>
              <w:rPr>
                <w:sz w:val="18"/>
                <w:szCs w:val="18"/>
              </w:rPr>
            </w:pPr>
            <w:r w:rsidRPr="009102F0">
              <w:rPr>
                <w:sz w:val="18"/>
                <w:szCs w:val="18"/>
              </w:rPr>
              <w:t>0.756</w:t>
            </w:r>
          </w:p>
        </w:tc>
        <w:tc>
          <w:tcPr>
            <w:tcW w:w="1203" w:type="dxa"/>
            <w:noWrap/>
            <w:hideMark/>
          </w:tcPr>
          <w:p w14:paraId="4625CC2D" w14:textId="77777777" w:rsidR="00641E66" w:rsidRPr="009102F0" w:rsidRDefault="00641E66" w:rsidP="0073510C">
            <w:pPr>
              <w:rPr>
                <w:sz w:val="18"/>
                <w:szCs w:val="18"/>
              </w:rPr>
            </w:pPr>
            <w:r w:rsidRPr="009102F0">
              <w:rPr>
                <w:sz w:val="18"/>
                <w:szCs w:val="18"/>
              </w:rPr>
              <w:t>4.54</w:t>
            </w:r>
          </w:p>
        </w:tc>
        <w:tc>
          <w:tcPr>
            <w:tcW w:w="1176" w:type="dxa"/>
            <w:gridSpan w:val="2"/>
            <w:noWrap/>
            <w:hideMark/>
          </w:tcPr>
          <w:p w14:paraId="3316A820" w14:textId="77777777" w:rsidR="00641E66" w:rsidRPr="009102F0" w:rsidRDefault="00641E66" w:rsidP="0073510C">
            <w:pPr>
              <w:rPr>
                <w:sz w:val="18"/>
                <w:szCs w:val="18"/>
              </w:rPr>
            </w:pPr>
            <w:r w:rsidRPr="009102F0">
              <w:rPr>
                <w:sz w:val="18"/>
                <w:szCs w:val="18"/>
              </w:rPr>
              <w:t>2425</w:t>
            </w:r>
          </w:p>
        </w:tc>
        <w:tc>
          <w:tcPr>
            <w:tcW w:w="1274" w:type="dxa"/>
            <w:noWrap/>
          </w:tcPr>
          <w:p w14:paraId="073CB2F0" w14:textId="77777777" w:rsidR="00641E66" w:rsidRPr="009102F0" w:rsidRDefault="00641E66" w:rsidP="0073510C">
            <w:pPr>
              <w:rPr>
                <w:rFonts w:ascii="Calibri" w:hAnsi="Calibri"/>
                <w:sz w:val="18"/>
                <w:szCs w:val="18"/>
              </w:rPr>
            </w:pPr>
            <w:r w:rsidRPr="009102F0">
              <w:rPr>
                <w:rFonts w:ascii="Calibri" w:hAnsi="Calibri"/>
                <w:sz w:val="18"/>
                <w:szCs w:val="18"/>
              </w:rPr>
              <w:t>$38</w:t>
            </w:r>
          </w:p>
        </w:tc>
      </w:tr>
      <w:tr w:rsidR="00641E66" w:rsidRPr="009102F0" w14:paraId="79E8B5F0" w14:textId="77777777" w:rsidTr="0073510C">
        <w:trPr>
          <w:trHeight w:val="227"/>
        </w:trPr>
        <w:tc>
          <w:tcPr>
            <w:tcW w:w="1423" w:type="dxa"/>
            <w:noWrap/>
            <w:hideMark/>
          </w:tcPr>
          <w:p w14:paraId="0166CC54"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5FB975BA"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(b)</w:t>
            </w:r>
          </w:p>
        </w:tc>
        <w:tc>
          <w:tcPr>
            <w:tcW w:w="1218" w:type="dxa"/>
            <w:noWrap/>
            <w:hideMark/>
          </w:tcPr>
          <w:p w14:paraId="68E637C9" w14:textId="77777777" w:rsidR="00641E66" w:rsidRPr="005D38ED" w:rsidRDefault="00641E66" w:rsidP="0073510C">
            <w:pPr>
              <w:rPr>
                <w:sz w:val="18"/>
                <w:szCs w:val="18"/>
              </w:rPr>
            </w:pPr>
            <w:r w:rsidRPr="005D38ED">
              <w:rPr>
                <w:sz w:val="18"/>
                <w:szCs w:val="18"/>
              </w:rPr>
              <w:t>0.861</w:t>
            </w:r>
          </w:p>
        </w:tc>
        <w:tc>
          <w:tcPr>
            <w:tcW w:w="1176" w:type="dxa"/>
            <w:noWrap/>
            <w:hideMark/>
          </w:tcPr>
          <w:p w14:paraId="62F70FCE" w14:textId="77777777" w:rsidR="00641E66" w:rsidRPr="005D38ED" w:rsidRDefault="00641E66" w:rsidP="0073510C">
            <w:pPr>
              <w:rPr>
                <w:sz w:val="18"/>
                <w:szCs w:val="18"/>
              </w:rPr>
            </w:pPr>
            <w:r w:rsidRPr="005D38ED">
              <w:rPr>
                <w:sz w:val="18"/>
                <w:szCs w:val="18"/>
              </w:rPr>
              <w:t>0.788</w:t>
            </w:r>
          </w:p>
        </w:tc>
        <w:tc>
          <w:tcPr>
            <w:tcW w:w="1203" w:type="dxa"/>
            <w:noWrap/>
            <w:hideMark/>
          </w:tcPr>
          <w:p w14:paraId="3B26405B" w14:textId="77777777" w:rsidR="00641E66" w:rsidRPr="009102F0" w:rsidRDefault="00641E66" w:rsidP="0073510C">
            <w:pPr>
              <w:rPr>
                <w:sz w:val="18"/>
                <w:szCs w:val="18"/>
              </w:rPr>
            </w:pPr>
            <w:r w:rsidRPr="009102F0">
              <w:rPr>
                <w:sz w:val="18"/>
                <w:szCs w:val="18"/>
              </w:rPr>
              <w:t>4.16</w:t>
            </w:r>
          </w:p>
        </w:tc>
        <w:tc>
          <w:tcPr>
            <w:tcW w:w="1176" w:type="dxa"/>
            <w:gridSpan w:val="2"/>
            <w:noWrap/>
            <w:hideMark/>
          </w:tcPr>
          <w:p w14:paraId="457FB9D3" w14:textId="77777777" w:rsidR="00641E66" w:rsidRPr="009102F0" w:rsidRDefault="00641E66" w:rsidP="0073510C">
            <w:pPr>
              <w:rPr>
                <w:sz w:val="18"/>
                <w:szCs w:val="18"/>
              </w:rPr>
            </w:pPr>
            <w:r w:rsidRPr="009102F0">
              <w:rPr>
                <w:sz w:val="18"/>
                <w:szCs w:val="18"/>
              </w:rPr>
              <w:t>7409</w:t>
            </w:r>
          </w:p>
        </w:tc>
        <w:tc>
          <w:tcPr>
            <w:tcW w:w="1274" w:type="dxa"/>
            <w:noWrap/>
          </w:tcPr>
          <w:p w14:paraId="5008BA87" w14:textId="77777777" w:rsidR="00641E66" w:rsidRPr="009102F0" w:rsidRDefault="00641E66" w:rsidP="0073510C">
            <w:pPr>
              <w:rPr>
                <w:rFonts w:ascii="Calibri" w:hAnsi="Calibri"/>
                <w:sz w:val="18"/>
                <w:szCs w:val="18"/>
              </w:rPr>
            </w:pPr>
            <w:r w:rsidRPr="009102F0">
              <w:rPr>
                <w:rFonts w:ascii="Calibri" w:hAnsi="Calibri"/>
                <w:sz w:val="18"/>
                <w:szCs w:val="18"/>
              </w:rPr>
              <w:t>$46</w:t>
            </w:r>
          </w:p>
        </w:tc>
      </w:tr>
      <w:tr w:rsidR="00641E66" w:rsidRPr="009102F0" w14:paraId="2D27D8FC" w14:textId="77777777" w:rsidTr="0073510C">
        <w:trPr>
          <w:trHeight w:val="227"/>
        </w:trPr>
        <w:tc>
          <w:tcPr>
            <w:tcW w:w="1423" w:type="dxa"/>
            <w:noWrap/>
            <w:hideMark/>
          </w:tcPr>
          <w:p w14:paraId="6F98C3C7"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529B926B"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(c)</w:t>
            </w:r>
          </w:p>
        </w:tc>
        <w:tc>
          <w:tcPr>
            <w:tcW w:w="1218" w:type="dxa"/>
            <w:noWrap/>
            <w:hideMark/>
          </w:tcPr>
          <w:p w14:paraId="354CE6B8" w14:textId="77777777" w:rsidR="00641E66" w:rsidRPr="005D38ED" w:rsidRDefault="00641E66" w:rsidP="0073510C">
            <w:pPr>
              <w:rPr>
                <w:sz w:val="18"/>
                <w:szCs w:val="18"/>
              </w:rPr>
            </w:pPr>
            <w:r w:rsidRPr="005D38ED">
              <w:rPr>
                <w:sz w:val="18"/>
                <w:szCs w:val="18"/>
              </w:rPr>
              <w:t>0.838</w:t>
            </w:r>
          </w:p>
        </w:tc>
        <w:tc>
          <w:tcPr>
            <w:tcW w:w="1176" w:type="dxa"/>
            <w:noWrap/>
            <w:hideMark/>
          </w:tcPr>
          <w:p w14:paraId="623BDE22" w14:textId="77777777" w:rsidR="00641E66" w:rsidRPr="005D38ED" w:rsidRDefault="00641E66" w:rsidP="0073510C">
            <w:pPr>
              <w:rPr>
                <w:sz w:val="18"/>
                <w:szCs w:val="18"/>
              </w:rPr>
            </w:pPr>
            <w:r w:rsidRPr="005D38ED">
              <w:rPr>
                <w:sz w:val="18"/>
                <w:szCs w:val="18"/>
              </w:rPr>
              <w:t>0.770</w:t>
            </w:r>
          </w:p>
        </w:tc>
        <w:tc>
          <w:tcPr>
            <w:tcW w:w="1203" w:type="dxa"/>
            <w:noWrap/>
            <w:hideMark/>
          </w:tcPr>
          <w:p w14:paraId="2DC5AE85" w14:textId="77777777" w:rsidR="00641E66" w:rsidRPr="009102F0" w:rsidRDefault="00641E66" w:rsidP="0073510C">
            <w:pPr>
              <w:rPr>
                <w:sz w:val="18"/>
                <w:szCs w:val="18"/>
              </w:rPr>
            </w:pPr>
            <w:r w:rsidRPr="009102F0">
              <w:rPr>
                <w:sz w:val="18"/>
                <w:szCs w:val="18"/>
              </w:rPr>
              <w:t>4.34</w:t>
            </w:r>
          </w:p>
        </w:tc>
        <w:tc>
          <w:tcPr>
            <w:tcW w:w="1176" w:type="dxa"/>
            <w:gridSpan w:val="2"/>
            <w:noWrap/>
            <w:hideMark/>
          </w:tcPr>
          <w:p w14:paraId="13C4FAF0" w14:textId="77777777" w:rsidR="00641E66" w:rsidRPr="009102F0" w:rsidRDefault="00641E66" w:rsidP="0073510C">
            <w:pPr>
              <w:rPr>
                <w:sz w:val="18"/>
                <w:szCs w:val="18"/>
              </w:rPr>
            </w:pPr>
            <w:r w:rsidRPr="009102F0">
              <w:rPr>
                <w:sz w:val="18"/>
                <w:szCs w:val="18"/>
              </w:rPr>
              <w:t>4822</w:t>
            </w:r>
          </w:p>
        </w:tc>
        <w:tc>
          <w:tcPr>
            <w:tcW w:w="1274" w:type="dxa"/>
            <w:noWrap/>
          </w:tcPr>
          <w:p w14:paraId="06DB7BC5" w14:textId="77777777" w:rsidR="00641E66" w:rsidRPr="009102F0" w:rsidRDefault="00641E66" w:rsidP="0073510C">
            <w:pPr>
              <w:rPr>
                <w:rFonts w:ascii="Calibri" w:hAnsi="Calibri"/>
                <w:sz w:val="18"/>
                <w:szCs w:val="18"/>
              </w:rPr>
            </w:pPr>
            <w:r w:rsidRPr="009102F0">
              <w:rPr>
                <w:rFonts w:ascii="Calibri" w:hAnsi="Calibri"/>
                <w:sz w:val="18"/>
                <w:szCs w:val="18"/>
              </w:rPr>
              <w:t>$34</w:t>
            </w:r>
          </w:p>
        </w:tc>
      </w:tr>
      <w:tr w:rsidR="00641E66" w:rsidRPr="009102F0" w14:paraId="5453BC3A" w14:textId="77777777" w:rsidTr="0073510C">
        <w:trPr>
          <w:trHeight w:val="227"/>
        </w:trPr>
        <w:tc>
          <w:tcPr>
            <w:tcW w:w="1423" w:type="dxa"/>
            <w:noWrap/>
            <w:hideMark/>
          </w:tcPr>
          <w:p w14:paraId="6CBBF9A9"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0265B87E"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(d)</w:t>
            </w:r>
          </w:p>
        </w:tc>
        <w:tc>
          <w:tcPr>
            <w:tcW w:w="1218" w:type="dxa"/>
            <w:noWrap/>
            <w:hideMark/>
          </w:tcPr>
          <w:p w14:paraId="13636310" w14:textId="77777777" w:rsidR="00641E66" w:rsidRPr="005D38ED" w:rsidRDefault="00641E66" w:rsidP="0073510C">
            <w:pPr>
              <w:rPr>
                <w:sz w:val="18"/>
                <w:szCs w:val="18"/>
              </w:rPr>
            </w:pPr>
            <w:r w:rsidRPr="005D38ED">
              <w:rPr>
                <w:sz w:val="18"/>
                <w:szCs w:val="18"/>
              </w:rPr>
              <w:t>0.823</w:t>
            </w:r>
          </w:p>
        </w:tc>
        <w:tc>
          <w:tcPr>
            <w:tcW w:w="1176" w:type="dxa"/>
            <w:noWrap/>
            <w:hideMark/>
          </w:tcPr>
          <w:p w14:paraId="66DC1383" w14:textId="77777777" w:rsidR="00641E66" w:rsidRPr="005D38ED" w:rsidRDefault="00641E66" w:rsidP="0073510C">
            <w:pPr>
              <w:rPr>
                <w:sz w:val="18"/>
                <w:szCs w:val="18"/>
              </w:rPr>
            </w:pPr>
            <w:r w:rsidRPr="005D38ED">
              <w:rPr>
                <w:sz w:val="18"/>
                <w:szCs w:val="18"/>
              </w:rPr>
              <w:t>0.771</w:t>
            </w:r>
          </w:p>
        </w:tc>
        <w:tc>
          <w:tcPr>
            <w:tcW w:w="1203" w:type="dxa"/>
            <w:noWrap/>
            <w:hideMark/>
          </w:tcPr>
          <w:p w14:paraId="23E56A00" w14:textId="77777777" w:rsidR="00641E66" w:rsidRPr="009102F0" w:rsidRDefault="00641E66" w:rsidP="0073510C">
            <w:pPr>
              <w:rPr>
                <w:sz w:val="18"/>
                <w:szCs w:val="18"/>
              </w:rPr>
            </w:pPr>
            <w:r w:rsidRPr="009102F0">
              <w:rPr>
                <w:sz w:val="18"/>
                <w:szCs w:val="18"/>
              </w:rPr>
              <w:t>4.43</w:t>
            </w:r>
          </w:p>
        </w:tc>
        <w:tc>
          <w:tcPr>
            <w:tcW w:w="1176" w:type="dxa"/>
            <w:gridSpan w:val="2"/>
            <w:noWrap/>
            <w:hideMark/>
          </w:tcPr>
          <w:p w14:paraId="33203A92" w14:textId="77777777" w:rsidR="00641E66" w:rsidRPr="009102F0" w:rsidRDefault="00641E66" w:rsidP="0073510C">
            <w:pPr>
              <w:rPr>
                <w:sz w:val="18"/>
                <w:szCs w:val="18"/>
              </w:rPr>
            </w:pPr>
            <w:r w:rsidRPr="009102F0">
              <w:rPr>
                <w:sz w:val="18"/>
                <w:szCs w:val="18"/>
              </w:rPr>
              <w:t>3562</w:t>
            </w:r>
          </w:p>
        </w:tc>
        <w:tc>
          <w:tcPr>
            <w:tcW w:w="1274" w:type="dxa"/>
            <w:noWrap/>
          </w:tcPr>
          <w:p w14:paraId="7673D232" w14:textId="77777777" w:rsidR="00641E66" w:rsidRPr="009102F0" w:rsidRDefault="00641E66" w:rsidP="0073510C">
            <w:pPr>
              <w:rPr>
                <w:rFonts w:ascii="Calibri" w:hAnsi="Calibri"/>
                <w:sz w:val="18"/>
                <w:szCs w:val="18"/>
              </w:rPr>
            </w:pPr>
            <w:r w:rsidRPr="009102F0">
              <w:rPr>
                <w:rFonts w:ascii="Calibri" w:hAnsi="Calibri"/>
                <w:sz w:val="18"/>
                <w:szCs w:val="18"/>
              </w:rPr>
              <w:t>$42</w:t>
            </w:r>
          </w:p>
        </w:tc>
      </w:tr>
      <w:tr w:rsidR="00641E66" w:rsidRPr="009102F0" w14:paraId="19603097" w14:textId="77777777" w:rsidTr="0073510C">
        <w:trPr>
          <w:trHeight w:val="227"/>
        </w:trPr>
        <w:tc>
          <w:tcPr>
            <w:tcW w:w="1423" w:type="dxa"/>
            <w:noWrap/>
            <w:hideMark/>
          </w:tcPr>
          <w:p w14:paraId="2B68E4D9"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72202242"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(e)</w:t>
            </w:r>
          </w:p>
        </w:tc>
        <w:tc>
          <w:tcPr>
            <w:tcW w:w="1218" w:type="dxa"/>
            <w:noWrap/>
            <w:hideMark/>
          </w:tcPr>
          <w:p w14:paraId="55CF3E7A" w14:textId="77777777" w:rsidR="00641E66" w:rsidRPr="005D38ED" w:rsidRDefault="00641E66" w:rsidP="0073510C">
            <w:pPr>
              <w:rPr>
                <w:sz w:val="18"/>
                <w:szCs w:val="18"/>
              </w:rPr>
            </w:pPr>
            <w:r w:rsidRPr="005D38ED">
              <w:rPr>
                <w:sz w:val="18"/>
                <w:szCs w:val="18"/>
              </w:rPr>
              <w:t>0.862</w:t>
            </w:r>
          </w:p>
        </w:tc>
        <w:tc>
          <w:tcPr>
            <w:tcW w:w="1176" w:type="dxa"/>
            <w:noWrap/>
            <w:hideMark/>
          </w:tcPr>
          <w:p w14:paraId="0A9CBBF2" w14:textId="77777777" w:rsidR="00641E66" w:rsidRPr="005D38ED" w:rsidRDefault="00641E66" w:rsidP="0073510C">
            <w:pPr>
              <w:rPr>
                <w:sz w:val="18"/>
                <w:szCs w:val="18"/>
              </w:rPr>
            </w:pPr>
            <w:r w:rsidRPr="005D38ED">
              <w:rPr>
                <w:sz w:val="18"/>
                <w:szCs w:val="18"/>
              </w:rPr>
              <w:t>0.806</w:t>
            </w:r>
          </w:p>
        </w:tc>
        <w:tc>
          <w:tcPr>
            <w:tcW w:w="1203" w:type="dxa"/>
            <w:noWrap/>
            <w:hideMark/>
          </w:tcPr>
          <w:p w14:paraId="39E2DC6D" w14:textId="77777777" w:rsidR="00641E66" w:rsidRPr="009102F0" w:rsidRDefault="00641E66" w:rsidP="0073510C">
            <w:pPr>
              <w:rPr>
                <w:sz w:val="18"/>
                <w:szCs w:val="18"/>
              </w:rPr>
            </w:pPr>
            <w:r w:rsidRPr="009102F0">
              <w:rPr>
                <w:sz w:val="18"/>
                <w:szCs w:val="18"/>
              </w:rPr>
              <w:t>4.08</w:t>
            </w:r>
          </w:p>
        </w:tc>
        <w:tc>
          <w:tcPr>
            <w:tcW w:w="1176" w:type="dxa"/>
            <w:gridSpan w:val="2"/>
            <w:noWrap/>
            <w:hideMark/>
          </w:tcPr>
          <w:p w14:paraId="4F2F0D33" w14:textId="77777777" w:rsidR="00641E66" w:rsidRPr="009102F0" w:rsidRDefault="00641E66" w:rsidP="0073510C">
            <w:pPr>
              <w:rPr>
                <w:sz w:val="18"/>
                <w:szCs w:val="18"/>
              </w:rPr>
            </w:pPr>
            <w:r w:rsidRPr="009102F0">
              <w:rPr>
                <w:sz w:val="18"/>
                <w:szCs w:val="18"/>
              </w:rPr>
              <w:t>8282</w:t>
            </w:r>
          </w:p>
        </w:tc>
        <w:tc>
          <w:tcPr>
            <w:tcW w:w="1274" w:type="dxa"/>
            <w:noWrap/>
          </w:tcPr>
          <w:p w14:paraId="5B1A41EE" w14:textId="77777777" w:rsidR="00641E66" w:rsidRPr="009102F0" w:rsidRDefault="00641E66" w:rsidP="0073510C">
            <w:pPr>
              <w:rPr>
                <w:rFonts w:ascii="Calibri" w:hAnsi="Calibri"/>
                <w:sz w:val="18"/>
                <w:szCs w:val="18"/>
              </w:rPr>
            </w:pPr>
            <w:r w:rsidRPr="009102F0">
              <w:rPr>
                <w:rFonts w:ascii="Calibri" w:hAnsi="Calibri"/>
                <w:sz w:val="18"/>
                <w:szCs w:val="18"/>
              </w:rPr>
              <w:t>$50</w:t>
            </w:r>
          </w:p>
        </w:tc>
      </w:tr>
      <w:tr w:rsidR="00641E66" w:rsidRPr="009102F0" w14:paraId="5064CC9B" w14:textId="77777777" w:rsidTr="0073510C">
        <w:trPr>
          <w:trHeight w:val="227"/>
        </w:trPr>
        <w:tc>
          <w:tcPr>
            <w:tcW w:w="1423" w:type="dxa"/>
            <w:noWrap/>
            <w:hideMark/>
          </w:tcPr>
          <w:p w14:paraId="1A34BE44"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noWrap/>
            <w:hideMark/>
          </w:tcPr>
          <w:p w14:paraId="7473ED06"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(a)</w:t>
            </w:r>
          </w:p>
        </w:tc>
        <w:tc>
          <w:tcPr>
            <w:tcW w:w="1218" w:type="dxa"/>
            <w:noWrap/>
            <w:hideMark/>
          </w:tcPr>
          <w:p w14:paraId="1E58F379" w14:textId="77777777" w:rsidR="00641E66" w:rsidRPr="005D38ED" w:rsidRDefault="00641E66" w:rsidP="0073510C">
            <w:pPr>
              <w:rPr>
                <w:sz w:val="18"/>
                <w:szCs w:val="18"/>
              </w:rPr>
            </w:pPr>
            <w:r w:rsidRPr="005D38ED">
              <w:rPr>
                <w:sz w:val="18"/>
                <w:szCs w:val="18"/>
              </w:rPr>
              <w:t>0.833</w:t>
            </w:r>
          </w:p>
        </w:tc>
        <w:tc>
          <w:tcPr>
            <w:tcW w:w="1176" w:type="dxa"/>
            <w:noWrap/>
            <w:hideMark/>
          </w:tcPr>
          <w:p w14:paraId="558118D6" w14:textId="77777777" w:rsidR="00641E66" w:rsidRPr="005D38ED" w:rsidRDefault="00641E66" w:rsidP="0073510C">
            <w:pPr>
              <w:rPr>
                <w:sz w:val="18"/>
                <w:szCs w:val="18"/>
              </w:rPr>
            </w:pPr>
            <w:r w:rsidRPr="005D38ED">
              <w:rPr>
                <w:sz w:val="18"/>
                <w:szCs w:val="18"/>
              </w:rPr>
              <w:t>0.764</w:t>
            </w:r>
          </w:p>
        </w:tc>
        <w:tc>
          <w:tcPr>
            <w:tcW w:w="1203" w:type="dxa"/>
            <w:noWrap/>
            <w:hideMark/>
          </w:tcPr>
          <w:p w14:paraId="54A2A634" w14:textId="77777777" w:rsidR="00641E66" w:rsidRPr="009102F0" w:rsidRDefault="00641E66" w:rsidP="0073510C">
            <w:pPr>
              <w:rPr>
                <w:sz w:val="18"/>
                <w:szCs w:val="18"/>
              </w:rPr>
            </w:pPr>
            <w:r w:rsidRPr="009102F0">
              <w:rPr>
                <w:sz w:val="18"/>
                <w:szCs w:val="18"/>
              </w:rPr>
              <w:t>4.42</w:t>
            </w:r>
          </w:p>
        </w:tc>
        <w:tc>
          <w:tcPr>
            <w:tcW w:w="1176" w:type="dxa"/>
            <w:gridSpan w:val="2"/>
            <w:noWrap/>
            <w:hideMark/>
          </w:tcPr>
          <w:p w14:paraId="7ECEF845" w14:textId="77777777" w:rsidR="00641E66" w:rsidRPr="009102F0" w:rsidRDefault="00641E66" w:rsidP="0073510C">
            <w:pPr>
              <w:rPr>
                <w:sz w:val="18"/>
                <w:szCs w:val="18"/>
              </w:rPr>
            </w:pPr>
            <w:r w:rsidRPr="009102F0">
              <w:rPr>
                <w:sz w:val="18"/>
                <w:szCs w:val="18"/>
              </w:rPr>
              <w:t>3868</w:t>
            </w:r>
          </w:p>
        </w:tc>
        <w:tc>
          <w:tcPr>
            <w:tcW w:w="1274" w:type="dxa"/>
            <w:noWrap/>
          </w:tcPr>
          <w:p w14:paraId="65177809" w14:textId="77777777" w:rsidR="00641E66" w:rsidRPr="009102F0" w:rsidRDefault="00641E66" w:rsidP="0073510C">
            <w:pPr>
              <w:rPr>
                <w:rFonts w:ascii="Calibri" w:hAnsi="Calibri"/>
                <w:sz w:val="18"/>
                <w:szCs w:val="18"/>
              </w:rPr>
            </w:pPr>
            <w:r w:rsidRPr="009102F0">
              <w:rPr>
                <w:rFonts w:ascii="Calibri" w:hAnsi="Calibri"/>
                <w:sz w:val="18"/>
                <w:szCs w:val="18"/>
              </w:rPr>
              <w:t>$44</w:t>
            </w:r>
          </w:p>
        </w:tc>
      </w:tr>
      <w:tr w:rsidR="00641E66" w:rsidRPr="009102F0" w14:paraId="70CC14FD" w14:textId="77777777" w:rsidTr="0073510C">
        <w:trPr>
          <w:trHeight w:val="227"/>
        </w:trPr>
        <w:tc>
          <w:tcPr>
            <w:tcW w:w="1423" w:type="dxa"/>
            <w:noWrap/>
            <w:hideMark/>
          </w:tcPr>
          <w:p w14:paraId="460A4042"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noWrap/>
            <w:hideMark/>
          </w:tcPr>
          <w:p w14:paraId="124FF7AD"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(b)</w:t>
            </w:r>
          </w:p>
        </w:tc>
        <w:tc>
          <w:tcPr>
            <w:tcW w:w="1218" w:type="dxa"/>
            <w:noWrap/>
            <w:hideMark/>
          </w:tcPr>
          <w:p w14:paraId="20DD5734" w14:textId="77777777" w:rsidR="00641E66" w:rsidRPr="005D38ED" w:rsidRDefault="00641E66" w:rsidP="0073510C">
            <w:pPr>
              <w:rPr>
                <w:sz w:val="18"/>
                <w:szCs w:val="18"/>
              </w:rPr>
            </w:pPr>
            <w:r w:rsidRPr="005D38ED">
              <w:rPr>
                <w:sz w:val="18"/>
                <w:szCs w:val="18"/>
              </w:rPr>
              <w:t>0.892</w:t>
            </w:r>
          </w:p>
        </w:tc>
        <w:tc>
          <w:tcPr>
            <w:tcW w:w="1176" w:type="dxa"/>
            <w:noWrap/>
            <w:hideMark/>
          </w:tcPr>
          <w:p w14:paraId="666737EF" w14:textId="77777777" w:rsidR="00641E66" w:rsidRPr="005D38ED" w:rsidRDefault="00641E66" w:rsidP="0073510C">
            <w:pPr>
              <w:rPr>
                <w:sz w:val="18"/>
                <w:szCs w:val="18"/>
              </w:rPr>
            </w:pPr>
            <w:r w:rsidRPr="005D38ED">
              <w:rPr>
                <w:sz w:val="18"/>
                <w:szCs w:val="18"/>
              </w:rPr>
              <w:t>0.813</w:t>
            </w:r>
          </w:p>
        </w:tc>
        <w:tc>
          <w:tcPr>
            <w:tcW w:w="1203" w:type="dxa"/>
            <w:noWrap/>
            <w:hideMark/>
          </w:tcPr>
          <w:p w14:paraId="20D9C80F" w14:textId="77777777" w:rsidR="00641E66" w:rsidRPr="009102F0" w:rsidRDefault="00641E66" w:rsidP="0073510C">
            <w:pPr>
              <w:rPr>
                <w:sz w:val="18"/>
                <w:szCs w:val="18"/>
              </w:rPr>
            </w:pPr>
            <w:r w:rsidRPr="009102F0">
              <w:rPr>
                <w:sz w:val="18"/>
                <w:szCs w:val="18"/>
              </w:rPr>
              <w:t>3.87</w:t>
            </w:r>
          </w:p>
        </w:tc>
        <w:tc>
          <w:tcPr>
            <w:tcW w:w="1176" w:type="dxa"/>
            <w:gridSpan w:val="2"/>
            <w:noWrap/>
            <w:hideMark/>
          </w:tcPr>
          <w:p w14:paraId="5DDCA111" w14:textId="77777777" w:rsidR="00641E66" w:rsidRPr="009102F0" w:rsidRDefault="00641E66" w:rsidP="0073510C">
            <w:pPr>
              <w:rPr>
                <w:sz w:val="18"/>
                <w:szCs w:val="18"/>
              </w:rPr>
            </w:pPr>
            <w:r w:rsidRPr="009102F0">
              <w:rPr>
                <w:sz w:val="18"/>
                <w:szCs w:val="18"/>
              </w:rPr>
              <w:t>11836</w:t>
            </w:r>
          </w:p>
        </w:tc>
        <w:tc>
          <w:tcPr>
            <w:tcW w:w="1274" w:type="dxa"/>
            <w:noWrap/>
          </w:tcPr>
          <w:p w14:paraId="741BFD29" w14:textId="77777777" w:rsidR="00641E66" w:rsidRPr="009102F0" w:rsidRDefault="00641E66" w:rsidP="0073510C">
            <w:pPr>
              <w:rPr>
                <w:rFonts w:ascii="Calibri" w:hAnsi="Calibri"/>
                <w:sz w:val="18"/>
                <w:szCs w:val="18"/>
              </w:rPr>
            </w:pPr>
            <w:r w:rsidRPr="009102F0">
              <w:rPr>
                <w:rFonts w:ascii="Calibri" w:hAnsi="Calibri"/>
                <w:sz w:val="18"/>
                <w:szCs w:val="18"/>
              </w:rPr>
              <w:t>$53</w:t>
            </w:r>
          </w:p>
        </w:tc>
      </w:tr>
      <w:tr w:rsidR="00641E66" w:rsidRPr="009102F0" w14:paraId="7F7CBC9F" w14:textId="77777777" w:rsidTr="0073510C">
        <w:trPr>
          <w:trHeight w:val="227"/>
        </w:trPr>
        <w:tc>
          <w:tcPr>
            <w:tcW w:w="1423" w:type="dxa"/>
            <w:noWrap/>
            <w:hideMark/>
          </w:tcPr>
          <w:p w14:paraId="604E1AEE"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noWrap/>
            <w:hideMark/>
          </w:tcPr>
          <w:p w14:paraId="2F6C0164"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(c)</w:t>
            </w:r>
          </w:p>
        </w:tc>
        <w:tc>
          <w:tcPr>
            <w:tcW w:w="1218" w:type="dxa"/>
            <w:noWrap/>
            <w:hideMark/>
          </w:tcPr>
          <w:p w14:paraId="5D7E2681" w14:textId="77777777" w:rsidR="00641E66" w:rsidRPr="009102F0" w:rsidRDefault="00641E66" w:rsidP="0073510C">
            <w:pPr>
              <w:rPr>
                <w:sz w:val="18"/>
                <w:szCs w:val="18"/>
              </w:rPr>
            </w:pPr>
            <w:r w:rsidRPr="009102F0">
              <w:rPr>
                <w:sz w:val="18"/>
                <w:szCs w:val="18"/>
              </w:rPr>
              <w:t>0.856</w:t>
            </w:r>
          </w:p>
        </w:tc>
        <w:tc>
          <w:tcPr>
            <w:tcW w:w="1176" w:type="dxa"/>
            <w:noWrap/>
            <w:hideMark/>
          </w:tcPr>
          <w:p w14:paraId="4B980026" w14:textId="77777777" w:rsidR="00641E66" w:rsidRPr="009102F0" w:rsidRDefault="00641E66" w:rsidP="0073510C">
            <w:pPr>
              <w:rPr>
                <w:sz w:val="18"/>
                <w:szCs w:val="18"/>
              </w:rPr>
            </w:pPr>
            <w:r w:rsidRPr="009102F0">
              <w:rPr>
                <w:sz w:val="18"/>
                <w:szCs w:val="18"/>
              </w:rPr>
              <w:t>0.784</w:t>
            </w:r>
          </w:p>
        </w:tc>
        <w:tc>
          <w:tcPr>
            <w:tcW w:w="1203" w:type="dxa"/>
            <w:noWrap/>
            <w:hideMark/>
          </w:tcPr>
          <w:p w14:paraId="214A911E" w14:textId="77777777" w:rsidR="00641E66" w:rsidRPr="009102F0" w:rsidRDefault="00641E66" w:rsidP="0073510C">
            <w:pPr>
              <w:rPr>
                <w:sz w:val="18"/>
                <w:szCs w:val="18"/>
              </w:rPr>
            </w:pPr>
            <w:r w:rsidRPr="009102F0">
              <w:rPr>
                <w:sz w:val="18"/>
                <w:szCs w:val="18"/>
              </w:rPr>
              <w:t>4.14</w:t>
            </w:r>
          </w:p>
        </w:tc>
        <w:tc>
          <w:tcPr>
            <w:tcW w:w="1176" w:type="dxa"/>
            <w:gridSpan w:val="2"/>
            <w:noWrap/>
            <w:hideMark/>
          </w:tcPr>
          <w:p w14:paraId="44ADE12C" w14:textId="77777777" w:rsidR="00641E66" w:rsidRPr="009102F0" w:rsidRDefault="00641E66" w:rsidP="0073510C">
            <w:pPr>
              <w:rPr>
                <w:sz w:val="18"/>
                <w:szCs w:val="18"/>
              </w:rPr>
            </w:pPr>
            <w:r w:rsidRPr="009102F0">
              <w:rPr>
                <w:sz w:val="18"/>
                <w:szCs w:val="18"/>
              </w:rPr>
              <w:t>7445</w:t>
            </w:r>
          </w:p>
        </w:tc>
        <w:tc>
          <w:tcPr>
            <w:tcW w:w="1274" w:type="dxa"/>
            <w:noWrap/>
          </w:tcPr>
          <w:p w14:paraId="5DA43471" w14:textId="77777777" w:rsidR="00641E66" w:rsidRPr="009102F0" w:rsidRDefault="00641E66" w:rsidP="0073510C">
            <w:pPr>
              <w:rPr>
                <w:rFonts w:ascii="Calibri" w:hAnsi="Calibri"/>
                <w:sz w:val="18"/>
                <w:szCs w:val="18"/>
              </w:rPr>
            </w:pPr>
            <w:r w:rsidRPr="009102F0">
              <w:rPr>
                <w:rFonts w:ascii="Calibri" w:hAnsi="Calibri"/>
                <w:sz w:val="18"/>
                <w:szCs w:val="18"/>
              </w:rPr>
              <w:t>$36</w:t>
            </w:r>
          </w:p>
        </w:tc>
      </w:tr>
      <w:tr w:rsidR="00641E66" w:rsidRPr="009102F0" w14:paraId="4932A444" w14:textId="77777777" w:rsidTr="0073510C">
        <w:trPr>
          <w:trHeight w:val="227"/>
        </w:trPr>
        <w:tc>
          <w:tcPr>
            <w:tcW w:w="1423" w:type="dxa"/>
            <w:noWrap/>
            <w:hideMark/>
          </w:tcPr>
          <w:p w14:paraId="6F5D1D57"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noWrap/>
            <w:hideMark/>
          </w:tcPr>
          <w:p w14:paraId="623B7CED"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(d)</w:t>
            </w:r>
          </w:p>
        </w:tc>
        <w:tc>
          <w:tcPr>
            <w:tcW w:w="1218" w:type="dxa"/>
            <w:noWrap/>
            <w:hideMark/>
          </w:tcPr>
          <w:p w14:paraId="1F3486B6" w14:textId="77777777" w:rsidR="00641E66" w:rsidRPr="009102F0" w:rsidRDefault="00641E66" w:rsidP="0073510C">
            <w:pPr>
              <w:rPr>
                <w:sz w:val="18"/>
                <w:szCs w:val="18"/>
              </w:rPr>
            </w:pPr>
            <w:r w:rsidRPr="009102F0">
              <w:rPr>
                <w:sz w:val="18"/>
                <w:szCs w:val="18"/>
              </w:rPr>
              <w:t>0.834</w:t>
            </w:r>
          </w:p>
        </w:tc>
        <w:tc>
          <w:tcPr>
            <w:tcW w:w="1176" w:type="dxa"/>
            <w:noWrap/>
            <w:hideMark/>
          </w:tcPr>
          <w:p w14:paraId="3D20BC33" w14:textId="77777777" w:rsidR="00641E66" w:rsidRPr="009102F0" w:rsidRDefault="00641E66" w:rsidP="0073510C">
            <w:pPr>
              <w:rPr>
                <w:sz w:val="18"/>
                <w:szCs w:val="18"/>
              </w:rPr>
            </w:pPr>
            <w:r w:rsidRPr="009102F0">
              <w:rPr>
                <w:sz w:val="18"/>
                <w:szCs w:val="18"/>
              </w:rPr>
              <w:t>0.788</w:t>
            </w:r>
          </w:p>
        </w:tc>
        <w:tc>
          <w:tcPr>
            <w:tcW w:w="1203" w:type="dxa"/>
            <w:noWrap/>
            <w:hideMark/>
          </w:tcPr>
          <w:p w14:paraId="2BE0C054" w14:textId="77777777" w:rsidR="00641E66" w:rsidRPr="009102F0" w:rsidRDefault="00641E66" w:rsidP="0073510C">
            <w:pPr>
              <w:rPr>
                <w:sz w:val="18"/>
                <w:szCs w:val="18"/>
              </w:rPr>
            </w:pPr>
            <w:r w:rsidRPr="009102F0">
              <w:rPr>
                <w:sz w:val="18"/>
                <w:szCs w:val="18"/>
              </w:rPr>
              <w:t>4.27</w:t>
            </w:r>
          </w:p>
        </w:tc>
        <w:tc>
          <w:tcPr>
            <w:tcW w:w="1176" w:type="dxa"/>
            <w:gridSpan w:val="2"/>
            <w:noWrap/>
            <w:hideMark/>
          </w:tcPr>
          <w:p w14:paraId="683F1B26" w14:textId="77777777" w:rsidR="00641E66" w:rsidRPr="009102F0" w:rsidRDefault="00641E66" w:rsidP="0073510C">
            <w:pPr>
              <w:rPr>
                <w:sz w:val="18"/>
                <w:szCs w:val="18"/>
              </w:rPr>
            </w:pPr>
            <w:r w:rsidRPr="009102F0">
              <w:rPr>
                <w:sz w:val="18"/>
                <w:szCs w:val="18"/>
              </w:rPr>
              <w:t>5901</w:t>
            </w:r>
          </w:p>
        </w:tc>
        <w:tc>
          <w:tcPr>
            <w:tcW w:w="1274" w:type="dxa"/>
            <w:noWrap/>
          </w:tcPr>
          <w:p w14:paraId="58016954" w14:textId="77777777" w:rsidR="00641E66" w:rsidRPr="009102F0" w:rsidRDefault="00641E66" w:rsidP="0073510C">
            <w:pPr>
              <w:rPr>
                <w:rFonts w:ascii="Calibri" w:hAnsi="Calibri"/>
                <w:sz w:val="18"/>
                <w:szCs w:val="18"/>
              </w:rPr>
            </w:pPr>
            <w:r w:rsidRPr="009102F0">
              <w:rPr>
                <w:rFonts w:ascii="Calibri" w:hAnsi="Calibri"/>
                <w:sz w:val="18"/>
                <w:szCs w:val="18"/>
              </w:rPr>
              <w:t>$53</w:t>
            </w:r>
          </w:p>
        </w:tc>
      </w:tr>
      <w:tr w:rsidR="00641E66" w:rsidRPr="009102F0" w14:paraId="06B91C6D" w14:textId="77777777" w:rsidTr="0073510C">
        <w:trPr>
          <w:trHeight w:val="227"/>
        </w:trPr>
        <w:tc>
          <w:tcPr>
            <w:tcW w:w="1423" w:type="dxa"/>
            <w:tcBorders>
              <w:bottom w:val="single" w:sz="4" w:space="0" w:color="auto"/>
            </w:tcBorders>
            <w:noWrap/>
            <w:hideMark/>
          </w:tcPr>
          <w:p w14:paraId="36D49BFF"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tcBorders>
              <w:bottom w:val="single" w:sz="4" w:space="0" w:color="auto"/>
            </w:tcBorders>
            <w:noWrap/>
            <w:hideMark/>
          </w:tcPr>
          <w:p w14:paraId="15715091"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(e)</w:t>
            </w:r>
          </w:p>
        </w:tc>
        <w:tc>
          <w:tcPr>
            <w:tcW w:w="1218" w:type="dxa"/>
            <w:tcBorders>
              <w:bottom w:val="single" w:sz="4" w:space="0" w:color="auto"/>
            </w:tcBorders>
            <w:noWrap/>
            <w:hideMark/>
          </w:tcPr>
          <w:p w14:paraId="372C96BB" w14:textId="77777777" w:rsidR="00641E66" w:rsidRPr="009102F0" w:rsidRDefault="00641E66" w:rsidP="0073510C">
            <w:pPr>
              <w:rPr>
                <w:sz w:val="18"/>
                <w:szCs w:val="18"/>
              </w:rPr>
            </w:pPr>
            <w:r w:rsidRPr="009102F0">
              <w:rPr>
                <w:sz w:val="18"/>
                <w:szCs w:val="18"/>
              </w:rPr>
              <w:t>0.893</w:t>
            </w:r>
          </w:p>
        </w:tc>
        <w:tc>
          <w:tcPr>
            <w:tcW w:w="1176" w:type="dxa"/>
            <w:tcBorders>
              <w:bottom w:val="single" w:sz="4" w:space="0" w:color="auto"/>
            </w:tcBorders>
            <w:noWrap/>
            <w:hideMark/>
          </w:tcPr>
          <w:p w14:paraId="449F456C" w14:textId="77777777" w:rsidR="00641E66" w:rsidRPr="009102F0" w:rsidRDefault="00641E66" w:rsidP="0073510C">
            <w:pPr>
              <w:rPr>
                <w:sz w:val="18"/>
                <w:szCs w:val="18"/>
              </w:rPr>
            </w:pPr>
            <w:r w:rsidRPr="009102F0">
              <w:rPr>
                <w:sz w:val="18"/>
                <w:szCs w:val="18"/>
              </w:rPr>
              <w:t>0.843</w:t>
            </w:r>
          </w:p>
        </w:tc>
        <w:tc>
          <w:tcPr>
            <w:tcW w:w="1203" w:type="dxa"/>
            <w:tcBorders>
              <w:bottom w:val="single" w:sz="4" w:space="0" w:color="auto"/>
            </w:tcBorders>
            <w:noWrap/>
            <w:hideMark/>
          </w:tcPr>
          <w:p w14:paraId="2D3710A2" w14:textId="77777777" w:rsidR="00641E66" w:rsidRPr="009102F0" w:rsidRDefault="00641E66" w:rsidP="0073510C">
            <w:pPr>
              <w:rPr>
                <w:sz w:val="18"/>
                <w:szCs w:val="18"/>
              </w:rPr>
            </w:pPr>
            <w:r w:rsidRPr="009102F0">
              <w:rPr>
                <w:sz w:val="18"/>
                <w:szCs w:val="18"/>
              </w:rPr>
              <w:t>3.73</w:t>
            </w:r>
          </w:p>
        </w:tc>
        <w:tc>
          <w:tcPr>
            <w:tcW w:w="1176" w:type="dxa"/>
            <w:gridSpan w:val="2"/>
            <w:tcBorders>
              <w:bottom w:val="single" w:sz="4" w:space="0" w:color="auto"/>
            </w:tcBorders>
            <w:noWrap/>
            <w:hideMark/>
          </w:tcPr>
          <w:p w14:paraId="3485ECDF" w14:textId="77777777" w:rsidR="00641E66" w:rsidRPr="009102F0" w:rsidRDefault="00641E66" w:rsidP="0073510C">
            <w:pPr>
              <w:rPr>
                <w:color w:val="5B9BD5" w:themeColor="accent1"/>
                <w:sz w:val="18"/>
                <w:szCs w:val="18"/>
              </w:rPr>
            </w:pPr>
            <w:r w:rsidRPr="009102F0">
              <w:rPr>
                <w:sz w:val="18"/>
                <w:szCs w:val="18"/>
              </w:rPr>
              <w:t>13017</w:t>
            </w:r>
          </w:p>
        </w:tc>
        <w:tc>
          <w:tcPr>
            <w:tcW w:w="1274" w:type="dxa"/>
            <w:tcBorders>
              <w:bottom w:val="single" w:sz="4" w:space="0" w:color="auto"/>
            </w:tcBorders>
            <w:noWrap/>
          </w:tcPr>
          <w:p w14:paraId="10DCEE92" w14:textId="77777777" w:rsidR="00641E66" w:rsidRPr="009102F0" w:rsidRDefault="00641E66" w:rsidP="0073510C">
            <w:pPr>
              <w:rPr>
                <w:rFonts w:ascii="Calibri" w:hAnsi="Calibri"/>
                <w:sz w:val="18"/>
                <w:szCs w:val="18"/>
              </w:rPr>
            </w:pPr>
            <w:r w:rsidRPr="009102F0">
              <w:rPr>
                <w:rFonts w:ascii="Calibri" w:hAnsi="Calibri"/>
                <w:sz w:val="18"/>
                <w:szCs w:val="18"/>
              </w:rPr>
              <w:t>$62</w:t>
            </w:r>
          </w:p>
        </w:tc>
      </w:tr>
      <w:tr w:rsidR="00641E66" w:rsidRPr="009102F0" w14:paraId="334A11A8" w14:textId="77777777" w:rsidTr="0073510C">
        <w:trPr>
          <w:trHeight w:val="281"/>
        </w:trPr>
        <w:tc>
          <w:tcPr>
            <w:tcW w:w="9290" w:type="dxa"/>
            <w:gridSpan w:val="8"/>
            <w:tcBorders>
              <w:left w:val="single" w:sz="4" w:space="0" w:color="auto"/>
              <w:right w:val="single" w:sz="4" w:space="0" w:color="auto"/>
            </w:tcBorders>
            <w:noWrap/>
          </w:tcPr>
          <w:p w14:paraId="06843CB8" w14:textId="77777777" w:rsidR="00641E66" w:rsidRPr="009102F0" w:rsidRDefault="00641E66" w:rsidP="0073510C">
            <w:pPr>
              <w:rPr>
                <w:rFonts w:ascii="Calibri" w:hAnsi="Calibri"/>
                <w:b/>
                <w:sz w:val="18"/>
                <w:szCs w:val="18"/>
              </w:rPr>
            </w:pPr>
          </w:p>
          <w:p w14:paraId="1A1A1E63" w14:textId="77777777" w:rsidR="00641E66" w:rsidRPr="009102F0" w:rsidRDefault="00641E66" w:rsidP="0073510C">
            <w:pPr>
              <w:rPr>
                <w:rFonts w:ascii="Calibri" w:hAnsi="Calibri"/>
                <w:b/>
                <w:sz w:val="18"/>
                <w:szCs w:val="18"/>
              </w:rPr>
            </w:pPr>
            <w:r w:rsidRPr="009102F0">
              <w:rPr>
                <w:rFonts w:ascii="Calibri" w:hAnsi="Calibri"/>
                <w:b/>
                <w:color w:val="C00000"/>
                <w:sz w:val="18"/>
                <w:szCs w:val="18"/>
              </w:rPr>
              <w:t>(b) Viral load monitoring</w:t>
            </w:r>
          </w:p>
          <w:p w14:paraId="770C70A3" w14:textId="77777777" w:rsidR="00641E66" w:rsidRPr="009102F0" w:rsidRDefault="00641E66" w:rsidP="0073510C">
            <w:pPr>
              <w:rPr>
                <w:rFonts w:ascii="Calibri" w:hAnsi="Calibri"/>
                <w:b/>
                <w:sz w:val="18"/>
                <w:szCs w:val="18"/>
              </w:rPr>
            </w:pPr>
          </w:p>
        </w:tc>
      </w:tr>
      <w:tr w:rsidR="00641E66" w:rsidRPr="009102F0" w14:paraId="0CD2F84F" w14:textId="77777777" w:rsidTr="0073510C">
        <w:trPr>
          <w:trHeight w:val="227"/>
        </w:trPr>
        <w:tc>
          <w:tcPr>
            <w:tcW w:w="1423" w:type="dxa"/>
            <w:noWrap/>
            <w:hideMark/>
          </w:tcPr>
          <w:p w14:paraId="3B9417FF"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No intervention</w:t>
            </w:r>
          </w:p>
        </w:tc>
        <w:tc>
          <w:tcPr>
            <w:tcW w:w="1820" w:type="dxa"/>
            <w:noWrap/>
            <w:hideMark/>
          </w:tcPr>
          <w:p w14:paraId="3B6973CB"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w:t>
            </w:r>
          </w:p>
        </w:tc>
        <w:tc>
          <w:tcPr>
            <w:tcW w:w="1218" w:type="dxa"/>
            <w:noWrap/>
            <w:hideMark/>
          </w:tcPr>
          <w:p w14:paraId="578C0AA3" w14:textId="77777777" w:rsidR="00641E66" w:rsidRPr="009102F0" w:rsidRDefault="00641E66" w:rsidP="0073510C">
            <w:pPr>
              <w:rPr>
                <w:sz w:val="18"/>
                <w:szCs w:val="18"/>
              </w:rPr>
            </w:pPr>
            <w:r w:rsidRPr="009102F0">
              <w:rPr>
                <w:sz w:val="18"/>
                <w:szCs w:val="18"/>
              </w:rPr>
              <w:t>0.817</w:t>
            </w:r>
          </w:p>
        </w:tc>
        <w:tc>
          <w:tcPr>
            <w:tcW w:w="1176" w:type="dxa"/>
            <w:noWrap/>
            <w:hideMark/>
          </w:tcPr>
          <w:p w14:paraId="3280EB87" w14:textId="77777777" w:rsidR="00641E66" w:rsidRPr="009102F0" w:rsidRDefault="00641E66" w:rsidP="0073510C">
            <w:pPr>
              <w:rPr>
                <w:sz w:val="18"/>
                <w:szCs w:val="18"/>
              </w:rPr>
            </w:pPr>
            <w:r w:rsidRPr="009102F0">
              <w:rPr>
                <w:sz w:val="18"/>
                <w:szCs w:val="18"/>
              </w:rPr>
              <w:t>0.766</w:t>
            </w:r>
          </w:p>
        </w:tc>
        <w:tc>
          <w:tcPr>
            <w:tcW w:w="1210" w:type="dxa"/>
            <w:gridSpan w:val="2"/>
            <w:noWrap/>
            <w:hideMark/>
          </w:tcPr>
          <w:p w14:paraId="16D86B7E" w14:textId="77777777" w:rsidR="00641E66" w:rsidRPr="009102F0" w:rsidRDefault="00641E66" w:rsidP="0073510C">
            <w:pPr>
              <w:rPr>
                <w:sz w:val="18"/>
                <w:szCs w:val="18"/>
              </w:rPr>
            </w:pPr>
            <w:r w:rsidRPr="009102F0">
              <w:rPr>
                <w:sz w:val="18"/>
                <w:szCs w:val="18"/>
              </w:rPr>
              <w:t>4.61</w:t>
            </w:r>
          </w:p>
        </w:tc>
        <w:tc>
          <w:tcPr>
            <w:tcW w:w="1169" w:type="dxa"/>
            <w:noWrap/>
            <w:hideMark/>
          </w:tcPr>
          <w:p w14:paraId="07A08543" w14:textId="77777777" w:rsidR="00641E66" w:rsidRPr="009102F0" w:rsidRDefault="00641E66" w:rsidP="0073510C">
            <w:pPr>
              <w:rPr>
                <w:sz w:val="18"/>
                <w:szCs w:val="18"/>
              </w:rPr>
            </w:pPr>
            <w:r w:rsidRPr="009102F0">
              <w:rPr>
                <w:sz w:val="18"/>
                <w:szCs w:val="18"/>
              </w:rPr>
              <w:t>---</w:t>
            </w:r>
          </w:p>
        </w:tc>
        <w:tc>
          <w:tcPr>
            <w:tcW w:w="1274" w:type="dxa"/>
            <w:noWrap/>
          </w:tcPr>
          <w:p w14:paraId="34250F91" w14:textId="77777777" w:rsidR="00641E66" w:rsidRPr="009102F0" w:rsidRDefault="00641E66" w:rsidP="0073510C">
            <w:pPr>
              <w:rPr>
                <w:rFonts w:ascii="Calibri" w:hAnsi="Calibri"/>
                <w:sz w:val="18"/>
                <w:szCs w:val="18"/>
              </w:rPr>
            </w:pPr>
          </w:p>
        </w:tc>
      </w:tr>
      <w:tr w:rsidR="00641E66" w:rsidRPr="009102F0" w14:paraId="5AF75CB8" w14:textId="77777777" w:rsidTr="0073510C">
        <w:trPr>
          <w:trHeight w:val="227"/>
        </w:trPr>
        <w:tc>
          <w:tcPr>
            <w:tcW w:w="1423" w:type="dxa"/>
            <w:noWrap/>
            <w:hideMark/>
          </w:tcPr>
          <w:p w14:paraId="148C9EE2"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71B7EFB5"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(a)</w:t>
            </w:r>
          </w:p>
        </w:tc>
        <w:tc>
          <w:tcPr>
            <w:tcW w:w="1218" w:type="dxa"/>
            <w:noWrap/>
            <w:hideMark/>
          </w:tcPr>
          <w:p w14:paraId="3873E804" w14:textId="77777777" w:rsidR="00641E66" w:rsidRPr="009102F0" w:rsidRDefault="00641E66" w:rsidP="0073510C">
            <w:pPr>
              <w:rPr>
                <w:sz w:val="18"/>
                <w:szCs w:val="18"/>
              </w:rPr>
            </w:pPr>
            <w:r w:rsidRPr="009102F0">
              <w:rPr>
                <w:sz w:val="18"/>
                <w:szCs w:val="18"/>
              </w:rPr>
              <w:t>0.823</w:t>
            </w:r>
          </w:p>
        </w:tc>
        <w:tc>
          <w:tcPr>
            <w:tcW w:w="1176" w:type="dxa"/>
            <w:noWrap/>
            <w:hideMark/>
          </w:tcPr>
          <w:p w14:paraId="5198C5A2" w14:textId="77777777" w:rsidR="00641E66" w:rsidRPr="009102F0" w:rsidRDefault="00641E66" w:rsidP="0073510C">
            <w:pPr>
              <w:rPr>
                <w:sz w:val="18"/>
                <w:szCs w:val="18"/>
              </w:rPr>
            </w:pPr>
            <w:r w:rsidRPr="009102F0">
              <w:rPr>
                <w:sz w:val="18"/>
                <w:szCs w:val="18"/>
              </w:rPr>
              <w:t>0.772</w:t>
            </w:r>
          </w:p>
        </w:tc>
        <w:tc>
          <w:tcPr>
            <w:tcW w:w="1210" w:type="dxa"/>
            <w:gridSpan w:val="2"/>
            <w:noWrap/>
            <w:hideMark/>
          </w:tcPr>
          <w:p w14:paraId="6CE2AC12" w14:textId="77777777" w:rsidR="00641E66" w:rsidRPr="009102F0" w:rsidRDefault="00641E66" w:rsidP="0073510C">
            <w:pPr>
              <w:rPr>
                <w:sz w:val="18"/>
                <w:szCs w:val="18"/>
              </w:rPr>
            </w:pPr>
            <w:r w:rsidRPr="009102F0">
              <w:rPr>
                <w:sz w:val="18"/>
                <w:szCs w:val="18"/>
              </w:rPr>
              <w:t>4.56</w:t>
            </w:r>
          </w:p>
        </w:tc>
        <w:tc>
          <w:tcPr>
            <w:tcW w:w="1169" w:type="dxa"/>
            <w:noWrap/>
            <w:hideMark/>
          </w:tcPr>
          <w:p w14:paraId="4EF00EAC" w14:textId="77777777" w:rsidR="00641E66" w:rsidRPr="009102F0" w:rsidRDefault="00641E66" w:rsidP="0073510C">
            <w:pPr>
              <w:rPr>
                <w:sz w:val="18"/>
                <w:szCs w:val="18"/>
              </w:rPr>
            </w:pPr>
            <w:r w:rsidRPr="009102F0">
              <w:rPr>
                <w:sz w:val="18"/>
                <w:szCs w:val="18"/>
              </w:rPr>
              <w:t>1281</w:t>
            </w:r>
          </w:p>
        </w:tc>
        <w:tc>
          <w:tcPr>
            <w:tcW w:w="1274" w:type="dxa"/>
            <w:noWrap/>
          </w:tcPr>
          <w:p w14:paraId="6A6FB81F" w14:textId="77777777" w:rsidR="00641E66" w:rsidRPr="009102F0" w:rsidRDefault="00641E66" w:rsidP="0073510C">
            <w:pPr>
              <w:rPr>
                <w:rFonts w:ascii="Calibri" w:hAnsi="Calibri"/>
                <w:sz w:val="18"/>
                <w:szCs w:val="18"/>
              </w:rPr>
            </w:pPr>
            <w:r w:rsidRPr="009102F0">
              <w:rPr>
                <w:rFonts w:ascii="Calibri" w:hAnsi="Calibri"/>
                <w:sz w:val="18"/>
                <w:szCs w:val="18"/>
              </w:rPr>
              <w:t>$8</w:t>
            </w:r>
          </w:p>
        </w:tc>
      </w:tr>
      <w:tr w:rsidR="00641E66" w:rsidRPr="009102F0" w14:paraId="6657CE9C" w14:textId="77777777" w:rsidTr="0073510C">
        <w:trPr>
          <w:trHeight w:val="227"/>
        </w:trPr>
        <w:tc>
          <w:tcPr>
            <w:tcW w:w="1423" w:type="dxa"/>
            <w:noWrap/>
            <w:hideMark/>
          </w:tcPr>
          <w:p w14:paraId="5EACE86B"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2A5D2817"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(b)</w:t>
            </w:r>
          </w:p>
        </w:tc>
        <w:tc>
          <w:tcPr>
            <w:tcW w:w="1218" w:type="dxa"/>
            <w:noWrap/>
            <w:hideMark/>
          </w:tcPr>
          <w:p w14:paraId="52D7BE51" w14:textId="77777777" w:rsidR="00641E66" w:rsidRPr="009102F0" w:rsidRDefault="00641E66" w:rsidP="0073510C">
            <w:pPr>
              <w:rPr>
                <w:sz w:val="18"/>
                <w:szCs w:val="18"/>
              </w:rPr>
            </w:pPr>
            <w:r w:rsidRPr="009102F0">
              <w:rPr>
                <w:sz w:val="18"/>
                <w:szCs w:val="18"/>
              </w:rPr>
              <w:t>0.838</w:t>
            </w:r>
          </w:p>
        </w:tc>
        <w:tc>
          <w:tcPr>
            <w:tcW w:w="1176" w:type="dxa"/>
            <w:noWrap/>
            <w:hideMark/>
          </w:tcPr>
          <w:p w14:paraId="39ACF99A" w14:textId="77777777" w:rsidR="00641E66" w:rsidRPr="009102F0" w:rsidRDefault="00641E66" w:rsidP="0073510C">
            <w:pPr>
              <w:rPr>
                <w:sz w:val="18"/>
                <w:szCs w:val="18"/>
              </w:rPr>
            </w:pPr>
            <w:r w:rsidRPr="009102F0">
              <w:rPr>
                <w:sz w:val="18"/>
                <w:szCs w:val="18"/>
              </w:rPr>
              <w:t>0.784</w:t>
            </w:r>
          </w:p>
        </w:tc>
        <w:tc>
          <w:tcPr>
            <w:tcW w:w="1210" w:type="dxa"/>
            <w:gridSpan w:val="2"/>
            <w:noWrap/>
            <w:hideMark/>
          </w:tcPr>
          <w:p w14:paraId="3BF04A0F" w14:textId="77777777" w:rsidR="00641E66" w:rsidRPr="009102F0" w:rsidRDefault="00641E66" w:rsidP="0073510C">
            <w:pPr>
              <w:rPr>
                <w:sz w:val="18"/>
                <w:szCs w:val="18"/>
              </w:rPr>
            </w:pPr>
            <w:r w:rsidRPr="009102F0">
              <w:rPr>
                <w:sz w:val="18"/>
                <w:szCs w:val="18"/>
              </w:rPr>
              <w:t>4.42</w:t>
            </w:r>
          </w:p>
        </w:tc>
        <w:tc>
          <w:tcPr>
            <w:tcW w:w="1169" w:type="dxa"/>
            <w:noWrap/>
            <w:hideMark/>
          </w:tcPr>
          <w:p w14:paraId="0C55F55F" w14:textId="77777777" w:rsidR="00641E66" w:rsidRPr="009102F0" w:rsidRDefault="00641E66" w:rsidP="0073510C">
            <w:pPr>
              <w:rPr>
                <w:sz w:val="18"/>
                <w:szCs w:val="18"/>
              </w:rPr>
            </w:pPr>
            <w:r w:rsidRPr="009102F0">
              <w:rPr>
                <w:sz w:val="18"/>
                <w:szCs w:val="18"/>
              </w:rPr>
              <w:t>2457</w:t>
            </w:r>
          </w:p>
        </w:tc>
        <w:tc>
          <w:tcPr>
            <w:tcW w:w="1274" w:type="dxa"/>
            <w:noWrap/>
          </w:tcPr>
          <w:p w14:paraId="58B301C5" w14:textId="77777777" w:rsidR="00641E66" w:rsidRPr="009102F0" w:rsidRDefault="00641E66" w:rsidP="0073510C">
            <w:pPr>
              <w:rPr>
                <w:rFonts w:ascii="Calibri" w:hAnsi="Calibri"/>
                <w:sz w:val="18"/>
                <w:szCs w:val="18"/>
              </w:rPr>
            </w:pPr>
            <w:r w:rsidRPr="009102F0">
              <w:rPr>
                <w:rFonts w:ascii="Calibri" w:hAnsi="Calibri"/>
                <w:sz w:val="18"/>
                <w:szCs w:val="18"/>
              </w:rPr>
              <w:t>$8</w:t>
            </w:r>
          </w:p>
        </w:tc>
      </w:tr>
      <w:tr w:rsidR="00641E66" w:rsidRPr="009102F0" w14:paraId="0A8622B5" w14:textId="77777777" w:rsidTr="0073510C">
        <w:trPr>
          <w:trHeight w:val="227"/>
        </w:trPr>
        <w:tc>
          <w:tcPr>
            <w:tcW w:w="1423" w:type="dxa"/>
            <w:noWrap/>
            <w:hideMark/>
          </w:tcPr>
          <w:p w14:paraId="519E3407"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3D3EC5F6"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(c)</w:t>
            </w:r>
          </w:p>
        </w:tc>
        <w:tc>
          <w:tcPr>
            <w:tcW w:w="1218" w:type="dxa"/>
            <w:noWrap/>
            <w:hideMark/>
          </w:tcPr>
          <w:p w14:paraId="2C3D4AE8" w14:textId="77777777" w:rsidR="00641E66" w:rsidRPr="009102F0" w:rsidRDefault="00641E66" w:rsidP="0073510C">
            <w:pPr>
              <w:rPr>
                <w:sz w:val="18"/>
                <w:szCs w:val="18"/>
              </w:rPr>
            </w:pPr>
            <w:r w:rsidRPr="009102F0">
              <w:rPr>
                <w:sz w:val="18"/>
                <w:szCs w:val="18"/>
              </w:rPr>
              <w:t>0.830</w:t>
            </w:r>
          </w:p>
        </w:tc>
        <w:tc>
          <w:tcPr>
            <w:tcW w:w="1176" w:type="dxa"/>
            <w:noWrap/>
            <w:hideMark/>
          </w:tcPr>
          <w:p w14:paraId="466F6645" w14:textId="77777777" w:rsidR="00641E66" w:rsidRPr="009102F0" w:rsidRDefault="00641E66" w:rsidP="0073510C">
            <w:pPr>
              <w:rPr>
                <w:sz w:val="18"/>
                <w:szCs w:val="18"/>
              </w:rPr>
            </w:pPr>
            <w:r w:rsidRPr="009102F0">
              <w:rPr>
                <w:sz w:val="18"/>
                <w:szCs w:val="18"/>
              </w:rPr>
              <w:t>0.778</w:t>
            </w:r>
          </w:p>
        </w:tc>
        <w:tc>
          <w:tcPr>
            <w:tcW w:w="1210" w:type="dxa"/>
            <w:gridSpan w:val="2"/>
            <w:noWrap/>
            <w:hideMark/>
          </w:tcPr>
          <w:p w14:paraId="3AB3438D" w14:textId="77777777" w:rsidR="00641E66" w:rsidRPr="009102F0" w:rsidRDefault="00641E66" w:rsidP="0073510C">
            <w:pPr>
              <w:rPr>
                <w:sz w:val="18"/>
                <w:szCs w:val="18"/>
              </w:rPr>
            </w:pPr>
            <w:r w:rsidRPr="009102F0">
              <w:rPr>
                <w:sz w:val="18"/>
                <w:szCs w:val="18"/>
              </w:rPr>
              <w:t>4.48</w:t>
            </w:r>
          </w:p>
        </w:tc>
        <w:tc>
          <w:tcPr>
            <w:tcW w:w="1169" w:type="dxa"/>
            <w:noWrap/>
            <w:hideMark/>
          </w:tcPr>
          <w:p w14:paraId="0A3353F0" w14:textId="77777777" w:rsidR="00641E66" w:rsidRPr="009102F0" w:rsidRDefault="00641E66" w:rsidP="0073510C">
            <w:pPr>
              <w:rPr>
                <w:sz w:val="18"/>
                <w:szCs w:val="18"/>
              </w:rPr>
            </w:pPr>
            <w:r w:rsidRPr="009102F0">
              <w:rPr>
                <w:sz w:val="18"/>
                <w:szCs w:val="18"/>
              </w:rPr>
              <w:t>2416</w:t>
            </w:r>
          </w:p>
        </w:tc>
        <w:tc>
          <w:tcPr>
            <w:tcW w:w="1274" w:type="dxa"/>
            <w:noWrap/>
          </w:tcPr>
          <w:p w14:paraId="6E27DE40" w14:textId="77777777" w:rsidR="00641E66" w:rsidRPr="009102F0" w:rsidRDefault="00641E66" w:rsidP="0073510C">
            <w:pPr>
              <w:rPr>
                <w:rFonts w:ascii="Calibri" w:hAnsi="Calibri"/>
                <w:sz w:val="18"/>
                <w:szCs w:val="18"/>
              </w:rPr>
            </w:pPr>
            <w:r w:rsidRPr="009102F0">
              <w:rPr>
                <w:rFonts w:ascii="Calibri" w:hAnsi="Calibri"/>
                <w:sz w:val="18"/>
                <w:szCs w:val="18"/>
              </w:rPr>
              <w:t>$7</w:t>
            </w:r>
          </w:p>
        </w:tc>
      </w:tr>
      <w:tr w:rsidR="00641E66" w:rsidRPr="009102F0" w14:paraId="56383CC4" w14:textId="77777777" w:rsidTr="0073510C">
        <w:trPr>
          <w:trHeight w:val="227"/>
        </w:trPr>
        <w:tc>
          <w:tcPr>
            <w:tcW w:w="1423" w:type="dxa"/>
            <w:noWrap/>
            <w:hideMark/>
          </w:tcPr>
          <w:p w14:paraId="56EE2B21"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09F985BB"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(d)</w:t>
            </w:r>
          </w:p>
        </w:tc>
        <w:tc>
          <w:tcPr>
            <w:tcW w:w="1218" w:type="dxa"/>
            <w:noWrap/>
            <w:hideMark/>
          </w:tcPr>
          <w:p w14:paraId="448C0A42" w14:textId="77777777" w:rsidR="00641E66" w:rsidRPr="009102F0" w:rsidRDefault="00641E66" w:rsidP="0073510C">
            <w:pPr>
              <w:rPr>
                <w:sz w:val="18"/>
                <w:szCs w:val="18"/>
              </w:rPr>
            </w:pPr>
            <w:r w:rsidRPr="009102F0">
              <w:rPr>
                <w:sz w:val="18"/>
                <w:szCs w:val="18"/>
              </w:rPr>
              <w:t>0.823</w:t>
            </w:r>
          </w:p>
        </w:tc>
        <w:tc>
          <w:tcPr>
            <w:tcW w:w="1176" w:type="dxa"/>
            <w:noWrap/>
            <w:hideMark/>
          </w:tcPr>
          <w:p w14:paraId="4B727013" w14:textId="77777777" w:rsidR="00641E66" w:rsidRPr="009102F0" w:rsidRDefault="00641E66" w:rsidP="0073510C">
            <w:pPr>
              <w:rPr>
                <w:sz w:val="18"/>
                <w:szCs w:val="18"/>
              </w:rPr>
            </w:pPr>
            <w:r w:rsidRPr="009102F0">
              <w:rPr>
                <w:sz w:val="18"/>
                <w:szCs w:val="18"/>
              </w:rPr>
              <w:t>0.775</w:t>
            </w:r>
          </w:p>
        </w:tc>
        <w:tc>
          <w:tcPr>
            <w:tcW w:w="1210" w:type="dxa"/>
            <w:gridSpan w:val="2"/>
            <w:noWrap/>
            <w:hideMark/>
          </w:tcPr>
          <w:p w14:paraId="00426A8A" w14:textId="77777777" w:rsidR="00641E66" w:rsidRPr="009102F0" w:rsidRDefault="00641E66" w:rsidP="0073510C">
            <w:pPr>
              <w:rPr>
                <w:sz w:val="18"/>
                <w:szCs w:val="18"/>
              </w:rPr>
            </w:pPr>
            <w:r w:rsidRPr="009102F0">
              <w:rPr>
                <w:sz w:val="18"/>
                <w:szCs w:val="18"/>
              </w:rPr>
              <w:t>4.53</w:t>
            </w:r>
          </w:p>
        </w:tc>
        <w:tc>
          <w:tcPr>
            <w:tcW w:w="1169" w:type="dxa"/>
            <w:noWrap/>
            <w:hideMark/>
          </w:tcPr>
          <w:p w14:paraId="0EFDD740" w14:textId="77777777" w:rsidR="00641E66" w:rsidRPr="009102F0" w:rsidRDefault="00641E66" w:rsidP="0073510C">
            <w:pPr>
              <w:rPr>
                <w:sz w:val="18"/>
                <w:szCs w:val="18"/>
              </w:rPr>
            </w:pPr>
            <w:r w:rsidRPr="009102F0">
              <w:rPr>
                <w:sz w:val="18"/>
                <w:szCs w:val="18"/>
              </w:rPr>
              <w:t>1087</w:t>
            </w:r>
          </w:p>
        </w:tc>
        <w:tc>
          <w:tcPr>
            <w:tcW w:w="1274" w:type="dxa"/>
            <w:noWrap/>
          </w:tcPr>
          <w:p w14:paraId="3B375EAF" w14:textId="77777777" w:rsidR="00641E66" w:rsidRPr="009102F0" w:rsidRDefault="00641E66" w:rsidP="0073510C">
            <w:pPr>
              <w:rPr>
                <w:rFonts w:ascii="Calibri" w:hAnsi="Calibri"/>
                <w:sz w:val="18"/>
                <w:szCs w:val="18"/>
              </w:rPr>
            </w:pPr>
            <w:r w:rsidRPr="009102F0">
              <w:rPr>
                <w:rFonts w:ascii="Calibri" w:hAnsi="Calibri"/>
                <w:sz w:val="18"/>
                <w:szCs w:val="18"/>
              </w:rPr>
              <w:t>$7</w:t>
            </w:r>
          </w:p>
        </w:tc>
      </w:tr>
      <w:tr w:rsidR="00641E66" w:rsidRPr="009102F0" w14:paraId="58B366C5" w14:textId="77777777" w:rsidTr="0073510C">
        <w:trPr>
          <w:trHeight w:val="227"/>
        </w:trPr>
        <w:tc>
          <w:tcPr>
            <w:tcW w:w="1423" w:type="dxa"/>
            <w:noWrap/>
            <w:hideMark/>
          </w:tcPr>
          <w:p w14:paraId="46800B69"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20</w:t>
            </w:r>
          </w:p>
        </w:tc>
        <w:tc>
          <w:tcPr>
            <w:tcW w:w="1820" w:type="dxa"/>
            <w:noWrap/>
            <w:hideMark/>
          </w:tcPr>
          <w:p w14:paraId="39429DAD"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(e)</w:t>
            </w:r>
          </w:p>
        </w:tc>
        <w:tc>
          <w:tcPr>
            <w:tcW w:w="1218" w:type="dxa"/>
            <w:noWrap/>
            <w:hideMark/>
          </w:tcPr>
          <w:p w14:paraId="4BA7CA37" w14:textId="77777777" w:rsidR="00641E66" w:rsidRPr="009102F0" w:rsidRDefault="00641E66" w:rsidP="0073510C">
            <w:pPr>
              <w:rPr>
                <w:sz w:val="18"/>
                <w:szCs w:val="18"/>
              </w:rPr>
            </w:pPr>
            <w:r w:rsidRPr="009102F0">
              <w:rPr>
                <w:sz w:val="18"/>
                <w:szCs w:val="18"/>
              </w:rPr>
              <w:t>0.839</w:t>
            </w:r>
          </w:p>
        </w:tc>
        <w:tc>
          <w:tcPr>
            <w:tcW w:w="1176" w:type="dxa"/>
            <w:noWrap/>
            <w:hideMark/>
          </w:tcPr>
          <w:p w14:paraId="7F058E0C" w14:textId="77777777" w:rsidR="00641E66" w:rsidRPr="009102F0" w:rsidRDefault="00641E66" w:rsidP="0073510C">
            <w:pPr>
              <w:rPr>
                <w:sz w:val="18"/>
                <w:szCs w:val="18"/>
              </w:rPr>
            </w:pPr>
            <w:r w:rsidRPr="009102F0">
              <w:rPr>
                <w:sz w:val="18"/>
                <w:szCs w:val="18"/>
              </w:rPr>
              <w:t>0.790</w:t>
            </w:r>
          </w:p>
        </w:tc>
        <w:tc>
          <w:tcPr>
            <w:tcW w:w="1210" w:type="dxa"/>
            <w:gridSpan w:val="2"/>
            <w:noWrap/>
            <w:hideMark/>
          </w:tcPr>
          <w:p w14:paraId="13275C0C" w14:textId="77777777" w:rsidR="00641E66" w:rsidRPr="009102F0" w:rsidRDefault="00641E66" w:rsidP="0073510C">
            <w:pPr>
              <w:rPr>
                <w:sz w:val="18"/>
                <w:szCs w:val="18"/>
              </w:rPr>
            </w:pPr>
            <w:r w:rsidRPr="009102F0">
              <w:rPr>
                <w:sz w:val="18"/>
                <w:szCs w:val="18"/>
              </w:rPr>
              <w:t>4.37</w:t>
            </w:r>
          </w:p>
        </w:tc>
        <w:tc>
          <w:tcPr>
            <w:tcW w:w="1169" w:type="dxa"/>
            <w:noWrap/>
            <w:hideMark/>
          </w:tcPr>
          <w:p w14:paraId="6802EB3C" w14:textId="77777777" w:rsidR="00641E66" w:rsidRPr="009102F0" w:rsidRDefault="00641E66" w:rsidP="0073510C">
            <w:pPr>
              <w:rPr>
                <w:sz w:val="18"/>
                <w:szCs w:val="18"/>
              </w:rPr>
            </w:pPr>
            <w:r w:rsidRPr="009102F0">
              <w:rPr>
                <w:sz w:val="18"/>
                <w:szCs w:val="18"/>
              </w:rPr>
              <w:t>3407</w:t>
            </w:r>
          </w:p>
        </w:tc>
        <w:tc>
          <w:tcPr>
            <w:tcW w:w="1274" w:type="dxa"/>
            <w:noWrap/>
          </w:tcPr>
          <w:p w14:paraId="53074373" w14:textId="77777777" w:rsidR="00641E66" w:rsidRPr="009102F0" w:rsidRDefault="00641E66" w:rsidP="0073510C">
            <w:pPr>
              <w:rPr>
                <w:rFonts w:ascii="Calibri" w:hAnsi="Calibri"/>
                <w:sz w:val="18"/>
                <w:szCs w:val="18"/>
              </w:rPr>
            </w:pPr>
            <w:r w:rsidRPr="009102F0">
              <w:rPr>
                <w:rFonts w:ascii="Calibri" w:hAnsi="Calibri"/>
                <w:sz w:val="18"/>
                <w:szCs w:val="18"/>
              </w:rPr>
              <w:t>$12</w:t>
            </w:r>
          </w:p>
        </w:tc>
      </w:tr>
      <w:tr w:rsidR="00641E66" w:rsidRPr="009102F0" w14:paraId="622E79D6" w14:textId="77777777" w:rsidTr="0073510C">
        <w:trPr>
          <w:trHeight w:val="227"/>
        </w:trPr>
        <w:tc>
          <w:tcPr>
            <w:tcW w:w="1423" w:type="dxa"/>
            <w:noWrap/>
            <w:hideMark/>
          </w:tcPr>
          <w:p w14:paraId="757A8528"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78533774"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(a)</w:t>
            </w:r>
          </w:p>
        </w:tc>
        <w:tc>
          <w:tcPr>
            <w:tcW w:w="1218" w:type="dxa"/>
            <w:noWrap/>
            <w:hideMark/>
          </w:tcPr>
          <w:p w14:paraId="2B835AF2" w14:textId="77777777" w:rsidR="00641E66" w:rsidRPr="009102F0" w:rsidRDefault="00641E66" w:rsidP="0073510C">
            <w:pPr>
              <w:rPr>
                <w:sz w:val="18"/>
                <w:szCs w:val="18"/>
              </w:rPr>
            </w:pPr>
            <w:r w:rsidRPr="009102F0">
              <w:rPr>
                <w:sz w:val="18"/>
                <w:szCs w:val="18"/>
              </w:rPr>
              <w:t>0.831</w:t>
            </w:r>
          </w:p>
        </w:tc>
        <w:tc>
          <w:tcPr>
            <w:tcW w:w="1176" w:type="dxa"/>
            <w:noWrap/>
            <w:hideMark/>
          </w:tcPr>
          <w:p w14:paraId="6944CEDA" w14:textId="77777777" w:rsidR="00641E66" w:rsidRPr="009102F0" w:rsidRDefault="00641E66" w:rsidP="0073510C">
            <w:pPr>
              <w:rPr>
                <w:sz w:val="18"/>
                <w:szCs w:val="18"/>
              </w:rPr>
            </w:pPr>
            <w:r w:rsidRPr="009102F0">
              <w:rPr>
                <w:sz w:val="18"/>
                <w:szCs w:val="18"/>
              </w:rPr>
              <w:t>0.778</w:t>
            </w:r>
          </w:p>
        </w:tc>
        <w:tc>
          <w:tcPr>
            <w:tcW w:w="1210" w:type="dxa"/>
            <w:gridSpan w:val="2"/>
            <w:noWrap/>
            <w:hideMark/>
          </w:tcPr>
          <w:p w14:paraId="0FC07257" w14:textId="77777777" w:rsidR="00641E66" w:rsidRPr="009102F0" w:rsidRDefault="00641E66" w:rsidP="0073510C">
            <w:pPr>
              <w:rPr>
                <w:sz w:val="18"/>
                <w:szCs w:val="18"/>
              </w:rPr>
            </w:pPr>
            <w:r w:rsidRPr="009102F0">
              <w:rPr>
                <w:sz w:val="18"/>
                <w:szCs w:val="18"/>
              </w:rPr>
              <w:t>4.47</w:t>
            </w:r>
          </w:p>
        </w:tc>
        <w:tc>
          <w:tcPr>
            <w:tcW w:w="1169" w:type="dxa"/>
            <w:noWrap/>
            <w:hideMark/>
          </w:tcPr>
          <w:p w14:paraId="64EF31B8" w14:textId="77777777" w:rsidR="00641E66" w:rsidRPr="009102F0" w:rsidRDefault="00641E66" w:rsidP="0073510C">
            <w:pPr>
              <w:rPr>
                <w:sz w:val="18"/>
                <w:szCs w:val="18"/>
              </w:rPr>
            </w:pPr>
            <w:r w:rsidRPr="009102F0">
              <w:rPr>
                <w:sz w:val="18"/>
                <w:szCs w:val="18"/>
              </w:rPr>
              <w:t>2118</w:t>
            </w:r>
          </w:p>
        </w:tc>
        <w:tc>
          <w:tcPr>
            <w:tcW w:w="1274" w:type="dxa"/>
            <w:noWrap/>
          </w:tcPr>
          <w:p w14:paraId="47534FF0" w14:textId="77777777" w:rsidR="00641E66" w:rsidRPr="009102F0" w:rsidRDefault="00641E66" w:rsidP="0073510C">
            <w:pPr>
              <w:rPr>
                <w:rFonts w:ascii="Calibri" w:hAnsi="Calibri"/>
                <w:sz w:val="18"/>
                <w:szCs w:val="18"/>
              </w:rPr>
            </w:pPr>
            <w:r w:rsidRPr="009102F0">
              <w:rPr>
                <w:rFonts w:ascii="Calibri" w:hAnsi="Calibri"/>
                <w:sz w:val="18"/>
                <w:szCs w:val="18"/>
              </w:rPr>
              <w:t>$11</w:t>
            </w:r>
          </w:p>
        </w:tc>
      </w:tr>
      <w:tr w:rsidR="00641E66" w:rsidRPr="009102F0" w14:paraId="3E18B044" w14:textId="77777777" w:rsidTr="0073510C">
        <w:trPr>
          <w:trHeight w:val="227"/>
        </w:trPr>
        <w:tc>
          <w:tcPr>
            <w:tcW w:w="1423" w:type="dxa"/>
            <w:noWrap/>
            <w:hideMark/>
          </w:tcPr>
          <w:p w14:paraId="2C04E3CE"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52A4203D"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(b)</w:t>
            </w:r>
          </w:p>
        </w:tc>
        <w:tc>
          <w:tcPr>
            <w:tcW w:w="1218" w:type="dxa"/>
            <w:noWrap/>
            <w:hideMark/>
          </w:tcPr>
          <w:p w14:paraId="7D75AC28" w14:textId="77777777" w:rsidR="00641E66" w:rsidRPr="009102F0" w:rsidRDefault="00641E66" w:rsidP="0073510C">
            <w:pPr>
              <w:rPr>
                <w:sz w:val="18"/>
                <w:szCs w:val="18"/>
              </w:rPr>
            </w:pPr>
            <w:r w:rsidRPr="009102F0">
              <w:rPr>
                <w:sz w:val="18"/>
                <w:szCs w:val="18"/>
              </w:rPr>
              <w:t>0.867</w:t>
            </w:r>
          </w:p>
        </w:tc>
        <w:tc>
          <w:tcPr>
            <w:tcW w:w="1176" w:type="dxa"/>
            <w:noWrap/>
            <w:hideMark/>
          </w:tcPr>
          <w:p w14:paraId="265A7F3B" w14:textId="77777777" w:rsidR="00641E66" w:rsidRPr="009102F0" w:rsidRDefault="00641E66" w:rsidP="0073510C">
            <w:pPr>
              <w:rPr>
                <w:sz w:val="18"/>
                <w:szCs w:val="18"/>
              </w:rPr>
            </w:pPr>
            <w:r w:rsidRPr="009102F0">
              <w:rPr>
                <w:sz w:val="18"/>
                <w:szCs w:val="18"/>
              </w:rPr>
              <w:t>0.811</w:t>
            </w:r>
          </w:p>
        </w:tc>
        <w:tc>
          <w:tcPr>
            <w:tcW w:w="1210" w:type="dxa"/>
            <w:gridSpan w:val="2"/>
            <w:noWrap/>
            <w:hideMark/>
          </w:tcPr>
          <w:p w14:paraId="78CFC848" w14:textId="77777777" w:rsidR="00641E66" w:rsidRPr="009102F0" w:rsidRDefault="00641E66" w:rsidP="0073510C">
            <w:pPr>
              <w:rPr>
                <w:sz w:val="18"/>
                <w:szCs w:val="18"/>
              </w:rPr>
            </w:pPr>
            <w:r w:rsidRPr="009102F0">
              <w:rPr>
                <w:sz w:val="18"/>
                <w:szCs w:val="18"/>
              </w:rPr>
              <w:t>4.13</w:t>
            </w:r>
          </w:p>
        </w:tc>
        <w:tc>
          <w:tcPr>
            <w:tcW w:w="1169" w:type="dxa"/>
            <w:noWrap/>
            <w:hideMark/>
          </w:tcPr>
          <w:p w14:paraId="564367CB" w14:textId="77777777" w:rsidR="00641E66" w:rsidRPr="009102F0" w:rsidRDefault="00641E66" w:rsidP="0073510C">
            <w:pPr>
              <w:rPr>
                <w:sz w:val="18"/>
                <w:szCs w:val="18"/>
              </w:rPr>
            </w:pPr>
            <w:r w:rsidRPr="009102F0">
              <w:rPr>
                <w:sz w:val="18"/>
                <w:szCs w:val="18"/>
              </w:rPr>
              <w:t>6573</w:t>
            </w:r>
          </w:p>
        </w:tc>
        <w:tc>
          <w:tcPr>
            <w:tcW w:w="1274" w:type="dxa"/>
            <w:noWrap/>
          </w:tcPr>
          <w:p w14:paraId="72F1B77A" w14:textId="77777777" w:rsidR="00641E66" w:rsidRPr="009102F0" w:rsidRDefault="00641E66" w:rsidP="0073510C">
            <w:pPr>
              <w:rPr>
                <w:rFonts w:ascii="Calibri" w:hAnsi="Calibri"/>
                <w:sz w:val="18"/>
                <w:szCs w:val="18"/>
              </w:rPr>
            </w:pPr>
            <w:r w:rsidRPr="009102F0">
              <w:rPr>
                <w:rFonts w:ascii="Calibri" w:hAnsi="Calibri"/>
                <w:sz w:val="18"/>
                <w:szCs w:val="18"/>
              </w:rPr>
              <w:t>$17</w:t>
            </w:r>
          </w:p>
        </w:tc>
      </w:tr>
      <w:tr w:rsidR="00641E66" w:rsidRPr="009102F0" w14:paraId="234FDD65" w14:textId="77777777" w:rsidTr="0073510C">
        <w:trPr>
          <w:trHeight w:val="227"/>
        </w:trPr>
        <w:tc>
          <w:tcPr>
            <w:tcW w:w="1423" w:type="dxa"/>
            <w:noWrap/>
            <w:hideMark/>
          </w:tcPr>
          <w:p w14:paraId="542EFEBD"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29EF70ED"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(c)</w:t>
            </w:r>
          </w:p>
        </w:tc>
        <w:tc>
          <w:tcPr>
            <w:tcW w:w="1218" w:type="dxa"/>
            <w:noWrap/>
            <w:hideMark/>
          </w:tcPr>
          <w:p w14:paraId="61CC0CE3" w14:textId="77777777" w:rsidR="00641E66" w:rsidRPr="009102F0" w:rsidRDefault="00641E66" w:rsidP="0073510C">
            <w:pPr>
              <w:rPr>
                <w:sz w:val="18"/>
                <w:szCs w:val="18"/>
              </w:rPr>
            </w:pPr>
            <w:r w:rsidRPr="009102F0">
              <w:rPr>
                <w:sz w:val="18"/>
                <w:szCs w:val="18"/>
              </w:rPr>
              <w:t>0.848</w:t>
            </w:r>
          </w:p>
        </w:tc>
        <w:tc>
          <w:tcPr>
            <w:tcW w:w="1176" w:type="dxa"/>
            <w:noWrap/>
            <w:hideMark/>
          </w:tcPr>
          <w:p w14:paraId="6C1743AB" w14:textId="77777777" w:rsidR="00641E66" w:rsidRPr="009102F0" w:rsidRDefault="00641E66" w:rsidP="0073510C">
            <w:pPr>
              <w:rPr>
                <w:sz w:val="18"/>
                <w:szCs w:val="18"/>
              </w:rPr>
            </w:pPr>
            <w:r w:rsidRPr="009102F0">
              <w:rPr>
                <w:sz w:val="18"/>
                <w:szCs w:val="18"/>
              </w:rPr>
              <w:t>0.795</w:t>
            </w:r>
          </w:p>
        </w:tc>
        <w:tc>
          <w:tcPr>
            <w:tcW w:w="1210" w:type="dxa"/>
            <w:gridSpan w:val="2"/>
            <w:noWrap/>
            <w:hideMark/>
          </w:tcPr>
          <w:p w14:paraId="538BE3D7" w14:textId="77777777" w:rsidR="00641E66" w:rsidRPr="009102F0" w:rsidRDefault="00641E66" w:rsidP="0073510C">
            <w:pPr>
              <w:rPr>
                <w:sz w:val="18"/>
                <w:szCs w:val="18"/>
              </w:rPr>
            </w:pPr>
            <w:r w:rsidRPr="009102F0">
              <w:rPr>
                <w:sz w:val="18"/>
                <w:szCs w:val="18"/>
              </w:rPr>
              <w:t>4.26</w:t>
            </w:r>
          </w:p>
        </w:tc>
        <w:tc>
          <w:tcPr>
            <w:tcW w:w="1169" w:type="dxa"/>
            <w:noWrap/>
            <w:hideMark/>
          </w:tcPr>
          <w:p w14:paraId="38B09E86" w14:textId="77777777" w:rsidR="00641E66" w:rsidRPr="009102F0" w:rsidRDefault="00641E66" w:rsidP="0073510C">
            <w:pPr>
              <w:rPr>
                <w:sz w:val="18"/>
                <w:szCs w:val="18"/>
              </w:rPr>
            </w:pPr>
            <w:r w:rsidRPr="009102F0">
              <w:rPr>
                <w:sz w:val="18"/>
                <w:szCs w:val="18"/>
              </w:rPr>
              <w:t>4489</w:t>
            </w:r>
          </w:p>
        </w:tc>
        <w:tc>
          <w:tcPr>
            <w:tcW w:w="1274" w:type="dxa"/>
            <w:noWrap/>
          </w:tcPr>
          <w:p w14:paraId="6ABE5856" w14:textId="77777777" w:rsidR="00641E66" w:rsidRPr="009102F0" w:rsidRDefault="00641E66" w:rsidP="0073510C">
            <w:pPr>
              <w:rPr>
                <w:rFonts w:ascii="Calibri" w:hAnsi="Calibri"/>
                <w:sz w:val="18"/>
                <w:szCs w:val="18"/>
              </w:rPr>
            </w:pPr>
            <w:r w:rsidRPr="009102F0">
              <w:rPr>
                <w:rFonts w:ascii="Calibri" w:hAnsi="Calibri"/>
                <w:sz w:val="18"/>
                <w:szCs w:val="18"/>
              </w:rPr>
              <w:t>$8</w:t>
            </w:r>
          </w:p>
        </w:tc>
      </w:tr>
      <w:tr w:rsidR="00641E66" w:rsidRPr="009102F0" w14:paraId="19C99E12" w14:textId="77777777" w:rsidTr="0073510C">
        <w:trPr>
          <w:trHeight w:val="227"/>
        </w:trPr>
        <w:tc>
          <w:tcPr>
            <w:tcW w:w="1423" w:type="dxa"/>
            <w:noWrap/>
            <w:hideMark/>
          </w:tcPr>
          <w:p w14:paraId="49ED32B9"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2BBFC48A"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(d)</w:t>
            </w:r>
          </w:p>
        </w:tc>
        <w:tc>
          <w:tcPr>
            <w:tcW w:w="1218" w:type="dxa"/>
            <w:noWrap/>
            <w:hideMark/>
          </w:tcPr>
          <w:p w14:paraId="76E3BA18" w14:textId="77777777" w:rsidR="00641E66" w:rsidRPr="009102F0" w:rsidRDefault="00641E66" w:rsidP="0073510C">
            <w:pPr>
              <w:rPr>
                <w:sz w:val="18"/>
                <w:szCs w:val="18"/>
              </w:rPr>
            </w:pPr>
            <w:r w:rsidRPr="009102F0">
              <w:rPr>
                <w:sz w:val="18"/>
                <w:szCs w:val="18"/>
              </w:rPr>
              <w:t>0.832</w:t>
            </w:r>
          </w:p>
        </w:tc>
        <w:tc>
          <w:tcPr>
            <w:tcW w:w="1176" w:type="dxa"/>
            <w:noWrap/>
            <w:hideMark/>
          </w:tcPr>
          <w:p w14:paraId="1967345D" w14:textId="77777777" w:rsidR="00641E66" w:rsidRPr="009102F0" w:rsidRDefault="00641E66" w:rsidP="0073510C">
            <w:pPr>
              <w:rPr>
                <w:sz w:val="18"/>
                <w:szCs w:val="18"/>
              </w:rPr>
            </w:pPr>
            <w:r w:rsidRPr="009102F0">
              <w:rPr>
                <w:sz w:val="18"/>
                <w:szCs w:val="18"/>
              </w:rPr>
              <w:t>0.791</w:t>
            </w:r>
          </w:p>
        </w:tc>
        <w:tc>
          <w:tcPr>
            <w:tcW w:w="1210" w:type="dxa"/>
            <w:gridSpan w:val="2"/>
            <w:noWrap/>
            <w:hideMark/>
          </w:tcPr>
          <w:p w14:paraId="2750A130" w14:textId="77777777" w:rsidR="00641E66" w:rsidRPr="009102F0" w:rsidRDefault="00641E66" w:rsidP="0073510C">
            <w:pPr>
              <w:rPr>
                <w:sz w:val="18"/>
                <w:szCs w:val="18"/>
              </w:rPr>
            </w:pPr>
            <w:r w:rsidRPr="009102F0">
              <w:rPr>
                <w:sz w:val="18"/>
                <w:szCs w:val="18"/>
              </w:rPr>
              <w:t>4.40</w:t>
            </w:r>
          </w:p>
        </w:tc>
        <w:tc>
          <w:tcPr>
            <w:tcW w:w="1169" w:type="dxa"/>
            <w:noWrap/>
            <w:hideMark/>
          </w:tcPr>
          <w:p w14:paraId="5B447A43" w14:textId="77777777" w:rsidR="00641E66" w:rsidRPr="009102F0" w:rsidRDefault="00641E66" w:rsidP="0073510C">
            <w:pPr>
              <w:rPr>
                <w:sz w:val="18"/>
                <w:szCs w:val="18"/>
              </w:rPr>
            </w:pPr>
            <w:r w:rsidRPr="009102F0">
              <w:rPr>
                <w:sz w:val="18"/>
                <w:szCs w:val="18"/>
              </w:rPr>
              <w:t>2989</w:t>
            </w:r>
          </w:p>
        </w:tc>
        <w:tc>
          <w:tcPr>
            <w:tcW w:w="1274" w:type="dxa"/>
            <w:noWrap/>
          </w:tcPr>
          <w:p w14:paraId="6D1355A5" w14:textId="77777777" w:rsidR="00641E66" w:rsidRPr="009102F0" w:rsidRDefault="00641E66" w:rsidP="0073510C">
            <w:pPr>
              <w:rPr>
                <w:rFonts w:ascii="Calibri" w:hAnsi="Calibri"/>
                <w:sz w:val="18"/>
                <w:szCs w:val="18"/>
              </w:rPr>
            </w:pPr>
            <w:r w:rsidRPr="009102F0">
              <w:rPr>
                <w:rFonts w:ascii="Calibri" w:hAnsi="Calibri"/>
                <w:sz w:val="18"/>
                <w:szCs w:val="18"/>
              </w:rPr>
              <w:t>$17</w:t>
            </w:r>
          </w:p>
        </w:tc>
      </w:tr>
      <w:tr w:rsidR="00641E66" w:rsidRPr="009102F0" w14:paraId="77DFEAA7" w14:textId="77777777" w:rsidTr="0073510C">
        <w:trPr>
          <w:trHeight w:val="227"/>
        </w:trPr>
        <w:tc>
          <w:tcPr>
            <w:tcW w:w="1423" w:type="dxa"/>
            <w:noWrap/>
            <w:hideMark/>
          </w:tcPr>
          <w:p w14:paraId="66C1C738"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50</w:t>
            </w:r>
          </w:p>
        </w:tc>
        <w:tc>
          <w:tcPr>
            <w:tcW w:w="1820" w:type="dxa"/>
            <w:noWrap/>
            <w:hideMark/>
          </w:tcPr>
          <w:p w14:paraId="33048F67"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(e)</w:t>
            </w:r>
          </w:p>
        </w:tc>
        <w:tc>
          <w:tcPr>
            <w:tcW w:w="1218" w:type="dxa"/>
            <w:noWrap/>
            <w:hideMark/>
          </w:tcPr>
          <w:p w14:paraId="50FE3703" w14:textId="77777777" w:rsidR="00641E66" w:rsidRPr="009102F0" w:rsidRDefault="00641E66" w:rsidP="0073510C">
            <w:pPr>
              <w:rPr>
                <w:sz w:val="18"/>
                <w:szCs w:val="18"/>
              </w:rPr>
            </w:pPr>
            <w:r w:rsidRPr="009102F0">
              <w:rPr>
                <w:sz w:val="18"/>
                <w:szCs w:val="18"/>
              </w:rPr>
              <w:t>0.868</w:t>
            </w:r>
          </w:p>
        </w:tc>
        <w:tc>
          <w:tcPr>
            <w:tcW w:w="1176" w:type="dxa"/>
            <w:noWrap/>
            <w:hideMark/>
          </w:tcPr>
          <w:p w14:paraId="43914AB4" w14:textId="77777777" w:rsidR="00641E66" w:rsidRPr="009102F0" w:rsidRDefault="00641E66" w:rsidP="0073510C">
            <w:pPr>
              <w:rPr>
                <w:sz w:val="18"/>
                <w:szCs w:val="18"/>
              </w:rPr>
            </w:pPr>
            <w:r w:rsidRPr="009102F0">
              <w:rPr>
                <w:sz w:val="18"/>
                <w:szCs w:val="18"/>
              </w:rPr>
              <w:t>0.825</w:t>
            </w:r>
          </w:p>
        </w:tc>
        <w:tc>
          <w:tcPr>
            <w:tcW w:w="1210" w:type="dxa"/>
            <w:gridSpan w:val="2"/>
            <w:noWrap/>
            <w:hideMark/>
          </w:tcPr>
          <w:p w14:paraId="37EBA259" w14:textId="77777777" w:rsidR="00641E66" w:rsidRPr="009102F0" w:rsidRDefault="00641E66" w:rsidP="0073510C">
            <w:pPr>
              <w:rPr>
                <w:sz w:val="18"/>
                <w:szCs w:val="18"/>
              </w:rPr>
            </w:pPr>
            <w:r w:rsidRPr="009102F0">
              <w:rPr>
                <w:sz w:val="18"/>
                <w:szCs w:val="18"/>
              </w:rPr>
              <w:t>4.04</w:t>
            </w:r>
          </w:p>
        </w:tc>
        <w:tc>
          <w:tcPr>
            <w:tcW w:w="1169" w:type="dxa"/>
            <w:noWrap/>
            <w:hideMark/>
          </w:tcPr>
          <w:p w14:paraId="65C00AB2" w14:textId="77777777" w:rsidR="00641E66" w:rsidRPr="009102F0" w:rsidRDefault="00641E66" w:rsidP="0073510C">
            <w:pPr>
              <w:rPr>
                <w:sz w:val="18"/>
                <w:szCs w:val="18"/>
              </w:rPr>
            </w:pPr>
            <w:r w:rsidRPr="009102F0">
              <w:rPr>
                <w:sz w:val="18"/>
                <w:szCs w:val="18"/>
              </w:rPr>
              <w:t>7833</w:t>
            </w:r>
          </w:p>
        </w:tc>
        <w:tc>
          <w:tcPr>
            <w:tcW w:w="1274" w:type="dxa"/>
            <w:noWrap/>
          </w:tcPr>
          <w:p w14:paraId="13672AC1" w14:textId="77777777" w:rsidR="00641E66" w:rsidRPr="009102F0" w:rsidRDefault="00641E66" w:rsidP="0073510C">
            <w:pPr>
              <w:rPr>
                <w:rFonts w:ascii="Calibri" w:hAnsi="Calibri"/>
                <w:sz w:val="18"/>
                <w:szCs w:val="18"/>
              </w:rPr>
            </w:pPr>
            <w:r w:rsidRPr="009102F0">
              <w:rPr>
                <w:rFonts w:ascii="Calibri" w:hAnsi="Calibri"/>
                <w:sz w:val="18"/>
                <w:szCs w:val="18"/>
              </w:rPr>
              <w:t>$23</w:t>
            </w:r>
          </w:p>
        </w:tc>
      </w:tr>
      <w:tr w:rsidR="00641E66" w:rsidRPr="009102F0" w14:paraId="6DAB6A15" w14:textId="77777777" w:rsidTr="0073510C">
        <w:trPr>
          <w:trHeight w:val="227"/>
        </w:trPr>
        <w:tc>
          <w:tcPr>
            <w:tcW w:w="1423" w:type="dxa"/>
            <w:noWrap/>
            <w:hideMark/>
          </w:tcPr>
          <w:p w14:paraId="6439FFE1"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noWrap/>
            <w:hideMark/>
          </w:tcPr>
          <w:p w14:paraId="201A3448"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(a)</w:t>
            </w:r>
          </w:p>
        </w:tc>
        <w:tc>
          <w:tcPr>
            <w:tcW w:w="1218" w:type="dxa"/>
            <w:noWrap/>
            <w:hideMark/>
          </w:tcPr>
          <w:p w14:paraId="285463F5" w14:textId="77777777" w:rsidR="00641E66" w:rsidRPr="009102F0" w:rsidRDefault="00641E66" w:rsidP="0073510C">
            <w:pPr>
              <w:rPr>
                <w:sz w:val="18"/>
                <w:szCs w:val="18"/>
              </w:rPr>
            </w:pPr>
            <w:r w:rsidRPr="009102F0">
              <w:rPr>
                <w:sz w:val="18"/>
                <w:szCs w:val="18"/>
              </w:rPr>
              <w:t>0.840</w:t>
            </w:r>
          </w:p>
        </w:tc>
        <w:tc>
          <w:tcPr>
            <w:tcW w:w="1176" w:type="dxa"/>
            <w:noWrap/>
            <w:hideMark/>
          </w:tcPr>
          <w:p w14:paraId="488B7184" w14:textId="77777777" w:rsidR="00641E66" w:rsidRPr="009102F0" w:rsidRDefault="00641E66" w:rsidP="0073510C">
            <w:pPr>
              <w:rPr>
                <w:sz w:val="18"/>
                <w:szCs w:val="18"/>
              </w:rPr>
            </w:pPr>
            <w:r w:rsidRPr="009102F0">
              <w:rPr>
                <w:sz w:val="18"/>
                <w:szCs w:val="18"/>
              </w:rPr>
              <w:t>0.785</w:t>
            </w:r>
          </w:p>
        </w:tc>
        <w:tc>
          <w:tcPr>
            <w:tcW w:w="1210" w:type="dxa"/>
            <w:gridSpan w:val="2"/>
            <w:noWrap/>
            <w:hideMark/>
          </w:tcPr>
          <w:p w14:paraId="288EA1AE" w14:textId="77777777" w:rsidR="00641E66" w:rsidRPr="009102F0" w:rsidRDefault="00641E66" w:rsidP="0073510C">
            <w:pPr>
              <w:rPr>
                <w:sz w:val="18"/>
                <w:szCs w:val="18"/>
              </w:rPr>
            </w:pPr>
            <w:r w:rsidRPr="009102F0">
              <w:rPr>
                <w:sz w:val="18"/>
                <w:szCs w:val="18"/>
              </w:rPr>
              <w:t>4.41</w:t>
            </w:r>
          </w:p>
        </w:tc>
        <w:tc>
          <w:tcPr>
            <w:tcW w:w="1169" w:type="dxa"/>
            <w:noWrap/>
            <w:hideMark/>
          </w:tcPr>
          <w:p w14:paraId="02DD6A0E" w14:textId="77777777" w:rsidR="00641E66" w:rsidRPr="009102F0" w:rsidRDefault="00641E66" w:rsidP="0073510C">
            <w:pPr>
              <w:rPr>
                <w:sz w:val="18"/>
                <w:szCs w:val="18"/>
              </w:rPr>
            </w:pPr>
            <w:r w:rsidRPr="009102F0">
              <w:rPr>
                <w:sz w:val="18"/>
                <w:szCs w:val="18"/>
              </w:rPr>
              <w:t>3232</w:t>
            </w:r>
          </w:p>
        </w:tc>
        <w:tc>
          <w:tcPr>
            <w:tcW w:w="1274" w:type="dxa"/>
            <w:noWrap/>
          </w:tcPr>
          <w:p w14:paraId="033A4666" w14:textId="77777777" w:rsidR="00641E66" w:rsidRPr="009102F0" w:rsidRDefault="00641E66" w:rsidP="0073510C">
            <w:pPr>
              <w:rPr>
                <w:rFonts w:ascii="Calibri" w:hAnsi="Calibri"/>
                <w:sz w:val="18"/>
                <w:szCs w:val="18"/>
              </w:rPr>
            </w:pPr>
            <w:r w:rsidRPr="009102F0">
              <w:rPr>
                <w:rFonts w:ascii="Calibri" w:hAnsi="Calibri"/>
                <w:sz w:val="18"/>
                <w:szCs w:val="18"/>
              </w:rPr>
              <w:t>$17</w:t>
            </w:r>
          </w:p>
        </w:tc>
      </w:tr>
      <w:tr w:rsidR="00641E66" w:rsidRPr="009102F0" w14:paraId="42F261E1" w14:textId="77777777" w:rsidTr="0073510C">
        <w:trPr>
          <w:trHeight w:val="227"/>
        </w:trPr>
        <w:tc>
          <w:tcPr>
            <w:tcW w:w="1423" w:type="dxa"/>
            <w:noWrap/>
            <w:hideMark/>
          </w:tcPr>
          <w:p w14:paraId="64118CDA"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noWrap/>
            <w:hideMark/>
          </w:tcPr>
          <w:p w14:paraId="105568AE"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(b)</w:t>
            </w:r>
          </w:p>
        </w:tc>
        <w:tc>
          <w:tcPr>
            <w:tcW w:w="1218" w:type="dxa"/>
            <w:noWrap/>
            <w:hideMark/>
          </w:tcPr>
          <w:p w14:paraId="379D9AC0" w14:textId="77777777" w:rsidR="00641E66" w:rsidRPr="009102F0" w:rsidRDefault="00641E66" w:rsidP="0073510C">
            <w:pPr>
              <w:rPr>
                <w:sz w:val="18"/>
                <w:szCs w:val="18"/>
              </w:rPr>
            </w:pPr>
            <w:r w:rsidRPr="009102F0">
              <w:rPr>
                <w:sz w:val="18"/>
                <w:szCs w:val="18"/>
              </w:rPr>
              <w:t>0.895</w:t>
            </w:r>
          </w:p>
        </w:tc>
        <w:tc>
          <w:tcPr>
            <w:tcW w:w="1176" w:type="dxa"/>
            <w:noWrap/>
            <w:hideMark/>
          </w:tcPr>
          <w:p w14:paraId="344692CA" w14:textId="77777777" w:rsidR="00641E66" w:rsidRPr="009102F0" w:rsidRDefault="00641E66" w:rsidP="0073510C">
            <w:pPr>
              <w:rPr>
                <w:sz w:val="18"/>
                <w:szCs w:val="18"/>
              </w:rPr>
            </w:pPr>
            <w:r w:rsidRPr="009102F0">
              <w:rPr>
                <w:sz w:val="18"/>
                <w:szCs w:val="18"/>
              </w:rPr>
              <w:t>0.835</w:t>
            </w:r>
          </w:p>
        </w:tc>
        <w:tc>
          <w:tcPr>
            <w:tcW w:w="1210" w:type="dxa"/>
            <w:gridSpan w:val="2"/>
            <w:noWrap/>
            <w:hideMark/>
          </w:tcPr>
          <w:p w14:paraId="127A1D76" w14:textId="77777777" w:rsidR="00641E66" w:rsidRPr="009102F0" w:rsidRDefault="00641E66" w:rsidP="0073510C">
            <w:pPr>
              <w:rPr>
                <w:sz w:val="18"/>
                <w:szCs w:val="18"/>
              </w:rPr>
            </w:pPr>
            <w:r w:rsidRPr="009102F0">
              <w:rPr>
                <w:sz w:val="18"/>
                <w:szCs w:val="18"/>
              </w:rPr>
              <w:t>3.83</w:t>
            </w:r>
          </w:p>
        </w:tc>
        <w:tc>
          <w:tcPr>
            <w:tcW w:w="1169" w:type="dxa"/>
            <w:noWrap/>
            <w:hideMark/>
          </w:tcPr>
          <w:p w14:paraId="71C8F5AE" w14:textId="77777777" w:rsidR="00641E66" w:rsidRPr="009102F0" w:rsidRDefault="00641E66" w:rsidP="0073510C">
            <w:pPr>
              <w:rPr>
                <w:sz w:val="18"/>
                <w:szCs w:val="18"/>
              </w:rPr>
            </w:pPr>
            <w:r w:rsidRPr="009102F0">
              <w:rPr>
                <w:sz w:val="18"/>
                <w:szCs w:val="18"/>
              </w:rPr>
              <w:t>11209</w:t>
            </w:r>
          </w:p>
        </w:tc>
        <w:tc>
          <w:tcPr>
            <w:tcW w:w="1274" w:type="dxa"/>
            <w:noWrap/>
          </w:tcPr>
          <w:p w14:paraId="45860ECB" w14:textId="77777777" w:rsidR="00641E66" w:rsidRPr="009102F0" w:rsidRDefault="00641E66" w:rsidP="0073510C">
            <w:pPr>
              <w:rPr>
                <w:rFonts w:ascii="Calibri" w:hAnsi="Calibri"/>
                <w:sz w:val="18"/>
                <w:szCs w:val="18"/>
              </w:rPr>
            </w:pPr>
            <w:r w:rsidRPr="009102F0">
              <w:rPr>
                <w:rFonts w:ascii="Calibri" w:hAnsi="Calibri"/>
                <w:sz w:val="18"/>
                <w:szCs w:val="18"/>
              </w:rPr>
              <w:t>$28</w:t>
            </w:r>
          </w:p>
        </w:tc>
      </w:tr>
      <w:tr w:rsidR="00641E66" w:rsidRPr="009102F0" w14:paraId="055E54C8" w14:textId="77777777" w:rsidTr="0073510C">
        <w:trPr>
          <w:trHeight w:val="227"/>
        </w:trPr>
        <w:tc>
          <w:tcPr>
            <w:tcW w:w="1423" w:type="dxa"/>
            <w:noWrap/>
            <w:hideMark/>
          </w:tcPr>
          <w:p w14:paraId="67A1D04C"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noWrap/>
            <w:hideMark/>
          </w:tcPr>
          <w:p w14:paraId="45C0F277"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(c)</w:t>
            </w:r>
          </w:p>
        </w:tc>
        <w:tc>
          <w:tcPr>
            <w:tcW w:w="1218" w:type="dxa"/>
            <w:noWrap/>
            <w:hideMark/>
          </w:tcPr>
          <w:p w14:paraId="16228691" w14:textId="77777777" w:rsidR="00641E66" w:rsidRPr="009102F0" w:rsidRDefault="00641E66" w:rsidP="0073510C">
            <w:pPr>
              <w:rPr>
                <w:sz w:val="18"/>
                <w:szCs w:val="18"/>
              </w:rPr>
            </w:pPr>
            <w:r w:rsidRPr="009102F0">
              <w:rPr>
                <w:sz w:val="18"/>
                <w:szCs w:val="18"/>
              </w:rPr>
              <w:t>0.867</w:t>
            </w:r>
          </w:p>
        </w:tc>
        <w:tc>
          <w:tcPr>
            <w:tcW w:w="1176" w:type="dxa"/>
            <w:noWrap/>
            <w:hideMark/>
          </w:tcPr>
          <w:p w14:paraId="45911928" w14:textId="77777777" w:rsidR="00641E66" w:rsidRPr="009102F0" w:rsidRDefault="00641E66" w:rsidP="0073510C">
            <w:pPr>
              <w:rPr>
                <w:sz w:val="18"/>
                <w:szCs w:val="18"/>
              </w:rPr>
            </w:pPr>
            <w:r w:rsidRPr="009102F0">
              <w:rPr>
                <w:sz w:val="18"/>
                <w:szCs w:val="18"/>
              </w:rPr>
              <w:t>0.811</w:t>
            </w:r>
          </w:p>
        </w:tc>
        <w:tc>
          <w:tcPr>
            <w:tcW w:w="1210" w:type="dxa"/>
            <w:gridSpan w:val="2"/>
            <w:noWrap/>
            <w:hideMark/>
          </w:tcPr>
          <w:p w14:paraId="6A7EDB03" w14:textId="77777777" w:rsidR="00641E66" w:rsidRPr="009102F0" w:rsidRDefault="00641E66" w:rsidP="0073510C">
            <w:pPr>
              <w:rPr>
                <w:sz w:val="18"/>
                <w:szCs w:val="18"/>
              </w:rPr>
            </w:pPr>
            <w:r w:rsidRPr="009102F0">
              <w:rPr>
                <w:sz w:val="18"/>
                <w:szCs w:val="18"/>
              </w:rPr>
              <w:t>4.03</w:t>
            </w:r>
          </w:p>
        </w:tc>
        <w:tc>
          <w:tcPr>
            <w:tcW w:w="1169" w:type="dxa"/>
            <w:noWrap/>
            <w:hideMark/>
          </w:tcPr>
          <w:p w14:paraId="1FA4E6DF" w14:textId="77777777" w:rsidR="00641E66" w:rsidRPr="009102F0" w:rsidRDefault="00641E66" w:rsidP="0073510C">
            <w:pPr>
              <w:rPr>
                <w:sz w:val="18"/>
                <w:szCs w:val="18"/>
              </w:rPr>
            </w:pPr>
            <w:r w:rsidRPr="009102F0">
              <w:rPr>
                <w:sz w:val="18"/>
                <w:szCs w:val="18"/>
              </w:rPr>
              <w:t>7647</w:t>
            </w:r>
          </w:p>
        </w:tc>
        <w:tc>
          <w:tcPr>
            <w:tcW w:w="1274" w:type="dxa"/>
            <w:noWrap/>
          </w:tcPr>
          <w:p w14:paraId="1439B841" w14:textId="77777777" w:rsidR="00641E66" w:rsidRPr="009102F0" w:rsidRDefault="00641E66" w:rsidP="0073510C">
            <w:pPr>
              <w:rPr>
                <w:rFonts w:ascii="Calibri" w:hAnsi="Calibri"/>
                <w:sz w:val="18"/>
                <w:szCs w:val="18"/>
              </w:rPr>
            </w:pPr>
            <w:r w:rsidRPr="009102F0">
              <w:rPr>
                <w:rFonts w:ascii="Calibri" w:hAnsi="Calibri"/>
                <w:sz w:val="18"/>
                <w:szCs w:val="18"/>
              </w:rPr>
              <w:t>$12</w:t>
            </w:r>
          </w:p>
        </w:tc>
      </w:tr>
      <w:tr w:rsidR="00641E66" w:rsidRPr="009102F0" w14:paraId="69E97C8D" w14:textId="77777777" w:rsidTr="0073510C">
        <w:trPr>
          <w:trHeight w:val="227"/>
        </w:trPr>
        <w:tc>
          <w:tcPr>
            <w:tcW w:w="1423" w:type="dxa"/>
            <w:noWrap/>
            <w:hideMark/>
          </w:tcPr>
          <w:p w14:paraId="0EE734DB"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noWrap/>
            <w:hideMark/>
          </w:tcPr>
          <w:p w14:paraId="56E371E0"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(d)</w:t>
            </w:r>
          </w:p>
        </w:tc>
        <w:tc>
          <w:tcPr>
            <w:tcW w:w="1218" w:type="dxa"/>
            <w:noWrap/>
            <w:hideMark/>
          </w:tcPr>
          <w:p w14:paraId="6E9480AE" w14:textId="77777777" w:rsidR="00641E66" w:rsidRPr="009102F0" w:rsidRDefault="00641E66" w:rsidP="0073510C">
            <w:pPr>
              <w:rPr>
                <w:sz w:val="18"/>
                <w:szCs w:val="18"/>
              </w:rPr>
            </w:pPr>
            <w:r w:rsidRPr="009102F0">
              <w:rPr>
                <w:sz w:val="18"/>
                <w:szCs w:val="18"/>
              </w:rPr>
              <w:t>0.840</w:t>
            </w:r>
          </w:p>
        </w:tc>
        <w:tc>
          <w:tcPr>
            <w:tcW w:w="1176" w:type="dxa"/>
            <w:noWrap/>
            <w:hideMark/>
          </w:tcPr>
          <w:p w14:paraId="5219790A" w14:textId="77777777" w:rsidR="00641E66" w:rsidRPr="009102F0" w:rsidRDefault="00641E66" w:rsidP="0073510C">
            <w:pPr>
              <w:rPr>
                <w:sz w:val="18"/>
                <w:szCs w:val="18"/>
              </w:rPr>
            </w:pPr>
            <w:r w:rsidRPr="009102F0">
              <w:rPr>
                <w:sz w:val="18"/>
                <w:szCs w:val="18"/>
              </w:rPr>
              <w:t>0.805</w:t>
            </w:r>
          </w:p>
        </w:tc>
        <w:tc>
          <w:tcPr>
            <w:tcW w:w="1210" w:type="dxa"/>
            <w:gridSpan w:val="2"/>
            <w:noWrap/>
            <w:hideMark/>
          </w:tcPr>
          <w:p w14:paraId="364548C7" w14:textId="77777777" w:rsidR="00641E66" w:rsidRPr="009102F0" w:rsidRDefault="00641E66" w:rsidP="0073510C">
            <w:pPr>
              <w:rPr>
                <w:sz w:val="18"/>
                <w:szCs w:val="18"/>
              </w:rPr>
            </w:pPr>
            <w:r w:rsidRPr="009102F0">
              <w:rPr>
                <w:sz w:val="18"/>
                <w:szCs w:val="18"/>
              </w:rPr>
              <w:t>4.25</w:t>
            </w:r>
          </w:p>
        </w:tc>
        <w:tc>
          <w:tcPr>
            <w:tcW w:w="1169" w:type="dxa"/>
            <w:noWrap/>
            <w:hideMark/>
          </w:tcPr>
          <w:p w14:paraId="1B05D376" w14:textId="77777777" w:rsidR="00641E66" w:rsidRPr="009102F0" w:rsidRDefault="00641E66" w:rsidP="0073510C">
            <w:pPr>
              <w:rPr>
                <w:sz w:val="18"/>
                <w:szCs w:val="18"/>
              </w:rPr>
            </w:pPr>
            <w:r w:rsidRPr="009102F0">
              <w:rPr>
                <w:sz w:val="18"/>
                <w:szCs w:val="18"/>
              </w:rPr>
              <w:t>5074</w:t>
            </w:r>
          </w:p>
        </w:tc>
        <w:tc>
          <w:tcPr>
            <w:tcW w:w="1274" w:type="dxa"/>
            <w:noWrap/>
          </w:tcPr>
          <w:p w14:paraId="498E0F30" w14:textId="77777777" w:rsidR="00641E66" w:rsidRPr="009102F0" w:rsidRDefault="00641E66" w:rsidP="0073510C">
            <w:pPr>
              <w:rPr>
                <w:rFonts w:ascii="Calibri" w:hAnsi="Calibri"/>
                <w:sz w:val="18"/>
                <w:szCs w:val="18"/>
              </w:rPr>
            </w:pPr>
            <w:r w:rsidRPr="009102F0">
              <w:rPr>
                <w:rFonts w:ascii="Calibri" w:hAnsi="Calibri"/>
                <w:sz w:val="18"/>
                <w:szCs w:val="18"/>
              </w:rPr>
              <w:t>$26</w:t>
            </w:r>
          </w:p>
        </w:tc>
      </w:tr>
      <w:tr w:rsidR="00641E66" w:rsidRPr="009102F0" w14:paraId="5BC571BA" w14:textId="77777777" w:rsidTr="0073510C">
        <w:trPr>
          <w:trHeight w:val="227"/>
        </w:trPr>
        <w:tc>
          <w:tcPr>
            <w:tcW w:w="1423" w:type="dxa"/>
            <w:noWrap/>
            <w:hideMark/>
          </w:tcPr>
          <w:p w14:paraId="3D5C1E71"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80</w:t>
            </w:r>
          </w:p>
        </w:tc>
        <w:tc>
          <w:tcPr>
            <w:tcW w:w="1820" w:type="dxa"/>
            <w:noWrap/>
            <w:hideMark/>
          </w:tcPr>
          <w:p w14:paraId="12089A23" w14:textId="77777777" w:rsidR="00641E66" w:rsidRPr="009102F0" w:rsidRDefault="00641E66" w:rsidP="0073510C">
            <w:pPr>
              <w:rPr>
                <w:rFonts w:ascii="Calibri" w:hAnsi="Calibri"/>
                <w:color w:val="000000"/>
                <w:sz w:val="18"/>
                <w:szCs w:val="18"/>
              </w:rPr>
            </w:pPr>
            <w:r w:rsidRPr="009102F0">
              <w:rPr>
                <w:rFonts w:ascii="Calibri" w:hAnsi="Calibri"/>
                <w:color w:val="000000"/>
                <w:sz w:val="18"/>
                <w:szCs w:val="18"/>
              </w:rPr>
              <w:t>(e)</w:t>
            </w:r>
          </w:p>
        </w:tc>
        <w:tc>
          <w:tcPr>
            <w:tcW w:w="1218" w:type="dxa"/>
            <w:noWrap/>
            <w:hideMark/>
          </w:tcPr>
          <w:p w14:paraId="6F0DF652" w14:textId="77777777" w:rsidR="00641E66" w:rsidRPr="009102F0" w:rsidRDefault="00641E66" w:rsidP="0073510C">
            <w:pPr>
              <w:rPr>
                <w:sz w:val="18"/>
                <w:szCs w:val="18"/>
              </w:rPr>
            </w:pPr>
            <w:r w:rsidRPr="009102F0">
              <w:rPr>
                <w:sz w:val="18"/>
                <w:szCs w:val="18"/>
              </w:rPr>
              <w:t>0.896</w:t>
            </w:r>
          </w:p>
        </w:tc>
        <w:tc>
          <w:tcPr>
            <w:tcW w:w="1176" w:type="dxa"/>
            <w:noWrap/>
            <w:hideMark/>
          </w:tcPr>
          <w:p w14:paraId="05AF9E2E" w14:textId="77777777" w:rsidR="00641E66" w:rsidRPr="009102F0" w:rsidRDefault="00641E66" w:rsidP="0073510C">
            <w:pPr>
              <w:rPr>
                <w:sz w:val="18"/>
                <w:szCs w:val="18"/>
              </w:rPr>
            </w:pPr>
            <w:r w:rsidRPr="009102F0">
              <w:rPr>
                <w:sz w:val="18"/>
                <w:szCs w:val="18"/>
              </w:rPr>
              <w:t>0.859</w:t>
            </w:r>
          </w:p>
        </w:tc>
        <w:tc>
          <w:tcPr>
            <w:tcW w:w="1210" w:type="dxa"/>
            <w:gridSpan w:val="2"/>
            <w:noWrap/>
            <w:hideMark/>
          </w:tcPr>
          <w:p w14:paraId="3D53FDE3" w14:textId="77777777" w:rsidR="00641E66" w:rsidRPr="009102F0" w:rsidRDefault="00641E66" w:rsidP="0073510C">
            <w:pPr>
              <w:rPr>
                <w:sz w:val="18"/>
                <w:szCs w:val="18"/>
              </w:rPr>
            </w:pPr>
            <w:r w:rsidRPr="009102F0">
              <w:rPr>
                <w:sz w:val="18"/>
                <w:szCs w:val="18"/>
              </w:rPr>
              <w:t>3.70</w:t>
            </w:r>
          </w:p>
        </w:tc>
        <w:tc>
          <w:tcPr>
            <w:tcW w:w="1169" w:type="dxa"/>
            <w:noWrap/>
            <w:hideMark/>
          </w:tcPr>
          <w:p w14:paraId="5A3FC9A0" w14:textId="77777777" w:rsidR="00641E66" w:rsidRPr="009102F0" w:rsidRDefault="00641E66" w:rsidP="0073510C">
            <w:pPr>
              <w:rPr>
                <w:sz w:val="18"/>
                <w:szCs w:val="18"/>
              </w:rPr>
            </w:pPr>
            <w:r w:rsidRPr="009102F0">
              <w:rPr>
                <w:sz w:val="18"/>
                <w:szCs w:val="18"/>
              </w:rPr>
              <w:t>12444</w:t>
            </w:r>
          </w:p>
        </w:tc>
        <w:tc>
          <w:tcPr>
            <w:tcW w:w="1274" w:type="dxa"/>
            <w:noWrap/>
          </w:tcPr>
          <w:p w14:paraId="5C26E8FF" w14:textId="77777777" w:rsidR="00641E66" w:rsidRPr="009102F0" w:rsidRDefault="00641E66" w:rsidP="0073510C">
            <w:pPr>
              <w:rPr>
                <w:rFonts w:ascii="Calibri" w:hAnsi="Calibri"/>
                <w:sz w:val="18"/>
                <w:szCs w:val="18"/>
              </w:rPr>
            </w:pPr>
            <w:r w:rsidRPr="009102F0">
              <w:rPr>
                <w:rFonts w:ascii="Calibri" w:hAnsi="Calibri"/>
                <w:sz w:val="18"/>
                <w:szCs w:val="18"/>
              </w:rPr>
              <w:t>$36</w:t>
            </w:r>
          </w:p>
        </w:tc>
      </w:tr>
    </w:tbl>
    <w:p w14:paraId="4EF77A1C" w14:textId="40A8C669" w:rsidR="00641E66" w:rsidRDefault="00641E66" w:rsidP="00641E66">
      <w:pPr>
        <w:spacing w:line="420" w:lineRule="auto"/>
      </w:pPr>
      <w:r w:rsidRPr="009102F0">
        <w:rPr>
          <w:b/>
        </w:rPr>
        <w:br w:type="page"/>
      </w:r>
    </w:p>
    <w:p w14:paraId="4B58A7BD" w14:textId="69CADF35" w:rsidR="003912AB" w:rsidRPr="009102F0" w:rsidRDefault="006045CA" w:rsidP="00641E66">
      <w:pPr>
        <w:spacing w:line="420" w:lineRule="auto"/>
      </w:pPr>
      <w:r w:rsidRPr="009102F0">
        <w:t>Figure 2</w:t>
      </w:r>
      <w:r w:rsidR="00937D14" w:rsidRPr="009102F0">
        <w:t>a</w:t>
      </w:r>
      <w:r w:rsidRPr="009102F0">
        <w:t xml:space="preserve"> shows the breakdown in costs.  This is based on a notional intervention cost per year per person on ART (i.e. those adherent as well as those not adherent) of $10.   The effect of the adherence </w:t>
      </w:r>
      <w:r w:rsidR="0078005B" w:rsidRPr="009102F0">
        <w:t>monitoring</w:t>
      </w:r>
      <w:r w:rsidRPr="009102F0">
        <w:t xml:space="preserve"> based intervention in reducing costs can be seen.   The component of the intervention that generally has the greatest beneficial effect on averting DALYs is to reduce the rate of </w:t>
      </w:r>
      <w:r w:rsidR="006C07C8" w:rsidRPr="009102F0">
        <w:t>discontinuation</w:t>
      </w:r>
      <w:r w:rsidRPr="009102F0">
        <w:t xml:space="preserve">.  This however involves greater use of ART and so tends to also increase costs.    </w:t>
      </w:r>
      <w:r w:rsidR="00317631" w:rsidRPr="009102F0">
        <w:t xml:space="preserve">Improvements in ART adherence or risk of resistance in those already on ART has a more modest beneficial effect </w:t>
      </w:r>
      <w:r w:rsidR="00C811B7" w:rsidRPr="009102F0">
        <w:t>than an effect</w:t>
      </w:r>
      <w:r w:rsidRPr="009102F0">
        <w:t xml:space="preserve"> in reducing ART </w:t>
      </w:r>
      <w:r w:rsidR="006C07C8" w:rsidRPr="009102F0">
        <w:t>discontinuation</w:t>
      </w:r>
      <w:r w:rsidRPr="009102F0">
        <w:t xml:space="preserve"> </w:t>
      </w:r>
      <w:r w:rsidR="00317631" w:rsidRPr="009102F0">
        <w:t>but does not incur additional costs apart from the cost of the intervention and in fact leads to less use of second line ART which acts to relieve cost burden somewhat.</w:t>
      </w:r>
      <w:r w:rsidR="00C230BB" w:rsidRPr="009102F0">
        <w:t xml:space="preserve">  </w:t>
      </w:r>
    </w:p>
    <w:p w14:paraId="79077D81" w14:textId="77777777" w:rsidR="00BB5178" w:rsidRDefault="00BB5178" w:rsidP="00BB5178">
      <w:pPr>
        <w:spacing w:line="240" w:lineRule="auto"/>
        <w:rPr>
          <w:b/>
          <w:color w:val="CC0000"/>
        </w:rPr>
      </w:pPr>
    </w:p>
    <w:p w14:paraId="6C439DBE" w14:textId="77777777" w:rsidR="00BB5178" w:rsidRPr="009102F0" w:rsidRDefault="00BB5178" w:rsidP="00BB5178">
      <w:pPr>
        <w:spacing w:line="240" w:lineRule="auto"/>
      </w:pPr>
      <w:r w:rsidRPr="009102F0">
        <w:rPr>
          <w:b/>
          <w:color w:val="CC0000"/>
        </w:rPr>
        <w:t>Figure 2</w:t>
      </w:r>
      <w:r w:rsidRPr="009102F0">
        <w:rPr>
          <w:b/>
        </w:rPr>
        <w:t xml:space="preserve">.  </w:t>
      </w:r>
      <w:r w:rsidRPr="009102F0">
        <w:rPr>
          <w:rFonts w:cs="Diverda Sans Com"/>
          <w:color w:val="000000"/>
          <w:sz w:val="20"/>
          <w:szCs w:val="20"/>
        </w:rPr>
        <w:t xml:space="preserve">Overall programme costs according to components intervention has beneficial effect on ((a) adherence on ART only (b) adherence on ART + discontinuation of ART (c) discontinuation of ART only (d) adherence on ART + risk of resistance (e) adherence on ART + discontinuation of ART + risk of resistance).  Costs in US$m per 3 months (mean 2017–2036, discounted at 3% per annum from 2015).  </w:t>
      </w:r>
      <w:r w:rsidRPr="009102F0">
        <w:rPr>
          <w:sz w:val="20"/>
          <w:szCs w:val="20"/>
        </w:rPr>
        <w:t>For scenario with</w:t>
      </w:r>
      <w:r w:rsidRPr="009102F0">
        <w:rPr>
          <w:b/>
          <w:sz w:val="20"/>
          <w:szCs w:val="20"/>
        </w:rPr>
        <w:t xml:space="preserve"> </w:t>
      </w:r>
      <w:r w:rsidRPr="009102F0">
        <w:rPr>
          <w:sz w:val="20"/>
          <w:szCs w:val="20"/>
        </w:rPr>
        <w:t>50% of people in whom the intervention has an effect, and a durable effect.   For illustrative purposes , the adherence intervention has an arbitrarily selected cost of $10 per year per person on ART.</w:t>
      </w:r>
      <w:r w:rsidRPr="009102F0">
        <w:t xml:space="preserve">   </w:t>
      </w:r>
    </w:p>
    <w:p w14:paraId="38FA0FF9" w14:textId="77777777" w:rsidR="00BB5178" w:rsidRDefault="00BB5178" w:rsidP="00641E66">
      <w:pPr>
        <w:spacing w:line="420" w:lineRule="auto"/>
      </w:pPr>
    </w:p>
    <w:p w14:paraId="2327D4E1" w14:textId="77777777" w:rsidR="00540AE2" w:rsidRPr="009102F0" w:rsidRDefault="00D61EDC" w:rsidP="00641E66">
      <w:pPr>
        <w:spacing w:line="420" w:lineRule="auto"/>
      </w:pPr>
      <w:r w:rsidRPr="009102F0">
        <w:t>In sensitivity analyses (Table 3a),</w:t>
      </w:r>
      <w:r w:rsidR="00540AE2" w:rsidRPr="009102F0">
        <w:t xml:space="preserve"> in which we consider that the intervention is effective in 50% of people,</w:t>
      </w:r>
      <w:r w:rsidRPr="009102F0">
        <w:t xml:space="preserve"> the intervention cost </w:t>
      </w:r>
      <w:r w:rsidR="0054717F" w:rsidRPr="009102F0">
        <w:t xml:space="preserve">per person on ART per year </w:t>
      </w:r>
      <w:r w:rsidRPr="009102F0">
        <w:t>required for it to be c</w:t>
      </w:r>
      <w:r w:rsidR="00540AE2" w:rsidRPr="009102F0">
        <w:t>ost effective was in the $29-$58</w:t>
      </w:r>
      <w:r w:rsidRPr="009102F0">
        <w:t xml:space="preserve"> range</w:t>
      </w:r>
      <w:r w:rsidR="0054717F" w:rsidRPr="009102F0">
        <w:t>,</w:t>
      </w:r>
      <w:r w:rsidRPr="009102F0">
        <w:t xml:space="preserve"> except in </w:t>
      </w:r>
      <w:r w:rsidR="00540AE2" w:rsidRPr="009102F0">
        <w:t>the</w:t>
      </w:r>
      <w:r w:rsidRPr="009102F0">
        <w:t xml:space="preserve"> s</w:t>
      </w:r>
      <w:r w:rsidR="008F7382" w:rsidRPr="009102F0">
        <w:t>itu</w:t>
      </w:r>
      <w:r w:rsidR="00540AE2" w:rsidRPr="009102F0">
        <w:t xml:space="preserve">ation where we assume that care is not differentiated and thus there are no savings in visit costs ($5-$20 cost in order to be cost effective).  Since the cost effectiveness is mainly dependent on the ability of adherence monitoring to differentiate care, the intervention is cost effective in the range $30-$35 per person on ART per year even where the effect of the intervention in improving adherence lasts only 1 year.  </w:t>
      </w:r>
    </w:p>
    <w:p w14:paraId="5C370A02" w14:textId="77777777" w:rsidR="00641E66" w:rsidRDefault="00641E66">
      <w:r>
        <w:br w:type="page"/>
      </w:r>
    </w:p>
    <w:p w14:paraId="4687D288" w14:textId="4254DF98" w:rsidR="00641E66" w:rsidRPr="009102F0" w:rsidRDefault="00641E66" w:rsidP="00641E66">
      <w:pPr>
        <w:spacing w:after="0" w:line="240" w:lineRule="auto"/>
        <w:rPr>
          <w:sz w:val="20"/>
          <w:szCs w:val="20"/>
        </w:rPr>
      </w:pPr>
      <w:r w:rsidRPr="009102F0">
        <w:rPr>
          <w:b/>
          <w:color w:val="C00000"/>
        </w:rPr>
        <w:t xml:space="preserve">Table 3.  </w:t>
      </w:r>
      <w:r w:rsidR="00AB1156">
        <w:rPr>
          <w:sz w:val="20"/>
          <w:szCs w:val="20"/>
        </w:rPr>
        <w:t>S</w:t>
      </w:r>
      <w:r w:rsidRPr="009102F0">
        <w:rPr>
          <w:sz w:val="20"/>
          <w:szCs w:val="20"/>
        </w:rPr>
        <w:t>ensitivity analyses  (a) in context of no viral load monitoring (b) in context of viral load monitoring.  All in context of an intervention with a durable effect and the intervention being effective in 50% of people.</w:t>
      </w:r>
      <w:r w:rsidRPr="009102F0">
        <w:t xml:space="preserve">  </w:t>
      </w:r>
      <w:r w:rsidRPr="009102F0">
        <w:rPr>
          <w:sz w:val="20"/>
          <w:szCs w:val="20"/>
        </w:rPr>
        <w:t xml:space="preserve"> </w:t>
      </w:r>
    </w:p>
    <w:p w14:paraId="63A48325" w14:textId="77777777" w:rsidR="00641E66" w:rsidRPr="009102F0" w:rsidRDefault="00641E66" w:rsidP="00641E66">
      <w:pPr>
        <w:spacing w:after="0"/>
      </w:pPr>
    </w:p>
    <w:p w14:paraId="3948172E" w14:textId="77777777" w:rsidR="00641E66" w:rsidRPr="009102F0" w:rsidRDefault="00641E66" w:rsidP="00641E66">
      <w:r w:rsidRPr="009102F0">
        <w:rPr>
          <w:b/>
          <w:color w:val="C00000"/>
        </w:rPr>
        <w:t>(a) no viral load monitoring</w:t>
      </w:r>
    </w:p>
    <w:tbl>
      <w:tblPr>
        <w:tblStyle w:val="TableGrid"/>
        <w:tblW w:w="8222" w:type="dxa"/>
        <w:tblLayout w:type="fixed"/>
        <w:tblLook w:val="04A0" w:firstRow="1" w:lastRow="0" w:firstColumn="1" w:lastColumn="0" w:noHBand="0" w:noVBand="1"/>
      </w:tblPr>
      <w:tblGrid>
        <w:gridCol w:w="1218"/>
        <w:gridCol w:w="200"/>
        <w:gridCol w:w="1417"/>
        <w:gridCol w:w="1134"/>
        <w:gridCol w:w="1276"/>
        <w:gridCol w:w="1418"/>
        <w:gridCol w:w="1559"/>
      </w:tblGrid>
      <w:tr w:rsidR="00641E66" w:rsidRPr="009102F0" w14:paraId="3B114827" w14:textId="77777777" w:rsidTr="0073510C">
        <w:trPr>
          <w:gridAfter w:val="6"/>
          <w:wAfter w:w="7004" w:type="dxa"/>
        </w:trPr>
        <w:tc>
          <w:tcPr>
            <w:tcW w:w="1218" w:type="dxa"/>
            <w:tcBorders>
              <w:top w:val="nil"/>
              <w:left w:val="nil"/>
              <w:right w:val="nil"/>
            </w:tcBorders>
          </w:tcPr>
          <w:p w14:paraId="1DAE1967" w14:textId="77777777" w:rsidR="00641E66" w:rsidRPr="009102F0" w:rsidRDefault="00641E66" w:rsidP="0073510C">
            <w:pPr>
              <w:rPr>
                <w:color w:val="C00000"/>
                <w:sz w:val="20"/>
                <w:szCs w:val="20"/>
              </w:rPr>
            </w:pPr>
          </w:p>
        </w:tc>
      </w:tr>
      <w:tr w:rsidR="00641E66" w:rsidRPr="009102F0" w14:paraId="5823C370" w14:textId="77777777" w:rsidTr="0073510C">
        <w:tc>
          <w:tcPr>
            <w:tcW w:w="1418" w:type="dxa"/>
            <w:gridSpan w:val="2"/>
          </w:tcPr>
          <w:p w14:paraId="2109E1CD" w14:textId="77777777" w:rsidR="00641E66" w:rsidRPr="009102F0" w:rsidRDefault="00641E66" w:rsidP="0073510C">
            <w:pPr>
              <w:rPr>
                <w:rFonts w:eastAsia="Times New Roman" w:cs="Times New Roman"/>
                <w:color w:val="000000"/>
                <w:sz w:val="18"/>
                <w:szCs w:val="18"/>
                <w:lang w:eastAsia="en-GB"/>
              </w:rPr>
            </w:pPr>
            <w:r w:rsidRPr="009102F0">
              <w:rPr>
                <w:rFonts w:eastAsia="Times New Roman" w:cs="Times New Roman"/>
                <w:color w:val="000000"/>
                <w:sz w:val="18"/>
                <w:szCs w:val="18"/>
                <w:lang w:eastAsia="en-GB"/>
              </w:rPr>
              <w:t>Sensitivity analysis</w:t>
            </w:r>
          </w:p>
        </w:tc>
        <w:tc>
          <w:tcPr>
            <w:tcW w:w="1417" w:type="dxa"/>
          </w:tcPr>
          <w:p w14:paraId="132842F4" w14:textId="77777777" w:rsidR="00641E66" w:rsidRPr="009102F0" w:rsidRDefault="00641E66" w:rsidP="0073510C">
            <w:pPr>
              <w:rPr>
                <w:rFonts w:eastAsia="Times New Roman" w:cs="Times New Roman"/>
                <w:color w:val="000000"/>
                <w:sz w:val="18"/>
                <w:szCs w:val="18"/>
                <w:lang w:eastAsia="en-GB"/>
              </w:rPr>
            </w:pPr>
            <w:r w:rsidRPr="009102F0">
              <w:rPr>
                <w:rFonts w:eastAsia="Times New Roman" w:cs="Times New Roman"/>
                <w:color w:val="000000"/>
                <w:sz w:val="18"/>
                <w:szCs w:val="18"/>
                <w:lang w:eastAsia="en-GB"/>
              </w:rPr>
              <w:t xml:space="preserve">Components intervention    </w:t>
            </w:r>
          </w:p>
          <w:p w14:paraId="0A9D3714" w14:textId="77777777" w:rsidR="00641E66" w:rsidRPr="009102F0" w:rsidRDefault="00641E66" w:rsidP="0073510C">
            <w:pPr>
              <w:rPr>
                <w:rFonts w:eastAsia="Times New Roman" w:cs="Times New Roman"/>
                <w:color w:val="000000"/>
                <w:sz w:val="18"/>
                <w:szCs w:val="18"/>
                <w:lang w:eastAsia="en-GB"/>
              </w:rPr>
            </w:pPr>
            <w:r w:rsidRPr="009102F0">
              <w:rPr>
                <w:rFonts w:eastAsia="Times New Roman" w:cs="Times New Roman"/>
                <w:color w:val="000000"/>
                <w:sz w:val="18"/>
                <w:szCs w:val="18"/>
                <w:lang w:eastAsia="en-GB"/>
              </w:rPr>
              <w:t>has beneficial effect on</w:t>
            </w:r>
          </w:p>
          <w:p w14:paraId="4C56A2BA" w14:textId="77777777" w:rsidR="00641E66" w:rsidRPr="009102F0" w:rsidRDefault="00641E66" w:rsidP="0073510C">
            <w:pPr>
              <w:rPr>
                <w:sz w:val="18"/>
                <w:szCs w:val="18"/>
              </w:rPr>
            </w:pPr>
          </w:p>
        </w:tc>
        <w:tc>
          <w:tcPr>
            <w:tcW w:w="1134" w:type="dxa"/>
          </w:tcPr>
          <w:p w14:paraId="32AD96B5" w14:textId="77777777" w:rsidR="00641E66" w:rsidRPr="009102F0" w:rsidRDefault="00641E66" w:rsidP="0073510C">
            <w:pPr>
              <w:rPr>
                <w:sz w:val="18"/>
                <w:szCs w:val="18"/>
              </w:rPr>
            </w:pPr>
            <w:r w:rsidRPr="009102F0">
              <w:rPr>
                <w:sz w:val="18"/>
                <w:szCs w:val="18"/>
              </w:rPr>
              <w:t>Proportion</w:t>
            </w:r>
          </w:p>
          <w:p w14:paraId="487B6F20" w14:textId="77777777" w:rsidR="00641E66" w:rsidRPr="009102F0" w:rsidRDefault="00641E66" w:rsidP="0073510C">
            <w:pPr>
              <w:rPr>
                <w:sz w:val="18"/>
                <w:szCs w:val="18"/>
              </w:rPr>
            </w:pPr>
            <w:r w:rsidRPr="009102F0">
              <w:rPr>
                <w:sz w:val="18"/>
                <w:szCs w:val="18"/>
              </w:rPr>
              <w:t>of ART experienced</w:t>
            </w:r>
          </w:p>
          <w:p w14:paraId="42630281" w14:textId="77777777" w:rsidR="00641E66" w:rsidRPr="009102F0" w:rsidRDefault="00641E66" w:rsidP="0073510C">
            <w:pPr>
              <w:rPr>
                <w:sz w:val="18"/>
                <w:szCs w:val="18"/>
              </w:rPr>
            </w:pPr>
            <w:r w:rsidRPr="009102F0">
              <w:rPr>
                <w:sz w:val="18"/>
                <w:szCs w:val="18"/>
              </w:rPr>
              <w:t>people with</w:t>
            </w:r>
          </w:p>
          <w:p w14:paraId="6B63ED92" w14:textId="77777777" w:rsidR="00641E66" w:rsidRPr="009102F0" w:rsidRDefault="00641E66" w:rsidP="0073510C">
            <w:pPr>
              <w:rPr>
                <w:sz w:val="18"/>
                <w:szCs w:val="18"/>
              </w:rPr>
            </w:pPr>
            <w:r w:rsidRPr="009102F0">
              <w:rPr>
                <w:sz w:val="18"/>
                <w:szCs w:val="18"/>
              </w:rPr>
              <w:t>viral load</w:t>
            </w:r>
          </w:p>
          <w:p w14:paraId="739DEAA7" w14:textId="77777777" w:rsidR="00641E66" w:rsidRPr="009102F0" w:rsidRDefault="00641E66" w:rsidP="0073510C">
            <w:pPr>
              <w:rPr>
                <w:sz w:val="18"/>
                <w:szCs w:val="18"/>
              </w:rPr>
            </w:pPr>
            <w:r w:rsidRPr="009102F0">
              <w:rPr>
                <w:sz w:val="18"/>
                <w:szCs w:val="18"/>
              </w:rPr>
              <w:t>&lt; 1000</w:t>
            </w:r>
          </w:p>
        </w:tc>
        <w:tc>
          <w:tcPr>
            <w:tcW w:w="1276" w:type="dxa"/>
          </w:tcPr>
          <w:p w14:paraId="0C40092C" w14:textId="77777777" w:rsidR="00641E66" w:rsidRPr="009102F0" w:rsidRDefault="00641E66" w:rsidP="0073510C">
            <w:pPr>
              <w:rPr>
                <w:sz w:val="18"/>
                <w:szCs w:val="18"/>
              </w:rPr>
            </w:pPr>
            <w:r w:rsidRPr="009102F0">
              <w:rPr>
                <w:sz w:val="18"/>
                <w:szCs w:val="18"/>
              </w:rPr>
              <w:t xml:space="preserve">Death rate </w:t>
            </w:r>
          </w:p>
          <w:p w14:paraId="0FACA43F" w14:textId="77777777" w:rsidR="00641E66" w:rsidRPr="009102F0" w:rsidRDefault="00641E66" w:rsidP="0073510C">
            <w:pPr>
              <w:rPr>
                <w:sz w:val="18"/>
                <w:szCs w:val="18"/>
              </w:rPr>
            </w:pPr>
            <w:r w:rsidRPr="009102F0">
              <w:rPr>
                <w:sz w:val="18"/>
                <w:szCs w:val="18"/>
              </w:rPr>
              <w:t>in ART experienced</w:t>
            </w:r>
          </w:p>
          <w:p w14:paraId="6D25AE65" w14:textId="77777777" w:rsidR="00641E66" w:rsidRPr="009102F0" w:rsidRDefault="00641E66" w:rsidP="0073510C">
            <w:pPr>
              <w:rPr>
                <w:sz w:val="18"/>
                <w:szCs w:val="18"/>
              </w:rPr>
            </w:pPr>
            <w:r w:rsidRPr="009102F0">
              <w:rPr>
                <w:sz w:val="18"/>
                <w:szCs w:val="18"/>
              </w:rPr>
              <w:t>people</w:t>
            </w:r>
          </w:p>
        </w:tc>
        <w:tc>
          <w:tcPr>
            <w:tcW w:w="1418" w:type="dxa"/>
          </w:tcPr>
          <w:p w14:paraId="59A04AA8" w14:textId="77777777" w:rsidR="00641E66" w:rsidRPr="009102F0" w:rsidRDefault="00641E66" w:rsidP="0073510C">
            <w:pPr>
              <w:rPr>
                <w:sz w:val="18"/>
                <w:szCs w:val="18"/>
              </w:rPr>
            </w:pPr>
            <w:r w:rsidRPr="009102F0">
              <w:rPr>
                <w:sz w:val="18"/>
                <w:szCs w:val="18"/>
              </w:rPr>
              <w:t>DALYs averted per 3 months (over 20 years, compared</w:t>
            </w:r>
          </w:p>
          <w:p w14:paraId="755CF382" w14:textId="77777777" w:rsidR="00641E66" w:rsidRPr="009102F0" w:rsidRDefault="00641E66" w:rsidP="0073510C">
            <w:pPr>
              <w:rPr>
                <w:sz w:val="18"/>
                <w:szCs w:val="18"/>
              </w:rPr>
            </w:pPr>
            <w:r w:rsidRPr="009102F0">
              <w:rPr>
                <w:sz w:val="18"/>
                <w:szCs w:val="18"/>
              </w:rPr>
              <w:t>with no intervention)</w:t>
            </w:r>
          </w:p>
        </w:tc>
        <w:tc>
          <w:tcPr>
            <w:tcW w:w="1559" w:type="dxa"/>
          </w:tcPr>
          <w:p w14:paraId="09F6B253" w14:textId="77777777" w:rsidR="00641E66" w:rsidRPr="009102F0" w:rsidRDefault="00641E66" w:rsidP="0073510C">
            <w:pPr>
              <w:rPr>
                <w:rFonts w:eastAsia="Times New Roman" w:cs="Times New Roman"/>
                <w:color w:val="000000"/>
                <w:sz w:val="18"/>
                <w:szCs w:val="18"/>
                <w:lang w:eastAsia="en-GB"/>
              </w:rPr>
            </w:pPr>
            <w:r w:rsidRPr="009102F0">
              <w:rPr>
                <w:rFonts w:eastAsia="Times New Roman" w:cs="Times New Roman"/>
                <w:color w:val="000000"/>
                <w:sz w:val="18"/>
                <w:szCs w:val="18"/>
                <w:lang w:eastAsia="en-GB"/>
              </w:rPr>
              <w:t>Maximum cost of adherence intervention (per person on ART per year) to be cost effective</w:t>
            </w:r>
          </w:p>
        </w:tc>
      </w:tr>
      <w:tr w:rsidR="00641E66" w:rsidRPr="009102F0" w14:paraId="646E04A4" w14:textId="77777777" w:rsidTr="0073510C">
        <w:tc>
          <w:tcPr>
            <w:tcW w:w="1418" w:type="dxa"/>
            <w:gridSpan w:val="2"/>
            <w:vMerge w:val="restart"/>
          </w:tcPr>
          <w:p w14:paraId="6F0D7CBF" w14:textId="77777777" w:rsidR="00641E66" w:rsidRPr="009102F0" w:rsidRDefault="00641E66" w:rsidP="0073510C">
            <w:pPr>
              <w:rPr>
                <w:sz w:val="18"/>
                <w:szCs w:val="18"/>
              </w:rPr>
            </w:pPr>
            <w:r w:rsidRPr="009102F0">
              <w:rPr>
                <w:sz w:val="18"/>
                <w:szCs w:val="18"/>
              </w:rPr>
              <w:t>Base case</w:t>
            </w:r>
          </w:p>
        </w:tc>
        <w:tc>
          <w:tcPr>
            <w:tcW w:w="1417" w:type="dxa"/>
          </w:tcPr>
          <w:p w14:paraId="73779C27" w14:textId="77777777" w:rsidR="00641E66" w:rsidRPr="009102F0" w:rsidRDefault="00641E66" w:rsidP="0073510C">
            <w:pPr>
              <w:rPr>
                <w:sz w:val="18"/>
                <w:szCs w:val="18"/>
              </w:rPr>
            </w:pPr>
            <w:r w:rsidRPr="009102F0">
              <w:rPr>
                <w:sz w:val="18"/>
                <w:szCs w:val="18"/>
              </w:rPr>
              <w:t>No intervention</w:t>
            </w:r>
          </w:p>
        </w:tc>
        <w:tc>
          <w:tcPr>
            <w:tcW w:w="1134" w:type="dxa"/>
          </w:tcPr>
          <w:p w14:paraId="4EAE6C3E" w14:textId="77777777" w:rsidR="00641E66" w:rsidRPr="009102F0" w:rsidRDefault="00641E66" w:rsidP="0073510C">
            <w:pPr>
              <w:rPr>
                <w:sz w:val="18"/>
                <w:szCs w:val="18"/>
              </w:rPr>
            </w:pPr>
            <w:r w:rsidRPr="009102F0">
              <w:rPr>
                <w:sz w:val="18"/>
                <w:szCs w:val="18"/>
              </w:rPr>
              <w:t>0.741</w:t>
            </w:r>
          </w:p>
        </w:tc>
        <w:tc>
          <w:tcPr>
            <w:tcW w:w="1276" w:type="dxa"/>
          </w:tcPr>
          <w:p w14:paraId="147B6BE8" w14:textId="77777777" w:rsidR="00641E66" w:rsidRPr="009102F0" w:rsidRDefault="00641E66" w:rsidP="0073510C">
            <w:pPr>
              <w:rPr>
                <w:sz w:val="18"/>
                <w:szCs w:val="18"/>
              </w:rPr>
            </w:pPr>
            <w:r w:rsidRPr="009102F0">
              <w:rPr>
                <w:sz w:val="18"/>
                <w:szCs w:val="18"/>
              </w:rPr>
              <w:t>4.69</w:t>
            </w:r>
          </w:p>
        </w:tc>
        <w:tc>
          <w:tcPr>
            <w:tcW w:w="1418" w:type="dxa"/>
          </w:tcPr>
          <w:p w14:paraId="5DE74D8A" w14:textId="77777777" w:rsidR="00641E66" w:rsidRPr="009102F0" w:rsidRDefault="00641E66" w:rsidP="0073510C">
            <w:pPr>
              <w:rPr>
                <w:sz w:val="18"/>
                <w:szCs w:val="18"/>
              </w:rPr>
            </w:pPr>
            <w:r w:rsidRPr="009102F0">
              <w:rPr>
                <w:sz w:val="18"/>
                <w:szCs w:val="18"/>
              </w:rPr>
              <w:t>---</w:t>
            </w:r>
          </w:p>
        </w:tc>
        <w:tc>
          <w:tcPr>
            <w:tcW w:w="1559" w:type="dxa"/>
          </w:tcPr>
          <w:p w14:paraId="0D96920F" w14:textId="77777777" w:rsidR="00641E66" w:rsidRPr="009102F0" w:rsidRDefault="00641E66" w:rsidP="0073510C">
            <w:pPr>
              <w:rPr>
                <w:sz w:val="18"/>
                <w:szCs w:val="18"/>
              </w:rPr>
            </w:pPr>
          </w:p>
        </w:tc>
      </w:tr>
      <w:tr w:rsidR="00641E66" w:rsidRPr="009102F0" w14:paraId="26D1A2EE" w14:textId="77777777" w:rsidTr="0073510C">
        <w:tc>
          <w:tcPr>
            <w:tcW w:w="1418" w:type="dxa"/>
            <w:gridSpan w:val="2"/>
            <w:vMerge/>
          </w:tcPr>
          <w:p w14:paraId="6BB4F472" w14:textId="77777777" w:rsidR="00641E66" w:rsidRPr="009102F0" w:rsidRDefault="00641E66" w:rsidP="0073510C">
            <w:pPr>
              <w:rPr>
                <w:sz w:val="18"/>
                <w:szCs w:val="18"/>
              </w:rPr>
            </w:pPr>
          </w:p>
        </w:tc>
        <w:tc>
          <w:tcPr>
            <w:tcW w:w="1417" w:type="dxa"/>
          </w:tcPr>
          <w:p w14:paraId="1812B6B2" w14:textId="77777777" w:rsidR="00641E66" w:rsidRPr="009102F0" w:rsidRDefault="00641E66" w:rsidP="0073510C">
            <w:pPr>
              <w:rPr>
                <w:sz w:val="18"/>
                <w:szCs w:val="18"/>
              </w:rPr>
            </w:pPr>
            <w:r w:rsidRPr="009102F0">
              <w:rPr>
                <w:sz w:val="18"/>
                <w:szCs w:val="18"/>
              </w:rPr>
              <w:t>(a)</w:t>
            </w:r>
          </w:p>
        </w:tc>
        <w:tc>
          <w:tcPr>
            <w:tcW w:w="1134" w:type="dxa"/>
          </w:tcPr>
          <w:p w14:paraId="20F7991E" w14:textId="77777777" w:rsidR="00641E66" w:rsidRPr="009102F0" w:rsidRDefault="00641E66" w:rsidP="0073510C">
            <w:pPr>
              <w:rPr>
                <w:sz w:val="18"/>
                <w:szCs w:val="18"/>
              </w:rPr>
            </w:pPr>
            <w:r w:rsidRPr="009102F0">
              <w:rPr>
                <w:sz w:val="18"/>
                <w:szCs w:val="18"/>
              </w:rPr>
              <w:t>0.756</w:t>
            </w:r>
          </w:p>
        </w:tc>
        <w:tc>
          <w:tcPr>
            <w:tcW w:w="1276" w:type="dxa"/>
          </w:tcPr>
          <w:p w14:paraId="55B9CE31" w14:textId="77777777" w:rsidR="00641E66" w:rsidRPr="009102F0" w:rsidRDefault="00641E66" w:rsidP="0073510C">
            <w:pPr>
              <w:rPr>
                <w:sz w:val="18"/>
                <w:szCs w:val="18"/>
              </w:rPr>
            </w:pPr>
            <w:r w:rsidRPr="009102F0">
              <w:rPr>
                <w:sz w:val="18"/>
                <w:szCs w:val="18"/>
              </w:rPr>
              <w:t>4.54</w:t>
            </w:r>
          </w:p>
        </w:tc>
        <w:tc>
          <w:tcPr>
            <w:tcW w:w="1418" w:type="dxa"/>
          </w:tcPr>
          <w:p w14:paraId="542813C7" w14:textId="77777777" w:rsidR="00641E66" w:rsidRPr="009102F0" w:rsidRDefault="00641E66" w:rsidP="0073510C">
            <w:pPr>
              <w:rPr>
                <w:sz w:val="18"/>
                <w:szCs w:val="18"/>
              </w:rPr>
            </w:pPr>
            <w:r w:rsidRPr="009102F0">
              <w:rPr>
                <w:sz w:val="18"/>
                <w:szCs w:val="18"/>
              </w:rPr>
              <w:t>2425</w:t>
            </w:r>
          </w:p>
        </w:tc>
        <w:tc>
          <w:tcPr>
            <w:tcW w:w="1559" w:type="dxa"/>
          </w:tcPr>
          <w:p w14:paraId="208B9B4D" w14:textId="77777777" w:rsidR="00641E66" w:rsidRPr="009102F0" w:rsidRDefault="00641E66" w:rsidP="0073510C">
            <w:pPr>
              <w:rPr>
                <w:rFonts w:ascii="Calibri" w:hAnsi="Calibri"/>
                <w:sz w:val="18"/>
                <w:szCs w:val="18"/>
              </w:rPr>
            </w:pPr>
            <w:r w:rsidRPr="009102F0">
              <w:rPr>
                <w:rFonts w:ascii="Calibri" w:hAnsi="Calibri"/>
                <w:sz w:val="18"/>
                <w:szCs w:val="18"/>
              </w:rPr>
              <w:t>$38</w:t>
            </w:r>
          </w:p>
        </w:tc>
      </w:tr>
      <w:tr w:rsidR="00641E66" w:rsidRPr="009102F0" w14:paraId="4E5C9483" w14:textId="77777777" w:rsidTr="0073510C">
        <w:tc>
          <w:tcPr>
            <w:tcW w:w="1418" w:type="dxa"/>
            <w:gridSpan w:val="2"/>
            <w:vMerge/>
          </w:tcPr>
          <w:p w14:paraId="536442A7" w14:textId="77777777" w:rsidR="00641E66" w:rsidRPr="009102F0" w:rsidRDefault="00641E66" w:rsidP="0073510C">
            <w:pPr>
              <w:rPr>
                <w:sz w:val="18"/>
                <w:szCs w:val="18"/>
              </w:rPr>
            </w:pPr>
          </w:p>
        </w:tc>
        <w:tc>
          <w:tcPr>
            <w:tcW w:w="1417" w:type="dxa"/>
          </w:tcPr>
          <w:p w14:paraId="485DD15E" w14:textId="77777777" w:rsidR="00641E66" w:rsidRPr="009102F0" w:rsidRDefault="00641E66" w:rsidP="0073510C">
            <w:pPr>
              <w:rPr>
                <w:sz w:val="18"/>
                <w:szCs w:val="18"/>
              </w:rPr>
            </w:pPr>
            <w:r w:rsidRPr="009102F0">
              <w:rPr>
                <w:sz w:val="18"/>
                <w:szCs w:val="18"/>
              </w:rPr>
              <w:t>(b)</w:t>
            </w:r>
          </w:p>
        </w:tc>
        <w:tc>
          <w:tcPr>
            <w:tcW w:w="1134" w:type="dxa"/>
          </w:tcPr>
          <w:p w14:paraId="5235CEAD" w14:textId="77777777" w:rsidR="00641E66" w:rsidRPr="009102F0" w:rsidRDefault="00641E66" w:rsidP="0073510C">
            <w:pPr>
              <w:rPr>
                <w:sz w:val="18"/>
                <w:szCs w:val="18"/>
              </w:rPr>
            </w:pPr>
            <w:r w:rsidRPr="009102F0">
              <w:rPr>
                <w:sz w:val="18"/>
                <w:szCs w:val="18"/>
              </w:rPr>
              <w:t>0.788</w:t>
            </w:r>
          </w:p>
        </w:tc>
        <w:tc>
          <w:tcPr>
            <w:tcW w:w="1276" w:type="dxa"/>
          </w:tcPr>
          <w:p w14:paraId="7546A048" w14:textId="77777777" w:rsidR="00641E66" w:rsidRPr="009102F0" w:rsidRDefault="00641E66" w:rsidP="0073510C">
            <w:pPr>
              <w:rPr>
                <w:sz w:val="18"/>
                <w:szCs w:val="18"/>
              </w:rPr>
            </w:pPr>
            <w:r w:rsidRPr="009102F0">
              <w:rPr>
                <w:sz w:val="18"/>
                <w:szCs w:val="18"/>
              </w:rPr>
              <w:t>4.16</w:t>
            </w:r>
          </w:p>
        </w:tc>
        <w:tc>
          <w:tcPr>
            <w:tcW w:w="1418" w:type="dxa"/>
          </w:tcPr>
          <w:p w14:paraId="317FD767" w14:textId="77777777" w:rsidR="00641E66" w:rsidRPr="009102F0" w:rsidRDefault="00641E66" w:rsidP="0073510C">
            <w:pPr>
              <w:rPr>
                <w:sz w:val="18"/>
                <w:szCs w:val="18"/>
              </w:rPr>
            </w:pPr>
            <w:r w:rsidRPr="009102F0">
              <w:rPr>
                <w:sz w:val="18"/>
                <w:szCs w:val="18"/>
              </w:rPr>
              <w:t>7409</w:t>
            </w:r>
          </w:p>
        </w:tc>
        <w:tc>
          <w:tcPr>
            <w:tcW w:w="1559" w:type="dxa"/>
          </w:tcPr>
          <w:p w14:paraId="10775DF7" w14:textId="77777777" w:rsidR="00641E66" w:rsidRPr="009102F0" w:rsidRDefault="00641E66" w:rsidP="0073510C">
            <w:pPr>
              <w:rPr>
                <w:rFonts w:ascii="Calibri" w:hAnsi="Calibri"/>
                <w:sz w:val="18"/>
                <w:szCs w:val="18"/>
              </w:rPr>
            </w:pPr>
            <w:r w:rsidRPr="009102F0">
              <w:rPr>
                <w:rFonts w:ascii="Calibri" w:hAnsi="Calibri"/>
                <w:sz w:val="18"/>
                <w:szCs w:val="18"/>
              </w:rPr>
              <w:t>$46</w:t>
            </w:r>
          </w:p>
        </w:tc>
      </w:tr>
      <w:tr w:rsidR="00641E66" w:rsidRPr="009102F0" w14:paraId="6031FAC9" w14:textId="77777777" w:rsidTr="0073510C">
        <w:tc>
          <w:tcPr>
            <w:tcW w:w="1418" w:type="dxa"/>
            <w:gridSpan w:val="2"/>
            <w:vMerge/>
          </w:tcPr>
          <w:p w14:paraId="50BA3FE1" w14:textId="77777777" w:rsidR="00641E66" w:rsidRPr="009102F0" w:rsidRDefault="00641E66" w:rsidP="0073510C">
            <w:pPr>
              <w:rPr>
                <w:sz w:val="18"/>
                <w:szCs w:val="18"/>
              </w:rPr>
            </w:pPr>
          </w:p>
        </w:tc>
        <w:tc>
          <w:tcPr>
            <w:tcW w:w="1417" w:type="dxa"/>
          </w:tcPr>
          <w:p w14:paraId="14316FDC" w14:textId="77777777" w:rsidR="00641E66" w:rsidRPr="009102F0" w:rsidRDefault="00641E66" w:rsidP="0073510C">
            <w:pPr>
              <w:rPr>
                <w:sz w:val="18"/>
                <w:szCs w:val="18"/>
              </w:rPr>
            </w:pPr>
            <w:r w:rsidRPr="009102F0">
              <w:rPr>
                <w:sz w:val="18"/>
                <w:szCs w:val="18"/>
              </w:rPr>
              <w:t>(c)</w:t>
            </w:r>
          </w:p>
        </w:tc>
        <w:tc>
          <w:tcPr>
            <w:tcW w:w="1134" w:type="dxa"/>
          </w:tcPr>
          <w:p w14:paraId="479D0B96" w14:textId="77777777" w:rsidR="00641E66" w:rsidRPr="009102F0" w:rsidRDefault="00641E66" w:rsidP="0073510C">
            <w:pPr>
              <w:rPr>
                <w:sz w:val="18"/>
                <w:szCs w:val="18"/>
              </w:rPr>
            </w:pPr>
            <w:r w:rsidRPr="009102F0">
              <w:rPr>
                <w:sz w:val="18"/>
                <w:szCs w:val="18"/>
              </w:rPr>
              <w:t>0.770</w:t>
            </w:r>
          </w:p>
        </w:tc>
        <w:tc>
          <w:tcPr>
            <w:tcW w:w="1276" w:type="dxa"/>
          </w:tcPr>
          <w:p w14:paraId="6ED249F6" w14:textId="77777777" w:rsidR="00641E66" w:rsidRPr="009102F0" w:rsidRDefault="00641E66" w:rsidP="0073510C">
            <w:pPr>
              <w:rPr>
                <w:sz w:val="18"/>
                <w:szCs w:val="18"/>
              </w:rPr>
            </w:pPr>
            <w:r w:rsidRPr="009102F0">
              <w:rPr>
                <w:sz w:val="18"/>
                <w:szCs w:val="18"/>
              </w:rPr>
              <w:t>4.34</w:t>
            </w:r>
          </w:p>
        </w:tc>
        <w:tc>
          <w:tcPr>
            <w:tcW w:w="1418" w:type="dxa"/>
          </w:tcPr>
          <w:p w14:paraId="146C65B8" w14:textId="77777777" w:rsidR="00641E66" w:rsidRPr="009102F0" w:rsidRDefault="00641E66" w:rsidP="0073510C">
            <w:pPr>
              <w:rPr>
                <w:sz w:val="18"/>
                <w:szCs w:val="18"/>
              </w:rPr>
            </w:pPr>
            <w:r w:rsidRPr="009102F0">
              <w:rPr>
                <w:sz w:val="18"/>
                <w:szCs w:val="18"/>
              </w:rPr>
              <w:t>4822</w:t>
            </w:r>
          </w:p>
        </w:tc>
        <w:tc>
          <w:tcPr>
            <w:tcW w:w="1559" w:type="dxa"/>
          </w:tcPr>
          <w:p w14:paraId="1D87075B" w14:textId="77777777" w:rsidR="00641E66" w:rsidRPr="009102F0" w:rsidRDefault="00641E66" w:rsidP="0073510C">
            <w:pPr>
              <w:rPr>
                <w:rFonts w:ascii="Calibri" w:hAnsi="Calibri"/>
                <w:sz w:val="18"/>
                <w:szCs w:val="18"/>
              </w:rPr>
            </w:pPr>
            <w:r w:rsidRPr="009102F0">
              <w:rPr>
                <w:rFonts w:ascii="Calibri" w:hAnsi="Calibri"/>
                <w:sz w:val="18"/>
                <w:szCs w:val="18"/>
              </w:rPr>
              <w:t>$34</w:t>
            </w:r>
          </w:p>
        </w:tc>
      </w:tr>
      <w:tr w:rsidR="00641E66" w:rsidRPr="009102F0" w14:paraId="35054678" w14:textId="77777777" w:rsidTr="0073510C">
        <w:tc>
          <w:tcPr>
            <w:tcW w:w="1418" w:type="dxa"/>
            <w:gridSpan w:val="2"/>
            <w:vMerge/>
          </w:tcPr>
          <w:p w14:paraId="786ECADB" w14:textId="77777777" w:rsidR="00641E66" w:rsidRPr="009102F0" w:rsidRDefault="00641E66" w:rsidP="0073510C">
            <w:pPr>
              <w:rPr>
                <w:sz w:val="18"/>
                <w:szCs w:val="18"/>
              </w:rPr>
            </w:pPr>
          </w:p>
        </w:tc>
        <w:tc>
          <w:tcPr>
            <w:tcW w:w="1417" w:type="dxa"/>
          </w:tcPr>
          <w:p w14:paraId="4D692B98" w14:textId="77777777" w:rsidR="00641E66" w:rsidRPr="009102F0" w:rsidRDefault="00641E66" w:rsidP="0073510C">
            <w:pPr>
              <w:rPr>
                <w:sz w:val="18"/>
                <w:szCs w:val="18"/>
              </w:rPr>
            </w:pPr>
            <w:r w:rsidRPr="009102F0">
              <w:rPr>
                <w:sz w:val="18"/>
                <w:szCs w:val="18"/>
              </w:rPr>
              <w:t>(d)</w:t>
            </w:r>
          </w:p>
        </w:tc>
        <w:tc>
          <w:tcPr>
            <w:tcW w:w="1134" w:type="dxa"/>
          </w:tcPr>
          <w:p w14:paraId="56BA3FC2" w14:textId="77777777" w:rsidR="00641E66" w:rsidRPr="009102F0" w:rsidRDefault="00641E66" w:rsidP="0073510C">
            <w:pPr>
              <w:rPr>
                <w:sz w:val="18"/>
                <w:szCs w:val="18"/>
              </w:rPr>
            </w:pPr>
            <w:r w:rsidRPr="009102F0">
              <w:rPr>
                <w:sz w:val="18"/>
                <w:szCs w:val="18"/>
              </w:rPr>
              <w:t>0.771</w:t>
            </w:r>
          </w:p>
        </w:tc>
        <w:tc>
          <w:tcPr>
            <w:tcW w:w="1276" w:type="dxa"/>
          </w:tcPr>
          <w:p w14:paraId="422CD1A3" w14:textId="77777777" w:rsidR="00641E66" w:rsidRPr="009102F0" w:rsidRDefault="00641E66" w:rsidP="0073510C">
            <w:pPr>
              <w:rPr>
                <w:sz w:val="18"/>
                <w:szCs w:val="18"/>
              </w:rPr>
            </w:pPr>
            <w:r w:rsidRPr="009102F0">
              <w:rPr>
                <w:sz w:val="18"/>
                <w:szCs w:val="18"/>
              </w:rPr>
              <w:t>4.43</w:t>
            </w:r>
          </w:p>
        </w:tc>
        <w:tc>
          <w:tcPr>
            <w:tcW w:w="1418" w:type="dxa"/>
          </w:tcPr>
          <w:p w14:paraId="4C734417" w14:textId="77777777" w:rsidR="00641E66" w:rsidRPr="009102F0" w:rsidRDefault="00641E66" w:rsidP="0073510C">
            <w:pPr>
              <w:rPr>
                <w:sz w:val="18"/>
                <w:szCs w:val="18"/>
              </w:rPr>
            </w:pPr>
            <w:r w:rsidRPr="009102F0">
              <w:rPr>
                <w:sz w:val="18"/>
                <w:szCs w:val="18"/>
              </w:rPr>
              <w:t>3562</w:t>
            </w:r>
          </w:p>
        </w:tc>
        <w:tc>
          <w:tcPr>
            <w:tcW w:w="1559" w:type="dxa"/>
          </w:tcPr>
          <w:p w14:paraId="7D07F314" w14:textId="77777777" w:rsidR="00641E66" w:rsidRPr="009102F0" w:rsidRDefault="00641E66" w:rsidP="0073510C">
            <w:pPr>
              <w:rPr>
                <w:rFonts w:ascii="Calibri" w:hAnsi="Calibri"/>
                <w:sz w:val="18"/>
                <w:szCs w:val="18"/>
              </w:rPr>
            </w:pPr>
            <w:r w:rsidRPr="009102F0">
              <w:rPr>
                <w:rFonts w:ascii="Calibri" w:hAnsi="Calibri"/>
                <w:sz w:val="18"/>
                <w:szCs w:val="18"/>
              </w:rPr>
              <w:t>$42</w:t>
            </w:r>
          </w:p>
        </w:tc>
      </w:tr>
      <w:tr w:rsidR="00641E66" w:rsidRPr="009102F0" w14:paraId="4332BD67" w14:textId="77777777" w:rsidTr="0073510C">
        <w:tc>
          <w:tcPr>
            <w:tcW w:w="1418" w:type="dxa"/>
            <w:gridSpan w:val="2"/>
            <w:vMerge/>
          </w:tcPr>
          <w:p w14:paraId="266D3B58" w14:textId="77777777" w:rsidR="00641E66" w:rsidRPr="009102F0" w:rsidRDefault="00641E66" w:rsidP="0073510C">
            <w:pPr>
              <w:rPr>
                <w:sz w:val="18"/>
                <w:szCs w:val="18"/>
              </w:rPr>
            </w:pPr>
          </w:p>
        </w:tc>
        <w:tc>
          <w:tcPr>
            <w:tcW w:w="1417" w:type="dxa"/>
          </w:tcPr>
          <w:p w14:paraId="478A58F7" w14:textId="77777777" w:rsidR="00641E66" w:rsidRPr="00E15B7E" w:rsidRDefault="00641E66" w:rsidP="0073510C">
            <w:pPr>
              <w:rPr>
                <w:sz w:val="18"/>
                <w:szCs w:val="18"/>
              </w:rPr>
            </w:pPr>
            <w:r w:rsidRPr="00E15B7E">
              <w:rPr>
                <w:sz w:val="18"/>
                <w:szCs w:val="18"/>
              </w:rPr>
              <w:t>(e)</w:t>
            </w:r>
          </w:p>
        </w:tc>
        <w:tc>
          <w:tcPr>
            <w:tcW w:w="1134" w:type="dxa"/>
          </w:tcPr>
          <w:p w14:paraId="2183C5D6" w14:textId="77777777" w:rsidR="00641E66" w:rsidRPr="009102F0" w:rsidRDefault="00641E66" w:rsidP="0073510C">
            <w:pPr>
              <w:rPr>
                <w:sz w:val="18"/>
                <w:szCs w:val="18"/>
              </w:rPr>
            </w:pPr>
            <w:r w:rsidRPr="009102F0">
              <w:rPr>
                <w:sz w:val="18"/>
                <w:szCs w:val="18"/>
              </w:rPr>
              <w:t>0.806</w:t>
            </w:r>
          </w:p>
        </w:tc>
        <w:tc>
          <w:tcPr>
            <w:tcW w:w="1276" w:type="dxa"/>
          </w:tcPr>
          <w:p w14:paraId="57496EDE" w14:textId="77777777" w:rsidR="00641E66" w:rsidRPr="009102F0" w:rsidRDefault="00641E66" w:rsidP="0073510C">
            <w:pPr>
              <w:rPr>
                <w:sz w:val="18"/>
                <w:szCs w:val="18"/>
              </w:rPr>
            </w:pPr>
            <w:r w:rsidRPr="009102F0">
              <w:rPr>
                <w:sz w:val="18"/>
                <w:szCs w:val="18"/>
              </w:rPr>
              <w:t>4.08</w:t>
            </w:r>
          </w:p>
        </w:tc>
        <w:tc>
          <w:tcPr>
            <w:tcW w:w="1418" w:type="dxa"/>
          </w:tcPr>
          <w:p w14:paraId="372F2978" w14:textId="77777777" w:rsidR="00641E66" w:rsidRPr="009102F0" w:rsidRDefault="00641E66" w:rsidP="0073510C">
            <w:pPr>
              <w:rPr>
                <w:sz w:val="18"/>
                <w:szCs w:val="18"/>
              </w:rPr>
            </w:pPr>
            <w:r w:rsidRPr="009102F0">
              <w:rPr>
                <w:sz w:val="18"/>
                <w:szCs w:val="18"/>
              </w:rPr>
              <w:t>8282</w:t>
            </w:r>
          </w:p>
        </w:tc>
        <w:tc>
          <w:tcPr>
            <w:tcW w:w="1559" w:type="dxa"/>
          </w:tcPr>
          <w:p w14:paraId="2756ACDF" w14:textId="77777777" w:rsidR="00641E66" w:rsidRPr="009102F0" w:rsidRDefault="00641E66" w:rsidP="0073510C">
            <w:pPr>
              <w:rPr>
                <w:rFonts w:ascii="Calibri" w:hAnsi="Calibri"/>
                <w:sz w:val="18"/>
                <w:szCs w:val="18"/>
              </w:rPr>
            </w:pPr>
            <w:r w:rsidRPr="009102F0">
              <w:rPr>
                <w:rFonts w:ascii="Calibri" w:hAnsi="Calibri"/>
                <w:sz w:val="18"/>
                <w:szCs w:val="18"/>
              </w:rPr>
              <w:t>$50</w:t>
            </w:r>
          </w:p>
        </w:tc>
      </w:tr>
      <w:tr w:rsidR="00E15B7E" w:rsidRPr="009102F0" w14:paraId="60CC32D3" w14:textId="77777777" w:rsidTr="0073510C">
        <w:tc>
          <w:tcPr>
            <w:tcW w:w="1418" w:type="dxa"/>
            <w:gridSpan w:val="2"/>
            <w:vMerge w:val="restart"/>
          </w:tcPr>
          <w:p w14:paraId="0C9902D2" w14:textId="77777777" w:rsidR="00E15B7E" w:rsidRPr="009102F0" w:rsidRDefault="00E15B7E" w:rsidP="00E15B7E">
            <w:pPr>
              <w:rPr>
                <w:sz w:val="18"/>
                <w:szCs w:val="18"/>
              </w:rPr>
            </w:pPr>
            <w:r w:rsidRPr="009102F0">
              <w:rPr>
                <w:sz w:val="18"/>
                <w:szCs w:val="18"/>
              </w:rPr>
              <w:t>Lower adherence</w:t>
            </w:r>
          </w:p>
        </w:tc>
        <w:tc>
          <w:tcPr>
            <w:tcW w:w="1417" w:type="dxa"/>
          </w:tcPr>
          <w:p w14:paraId="650DE311" w14:textId="77777777" w:rsidR="00E15B7E" w:rsidRPr="00E15B7E" w:rsidRDefault="00E15B7E" w:rsidP="00E15B7E">
            <w:pPr>
              <w:rPr>
                <w:sz w:val="18"/>
                <w:szCs w:val="18"/>
              </w:rPr>
            </w:pPr>
            <w:r w:rsidRPr="00E15B7E">
              <w:rPr>
                <w:sz w:val="18"/>
                <w:szCs w:val="18"/>
              </w:rPr>
              <w:t>No intervention</w:t>
            </w:r>
          </w:p>
        </w:tc>
        <w:tc>
          <w:tcPr>
            <w:tcW w:w="1134" w:type="dxa"/>
          </w:tcPr>
          <w:p w14:paraId="60CCE687" w14:textId="568DD24D" w:rsidR="00E15B7E" w:rsidRPr="00E15B7E" w:rsidRDefault="00E15B7E" w:rsidP="00E15B7E">
            <w:pPr>
              <w:rPr>
                <w:sz w:val="18"/>
                <w:szCs w:val="18"/>
                <w:highlight w:val="yellow"/>
              </w:rPr>
            </w:pPr>
            <w:r w:rsidRPr="00E15B7E">
              <w:rPr>
                <w:sz w:val="18"/>
                <w:szCs w:val="18"/>
              </w:rPr>
              <w:t>0.651</w:t>
            </w:r>
          </w:p>
        </w:tc>
        <w:tc>
          <w:tcPr>
            <w:tcW w:w="1276" w:type="dxa"/>
          </w:tcPr>
          <w:p w14:paraId="2FB4C3B4" w14:textId="30078C32" w:rsidR="00E15B7E" w:rsidRPr="00E15B7E" w:rsidRDefault="00E15B7E" w:rsidP="00E15B7E">
            <w:pPr>
              <w:rPr>
                <w:sz w:val="18"/>
                <w:szCs w:val="18"/>
                <w:highlight w:val="yellow"/>
              </w:rPr>
            </w:pPr>
            <w:r w:rsidRPr="00E15B7E">
              <w:rPr>
                <w:sz w:val="18"/>
                <w:szCs w:val="18"/>
              </w:rPr>
              <w:t>5.85</w:t>
            </w:r>
          </w:p>
        </w:tc>
        <w:tc>
          <w:tcPr>
            <w:tcW w:w="1418" w:type="dxa"/>
          </w:tcPr>
          <w:p w14:paraId="44C49121" w14:textId="6863AACD" w:rsidR="00E15B7E" w:rsidRPr="00E15B7E" w:rsidRDefault="00E15B7E" w:rsidP="00E15B7E">
            <w:pPr>
              <w:rPr>
                <w:sz w:val="18"/>
                <w:szCs w:val="18"/>
                <w:highlight w:val="yellow"/>
              </w:rPr>
            </w:pPr>
            <w:r w:rsidRPr="00E15B7E">
              <w:rPr>
                <w:sz w:val="18"/>
                <w:szCs w:val="18"/>
              </w:rPr>
              <w:t>.</w:t>
            </w:r>
          </w:p>
        </w:tc>
        <w:tc>
          <w:tcPr>
            <w:tcW w:w="1559" w:type="dxa"/>
          </w:tcPr>
          <w:p w14:paraId="4400766E" w14:textId="77777777" w:rsidR="00E15B7E" w:rsidRPr="00E15B7E" w:rsidRDefault="00E15B7E" w:rsidP="00E15B7E">
            <w:pPr>
              <w:rPr>
                <w:sz w:val="18"/>
                <w:szCs w:val="18"/>
                <w:highlight w:val="yellow"/>
              </w:rPr>
            </w:pPr>
          </w:p>
        </w:tc>
      </w:tr>
      <w:tr w:rsidR="00E15B7E" w:rsidRPr="009102F0" w14:paraId="3A60E839" w14:textId="77777777" w:rsidTr="0073510C">
        <w:tc>
          <w:tcPr>
            <w:tcW w:w="1418" w:type="dxa"/>
            <w:gridSpan w:val="2"/>
            <w:vMerge/>
          </w:tcPr>
          <w:p w14:paraId="14C6B2D4" w14:textId="77777777" w:rsidR="00E15B7E" w:rsidRPr="009102F0" w:rsidRDefault="00E15B7E" w:rsidP="00E15B7E">
            <w:pPr>
              <w:rPr>
                <w:sz w:val="18"/>
                <w:szCs w:val="18"/>
              </w:rPr>
            </w:pPr>
          </w:p>
        </w:tc>
        <w:tc>
          <w:tcPr>
            <w:tcW w:w="1417" w:type="dxa"/>
          </w:tcPr>
          <w:p w14:paraId="25C73141" w14:textId="77777777" w:rsidR="00E15B7E" w:rsidRPr="00E15B7E" w:rsidRDefault="00E15B7E" w:rsidP="00E15B7E">
            <w:pPr>
              <w:rPr>
                <w:sz w:val="18"/>
                <w:szCs w:val="18"/>
              </w:rPr>
            </w:pPr>
            <w:r w:rsidRPr="00E15B7E">
              <w:rPr>
                <w:sz w:val="18"/>
                <w:szCs w:val="18"/>
              </w:rPr>
              <w:t>(a)</w:t>
            </w:r>
          </w:p>
        </w:tc>
        <w:tc>
          <w:tcPr>
            <w:tcW w:w="1134" w:type="dxa"/>
          </w:tcPr>
          <w:p w14:paraId="65B953F7" w14:textId="6C0374DE" w:rsidR="00E15B7E" w:rsidRPr="00E15B7E" w:rsidRDefault="00E15B7E" w:rsidP="00E15B7E">
            <w:pPr>
              <w:rPr>
                <w:sz w:val="18"/>
                <w:szCs w:val="18"/>
                <w:highlight w:val="yellow"/>
              </w:rPr>
            </w:pPr>
            <w:r w:rsidRPr="00E15B7E">
              <w:rPr>
                <w:sz w:val="18"/>
                <w:szCs w:val="18"/>
              </w:rPr>
              <w:t>0.699</w:t>
            </w:r>
          </w:p>
        </w:tc>
        <w:tc>
          <w:tcPr>
            <w:tcW w:w="1276" w:type="dxa"/>
          </w:tcPr>
          <w:p w14:paraId="11D72444" w14:textId="6CFF231B" w:rsidR="00E15B7E" w:rsidRPr="00E15B7E" w:rsidRDefault="00E15B7E" w:rsidP="00E15B7E">
            <w:pPr>
              <w:rPr>
                <w:sz w:val="18"/>
                <w:szCs w:val="18"/>
                <w:highlight w:val="yellow"/>
              </w:rPr>
            </w:pPr>
            <w:r w:rsidRPr="00E15B7E">
              <w:rPr>
                <w:sz w:val="18"/>
                <w:szCs w:val="18"/>
              </w:rPr>
              <w:t>5.2</w:t>
            </w:r>
            <w:r w:rsidR="00372274">
              <w:rPr>
                <w:sz w:val="18"/>
                <w:szCs w:val="18"/>
              </w:rPr>
              <w:t>0</w:t>
            </w:r>
          </w:p>
        </w:tc>
        <w:tc>
          <w:tcPr>
            <w:tcW w:w="1418" w:type="dxa"/>
          </w:tcPr>
          <w:p w14:paraId="05971003" w14:textId="55F32959" w:rsidR="00E15B7E" w:rsidRPr="009C5465" w:rsidRDefault="00E15B7E" w:rsidP="00E15B7E">
            <w:pPr>
              <w:rPr>
                <w:sz w:val="18"/>
                <w:szCs w:val="18"/>
              </w:rPr>
            </w:pPr>
            <w:r w:rsidRPr="009C5465">
              <w:rPr>
                <w:sz w:val="18"/>
                <w:szCs w:val="18"/>
              </w:rPr>
              <w:t>9977</w:t>
            </w:r>
          </w:p>
        </w:tc>
        <w:tc>
          <w:tcPr>
            <w:tcW w:w="1559" w:type="dxa"/>
          </w:tcPr>
          <w:p w14:paraId="0F4DE543" w14:textId="175A4B92" w:rsidR="00E15B7E" w:rsidRPr="009C5465" w:rsidRDefault="009C5465" w:rsidP="00E15B7E">
            <w:pPr>
              <w:rPr>
                <w:rFonts w:ascii="Calibri" w:hAnsi="Calibri"/>
                <w:sz w:val="18"/>
                <w:szCs w:val="18"/>
              </w:rPr>
            </w:pPr>
            <w:r w:rsidRPr="009C5465">
              <w:rPr>
                <w:rFonts w:ascii="Calibri" w:hAnsi="Calibri"/>
                <w:sz w:val="18"/>
                <w:szCs w:val="18"/>
              </w:rPr>
              <w:t>$64</w:t>
            </w:r>
          </w:p>
        </w:tc>
      </w:tr>
      <w:tr w:rsidR="00E15B7E" w:rsidRPr="009102F0" w14:paraId="21B2D252" w14:textId="77777777" w:rsidTr="0073510C">
        <w:tc>
          <w:tcPr>
            <w:tcW w:w="1418" w:type="dxa"/>
            <w:gridSpan w:val="2"/>
            <w:vMerge/>
          </w:tcPr>
          <w:p w14:paraId="32B9A4FB" w14:textId="77777777" w:rsidR="00E15B7E" w:rsidRPr="009102F0" w:rsidRDefault="00E15B7E" w:rsidP="00E15B7E">
            <w:pPr>
              <w:rPr>
                <w:sz w:val="18"/>
                <w:szCs w:val="18"/>
              </w:rPr>
            </w:pPr>
          </w:p>
        </w:tc>
        <w:tc>
          <w:tcPr>
            <w:tcW w:w="1417" w:type="dxa"/>
          </w:tcPr>
          <w:p w14:paraId="16FAF599" w14:textId="77777777" w:rsidR="00E15B7E" w:rsidRPr="00E15B7E" w:rsidRDefault="00E15B7E" w:rsidP="00E15B7E">
            <w:pPr>
              <w:rPr>
                <w:sz w:val="18"/>
                <w:szCs w:val="18"/>
              </w:rPr>
            </w:pPr>
            <w:r w:rsidRPr="00E15B7E">
              <w:rPr>
                <w:sz w:val="18"/>
                <w:szCs w:val="18"/>
              </w:rPr>
              <w:t>(b)</w:t>
            </w:r>
          </w:p>
        </w:tc>
        <w:tc>
          <w:tcPr>
            <w:tcW w:w="1134" w:type="dxa"/>
          </w:tcPr>
          <w:p w14:paraId="34AC9BD7" w14:textId="3C40F50D" w:rsidR="00E15B7E" w:rsidRPr="00E15B7E" w:rsidRDefault="00E15B7E" w:rsidP="00E15B7E">
            <w:pPr>
              <w:rPr>
                <w:sz w:val="18"/>
                <w:szCs w:val="18"/>
                <w:highlight w:val="yellow"/>
              </w:rPr>
            </w:pPr>
            <w:r w:rsidRPr="00E15B7E">
              <w:rPr>
                <w:sz w:val="18"/>
                <w:szCs w:val="18"/>
              </w:rPr>
              <w:t>0.733</w:t>
            </w:r>
          </w:p>
        </w:tc>
        <w:tc>
          <w:tcPr>
            <w:tcW w:w="1276" w:type="dxa"/>
          </w:tcPr>
          <w:p w14:paraId="5CE355DB" w14:textId="2F25E185" w:rsidR="00E15B7E" w:rsidRPr="00E15B7E" w:rsidRDefault="00E15B7E" w:rsidP="00E15B7E">
            <w:pPr>
              <w:rPr>
                <w:sz w:val="18"/>
                <w:szCs w:val="18"/>
                <w:highlight w:val="yellow"/>
              </w:rPr>
            </w:pPr>
            <w:r w:rsidRPr="00E15B7E">
              <w:rPr>
                <w:sz w:val="18"/>
                <w:szCs w:val="18"/>
              </w:rPr>
              <w:t>4.76</w:t>
            </w:r>
          </w:p>
        </w:tc>
        <w:tc>
          <w:tcPr>
            <w:tcW w:w="1418" w:type="dxa"/>
          </w:tcPr>
          <w:p w14:paraId="186188BB" w14:textId="726DA20C" w:rsidR="00E15B7E" w:rsidRPr="009C5465" w:rsidRDefault="00E15B7E" w:rsidP="00E15B7E">
            <w:pPr>
              <w:rPr>
                <w:sz w:val="18"/>
                <w:szCs w:val="18"/>
              </w:rPr>
            </w:pPr>
            <w:r w:rsidRPr="009C5465">
              <w:rPr>
                <w:sz w:val="18"/>
                <w:szCs w:val="18"/>
              </w:rPr>
              <w:t>15105</w:t>
            </w:r>
          </w:p>
        </w:tc>
        <w:tc>
          <w:tcPr>
            <w:tcW w:w="1559" w:type="dxa"/>
          </w:tcPr>
          <w:p w14:paraId="70C71D10" w14:textId="7C21B07D" w:rsidR="00E15B7E" w:rsidRPr="009C5465" w:rsidRDefault="00BB65E4" w:rsidP="00E15B7E">
            <w:pPr>
              <w:rPr>
                <w:rFonts w:ascii="Calibri" w:hAnsi="Calibri"/>
                <w:sz w:val="18"/>
                <w:szCs w:val="18"/>
              </w:rPr>
            </w:pPr>
            <w:r>
              <w:rPr>
                <w:rFonts w:ascii="Calibri" w:hAnsi="Calibri"/>
                <w:sz w:val="18"/>
                <w:szCs w:val="18"/>
              </w:rPr>
              <w:t>$68</w:t>
            </w:r>
          </w:p>
        </w:tc>
      </w:tr>
      <w:tr w:rsidR="00E15B7E" w:rsidRPr="009102F0" w14:paraId="2EEF2F0F" w14:textId="77777777" w:rsidTr="0073510C">
        <w:tc>
          <w:tcPr>
            <w:tcW w:w="1418" w:type="dxa"/>
            <w:gridSpan w:val="2"/>
            <w:vMerge/>
          </w:tcPr>
          <w:p w14:paraId="643B4FA8" w14:textId="77777777" w:rsidR="00E15B7E" w:rsidRPr="009102F0" w:rsidRDefault="00E15B7E" w:rsidP="00E15B7E">
            <w:pPr>
              <w:rPr>
                <w:sz w:val="18"/>
                <w:szCs w:val="18"/>
              </w:rPr>
            </w:pPr>
          </w:p>
        </w:tc>
        <w:tc>
          <w:tcPr>
            <w:tcW w:w="1417" w:type="dxa"/>
          </w:tcPr>
          <w:p w14:paraId="526BBEE4" w14:textId="77777777" w:rsidR="00E15B7E" w:rsidRPr="00E15B7E" w:rsidRDefault="00E15B7E" w:rsidP="00E15B7E">
            <w:pPr>
              <w:rPr>
                <w:sz w:val="18"/>
                <w:szCs w:val="18"/>
              </w:rPr>
            </w:pPr>
            <w:r w:rsidRPr="00E15B7E">
              <w:rPr>
                <w:sz w:val="18"/>
                <w:szCs w:val="18"/>
              </w:rPr>
              <w:t>(c)</w:t>
            </w:r>
          </w:p>
        </w:tc>
        <w:tc>
          <w:tcPr>
            <w:tcW w:w="1134" w:type="dxa"/>
          </w:tcPr>
          <w:p w14:paraId="0A870906" w14:textId="316C7652" w:rsidR="00E15B7E" w:rsidRPr="00E15B7E" w:rsidRDefault="00E15B7E" w:rsidP="00E15B7E">
            <w:pPr>
              <w:rPr>
                <w:sz w:val="18"/>
                <w:szCs w:val="18"/>
                <w:highlight w:val="yellow"/>
              </w:rPr>
            </w:pPr>
            <w:r w:rsidRPr="00E15B7E">
              <w:rPr>
                <w:sz w:val="18"/>
                <w:szCs w:val="18"/>
              </w:rPr>
              <w:t>0.673</w:t>
            </w:r>
          </w:p>
        </w:tc>
        <w:tc>
          <w:tcPr>
            <w:tcW w:w="1276" w:type="dxa"/>
          </w:tcPr>
          <w:p w14:paraId="7971D6A3" w14:textId="2C725921" w:rsidR="00E15B7E" w:rsidRPr="00E15B7E" w:rsidRDefault="00E15B7E" w:rsidP="00E15B7E">
            <w:pPr>
              <w:rPr>
                <w:sz w:val="18"/>
                <w:szCs w:val="18"/>
                <w:highlight w:val="yellow"/>
              </w:rPr>
            </w:pPr>
            <w:r w:rsidRPr="00E15B7E">
              <w:rPr>
                <w:sz w:val="18"/>
                <w:szCs w:val="18"/>
              </w:rPr>
              <w:t>5.46</w:t>
            </w:r>
          </w:p>
        </w:tc>
        <w:tc>
          <w:tcPr>
            <w:tcW w:w="1418" w:type="dxa"/>
          </w:tcPr>
          <w:p w14:paraId="1F44128B" w14:textId="44346534" w:rsidR="00E15B7E" w:rsidRPr="00E15B7E" w:rsidRDefault="00E15B7E" w:rsidP="00E15B7E">
            <w:pPr>
              <w:rPr>
                <w:sz w:val="18"/>
                <w:szCs w:val="18"/>
                <w:highlight w:val="yellow"/>
              </w:rPr>
            </w:pPr>
            <w:r w:rsidRPr="00E15B7E">
              <w:rPr>
                <w:sz w:val="18"/>
                <w:szCs w:val="18"/>
              </w:rPr>
              <w:t>4779</w:t>
            </w:r>
          </w:p>
        </w:tc>
        <w:tc>
          <w:tcPr>
            <w:tcW w:w="1559" w:type="dxa"/>
          </w:tcPr>
          <w:p w14:paraId="1188248F" w14:textId="3B50C372" w:rsidR="00E15B7E" w:rsidRPr="00BB65E4" w:rsidRDefault="009C5465" w:rsidP="00E15B7E">
            <w:pPr>
              <w:rPr>
                <w:rFonts w:ascii="Calibri" w:hAnsi="Calibri"/>
                <w:sz w:val="18"/>
                <w:szCs w:val="18"/>
              </w:rPr>
            </w:pPr>
            <w:r w:rsidRPr="00BB65E4">
              <w:rPr>
                <w:rFonts w:ascii="Calibri" w:hAnsi="Calibri"/>
                <w:sz w:val="18"/>
                <w:szCs w:val="18"/>
              </w:rPr>
              <w:t>$28</w:t>
            </w:r>
          </w:p>
        </w:tc>
      </w:tr>
      <w:tr w:rsidR="00E15B7E" w:rsidRPr="009102F0" w14:paraId="4457C7E2" w14:textId="77777777" w:rsidTr="0073510C">
        <w:tc>
          <w:tcPr>
            <w:tcW w:w="1418" w:type="dxa"/>
            <w:gridSpan w:val="2"/>
            <w:vMerge/>
          </w:tcPr>
          <w:p w14:paraId="28ED1344" w14:textId="77777777" w:rsidR="00E15B7E" w:rsidRPr="009102F0" w:rsidRDefault="00E15B7E" w:rsidP="00E15B7E">
            <w:pPr>
              <w:rPr>
                <w:sz w:val="18"/>
                <w:szCs w:val="18"/>
              </w:rPr>
            </w:pPr>
          </w:p>
        </w:tc>
        <w:tc>
          <w:tcPr>
            <w:tcW w:w="1417" w:type="dxa"/>
          </w:tcPr>
          <w:p w14:paraId="2A08CFC0" w14:textId="77777777" w:rsidR="00E15B7E" w:rsidRPr="00E15B7E" w:rsidRDefault="00E15B7E" w:rsidP="00E15B7E">
            <w:pPr>
              <w:rPr>
                <w:sz w:val="18"/>
                <w:szCs w:val="18"/>
              </w:rPr>
            </w:pPr>
            <w:r w:rsidRPr="00E15B7E">
              <w:rPr>
                <w:sz w:val="18"/>
                <w:szCs w:val="18"/>
              </w:rPr>
              <w:t>(d)</w:t>
            </w:r>
          </w:p>
        </w:tc>
        <w:tc>
          <w:tcPr>
            <w:tcW w:w="1134" w:type="dxa"/>
          </w:tcPr>
          <w:p w14:paraId="2F16CD7F" w14:textId="188BBD00" w:rsidR="00E15B7E" w:rsidRPr="00E15B7E" w:rsidRDefault="00E15B7E" w:rsidP="00E15B7E">
            <w:pPr>
              <w:rPr>
                <w:sz w:val="18"/>
                <w:szCs w:val="18"/>
                <w:highlight w:val="yellow"/>
              </w:rPr>
            </w:pPr>
            <w:r w:rsidRPr="00E15B7E">
              <w:rPr>
                <w:sz w:val="18"/>
                <w:szCs w:val="18"/>
              </w:rPr>
              <w:t>0.714</w:t>
            </w:r>
          </w:p>
        </w:tc>
        <w:tc>
          <w:tcPr>
            <w:tcW w:w="1276" w:type="dxa"/>
          </w:tcPr>
          <w:p w14:paraId="18D64553" w14:textId="4C761FDF" w:rsidR="00E15B7E" w:rsidRPr="00E15B7E" w:rsidRDefault="00E15B7E" w:rsidP="00E15B7E">
            <w:pPr>
              <w:rPr>
                <w:sz w:val="18"/>
                <w:szCs w:val="18"/>
                <w:highlight w:val="yellow"/>
              </w:rPr>
            </w:pPr>
            <w:r w:rsidRPr="00E15B7E">
              <w:rPr>
                <w:sz w:val="18"/>
                <w:szCs w:val="18"/>
              </w:rPr>
              <w:t>5.11</w:t>
            </w:r>
          </w:p>
        </w:tc>
        <w:tc>
          <w:tcPr>
            <w:tcW w:w="1418" w:type="dxa"/>
          </w:tcPr>
          <w:p w14:paraId="6F2E3FDD" w14:textId="18A93920" w:rsidR="00E15B7E" w:rsidRPr="00E15B7E" w:rsidRDefault="00E15B7E" w:rsidP="00E15B7E">
            <w:pPr>
              <w:rPr>
                <w:sz w:val="18"/>
                <w:szCs w:val="18"/>
                <w:highlight w:val="yellow"/>
              </w:rPr>
            </w:pPr>
            <w:r w:rsidRPr="00E15B7E">
              <w:rPr>
                <w:sz w:val="18"/>
                <w:szCs w:val="18"/>
              </w:rPr>
              <w:t>10601</w:t>
            </w:r>
          </w:p>
        </w:tc>
        <w:tc>
          <w:tcPr>
            <w:tcW w:w="1559" w:type="dxa"/>
          </w:tcPr>
          <w:p w14:paraId="5C5502C3" w14:textId="515791C7" w:rsidR="00E15B7E" w:rsidRPr="00BB65E4" w:rsidRDefault="00BB65E4" w:rsidP="00E15B7E">
            <w:pPr>
              <w:rPr>
                <w:rFonts w:ascii="Calibri" w:hAnsi="Calibri"/>
                <w:sz w:val="18"/>
                <w:szCs w:val="18"/>
              </w:rPr>
            </w:pPr>
            <w:r w:rsidRPr="00BB65E4">
              <w:rPr>
                <w:rFonts w:ascii="Calibri" w:hAnsi="Calibri"/>
                <w:sz w:val="18"/>
                <w:szCs w:val="18"/>
              </w:rPr>
              <w:t>$69</w:t>
            </w:r>
          </w:p>
        </w:tc>
      </w:tr>
      <w:tr w:rsidR="00E15B7E" w:rsidRPr="009102F0" w14:paraId="050345F9" w14:textId="77777777" w:rsidTr="0073510C">
        <w:tc>
          <w:tcPr>
            <w:tcW w:w="1418" w:type="dxa"/>
            <w:gridSpan w:val="2"/>
            <w:vMerge/>
          </w:tcPr>
          <w:p w14:paraId="769C0928" w14:textId="77777777" w:rsidR="00E15B7E" w:rsidRPr="009102F0" w:rsidRDefault="00E15B7E" w:rsidP="00E15B7E">
            <w:pPr>
              <w:rPr>
                <w:sz w:val="18"/>
                <w:szCs w:val="18"/>
              </w:rPr>
            </w:pPr>
          </w:p>
        </w:tc>
        <w:tc>
          <w:tcPr>
            <w:tcW w:w="1417" w:type="dxa"/>
          </w:tcPr>
          <w:p w14:paraId="5B183E7D" w14:textId="77777777" w:rsidR="00E15B7E" w:rsidRPr="00E15B7E" w:rsidRDefault="00E15B7E" w:rsidP="00E15B7E">
            <w:pPr>
              <w:rPr>
                <w:sz w:val="18"/>
                <w:szCs w:val="18"/>
              </w:rPr>
            </w:pPr>
            <w:r w:rsidRPr="00E15B7E">
              <w:rPr>
                <w:sz w:val="18"/>
                <w:szCs w:val="18"/>
              </w:rPr>
              <w:t>(e)</w:t>
            </w:r>
          </w:p>
        </w:tc>
        <w:tc>
          <w:tcPr>
            <w:tcW w:w="1134" w:type="dxa"/>
          </w:tcPr>
          <w:p w14:paraId="4C221E19" w14:textId="4754860C" w:rsidR="00E15B7E" w:rsidRPr="00E15B7E" w:rsidRDefault="00E15B7E" w:rsidP="00E15B7E">
            <w:pPr>
              <w:rPr>
                <w:sz w:val="18"/>
                <w:szCs w:val="18"/>
                <w:highlight w:val="yellow"/>
              </w:rPr>
            </w:pPr>
            <w:r w:rsidRPr="00E15B7E">
              <w:rPr>
                <w:sz w:val="18"/>
                <w:szCs w:val="18"/>
              </w:rPr>
              <w:t>0.753</w:t>
            </w:r>
          </w:p>
        </w:tc>
        <w:tc>
          <w:tcPr>
            <w:tcW w:w="1276" w:type="dxa"/>
          </w:tcPr>
          <w:p w14:paraId="53E97302" w14:textId="357F4158" w:rsidR="00E15B7E" w:rsidRPr="00E15B7E" w:rsidRDefault="00E15B7E" w:rsidP="00E15B7E">
            <w:pPr>
              <w:rPr>
                <w:sz w:val="18"/>
                <w:szCs w:val="18"/>
                <w:highlight w:val="yellow"/>
              </w:rPr>
            </w:pPr>
            <w:r w:rsidRPr="00E15B7E">
              <w:rPr>
                <w:sz w:val="18"/>
                <w:szCs w:val="18"/>
              </w:rPr>
              <w:t>4.67</w:t>
            </w:r>
          </w:p>
        </w:tc>
        <w:tc>
          <w:tcPr>
            <w:tcW w:w="1418" w:type="dxa"/>
          </w:tcPr>
          <w:p w14:paraId="3DEDE9F8" w14:textId="5E9FBF71" w:rsidR="00E15B7E" w:rsidRPr="00E15B7E" w:rsidRDefault="00E15B7E" w:rsidP="00E15B7E">
            <w:pPr>
              <w:rPr>
                <w:sz w:val="18"/>
                <w:szCs w:val="18"/>
                <w:highlight w:val="yellow"/>
              </w:rPr>
            </w:pPr>
            <w:r w:rsidRPr="00E15B7E">
              <w:rPr>
                <w:sz w:val="18"/>
                <w:szCs w:val="18"/>
              </w:rPr>
              <w:t>16382</w:t>
            </w:r>
          </w:p>
        </w:tc>
        <w:tc>
          <w:tcPr>
            <w:tcW w:w="1559" w:type="dxa"/>
          </w:tcPr>
          <w:p w14:paraId="6B35AB8E" w14:textId="03A5CAFB" w:rsidR="00E15B7E" w:rsidRPr="00BB65E4" w:rsidRDefault="00BB65E4" w:rsidP="00E15B7E">
            <w:pPr>
              <w:rPr>
                <w:rFonts w:ascii="Calibri" w:hAnsi="Calibri"/>
                <w:sz w:val="18"/>
                <w:szCs w:val="18"/>
              </w:rPr>
            </w:pPr>
            <w:r w:rsidRPr="00BB65E4">
              <w:rPr>
                <w:rFonts w:ascii="Calibri" w:hAnsi="Calibri"/>
                <w:sz w:val="18"/>
                <w:szCs w:val="18"/>
              </w:rPr>
              <w:t>$76</w:t>
            </w:r>
          </w:p>
        </w:tc>
      </w:tr>
      <w:tr w:rsidR="009D7B1B" w:rsidRPr="009102F0" w14:paraId="1D35B5AF" w14:textId="77777777" w:rsidTr="0073510C">
        <w:tc>
          <w:tcPr>
            <w:tcW w:w="1418" w:type="dxa"/>
            <w:gridSpan w:val="2"/>
            <w:vMerge w:val="restart"/>
          </w:tcPr>
          <w:p w14:paraId="69A01DC6" w14:textId="77777777" w:rsidR="009D7B1B" w:rsidRPr="009102F0" w:rsidRDefault="009D7B1B" w:rsidP="009D7B1B">
            <w:pPr>
              <w:rPr>
                <w:sz w:val="18"/>
                <w:szCs w:val="18"/>
              </w:rPr>
            </w:pPr>
            <w:r w:rsidRPr="009102F0">
              <w:rPr>
                <w:sz w:val="18"/>
                <w:szCs w:val="18"/>
              </w:rPr>
              <w:t>Higher adherence</w:t>
            </w:r>
          </w:p>
        </w:tc>
        <w:tc>
          <w:tcPr>
            <w:tcW w:w="1417" w:type="dxa"/>
          </w:tcPr>
          <w:p w14:paraId="3EA3173C" w14:textId="77777777" w:rsidR="009D7B1B" w:rsidRPr="00963708" w:rsidRDefault="009D7B1B" w:rsidP="009D7B1B">
            <w:pPr>
              <w:rPr>
                <w:sz w:val="18"/>
                <w:szCs w:val="18"/>
              </w:rPr>
            </w:pPr>
            <w:r w:rsidRPr="00963708">
              <w:rPr>
                <w:sz w:val="18"/>
                <w:szCs w:val="18"/>
              </w:rPr>
              <w:t>No intervention</w:t>
            </w:r>
          </w:p>
        </w:tc>
        <w:tc>
          <w:tcPr>
            <w:tcW w:w="1134" w:type="dxa"/>
          </w:tcPr>
          <w:p w14:paraId="11BF3EA1" w14:textId="0A05CB13" w:rsidR="009D7B1B" w:rsidRPr="009D7B1B" w:rsidRDefault="009D7B1B" w:rsidP="009D7B1B">
            <w:pPr>
              <w:rPr>
                <w:sz w:val="18"/>
                <w:szCs w:val="18"/>
                <w:highlight w:val="yellow"/>
              </w:rPr>
            </w:pPr>
            <w:r w:rsidRPr="009D7B1B">
              <w:rPr>
                <w:sz w:val="18"/>
                <w:szCs w:val="18"/>
              </w:rPr>
              <w:t>0.768</w:t>
            </w:r>
          </w:p>
        </w:tc>
        <w:tc>
          <w:tcPr>
            <w:tcW w:w="1276" w:type="dxa"/>
          </w:tcPr>
          <w:p w14:paraId="70D25431" w14:textId="12F2BED1" w:rsidR="009D7B1B" w:rsidRPr="009D7B1B" w:rsidRDefault="009D7B1B" w:rsidP="009D7B1B">
            <w:pPr>
              <w:rPr>
                <w:sz w:val="18"/>
                <w:szCs w:val="18"/>
                <w:highlight w:val="yellow"/>
              </w:rPr>
            </w:pPr>
            <w:r w:rsidRPr="009D7B1B">
              <w:rPr>
                <w:sz w:val="18"/>
                <w:szCs w:val="18"/>
              </w:rPr>
              <w:t>4.4</w:t>
            </w:r>
            <w:r w:rsidR="00372274">
              <w:rPr>
                <w:sz w:val="18"/>
                <w:szCs w:val="18"/>
              </w:rPr>
              <w:t>0</w:t>
            </w:r>
          </w:p>
        </w:tc>
        <w:tc>
          <w:tcPr>
            <w:tcW w:w="1418" w:type="dxa"/>
          </w:tcPr>
          <w:p w14:paraId="4FF4D45C" w14:textId="69BD4DE1" w:rsidR="009D7B1B" w:rsidRPr="009D7B1B" w:rsidRDefault="009D7B1B" w:rsidP="009D7B1B">
            <w:pPr>
              <w:rPr>
                <w:sz w:val="18"/>
                <w:szCs w:val="18"/>
                <w:highlight w:val="yellow"/>
              </w:rPr>
            </w:pPr>
            <w:r w:rsidRPr="009D7B1B">
              <w:rPr>
                <w:sz w:val="18"/>
                <w:szCs w:val="18"/>
              </w:rPr>
              <w:t>.</w:t>
            </w:r>
          </w:p>
        </w:tc>
        <w:tc>
          <w:tcPr>
            <w:tcW w:w="1559" w:type="dxa"/>
          </w:tcPr>
          <w:p w14:paraId="7E83B14C" w14:textId="77777777" w:rsidR="009D7B1B" w:rsidRPr="00BB65E4" w:rsidRDefault="009D7B1B" w:rsidP="009D7B1B">
            <w:pPr>
              <w:rPr>
                <w:sz w:val="18"/>
                <w:szCs w:val="18"/>
              </w:rPr>
            </w:pPr>
          </w:p>
        </w:tc>
      </w:tr>
      <w:tr w:rsidR="009D7B1B" w:rsidRPr="009102F0" w14:paraId="17E2C679" w14:textId="77777777" w:rsidTr="0073510C">
        <w:tc>
          <w:tcPr>
            <w:tcW w:w="1418" w:type="dxa"/>
            <w:gridSpan w:val="2"/>
            <w:vMerge/>
          </w:tcPr>
          <w:p w14:paraId="3087C4D4" w14:textId="77777777" w:rsidR="009D7B1B" w:rsidRPr="009102F0" w:rsidRDefault="009D7B1B" w:rsidP="009D7B1B">
            <w:pPr>
              <w:rPr>
                <w:sz w:val="18"/>
                <w:szCs w:val="18"/>
              </w:rPr>
            </w:pPr>
          </w:p>
        </w:tc>
        <w:tc>
          <w:tcPr>
            <w:tcW w:w="1417" w:type="dxa"/>
          </w:tcPr>
          <w:p w14:paraId="6396D314" w14:textId="77777777" w:rsidR="009D7B1B" w:rsidRPr="00963708" w:rsidRDefault="009D7B1B" w:rsidP="009D7B1B">
            <w:pPr>
              <w:rPr>
                <w:sz w:val="18"/>
                <w:szCs w:val="18"/>
              </w:rPr>
            </w:pPr>
            <w:r w:rsidRPr="00963708">
              <w:rPr>
                <w:sz w:val="18"/>
                <w:szCs w:val="18"/>
              </w:rPr>
              <w:t>(a)</w:t>
            </w:r>
          </w:p>
        </w:tc>
        <w:tc>
          <w:tcPr>
            <w:tcW w:w="1134" w:type="dxa"/>
          </w:tcPr>
          <w:p w14:paraId="2C2C8CD8" w14:textId="588775D1" w:rsidR="009D7B1B" w:rsidRPr="009D7B1B" w:rsidRDefault="009D7B1B" w:rsidP="009D7B1B">
            <w:pPr>
              <w:rPr>
                <w:sz w:val="18"/>
                <w:szCs w:val="18"/>
                <w:highlight w:val="yellow"/>
              </w:rPr>
            </w:pPr>
            <w:r w:rsidRPr="009D7B1B">
              <w:rPr>
                <w:sz w:val="18"/>
                <w:szCs w:val="18"/>
              </w:rPr>
              <w:t>0.772</w:t>
            </w:r>
          </w:p>
        </w:tc>
        <w:tc>
          <w:tcPr>
            <w:tcW w:w="1276" w:type="dxa"/>
          </w:tcPr>
          <w:p w14:paraId="4424077F" w14:textId="07E4BCB9" w:rsidR="009D7B1B" w:rsidRPr="009D7B1B" w:rsidRDefault="009D7B1B" w:rsidP="009D7B1B">
            <w:pPr>
              <w:rPr>
                <w:sz w:val="18"/>
                <w:szCs w:val="18"/>
                <w:highlight w:val="yellow"/>
              </w:rPr>
            </w:pPr>
            <w:r w:rsidRPr="009D7B1B">
              <w:rPr>
                <w:sz w:val="18"/>
                <w:szCs w:val="18"/>
              </w:rPr>
              <w:t>4.35</w:t>
            </w:r>
          </w:p>
        </w:tc>
        <w:tc>
          <w:tcPr>
            <w:tcW w:w="1418" w:type="dxa"/>
          </w:tcPr>
          <w:p w14:paraId="3540627D" w14:textId="2260FB29" w:rsidR="009D7B1B" w:rsidRPr="009D7B1B" w:rsidRDefault="009D7B1B" w:rsidP="009D7B1B">
            <w:pPr>
              <w:rPr>
                <w:sz w:val="18"/>
                <w:szCs w:val="18"/>
                <w:highlight w:val="yellow"/>
              </w:rPr>
            </w:pPr>
            <w:r w:rsidRPr="009D7B1B">
              <w:rPr>
                <w:sz w:val="18"/>
                <w:szCs w:val="18"/>
              </w:rPr>
              <w:t>101</w:t>
            </w:r>
          </w:p>
        </w:tc>
        <w:tc>
          <w:tcPr>
            <w:tcW w:w="1559" w:type="dxa"/>
          </w:tcPr>
          <w:p w14:paraId="020F169A" w14:textId="37115CB1" w:rsidR="009D7B1B" w:rsidRPr="00963708" w:rsidRDefault="009D7B1B" w:rsidP="009D7B1B">
            <w:pPr>
              <w:rPr>
                <w:rFonts w:ascii="Calibri" w:hAnsi="Calibri"/>
                <w:sz w:val="18"/>
                <w:szCs w:val="18"/>
                <w:highlight w:val="yellow"/>
              </w:rPr>
            </w:pPr>
            <w:r w:rsidRPr="009D7B1B">
              <w:rPr>
                <w:rFonts w:ascii="Calibri" w:hAnsi="Calibri"/>
                <w:sz w:val="18"/>
                <w:szCs w:val="18"/>
              </w:rPr>
              <w:t>$29</w:t>
            </w:r>
          </w:p>
        </w:tc>
      </w:tr>
      <w:tr w:rsidR="009D7B1B" w:rsidRPr="009102F0" w14:paraId="38CBAD2B" w14:textId="77777777" w:rsidTr="0073510C">
        <w:tc>
          <w:tcPr>
            <w:tcW w:w="1418" w:type="dxa"/>
            <w:gridSpan w:val="2"/>
            <w:vMerge/>
          </w:tcPr>
          <w:p w14:paraId="71E4D018" w14:textId="77777777" w:rsidR="009D7B1B" w:rsidRPr="009102F0" w:rsidRDefault="009D7B1B" w:rsidP="009D7B1B">
            <w:pPr>
              <w:rPr>
                <w:sz w:val="18"/>
                <w:szCs w:val="18"/>
              </w:rPr>
            </w:pPr>
          </w:p>
        </w:tc>
        <w:tc>
          <w:tcPr>
            <w:tcW w:w="1417" w:type="dxa"/>
          </w:tcPr>
          <w:p w14:paraId="72102C24" w14:textId="77777777" w:rsidR="009D7B1B" w:rsidRPr="00963708" w:rsidRDefault="009D7B1B" w:rsidP="009D7B1B">
            <w:pPr>
              <w:rPr>
                <w:sz w:val="18"/>
                <w:szCs w:val="18"/>
              </w:rPr>
            </w:pPr>
            <w:r w:rsidRPr="00963708">
              <w:rPr>
                <w:sz w:val="18"/>
                <w:szCs w:val="18"/>
              </w:rPr>
              <w:t>(b)</w:t>
            </w:r>
          </w:p>
        </w:tc>
        <w:tc>
          <w:tcPr>
            <w:tcW w:w="1134" w:type="dxa"/>
          </w:tcPr>
          <w:p w14:paraId="717A51FE" w14:textId="59D62002" w:rsidR="009D7B1B" w:rsidRPr="009D7B1B" w:rsidRDefault="009D7B1B" w:rsidP="009D7B1B">
            <w:pPr>
              <w:rPr>
                <w:sz w:val="18"/>
                <w:szCs w:val="18"/>
                <w:highlight w:val="yellow"/>
              </w:rPr>
            </w:pPr>
            <w:r w:rsidRPr="009D7B1B">
              <w:rPr>
                <w:sz w:val="18"/>
                <w:szCs w:val="18"/>
              </w:rPr>
              <w:t>0.802</w:t>
            </w:r>
          </w:p>
        </w:tc>
        <w:tc>
          <w:tcPr>
            <w:tcW w:w="1276" w:type="dxa"/>
          </w:tcPr>
          <w:p w14:paraId="7CA87348" w14:textId="058F2315" w:rsidR="009D7B1B" w:rsidRPr="009D7B1B" w:rsidRDefault="009D7B1B" w:rsidP="009D7B1B">
            <w:pPr>
              <w:rPr>
                <w:sz w:val="18"/>
                <w:szCs w:val="18"/>
                <w:highlight w:val="yellow"/>
              </w:rPr>
            </w:pPr>
            <w:r w:rsidRPr="009D7B1B">
              <w:rPr>
                <w:sz w:val="18"/>
                <w:szCs w:val="18"/>
              </w:rPr>
              <w:t>4</w:t>
            </w:r>
            <w:r w:rsidR="00372274">
              <w:rPr>
                <w:sz w:val="18"/>
                <w:szCs w:val="18"/>
              </w:rPr>
              <w:t>.00</w:t>
            </w:r>
          </w:p>
        </w:tc>
        <w:tc>
          <w:tcPr>
            <w:tcW w:w="1418" w:type="dxa"/>
          </w:tcPr>
          <w:p w14:paraId="655B94A7" w14:textId="1A914C83" w:rsidR="009D7B1B" w:rsidRPr="001220A4" w:rsidRDefault="009D7B1B" w:rsidP="009D7B1B">
            <w:pPr>
              <w:rPr>
                <w:sz w:val="18"/>
                <w:szCs w:val="18"/>
              </w:rPr>
            </w:pPr>
            <w:r w:rsidRPr="001220A4">
              <w:rPr>
                <w:sz w:val="18"/>
                <w:szCs w:val="18"/>
              </w:rPr>
              <w:t>5246</w:t>
            </w:r>
          </w:p>
        </w:tc>
        <w:tc>
          <w:tcPr>
            <w:tcW w:w="1559" w:type="dxa"/>
          </w:tcPr>
          <w:p w14:paraId="0562C27B" w14:textId="5AFF0862" w:rsidR="009D7B1B" w:rsidRPr="001220A4" w:rsidRDefault="001220A4" w:rsidP="009D7B1B">
            <w:pPr>
              <w:rPr>
                <w:rFonts w:ascii="Calibri" w:hAnsi="Calibri"/>
                <w:sz w:val="18"/>
                <w:szCs w:val="18"/>
              </w:rPr>
            </w:pPr>
            <w:r w:rsidRPr="001220A4">
              <w:rPr>
                <w:rFonts w:ascii="Calibri" w:hAnsi="Calibri"/>
                <w:sz w:val="18"/>
                <w:szCs w:val="18"/>
              </w:rPr>
              <w:t>$37</w:t>
            </w:r>
          </w:p>
        </w:tc>
      </w:tr>
      <w:tr w:rsidR="009D7B1B" w:rsidRPr="009102F0" w14:paraId="0C3AF951" w14:textId="77777777" w:rsidTr="0073510C">
        <w:tc>
          <w:tcPr>
            <w:tcW w:w="1418" w:type="dxa"/>
            <w:gridSpan w:val="2"/>
            <w:vMerge/>
          </w:tcPr>
          <w:p w14:paraId="78BF2535" w14:textId="77777777" w:rsidR="009D7B1B" w:rsidRPr="009102F0" w:rsidRDefault="009D7B1B" w:rsidP="009D7B1B">
            <w:pPr>
              <w:rPr>
                <w:sz w:val="18"/>
                <w:szCs w:val="18"/>
              </w:rPr>
            </w:pPr>
          </w:p>
        </w:tc>
        <w:tc>
          <w:tcPr>
            <w:tcW w:w="1417" w:type="dxa"/>
          </w:tcPr>
          <w:p w14:paraId="5803533F" w14:textId="77777777" w:rsidR="009D7B1B" w:rsidRPr="00963708" w:rsidRDefault="009D7B1B" w:rsidP="009D7B1B">
            <w:pPr>
              <w:rPr>
                <w:sz w:val="18"/>
                <w:szCs w:val="18"/>
              </w:rPr>
            </w:pPr>
            <w:r w:rsidRPr="00963708">
              <w:rPr>
                <w:sz w:val="18"/>
                <w:szCs w:val="18"/>
              </w:rPr>
              <w:t>(c)</w:t>
            </w:r>
          </w:p>
        </w:tc>
        <w:tc>
          <w:tcPr>
            <w:tcW w:w="1134" w:type="dxa"/>
          </w:tcPr>
          <w:p w14:paraId="129D6E6F" w14:textId="61B3F5B1" w:rsidR="009D7B1B" w:rsidRPr="009D7B1B" w:rsidRDefault="009D7B1B" w:rsidP="009D7B1B">
            <w:pPr>
              <w:rPr>
                <w:sz w:val="18"/>
                <w:szCs w:val="18"/>
                <w:highlight w:val="yellow"/>
              </w:rPr>
            </w:pPr>
            <w:r w:rsidRPr="009D7B1B">
              <w:rPr>
                <w:sz w:val="18"/>
                <w:szCs w:val="18"/>
              </w:rPr>
              <w:t>0.796</w:t>
            </w:r>
          </w:p>
        </w:tc>
        <w:tc>
          <w:tcPr>
            <w:tcW w:w="1276" w:type="dxa"/>
          </w:tcPr>
          <w:p w14:paraId="3CA243EF" w14:textId="575D38A4" w:rsidR="009D7B1B" w:rsidRPr="009D7B1B" w:rsidRDefault="009D7B1B" w:rsidP="009D7B1B">
            <w:pPr>
              <w:rPr>
                <w:sz w:val="18"/>
                <w:szCs w:val="18"/>
                <w:highlight w:val="yellow"/>
              </w:rPr>
            </w:pPr>
            <w:r w:rsidRPr="009D7B1B">
              <w:rPr>
                <w:sz w:val="18"/>
                <w:szCs w:val="18"/>
              </w:rPr>
              <w:t>4.07</w:t>
            </w:r>
          </w:p>
        </w:tc>
        <w:tc>
          <w:tcPr>
            <w:tcW w:w="1418" w:type="dxa"/>
          </w:tcPr>
          <w:p w14:paraId="3814F6B9" w14:textId="1A434C54" w:rsidR="009D7B1B" w:rsidRPr="001220A4" w:rsidRDefault="009D7B1B" w:rsidP="009D7B1B">
            <w:pPr>
              <w:rPr>
                <w:sz w:val="18"/>
                <w:szCs w:val="18"/>
              </w:rPr>
            </w:pPr>
            <w:r w:rsidRPr="001220A4">
              <w:rPr>
                <w:sz w:val="18"/>
                <w:szCs w:val="18"/>
              </w:rPr>
              <w:t>4035</w:t>
            </w:r>
          </w:p>
        </w:tc>
        <w:tc>
          <w:tcPr>
            <w:tcW w:w="1559" w:type="dxa"/>
          </w:tcPr>
          <w:p w14:paraId="1749FB50" w14:textId="2CF57ADF" w:rsidR="009D7B1B" w:rsidRPr="001220A4" w:rsidRDefault="001220A4" w:rsidP="009D7B1B">
            <w:pPr>
              <w:rPr>
                <w:rFonts w:ascii="Calibri" w:hAnsi="Calibri"/>
                <w:sz w:val="18"/>
                <w:szCs w:val="18"/>
              </w:rPr>
            </w:pPr>
            <w:r w:rsidRPr="001220A4">
              <w:rPr>
                <w:rFonts w:ascii="Calibri" w:hAnsi="Calibri"/>
                <w:sz w:val="18"/>
                <w:szCs w:val="18"/>
              </w:rPr>
              <w:t>$33</w:t>
            </w:r>
          </w:p>
        </w:tc>
      </w:tr>
      <w:tr w:rsidR="009D7B1B" w:rsidRPr="009102F0" w14:paraId="41D07746" w14:textId="77777777" w:rsidTr="0073510C">
        <w:tc>
          <w:tcPr>
            <w:tcW w:w="1418" w:type="dxa"/>
            <w:gridSpan w:val="2"/>
            <w:vMerge/>
          </w:tcPr>
          <w:p w14:paraId="4D7B5651" w14:textId="77777777" w:rsidR="009D7B1B" w:rsidRPr="009102F0" w:rsidRDefault="009D7B1B" w:rsidP="009D7B1B">
            <w:pPr>
              <w:rPr>
                <w:sz w:val="18"/>
                <w:szCs w:val="18"/>
              </w:rPr>
            </w:pPr>
          </w:p>
        </w:tc>
        <w:tc>
          <w:tcPr>
            <w:tcW w:w="1417" w:type="dxa"/>
          </w:tcPr>
          <w:p w14:paraId="0FAB3C9E" w14:textId="77777777" w:rsidR="009D7B1B" w:rsidRPr="00963708" w:rsidRDefault="009D7B1B" w:rsidP="009D7B1B">
            <w:pPr>
              <w:rPr>
                <w:sz w:val="18"/>
                <w:szCs w:val="18"/>
              </w:rPr>
            </w:pPr>
            <w:r w:rsidRPr="00963708">
              <w:rPr>
                <w:sz w:val="18"/>
                <w:szCs w:val="18"/>
              </w:rPr>
              <w:t>(d)</w:t>
            </w:r>
          </w:p>
        </w:tc>
        <w:tc>
          <w:tcPr>
            <w:tcW w:w="1134" w:type="dxa"/>
          </w:tcPr>
          <w:p w14:paraId="37412F0C" w14:textId="2E7EABBC" w:rsidR="009D7B1B" w:rsidRPr="009D7B1B" w:rsidRDefault="009D7B1B" w:rsidP="009D7B1B">
            <w:pPr>
              <w:rPr>
                <w:sz w:val="18"/>
                <w:szCs w:val="18"/>
                <w:highlight w:val="yellow"/>
              </w:rPr>
            </w:pPr>
            <w:r w:rsidRPr="009D7B1B">
              <w:rPr>
                <w:sz w:val="18"/>
                <w:szCs w:val="18"/>
              </w:rPr>
              <w:t>0.788</w:t>
            </w:r>
          </w:p>
        </w:tc>
        <w:tc>
          <w:tcPr>
            <w:tcW w:w="1276" w:type="dxa"/>
          </w:tcPr>
          <w:p w14:paraId="5AB6BB4C" w14:textId="37A8F457" w:rsidR="009D7B1B" w:rsidRPr="009D7B1B" w:rsidRDefault="009D7B1B" w:rsidP="009D7B1B">
            <w:pPr>
              <w:rPr>
                <w:sz w:val="18"/>
                <w:szCs w:val="18"/>
                <w:highlight w:val="yellow"/>
              </w:rPr>
            </w:pPr>
            <w:r w:rsidRPr="009D7B1B">
              <w:rPr>
                <w:sz w:val="18"/>
                <w:szCs w:val="18"/>
              </w:rPr>
              <w:t>4.24</w:t>
            </w:r>
          </w:p>
        </w:tc>
        <w:tc>
          <w:tcPr>
            <w:tcW w:w="1418" w:type="dxa"/>
          </w:tcPr>
          <w:p w14:paraId="2F3C2794" w14:textId="39D428C9" w:rsidR="009D7B1B" w:rsidRPr="001220A4" w:rsidRDefault="009D7B1B" w:rsidP="009D7B1B">
            <w:pPr>
              <w:rPr>
                <w:sz w:val="18"/>
                <w:szCs w:val="18"/>
              </w:rPr>
            </w:pPr>
            <w:r w:rsidRPr="001220A4">
              <w:rPr>
                <w:sz w:val="18"/>
                <w:szCs w:val="18"/>
              </w:rPr>
              <w:t>2125</w:t>
            </w:r>
          </w:p>
        </w:tc>
        <w:tc>
          <w:tcPr>
            <w:tcW w:w="1559" w:type="dxa"/>
          </w:tcPr>
          <w:p w14:paraId="31C731DB" w14:textId="17A5965E" w:rsidR="009D7B1B" w:rsidRPr="00BD4D92" w:rsidRDefault="001220A4" w:rsidP="009D7B1B">
            <w:pPr>
              <w:rPr>
                <w:rFonts w:ascii="Calibri" w:hAnsi="Calibri"/>
                <w:sz w:val="18"/>
                <w:szCs w:val="18"/>
              </w:rPr>
            </w:pPr>
            <w:r w:rsidRPr="00BD4D92">
              <w:rPr>
                <w:rFonts w:ascii="Calibri" w:hAnsi="Calibri"/>
                <w:sz w:val="18"/>
                <w:szCs w:val="18"/>
              </w:rPr>
              <w:t>$38</w:t>
            </w:r>
          </w:p>
        </w:tc>
      </w:tr>
      <w:tr w:rsidR="009D7B1B" w:rsidRPr="009102F0" w14:paraId="458814AA" w14:textId="77777777" w:rsidTr="0073510C">
        <w:tc>
          <w:tcPr>
            <w:tcW w:w="1418" w:type="dxa"/>
            <w:gridSpan w:val="2"/>
            <w:vMerge/>
          </w:tcPr>
          <w:p w14:paraId="757C94AA" w14:textId="77777777" w:rsidR="009D7B1B" w:rsidRPr="009102F0" w:rsidRDefault="009D7B1B" w:rsidP="009D7B1B">
            <w:pPr>
              <w:rPr>
                <w:sz w:val="18"/>
                <w:szCs w:val="18"/>
              </w:rPr>
            </w:pPr>
          </w:p>
        </w:tc>
        <w:tc>
          <w:tcPr>
            <w:tcW w:w="1417" w:type="dxa"/>
          </w:tcPr>
          <w:p w14:paraId="47602E9A" w14:textId="77777777" w:rsidR="009D7B1B" w:rsidRPr="00963708" w:rsidRDefault="009D7B1B" w:rsidP="009D7B1B">
            <w:pPr>
              <w:rPr>
                <w:sz w:val="18"/>
                <w:szCs w:val="18"/>
              </w:rPr>
            </w:pPr>
            <w:r w:rsidRPr="00963708">
              <w:rPr>
                <w:sz w:val="18"/>
                <w:szCs w:val="18"/>
              </w:rPr>
              <w:t>(e)</w:t>
            </w:r>
          </w:p>
        </w:tc>
        <w:tc>
          <w:tcPr>
            <w:tcW w:w="1134" w:type="dxa"/>
          </w:tcPr>
          <w:p w14:paraId="4FE892B3" w14:textId="26B3ADE0" w:rsidR="009D7B1B" w:rsidRPr="009D7B1B" w:rsidRDefault="009D7B1B" w:rsidP="009D7B1B">
            <w:pPr>
              <w:rPr>
                <w:sz w:val="18"/>
                <w:szCs w:val="18"/>
                <w:highlight w:val="yellow"/>
              </w:rPr>
            </w:pPr>
            <w:r w:rsidRPr="009D7B1B">
              <w:rPr>
                <w:sz w:val="18"/>
                <w:szCs w:val="18"/>
              </w:rPr>
              <w:t>0.821</w:t>
            </w:r>
          </w:p>
        </w:tc>
        <w:tc>
          <w:tcPr>
            <w:tcW w:w="1276" w:type="dxa"/>
          </w:tcPr>
          <w:p w14:paraId="2850C52E" w14:textId="42F260E7" w:rsidR="009D7B1B" w:rsidRPr="009D7B1B" w:rsidRDefault="009D7B1B" w:rsidP="009D7B1B">
            <w:pPr>
              <w:rPr>
                <w:sz w:val="18"/>
                <w:szCs w:val="18"/>
                <w:highlight w:val="yellow"/>
              </w:rPr>
            </w:pPr>
            <w:r w:rsidRPr="009D7B1B">
              <w:rPr>
                <w:sz w:val="18"/>
                <w:szCs w:val="18"/>
              </w:rPr>
              <w:t>3.91</w:t>
            </w:r>
          </w:p>
        </w:tc>
        <w:tc>
          <w:tcPr>
            <w:tcW w:w="1418" w:type="dxa"/>
          </w:tcPr>
          <w:p w14:paraId="3DA93B9F" w14:textId="3B874BAA" w:rsidR="009D7B1B" w:rsidRPr="009D7B1B" w:rsidRDefault="009D7B1B" w:rsidP="009D7B1B">
            <w:pPr>
              <w:rPr>
                <w:sz w:val="18"/>
                <w:szCs w:val="18"/>
                <w:highlight w:val="yellow"/>
              </w:rPr>
            </w:pPr>
            <w:r w:rsidRPr="009D7B1B">
              <w:rPr>
                <w:sz w:val="18"/>
                <w:szCs w:val="18"/>
              </w:rPr>
              <w:t>6696</w:t>
            </w:r>
          </w:p>
        </w:tc>
        <w:tc>
          <w:tcPr>
            <w:tcW w:w="1559" w:type="dxa"/>
          </w:tcPr>
          <w:p w14:paraId="2061084C" w14:textId="6EDFE688" w:rsidR="009D7B1B" w:rsidRPr="00BD4D92" w:rsidRDefault="00BD4D92" w:rsidP="009D7B1B">
            <w:pPr>
              <w:rPr>
                <w:rFonts w:ascii="Calibri" w:hAnsi="Calibri"/>
                <w:sz w:val="18"/>
                <w:szCs w:val="18"/>
              </w:rPr>
            </w:pPr>
            <w:r w:rsidRPr="00BD4D92">
              <w:rPr>
                <w:rFonts w:ascii="Calibri" w:hAnsi="Calibri"/>
                <w:sz w:val="18"/>
                <w:szCs w:val="18"/>
              </w:rPr>
              <w:t>$45</w:t>
            </w:r>
          </w:p>
        </w:tc>
      </w:tr>
      <w:tr w:rsidR="00641E66" w:rsidRPr="009102F0" w14:paraId="76B8D7F4" w14:textId="77777777" w:rsidTr="0073510C">
        <w:tc>
          <w:tcPr>
            <w:tcW w:w="1418" w:type="dxa"/>
            <w:gridSpan w:val="2"/>
            <w:vMerge w:val="restart"/>
          </w:tcPr>
          <w:p w14:paraId="108D9B6C" w14:textId="77777777" w:rsidR="00641E66" w:rsidRPr="009102F0" w:rsidRDefault="00641E66" w:rsidP="0073510C">
            <w:pPr>
              <w:rPr>
                <w:sz w:val="18"/>
                <w:szCs w:val="18"/>
              </w:rPr>
            </w:pPr>
            <w:r w:rsidRPr="009102F0">
              <w:rPr>
                <w:sz w:val="18"/>
                <w:szCs w:val="18"/>
              </w:rPr>
              <w:t>Lower rate of ART discontinuation</w:t>
            </w:r>
          </w:p>
        </w:tc>
        <w:tc>
          <w:tcPr>
            <w:tcW w:w="1417" w:type="dxa"/>
          </w:tcPr>
          <w:p w14:paraId="239033A9" w14:textId="77777777" w:rsidR="00641E66" w:rsidRPr="009102F0" w:rsidRDefault="00641E66" w:rsidP="0073510C">
            <w:pPr>
              <w:rPr>
                <w:sz w:val="18"/>
                <w:szCs w:val="18"/>
              </w:rPr>
            </w:pPr>
            <w:r w:rsidRPr="009102F0">
              <w:rPr>
                <w:sz w:val="18"/>
                <w:szCs w:val="18"/>
              </w:rPr>
              <w:t>No intervention</w:t>
            </w:r>
          </w:p>
        </w:tc>
        <w:tc>
          <w:tcPr>
            <w:tcW w:w="1134" w:type="dxa"/>
          </w:tcPr>
          <w:p w14:paraId="6E1AA16D" w14:textId="77777777" w:rsidR="00641E66" w:rsidRPr="009102F0" w:rsidRDefault="00641E66" w:rsidP="0073510C">
            <w:pPr>
              <w:rPr>
                <w:sz w:val="18"/>
                <w:szCs w:val="18"/>
              </w:rPr>
            </w:pPr>
            <w:r w:rsidRPr="009102F0">
              <w:rPr>
                <w:sz w:val="18"/>
                <w:szCs w:val="18"/>
              </w:rPr>
              <w:t>0.778</w:t>
            </w:r>
          </w:p>
        </w:tc>
        <w:tc>
          <w:tcPr>
            <w:tcW w:w="1276" w:type="dxa"/>
          </w:tcPr>
          <w:p w14:paraId="0EAFB3EF" w14:textId="77777777" w:rsidR="00641E66" w:rsidRPr="009102F0" w:rsidRDefault="00641E66" w:rsidP="0073510C">
            <w:pPr>
              <w:rPr>
                <w:sz w:val="18"/>
                <w:szCs w:val="18"/>
              </w:rPr>
            </w:pPr>
            <w:r w:rsidRPr="009102F0">
              <w:rPr>
                <w:sz w:val="18"/>
                <w:szCs w:val="18"/>
              </w:rPr>
              <w:t>4.21</w:t>
            </w:r>
          </w:p>
        </w:tc>
        <w:tc>
          <w:tcPr>
            <w:tcW w:w="1418" w:type="dxa"/>
          </w:tcPr>
          <w:p w14:paraId="05968981" w14:textId="77777777" w:rsidR="00641E66" w:rsidRPr="009102F0" w:rsidRDefault="00641E66" w:rsidP="0073510C">
            <w:pPr>
              <w:rPr>
                <w:sz w:val="18"/>
                <w:szCs w:val="18"/>
              </w:rPr>
            </w:pPr>
            <w:r w:rsidRPr="009102F0">
              <w:rPr>
                <w:sz w:val="18"/>
                <w:szCs w:val="18"/>
              </w:rPr>
              <w:t>.</w:t>
            </w:r>
          </w:p>
        </w:tc>
        <w:tc>
          <w:tcPr>
            <w:tcW w:w="1559" w:type="dxa"/>
          </w:tcPr>
          <w:p w14:paraId="7B25DDBF" w14:textId="77777777" w:rsidR="00641E66" w:rsidRPr="009102F0" w:rsidRDefault="00641E66" w:rsidP="0073510C">
            <w:pPr>
              <w:rPr>
                <w:sz w:val="18"/>
                <w:szCs w:val="18"/>
              </w:rPr>
            </w:pPr>
          </w:p>
        </w:tc>
      </w:tr>
      <w:tr w:rsidR="00641E66" w:rsidRPr="009102F0" w14:paraId="3B8B52D1" w14:textId="77777777" w:rsidTr="0073510C">
        <w:tc>
          <w:tcPr>
            <w:tcW w:w="1418" w:type="dxa"/>
            <w:gridSpan w:val="2"/>
            <w:vMerge/>
          </w:tcPr>
          <w:p w14:paraId="2C419750" w14:textId="77777777" w:rsidR="00641E66" w:rsidRPr="009102F0" w:rsidRDefault="00641E66" w:rsidP="0073510C">
            <w:pPr>
              <w:rPr>
                <w:sz w:val="18"/>
                <w:szCs w:val="18"/>
              </w:rPr>
            </w:pPr>
          </w:p>
        </w:tc>
        <w:tc>
          <w:tcPr>
            <w:tcW w:w="1417" w:type="dxa"/>
          </w:tcPr>
          <w:p w14:paraId="6B56B2A6" w14:textId="77777777" w:rsidR="00641E66" w:rsidRPr="009102F0" w:rsidRDefault="00641E66" w:rsidP="0073510C">
            <w:pPr>
              <w:rPr>
                <w:sz w:val="18"/>
                <w:szCs w:val="18"/>
              </w:rPr>
            </w:pPr>
            <w:r w:rsidRPr="009102F0">
              <w:rPr>
                <w:sz w:val="18"/>
                <w:szCs w:val="18"/>
              </w:rPr>
              <w:t>(a)</w:t>
            </w:r>
          </w:p>
        </w:tc>
        <w:tc>
          <w:tcPr>
            <w:tcW w:w="1134" w:type="dxa"/>
          </w:tcPr>
          <w:p w14:paraId="78107B4B" w14:textId="77777777" w:rsidR="00641E66" w:rsidRPr="009102F0" w:rsidRDefault="00641E66" w:rsidP="0073510C">
            <w:pPr>
              <w:rPr>
                <w:sz w:val="18"/>
                <w:szCs w:val="18"/>
              </w:rPr>
            </w:pPr>
            <w:r w:rsidRPr="009102F0">
              <w:rPr>
                <w:sz w:val="18"/>
                <w:szCs w:val="18"/>
              </w:rPr>
              <w:t>0.795</w:t>
            </w:r>
          </w:p>
        </w:tc>
        <w:tc>
          <w:tcPr>
            <w:tcW w:w="1276" w:type="dxa"/>
          </w:tcPr>
          <w:p w14:paraId="2B56E927" w14:textId="77777777" w:rsidR="00641E66" w:rsidRPr="009102F0" w:rsidRDefault="00641E66" w:rsidP="0073510C">
            <w:pPr>
              <w:rPr>
                <w:sz w:val="18"/>
                <w:szCs w:val="18"/>
              </w:rPr>
            </w:pPr>
            <w:r w:rsidRPr="009102F0">
              <w:rPr>
                <w:sz w:val="18"/>
                <w:szCs w:val="18"/>
              </w:rPr>
              <w:t>4.05</w:t>
            </w:r>
          </w:p>
        </w:tc>
        <w:tc>
          <w:tcPr>
            <w:tcW w:w="1418" w:type="dxa"/>
          </w:tcPr>
          <w:p w14:paraId="403B4F37" w14:textId="77777777" w:rsidR="00641E66" w:rsidRPr="009102F0" w:rsidRDefault="00641E66" w:rsidP="0073510C">
            <w:pPr>
              <w:rPr>
                <w:sz w:val="18"/>
                <w:szCs w:val="18"/>
              </w:rPr>
            </w:pPr>
            <w:r w:rsidRPr="009102F0">
              <w:rPr>
                <w:sz w:val="18"/>
                <w:szCs w:val="18"/>
              </w:rPr>
              <w:t>2654</w:t>
            </w:r>
          </w:p>
        </w:tc>
        <w:tc>
          <w:tcPr>
            <w:tcW w:w="1559" w:type="dxa"/>
          </w:tcPr>
          <w:p w14:paraId="3E5AC6D9" w14:textId="77777777" w:rsidR="00641E66" w:rsidRPr="009102F0" w:rsidRDefault="00641E66" w:rsidP="0073510C">
            <w:pPr>
              <w:rPr>
                <w:rFonts w:ascii="Calibri" w:hAnsi="Calibri"/>
                <w:sz w:val="18"/>
                <w:szCs w:val="18"/>
              </w:rPr>
            </w:pPr>
            <w:r w:rsidRPr="009102F0">
              <w:rPr>
                <w:rFonts w:ascii="Calibri" w:hAnsi="Calibri"/>
                <w:sz w:val="18"/>
                <w:szCs w:val="18"/>
              </w:rPr>
              <w:t>$39</w:t>
            </w:r>
          </w:p>
        </w:tc>
      </w:tr>
      <w:tr w:rsidR="00641E66" w:rsidRPr="009102F0" w14:paraId="2CAFA673" w14:textId="77777777" w:rsidTr="0073510C">
        <w:tc>
          <w:tcPr>
            <w:tcW w:w="1418" w:type="dxa"/>
            <w:gridSpan w:val="2"/>
            <w:vMerge/>
          </w:tcPr>
          <w:p w14:paraId="6AF4E98D" w14:textId="77777777" w:rsidR="00641E66" w:rsidRPr="009102F0" w:rsidRDefault="00641E66" w:rsidP="0073510C">
            <w:pPr>
              <w:rPr>
                <w:sz w:val="18"/>
                <w:szCs w:val="18"/>
              </w:rPr>
            </w:pPr>
          </w:p>
        </w:tc>
        <w:tc>
          <w:tcPr>
            <w:tcW w:w="1417" w:type="dxa"/>
          </w:tcPr>
          <w:p w14:paraId="50B0A6F4" w14:textId="77777777" w:rsidR="00641E66" w:rsidRPr="009102F0" w:rsidRDefault="00641E66" w:rsidP="0073510C">
            <w:pPr>
              <w:rPr>
                <w:sz w:val="18"/>
                <w:szCs w:val="18"/>
              </w:rPr>
            </w:pPr>
            <w:r w:rsidRPr="009102F0">
              <w:rPr>
                <w:sz w:val="18"/>
                <w:szCs w:val="18"/>
              </w:rPr>
              <w:t>(b)</w:t>
            </w:r>
          </w:p>
        </w:tc>
        <w:tc>
          <w:tcPr>
            <w:tcW w:w="1134" w:type="dxa"/>
          </w:tcPr>
          <w:p w14:paraId="2401CBAA" w14:textId="77777777" w:rsidR="00641E66" w:rsidRPr="009102F0" w:rsidRDefault="00641E66" w:rsidP="0073510C">
            <w:pPr>
              <w:rPr>
                <w:sz w:val="18"/>
                <w:szCs w:val="18"/>
              </w:rPr>
            </w:pPr>
            <w:r w:rsidRPr="009102F0">
              <w:rPr>
                <w:sz w:val="18"/>
                <w:szCs w:val="18"/>
              </w:rPr>
              <w:t>0.812</w:t>
            </w:r>
          </w:p>
        </w:tc>
        <w:tc>
          <w:tcPr>
            <w:tcW w:w="1276" w:type="dxa"/>
          </w:tcPr>
          <w:p w14:paraId="73EEF73F" w14:textId="77777777" w:rsidR="00641E66" w:rsidRPr="009102F0" w:rsidRDefault="00641E66" w:rsidP="0073510C">
            <w:pPr>
              <w:rPr>
                <w:sz w:val="18"/>
                <w:szCs w:val="18"/>
              </w:rPr>
            </w:pPr>
            <w:r w:rsidRPr="009102F0">
              <w:rPr>
                <w:sz w:val="18"/>
                <w:szCs w:val="18"/>
              </w:rPr>
              <w:t>3.86</w:t>
            </w:r>
          </w:p>
        </w:tc>
        <w:tc>
          <w:tcPr>
            <w:tcW w:w="1418" w:type="dxa"/>
          </w:tcPr>
          <w:p w14:paraId="31901876" w14:textId="77777777" w:rsidR="00641E66" w:rsidRPr="009102F0" w:rsidRDefault="00641E66" w:rsidP="0073510C">
            <w:pPr>
              <w:rPr>
                <w:sz w:val="18"/>
                <w:szCs w:val="18"/>
              </w:rPr>
            </w:pPr>
            <w:r w:rsidRPr="009102F0">
              <w:rPr>
                <w:sz w:val="18"/>
                <w:szCs w:val="18"/>
              </w:rPr>
              <w:t>5400</w:t>
            </w:r>
          </w:p>
        </w:tc>
        <w:tc>
          <w:tcPr>
            <w:tcW w:w="1559" w:type="dxa"/>
          </w:tcPr>
          <w:p w14:paraId="000721FD" w14:textId="77777777" w:rsidR="00641E66" w:rsidRPr="009102F0" w:rsidRDefault="00641E66" w:rsidP="0073510C">
            <w:pPr>
              <w:rPr>
                <w:rFonts w:ascii="Calibri" w:hAnsi="Calibri"/>
                <w:sz w:val="18"/>
                <w:szCs w:val="18"/>
              </w:rPr>
            </w:pPr>
            <w:r w:rsidRPr="009102F0">
              <w:rPr>
                <w:rFonts w:ascii="Calibri" w:hAnsi="Calibri"/>
                <w:sz w:val="18"/>
                <w:szCs w:val="18"/>
              </w:rPr>
              <w:t>$42</w:t>
            </w:r>
          </w:p>
        </w:tc>
      </w:tr>
      <w:tr w:rsidR="00641E66" w:rsidRPr="009102F0" w14:paraId="6F0BB61E" w14:textId="77777777" w:rsidTr="0073510C">
        <w:tc>
          <w:tcPr>
            <w:tcW w:w="1418" w:type="dxa"/>
            <w:gridSpan w:val="2"/>
            <w:vMerge/>
          </w:tcPr>
          <w:p w14:paraId="699164D0" w14:textId="77777777" w:rsidR="00641E66" w:rsidRPr="009102F0" w:rsidRDefault="00641E66" w:rsidP="0073510C">
            <w:pPr>
              <w:rPr>
                <w:sz w:val="18"/>
                <w:szCs w:val="18"/>
              </w:rPr>
            </w:pPr>
          </w:p>
        </w:tc>
        <w:tc>
          <w:tcPr>
            <w:tcW w:w="1417" w:type="dxa"/>
          </w:tcPr>
          <w:p w14:paraId="09D581A4" w14:textId="77777777" w:rsidR="00641E66" w:rsidRPr="009102F0" w:rsidRDefault="00641E66" w:rsidP="0073510C">
            <w:pPr>
              <w:rPr>
                <w:sz w:val="18"/>
                <w:szCs w:val="18"/>
              </w:rPr>
            </w:pPr>
            <w:r w:rsidRPr="009102F0">
              <w:rPr>
                <w:sz w:val="18"/>
                <w:szCs w:val="18"/>
              </w:rPr>
              <w:t>(c)</w:t>
            </w:r>
          </w:p>
        </w:tc>
        <w:tc>
          <w:tcPr>
            <w:tcW w:w="1134" w:type="dxa"/>
          </w:tcPr>
          <w:p w14:paraId="5EDB30A4" w14:textId="77777777" w:rsidR="00641E66" w:rsidRPr="009102F0" w:rsidRDefault="00641E66" w:rsidP="0073510C">
            <w:pPr>
              <w:rPr>
                <w:sz w:val="18"/>
                <w:szCs w:val="18"/>
              </w:rPr>
            </w:pPr>
            <w:r w:rsidRPr="009102F0">
              <w:rPr>
                <w:sz w:val="18"/>
                <w:szCs w:val="18"/>
              </w:rPr>
              <w:t>0.792</w:t>
            </w:r>
          </w:p>
        </w:tc>
        <w:tc>
          <w:tcPr>
            <w:tcW w:w="1276" w:type="dxa"/>
          </w:tcPr>
          <w:p w14:paraId="19E5E909" w14:textId="77777777" w:rsidR="00641E66" w:rsidRPr="009102F0" w:rsidRDefault="00641E66" w:rsidP="0073510C">
            <w:pPr>
              <w:rPr>
                <w:sz w:val="18"/>
                <w:szCs w:val="18"/>
              </w:rPr>
            </w:pPr>
            <w:r w:rsidRPr="009102F0">
              <w:rPr>
                <w:sz w:val="18"/>
                <w:szCs w:val="18"/>
              </w:rPr>
              <w:t>4.04</w:t>
            </w:r>
          </w:p>
        </w:tc>
        <w:tc>
          <w:tcPr>
            <w:tcW w:w="1418" w:type="dxa"/>
          </w:tcPr>
          <w:p w14:paraId="2429AF80" w14:textId="77777777" w:rsidR="00641E66" w:rsidRPr="009102F0" w:rsidRDefault="00641E66" w:rsidP="0073510C">
            <w:pPr>
              <w:rPr>
                <w:sz w:val="18"/>
                <w:szCs w:val="18"/>
              </w:rPr>
            </w:pPr>
            <w:r w:rsidRPr="009102F0">
              <w:rPr>
                <w:sz w:val="18"/>
                <w:szCs w:val="18"/>
              </w:rPr>
              <w:t>2135</w:t>
            </w:r>
          </w:p>
        </w:tc>
        <w:tc>
          <w:tcPr>
            <w:tcW w:w="1559" w:type="dxa"/>
          </w:tcPr>
          <w:p w14:paraId="6E3E81F0" w14:textId="77777777" w:rsidR="00641E66" w:rsidRPr="009102F0" w:rsidRDefault="00641E66" w:rsidP="0073510C">
            <w:pPr>
              <w:rPr>
                <w:rFonts w:ascii="Calibri" w:hAnsi="Calibri"/>
                <w:sz w:val="18"/>
                <w:szCs w:val="18"/>
              </w:rPr>
            </w:pPr>
            <w:r w:rsidRPr="009102F0">
              <w:rPr>
                <w:rFonts w:ascii="Calibri" w:hAnsi="Calibri"/>
                <w:sz w:val="18"/>
                <w:szCs w:val="18"/>
              </w:rPr>
              <w:t>$29</w:t>
            </w:r>
          </w:p>
        </w:tc>
      </w:tr>
      <w:tr w:rsidR="00641E66" w:rsidRPr="009102F0" w14:paraId="213193BD" w14:textId="77777777" w:rsidTr="0073510C">
        <w:tc>
          <w:tcPr>
            <w:tcW w:w="1418" w:type="dxa"/>
            <w:gridSpan w:val="2"/>
            <w:vMerge/>
          </w:tcPr>
          <w:p w14:paraId="2F568653" w14:textId="77777777" w:rsidR="00641E66" w:rsidRPr="009102F0" w:rsidRDefault="00641E66" w:rsidP="0073510C">
            <w:pPr>
              <w:rPr>
                <w:sz w:val="18"/>
                <w:szCs w:val="18"/>
              </w:rPr>
            </w:pPr>
          </w:p>
        </w:tc>
        <w:tc>
          <w:tcPr>
            <w:tcW w:w="1417" w:type="dxa"/>
          </w:tcPr>
          <w:p w14:paraId="256BE782" w14:textId="77777777" w:rsidR="00641E66" w:rsidRPr="009102F0" w:rsidRDefault="00641E66" w:rsidP="0073510C">
            <w:pPr>
              <w:rPr>
                <w:sz w:val="18"/>
                <w:szCs w:val="18"/>
              </w:rPr>
            </w:pPr>
            <w:r w:rsidRPr="009102F0">
              <w:rPr>
                <w:sz w:val="18"/>
                <w:szCs w:val="18"/>
              </w:rPr>
              <w:t>(d)</w:t>
            </w:r>
          </w:p>
        </w:tc>
        <w:tc>
          <w:tcPr>
            <w:tcW w:w="1134" w:type="dxa"/>
          </w:tcPr>
          <w:p w14:paraId="379D3966" w14:textId="77777777" w:rsidR="00641E66" w:rsidRPr="009102F0" w:rsidRDefault="00641E66" w:rsidP="0073510C">
            <w:pPr>
              <w:rPr>
                <w:sz w:val="18"/>
                <w:szCs w:val="18"/>
              </w:rPr>
            </w:pPr>
            <w:r w:rsidRPr="009102F0">
              <w:rPr>
                <w:sz w:val="18"/>
                <w:szCs w:val="18"/>
              </w:rPr>
              <w:t>0.812</w:t>
            </w:r>
          </w:p>
        </w:tc>
        <w:tc>
          <w:tcPr>
            <w:tcW w:w="1276" w:type="dxa"/>
          </w:tcPr>
          <w:p w14:paraId="25AFC95C" w14:textId="77777777" w:rsidR="00641E66" w:rsidRPr="009102F0" w:rsidRDefault="00641E66" w:rsidP="0073510C">
            <w:pPr>
              <w:rPr>
                <w:sz w:val="18"/>
                <w:szCs w:val="18"/>
              </w:rPr>
            </w:pPr>
            <w:r w:rsidRPr="009102F0">
              <w:rPr>
                <w:sz w:val="18"/>
                <w:szCs w:val="18"/>
              </w:rPr>
              <w:t>3.94</w:t>
            </w:r>
          </w:p>
        </w:tc>
        <w:tc>
          <w:tcPr>
            <w:tcW w:w="1418" w:type="dxa"/>
          </w:tcPr>
          <w:p w14:paraId="63CC96F3" w14:textId="77777777" w:rsidR="00641E66" w:rsidRPr="009102F0" w:rsidRDefault="00641E66" w:rsidP="0073510C">
            <w:pPr>
              <w:rPr>
                <w:sz w:val="18"/>
                <w:szCs w:val="18"/>
              </w:rPr>
            </w:pPr>
            <w:r w:rsidRPr="009102F0">
              <w:rPr>
                <w:sz w:val="18"/>
                <w:szCs w:val="18"/>
              </w:rPr>
              <w:t>3378</w:t>
            </w:r>
          </w:p>
        </w:tc>
        <w:tc>
          <w:tcPr>
            <w:tcW w:w="1559" w:type="dxa"/>
          </w:tcPr>
          <w:p w14:paraId="3AC7E1E3" w14:textId="77777777" w:rsidR="00641E66" w:rsidRPr="009102F0" w:rsidRDefault="00641E66" w:rsidP="0073510C">
            <w:pPr>
              <w:rPr>
                <w:rFonts w:ascii="Calibri" w:hAnsi="Calibri"/>
                <w:sz w:val="18"/>
                <w:szCs w:val="18"/>
              </w:rPr>
            </w:pPr>
            <w:r w:rsidRPr="009102F0">
              <w:rPr>
                <w:rFonts w:ascii="Calibri" w:hAnsi="Calibri"/>
                <w:sz w:val="18"/>
                <w:szCs w:val="18"/>
              </w:rPr>
              <w:t>$42</w:t>
            </w:r>
          </w:p>
        </w:tc>
      </w:tr>
      <w:tr w:rsidR="00641E66" w:rsidRPr="009102F0" w14:paraId="69C2A370" w14:textId="77777777" w:rsidTr="0073510C">
        <w:tc>
          <w:tcPr>
            <w:tcW w:w="1418" w:type="dxa"/>
            <w:gridSpan w:val="2"/>
            <w:vMerge/>
          </w:tcPr>
          <w:p w14:paraId="05FD7E13" w14:textId="77777777" w:rsidR="00641E66" w:rsidRPr="009102F0" w:rsidRDefault="00641E66" w:rsidP="0073510C">
            <w:pPr>
              <w:rPr>
                <w:sz w:val="18"/>
                <w:szCs w:val="18"/>
              </w:rPr>
            </w:pPr>
          </w:p>
        </w:tc>
        <w:tc>
          <w:tcPr>
            <w:tcW w:w="1417" w:type="dxa"/>
          </w:tcPr>
          <w:p w14:paraId="68DA4C28" w14:textId="77777777" w:rsidR="00641E66" w:rsidRPr="009102F0" w:rsidRDefault="00641E66" w:rsidP="0073510C">
            <w:pPr>
              <w:rPr>
                <w:sz w:val="18"/>
                <w:szCs w:val="18"/>
              </w:rPr>
            </w:pPr>
            <w:r w:rsidRPr="009102F0">
              <w:rPr>
                <w:sz w:val="18"/>
                <w:szCs w:val="18"/>
              </w:rPr>
              <w:t>(e)</w:t>
            </w:r>
          </w:p>
        </w:tc>
        <w:tc>
          <w:tcPr>
            <w:tcW w:w="1134" w:type="dxa"/>
          </w:tcPr>
          <w:p w14:paraId="19A88FA6" w14:textId="77777777" w:rsidR="00641E66" w:rsidRPr="009102F0" w:rsidRDefault="00641E66" w:rsidP="0073510C">
            <w:pPr>
              <w:rPr>
                <w:sz w:val="18"/>
                <w:szCs w:val="18"/>
              </w:rPr>
            </w:pPr>
            <w:r w:rsidRPr="009102F0">
              <w:rPr>
                <w:sz w:val="18"/>
                <w:szCs w:val="18"/>
              </w:rPr>
              <w:t>0.83</w:t>
            </w:r>
          </w:p>
        </w:tc>
        <w:tc>
          <w:tcPr>
            <w:tcW w:w="1276" w:type="dxa"/>
          </w:tcPr>
          <w:p w14:paraId="729B831B" w14:textId="77777777" w:rsidR="00641E66" w:rsidRPr="009102F0" w:rsidRDefault="00641E66" w:rsidP="0073510C">
            <w:pPr>
              <w:rPr>
                <w:sz w:val="18"/>
                <w:szCs w:val="18"/>
              </w:rPr>
            </w:pPr>
            <w:r w:rsidRPr="009102F0">
              <w:rPr>
                <w:sz w:val="18"/>
                <w:szCs w:val="18"/>
              </w:rPr>
              <w:t>3.77</w:t>
            </w:r>
          </w:p>
        </w:tc>
        <w:tc>
          <w:tcPr>
            <w:tcW w:w="1418" w:type="dxa"/>
            <w:shd w:val="clear" w:color="auto" w:fill="auto"/>
          </w:tcPr>
          <w:p w14:paraId="53019EAA" w14:textId="77777777" w:rsidR="00641E66" w:rsidRPr="009102F0" w:rsidRDefault="00641E66" w:rsidP="0073510C">
            <w:pPr>
              <w:rPr>
                <w:sz w:val="18"/>
                <w:szCs w:val="18"/>
              </w:rPr>
            </w:pPr>
            <w:r w:rsidRPr="009102F0">
              <w:rPr>
                <w:sz w:val="18"/>
                <w:szCs w:val="18"/>
              </w:rPr>
              <w:t>6324</w:t>
            </w:r>
          </w:p>
        </w:tc>
        <w:tc>
          <w:tcPr>
            <w:tcW w:w="1559" w:type="dxa"/>
            <w:shd w:val="clear" w:color="auto" w:fill="auto"/>
          </w:tcPr>
          <w:p w14:paraId="0030C357" w14:textId="77777777" w:rsidR="00641E66" w:rsidRPr="009102F0" w:rsidRDefault="00641E66" w:rsidP="0073510C">
            <w:pPr>
              <w:rPr>
                <w:rFonts w:ascii="Calibri" w:hAnsi="Calibri"/>
                <w:sz w:val="18"/>
                <w:szCs w:val="18"/>
              </w:rPr>
            </w:pPr>
            <w:r w:rsidRPr="009102F0">
              <w:rPr>
                <w:rFonts w:ascii="Calibri" w:hAnsi="Calibri"/>
                <w:sz w:val="18"/>
                <w:szCs w:val="18"/>
              </w:rPr>
              <w:t>$48</w:t>
            </w:r>
          </w:p>
        </w:tc>
      </w:tr>
      <w:tr w:rsidR="00641E66" w:rsidRPr="009102F0" w14:paraId="6F9A2423" w14:textId="77777777" w:rsidTr="0073510C">
        <w:tc>
          <w:tcPr>
            <w:tcW w:w="1418" w:type="dxa"/>
            <w:gridSpan w:val="2"/>
            <w:vMerge w:val="restart"/>
          </w:tcPr>
          <w:p w14:paraId="6B0500CA" w14:textId="77777777" w:rsidR="00641E66" w:rsidRPr="009102F0" w:rsidRDefault="00641E66" w:rsidP="0073510C">
            <w:pPr>
              <w:rPr>
                <w:sz w:val="18"/>
                <w:szCs w:val="18"/>
              </w:rPr>
            </w:pPr>
            <w:r w:rsidRPr="009102F0">
              <w:rPr>
                <w:sz w:val="18"/>
                <w:szCs w:val="18"/>
              </w:rPr>
              <w:t>Higher rate of ART discontinuation</w:t>
            </w:r>
          </w:p>
        </w:tc>
        <w:tc>
          <w:tcPr>
            <w:tcW w:w="1417" w:type="dxa"/>
          </w:tcPr>
          <w:p w14:paraId="39FC2C56" w14:textId="77777777" w:rsidR="00641E66" w:rsidRPr="009102F0" w:rsidRDefault="00641E66" w:rsidP="0073510C">
            <w:pPr>
              <w:rPr>
                <w:sz w:val="18"/>
                <w:szCs w:val="18"/>
              </w:rPr>
            </w:pPr>
            <w:r w:rsidRPr="009102F0">
              <w:rPr>
                <w:sz w:val="18"/>
                <w:szCs w:val="18"/>
              </w:rPr>
              <w:t>No intervention</w:t>
            </w:r>
          </w:p>
        </w:tc>
        <w:tc>
          <w:tcPr>
            <w:tcW w:w="1134" w:type="dxa"/>
          </w:tcPr>
          <w:p w14:paraId="1A3DA8E6" w14:textId="77777777" w:rsidR="00641E66" w:rsidRPr="009102F0" w:rsidRDefault="00641E66" w:rsidP="0073510C">
            <w:pPr>
              <w:rPr>
                <w:sz w:val="18"/>
                <w:szCs w:val="18"/>
              </w:rPr>
            </w:pPr>
            <w:r w:rsidRPr="009102F0">
              <w:rPr>
                <w:sz w:val="18"/>
                <w:szCs w:val="18"/>
              </w:rPr>
              <w:t>0.672</w:t>
            </w:r>
          </w:p>
        </w:tc>
        <w:tc>
          <w:tcPr>
            <w:tcW w:w="1276" w:type="dxa"/>
          </w:tcPr>
          <w:p w14:paraId="4A85483C" w14:textId="77777777" w:rsidR="00641E66" w:rsidRPr="009102F0" w:rsidRDefault="00641E66" w:rsidP="0073510C">
            <w:pPr>
              <w:rPr>
                <w:sz w:val="18"/>
                <w:szCs w:val="18"/>
              </w:rPr>
            </w:pPr>
            <w:r w:rsidRPr="009102F0">
              <w:rPr>
                <w:sz w:val="18"/>
                <w:szCs w:val="18"/>
              </w:rPr>
              <w:t>5.65</w:t>
            </w:r>
          </w:p>
        </w:tc>
        <w:tc>
          <w:tcPr>
            <w:tcW w:w="1418" w:type="dxa"/>
          </w:tcPr>
          <w:p w14:paraId="763106FA" w14:textId="77777777" w:rsidR="00641E66" w:rsidRPr="009102F0" w:rsidRDefault="00641E66" w:rsidP="0073510C">
            <w:pPr>
              <w:rPr>
                <w:sz w:val="18"/>
                <w:szCs w:val="18"/>
              </w:rPr>
            </w:pPr>
            <w:r w:rsidRPr="009102F0">
              <w:rPr>
                <w:sz w:val="18"/>
                <w:szCs w:val="18"/>
              </w:rPr>
              <w:t>.</w:t>
            </w:r>
          </w:p>
        </w:tc>
        <w:tc>
          <w:tcPr>
            <w:tcW w:w="1559" w:type="dxa"/>
          </w:tcPr>
          <w:p w14:paraId="51E59536" w14:textId="77777777" w:rsidR="00641E66" w:rsidRPr="009102F0" w:rsidRDefault="00641E66" w:rsidP="0073510C">
            <w:pPr>
              <w:rPr>
                <w:sz w:val="18"/>
                <w:szCs w:val="18"/>
              </w:rPr>
            </w:pPr>
          </w:p>
        </w:tc>
      </w:tr>
      <w:tr w:rsidR="00641E66" w:rsidRPr="009102F0" w14:paraId="4E9E5C13" w14:textId="77777777" w:rsidTr="0073510C">
        <w:tc>
          <w:tcPr>
            <w:tcW w:w="1418" w:type="dxa"/>
            <w:gridSpan w:val="2"/>
            <w:vMerge/>
          </w:tcPr>
          <w:p w14:paraId="076945A9" w14:textId="77777777" w:rsidR="00641E66" w:rsidRPr="009102F0" w:rsidRDefault="00641E66" w:rsidP="0073510C">
            <w:pPr>
              <w:rPr>
                <w:sz w:val="18"/>
                <w:szCs w:val="18"/>
              </w:rPr>
            </w:pPr>
          </w:p>
        </w:tc>
        <w:tc>
          <w:tcPr>
            <w:tcW w:w="1417" w:type="dxa"/>
          </w:tcPr>
          <w:p w14:paraId="6CA20A15" w14:textId="77777777" w:rsidR="00641E66" w:rsidRPr="009102F0" w:rsidRDefault="00641E66" w:rsidP="0073510C">
            <w:pPr>
              <w:rPr>
                <w:sz w:val="18"/>
                <w:szCs w:val="18"/>
              </w:rPr>
            </w:pPr>
            <w:r w:rsidRPr="009102F0">
              <w:rPr>
                <w:sz w:val="18"/>
                <w:szCs w:val="18"/>
              </w:rPr>
              <w:t>(a)</w:t>
            </w:r>
          </w:p>
        </w:tc>
        <w:tc>
          <w:tcPr>
            <w:tcW w:w="1134" w:type="dxa"/>
          </w:tcPr>
          <w:p w14:paraId="1F69AF7B" w14:textId="77777777" w:rsidR="00641E66" w:rsidRPr="009102F0" w:rsidRDefault="00641E66" w:rsidP="0073510C">
            <w:pPr>
              <w:rPr>
                <w:sz w:val="18"/>
                <w:szCs w:val="18"/>
              </w:rPr>
            </w:pPr>
            <w:r w:rsidRPr="009102F0">
              <w:rPr>
                <w:sz w:val="18"/>
                <w:szCs w:val="18"/>
              </w:rPr>
              <w:t>0.683</w:t>
            </w:r>
          </w:p>
        </w:tc>
        <w:tc>
          <w:tcPr>
            <w:tcW w:w="1276" w:type="dxa"/>
          </w:tcPr>
          <w:p w14:paraId="347DD23C" w14:textId="77777777" w:rsidR="00641E66" w:rsidRPr="009102F0" w:rsidRDefault="00641E66" w:rsidP="0073510C">
            <w:pPr>
              <w:rPr>
                <w:sz w:val="18"/>
                <w:szCs w:val="18"/>
              </w:rPr>
            </w:pPr>
            <w:r w:rsidRPr="009102F0">
              <w:rPr>
                <w:sz w:val="18"/>
                <w:szCs w:val="18"/>
              </w:rPr>
              <w:t>5.47</w:t>
            </w:r>
          </w:p>
        </w:tc>
        <w:tc>
          <w:tcPr>
            <w:tcW w:w="1418" w:type="dxa"/>
          </w:tcPr>
          <w:p w14:paraId="59F70563" w14:textId="77777777" w:rsidR="00641E66" w:rsidRPr="009102F0" w:rsidRDefault="00641E66" w:rsidP="0073510C">
            <w:pPr>
              <w:rPr>
                <w:sz w:val="18"/>
                <w:szCs w:val="18"/>
              </w:rPr>
            </w:pPr>
            <w:r w:rsidRPr="009102F0">
              <w:rPr>
                <w:sz w:val="18"/>
                <w:szCs w:val="18"/>
              </w:rPr>
              <w:t>2328</w:t>
            </w:r>
          </w:p>
        </w:tc>
        <w:tc>
          <w:tcPr>
            <w:tcW w:w="1559" w:type="dxa"/>
          </w:tcPr>
          <w:p w14:paraId="74968CA4" w14:textId="77777777" w:rsidR="00641E66" w:rsidRPr="009102F0" w:rsidRDefault="00641E66" w:rsidP="0073510C">
            <w:pPr>
              <w:rPr>
                <w:rFonts w:ascii="Calibri" w:hAnsi="Calibri"/>
                <w:sz w:val="18"/>
                <w:szCs w:val="18"/>
              </w:rPr>
            </w:pPr>
            <w:r w:rsidRPr="009102F0">
              <w:rPr>
                <w:rFonts w:ascii="Calibri" w:hAnsi="Calibri"/>
                <w:sz w:val="18"/>
                <w:szCs w:val="18"/>
              </w:rPr>
              <w:t>$36</w:t>
            </w:r>
          </w:p>
        </w:tc>
      </w:tr>
      <w:tr w:rsidR="00641E66" w:rsidRPr="009102F0" w14:paraId="00536A0A" w14:textId="77777777" w:rsidTr="0073510C">
        <w:tc>
          <w:tcPr>
            <w:tcW w:w="1418" w:type="dxa"/>
            <w:gridSpan w:val="2"/>
            <w:vMerge/>
          </w:tcPr>
          <w:p w14:paraId="2C3F1F58" w14:textId="77777777" w:rsidR="00641E66" w:rsidRPr="009102F0" w:rsidRDefault="00641E66" w:rsidP="0073510C">
            <w:pPr>
              <w:rPr>
                <w:sz w:val="18"/>
                <w:szCs w:val="18"/>
              </w:rPr>
            </w:pPr>
          </w:p>
        </w:tc>
        <w:tc>
          <w:tcPr>
            <w:tcW w:w="1417" w:type="dxa"/>
          </w:tcPr>
          <w:p w14:paraId="0CA22FAA" w14:textId="77777777" w:rsidR="00641E66" w:rsidRPr="009102F0" w:rsidRDefault="00641E66" w:rsidP="0073510C">
            <w:pPr>
              <w:rPr>
                <w:sz w:val="18"/>
                <w:szCs w:val="18"/>
              </w:rPr>
            </w:pPr>
            <w:r w:rsidRPr="009102F0">
              <w:rPr>
                <w:sz w:val="18"/>
                <w:szCs w:val="18"/>
              </w:rPr>
              <w:t>(b)</w:t>
            </w:r>
          </w:p>
        </w:tc>
        <w:tc>
          <w:tcPr>
            <w:tcW w:w="1134" w:type="dxa"/>
          </w:tcPr>
          <w:p w14:paraId="450B452E" w14:textId="77777777" w:rsidR="00641E66" w:rsidRPr="009102F0" w:rsidRDefault="00641E66" w:rsidP="0073510C">
            <w:pPr>
              <w:rPr>
                <w:sz w:val="18"/>
                <w:szCs w:val="18"/>
              </w:rPr>
            </w:pPr>
            <w:r w:rsidRPr="009102F0">
              <w:rPr>
                <w:sz w:val="18"/>
                <w:szCs w:val="18"/>
              </w:rPr>
              <w:t>0.744</w:t>
            </w:r>
          </w:p>
        </w:tc>
        <w:tc>
          <w:tcPr>
            <w:tcW w:w="1276" w:type="dxa"/>
          </w:tcPr>
          <w:p w14:paraId="5C69C6EF" w14:textId="77777777" w:rsidR="00641E66" w:rsidRPr="009102F0" w:rsidRDefault="00641E66" w:rsidP="0073510C">
            <w:pPr>
              <w:rPr>
                <w:sz w:val="18"/>
                <w:szCs w:val="18"/>
              </w:rPr>
            </w:pPr>
            <w:r w:rsidRPr="009102F0">
              <w:rPr>
                <w:sz w:val="18"/>
                <w:szCs w:val="18"/>
              </w:rPr>
              <w:t>4.73</w:t>
            </w:r>
          </w:p>
        </w:tc>
        <w:tc>
          <w:tcPr>
            <w:tcW w:w="1418" w:type="dxa"/>
          </w:tcPr>
          <w:p w14:paraId="610194C4" w14:textId="77777777" w:rsidR="00641E66" w:rsidRPr="009102F0" w:rsidRDefault="00641E66" w:rsidP="0073510C">
            <w:pPr>
              <w:rPr>
                <w:sz w:val="18"/>
                <w:szCs w:val="18"/>
              </w:rPr>
            </w:pPr>
            <w:r w:rsidRPr="009102F0">
              <w:rPr>
                <w:sz w:val="18"/>
                <w:szCs w:val="18"/>
              </w:rPr>
              <w:t>11744</w:t>
            </w:r>
          </w:p>
        </w:tc>
        <w:tc>
          <w:tcPr>
            <w:tcW w:w="1559" w:type="dxa"/>
          </w:tcPr>
          <w:p w14:paraId="14B50A28" w14:textId="77777777" w:rsidR="00641E66" w:rsidRPr="009102F0" w:rsidRDefault="00641E66" w:rsidP="0073510C">
            <w:pPr>
              <w:rPr>
                <w:rFonts w:ascii="Calibri" w:hAnsi="Calibri"/>
                <w:sz w:val="18"/>
                <w:szCs w:val="18"/>
              </w:rPr>
            </w:pPr>
            <w:r w:rsidRPr="009102F0">
              <w:rPr>
                <w:rFonts w:ascii="Calibri" w:hAnsi="Calibri"/>
                <w:sz w:val="18"/>
                <w:szCs w:val="18"/>
              </w:rPr>
              <w:t>$50</w:t>
            </w:r>
          </w:p>
        </w:tc>
      </w:tr>
      <w:tr w:rsidR="00641E66" w:rsidRPr="009102F0" w14:paraId="1DED6E38" w14:textId="77777777" w:rsidTr="0073510C">
        <w:tc>
          <w:tcPr>
            <w:tcW w:w="1418" w:type="dxa"/>
            <w:gridSpan w:val="2"/>
            <w:vMerge/>
          </w:tcPr>
          <w:p w14:paraId="1B17BC61" w14:textId="77777777" w:rsidR="00641E66" w:rsidRPr="009102F0" w:rsidRDefault="00641E66" w:rsidP="0073510C">
            <w:pPr>
              <w:rPr>
                <w:sz w:val="18"/>
                <w:szCs w:val="18"/>
              </w:rPr>
            </w:pPr>
          </w:p>
        </w:tc>
        <w:tc>
          <w:tcPr>
            <w:tcW w:w="1417" w:type="dxa"/>
          </w:tcPr>
          <w:p w14:paraId="78A2984C" w14:textId="77777777" w:rsidR="00641E66" w:rsidRPr="009102F0" w:rsidRDefault="00641E66" w:rsidP="0073510C">
            <w:pPr>
              <w:rPr>
                <w:sz w:val="18"/>
                <w:szCs w:val="18"/>
              </w:rPr>
            </w:pPr>
            <w:r w:rsidRPr="009102F0">
              <w:rPr>
                <w:sz w:val="18"/>
                <w:szCs w:val="18"/>
              </w:rPr>
              <w:t>(c)</w:t>
            </w:r>
          </w:p>
        </w:tc>
        <w:tc>
          <w:tcPr>
            <w:tcW w:w="1134" w:type="dxa"/>
          </w:tcPr>
          <w:p w14:paraId="10B999A4" w14:textId="77777777" w:rsidR="00641E66" w:rsidRPr="009102F0" w:rsidRDefault="00641E66" w:rsidP="0073510C">
            <w:pPr>
              <w:rPr>
                <w:sz w:val="18"/>
                <w:szCs w:val="18"/>
              </w:rPr>
            </w:pPr>
            <w:r w:rsidRPr="009102F0">
              <w:rPr>
                <w:sz w:val="18"/>
                <w:szCs w:val="18"/>
              </w:rPr>
              <w:t>0.725</w:t>
            </w:r>
          </w:p>
        </w:tc>
        <w:tc>
          <w:tcPr>
            <w:tcW w:w="1276" w:type="dxa"/>
          </w:tcPr>
          <w:p w14:paraId="3B47F023" w14:textId="77777777" w:rsidR="00641E66" w:rsidRPr="009102F0" w:rsidRDefault="00641E66" w:rsidP="0073510C">
            <w:pPr>
              <w:rPr>
                <w:sz w:val="18"/>
                <w:szCs w:val="18"/>
              </w:rPr>
            </w:pPr>
            <w:r w:rsidRPr="009102F0">
              <w:rPr>
                <w:sz w:val="18"/>
                <w:szCs w:val="18"/>
              </w:rPr>
              <w:t>4.92</w:t>
            </w:r>
          </w:p>
        </w:tc>
        <w:tc>
          <w:tcPr>
            <w:tcW w:w="1418" w:type="dxa"/>
          </w:tcPr>
          <w:p w14:paraId="51D43419" w14:textId="77777777" w:rsidR="00641E66" w:rsidRPr="009102F0" w:rsidRDefault="00641E66" w:rsidP="0073510C">
            <w:pPr>
              <w:rPr>
                <w:sz w:val="18"/>
                <w:szCs w:val="18"/>
              </w:rPr>
            </w:pPr>
            <w:r w:rsidRPr="009102F0">
              <w:rPr>
                <w:sz w:val="18"/>
                <w:szCs w:val="18"/>
              </w:rPr>
              <w:t>9384</w:t>
            </w:r>
          </w:p>
        </w:tc>
        <w:tc>
          <w:tcPr>
            <w:tcW w:w="1559" w:type="dxa"/>
          </w:tcPr>
          <w:p w14:paraId="54DF8490" w14:textId="77777777" w:rsidR="00641E66" w:rsidRPr="009102F0" w:rsidRDefault="00641E66" w:rsidP="0073510C">
            <w:pPr>
              <w:rPr>
                <w:rFonts w:ascii="Calibri" w:hAnsi="Calibri"/>
                <w:sz w:val="18"/>
                <w:szCs w:val="18"/>
              </w:rPr>
            </w:pPr>
            <w:r w:rsidRPr="009102F0">
              <w:rPr>
                <w:rFonts w:ascii="Calibri" w:hAnsi="Calibri"/>
                <w:sz w:val="18"/>
                <w:szCs w:val="18"/>
              </w:rPr>
              <w:t>$39</w:t>
            </w:r>
          </w:p>
        </w:tc>
      </w:tr>
      <w:tr w:rsidR="00641E66" w:rsidRPr="009102F0" w14:paraId="1A5B546E" w14:textId="77777777" w:rsidTr="0073510C">
        <w:tc>
          <w:tcPr>
            <w:tcW w:w="1418" w:type="dxa"/>
            <w:gridSpan w:val="2"/>
            <w:vMerge/>
          </w:tcPr>
          <w:p w14:paraId="38AA0F05" w14:textId="77777777" w:rsidR="00641E66" w:rsidRPr="009102F0" w:rsidRDefault="00641E66" w:rsidP="0073510C">
            <w:pPr>
              <w:rPr>
                <w:sz w:val="18"/>
                <w:szCs w:val="18"/>
              </w:rPr>
            </w:pPr>
          </w:p>
        </w:tc>
        <w:tc>
          <w:tcPr>
            <w:tcW w:w="1417" w:type="dxa"/>
          </w:tcPr>
          <w:p w14:paraId="6F0F00E4" w14:textId="77777777" w:rsidR="00641E66" w:rsidRPr="009102F0" w:rsidRDefault="00641E66" w:rsidP="0073510C">
            <w:pPr>
              <w:rPr>
                <w:sz w:val="18"/>
                <w:szCs w:val="18"/>
              </w:rPr>
            </w:pPr>
            <w:r w:rsidRPr="009102F0">
              <w:rPr>
                <w:sz w:val="18"/>
                <w:szCs w:val="18"/>
              </w:rPr>
              <w:t>(d)</w:t>
            </w:r>
          </w:p>
        </w:tc>
        <w:tc>
          <w:tcPr>
            <w:tcW w:w="1134" w:type="dxa"/>
          </w:tcPr>
          <w:p w14:paraId="2DA20F02" w14:textId="77777777" w:rsidR="00641E66" w:rsidRPr="009102F0" w:rsidRDefault="00641E66" w:rsidP="0073510C">
            <w:pPr>
              <w:rPr>
                <w:sz w:val="18"/>
                <w:szCs w:val="18"/>
              </w:rPr>
            </w:pPr>
            <w:r w:rsidRPr="009102F0">
              <w:rPr>
                <w:sz w:val="18"/>
                <w:szCs w:val="18"/>
              </w:rPr>
              <w:t>0.696</w:t>
            </w:r>
          </w:p>
        </w:tc>
        <w:tc>
          <w:tcPr>
            <w:tcW w:w="1276" w:type="dxa"/>
          </w:tcPr>
          <w:p w14:paraId="3D269405" w14:textId="77777777" w:rsidR="00641E66" w:rsidRPr="009102F0" w:rsidRDefault="00641E66" w:rsidP="0073510C">
            <w:pPr>
              <w:rPr>
                <w:sz w:val="18"/>
                <w:szCs w:val="18"/>
              </w:rPr>
            </w:pPr>
            <w:r w:rsidRPr="009102F0">
              <w:rPr>
                <w:sz w:val="18"/>
                <w:szCs w:val="18"/>
              </w:rPr>
              <w:t>5.37</w:t>
            </w:r>
          </w:p>
        </w:tc>
        <w:tc>
          <w:tcPr>
            <w:tcW w:w="1418" w:type="dxa"/>
          </w:tcPr>
          <w:p w14:paraId="0C096AEC" w14:textId="77777777" w:rsidR="00641E66" w:rsidRPr="009102F0" w:rsidRDefault="00641E66" w:rsidP="0073510C">
            <w:pPr>
              <w:rPr>
                <w:sz w:val="18"/>
                <w:szCs w:val="18"/>
              </w:rPr>
            </w:pPr>
            <w:r w:rsidRPr="009102F0">
              <w:rPr>
                <w:sz w:val="18"/>
                <w:szCs w:val="18"/>
              </w:rPr>
              <w:t>3688</w:t>
            </w:r>
          </w:p>
        </w:tc>
        <w:tc>
          <w:tcPr>
            <w:tcW w:w="1559" w:type="dxa"/>
          </w:tcPr>
          <w:p w14:paraId="605790D0" w14:textId="77777777" w:rsidR="00641E66" w:rsidRPr="009102F0" w:rsidRDefault="00641E66" w:rsidP="0073510C">
            <w:pPr>
              <w:rPr>
                <w:rFonts w:ascii="Calibri" w:hAnsi="Calibri"/>
                <w:sz w:val="18"/>
                <w:szCs w:val="18"/>
              </w:rPr>
            </w:pPr>
            <w:r w:rsidRPr="009102F0">
              <w:rPr>
                <w:rFonts w:ascii="Calibri" w:hAnsi="Calibri"/>
                <w:sz w:val="18"/>
                <w:szCs w:val="18"/>
              </w:rPr>
              <w:t>$43</w:t>
            </w:r>
          </w:p>
        </w:tc>
      </w:tr>
      <w:tr w:rsidR="00641E66" w:rsidRPr="009102F0" w14:paraId="157D2FDC" w14:textId="77777777" w:rsidTr="0073510C">
        <w:tc>
          <w:tcPr>
            <w:tcW w:w="1418" w:type="dxa"/>
            <w:gridSpan w:val="2"/>
            <w:vMerge/>
          </w:tcPr>
          <w:p w14:paraId="3CC2C3C6" w14:textId="77777777" w:rsidR="00641E66" w:rsidRPr="009102F0" w:rsidRDefault="00641E66" w:rsidP="0073510C">
            <w:pPr>
              <w:rPr>
                <w:sz w:val="18"/>
                <w:szCs w:val="18"/>
              </w:rPr>
            </w:pPr>
          </w:p>
        </w:tc>
        <w:tc>
          <w:tcPr>
            <w:tcW w:w="1417" w:type="dxa"/>
          </w:tcPr>
          <w:p w14:paraId="16DD452B" w14:textId="77777777" w:rsidR="00641E66" w:rsidRPr="009102F0" w:rsidRDefault="00641E66" w:rsidP="0073510C">
            <w:pPr>
              <w:rPr>
                <w:sz w:val="18"/>
                <w:szCs w:val="18"/>
              </w:rPr>
            </w:pPr>
            <w:r w:rsidRPr="009102F0">
              <w:rPr>
                <w:sz w:val="18"/>
                <w:szCs w:val="18"/>
              </w:rPr>
              <w:t>(e)</w:t>
            </w:r>
          </w:p>
        </w:tc>
        <w:tc>
          <w:tcPr>
            <w:tcW w:w="1134" w:type="dxa"/>
          </w:tcPr>
          <w:p w14:paraId="41B34BFA" w14:textId="77777777" w:rsidR="00641E66" w:rsidRPr="009102F0" w:rsidRDefault="00641E66" w:rsidP="0073510C">
            <w:pPr>
              <w:rPr>
                <w:sz w:val="18"/>
                <w:szCs w:val="18"/>
              </w:rPr>
            </w:pPr>
            <w:r w:rsidRPr="009102F0">
              <w:rPr>
                <w:sz w:val="18"/>
                <w:szCs w:val="18"/>
              </w:rPr>
              <w:t>0.761</w:t>
            </w:r>
          </w:p>
        </w:tc>
        <w:tc>
          <w:tcPr>
            <w:tcW w:w="1276" w:type="dxa"/>
          </w:tcPr>
          <w:p w14:paraId="167688FE" w14:textId="77777777" w:rsidR="00641E66" w:rsidRPr="009102F0" w:rsidRDefault="00641E66" w:rsidP="0073510C">
            <w:pPr>
              <w:rPr>
                <w:sz w:val="18"/>
                <w:szCs w:val="18"/>
              </w:rPr>
            </w:pPr>
            <w:r w:rsidRPr="009102F0">
              <w:rPr>
                <w:sz w:val="18"/>
                <w:szCs w:val="18"/>
              </w:rPr>
              <w:t>4.64</w:t>
            </w:r>
          </w:p>
        </w:tc>
        <w:tc>
          <w:tcPr>
            <w:tcW w:w="1418" w:type="dxa"/>
          </w:tcPr>
          <w:p w14:paraId="5C724393" w14:textId="77777777" w:rsidR="00641E66" w:rsidRPr="009102F0" w:rsidRDefault="00641E66" w:rsidP="0073510C">
            <w:pPr>
              <w:rPr>
                <w:sz w:val="18"/>
                <w:szCs w:val="18"/>
              </w:rPr>
            </w:pPr>
            <w:r w:rsidRPr="009102F0">
              <w:rPr>
                <w:sz w:val="18"/>
                <w:szCs w:val="18"/>
              </w:rPr>
              <w:t>13117</w:t>
            </w:r>
          </w:p>
        </w:tc>
        <w:tc>
          <w:tcPr>
            <w:tcW w:w="1559" w:type="dxa"/>
          </w:tcPr>
          <w:p w14:paraId="26974D4C" w14:textId="77777777" w:rsidR="00641E66" w:rsidRPr="009102F0" w:rsidRDefault="00641E66" w:rsidP="0073510C">
            <w:pPr>
              <w:rPr>
                <w:rFonts w:ascii="Calibri" w:hAnsi="Calibri"/>
                <w:sz w:val="18"/>
                <w:szCs w:val="18"/>
              </w:rPr>
            </w:pPr>
            <w:r w:rsidRPr="009102F0">
              <w:rPr>
                <w:rFonts w:ascii="Calibri" w:hAnsi="Calibri"/>
                <w:sz w:val="18"/>
                <w:szCs w:val="18"/>
              </w:rPr>
              <w:t>$58</w:t>
            </w:r>
          </w:p>
        </w:tc>
      </w:tr>
      <w:tr w:rsidR="00641E66" w:rsidRPr="009102F0" w14:paraId="1EC08821" w14:textId="77777777" w:rsidTr="0073510C">
        <w:tc>
          <w:tcPr>
            <w:tcW w:w="1418" w:type="dxa"/>
            <w:gridSpan w:val="2"/>
            <w:vMerge w:val="restart"/>
          </w:tcPr>
          <w:p w14:paraId="7EA1B6D4" w14:textId="77777777" w:rsidR="00641E66" w:rsidRPr="009102F0" w:rsidRDefault="00641E66" w:rsidP="0073510C">
            <w:pPr>
              <w:rPr>
                <w:sz w:val="18"/>
                <w:szCs w:val="18"/>
              </w:rPr>
            </w:pPr>
            <w:r w:rsidRPr="009102F0">
              <w:rPr>
                <w:sz w:val="18"/>
                <w:szCs w:val="18"/>
              </w:rPr>
              <w:t>Duration of effect 1 year only</w:t>
            </w:r>
          </w:p>
        </w:tc>
        <w:tc>
          <w:tcPr>
            <w:tcW w:w="1417" w:type="dxa"/>
          </w:tcPr>
          <w:p w14:paraId="1CEFCDCA" w14:textId="77777777" w:rsidR="00641E66" w:rsidRPr="009102F0" w:rsidRDefault="00641E66" w:rsidP="0073510C">
            <w:pPr>
              <w:rPr>
                <w:sz w:val="18"/>
                <w:szCs w:val="18"/>
              </w:rPr>
            </w:pPr>
            <w:r w:rsidRPr="009102F0">
              <w:rPr>
                <w:sz w:val="18"/>
                <w:szCs w:val="18"/>
              </w:rPr>
              <w:t>No intervention</w:t>
            </w:r>
          </w:p>
        </w:tc>
        <w:tc>
          <w:tcPr>
            <w:tcW w:w="1134" w:type="dxa"/>
          </w:tcPr>
          <w:p w14:paraId="36B69214" w14:textId="77777777" w:rsidR="00641E66" w:rsidRPr="009102F0" w:rsidRDefault="00641E66" w:rsidP="0073510C">
            <w:pPr>
              <w:rPr>
                <w:sz w:val="18"/>
                <w:szCs w:val="18"/>
              </w:rPr>
            </w:pPr>
            <w:r w:rsidRPr="009102F0">
              <w:rPr>
                <w:sz w:val="18"/>
                <w:szCs w:val="18"/>
              </w:rPr>
              <w:t>0.741</w:t>
            </w:r>
          </w:p>
        </w:tc>
        <w:tc>
          <w:tcPr>
            <w:tcW w:w="1276" w:type="dxa"/>
          </w:tcPr>
          <w:p w14:paraId="150EDEFD" w14:textId="77777777" w:rsidR="00641E66" w:rsidRPr="009102F0" w:rsidRDefault="00641E66" w:rsidP="0073510C">
            <w:pPr>
              <w:rPr>
                <w:sz w:val="18"/>
                <w:szCs w:val="18"/>
              </w:rPr>
            </w:pPr>
            <w:r w:rsidRPr="009102F0">
              <w:rPr>
                <w:sz w:val="18"/>
                <w:szCs w:val="18"/>
              </w:rPr>
              <w:t>4.69</w:t>
            </w:r>
          </w:p>
        </w:tc>
        <w:tc>
          <w:tcPr>
            <w:tcW w:w="1418" w:type="dxa"/>
          </w:tcPr>
          <w:p w14:paraId="768D3B97" w14:textId="77777777" w:rsidR="00641E66" w:rsidRPr="009102F0" w:rsidRDefault="00641E66" w:rsidP="0073510C">
            <w:pPr>
              <w:rPr>
                <w:sz w:val="18"/>
                <w:szCs w:val="18"/>
              </w:rPr>
            </w:pPr>
            <w:r w:rsidRPr="009102F0">
              <w:rPr>
                <w:sz w:val="18"/>
                <w:szCs w:val="18"/>
              </w:rPr>
              <w:t>.</w:t>
            </w:r>
          </w:p>
        </w:tc>
        <w:tc>
          <w:tcPr>
            <w:tcW w:w="1559" w:type="dxa"/>
          </w:tcPr>
          <w:p w14:paraId="23340C17" w14:textId="77777777" w:rsidR="00641E66" w:rsidRPr="009102F0" w:rsidRDefault="00641E66" w:rsidP="0073510C">
            <w:pPr>
              <w:rPr>
                <w:sz w:val="18"/>
                <w:szCs w:val="18"/>
              </w:rPr>
            </w:pPr>
          </w:p>
        </w:tc>
      </w:tr>
      <w:tr w:rsidR="00641E66" w:rsidRPr="009102F0" w14:paraId="70760C28" w14:textId="77777777" w:rsidTr="0073510C">
        <w:tc>
          <w:tcPr>
            <w:tcW w:w="1418" w:type="dxa"/>
            <w:gridSpan w:val="2"/>
            <w:vMerge/>
          </w:tcPr>
          <w:p w14:paraId="5B330F30" w14:textId="77777777" w:rsidR="00641E66" w:rsidRPr="009102F0" w:rsidRDefault="00641E66" w:rsidP="0073510C">
            <w:pPr>
              <w:rPr>
                <w:sz w:val="18"/>
                <w:szCs w:val="18"/>
              </w:rPr>
            </w:pPr>
          </w:p>
        </w:tc>
        <w:tc>
          <w:tcPr>
            <w:tcW w:w="1417" w:type="dxa"/>
          </w:tcPr>
          <w:p w14:paraId="50DA7CED" w14:textId="77777777" w:rsidR="00641E66" w:rsidRPr="009102F0" w:rsidRDefault="00641E66" w:rsidP="0073510C">
            <w:pPr>
              <w:rPr>
                <w:sz w:val="18"/>
                <w:szCs w:val="18"/>
              </w:rPr>
            </w:pPr>
            <w:r w:rsidRPr="009102F0">
              <w:rPr>
                <w:sz w:val="18"/>
                <w:szCs w:val="18"/>
              </w:rPr>
              <w:t>(a)</w:t>
            </w:r>
          </w:p>
        </w:tc>
        <w:tc>
          <w:tcPr>
            <w:tcW w:w="1134" w:type="dxa"/>
          </w:tcPr>
          <w:p w14:paraId="68F77DCA" w14:textId="77777777" w:rsidR="00641E66" w:rsidRPr="009102F0" w:rsidRDefault="00641E66" w:rsidP="0073510C">
            <w:pPr>
              <w:rPr>
                <w:sz w:val="18"/>
                <w:szCs w:val="18"/>
              </w:rPr>
            </w:pPr>
            <w:r w:rsidRPr="009102F0">
              <w:rPr>
                <w:sz w:val="18"/>
                <w:szCs w:val="18"/>
              </w:rPr>
              <w:t>0.744</w:t>
            </w:r>
          </w:p>
        </w:tc>
        <w:tc>
          <w:tcPr>
            <w:tcW w:w="1276" w:type="dxa"/>
          </w:tcPr>
          <w:p w14:paraId="79A1AB96" w14:textId="77777777" w:rsidR="00641E66" w:rsidRPr="009102F0" w:rsidRDefault="00641E66" w:rsidP="0073510C">
            <w:pPr>
              <w:rPr>
                <w:sz w:val="18"/>
                <w:szCs w:val="18"/>
              </w:rPr>
            </w:pPr>
            <w:r w:rsidRPr="009102F0">
              <w:rPr>
                <w:sz w:val="18"/>
                <w:szCs w:val="18"/>
              </w:rPr>
              <w:t>4.66</w:t>
            </w:r>
          </w:p>
        </w:tc>
        <w:tc>
          <w:tcPr>
            <w:tcW w:w="1418" w:type="dxa"/>
          </w:tcPr>
          <w:p w14:paraId="4A408756" w14:textId="77777777" w:rsidR="00641E66" w:rsidRPr="009102F0" w:rsidRDefault="00641E66" w:rsidP="0073510C">
            <w:pPr>
              <w:rPr>
                <w:sz w:val="18"/>
                <w:szCs w:val="18"/>
              </w:rPr>
            </w:pPr>
            <w:r w:rsidRPr="009102F0">
              <w:rPr>
                <w:sz w:val="18"/>
                <w:szCs w:val="18"/>
              </w:rPr>
              <w:t>802</w:t>
            </w:r>
          </w:p>
        </w:tc>
        <w:tc>
          <w:tcPr>
            <w:tcW w:w="1559" w:type="dxa"/>
          </w:tcPr>
          <w:p w14:paraId="2894D32C" w14:textId="77777777" w:rsidR="00641E66" w:rsidRPr="009102F0" w:rsidRDefault="00641E66" w:rsidP="0073510C">
            <w:pPr>
              <w:rPr>
                <w:rFonts w:ascii="Calibri" w:hAnsi="Calibri"/>
                <w:sz w:val="18"/>
                <w:szCs w:val="18"/>
              </w:rPr>
            </w:pPr>
            <w:r w:rsidRPr="009102F0">
              <w:rPr>
                <w:rFonts w:ascii="Calibri" w:hAnsi="Calibri"/>
                <w:sz w:val="18"/>
                <w:szCs w:val="18"/>
              </w:rPr>
              <w:t>$31</w:t>
            </w:r>
          </w:p>
        </w:tc>
      </w:tr>
      <w:tr w:rsidR="00641E66" w:rsidRPr="009102F0" w14:paraId="7B7745FB" w14:textId="77777777" w:rsidTr="0073510C">
        <w:tc>
          <w:tcPr>
            <w:tcW w:w="1418" w:type="dxa"/>
            <w:gridSpan w:val="2"/>
            <w:vMerge/>
          </w:tcPr>
          <w:p w14:paraId="7BBD5E2D" w14:textId="77777777" w:rsidR="00641E66" w:rsidRPr="009102F0" w:rsidRDefault="00641E66" w:rsidP="0073510C">
            <w:pPr>
              <w:rPr>
                <w:sz w:val="18"/>
                <w:szCs w:val="18"/>
              </w:rPr>
            </w:pPr>
          </w:p>
        </w:tc>
        <w:tc>
          <w:tcPr>
            <w:tcW w:w="1417" w:type="dxa"/>
          </w:tcPr>
          <w:p w14:paraId="2AD2EA19" w14:textId="77777777" w:rsidR="00641E66" w:rsidRPr="009102F0" w:rsidRDefault="00641E66" w:rsidP="0073510C">
            <w:pPr>
              <w:rPr>
                <w:sz w:val="18"/>
                <w:szCs w:val="18"/>
              </w:rPr>
            </w:pPr>
            <w:r w:rsidRPr="009102F0">
              <w:rPr>
                <w:sz w:val="18"/>
                <w:szCs w:val="18"/>
              </w:rPr>
              <w:t>(b)</w:t>
            </w:r>
          </w:p>
        </w:tc>
        <w:tc>
          <w:tcPr>
            <w:tcW w:w="1134" w:type="dxa"/>
          </w:tcPr>
          <w:p w14:paraId="786B7D65" w14:textId="77777777" w:rsidR="00641E66" w:rsidRPr="009102F0" w:rsidRDefault="00641E66" w:rsidP="0073510C">
            <w:pPr>
              <w:rPr>
                <w:sz w:val="18"/>
                <w:szCs w:val="18"/>
              </w:rPr>
            </w:pPr>
            <w:r w:rsidRPr="009102F0">
              <w:rPr>
                <w:sz w:val="18"/>
                <w:szCs w:val="18"/>
              </w:rPr>
              <w:t>0.746</w:t>
            </w:r>
          </w:p>
        </w:tc>
        <w:tc>
          <w:tcPr>
            <w:tcW w:w="1276" w:type="dxa"/>
          </w:tcPr>
          <w:p w14:paraId="4EB6945C" w14:textId="77777777" w:rsidR="00641E66" w:rsidRPr="009102F0" w:rsidRDefault="00641E66" w:rsidP="0073510C">
            <w:pPr>
              <w:rPr>
                <w:sz w:val="18"/>
                <w:szCs w:val="18"/>
              </w:rPr>
            </w:pPr>
            <w:r w:rsidRPr="009102F0">
              <w:rPr>
                <w:sz w:val="18"/>
                <w:szCs w:val="18"/>
              </w:rPr>
              <w:t>4.61</w:t>
            </w:r>
          </w:p>
        </w:tc>
        <w:tc>
          <w:tcPr>
            <w:tcW w:w="1418" w:type="dxa"/>
          </w:tcPr>
          <w:p w14:paraId="4D667340" w14:textId="77777777" w:rsidR="00641E66" w:rsidRPr="009102F0" w:rsidRDefault="00641E66" w:rsidP="0073510C">
            <w:pPr>
              <w:rPr>
                <w:sz w:val="18"/>
                <w:szCs w:val="18"/>
              </w:rPr>
            </w:pPr>
            <w:r w:rsidRPr="009102F0">
              <w:rPr>
                <w:sz w:val="18"/>
                <w:szCs w:val="18"/>
              </w:rPr>
              <w:t>2026</w:t>
            </w:r>
          </w:p>
        </w:tc>
        <w:tc>
          <w:tcPr>
            <w:tcW w:w="1559" w:type="dxa"/>
          </w:tcPr>
          <w:p w14:paraId="6E603251" w14:textId="77777777" w:rsidR="00641E66" w:rsidRPr="009102F0" w:rsidRDefault="00641E66" w:rsidP="0073510C">
            <w:pPr>
              <w:rPr>
                <w:rFonts w:ascii="Calibri" w:hAnsi="Calibri"/>
                <w:sz w:val="18"/>
                <w:szCs w:val="18"/>
              </w:rPr>
            </w:pPr>
            <w:r w:rsidRPr="009102F0">
              <w:rPr>
                <w:rFonts w:ascii="Calibri" w:hAnsi="Calibri"/>
                <w:sz w:val="18"/>
                <w:szCs w:val="18"/>
              </w:rPr>
              <w:t>$34</w:t>
            </w:r>
          </w:p>
        </w:tc>
      </w:tr>
      <w:tr w:rsidR="00641E66" w:rsidRPr="009102F0" w14:paraId="406A5784" w14:textId="77777777" w:rsidTr="0073510C">
        <w:tc>
          <w:tcPr>
            <w:tcW w:w="1418" w:type="dxa"/>
            <w:gridSpan w:val="2"/>
            <w:vMerge/>
          </w:tcPr>
          <w:p w14:paraId="29C4B86E" w14:textId="77777777" w:rsidR="00641E66" w:rsidRPr="009102F0" w:rsidRDefault="00641E66" w:rsidP="0073510C">
            <w:pPr>
              <w:rPr>
                <w:sz w:val="18"/>
                <w:szCs w:val="18"/>
              </w:rPr>
            </w:pPr>
          </w:p>
        </w:tc>
        <w:tc>
          <w:tcPr>
            <w:tcW w:w="1417" w:type="dxa"/>
          </w:tcPr>
          <w:p w14:paraId="7AE40C61" w14:textId="77777777" w:rsidR="00641E66" w:rsidRPr="009102F0" w:rsidRDefault="00641E66" w:rsidP="0073510C">
            <w:pPr>
              <w:rPr>
                <w:sz w:val="18"/>
                <w:szCs w:val="18"/>
              </w:rPr>
            </w:pPr>
            <w:r w:rsidRPr="009102F0">
              <w:rPr>
                <w:sz w:val="18"/>
                <w:szCs w:val="18"/>
              </w:rPr>
              <w:t>(c)</w:t>
            </w:r>
          </w:p>
        </w:tc>
        <w:tc>
          <w:tcPr>
            <w:tcW w:w="1134" w:type="dxa"/>
          </w:tcPr>
          <w:p w14:paraId="19BBDCD4" w14:textId="77777777" w:rsidR="00641E66" w:rsidRPr="009102F0" w:rsidRDefault="00641E66" w:rsidP="0073510C">
            <w:pPr>
              <w:rPr>
                <w:sz w:val="18"/>
                <w:szCs w:val="18"/>
              </w:rPr>
            </w:pPr>
            <w:r w:rsidRPr="009102F0">
              <w:rPr>
                <w:sz w:val="18"/>
                <w:szCs w:val="18"/>
              </w:rPr>
              <w:t>0.744</w:t>
            </w:r>
          </w:p>
        </w:tc>
        <w:tc>
          <w:tcPr>
            <w:tcW w:w="1276" w:type="dxa"/>
          </w:tcPr>
          <w:p w14:paraId="57136098" w14:textId="77777777" w:rsidR="00641E66" w:rsidRPr="009102F0" w:rsidRDefault="00641E66" w:rsidP="0073510C">
            <w:pPr>
              <w:rPr>
                <w:sz w:val="18"/>
                <w:szCs w:val="18"/>
              </w:rPr>
            </w:pPr>
            <w:r w:rsidRPr="009102F0">
              <w:rPr>
                <w:sz w:val="18"/>
                <w:szCs w:val="18"/>
              </w:rPr>
              <w:t>4.65</w:t>
            </w:r>
          </w:p>
        </w:tc>
        <w:tc>
          <w:tcPr>
            <w:tcW w:w="1418" w:type="dxa"/>
          </w:tcPr>
          <w:p w14:paraId="1D6D8E2C" w14:textId="77777777" w:rsidR="00641E66" w:rsidRPr="009102F0" w:rsidRDefault="00641E66" w:rsidP="0073510C">
            <w:pPr>
              <w:rPr>
                <w:sz w:val="18"/>
                <w:szCs w:val="18"/>
              </w:rPr>
            </w:pPr>
            <w:r w:rsidRPr="009102F0">
              <w:rPr>
                <w:sz w:val="18"/>
                <w:szCs w:val="18"/>
              </w:rPr>
              <w:t>1125</w:t>
            </w:r>
          </w:p>
        </w:tc>
        <w:tc>
          <w:tcPr>
            <w:tcW w:w="1559" w:type="dxa"/>
          </w:tcPr>
          <w:p w14:paraId="0EF3F77E" w14:textId="77777777" w:rsidR="00641E66" w:rsidRPr="009102F0" w:rsidRDefault="00641E66" w:rsidP="0073510C">
            <w:pPr>
              <w:rPr>
                <w:rFonts w:ascii="Calibri" w:hAnsi="Calibri"/>
                <w:sz w:val="18"/>
                <w:szCs w:val="18"/>
              </w:rPr>
            </w:pPr>
            <w:r w:rsidRPr="009102F0">
              <w:rPr>
                <w:rFonts w:ascii="Calibri" w:hAnsi="Calibri"/>
                <w:sz w:val="18"/>
                <w:szCs w:val="18"/>
              </w:rPr>
              <w:t>$30</w:t>
            </w:r>
          </w:p>
        </w:tc>
      </w:tr>
      <w:tr w:rsidR="00641E66" w:rsidRPr="009102F0" w14:paraId="425D0832" w14:textId="77777777" w:rsidTr="0073510C">
        <w:tc>
          <w:tcPr>
            <w:tcW w:w="1418" w:type="dxa"/>
            <w:gridSpan w:val="2"/>
            <w:vMerge/>
          </w:tcPr>
          <w:p w14:paraId="4AAC4C60" w14:textId="77777777" w:rsidR="00641E66" w:rsidRPr="009102F0" w:rsidRDefault="00641E66" w:rsidP="0073510C">
            <w:pPr>
              <w:rPr>
                <w:sz w:val="18"/>
                <w:szCs w:val="18"/>
              </w:rPr>
            </w:pPr>
          </w:p>
        </w:tc>
        <w:tc>
          <w:tcPr>
            <w:tcW w:w="1417" w:type="dxa"/>
          </w:tcPr>
          <w:p w14:paraId="4EFAEE84" w14:textId="77777777" w:rsidR="00641E66" w:rsidRPr="009102F0" w:rsidRDefault="00641E66" w:rsidP="0073510C">
            <w:pPr>
              <w:rPr>
                <w:sz w:val="18"/>
                <w:szCs w:val="18"/>
              </w:rPr>
            </w:pPr>
            <w:r w:rsidRPr="009102F0">
              <w:rPr>
                <w:sz w:val="18"/>
                <w:szCs w:val="18"/>
              </w:rPr>
              <w:t>(d)</w:t>
            </w:r>
          </w:p>
        </w:tc>
        <w:tc>
          <w:tcPr>
            <w:tcW w:w="1134" w:type="dxa"/>
          </w:tcPr>
          <w:p w14:paraId="0B9D3086" w14:textId="77777777" w:rsidR="00641E66" w:rsidRPr="009102F0" w:rsidRDefault="00641E66" w:rsidP="0073510C">
            <w:pPr>
              <w:rPr>
                <w:sz w:val="18"/>
                <w:szCs w:val="18"/>
              </w:rPr>
            </w:pPr>
            <w:r w:rsidRPr="009102F0">
              <w:rPr>
                <w:sz w:val="18"/>
                <w:szCs w:val="18"/>
              </w:rPr>
              <w:t>0.747</w:t>
            </w:r>
          </w:p>
        </w:tc>
        <w:tc>
          <w:tcPr>
            <w:tcW w:w="1276" w:type="dxa"/>
          </w:tcPr>
          <w:p w14:paraId="285B2DBE" w14:textId="77777777" w:rsidR="00641E66" w:rsidRPr="009102F0" w:rsidRDefault="00641E66" w:rsidP="0073510C">
            <w:pPr>
              <w:rPr>
                <w:sz w:val="18"/>
                <w:szCs w:val="18"/>
              </w:rPr>
            </w:pPr>
            <w:r w:rsidRPr="009102F0">
              <w:rPr>
                <w:sz w:val="18"/>
                <w:szCs w:val="18"/>
              </w:rPr>
              <w:t>4.63</w:t>
            </w:r>
          </w:p>
        </w:tc>
        <w:tc>
          <w:tcPr>
            <w:tcW w:w="1418" w:type="dxa"/>
          </w:tcPr>
          <w:p w14:paraId="4CF69A2E" w14:textId="77777777" w:rsidR="00641E66" w:rsidRPr="009102F0" w:rsidRDefault="00641E66" w:rsidP="0073510C">
            <w:pPr>
              <w:rPr>
                <w:sz w:val="18"/>
                <w:szCs w:val="18"/>
              </w:rPr>
            </w:pPr>
            <w:r w:rsidRPr="009102F0">
              <w:rPr>
                <w:sz w:val="18"/>
                <w:szCs w:val="18"/>
              </w:rPr>
              <w:t>1172</w:t>
            </w:r>
          </w:p>
        </w:tc>
        <w:tc>
          <w:tcPr>
            <w:tcW w:w="1559" w:type="dxa"/>
          </w:tcPr>
          <w:p w14:paraId="2B85AD7B" w14:textId="77777777" w:rsidR="00641E66" w:rsidRPr="009102F0" w:rsidRDefault="00641E66" w:rsidP="0073510C">
            <w:pPr>
              <w:rPr>
                <w:rFonts w:ascii="Calibri" w:hAnsi="Calibri"/>
                <w:sz w:val="18"/>
                <w:szCs w:val="18"/>
              </w:rPr>
            </w:pPr>
            <w:r w:rsidRPr="009102F0">
              <w:rPr>
                <w:rFonts w:ascii="Calibri" w:hAnsi="Calibri"/>
                <w:sz w:val="18"/>
                <w:szCs w:val="18"/>
              </w:rPr>
              <w:t>$33</w:t>
            </w:r>
          </w:p>
        </w:tc>
      </w:tr>
      <w:tr w:rsidR="00641E66" w:rsidRPr="009102F0" w14:paraId="15806148" w14:textId="77777777" w:rsidTr="0073510C">
        <w:tc>
          <w:tcPr>
            <w:tcW w:w="1418" w:type="dxa"/>
            <w:gridSpan w:val="2"/>
            <w:vMerge/>
          </w:tcPr>
          <w:p w14:paraId="06104F11" w14:textId="77777777" w:rsidR="00641E66" w:rsidRPr="009102F0" w:rsidRDefault="00641E66" w:rsidP="0073510C">
            <w:pPr>
              <w:rPr>
                <w:sz w:val="18"/>
                <w:szCs w:val="18"/>
              </w:rPr>
            </w:pPr>
          </w:p>
        </w:tc>
        <w:tc>
          <w:tcPr>
            <w:tcW w:w="1417" w:type="dxa"/>
          </w:tcPr>
          <w:p w14:paraId="3AB5FE0B" w14:textId="77777777" w:rsidR="00641E66" w:rsidRPr="009102F0" w:rsidRDefault="00641E66" w:rsidP="0073510C">
            <w:pPr>
              <w:rPr>
                <w:sz w:val="18"/>
                <w:szCs w:val="18"/>
              </w:rPr>
            </w:pPr>
            <w:r w:rsidRPr="009102F0">
              <w:rPr>
                <w:sz w:val="18"/>
                <w:szCs w:val="18"/>
              </w:rPr>
              <w:t>(e)</w:t>
            </w:r>
          </w:p>
        </w:tc>
        <w:tc>
          <w:tcPr>
            <w:tcW w:w="1134" w:type="dxa"/>
          </w:tcPr>
          <w:p w14:paraId="72DFAEAE" w14:textId="6D3018F8" w:rsidR="00641E66" w:rsidRPr="009102F0" w:rsidRDefault="00641E66" w:rsidP="0073510C">
            <w:pPr>
              <w:rPr>
                <w:sz w:val="18"/>
                <w:szCs w:val="18"/>
              </w:rPr>
            </w:pPr>
            <w:r w:rsidRPr="009102F0">
              <w:rPr>
                <w:sz w:val="18"/>
                <w:szCs w:val="18"/>
              </w:rPr>
              <w:t>0.75</w:t>
            </w:r>
            <w:r w:rsidR="00523124">
              <w:rPr>
                <w:sz w:val="18"/>
                <w:szCs w:val="18"/>
              </w:rPr>
              <w:t>0</w:t>
            </w:r>
          </w:p>
        </w:tc>
        <w:tc>
          <w:tcPr>
            <w:tcW w:w="1276" w:type="dxa"/>
          </w:tcPr>
          <w:p w14:paraId="0A3D3C61" w14:textId="77777777" w:rsidR="00641E66" w:rsidRPr="009102F0" w:rsidRDefault="00641E66" w:rsidP="0073510C">
            <w:pPr>
              <w:rPr>
                <w:sz w:val="18"/>
                <w:szCs w:val="18"/>
              </w:rPr>
            </w:pPr>
            <w:r w:rsidRPr="009102F0">
              <w:rPr>
                <w:sz w:val="18"/>
                <w:szCs w:val="18"/>
              </w:rPr>
              <w:t>4.59</w:t>
            </w:r>
          </w:p>
        </w:tc>
        <w:tc>
          <w:tcPr>
            <w:tcW w:w="1418" w:type="dxa"/>
          </w:tcPr>
          <w:p w14:paraId="6A420FC1" w14:textId="77777777" w:rsidR="00641E66" w:rsidRPr="009102F0" w:rsidRDefault="00641E66" w:rsidP="0073510C">
            <w:pPr>
              <w:rPr>
                <w:sz w:val="18"/>
                <w:szCs w:val="18"/>
              </w:rPr>
            </w:pPr>
            <w:r w:rsidRPr="009102F0">
              <w:rPr>
                <w:sz w:val="18"/>
                <w:szCs w:val="18"/>
              </w:rPr>
              <w:t>2328</w:t>
            </w:r>
          </w:p>
        </w:tc>
        <w:tc>
          <w:tcPr>
            <w:tcW w:w="1559" w:type="dxa"/>
          </w:tcPr>
          <w:p w14:paraId="03635A00" w14:textId="77777777" w:rsidR="00641E66" w:rsidRPr="009102F0" w:rsidRDefault="00641E66" w:rsidP="0073510C">
            <w:pPr>
              <w:rPr>
                <w:rFonts w:ascii="Calibri" w:hAnsi="Calibri"/>
                <w:sz w:val="18"/>
                <w:szCs w:val="18"/>
              </w:rPr>
            </w:pPr>
            <w:r w:rsidRPr="009102F0">
              <w:rPr>
                <w:rFonts w:ascii="Calibri" w:hAnsi="Calibri"/>
                <w:sz w:val="18"/>
                <w:szCs w:val="18"/>
              </w:rPr>
              <w:t>$35</w:t>
            </w:r>
          </w:p>
        </w:tc>
      </w:tr>
      <w:tr w:rsidR="00AB1156" w:rsidRPr="009102F0" w14:paraId="1817C193" w14:textId="77777777" w:rsidTr="007970AB">
        <w:tc>
          <w:tcPr>
            <w:tcW w:w="1418" w:type="dxa"/>
            <w:gridSpan w:val="2"/>
            <w:vMerge w:val="restart"/>
          </w:tcPr>
          <w:p w14:paraId="64B55EAD" w14:textId="77777777" w:rsidR="00AB1156" w:rsidRPr="009102F0" w:rsidRDefault="00AB1156" w:rsidP="007970AB">
            <w:pPr>
              <w:rPr>
                <w:sz w:val="18"/>
                <w:szCs w:val="18"/>
              </w:rPr>
            </w:pPr>
            <w:r w:rsidRPr="009102F0">
              <w:rPr>
                <w:sz w:val="18"/>
                <w:szCs w:val="18"/>
              </w:rPr>
              <w:t>No adherence-informed differentiated care</w:t>
            </w:r>
          </w:p>
        </w:tc>
        <w:tc>
          <w:tcPr>
            <w:tcW w:w="1417" w:type="dxa"/>
          </w:tcPr>
          <w:p w14:paraId="1CFE069D" w14:textId="77777777" w:rsidR="00AB1156" w:rsidRPr="009102F0" w:rsidRDefault="00AB1156" w:rsidP="007970AB">
            <w:pPr>
              <w:rPr>
                <w:sz w:val="18"/>
                <w:szCs w:val="18"/>
              </w:rPr>
            </w:pPr>
            <w:r w:rsidRPr="009102F0">
              <w:rPr>
                <w:sz w:val="18"/>
                <w:szCs w:val="18"/>
              </w:rPr>
              <w:t>No intervention</w:t>
            </w:r>
          </w:p>
        </w:tc>
        <w:tc>
          <w:tcPr>
            <w:tcW w:w="1134" w:type="dxa"/>
          </w:tcPr>
          <w:p w14:paraId="585080DD" w14:textId="77777777" w:rsidR="00AB1156" w:rsidRPr="009102F0" w:rsidRDefault="00AB1156" w:rsidP="007970AB">
            <w:pPr>
              <w:rPr>
                <w:sz w:val="18"/>
                <w:szCs w:val="18"/>
              </w:rPr>
            </w:pPr>
            <w:r w:rsidRPr="009102F0">
              <w:rPr>
                <w:sz w:val="18"/>
                <w:szCs w:val="18"/>
              </w:rPr>
              <w:t>0.741</w:t>
            </w:r>
          </w:p>
        </w:tc>
        <w:tc>
          <w:tcPr>
            <w:tcW w:w="1276" w:type="dxa"/>
          </w:tcPr>
          <w:p w14:paraId="236C713C" w14:textId="77777777" w:rsidR="00AB1156" w:rsidRPr="009102F0" w:rsidRDefault="00AB1156" w:rsidP="007970AB">
            <w:pPr>
              <w:rPr>
                <w:sz w:val="18"/>
                <w:szCs w:val="18"/>
              </w:rPr>
            </w:pPr>
            <w:r w:rsidRPr="009102F0">
              <w:rPr>
                <w:sz w:val="18"/>
                <w:szCs w:val="18"/>
              </w:rPr>
              <w:t>4.70</w:t>
            </w:r>
          </w:p>
        </w:tc>
        <w:tc>
          <w:tcPr>
            <w:tcW w:w="1418" w:type="dxa"/>
          </w:tcPr>
          <w:p w14:paraId="1240C133" w14:textId="77777777" w:rsidR="00AB1156" w:rsidRPr="009102F0" w:rsidRDefault="00AB1156" w:rsidP="007970AB">
            <w:pPr>
              <w:rPr>
                <w:sz w:val="18"/>
                <w:szCs w:val="18"/>
              </w:rPr>
            </w:pPr>
            <w:r w:rsidRPr="009102F0">
              <w:rPr>
                <w:sz w:val="18"/>
                <w:szCs w:val="18"/>
              </w:rPr>
              <w:t>.</w:t>
            </w:r>
          </w:p>
        </w:tc>
        <w:tc>
          <w:tcPr>
            <w:tcW w:w="1559" w:type="dxa"/>
          </w:tcPr>
          <w:p w14:paraId="5940700E" w14:textId="77777777" w:rsidR="00AB1156" w:rsidRPr="009102F0" w:rsidRDefault="00AB1156" w:rsidP="007970AB">
            <w:pPr>
              <w:rPr>
                <w:sz w:val="18"/>
                <w:szCs w:val="18"/>
              </w:rPr>
            </w:pPr>
          </w:p>
        </w:tc>
      </w:tr>
      <w:tr w:rsidR="00AB1156" w:rsidRPr="009102F0" w14:paraId="76B5D344" w14:textId="77777777" w:rsidTr="007970AB">
        <w:tc>
          <w:tcPr>
            <w:tcW w:w="1418" w:type="dxa"/>
            <w:gridSpan w:val="2"/>
            <w:vMerge/>
          </w:tcPr>
          <w:p w14:paraId="6269DAE0" w14:textId="77777777" w:rsidR="00AB1156" w:rsidRPr="009102F0" w:rsidRDefault="00AB1156" w:rsidP="007970AB">
            <w:pPr>
              <w:rPr>
                <w:sz w:val="18"/>
                <w:szCs w:val="18"/>
              </w:rPr>
            </w:pPr>
          </w:p>
        </w:tc>
        <w:tc>
          <w:tcPr>
            <w:tcW w:w="1417" w:type="dxa"/>
          </w:tcPr>
          <w:p w14:paraId="11FE9F3D" w14:textId="77777777" w:rsidR="00AB1156" w:rsidRPr="009102F0" w:rsidRDefault="00AB1156" w:rsidP="007970AB">
            <w:pPr>
              <w:rPr>
                <w:sz w:val="18"/>
                <w:szCs w:val="18"/>
              </w:rPr>
            </w:pPr>
            <w:r w:rsidRPr="009102F0">
              <w:rPr>
                <w:sz w:val="18"/>
                <w:szCs w:val="18"/>
              </w:rPr>
              <w:t>(a)</w:t>
            </w:r>
          </w:p>
        </w:tc>
        <w:tc>
          <w:tcPr>
            <w:tcW w:w="1134" w:type="dxa"/>
          </w:tcPr>
          <w:p w14:paraId="702FB528" w14:textId="77777777" w:rsidR="00AB1156" w:rsidRPr="009102F0" w:rsidRDefault="00AB1156" w:rsidP="007970AB">
            <w:pPr>
              <w:rPr>
                <w:sz w:val="18"/>
                <w:szCs w:val="18"/>
              </w:rPr>
            </w:pPr>
            <w:r w:rsidRPr="009102F0">
              <w:rPr>
                <w:sz w:val="18"/>
                <w:szCs w:val="18"/>
              </w:rPr>
              <w:t>0.755</w:t>
            </w:r>
          </w:p>
        </w:tc>
        <w:tc>
          <w:tcPr>
            <w:tcW w:w="1276" w:type="dxa"/>
          </w:tcPr>
          <w:p w14:paraId="7145C31A" w14:textId="77777777" w:rsidR="00AB1156" w:rsidRPr="009102F0" w:rsidRDefault="00AB1156" w:rsidP="007970AB">
            <w:pPr>
              <w:rPr>
                <w:sz w:val="18"/>
                <w:szCs w:val="18"/>
              </w:rPr>
            </w:pPr>
            <w:r w:rsidRPr="009102F0">
              <w:rPr>
                <w:sz w:val="18"/>
                <w:szCs w:val="18"/>
              </w:rPr>
              <w:t>4.53</w:t>
            </w:r>
          </w:p>
        </w:tc>
        <w:tc>
          <w:tcPr>
            <w:tcW w:w="1418" w:type="dxa"/>
          </w:tcPr>
          <w:p w14:paraId="1C5ABB27" w14:textId="77777777" w:rsidR="00AB1156" w:rsidRPr="009102F0" w:rsidRDefault="00AB1156" w:rsidP="007970AB">
            <w:pPr>
              <w:rPr>
                <w:sz w:val="18"/>
                <w:szCs w:val="18"/>
              </w:rPr>
            </w:pPr>
            <w:r w:rsidRPr="009102F0">
              <w:rPr>
                <w:sz w:val="18"/>
                <w:szCs w:val="18"/>
              </w:rPr>
              <w:t>2205</w:t>
            </w:r>
          </w:p>
        </w:tc>
        <w:tc>
          <w:tcPr>
            <w:tcW w:w="1559" w:type="dxa"/>
          </w:tcPr>
          <w:p w14:paraId="5FCA80A3" w14:textId="77777777" w:rsidR="00AB1156" w:rsidRPr="009102F0" w:rsidRDefault="00AB1156" w:rsidP="007970AB">
            <w:pPr>
              <w:rPr>
                <w:rFonts w:ascii="Calibri" w:hAnsi="Calibri"/>
                <w:sz w:val="18"/>
                <w:szCs w:val="18"/>
              </w:rPr>
            </w:pPr>
            <w:r w:rsidRPr="009102F0">
              <w:rPr>
                <w:rFonts w:ascii="Calibri" w:hAnsi="Calibri"/>
                <w:sz w:val="18"/>
                <w:szCs w:val="18"/>
              </w:rPr>
              <w:t>$8</w:t>
            </w:r>
          </w:p>
        </w:tc>
      </w:tr>
      <w:tr w:rsidR="00AB1156" w:rsidRPr="009102F0" w14:paraId="75EE9AD0" w14:textId="77777777" w:rsidTr="007970AB">
        <w:tc>
          <w:tcPr>
            <w:tcW w:w="1418" w:type="dxa"/>
            <w:gridSpan w:val="2"/>
            <w:vMerge/>
          </w:tcPr>
          <w:p w14:paraId="3876C0AE" w14:textId="77777777" w:rsidR="00AB1156" w:rsidRPr="009102F0" w:rsidRDefault="00AB1156" w:rsidP="007970AB">
            <w:pPr>
              <w:rPr>
                <w:sz w:val="18"/>
                <w:szCs w:val="18"/>
              </w:rPr>
            </w:pPr>
          </w:p>
        </w:tc>
        <w:tc>
          <w:tcPr>
            <w:tcW w:w="1417" w:type="dxa"/>
          </w:tcPr>
          <w:p w14:paraId="3ECA991F" w14:textId="77777777" w:rsidR="00AB1156" w:rsidRPr="009102F0" w:rsidRDefault="00AB1156" w:rsidP="007970AB">
            <w:pPr>
              <w:rPr>
                <w:sz w:val="18"/>
                <w:szCs w:val="18"/>
              </w:rPr>
            </w:pPr>
            <w:r w:rsidRPr="009102F0">
              <w:rPr>
                <w:sz w:val="18"/>
                <w:szCs w:val="18"/>
              </w:rPr>
              <w:t>(b)</w:t>
            </w:r>
          </w:p>
        </w:tc>
        <w:tc>
          <w:tcPr>
            <w:tcW w:w="1134" w:type="dxa"/>
          </w:tcPr>
          <w:p w14:paraId="7D60FFCB" w14:textId="77777777" w:rsidR="00AB1156" w:rsidRPr="009102F0" w:rsidRDefault="00AB1156" w:rsidP="007970AB">
            <w:pPr>
              <w:rPr>
                <w:sz w:val="18"/>
                <w:szCs w:val="18"/>
              </w:rPr>
            </w:pPr>
            <w:r w:rsidRPr="009102F0">
              <w:rPr>
                <w:sz w:val="18"/>
                <w:szCs w:val="18"/>
              </w:rPr>
              <w:t>0.787</w:t>
            </w:r>
          </w:p>
        </w:tc>
        <w:tc>
          <w:tcPr>
            <w:tcW w:w="1276" w:type="dxa"/>
          </w:tcPr>
          <w:p w14:paraId="0D41FE2B" w14:textId="77777777" w:rsidR="00AB1156" w:rsidRPr="009102F0" w:rsidRDefault="00AB1156" w:rsidP="007970AB">
            <w:pPr>
              <w:rPr>
                <w:sz w:val="18"/>
                <w:szCs w:val="18"/>
              </w:rPr>
            </w:pPr>
            <w:r w:rsidRPr="009102F0">
              <w:rPr>
                <w:sz w:val="18"/>
                <w:szCs w:val="18"/>
              </w:rPr>
              <w:t>4.15</w:t>
            </w:r>
          </w:p>
        </w:tc>
        <w:tc>
          <w:tcPr>
            <w:tcW w:w="1418" w:type="dxa"/>
          </w:tcPr>
          <w:p w14:paraId="37C06EFE" w14:textId="77777777" w:rsidR="00AB1156" w:rsidRPr="009102F0" w:rsidRDefault="00AB1156" w:rsidP="007970AB">
            <w:pPr>
              <w:rPr>
                <w:sz w:val="18"/>
                <w:szCs w:val="18"/>
              </w:rPr>
            </w:pPr>
            <w:r w:rsidRPr="009102F0">
              <w:rPr>
                <w:sz w:val="18"/>
                <w:szCs w:val="18"/>
              </w:rPr>
              <w:t>7414</w:t>
            </w:r>
          </w:p>
        </w:tc>
        <w:tc>
          <w:tcPr>
            <w:tcW w:w="1559" w:type="dxa"/>
          </w:tcPr>
          <w:p w14:paraId="6C6EE907" w14:textId="77777777" w:rsidR="00AB1156" w:rsidRPr="009102F0" w:rsidRDefault="00AB1156" w:rsidP="007970AB">
            <w:pPr>
              <w:rPr>
                <w:rFonts w:ascii="Calibri" w:hAnsi="Calibri"/>
                <w:sz w:val="18"/>
                <w:szCs w:val="18"/>
              </w:rPr>
            </w:pPr>
            <w:r w:rsidRPr="009102F0">
              <w:rPr>
                <w:rFonts w:ascii="Calibri" w:hAnsi="Calibri"/>
                <w:sz w:val="18"/>
                <w:szCs w:val="18"/>
              </w:rPr>
              <w:t>$15</w:t>
            </w:r>
          </w:p>
        </w:tc>
      </w:tr>
      <w:tr w:rsidR="00AB1156" w:rsidRPr="009102F0" w14:paraId="30A2C368" w14:textId="77777777" w:rsidTr="007970AB">
        <w:tc>
          <w:tcPr>
            <w:tcW w:w="1418" w:type="dxa"/>
            <w:gridSpan w:val="2"/>
            <w:vMerge/>
          </w:tcPr>
          <w:p w14:paraId="5DB625B5" w14:textId="77777777" w:rsidR="00AB1156" w:rsidRPr="009102F0" w:rsidRDefault="00AB1156" w:rsidP="007970AB">
            <w:pPr>
              <w:rPr>
                <w:sz w:val="18"/>
                <w:szCs w:val="18"/>
              </w:rPr>
            </w:pPr>
          </w:p>
        </w:tc>
        <w:tc>
          <w:tcPr>
            <w:tcW w:w="1417" w:type="dxa"/>
          </w:tcPr>
          <w:p w14:paraId="2FD16C3E" w14:textId="77777777" w:rsidR="00AB1156" w:rsidRPr="009102F0" w:rsidRDefault="00AB1156" w:rsidP="007970AB">
            <w:pPr>
              <w:rPr>
                <w:sz w:val="18"/>
                <w:szCs w:val="18"/>
              </w:rPr>
            </w:pPr>
            <w:r w:rsidRPr="009102F0">
              <w:rPr>
                <w:sz w:val="18"/>
                <w:szCs w:val="18"/>
              </w:rPr>
              <w:t>(c)</w:t>
            </w:r>
          </w:p>
        </w:tc>
        <w:tc>
          <w:tcPr>
            <w:tcW w:w="1134" w:type="dxa"/>
          </w:tcPr>
          <w:p w14:paraId="1032580C" w14:textId="77777777" w:rsidR="00AB1156" w:rsidRPr="009102F0" w:rsidRDefault="00AB1156" w:rsidP="007970AB">
            <w:pPr>
              <w:rPr>
                <w:sz w:val="18"/>
                <w:szCs w:val="18"/>
              </w:rPr>
            </w:pPr>
            <w:r w:rsidRPr="009102F0">
              <w:rPr>
                <w:sz w:val="18"/>
                <w:szCs w:val="18"/>
              </w:rPr>
              <w:t>0.768</w:t>
            </w:r>
          </w:p>
        </w:tc>
        <w:tc>
          <w:tcPr>
            <w:tcW w:w="1276" w:type="dxa"/>
          </w:tcPr>
          <w:p w14:paraId="76688FCF" w14:textId="77777777" w:rsidR="00AB1156" w:rsidRPr="009102F0" w:rsidRDefault="00AB1156" w:rsidP="007970AB">
            <w:pPr>
              <w:rPr>
                <w:sz w:val="18"/>
                <w:szCs w:val="18"/>
              </w:rPr>
            </w:pPr>
            <w:r w:rsidRPr="009102F0">
              <w:rPr>
                <w:sz w:val="18"/>
                <w:szCs w:val="18"/>
              </w:rPr>
              <w:t>4.34</w:t>
            </w:r>
          </w:p>
        </w:tc>
        <w:tc>
          <w:tcPr>
            <w:tcW w:w="1418" w:type="dxa"/>
          </w:tcPr>
          <w:p w14:paraId="2461F508" w14:textId="77777777" w:rsidR="00AB1156" w:rsidRPr="009102F0" w:rsidRDefault="00AB1156" w:rsidP="007970AB">
            <w:pPr>
              <w:rPr>
                <w:sz w:val="18"/>
                <w:szCs w:val="18"/>
              </w:rPr>
            </w:pPr>
            <w:r w:rsidRPr="009102F0">
              <w:rPr>
                <w:sz w:val="18"/>
                <w:szCs w:val="18"/>
              </w:rPr>
              <w:t>4812</w:t>
            </w:r>
          </w:p>
        </w:tc>
        <w:tc>
          <w:tcPr>
            <w:tcW w:w="1559" w:type="dxa"/>
          </w:tcPr>
          <w:p w14:paraId="5D01FF0F" w14:textId="77777777" w:rsidR="00AB1156" w:rsidRPr="009102F0" w:rsidRDefault="00AB1156" w:rsidP="007970AB">
            <w:pPr>
              <w:rPr>
                <w:rFonts w:ascii="Calibri" w:hAnsi="Calibri"/>
                <w:sz w:val="18"/>
                <w:szCs w:val="18"/>
              </w:rPr>
            </w:pPr>
            <w:r w:rsidRPr="009102F0">
              <w:rPr>
                <w:rFonts w:ascii="Calibri" w:hAnsi="Calibri"/>
                <w:sz w:val="18"/>
                <w:szCs w:val="18"/>
              </w:rPr>
              <w:t>$5</w:t>
            </w:r>
          </w:p>
        </w:tc>
      </w:tr>
      <w:tr w:rsidR="00AB1156" w:rsidRPr="009102F0" w14:paraId="6935A12B" w14:textId="77777777" w:rsidTr="007970AB">
        <w:tc>
          <w:tcPr>
            <w:tcW w:w="1418" w:type="dxa"/>
            <w:gridSpan w:val="2"/>
            <w:vMerge/>
          </w:tcPr>
          <w:p w14:paraId="6F2F4844" w14:textId="77777777" w:rsidR="00AB1156" w:rsidRPr="009102F0" w:rsidRDefault="00AB1156" w:rsidP="007970AB">
            <w:pPr>
              <w:rPr>
                <w:sz w:val="18"/>
                <w:szCs w:val="18"/>
              </w:rPr>
            </w:pPr>
          </w:p>
        </w:tc>
        <w:tc>
          <w:tcPr>
            <w:tcW w:w="1417" w:type="dxa"/>
          </w:tcPr>
          <w:p w14:paraId="03F45098" w14:textId="77777777" w:rsidR="00AB1156" w:rsidRPr="009102F0" w:rsidRDefault="00AB1156" w:rsidP="007970AB">
            <w:pPr>
              <w:rPr>
                <w:sz w:val="18"/>
                <w:szCs w:val="18"/>
              </w:rPr>
            </w:pPr>
            <w:r w:rsidRPr="009102F0">
              <w:rPr>
                <w:sz w:val="18"/>
                <w:szCs w:val="18"/>
              </w:rPr>
              <w:t>(d)</w:t>
            </w:r>
          </w:p>
        </w:tc>
        <w:tc>
          <w:tcPr>
            <w:tcW w:w="1134" w:type="dxa"/>
          </w:tcPr>
          <w:p w14:paraId="4EC47C4F" w14:textId="77777777" w:rsidR="00AB1156" w:rsidRPr="009102F0" w:rsidRDefault="00AB1156" w:rsidP="007970AB">
            <w:pPr>
              <w:rPr>
                <w:sz w:val="18"/>
                <w:szCs w:val="18"/>
              </w:rPr>
            </w:pPr>
            <w:r w:rsidRPr="009102F0">
              <w:rPr>
                <w:sz w:val="18"/>
                <w:szCs w:val="18"/>
              </w:rPr>
              <w:t>0.771</w:t>
            </w:r>
          </w:p>
        </w:tc>
        <w:tc>
          <w:tcPr>
            <w:tcW w:w="1276" w:type="dxa"/>
          </w:tcPr>
          <w:p w14:paraId="62E1B92A" w14:textId="77777777" w:rsidR="00AB1156" w:rsidRPr="009102F0" w:rsidRDefault="00AB1156" w:rsidP="007970AB">
            <w:pPr>
              <w:rPr>
                <w:sz w:val="18"/>
                <w:szCs w:val="18"/>
              </w:rPr>
            </w:pPr>
            <w:r w:rsidRPr="009102F0">
              <w:rPr>
                <w:sz w:val="18"/>
                <w:szCs w:val="18"/>
              </w:rPr>
              <w:t>4.43</w:t>
            </w:r>
          </w:p>
        </w:tc>
        <w:tc>
          <w:tcPr>
            <w:tcW w:w="1418" w:type="dxa"/>
          </w:tcPr>
          <w:p w14:paraId="088971A1" w14:textId="77777777" w:rsidR="00AB1156" w:rsidRPr="009102F0" w:rsidRDefault="00AB1156" w:rsidP="007970AB">
            <w:pPr>
              <w:rPr>
                <w:sz w:val="18"/>
                <w:szCs w:val="18"/>
              </w:rPr>
            </w:pPr>
            <w:r w:rsidRPr="009102F0">
              <w:rPr>
                <w:sz w:val="18"/>
                <w:szCs w:val="18"/>
              </w:rPr>
              <w:t>3228</w:t>
            </w:r>
          </w:p>
        </w:tc>
        <w:tc>
          <w:tcPr>
            <w:tcW w:w="1559" w:type="dxa"/>
          </w:tcPr>
          <w:p w14:paraId="1BD8DA26" w14:textId="77777777" w:rsidR="00AB1156" w:rsidRPr="009102F0" w:rsidRDefault="00AB1156" w:rsidP="007970AB">
            <w:pPr>
              <w:rPr>
                <w:rFonts w:ascii="Calibri" w:hAnsi="Calibri"/>
                <w:sz w:val="18"/>
                <w:szCs w:val="18"/>
              </w:rPr>
            </w:pPr>
            <w:r w:rsidRPr="009102F0">
              <w:rPr>
                <w:rFonts w:ascii="Calibri" w:hAnsi="Calibri"/>
                <w:sz w:val="18"/>
                <w:szCs w:val="18"/>
              </w:rPr>
              <w:t>$12</w:t>
            </w:r>
          </w:p>
        </w:tc>
      </w:tr>
      <w:tr w:rsidR="00AB1156" w:rsidRPr="009102F0" w14:paraId="6519F829" w14:textId="77777777" w:rsidTr="007970AB">
        <w:tc>
          <w:tcPr>
            <w:tcW w:w="1418" w:type="dxa"/>
            <w:gridSpan w:val="2"/>
            <w:vMerge/>
          </w:tcPr>
          <w:p w14:paraId="4974E5C2" w14:textId="77777777" w:rsidR="00AB1156" w:rsidRPr="009102F0" w:rsidRDefault="00AB1156" w:rsidP="007970AB">
            <w:pPr>
              <w:rPr>
                <w:sz w:val="18"/>
                <w:szCs w:val="18"/>
              </w:rPr>
            </w:pPr>
          </w:p>
        </w:tc>
        <w:tc>
          <w:tcPr>
            <w:tcW w:w="1417" w:type="dxa"/>
          </w:tcPr>
          <w:p w14:paraId="249F15FA" w14:textId="77777777" w:rsidR="00AB1156" w:rsidRPr="009102F0" w:rsidRDefault="00AB1156" w:rsidP="007970AB">
            <w:pPr>
              <w:rPr>
                <w:sz w:val="18"/>
                <w:szCs w:val="18"/>
              </w:rPr>
            </w:pPr>
            <w:r w:rsidRPr="009102F0">
              <w:rPr>
                <w:sz w:val="18"/>
                <w:szCs w:val="18"/>
              </w:rPr>
              <w:t>(e)</w:t>
            </w:r>
          </w:p>
        </w:tc>
        <w:tc>
          <w:tcPr>
            <w:tcW w:w="1134" w:type="dxa"/>
          </w:tcPr>
          <w:p w14:paraId="061ACAC7" w14:textId="77777777" w:rsidR="00AB1156" w:rsidRPr="009102F0" w:rsidRDefault="00AB1156" w:rsidP="007970AB">
            <w:pPr>
              <w:rPr>
                <w:sz w:val="18"/>
                <w:szCs w:val="18"/>
              </w:rPr>
            </w:pPr>
            <w:r w:rsidRPr="009102F0">
              <w:rPr>
                <w:sz w:val="18"/>
                <w:szCs w:val="18"/>
              </w:rPr>
              <w:t>0.806</w:t>
            </w:r>
          </w:p>
        </w:tc>
        <w:tc>
          <w:tcPr>
            <w:tcW w:w="1276" w:type="dxa"/>
          </w:tcPr>
          <w:p w14:paraId="4CE1D530" w14:textId="77777777" w:rsidR="00AB1156" w:rsidRPr="009102F0" w:rsidRDefault="00AB1156" w:rsidP="007970AB">
            <w:pPr>
              <w:rPr>
                <w:sz w:val="18"/>
                <w:szCs w:val="18"/>
              </w:rPr>
            </w:pPr>
            <w:r w:rsidRPr="009102F0">
              <w:rPr>
                <w:sz w:val="18"/>
                <w:szCs w:val="18"/>
              </w:rPr>
              <w:t>4.06</w:t>
            </w:r>
          </w:p>
        </w:tc>
        <w:tc>
          <w:tcPr>
            <w:tcW w:w="1418" w:type="dxa"/>
          </w:tcPr>
          <w:p w14:paraId="0EBC6250" w14:textId="77777777" w:rsidR="00AB1156" w:rsidRPr="009102F0" w:rsidRDefault="00AB1156" w:rsidP="007970AB">
            <w:pPr>
              <w:rPr>
                <w:sz w:val="18"/>
                <w:szCs w:val="18"/>
              </w:rPr>
            </w:pPr>
            <w:r w:rsidRPr="009102F0">
              <w:rPr>
                <w:sz w:val="18"/>
                <w:szCs w:val="18"/>
              </w:rPr>
              <w:t>8417</w:t>
            </w:r>
          </w:p>
        </w:tc>
        <w:tc>
          <w:tcPr>
            <w:tcW w:w="1559" w:type="dxa"/>
          </w:tcPr>
          <w:p w14:paraId="6C1462AA" w14:textId="77777777" w:rsidR="00AB1156" w:rsidRPr="009102F0" w:rsidRDefault="00AB1156" w:rsidP="007970AB">
            <w:pPr>
              <w:rPr>
                <w:rFonts w:ascii="Calibri" w:hAnsi="Calibri"/>
                <w:sz w:val="18"/>
                <w:szCs w:val="18"/>
              </w:rPr>
            </w:pPr>
            <w:r w:rsidRPr="009102F0">
              <w:rPr>
                <w:rFonts w:ascii="Calibri" w:hAnsi="Calibri"/>
                <w:sz w:val="18"/>
                <w:szCs w:val="18"/>
              </w:rPr>
              <w:t>$20</w:t>
            </w:r>
          </w:p>
        </w:tc>
      </w:tr>
      <w:tr w:rsidR="00523124" w:rsidRPr="009102F0" w14:paraId="53A13C0E" w14:textId="77777777" w:rsidTr="007970AB">
        <w:tc>
          <w:tcPr>
            <w:tcW w:w="1418" w:type="dxa"/>
            <w:gridSpan w:val="2"/>
            <w:vMerge w:val="restart"/>
          </w:tcPr>
          <w:p w14:paraId="6251851E" w14:textId="58DA18C5" w:rsidR="00523124" w:rsidRPr="001C60AF" w:rsidRDefault="00523124" w:rsidP="00523124">
            <w:pPr>
              <w:rPr>
                <w:sz w:val="18"/>
                <w:szCs w:val="18"/>
                <w:highlight w:val="lightGray"/>
              </w:rPr>
            </w:pPr>
            <w:r w:rsidRPr="001C60AF">
              <w:rPr>
                <w:sz w:val="18"/>
                <w:szCs w:val="18"/>
                <w:highlight w:val="lightGray"/>
              </w:rPr>
              <w:t>Alternative underlying adherence pattern</w:t>
            </w:r>
          </w:p>
        </w:tc>
        <w:tc>
          <w:tcPr>
            <w:tcW w:w="1417" w:type="dxa"/>
          </w:tcPr>
          <w:p w14:paraId="6C6CAF48" w14:textId="77777777" w:rsidR="00523124" w:rsidRPr="001C60AF" w:rsidRDefault="00523124" w:rsidP="00523124">
            <w:pPr>
              <w:rPr>
                <w:sz w:val="18"/>
                <w:szCs w:val="18"/>
                <w:highlight w:val="lightGray"/>
              </w:rPr>
            </w:pPr>
            <w:r w:rsidRPr="001C60AF">
              <w:rPr>
                <w:sz w:val="18"/>
                <w:szCs w:val="18"/>
                <w:highlight w:val="lightGray"/>
              </w:rPr>
              <w:t>No intervention</w:t>
            </w:r>
          </w:p>
        </w:tc>
        <w:tc>
          <w:tcPr>
            <w:tcW w:w="1134" w:type="dxa"/>
          </w:tcPr>
          <w:p w14:paraId="208D3FC4" w14:textId="02BEABC0" w:rsidR="00523124" w:rsidRPr="001C60AF" w:rsidRDefault="00523124" w:rsidP="00523124">
            <w:pPr>
              <w:rPr>
                <w:sz w:val="18"/>
                <w:szCs w:val="18"/>
                <w:highlight w:val="lightGray"/>
              </w:rPr>
            </w:pPr>
            <w:r w:rsidRPr="001C60AF">
              <w:rPr>
                <w:rFonts w:ascii="Calibri" w:hAnsi="Calibri"/>
                <w:color w:val="000000"/>
                <w:sz w:val="18"/>
                <w:szCs w:val="18"/>
                <w:highlight w:val="lightGray"/>
              </w:rPr>
              <w:t>0.719</w:t>
            </w:r>
          </w:p>
        </w:tc>
        <w:tc>
          <w:tcPr>
            <w:tcW w:w="1276" w:type="dxa"/>
          </w:tcPr>
          <w:p w14:paraId="65D3F72D" w14:textId="529F2240" w:rsidR="00523124" w:rsidRPr="001C60AF" w:rsidRDefault="00523124" w:rsidP="00523124">
            <w:pPr>
              <w:rPr>
                <w:sz w:val="18"/>
                <w:szCs w:val="18"/>
                <w:highlight w:val="lightGray"/>
              </w:rPr>
            </w:pPr>
            <w:r w:rsidRPr="001C60AF">
              <w:rPr>
                <w:rFonts w:ascii="Calibri" w:hAnsi="Calibri"/>
                <w:color w:val="000000"/>
                <w:sz w:val="18"/>
                <w:szCs w:val="18"/>
                <w:highlight w:val="lightGray"/>
              </w:rPr>
              <w:t>4.87</w:t>
            </w:r>
          </w:p>
        </w:tc>
        <w:tc>
          <w:tcPr>
            <w:tcW w:w="1418" w:type="dxa"/>
          </w:tcPr>
          <w:p w14:paraId="0FBE634D" w14:textId="2D80DA24" w:rsidR="00523124" w:rsidRPr="001C60AF" w:rsidRDefault="00523124" w:rsidP="00523124">
            <w:pPr>
              <w:rPr>
                <w:sz w:val="18"/>
                <w:szCs w:val="18"/>
                <w:highlight w:val="lightGray"/>
              </w:rPr>
            </w:pPr>
            <w:r w:rsidRPr="001C60AF">
              <w:rPr>
                <w:rFonts w:ascii="Calibri" w:hAnsi="Calibri"/>
                <w:color w:val="000000"/>
                <w:sz w:val="18"/>
                <w:szCs w:val="18"/>
                <w:highlight w:val="lightGray"/>
              </w:rPr>
              <w:t>.</w:t>
            </w:r>
          </w:p>
        </w:tc>
        <w:tc>
          <w:tcPr>
            <w:tcW w:w="1559" w:type="dxa"/>
          </w:tcPr>
          <w:p w14:paraId="15F42E4F" w14:textId="77777777" w:rsidR="00523124" w:rsidRPr="00523124" w:rsidRDefault="00523124" w:rsidP="00523124">
            <w:pPr>
              <w:rPr>
                <w:sz w:val="18"/>
                <w:szCs w:val="18"/>
                <w:highlight w:val="yellow"/>
              </w:rPr>
            </w:pPr>
          </w:p>
        </w:tc>
      </w:tr>
      <w:tr w:rsidR="00523124" w:rsidRPr="009102F0" w14:paraId="315BDC11" w14:textId="77777777" w:rsidTr="007970AB">
        <w:tc>
          <w:tcPr>
            <w:tcW w:w="1418" w:type="dxa"/>
            <w:gridSpan w:val="2"/>
            <w:vMerge/>
          </w:tcPr>
          <w:p w14:paraId="6B89B721" w14:textId="77777777" w:rsidR="00523124" w:rsidRPr="001C60AF" w:rsidRDefault="00523124" w:rsidP="00523124">
            <w:pPr>
              <w:rPr>
                <w:sz w:val="18"/>
                <w:szCs w:val="18"/>
                <w:highlight w:val="lightGray"/>
              </w:rPr>
            </w:pPr>
          </w:p>
        </w:tc>
        <w:tc>
          <w:tcPr>
            <w:tcW w:w="1417" w:type="dxa"/>
          </w:tcPr>
          <w:p w14:paraId="1D436939" w14:textId="77777777" w:rsidR="00523124" w:rsidRPr="001C60AF" w:rsidRDefault="00523124" w:rsidP="00523124">
            <w:pPr>
              <w:rPr>
                <w:sz w:val="18"/>
                <w:szCs w:val="18"/>
                <w:highlight w:val="lightGray"/>
              </w:rPr>
            </w:pPr>
            <w:r w:rsidRPr="001C60AF">
              <w:rPr>
                <w:sz w:val="18"/>
                <w:szCs w:val="18"/>
                <w:highlight w:val="lightGray"/>
              </w:rPr>
              <w:t>(a)</w:t>
            </w:r>
          </w:p>
        </w:tc>
        <w:tc>
          <w:tcPr>
            <w:tcW w:w="1134" w:type="dxa"/>
          </w:tcPr>
          <w:p w14:paraId="3E28697A" w14:textId="24124399" w:rsidR="00523124" w:rsidRPr="001C60AF" w:rsidRDefault="00523124" w:rsidP="00523124">
            <w:pPr>
              <w:rPr>
                <w:sz w:val="18"/>
                <w:szCs w:val="18"/>
                <w:highlight w:val="lightGray"/>
              </w:rPr>
            </w:pPr>
            <w:r w:rsidRPr="001C60AF">
              <w:rPr>
                <w:rFonts w:ascii="Calibri" w:hAnsi="Calibri"/>
                <w:color w:val="000000"/>
                <w:sz w:val="18"/>
                <w:szCs w:val="18"/>
                <w:highlight w:val="lightGray"/>
              </w:rPr>
              <w:t>0.743</w:t>
            </w:r>
          </w:p>
        </w:tc>
        <w:tc>
          <w:tcPr>
            <w:tcW w:w="1276" w:type="dxa"/>
          </w:tcPr>
          <w:p w14:paraId="2F6348E2" w14:textId="7FBE4663" w:rsidR="00523124" w:rsidRPr="001C60AF" w:rsidRDefault="00523124" w:rsidP="00523124">
            <w:pPr>
              <w:rPr>
                <w:sz w:val="18"/>
                <w:szCs w:val="18"/>
                <w:highlight w:val="lightGray"/>
              </w:rPr>
            </w:pPr>
            <w:r w:rsidRPr="001C60AF">
              <w:rPr>
                <w:rFonts w:ascii="Calibri" w:hAnsi="Calibri"/>
                <w:color w:val="000000"/>
                <w:sz w:val="18"/>
                <w:szCs w:val="18"/>
                <w:highlight w:val="lightGray"/>
              </w:rPr>
              <w:t>4.62</w:t>
            </w:r>
          </w:p>
        </w:tc>
        <w:tc>
          <w:tcPr>
            <w:tcW w:w="1418" w:type="dxa"/>
          </w:tcPr>
          <w:p w14:paraId="0EEFDE98" w14:textId="276F558E" w:rsidR="00523124" w:rsidRPr="001C60AF" w:rsidRDefault="00523124" w:rsidP="00523124">
            <w:pPr>
              <w:rPr>
                <w:sz w:val="18"/>
                <w:szCs w:val="18"/>
                <w:highlight w:val="lightGray"/>
              </w:rPr>
            </w:pPr>
            <w:r w:rsidRPr="001C60AF">
              <w:rPr>
                <w:rFonts w:ascii="Calibri" w:hAnsi="Calibri"/>
                <w:color w:val="000000"/>
                <w:sz w:val="18"/>
                <w:szCs w:val="18"/>
                <w:highlight w:val="lightGray"/>
              </w:rPr>
              <w:t>3467</w:t>
            </w:r>
          </w:p>
        </w:tc>
        <w:tc>
          <w:tcPr>
            <w:tcW w:w="1559" w:type="dxa"/>
          </w:tcPr>
          <w:p w14:paraId="233B348D" w14:textId="191D65DA" w:rsidR="00523124" w:rsidRPr="00523124" w:rsidRDefault="001C60AF" w:rsidP="00523124">
            <w:pPr>
              <w:rPr>
                <w:rFonts w:ascii="Calibri" w:hAnsi="Calibri"/>
                <w:sz w:val="18"/>
                <w:szCs w:val="18"/>
                <w:highlight w:val="yellow"/>
              </w:rPr>
            </w:pPr>
            <w:r w:rsidRPr="001C60AF">
              <w:rPr>
                <w:rFonts w:ascii="Calibri" w:hAnsi="Calibri"/>
                <w:sz w:val="18"/>
                <w:szCs w:val="18"/>
                <w:highlight w:val="lightGray"/>
              </w:rPr>
              <w:t>$40</w:t>
            </w:r>
          </w:p>
        </w:tc>
      </w:tr>
      <w:tr w:rsidR="00523124" w:rsidRPr="009102F0" w14:paraId="1DDC64CC" w14:textId="77777777" w:rsidTr="007970AB">
        <w:tc>
          <w:tcPr>
            <w:tcW w:w="1418" w:type="dxa"/>
            <w:gridSpan w:val="2"/>
            <w:vMerge/>
          </w:tcPr>
          <w:p w14:paraId="2C163FA9" w14:textId="77777777" w:rsidR="00523124" w:rsidRPr="001C60AF" w:rsidRDefault="00523124" w:rsidP="00523124">
            <w:pPr>
              <w:rPr>
                <w:sz w:val="18"/>
                <w:szCs w:val="18"/>
                <w:highlight w:val="lightGray"/>
              </w:rPr>
            </w:pPr>
          </w:p>
        </w:tc>
        <w:tc>
          <w:tcPr>
            <w:tcW w:w="1417" w:type="dxa"/>
          </w:tcPr>
          <w:p w14:paraId="6C94F4CF" w14:textId="77777777" w:rsidR="00523124" w:rsidRPr="001C60AF" w:rsidRDefault="00523124" w:rsidP="00523124">
            <w:pPr>
              <w:rPr>
                <w:sz w:val="18"/>
                <w:szCs w:val="18"/>
                <w:highlight w:val="lightGray"/>
              </w:rPr>
            </w:pPr>
            <w:r w:rsidRPr="001C60AF">
              <w:rPr>
                <w:sz w:val="18"/>
                <w:szCs w:val="18"/>
                <w:highlight w:val="lightGray"/>
              </w:rPr>
              <w:t>(b)</w:t>
            </w:r>
          </w:p>
        </w:tc>
        <w:tc>
          <w:tcPr>
            <w:tcW w:w="1134" w:type="dxa"/>
          </w:tcPr>
          <w:p w14:paraId="29808ECE" w14:textId="0DC51154" w:rsidR="00523124" w:rsidRPr="001C60AF" w:rsidRDefault="00523124" w:rsidP="00523124">
            <w:pPr>
              <w:rPr>
                <w:sz w:val="18"/>
                <w:szCs w:val="18"/>
                <w:highlight w:val="lightGray"/>
              </w:rPr>
            </w:pPr>
            <w:r w:rsidRPr="001C60AF">
              <w:rPr>
                <w:rFonts w:ascii="Calibri" w:hAnsi="Calibri"/>
                <w:color w:val="000000"/>
                <w:sz w:val="18"/>
                <w:szCs w:val="18"/>
                <w:highlight w:val="lightGray"/>
              </w:rPr>
              <w:t>0.776</w:t>
            </w:r>
          </w:p>
        </w:tc>
        <w:tc>
          <w:tcPr>
            <w:tcW w:w="1276" w:type="dxa"/>
          </w:tcPr>
          <w:p w14:paraId="43F33400" w14:textId="14C505DB" w:rsidR="00523124" w:rsidRPr="001C60AF" w:rsidRDefault="00523124" w:rsidP="00523124">
            <w:pPr>
              <w:rPr>
                <w:sz w:val="18"/>
                <w:szCs w:val="18"/>
                <w:highlight w:val="lightGray"/>
              </w:rPr>
            </w:pPr>
            <w:r w:rsidRPr="001C60AF">
              <w:rPr>
                <w:rFonts w:ascii="Calibri" w:hAnsi="Calibri"/>
                <w:color w:val="000000"/>
                <w:sz w:val="18"/>
                <w:szCs w:val="18"/>
                <w:highlight w:val="lightGray"/>
              </w:rPr>
              <w:t>4.25</w:t>
            </w:r>
          </w:p>
        </w:tc>
        <w:tc>
          <w:tcPr>
            <w:tcW w:w="1418" w:type="dxa"/>
          </w:tcPr>
          <w:p w14:paraId="641EC28F" w14:textId="15557DAB" w:rsidR="00523124" w:rsidRPr="00760621" w:rsidRDefault="00523124" w:rsidP="00523124">
            <w:pPr>
              <w:rPr>
                <w:sz w:val="18"/>
                <w:szCs w:val="18"/>
                <w:highlight w:val="lightGray"/>
              </w:rPr>
            </w:pPr>
            <w:r w:rsidRPr="00760621">
              <w:rPr>
                <w:rFonts w:ascii="Calibri" w:hAnsi="Calibri"/>
                <w:color w:val="000000"/>
                <w:sz w:val="18"/>
                <w:szCs w:val="18"/>
                <w:highlight w:val="lightGray"/>
              </w:rPr>
              <w:t>7815</w:t>
            </w:r>
          </w:p>
        </w:tc>
        <w:tc>
          <w:tcPr>
            <w:tcW w:w="1559" w:type="dxa"/>
          </w:tcPr>
          <w:p w14:paraId="0B1ACAA2" w14:textId="7738AD37" w:rsidR="00523124" w:rsidRPr="00760621" w:rsidRDefault="00760621" w:rsidP="00523124">
            <w:pPr>
              <w:rPr>
                <w:rFonts w:ascii="Calibri" w:hAnsi="Calibri"/>
                <w:sz w:val="18"/>
                <w:szCs w:val="18"/>
                <w:highlight w:val="lightGray"/>
              </w:rPr>
            </w:pPr>
            <w:r w:rsidRPr="00760621">
              <w:rPr>
                <w:rFonts w:ascii="Calibri" w:hAnsi="Calibri"/>
                <w:sz w:val="18"/>
                <w:szCs w:val="18"/>
                <w:highlight w:val="lightGray"/>
              </w:rPr>
              <w:t>$45</w:t>
            </w:r>
          </w:p>
        </w:tc>
      </w:tr>
      <w:tr w:rsidR="00523124" w:rsidRPr="009102F0" w14:paraId="0D6D009C" w14:textId="77777777" w:rsidTr="007970AB">
        <w:tc>
          <w:tcPr>
            <w:tcW w:w="1418" w:type="dxa"/>
            <w:gridSpan w:val="2"/>
            <w:vMerge/>
          </w:tcPr>
          <w:p w14:paraId="2B13A593" w14:textId="77777777" w:rsidR="00523124" w:rsidRPr="001C60AF" w:rsidRDefault="00523124" w:rsidP="00523124">
            <w:pPr>
              <w:rPr>
                <w:sz w:val="18"/>
                <w:szCs w:val="18"/>
                <w:highlight w:val="lightGray"/>
              </w:rPr>
            </w:pPr>
          </w:p>
        </w:tc>
        <w:tc>
          <w:tcPr>
            <w:tcW w:w="1417" w:type="dxa"/>
          </w:tcPr>
          <w:p w14:paraId="2BC3CC79" w14:textId="77777777" w:rsidR="00523124" w:rsidRPr="001C60AF" w:rsidRDefault="00523124" w:rsidP="00523124">
            <w:pPr>
              <w:rPr>
                <w:sz w:val="18"/>
                <w:szCs w:val="18"/>
                <w:highlight w:val="lightGray"/>
              </w:rPr>
            </w:pPr>
            <w:r w:rsidRPr="001C60AF">
              <w:rPr>
                <w:sz w:val="18"/>
                <w:szCs w:val="18"/>
                <w:highlight w:val="lightGray"/>
              </w:rPr>
              <w:t>(c)</w:t>
            </w:r>
          </w:p>
        </w:tc>
        <w:tc>
          <w:tcPr>
            <w:tcW w:w="1134" w:type="dxa"/>
          </w:tcPr>
          <w:p w14:paraId="11881028" w14:textId="31CD30F2" w:rsidR="00523124" w:rsidRPr="001C60AF" w:rsidRDefault="00523124" w:rsidP="00523124">
            <w:pPr>
              <w:rPr>
                <w:sz w:val="18"/>
                <w:szCs w:val="18"/>
                <w:highlight w:val="lightGray"/>
              </w:rPr>
            </w:pPr>
            <w:r w:rsidRPr="001C60AF">
              <w:rPr>
                <w:rFonts w:ascii="Calibri" w:hAnsi="Calibri"/>
                <w:color w:val="000000"/>
                <w:sz w:val="18"/>
                <w:szCs w:val="18"/>
                <w:highlight w:val="lightGray"/>
              </w:rPr>
              <w:t>0.745</w:t>
            </w:r>
          </w:p>
        </w:tc>
        <w:tc>
          <w:tcPr>
            <w:tcW w:w="1276" w:type="dxa"/>
          </w:tcPr>
          <w:p w14:paraId="2BE08BF9" w14:textId="3BDF7B9F" w:rsidR="00523124" w:rsidRPr="001C60AF" w:rsidRDefault="00523124" w:rsidP="00523124">
            <w:pPr>
              <w:rPr>
                <w:sz w:val="18"/>
                <w:szCs w:val="18"/>
                <w:highlight w:val="lightGray"/>
              </w:rPr>
            </w:pPr>
            <w:r w:rsidRPr="001C60AF">
              <w:rPr>
                <w:rFonts w:ascii="Calibri" w:hAnsi="Calibri"/>
                <w:color w:val="000000"/>
                <w:sz w:val="18"/>
                <w:szCs w:val="18"/>
                <w:highlight w:val="lightGray"/>
              </w:rPr>
              <w:t>4.51</w:t>
            </w:r>
          </w:p>
        </w:tc>
        <w:tc>
          <w:tcPr>
            <w:tcW w:w="1418" w:type="dxa"/>
          </w:tcPr>
          <w:p w14:paraId="6066A732" w14:textId="49B000E8" w:rsidR="00523124" w:rsidRPr="001C60AF" w:rsidRDefault="00523124" w:rsidP="00523124">
            <w:pPr>
              <w:rPr>
                <w:sz w:val="18"/>
                <w:szCs w:val="18"/>
                <w:highlight w:val="lightGray"/>
              </w:rPr>
            </w:pPr>
            <w:r w:rsidRPr="001C60AF">
              <w:rPr>
                <w:rFonts w:ascii="Calibri" w:hAnsi="Calibri"/>
                <w:color w:val="000000"/>
                <w:sz w:val="18"/>
                <w:szCs w:val="18"/>
                <w:highlight w:val="lightGray"/>
              </w:rPr>
              <w:t>4608</w:t>
            </w:r>
          </w:p>
        </w:tc>
        <w:tc>
          <w:tcPr>
            <w:tcW w:w="1559" w:type="dxa"/>
          </w:tcPr>
          <w:p w14:paraId="5D291DE7" w14:textId="63095FF9" w:rsidR="00523124" w:rsidRPr="00760621" w:rsidRDefault="00523124" w:rsidP="00523124">
            <w:pPr>
              <w:rPr>
                <w:rFonts w:ascii="Calibri" w:hAnsi="Calibri"/>
                <w:sz w:val="18"/>
                <w:szCs w:val="18"/>
                <w:highlight w:val="lightGray"/>
              </w:rPr>
            </w:pPr>
            <w:r w:rsidRPr="00760621">
              <w:rPr>
                <w:rFonts w:ascii="Calibri" w:hAnsi="Calibri"/>
                <w:sz w:val="18"/>
                <w:szCs w:val="18"/>
                <w:highlight w:val="lightGray"/>
              </w:rPr>
              <w:t>$31</w:t>
            </w:r>
          </w:p>
        </w:tc>
      </w:tr>
      <w:tr w:rsidR="00523124" w:rsidRPr="009102F0" w14:paraId="62442B5D" w14:textId="77777777" w:rsidTr="007970AB">
        <w:tc>
          <w:tcPr>
            <w:tcW w:w="1418" w:type="dxa"/>
            <w:gridSpan w:val="2"/>
            <w:vMerge/>
          </w:tcPr>
          <w:p w14:paraId="29BD2469" w14:textId="77777777" w:rsidR="00523124" w:rsidRPr="001C60AF" w:rsidRDefault="00523124" w:rsidP="00523124">
            <w:pPr>
              <w:rPr>
                <w:sz w:val="18"/>
                <w:szCs w:val="18"/>
                <w:highlight w:val="lightGray"/>
              </w:rPr>
            </w:pPr>
          </w:p>
        </w:tc>
        <w:tc>
          <w:tcPr>
            <w:tcW w:w="1417" w:type="dxa"/>
          </w:tcPr>
          <w:p w14:paraId="582A8B69" w14:textId="77777777" w:rsidR="00523124" w:rsidRPr="001C60AF" w:rsidRDefault="00523124" w:rsidP="00523124">
            <w:pPr>
              <w:rPr>
                <w:sz w:val="18"/>
                <w:szCs w:val="18"/>
                <w:highlight w:val="lightGray"/>
              </w:rPr>
            </w:pPr>
            <w:r w:rsidRPr="001C60AF">
              <w:rPr>
                <w:sz w:val="18"/>
                <w:szCs w:val="18"/>
                <w:highlight w:val="lightGray"/>
              </w:rPr>
              <w:t>(d)</w:t>
            </w:r>
          </w:p>
        </w:tc>
        <w:tc>
          <w:tcPr>
            <w:tcW w:w="1134" w:type="dxa"/>
          </w:tcPr>
          <w:p w14:paraId="73332EFB" w14:textId="2A225615" w:rsidR="00523124" w:rsidRPr="001C60AF" w:rsidRDefault="00523124" w:rsidP="00523124">
            <w:pPr>
              <w:rPr>
                <w:sz w:val="18"/>
                <w:szCs w:val="18"/>
                <w:highlight w:val="lightGray"/>
              </w:rPr>
            </w:pPr>
            <w:r w:rsidRPr="001C60AF">
              <w:rPr>
                <w:rFonts w:ascii="Calibri" w:hAnsi="Calibri"/>
                <w:color w:val="000000"/>
                <w:sz w:val="18"/>
                <w:szCs w:val="18"/>
                <w:highlight w:val="lightGray"/>
              </w:rPr>
              <w:t>0.759</w:t>
            </w:r>
          </w:p>
        </w:tc>
        <w:tc>
          <w:tcPr>
            <w:tcW w:w="1276" w:type="dxa"/>
          </w:tcPr>
          <w:p w14:paraId="0D9E4C59" w14:textId="2DFB36AA" w:rsidR="00523124" w:rsidRPr="001C60AF" w:rsidRDefault="00523124" w:rsidP="00523124">
            <w:pPr>
              <w:rPr>
                <w:sz w:val="18"/>
                <w:szCs w:val="18"/>
                <w:highlight w:val="lightGray"/>
              </w:rPr>
            </w:pPr>
            <w:r w:rsidRPr="001C60AF">
              <w:rPr>
                <w:rFonts w:ascii="Calibri" w:hAnsi="Calibri"/>
                <w:color w:val="000000"/>
                <w:sz w:val="18"/>
                <w:szCs w:val="18"/>
                <w:highlight w:val="lightGray"/>
              </w:rPr>
              <w:t>4.55</w:t>
            </w:r>
          </w:p>
        </w:tc>
        <w:tc>
          <w:tcPr>
            <w:tcW w:w="1418" w:type="dxa"/>
          </w:tcPr>
          <w:p w14:paraId="0CE39ADF" w14:textId="5A4682CF" w:rsidR="00523124" w:rsidRPr="001C60AF" w:rsidRDefault="00523124" w:rsidP="00523124">
            <w:pPr>
              <w:rPr>
                <w:sz w:val="18"/>
                <w:szCs w:val="18"/>
                <w:highlight w:val="lightGray"/>
              </w:rPr>
            </w:pPr>
            <w:r w:rsidRPr="001C60AF">
              <w:rPr>
                <w:rFonts w:ascii="Calibri" w:hAnsi="Calibri"/>
                <w:color w:val="000000"/>
                <w:sz w:val="18"/>
                <w:szCs w:val="18"/>
                <w:highlight w:val="lightGray"/>
              </w:rPr>
              <w:t>4017</w:t>
            </w:r>
          </w:p>
        </w:tc>
        <w:tc>
          <w:tcPr>
            <w:tcW w:w="1559" w:type="dxa"/>
          </w:tcPr>
          <w:p w14:paraId="12B91AC1" w14:textId="20746999" w:rsidR="00523124" w:rsidRPr="00760621" w:rsidRDefault="00760621" w:rsidP="00523124">
            <w:pPr>
              <w:rPr>
                <w:rFonts w:ascii="Calibri" w:hAnsi="Calibri"/>
                <w:sz w:val="18"/>
                <w:szCs w:val="18"/>
                <w:highlight w:val="lightGray"/>
              </w:rPr>
            </w:pPr>
            <w:r w:rsidRPr="00760621">
              <w:rPr>
                <w:rFonts w:ascii="Calibri" w:hAnsi="Calibri"/>
                <w:sz w:val="18"/>
                <w:szCs w:val="18"/>
                <w:highlight w:val="lightGray"/>
              </w:rPr>
              <w:t>$45</w:t>
            </w:r>
          </w:p>
        </w:tc>
      </w:tr>
      <w:tr w:rsidR="00523124" w:rsidRPr="009102F0" w14:paraId="3AB726CE" w14:textId="77777777" w:rsidTr="007970AB">
        <w:tc>
          <w:tcPr>
            <w:tcW w:w="1418" w:type="dxa"/>
            <w:gridSpan w:val="2"/>
            <w:vMerge/>
          </w:tcPr>
          <w:p w14:paraId="6C407309" w14:textId="77777777" w:rsidR="00523124" w:rsidRPr="001C60AF" w:rsidRDefault="00523124" w:rsidP="00523124">
            <w:pPr>
              <w:rPr>
                <w:sz w:val="18"/>
                <w:szCs w:val="18"/>
                <w:highlight w:val="lightGray"/>
              </w:rPr>
            </w:pPr>
          </w:p>
        </w:tc>
        <w:tc>
          <w:tcPr>
            <w:tcW w:w="1417" w:type="dxa"/>
          </w:tcPr>
          <w:p w14:paraId="7F8A21D1" w14:textId="77777777" w:rsidR="00523124" w:rsidRPr="001C60AF" w:rsidRDefault="00523124" w:rsidP="00523124">
            <w:pPr>
              <w:rPr>
                <w:sz w:val="18"/>
                <w:szCs w:val="18"/>
                <w:highlight w:val="lightGray"/>
              </w:rPr>
            </w:pPr>
            <w:r w:rsidRPr="001C60AF">
              <w:rPr>
                <w:sz w:val="18"/>
                <w:szCs w:val="18"/>
                <w:highlight w:val="lightGray"/>
              </w:rPr>
              <w:t>(e)</w:t>
            </w:r>
          </w:p>
        </w:tc>
        <w:tc>
          <w:tcPr>
            <w:tcW w:w="1134" w:type="dxa"/>
          </w:tcPr>
          <w:p w14:paraId="71405160" w14:textId="6824F74C" w:rsidR="00523124" w:rsidRPr="001C60AF" w:rsidRDefault="00523124" w:rsidP="00523124">
            <w:pPr>
              <w:rPr>
                <w:sz w:val="18"/>
                <w:szCs w:val="18"/>
                <w:highlight w:val="lightGray"/>
              </w:rPr>
            </w:pPr>
            <w:r w:rsidRPr="001C60AF">
              <w:rPr>
                <w:rFonts w:ascii="Calibri" w:hAnsi="Calibri"/>
                <w:color w:val="000000"/>
                <w:sz w:val="18"/>
                <w:szCs w:val="18"/>
                <w:highlight w:val="lightGray"/>
              </w:rPr>
              <w:t>0.795</w:t>
            </w:r>
          </w:p>
        </w:tc>
        <w:tc>
          <w:tcPr>
            <w:tcW w:w="1276" w:type="dxa"/>
          </w:tcPr>
          <w:p w14:paraId="4B7EB2DB" w14:textId="7EC322B2" w:rsidR="00523124" w:rsidRPr="001C60AF" w:rsidRDefault="00523124" w:rsidP="00523124">
            <w:pPr>
              <w:rPr>
                <w:sz w:val="18"/>
                <w:szCs w:val="18"/>
                <w:highlight w:val="lightGray"/>
              </w:rPr>
            </w:pPr>
            <w:r w:rsidRPr="001C60AF">
              <w:rPr>
                <w:rFonts w:ascii="Calibri" w:hAnsi="Calibri"/>
                <w:color w:val="000000"/>
                <w:sz w:val="18"/>
                <w:szCs w:val="18"/>
                <w:highlight w:val="lightGray"/>
              </w:rPr>
              <w:t>4.15</w:t>
            </w:r>
          </w:p>
        </w:tc>
        <w:tc>
          <w:tcPr>
            <w:tcW w:w="1418" w:type="dxa"/>
          </w:tcPr>
          <w:p w14:paraId="56A05373" w14:textId="6C17E18C" w:rsidR="00523124" w:rsidRPr="001C60AF" w:rsidRDefault="00523124" w:rsidP="00523124">
            <w:pPr>
              <w:rPr>
                <w:sz w:val="18"/>
                <w:szCs w:val="18"/>
                <w:highlight w:val="lightGray"/>
              </w:rPr>
            </w:pPr>
            <w:r w:rsidRPr="001C60AF">
              <w:rPr>
                <w:rFonts w:ascii="Calibri" w:hAnsi="Calibri"/>
                <w:color w:val="000000"/>
                <w:sz w:val="18"/>
                <w:szCs w:val="18"/>
                <w:highlight w:val="lightGray"/>
              </w:rPr>
              <w:t>9448</w:t>
            </w:r>
          </w:p>
        </w:tc>
        <w:tc>
          <w:tcPr>
            <w:tcW w:w="1559" w:type="dxa"/>
          </w:tcPr>
          <w:p w14:paraId="5FAE3F16" w14:textId="5C599CE9" w:rsidR="00523124" w:rsidRPr="00760621" w:rsidRDefault="00CE6FDC" w:rsidP="00523124">
            <w:pPr>
              <w:rPr>
                <w:rFonts w:ascii="Calibri" w:hAnsi="Calibri"/>
                <w:sz w:val="18"/>
                <w:szCs w:val="18"/>
                <w:highlight w:val="lightGray"/>
              </w:rPr>
            </w:pPr>
            <w:r>
              <w:rPr>
                <w:rFonts w:ascii="Calibri" w:hAnsi="Calibri"/>
                <w:sz w:val="18"/>
                <w:szCs w:val="18"/>
                <w:highlight w:val="lightGray"/>
              </w:rPr>
              <w:t>$54</w:t>
            </w:r>
          </w:p>
        </w:tc>
      </w:tr>
    </w:tbl>
    <w:p w14:paraId="424EF4DD" w14:textId="77777777" w:rsidR="00641E66" w:rsidRPr="009102F0" w:rsidRDefault="00641E66" w:rsidP="00641E66">
      <w:r w:rsidRPr="009102F0">
        <w:rPr>
          <w:b/>
          <w:color w:val="C00000"/>
        </w:rPr>
        <w:t xml:space="preserve">(b) Viral load monitoring </w:t>
      </w:r>
    </w:p>
    <w:tbl>
      <w:tblPr>
        <w:tblStyle w:val="TableGrid"/>
        <w:tblW w:w="8222" w:type="dxa"/>
        <w:tblLayout w:type="fixed"/>
        <w:tblLook w:val="04A0" w:firstRow="1" w:lastRow="0" w:firstColumn="1" w:lastColumn="0" w:noHBand="0" w:noVBand="1"/>
      </w:tblPr>
      <w:tblGrid>
        <w:gridCol w:w="1218"/>
        <w:gridCol w:w="200"/>
        <w:gridCol w:w="1410"/>
        <w:gridCol w:w="7"/>
        <w:gridCol w:w="1134"/>
        <w:gridCol w:w="7"/>
        <w:gridCol w:w="1269"/>
        <w:gridCol w:w="19"/>
        <w:gridCol w:w="1399"/>
        <w:gridCol w:w="1559"/>
      </w:tblGrid>
      <w:tr w:rsidR="00641E66" w:rsidRPr="009102F0" w14:paraId="338E0B1C" w14:textId="77777777" w:rsidTr="00523124">
        <w:trPr>
          <w:gridAfter w:val="9"/>
          <w:wAfter w:w="7004" w:type="dxa"/>
        </w:trPr>
        <w:tc>
          <w:tcPr>
            <w:tcW w:w="1218" w:type="dxa"/>
            <w:tcBorders>
              <w:top w:val="nil"/>
              <w:left w:val="nil"/>
              <w:right w:val="nil"/>
            </w:tcBorders>
          </w:tcPr>
          <w:p w14:paraId="6A149B13" w14:textId="77777777" w:rsidR="00641E66" w:rsidRPr="009102F0" w:rsidRDefault="00641E66" w:rsidP="0073510C">
            <w:pPr>
              <w:rPr>
                <w:color w:val="C00000"/>
                <w:sz w:val="20"/>
                <w:szCs w:val="20"/>
              </w:rPr>
            </w:pPr>
          </w:p>
        </w:tc>
      </w:tr>
      <w:tr w:rsidR="00641E66" w:rsidRPr="009102F0" w14:paraId="630CAEF6" w14:textId="77777777" w:rsidTr="00523124">
        <w:tc>
          <w:tcPr>
            <w:tcW w:w="1418" w:type="dxa"/>
            <w:gridSpan w:val="2"/>
          </w:tcPr>
          <w:p w14:paraId="6B4CF787" w14:textId="77777777" w:rsidR="00641E66" w:rsidRPr="009102F0" w:rsidRDefault="00641E66" w:rsidP="0073510C">
            <w:pPr>
              <w:rPr>
                <w:rFonts w:eastAsia="Times New Roman" w:cs="Times New Roman"/>
                <w:color w:val="000000"/>
                <w:sz w:val="18"/>
                <w:szCs w:val="18"/>
                <w:lang w:eastAsia="en-GB"/>
              </w:rPr>
            </w:pPr>
            <w:r w:rsidRPr="009102F0">
              <w:rPr>
                <w:rFonts w:eastAsia="Times New Roman" w:cs="Times New Roman"/>
                <w:color w:val="000000"/>
                <w:sz w:val="18"/>
                <w:szCs w:val="18"/>
                <w:lang w:eastAsia="en-GB"/>
              </w:rPr>
              <w:t>Sensitivity analysis</w:t>
            </w:r>
          </w:p>
        </w:tc>
        <w:tc>
          <w:tcPr>
            <w:tcW w:w="1410" w:type="dxa"/>
          </w:tcPr>
          <w:p w14:paraId="02C0E564" w14:textId="77777777" w:rsidR="00641E66" w:rsidRPr="009102F0" w:rsidRDefault="00641E66" w:rsidP="0073510C">
            <w:pPr>
              <w:rPr>
                <w:rFonts w:eastAsia="Times New Roman" w:cs="Times New Roman"/>
                <w:color w:val="000000"/>
                <w:sz w:val="18"/>
                <w:szCs w:val="18"/>
                <w:lang w:eastAsia="en-GB"/>
              </w:rPr>
            </w:pPr>
            <w:r w:rsidRPr="009102F0">
              <w:rPr>
                <w:rFonts w:eastAsia="Times New Roman" w:cs="Times New Roman"/>
                <w:color w:val="000000"/>
                <w:sz w:val="18"/>
                <w:szCs w:val="18"/>
                <w:lang w:eastAsia="en-GB"/>
              </w:rPr>
              <w:t xml:space="preserve">Components intervention    </w:t>
            </w:r>
          </w:p>
          <w:p w14:paraId="3D2CDDCF" w14:textId="77777777" w:rsidR="00641E66" w:rsidRPr="009102F0" w:rsidRDefault="00641E66" w:rsidP="0073510C">
            <w:pPr>
              <w:rPr>
                <w:rFonts w:eastAsia="Times New Roman" w:cs="Times New Roman"/>
                <w:color w:val="000000"/>
                <w:sz w:val="18"/>
                <w:szCs w:val="18"/>
                <w:lang w:eastAsia="en-GB"/>
              </w:rPr>
            </w:pPr>
            <w:r w:rsidRPr="009102F0">
              <w:rPr>
                <w:rFonts w:eastAsia="Times New Roman" w:cs="Times New Roman"/>
                <w:color w:val="000000"/>
                <w:sz w:val="18"/>
                <w:szCs w:val="18"/>
                <w:lang w:eastAsia="en-GB"/>
              </w:rPr>
              <w:t>has beneficial effect on</w:t>
            </w:r>
          </w:p>
          <w:p w14:paraId="7D4615AE" w14:textId="77777777" w:rsidR="00641E66" w:rsidRPr="009102F0" w:rsidRDefault="00641E66" w:rsidP="0073510C">
            <w:pPr>
              <w:rPr>
                <w:sz w:val="18"/>
                <w:szCs w:val="18"/>
              </w:rPr>
            </w:pPr>
          </w:p>
        </w:tc>
        <w:tc>
          <w:tcPr>
            <w:tcW w:w="1148" w:type="dxa"/>
            <w:gridSpan w:val="3"/>
          </w:tcPr>
          <w:p w14:paraId="04BAAFFF" w14:textId="77777777" w:rsidR="00641E66" w:rsidRPr="009102F0" w:rsidRDefault="00641E66" w:rsidP="0073510C">
            <w:pPr>
              <w:rPr>
                <w:sz w:val="18"/>
                <w:szCs w:val="18"/>
              </w:rPr>
            </w:pPr>
            <w:r w:rsidRPr="009102F0">
              <w:rPr>
                <w:sz w:val="18"/>
                <w:szCs w:val="18"/>
              </w:rPr>
              <w:t>Proportion</w:t>
            </w:r>
          </w:p>
          <w:p w14:paraId="08FE7FD0" w14:textId="77777777" w:rsidR="00641E66" w:rsidRPr="009102F0" w:rsidRDefault="00641E66" w:rsidP="0073510C">
            <w:pPr>
              <w:rPr>
                <w:sz w:val="18"/>
                <w:szCs w:val="18"/>
              </w:rPr>
            </w:pPr>
            <w:r w:rsidRPr="009102F0">
              <w:rPr>
                <w:sz w:val="18"/>
                <w:szCs w:val="18"/>
              </w:rPr>
              <w:t>of ART experienced</w:t>
            </w:r>
          </w:p>
          <w:p w14:paraId="267A0E8E" w14:textId="77777777" w:rsidR="00641E66" w:rsidRPr="009102F0" w:rsidRDefault="00641E66" w:rsidP="0073510C">
            <w:pPr>
              <w:rPr>
                <w:sz w:val="18"/>
                <w:szCs w:val="18"/>
              </w:rPr>
            </w:pPr>
            <w:r w:rsidRPr="009102F0">
              <w:rPr>
                <w:sz w:val="18"/>
                <w:szCs w:val="18"/>
              </w:rPr>
              <w:t>people with</w:t>
            </w:r>
          </w:p>
          <w:p w14:paraId="338D15B5" w14:textId="77777777" w:rsidR="00641E66" w:rsidRPr="009102F0" w:rsidRDefault="00641E66" w:rsidP="0073510C">
            <w:pPr>
              <w:rPr>
                <w:sz w:val="18"/>
                <w:szCs w:val="18"/>
              </w:rPr>
            </w:pPr>
            <w:r w:rsidRPr="009102F0">
              <w:rPr>
                <w:sz w:val="18"/>
                <w:szCs w:val="18"/>
              </w:rPr>
              <w:t>viral load</w:t>
            </w:r>
          </w:p>
          <w:p w14:paraId="46869C77" w14:textId="77777777" w:rsidR="00641E66" w:rsidRPr="009102F0" w:rsidRDefault="00641E66" w:rsidP="0073510C">
            <w:pPr>
              <w:rPr>
                <w:sz w:val="18"/>
                <w:szCs w:val="18"/>
              </w:rPr>
            </w:pPr>
            <w:r w:rsidRPr="009102F0">
              <w:rPr>
                <w:sz w:val="18"/>
                <w:szCs w:val="18"/>
              </w:rPr>
              <w:t>&lt; 1000</w:t>
            </w:r>
          </w:p>
        </w:tc>
        <w:tc>
          <w:tcPr>
            <w:tcW w:w="1288" w:type="dxa"/>
            <w:gridSpan w:val="2"/>
          </w:tcPr>
          <w:p w14:paraId="352D67A9" w14:textId="77777777" w:rsidR="00641E66" w:rsidRPr="009102F0" w:rsidRDefault="00641E66" w:rsidP="0073510C">
            <w:pPr>
              <w:rPr>
                <w:sz w:val="18"/>
                <w:szCs w:val="18"/>
              </w:rPr>
            </w:pPr>
            <w:r w:rsidRPr="009102F0">
              <w:rPr>
                <w:sz w:val="18"/>
                <w:szCs w:val="18"/>
              </w:rPr>
              <w:t xml:space="preserve">Death rate </w:t>
            </w:r>
          </w:p>
          <w:p w14:paraId="29EE7D7C" w14:textId="77777777" w:rsidR="00641E66" w:rsidRPr="009102F0" w:rsidRDefault="00641E66" w:rsidP="0073510C">
            <w:pPr>
              <w:rPr>
                <w:sz w:val="18"/>
                <w:szCs w:val="18"/>
              </w:rPr>
            </w:pPr>
            <w:r w:rsidRPr="009102F0">
              <w:rPr>
                <w:sz w:val="18"/>
                <w:szCs w:val="18"/>
              </w:rPr>
              <w:t>in ART experienced</w:t>
            </w:r>
          </w:p>
          <w:p w14:paraId="3D50D5A3" w14:textId="77777777" w:rsidR="00641E66" w:rsidRPr="009102F0" w:rsidRDefault="00641E66" w:rsidP="0073510C">
            <w:pPr>
              <w:rPr>
                <w:sz w:val="18"/>
                <w:szCs w:val="18"/>
              </w:rPr>
            </w:pPr>
            <w:r w:rsidRPr="009102F0">
              <w:rPr>
                <w:sz w:val="18"/>
                <w:szCs w:val="18"/>
              </w:rPr>
              <w:t>people</w:t>
            </w:r>
          </w:p>
        </w:tc>
        <w:tc>
          <w:tcPr>
            <w:tcW w:w="1399" w:type="dxa"/>
          </w:tcPr>
          <w:p w14:paraId="6120B504" w14:textId="77777777" w:rsidR="00641E66" w:rsidRPr="009102F0" w:rsidRDefault="00641E66" w:rsidP="0073510C">
            <w:pPr>
              <w:rPr>
                <w:sz w:val="18"/>
                <w:szCs w:val="18"/>
              </w:rPr>
            </w:pPr>
            <w:r w:rsidRPr="009102F0">
              <w:rPr>
                <w:sz w:val="18"/>
                <w:szCs w:val="18"/>
              </w:rPr>
              <w:t>DALYs averted</w:t>
            </w:r>
          </w:p>
          <w:p w14:paraId="3ECD3C63" w14:textId="77777777" w:rsidR="00641E66" w:rsidRPr="009102F0" w:rsidRDefault="00641E66" w:rsidP="0073510C">
            <w:pPr>
              <w:rPr>
                <w:sz w:val="18"/>
                <w:szCs w:val="18"/>
              </w:rPr>
            </w:pPr>
            <w:r w:rsidRPr="009102F0">
              <w:rPr>
                <w:sz w:val="18"/>
                <w:szCs w:val="18"/>
              </w:rPr>
              <w:t>over 20 years</w:t>
            </w:r>
          </w:p>
          <w:p w14:paraId="629264F3" w14:textId="77777777" w:rsidR="00641E66" w:rsidRPr="009102F0" w:rsidRDefault="00641E66" w:rsidP="0073510C">
            <w:pPr>
              <w:rPr>
                <w:sz w:val="18"/>
                <w:szCs w:val="18"/>
              </w:rPr>
            </w:pPr>
            <w:r w:rsidRPr="009102F0">
              <w:rPr>
                <w:sz w:val="18"/>
                <w:szCs w:val="18"/>
              </w:rPr>
              <w:t>(compared with no intervention)</w:t>
            </w:r>
          </w:p>
        </w:tc>
        <w:tc>
          <w:tcPr>
            <w:tcW w:w="1559" w:type="dxa"/>
          </w:tcPr>
          <w:p w14:paraId="2537A6F4" w14:textId="77777777" w:rsidR="00641E66" w:rsidRPr="009102F0" w:rsidRDefault="00641E66" w:rsidP="0073510C">
            <w:pPr>
              <w:rPr>
                <w:rFonts w:eastAsia="Times New Roman" w:cs="Times New Roman"/>
                <w:color w:val="000000"/>
                <w:sz w:val="18"/>
                <w:szCs w:val="18"/>
                <w:lang w:eastAsia="en-GB"/>
              </w:rPr>
            </w:pPr>
            <w:r w:rsidRPr="009102F0">
              <w:rPr>
                <w:rFonts w:eastAsia="Times New Roman" w:cs="Times New Roman"/>
                <w:color w:val="000000"/>
                <w:sz w:val="18"/>
                <w:szCs w:val="18"/>
                <w:lang w:eastAsia="en-GB"/>
              </w:rPr>
              <w:t>Maximum cost of adherence intervention (per person  on ART per year) to be cost effective</w:t>
            </w:r>
          </w:p>
        </w:tc>
      </w:tr>
      <w:tr w:rsidR="00641E66" w:rsidRPr="009102F0" w14:paraId="27E42A00" w14:textId="77777777" w:rsidTr="00523124">
        <w:tc>
          <w:tcPr>
            <w:tcW w:w="1418" w:type="dxa"/>
            <w:gridSpan w:val="2"/>
            <w:vMerge w:val="restart"/>
          </w:tcPr>
          <w:p w14:paraId="78A108C7" w14:textId="77777777" w:rsidR="00641E66" w:rsidRPr="009102F0" w:rsidRDefault="00641E66" w:rsidP="0073510C">
            <w:pPr>
              <w:rPr>
                <w:sz w:val="18"/>
                <w:szCs w:val="18"/>
              </w:rPr>
            </w:pPr>
            <w:r w:rsidRPr="009102F0">
              <w:rPr>
                <w:sz w:val="18"/>
                <w:szCs w:val="18"/>
              </w:rPr>
              <w:t>Base case</w:t>
            </w:r>
          </w:p>
        </w:tc>
        <w:tc>
          <w:tcPr>
            <w:tcW w:w="1410" w:type="dxa"/>
          </w:tcPr>
          <w:p w14:paraId="54DAAC55" w14:textId="77777777" w:rsidR="00641E66" w:rsidRPr="009102F0" w:rsidRDefault="00641E66" w:rsidP="0073510C">
            <w:pPr>
              <w:rPr>
                <w:sz w:val="18"/>
                <w:szCs w:val="18"/>
              </w:rPr>
            </w:pPr>
            <w:r w:rsidRPr="009102F0">
              <w:rPr>
                <w:sz w:val="18"/>
                <w:szCs w:val="18"/>
              </w:rPr>
              <w:t>No intervention</w:t>
            </w:r>
          </w:p>
        </w:tc>
        <w:tc>
          <w:tcPr>
            <w:tcW w:w="1148" w:type="dxa"/>
            <w:gridSpan w:val="3"/>
          </w:tcPr>
          <w:p w14:paraId="64122466" w14:textId="77777777" w:rsidR="00641E66" w:rsidRPr="009102F0" w:rsidRDefault="00641E66" w:rsidP="0073510C">
            <w:pPr>
              <w:rPr>
                <w:sz w:val="18"/>
                <w:szCs w:val="18"/>
              </w:rPr>
            </w:pPr>
            <w:r w:rsidRPr="009102F0">
              <w:rPr>
                <w:sz w:val="18"/>
                <w:szCs w:val="18"/>
              </w:rPr>
              <w:t>0.766</w:t>
            </w:r>
          </w:p>
        </w:tc>
        <w:tc>
          <w:tcPr>
            <w:tcW w:w="1288" w:type="dxa"/>
            <w:gridSpan w:val="2"/>
          </w:tcPr>
          <w:p w14:paraId="270B4FFF" w14:textId="77777777" w:rsidR="00641E66" w:rsidRPr="009102F0" w:rsidRDefault="00641E66" w:rsidP="0073510C">
            <w:pPr>
              <w:rPr>
                <w:sz w:val="18"/>
                <w:szCs w:val="18"/>
              </w:rPr>
            </w:pPr>
            <w:r w:rsidRPr="009102F0">
              <w:rPr>
                <w:sz w:val="18"/>
                <w:szCs w:val="18"/>
              </w:rPr>
              <w:t>4.61</w:t>
            </w:r>
          </w:p>
        </w:tc>
        <w:tc>
          <w:tcPr>
            <w:tcW w:w="1399" w:type="dxa"/>
          </w:tcPr>
          <w:p w14:paraId="7808B589" w14:textId="77777777" w:rsidR="00641E66" w:rsidRPr="009102F0" w:rsidRDefault="00641E66" w:rsidP="0073510C">
            <w:pPr>
              <w:rPr>
                <w:sz w:val="18"/>
                <w:szCs w:val="18"/>
              </w:rPr>
            </w:pPr>
            <w:r w:rsidRPr="009102F0">
              <w:rPr>
                <w:sz w:val="18"/>
                <w:szCs w:val="18"/>
              </w:rPr>
              <w:t>---</w:t>
            </w:r>
          </w:p>
        </w:tc>
        <w:tc>
          <w:tcPr>
            <w:tcW w:w="1559" w:type="dxa"/>
          </w:tcPr>
          <w:p w14:paraId="0129490D" w14:textId="77777777" w:rsidR="00641E66" w:rsidRPr="009102F0" w:rsidRDefault="00641E66" w:rsidP="0073510C">
            <w:pPr>
              <w:rPr>
                <w:sz w:val="18"/>
                <w:szCs w:val="18"/>
              </w:rPr>
            </w:pPr>
          </w:p>
        </w:tc>
      </w:tr>
      <w:tr w:rsidR="00641E66" w:rsidRPr="009102F0" w14:paraId="13105838" w14:textId="77777777" w:rsidTr="00523124">
        <w:tc>
          <w:tcPr>
            <w:tcW w:w="1418" w:type="dxa"/>
            <w:gridSpan w:val="2"/>
            <w:vMerge/>
          </w:tcPr>
          <w:p w14:paraId="772C1744" w14:textId="77777777" w:rsidR="00641E66" w:rsidRPr="009102F0" w:rsidRDefault="00641E66" w:rsidP="0073510C">
            <w:pPr>
              <w:rPr>
                <w:sz w:val="18"/>
                <w:szCs w:val="18"/>
              </w:rPr>
            </w:pPr>
          </w:p>
        </w:tc>
        <w:tc>
          <w:tcPr>
            <w:tcW w:w="1410" w:type="dxa"/>
          </w:tcPr>
          <w:p w14:paraId="71858C2A" w14:textId="77777777" w:rsidR="00641E66" w:rsidRPr="009102F0" w:rsidRDefault="00641E66" w:rsidP="0073510C">
            <w:pPr>
              <w:rPr>
                <w:sz w:val="18"/>
                <w:szCs w:val="18"/>
              </w:rPr>
            </w:pPr>
            <w:r w:rsidRPr="009102F0">
              <w:rPr>
                <w:sz w:val="18"/>
                <w:szCs w:val="18"/>
              </w:rPr>
              <w:t>(a)</w:t>
            </w:r>
          </w:p>
        </w:tc>
        <w:tc>
          <w:tcPr>
            <w:tcW w:w="1148" w:type="dxa"/>
            <w:gridSpan w:val="3"/>
          </w:tcPr>
          <w:p w14:paraId="2B5F249D" w14:textId="77777777" w:rsidR="00641E66" w:rsidRPr="009102F0" w:rsidRDefault="00641E66" w:rsidP="0073510C">
            <w:pPr>
              <w:rPr>
                <w:sz w:val="18"/>
                <w:szCs w:val="18"/>
              </w:rPr>
            </w:pPr>
            <w:r w:rsidRPr="009102F0">
              <w:rPr>
                <w:sz w:val="18"/>
                <w:szCs w:val="18"/>
              </w:rPr>
              <w:t>0.778</w:t>
            </w:r>
          </w:p>
        </w:tc>
        <w:tc>
          <w:tcPr>
            <w:tcW w:w="1288" w:type="dxa"/>
            <w:gridSpan w:val="2"/>
          </w:tcPr>
          <w:p w14:paraId="7C0C7086" w14:textId="77777777" w:rsidR="00641E66" w:rsidRPr="009102F0" w:rsidRDefault="00641E66" w:rsidP="0073510C">
            <w:pPr>
              <w:rPr>
                <w:sz w:val="18"/>
                <w:szCs w:val="18"/>
              </w:rPr>
            </w:pPr>
            <w:r w:rsidRPr="009102F0">
              <w:rPr>
                <w:sz w:val="18"/>
                <w:szCs w:val="18"/>
              </w:rPr>
              <w:t>4.47</w:t>
            </w:r>
          </w:p>
        </w:tc>
        <w:tc>
          <w:tcPr>
            <w:tcW w:w="1399" w:type="dxa"/>
          </w:tcPr>
          <w:p w14:paraId="0445CE8D" w14:textId="77777777" w:rsidR="00641E66" w:rsidRPr="009102F0" w:rsidRDefault="00641E66" w:rsidP="0073510C">
            <w:pPr>
              <w:rPr>
                <w:sz w:val="18"/>
                <w:szCs w:val="18"/>
              </w:rPr>
            </w:pPr>
            <w:r w:rsidRPr="009102F0">
              <w:rPr>
                <w:sz w:val="18"/>
                <w:szCs w:val="18"/>
              </w:rPr>
              <w:t>2118</w:t>
            </w:r>
          </w:p>
        </w:tc>
        <w:tc>
          <w:tcPr>
            <w:tcW w:w="1559" w:type="dxa"/>
          </w:tcPr>
          <w:p w14:paraId="0511B318" w14:textId="77777777" w:rsidR="00641E66" w:rsidRPr="009102F0" w:rsidRDefault="00641E66" w:rsidP="0073510C">
            <w:pPr>
              <w:rPr>
                <w:rFonts w:ascii="Calibri" w:hAnsi="Calibri"/>
                <w:sz w:val="18"/>
                <w:szCs w:val="18"/>
              </w:rPr>
            </w:pPr>
            <w:r w:rsidRPr="009102F0">
              <w:rPr>
                <w:rFonts w:ascii="Calibri" w:hAnsi="Calibri"/>
                <w:sz w:val="18"/>
                <w:szCs w:val="18"/>
              </w:rPr>
              <w:t>$11</w:t>
            </w:r>
          </w:p>
        </w:tc>
      </w:tr>
      <w:tr w:rsidR="00641E66" w:rsidRPr="009102F0" w14:paraId="340DB05B" w14:textId="77777777" w:rsidTr="00523124">
        <w:tc>
          <w:tcPr>
            <w:tcW w:w="1418" w:type="dxa"/>
            <w:gridSpan w:val="2"/>
            <w:vMerge/>
          </w:tcPr>
          <w:p w14:paraId="75150E2B" w14:textId="77777777" w:rsidR="00641E66" w:rsidRPr="009102F0" w:rsidRDefault="00641E66" w:rsidP="0073510C">
            <w:pPr>
              <w:rPr>
                <w:sz w:val="18"/>
                <w:szCs w:val="18"/>
              </w:rPr>
            </w:pPr>
          </w:p>
        </w:tc>
        <w:tc>
          <w:tcPr>
            <w:tcW w:w="1410" w:type="dxa"/>
          </w:tcPr>
          <w:p w14:paraId="43CD7FCE" w14:textId="77777777" w:rsidR="00641E66" w:rsidRPr="009102F0" w:rsidRDefault="00641E66" w:rsidP="0073510C">
            <w:pPr>
              <w:rPr>
                <w:sz w:val="18"/>
                <w:szCs w:val="18"/>
              </w:rPr>
            </w:pPr>
            <w:r w:rsidRPr="009102F0">
              <w:rPr>
                <w:sz w:val="18"/>
                <w:szCs w:val="18"/>
              </w:rPr>
              <w:t>(b)</w:t>
            </w:r>
          </w:p>
        </w:tc>
        <w:tc>
          <w:tcPr>
            <w:tcW w:w="1148" w:type="dxa"/>
            <w:gridSpan w:val="3"/>
          </w:tcPr>
          <w:p w14:paraId="3DACE92A" w14:textId="77777777" w:rsidR="00641E66" w:rsidRPr="009102F0" w:rsidRDefault="00641E66" w:rsidP="0073510C">
            <w:pPr>
              <w:rPr>
                <w:sz w:val="18"/>
                <w:szCs w:val="18"/>
              </w:rPr>
            </w:pPr>
            <w:r w:rsidRPr="009102F0">
              <w:rPr>
                <w:sz w:val="18"/>
                <w:szCs w:val="18"/>
              </w:rPr>
              <w:t>0.811</w:t>
            </w:r>
          </w:p>
        </w:tc>
        <w:tc>
          <w:tcPr>
            <w:tcW w:w="1288" w:type="dxa"/>
            <w:gridSpan w:val="2"/>
          </w:tcPr>
          <w:p w14:paraId="2D79B63E" w14:textId="77777777" w:rsidR="00641E66" w:rsidRPr="009102F0" w:rsidRDefault="00641E66" w:rsidP="0073510C">
            <w:pPr>
              <w:rPr>
                <w:sz w:val="18"/>
                <w:szCs w:val="18"/>
              </w:rPr>
            </w:pPr>
            <w:r w:rsidRPr="009102F0">
              <w:rPr>
                <w:sz w:val="18"/>
                <w:szCs w:val="18"/>
              </w:rPr>
              <w:t>4.13</w:t>
            </w:r>
          </w:p>
        </w:tc>
        <w:tc>
          <w:tcPr>
            <w:tcW w:w="1399" w:type="dxa"/>
          </w:tcPr>
          <w:p w14:paraId="31513507" w14:textId="77777777" w:rsidR="00641E66" w:rsidRPr="009102F0" w:rsidRDefault="00641E66" w:rsidP="0073510C">
            <w:pPr>
              <w:rPr>
                <w:sz w:val="18"/>
                <w:szCs w:val="18"/>
              </w:rPr>
            </w:pPr>
            <w:r w:rsidRPr="009102F0">
              <w:rPr>
                <w:sz w:val="18"/>
                <w:szCs w:val="18"/>
              </w:rPr>
              <w:t>6573</w:t>
            </w:r>
          </w:p>
        </w:tc>
        <w:tc>
          <w:tcPr>
            <w:tcW w:w="1559" w:type="dxa"/>
          </w:tcPr>
          <w:p w14:paraId="136C127B" w14:textId="77777777" w:rsidR="00641E66" w:rsidRPr="009102F0" w:rsidRDefault="00641E66" w:rsidP="0073510C">
            <w:pPr>
              <w:rPr>
                <w:rFonts w:ascii="Calibri" w:hAnsi="Calibri"/>
                <w:sz w:val="18"/>
                <w:szCs w:val="18"/>
              </w:rPr>
            </w:pPr>
            <w:r w:rsidRPr="009102F0">
              <w:rPr>
                <w:rFonts w:ascii="Calibri" w:hAnsi="Calibri"/>
                <w:sz w:val="18"/>
                <w:szCs w:val="18"/>
              </w:rPr>
              <w:t>$17</w:t>
            </w:r>
          </w:p>
        </w:tc>
      </w:tr>
      <w:tr w:rsidR="00641E66" w:rsidRPr="009102F0" w14:paraId="681DC776" w14:textId="77777777" w:rsidTr="00523124">
        <w:tc>
          <w:tcPr>
            <w:tcW w:w="1418" w:type="dxa"/>
            <w:gridSpan w:val="2"/>
            <w:vMerge/>
          </w:tcPr>
          <w:p w14:paraId="0C336B54" w14:textId="77777777" w:rsidR="00641E66" w:rsidRPr="009102F0" w:rsidRDefault="00641E66" w:rsidP="0073510C">
            <w:pPr>
              <w:rPr>
                <w:sz w:val="18"/>
                <w:szCs w:val="18"/>
              </w:rPr>
            </w:pPr>
          </w:p>
        </w:tc>
        <w:tc>
          <w:tcPr>
            <w:tcW w:w="1410" w:type="dxa"/>
          </w:tcPr>
          <w:p w14:paraId="2BA927F2" w14:textId="77777777" w:rsidR="00641E66" w:rsidRPr="009102F0" w:rsidRDefault="00641E66" w:rsidP="0073510C">
            <w:pPr>
              <w:rPr>
                <w:sz w:val="18"/>
                <w:szCs w:val="18"/>
              </w:rPr>
            </w:pPr>
            <w:r w:rsidRPr="009102F0">
              <w:rPr>
                <w:sz w:val="18"/>
                <w:szCs w:val="18"/>
              </w:rPr>
              <w:t>(c)</w:t>
            </w:r>
          </w:p>
        </w:tc>
        <w:tc>
          <w:tcPr>
            <w:tcW w:w="1148" w:type="dxa"/>
            <w:gridSpan w:val="3"/>
          </w:tcPr>
          <w:p w14:paraId="136E2BC2" w14:textId="77777777" w:rsidR="00641E66" w:rsidRPr="009102F0" w:rsidRDefault="00641E66" w:rsidP="0073510C">
            <w:pPr>
              <w:rPr>
                <w:sz w:val="18"/>
                <w:szCs w:val="18"/>
              </w:rPr>
            </w:pPr>
            <w:r w:rsidRPr="009102F0">
              <w:rPr>
                <w:sz w:val="18"/>
                <w:szCs w:val="18"/>
              </w:rPr>
              <w:t>0.795</w:t>
            </w:r>
          </w:p>
        </w:tc>
        <w:tc>
          <w:tcPr>
            <w:tcW w:w="1288" w:type="dxa"/>
            <w:gridSpan w:val="2"/>
          </w:tcPr>
          <w:p w14:paraId="049177D7" w14:textId="77777777" w:rsidR="00641E66" w:rsidRPr="009102F0" w:rsidRDefault="00641E66" w:rsidP="0073510C">
            <w:pPr>
              <w:rPr>
                <w:sz w:val="18"/>
                <w:szCs w:val="18"/>
              </w:rPr>
            </w:pPr>
            <w:r w:rsidRPr="009102F0">
              <w:rPr>
                <w:sz w:val="18"/>
                <w:szCs w:val="18"/>
              </w:rPr>
              <w:t>4.26</w:t>
            </w:r>
          </w:p>
        </w:tc>
        <w:tc>
          <w:tcPr>
            <w:tcW w:w="1399" w:type="dxa"/>
          </w:tcPr>
          <w:p w14:paraId="5BAF15B9" w14:textId="77777777" w:rsidR="00641E66" w:rsidRPr="009102F0" w:rsidRDefault="00641E66" w:rsidP="0073510C">
            <w:pPr>
              <w:rPr>
                <w:sz w:val="18"/>
                <w:szCs w:val="18"/>
              </w:rPr>
            </w:pPr>
            <w:r w:rsidRPr="009102F0">
              <w:rPr>
                <w:sz w:val="18"/>
                <w:szCs w:val="18"/>
              </w:rPr>
              <w:t>4489</w:t>
            </w:r>
          </w:p>
        </w:tc>
        <w:tc>
          <w:tcPr>
            <w:tcW w:w="1559" w:type="dxa"/>
          </w:tcPr>
          <w:p w14:paraId="66E130E6" w14:textId="77777777" w:rsidR="00641E66" w:rsidRPr="009102F0" w:rsidRDefault="00641E66" w:rsidP="0073510C">
            <w:pPr>
              <w:rPr>
                <w:rFonts w:ascii="Calibri" w:hAnsi="Calibri"/>
                <w:sz w:val="18"/>
                <w:szCs w:val="18"/>
              </w:rPr>
            </w:pPr>
            <w:r w:rsidRPr="009102F0">
              <w:rPr>
                <w:rFonts w:ascii="Calibri" w:hAnsi="Calibri"/>
                <w:sz w:val="18"/>
                <w:szCs w:val="18"/>
              </w:rPr>
              <w:t>$8</w:t>
            </w:r>
          </w:p>
        </w:tc>
      </w:tr>
      <w:tr w:rsidR="00641E66" w:rsidRPr="009102F0" w14:paraId="3284EC77" w14:textId="77777777" w:rsidTr="00523124">
        <w:tc>
          <w:tcPr>
            <w:tcW w:w="1418" w:type="dxa"/>
            <w:gridSpan w:val="2"/>
            <w:vMerge/>
          </w:tcPr>
          <w:p w14:paraId="5979E6E3" w14:textId="77777777" w:rsidR="00641E66" w:rsidRPr="009102F0" w:rsidRDefault="00641E66" w:rsidP="0073510C">
            <w:pPr>
              <w:rPr>
                <w:sz w:val="18"/>
                <w:szCs w:val="18"/>
              </w:rPr>
            </w:pPr>
          </w:p>
        </w:tc>
        <w:tc>
          <w:tcPr>
            <w:tcW w:w="1410" w:type="dxa"/>
          </w:tcPr>
          <w:p w14:paraId="349B7752" w14:textId="77777777" w:rsidR="00641E66" w:rsidRPr="009102F0" w:rsidRDefault="00641E66" w:rsidP="0073510C">
            <w:pPr>
              <w:rPr>
                <w:sz w:val="18"/>
                <w:szCs w:val="18"/>
              </w:rPr>
            </w:pPr>
            <w:r w:rsidRPr="009102F0">
              <w:rPr>
                <w:sz w:val="18"/>
                <w:szCs w:val="18"/>
              </w:rPr>
              <w:t>(d)</w:t>
            </w:r>
          </w:p>
        </w:tc>
        <w:tc>
          <w:tcPr>
            <w:tcW w:w="1148" w:type="dxa"/>
            <w:gridSpan w:val="3"/>
          </w:tcPr>
          <w:p w14:paraId="4B3D4AFF" w14:textId="77777777" w:rsidR="00641E66" w:rsidRPr="009102F0" w:rsidRDefault="00641E66" w:rsidP="0073510C">
            <w:pPr>
              <w:rPr>
                <w:sz w:val="18"/>
                <w:szCs w:val="18"/>
              </w:rPr>
            </w:pPr>
            <w:r w:rsidRPr="009102F0">
              <w:rPr>
                <w:sz w:val="18"/>
                <w:szCs w:val="18"/>
              </w:rPr>
              <w:t>0.791</w:t>
            </w:r>
          </w:p>
        </w:tc>
        <w:tc>
          <w:tcPr>
            <w:tcW w:w="1288" w:type="dxa"/>
            <w:gridSpan w:val="2"/>
          </w:tcPr>
          <w:p w14:paraId="0972FA0C" w14:textId="77777777" w:rsidR="00641E66" w:rsidRPr="009102F0" w:rsidRDefault="00641E66" w:rsidP="0073510C">
            <w:pPr>
              <w:rPr>
                <w:sz w:val="18"/>
                <w:szCs w:val="18"/>
              </w:rPr>
            </w:pPr>
            <w:r w:rsidRPr="009102F0">
              <w:rPr>
                <w:sz w:val="18"/>
                <w:szCs w:val="18"/>
              </w:rPr>
              <w:t>4.40</w:t>
            </w:r>
          </w:p>
        </w:tc>
        <w:tc>
          <w:tcPr>
            <w:tcW w:w="1399" w:type="dxa"/>
          </w:tcPr>
          <w:p w14:paraId="1AEF56EF" w14:textId="77777777" w:rsidR="00641E66" w:rsidRPr="009102F0" w:rsidRDefault="00641E66" w:rsidP="0073510C">
            <w:pPr>
              <w:rPr>
                <w:sz w:val="18"/>
                <w:szCs w:val="18"/>
              </w:rPr>
            </w:pPr>
            <w:r w:rsidRPr="009102F0">
              <w:rPr>
                <w:sz w:val="18"/>
                <w:szCs w:val="18"/>
              </w:rPr>
              <w:t>2989</w:t>
            </w:r>
          </w:p>
        </w:tc>
        <w:tc>
          <w:tcPr>
            <w:tcW w:w="1559" w:type="dxa"/>
          </w:tcPr>
          <w:p w14:paraId="6AE6C79E" w14:textId="77777777" w:rsidR="00641E66" w:rsidRPr="009102F0" w:rsidRDefault="00641E66" w:rsidP="0073510C">
            <w:pPr>
              <w:rPr>
                <w:rFonts w:ascii="Calibri" w:hAnsi="Calibri"/>
                <w:sz w:val="18"/>
                <w:szCs w:val="18"/>
              </w:rPr>
            </w:pPr>
            <w:r w:rsidRPr="009102F0">
              <w:rPr>
                <w:rFonts w:ascii="Calibri" w:hAnsi="Calibri"/>
                <w:sz w:val="18"/>
                <w:szCs w:val="18"/>
              </w:rPr>
              <w:t>$17</w:t>
            </w:r>
          </w:p>
        </w:tc>
      </w:tr>
      <w:tr w:rsidR="00641E66" w:rsidRPr="009102F0" w14:paraId="79B97626" w14:textId="77777777" w:rsidTr="00523124">
        <w:tc>
          <w:tcPr>
            <w:tcW w:w="1418" w:type="dxa"/>
            <w:gridSpan w:val="2"/>
            <w:vMerge/>
          </w:tcPr>
          <w:p w14:paraId="307052A5" w14:textId="77777777" w:rsidR="00641E66" w:rsidRPr="009102F0" w:rsidRDefault="00641E66" w:rsidP="0073510C">
            <w:pPr>
              <w:rPr>
                <w:sz w:val="18"/>
                <w:szCs w:val="18"/>
              </w:rPr>
            </w:pPr>
          </w:p>
        </w:tc>
        <w:tc>
          <w:tcPr>
            <w:tcW w:w="1410" w:type="dxa"/>
          </w:tcPr>
          <w:p w14:paraId="601F4D5F" w14:textId="77777777" w:rsidR="00641E66" w:rsidRPr="009102F0" w:rsidRDefault="00641E66" w:rsidP="0073510C">
            <w:pPr>
              <w:rPr>
                <w:sz w:val="18"/>
                <w:szCs w:val="18"/>
              </w:rPr>
            </w:pPr>
            <w:r w:rsidRPr="009102F0">
              <w:rPr>
                <w:sz w:val="18"/>
                <w:szCs w:val="18"/>
              </w:rPr>
              <w:t>(e)</w:t>
            </w:r>
          </w:p>
        </w:tc>
        <w:tc>
          <w:tcPr>
            <w:tcW w:w="1148" w:type="dxa"/>
            <w:gridSpan w:val="3"/>
          </w:tcPr>
          <w:p w14:paraId="2BE80FA7" w14:textId="77777777" w:rsidR="00641E66" w:rsidRPr="009102F0" w:rsidRDefault="00641E66" w:rsidP="0073510C">
            <w:pPr>
              <w:rPr>
                <w:sz w:val="18"/>
                <w:szCs w:val="18"/>
              </w:rPr>
            </w:pPr>
            <w:r w:rsidRPr="009102F0">
              <w:rPr>
                <w:sz w:val="18"/>
                <w:szCs w:val="18"/>
              </w:rPr>
              <w:t>0.825</w:t>
            </w:r>
          </w:p>
        </w:tc>
        <w:tc>
          <w:tcPr>
            <w:tcW w:w="1288" w:type="dxa"/>
            <w:gridSpan w:val="2"/>
          </w:tcPr>
          <w:p w14:paraId="00AD40DB" w14:textId="77777777" w:rsidR="00641E66" w:rsidRPr="009102F0" w:rsidRDefault="00641E66" w:rsidP="0073510C">
            <w:pPr>
              <w:rPr>
                <w:sz w:val="18"/>
                <w:szCs w:val="18"/>
              </w:rPr>
            </w:pPr>
            <w:r w:rsidRPr="009102F0">
              <w:rPr>
                <w:sz w:val="18"/>
                <w:szCs w:val="18"/>
              </w:rPr>
              <w:t>4.04</w:t>
            </w:r>
          </w:p>
        </w:tc>
        <w:tc>
          <w:tcPr>
            <w:tcW w:w="1399" w:type="dxa"/>
          </w:tcPr>
          <w:p w14:paraId="119DB41B" w14:textId="77777777" w:rsidR="00641E66" w:rsidRPr="009102F0" w:rsidRDefault="00641E66" w:rsidP="0073510C">
            <w:pPr>
              <w:rPr>
                <w:sz w:val="18"/>
                <w:szCs w:val="18"/>
              </w:rPr>
            </w:pPr>
            <w:r w:rsidRPr="009102F0">
              <w:rPr>
                <w:sz w:val="18"/>
                <w:szCs w:val="18"/>
              </w:rPr>
              <w:t>7833</w:t>
            </w:r>
          </w:p>
        </w:tc>
        <w:tc>
          <w:tcPr>
            <w:tcW w:w="1559" w:type="dxa"/>
          </w:tcPr>
          <w:p w14:paraId="6A13192B" w14:textId="77777777" w:rsidR="00641E66" w:rsidRPr="009102F0" w:rsidRDefault="00641E66" w:rsidP="0073510C">
            <w:pPr>
              <w:rPr>
                <w:rFonts w:ascii="Calibri" w:hAnsi="Calibri"/>
                <w:sz w:val="18"/>
                <w:szCs w:val="18"/>
              </w:rPr>
            </w:pPr>
            <w:r w:rsidRPr="009102F0">
              <w:rPr>
                <w:rFonts w:ascii="Calibri" w:hAnsi="Calibri"/>
                <w:sz w:val="18"/>
                <w:szCs w:val="18"/>
              </w:rPr>
              <w:t>$23</w:t>
            </w:r>
          </w:p>
        </w:tc>
      </w:tr>
      <w:tr w:rsidR="00641E66" w:rsidRPr="009102F0" w14:paraId="1C7A7437" w14:textId="77777777" w:rsidTr="00523124">
        <w:tc>
          <w:tcPr>
            <w:tcW w:w="1418" w:type="dxa"/>
            <w:gridSpan w:val="2"/>
            <w:vMerge w:val="restart"/>
          </w:tcPr>
          <w:p w14:paraId="5AF68B23" w14:textId="77777777" w:rsidR="00641E66" w:rsidRPr="009102F0" w:rsidRDefault="00641E66" w:rsidP="0073510C">
            <w:pPr>
              <w:rPr>
                <w:sz w:val="18"/>
                <w:szCs w:val="18"/>
              </w:rPr>
            </w:pPr>
            <w:r w:rsidRPr="009102F0">
              <w:rPr>
                <w:sz w:val="18"/>
                <w:szCs w:val="18"/>
              </w:rPr>
              <w:t>Viral load testing stopped for people with viral load &lt; 1000 if adherence &gt; 80%</w:t>
            </w:r>
          </w:p>
        </w:tc>
        <w:tc>
          <w:tcPr>
            <w:tcW w:w="1410" w:type="dxa"/>
          </w:tcPr>
          <w:p w14:paraId="3F4496F4" w14:textId="77777777" w:rsidR="00641E66" w:rsidRPr="009102F0" w:rsidRDefault="00641E66" w:rsidP="0073510C">
            <w:pPr>
              <w:rPr>
                <w:sz w:val="18"/>
                <w:szCs w:val="18"/>
              </w:rPr>
            </w:pPr>
            <w:r w:rsidRPr="009102F0">
              <w:rPr>
                <w:sz w:val="18"/>
                <w:szCs w:val="18"/>
              </w:rPr>
              <w:t>No intervention</w:t>
            </w:r>
          </w:p>
        </w:tc>
        <w:tc>
          <w:tcPr>
            <w:tcW w:w="1148" w:type="dxa"/>
            <w:gridSpan w:val="3"/>
          </w:tcPr>
          <w:p w14:paraId="455FF54B" w14:textId="77777777" w:rsidR="00641E66" w:rsidRPr="009102F0" w:rsidRDefault="00641E66" w:rsidP="0073510C">
            <w:pPr>
              <w:rPr>
                <w:sz w:val="18"/>
                <w:szCs w:val="18"/>
              </w:rPr>
            </w:pPr>
            <w:r w:rsidRPr="009102F0">
              <w:rPr>
                <w:sz w:val="18"/>
                <w:szCs w:val="18"/>
              </w:rPr>
              <w:t>0.766</w:t>
            </w:r>
          </w:p>
        </w:tc>
        <w:tc>
          <w:tcPr>
            <w:tcW w:w="1288" w:type="dxa"/>
            <w:gridSpan w:val="2"/>
          </w:tcPr>
          <w:p w14:paraId="0D52123E" w14:textId="77777777" w:rsidR="00641E66" w:rsidRPr="009102F0" w:rsidRDefault="00641E66" w:rsidP="0073510C">
            <w:pPr>
              <w:rPr>
                <w:sz w:val="18"/>
                <w:szCs w:val="18"/>
              </w:rPr>
            </w:pPr>
            <w:r w:rsidRPr="009102F0">
              <w:rPr>
                <w:sz w:val="18"/>
                <w:szCs w:val="18"/>
              </w:rPr>
              <w:t>4.61</w:t>
            </w:r>
          </w:p>
        </w:tc>
        <w:tc>
          <w:tcPr>
            <w:tcW w:w="1399" w:type="dxa"/>
          </w:tcPr>
          <w:p w14:paraId="20929FC1" w14:textId="77777777" w:rsidR="00641E66" w:rsidRPr="009102F0" w:rsidRDefault="00641E66" w:rsidP="0073510C">
            <w:pPr>
              <w:rPr>
                <w:sz w:val="18"/>
                <w:szCs w:val="18"/>
              </w:rPr>
            </w:pPr>
            <w:r w:rsidRPr="009102F0">
              <w:rPr>
                <w:sz w:val="18"/>
                <w:szCs w:val="18"/>
              </w:rPr>
              <w:t>.</w:t>
            </w:r>
          </w:p>
        </w:tc>
        <w:tc>
          <w:tcPr>
            <w:tcW w:w="1559" w:type="dxa"/>
          </w:tcPr>
          <w:p w14:paraId="340770AD" w14:textId="77777777" w:rsidR="00641E66" w:rsidRPr="009102F0" w:rsidRDefault="00641E66" w:rsidP="0073510C">
            <w:pPr>
              <w:rPr>
                <w:sz w:val="18"/>
                <w:szCs w:val="18"/>
              </w:rPr>
            </w:pPr>
          </w:p>
        </w:tc>
      </w:tr>
      <w:tr w:rsidR="00641E66" w:rsidRPr="009102F0" w14:paraId="5599CF40" w14:textId="77777777" w:rsidTr="00523124">
        <w:tc>
          <w:tcPr>
            <w:tcW w:w="1418" w:type="dxa"/>
            <w:gridSpan w:val="2"/>
            <w:vMerge/>
          </w:tcPr>
          <w:p w14:paraId="20C933E1" w14:textId="77777777" w:rsidR="00641E66" w:rsidRPr="009102F0" w:rsidRDefault="00641E66" w:rsidP="0073510C">
            <w:pPr>
              <w:rPr>
                <w:sz w:val="18"/>
                <w:szCs w:val="18"/>
              </w:rPr>
            </w:pPr>
          </w:p>
        </w:tc>
        <w:tc>
          <w:tcPr>
            <w:tcW w:w="1410" w:type="dxa"/>
          </w:tcPr>
          <w:p w14:paraId="61D806AB" w14:textId="77777777" w:rsidR="00641E66" w:rsidRPr="009102F0" w:rsidRDefault="00641E66" w:rsidP="0073510C">
            <w:pPr>
              <w:rPr>
                <w:sz w:val="18"/>
                <w:szCs w:val="18"/>
              </w:rPr>
            </w:pPr>
            <w:r w:rsidRPr="009102F0">
              <w:rPr>
                <w:sz w:val="18"/>
                <w:szCs w:val="18"/>
              </w:rPr>
              <w:t>(a)</w:t>
            </w:r>
          </w:p>
        </w:tc>
        <w:tc>
          <w:tcPr>
            <w:tcW w:w="1148" w:type="dxa"/>
            <w:gridSpan w:val="3"/>
          </w:tcPr>
          <w:p w14:paraId="3784B659" w14:textId="77777777" w:rsidR="00641E66" w:rsidRPr="009102F0" w:rsidRDefault="00641E66" w:rsidP="0073510C">
            <w:pPr>
              <w:rPr>
                <w:sz w:val="18"/>
                <w:szCs w:val="18"/>
              </w:rPr>
            </w:pPr>
            <w:r w:rsidRPr="009102F0">
              <w:rPr>
                <w:sz w:val="18"/>
                <w:szCs w:val="18"/>
              </w:rPr>
              <w:t>0.772</w:t>
            </w:r>
          </w:p>
        </w:tc>
        <w:tc>
          <w:tcPr>
            <w:tcW w:w="1288" w:type="dxa"/>
            <w:gridSpan w:val="2"/>
          </w:tcPr>
          <w:p w14:paraId="79544135" w14:textId="77777777" w:rsidR="00641E66" w:rsidRPr="009102F0" w:rsidRDefault="00641E66" w:rsidP="0073510C">
            <w:pPr>
              <w:rPr>
                <w:sz w:val="18"/>
                <w:szCs w:val="18"/>
              </w:rPr>
            </w:pPr>
            <w:r w:rsidRPr="009102F0">
              <w:rPr>
                <w:sz w:val="18"/>
                <w:szCs w:val="18"/>
              </w:rPr>
              <w:t>4.56</w:t>
            </w:r>
          </w:p>
        </w:tc>
        <w:tc>
          <w:tcPr>
            <w:tcW w:w="1399" w:type="dxa"/>
          </w:tcPr>
          <w:p w14:paraId="30567608" w14:textId="77777777" w:rsidR="00641E66" w:rsidRPr="009102F0" w:rsidRDefault="00641E66" w:rsidP="0073510C">
            <w:pPr>
              <w:rPr>
                <w:sz w:val="18"/>
                <w:szCs w:val="18"/>
              </w:rPr>
            </w:pPr>
            <w:r w:rsidRPr="009102F0">
              <w:rPr>
                <w:sz w:val="18"/>
                <w:szCs w:val="18"/>
              </w:rPr>
              <w:t>1381</w:t>
            </w:r>
          </w:p>
        </w:tc>
        <w:tc>
          <w:tcPr>
            <w:tcW w:w="1559" w:type="dxa"/>
          </w:tcPr>
          <w:p w14:paraId="7FFADA68" w14:textId="77777777" w:rsidR="00641E66" w:rsidRPr="009102F0" w:rsidRDefault="00641E66" w:rsidP="0073510C">
            <w:pPr>
              <w:rPr>
                <w:rFonts w:ascii="Calibri" w:hAnsi="Calibri"/>
                <w:sz w:val="18"/>
                <w:szCs w:val="18"/>
              </w:rPr>
            </w:pPr>
            <w:r w:rsidRPr="009102F0">
              <w:rPr>
                <w:rFonts w:ascii="Calibri" w:hAnsi="Calibri"/>
                <w:sz w:val="18"/>
                <w:szCs w:val="18"/>
              </w:rPr>
              <w:t>$19</w:t>
            </w:r>
          </w:p>
        </w:tc>
      </w:tr>
      <w:tr w:rsidR="00641E66" w:rsidRPr="009102F0" w14:paraId="228145D4" w14:textId="77777777" w:rsidTr="00523124">
        <w:tc>
          <w:tcPr>
            <w:tcW w:w="1418" w:type="dxa"/>
            <w:gridSpan w:val="2"/>
            <w:vMerge/>
          </w:tcPr>
          <w:p w14:paraId="08B0B3AE" w14:textId="77777777" w:rsidR="00641E66" w:rsidRPr="009102F0" w:rsidRDefault="00641E66" w:rsidP="0073510C">
            <w:pPr>
              <w:rPr>
                <w:sz w:val="18"/>
                <w:szCs w:val="18"/>
              </w:rPr>
            </w:pPr>
          </w:p>
        </w:tc>
        <w:tc>
          <w:tcPr>
            <w:tcW w:w="1410" w:type="dxa"/>
          </w:tcPr>
          <w:p w14:paraId="7DE9BD20" w14:textId="77777777" w:rsidR="00641E66" w:rsidRPr="009102F0" w:rsidRDefault="00641E66" w:rsidP="0073510C">
            <w:pPr>
              <w:rPr>
                <w:sz w:val="18"/>
                <w:szCs w:val="18"/>
              </w:rPr>
            </w:pPr>
            <w:r w:rsidRPr="009102F0">
              <w:rPr>
                <w:sz w:val="18"/>
                <w:szCs w:val="18"/>
              </w:rPr>
              <w:t>(b)</w:t>
            </w:r>
          </w:p>
        </w:tc>
        <w:tc>
          <w:tcPr>
            <w:tcW w:w="1148" w:type="dxa"/>
            <w:gridSpan w:val="3"/>
          </w:tcPr>
          <w:p w14:paraId="0B096732" w14:textId="77777777" w:rsidR="00641E66" w:rsidRPr="009102F0" w:rsidRDefault="00641E66" w:rsidP="0073510C">
            <w:pPr>
              <w:rPr>
                <w:sz w:val="18"/>
                <w:szCs w:val="18"/>
              </w:rPr>
            </w:pPr>
            <w:r w:rsidRPr="009102F0">
              <w:rPr>
                <w:sz w:val="18"/>
                <w:szCs w:val="18"/>
              </w:rPr>
              <w:t>0.805</w:t>
            </w:r>
          </w:p>
        </w:tc>
        <w:tc>
          <w:tcPr>
            <w:tcW w:w="1288" w:type="dxa"/>
            <w:gridSpan w:val="2"/>
          </w:tcPr>
          <w:p w14:paraId="02C8924E" w14:textId="77777777" w:rsidR="00641E66" w:rsidRPr="009102F0" w:rsidRDefault="00641E66" w:rsidP="0073510C">
            <w:pPr>
              <w:rPr>
                <w:sz w:val="18"/>
                <w:szCs w:val="18"/>
              </w:rPr>
            </w:pPr>
            <w:r w:rsidRPr="009102F0">
              <w:rPr>
                <w:sz w:val="18"/>
                <w:szCs w:val="18"/>
              </w:rPr>
              <w:t>4.21</w:t>
            </w:r>
          </w:p>
        </w:tc>
        <w:tc>
          <w:tcPr>
            <w:tcW w:w="1399" w:type="dxa"/>
          </w:tcPr>
          <w:p w14:paraId="63A16318" w14:textId="77777777" w:rsidR="00641E66" w:rsidRPr="009102F0" w:rsidRDefault="00641E66" w:rsidP="0073510C">
            <w:pPr>
              <w:rPr>
                <w:sz w:val="18"/>
                <w:szCs w:val="18"/>
              </w:rPr>
            </w:pPr>
            <w:r w:rsidRPr="009102F0">
              <w:rPr>
                <w:sz w:val="18"/>
                <w:szCs w:val="18"/>
              </w:rPr>
              <w:t>6242</w:t>
            </w:r>
          </w:p>
        </w:tc>
        <w:tc>
          <w:tcPr>
            <w:tcW w:w="1559" w:type="dxa"/>
          </w:tcPr>
          <w:p w14:paraId="416388BB" w14:textId="77777777" w:rsidR="00641E66" w:rsidRPr="009102F0" w:rsidRDefault="00641E66" w:rsidP="0073510C">
            <w:pPr>
              <w:rPr>
                <w:rFonts w:ascii="Calibri" w:hAnsi="Calibri"/>
                <w:sz w:val="18"/>
                <w:szCs w:val="18"/>
              </w:rPr>
            </w:pPr>
            <w:r w:rsidRPr="009102F0">
              <w:rPr>
                <w:rFonts w:ascii="Calibri" w:hAnsi="Calibri"/>
                <w:sz w:val="18"/>
                <w:szCs w:val="18"/>
              </w:rPr>
              <w:t>$27</w:t>
            </w:r>
          </w:p>
        </w:tc>
      </w:tr>
      <w:tr w:rsidR="00641E66" w:rsidRPr="009102F0" w14:paraId="0D199ABA" w14:textId="77777777" w:rsidTr="00523124">
        <w:tc>
          <w:tcPr>
            <w:tcW w:w="1418" w:type="dxa"/>
            <w:gridSpan w:val="2"/>
            <w:vMerge/>
          </w:tcPr>
          <w:p w14:paraId="54608BF7" w14:textId="77777777" w:rsidR="00641E66" w:rsidRPr="009102F0" w:rsidRDefault="00641E66" w:rsidP="0073510C">
            <w:pPr>
              <w:rPr>
                <w:sz w:val="18"/>
                <w:szCs w:val="18"/>
              </w:rPr>
            </w:pPr>
          </w:p>
        </w:tc>
        <w:tc>
          <w:tcPr>
            <w:tcW w:w="1410" w:type="dxa"/>
          </w:tcPr>
          <w:p w14:paraId="16E6542E" w14:textId="77777777" w:rsidR="00641E66" w:rsidRPr="009102F0" w:rsidRDefault="00641E66" w:rsidP="0073510C">
            <w:pPr>
              <w:rPr>
                <w:sz w:val="18"/>
                <w:szCs w:val="18"/>
              </w:rPr>
            </w:pPr>
            <w:r w:rsidRPr="009102F0">
              <w:rPr>
                <w:sz w:val="18"/>
                <w:szCs w:val="18"/>
              </w:rPr>
              <w:t>(c)</w:t>
            </w:r>
          </w:p>
        </w:tc>
        <w:tc>
          <w:tcPr>
            <w:tcW w:w="1148" w:type="dxa"/>
            <w:gridSpan w:val="3"/>
          </w:tcPr>
          <w:p w14:paraId="1D382D33" w14:textId="77777777" w:rsidR="00641E66" w:rsidRPr="009102F0" w:rsidRDefault="00641E66" w:rsidP="0073510C">
            <w:pPr>
              <w:rPr>
                <w:sz w:val="18"/>
                <w:szCs w:val="18"/>
              </w:rPr>
            </w:pPr>
            <w:r w:rsidRPr="009102F0">
              <w:rPr>
                <w:sz w:val="18"/>
                <w:szCs w:val="18"/>
              </w:rPr>
              <w:t>0.789</w:t>
            </w:r>
          </w:p>
        </w:tc>
        <w:tc>
          <w:tcPr>
            <w:tcW w:w="1288" w:type="dxa"/>
            <w:gridSpan w:val="2"/>
          </w:tcPr>
          <w:p w14:paraId="0F2AB1C1" w14:textId="77777777" w:rsidR="00641E66" w:rsidRPr="009102F0" w:rsidRDefault="00641E66" w:rsidP="0073510C">
            <w:pPr>
              <w:rPr>
                <w:sz w:val="18"/>
                <w:szCs w:val="18"/>
              </w:rPr>
            </w:pPr>
            <w:r w:rsidRPr="009102F0">
              <w:rPr>
                <w:sz w:val="18"/>
                <w:szCs w:val="18"/>
              </w:rPr>
              <w:t>4.34</w:t>
            </w:r>
          </w:p>
        </w:tc>
        <w:tc>
          <w:tcPr>
            <w:tcW w:w="1399" w:type="dxa"/>
          </w:tcPr>
          <w:p w14:paraId="73F203BD" w14:textId="77777777" w:rsidR="00641E66" w:rsidRPr="009102F0" w:rsidRDefault="00641E66" w:rsidP="0073510C">
            <w:pPr>
              <w:rPr>
                <w:sz w:val="18"/>
                <w:szCs w:val="18"/>
              </w:rPr>
            </w:pPr>
            <w:r w:rsidRPr="009102F0">
              <w:rPr>
                <w:sz w:val="18"/>
                <w:szCs w:val="18"/>
              </w:rPr>
              <w:t>3963</w:t>
            </w:r>
          </w:p>
        </w:tc>
        <w:tc>
          <w:tcPr>
            <w:tcW w:w="1559" w:type="dxa"/>
          </w:tcPr>
          <w:p w14:paraId="26866691" w14:textId="77777777" w:rsidR="00641E66" w:rsidRPr="009102F0" w:rsidRDefault="00641E66" w:rsidP="0073510C">
            <w:pPr>
              <w:rPr>
                <w:rFonts w:ascii="Calibri" w:hAnsi="Calibri"/>
                <w:sz w:val="18"/>
                <w:szCs w:val="18"/>
              </w:rPr>
            </w:pPr>
            <w:r w:rsidRPr="009102F0">
              <w:rPr>
                <w:rFonts w:ascii="Calibri" w:hAnsi="Calibri"/>
                <w:sz w:val="18"/>
                <w:szCs w:val="18"/>
              </w:rPr>
              <w:t>$16</w:t>
            </w:r>
          </w:p>
        </w:tc>
      </w:tr>
      <w:tr w:rsidR="00641E66" w:rsidRPr="009102F0" w14:paraId="3DD2FE3B" w14:textId="77777777" w:rsidTr="00523124">
        <w:tc>
          <w:tcPr>
            <w:tcW w:w="1418" w:type="dxa"/>
            <w:gridSpan w:val="2"/>
            <w:vMerge/>
          </w:tcPr>
          <w:p w14:paraId="2A518114" w14:textId="77777777" w:rsidR="00641E66" w:rsidRPr="009102F0" w:rsidRDefault="00641E66" w:rsidP="0073510C">
            <w:pPr>
              <w:rPr>
                <w:sz w:val="18"/>
                <w:szCs w:val="18"/>
              </w:rPr>
            </w:pPr>
          </w:p>
        </w:tc>
        <w:tc>
          <w:tcPr>
            <w:tcW w:w="1410" w:type="dxa"/>
          </w:tcPr>
          <w:p w14:paraId="13D195E3" w14:textId="77777777" w:rsidR="00641E66" w:rsidRPr="009102F0" w:rsidRDefault="00641E66" w:rsidP="0073510C">
            <w:pPr>
              <w:rPr>
                <w:sz w:val="18"/>
                <w:szCs w:val="18"/>
              </w:rPr>
            </w:pPr>
            <w:r w:rsidRPr="009102F0">
              <w:rPr>
                <w:sz w:val="18"/>
                <w:szCs w:val="18"/>
              </w:rPr>
              <w:t>(d)</w:t>
            </w:r>
          </w:p>
        </w:tc>
        <w:tc>
          <w:tcPr>
            <w:tcW w:w="1148" w:type="dxa"/>
            <w:gridSpan w:val="3"/>
          </w:tcPr>
          <w:p w14:paraId="6A6FF317" w14:textId="77777777" w:rsidR="00641E66" w:rsidRPr="009102F0" w:rsidRDefault="00641E66" w:rsidP="0073510C">
            <w:pPr>
              <w:rPr>
                <w:sz w:val="18"/>
                <w:szCs w:val="18"/>
              </w:rPr>
            </w:pPr>
            <w:r w:rsidRPr="009102F0">
              <w:rPr>
                <w:sz w:val="18"/>
                <w:szCs w:val="18"/>
              </w:rPr>
              <w:t>0.786</w:t>
            </w:r>
          </w:p>
        </w:tc>
        <w:tc>
          <w:tcPr>
            <w:tcW w:w="1288" w:type="dxa"/>
            <w:gridSpan w:val="2"/>
          </w:tcPr>
          <w:p w14:paraId="63CD9A16" w14:textId="77777777" w:rsidR="00641E66" w:rsidRPr="009102F0" w:rsidRDefault="00641E66" w:rsidP="0073510C">
            <w:pPr>
              <w:rPr>
                <w:sz w:val="18"/>
                <w:szCs w:val="18"/>
              </w:rPr>
            </w:pPr>
            <w:r w:rsidRPr="009102F0">
              <w:rPr>
                <w:sz w:val="18"/>
                <w:szCs w:val="18"/>
              </w:rPr>
              <w:t>4.44</w:t>
            </w:r>
          </w:p>
        </w:tc>
        <w:tc>
          <w:tcPr>
            <w:tcW w:w="1399" w:type="dxa"/>
          </w:tcPr>
          <w:p w14:paraId="619D2AF0" w14:textId="77777777" w:rsidR="00641E66" w:rsidRPr="009102F0" w:rsidRDefault="00641E66" w:rsidP="0073510C">
            <w:pPr>
              <w:rPr>
                <w:sz w:val="18"/>
                <w:szCs w:val="18"/>
              </w:rPr>
            </w:pPr>
            <w:r w:rsidRPr="009102F0">
              <w:rPr>
                <w:sz w:val="18"/>
                <w:szCs w:val="18"/>
              </w:rPr>
              <w:t>2360</w:t>
            </w:r>
          </w:p>
        </w:tc>
        <w:tc>
          <w:tcPr>
            <w:tcW w:w="1559" w:type="dxa"/>
          </w:tcPr>
          <w:p w14:paraId="65851712" w14:textId="77777777" w:rsidR="00641E66" w:rsidRPr="009102F0" w:rsidRDefault="00641E66" w:rsidP="0073510C">
            <w:pPr>
              <w:rPr>
                <w:rFonts w:ascii="Calibri" w:hAnsi="Calibri"/>
                <w:sz w:val="18"/>
                <w:szCs w:val="18"/>
              </w:rPr>
            </w:pPr>
            <w:r w:rsidRPr="009102F0">
              <w:rPr>
                <w:rFonts w:ascii="Calibri" w:hAnsi="Calibri"/>
                <w:sz w:val="18"/>
                <w:szCs w:val="18"/>
              </w:rPr>
              <w:t>$25</w:t>
            </w:r>
          </w:p>
        </w:tc>
      </w:tr>
      <w:tr w:rsidR="00641E66" w:rsidRPr="009102F0" w14:paraId="1A63D701" w14:textId="77777777" w:rsidTr="00523124">
        <w:tc>
          <w:tcPr>
            <w:tcW w:w="1418" w:type="dxa"/>
            <w:gridSpan w:val="2"/>
            <w:vMerge/>
          </w:tcPr>
          <w:p w14:paraId="626FFE77" w14:textId="77777777" w:rsidR="00641E66" w:rsidRPr="009102F0" w:rsidRDefault="00641E66" w:rsidP="0073510C">
            <w:pPr>
              <w:rPr>
                <w:sz w:val="18"/>
                <w:szCs w:val="18"/>
              </w:rPr>
            </w:pPr>
          </w:p>
        </w:tc>
        <w:tc>
          <w:tcPr>
            <w:tcW w:w="1410" w:type="dxa"/>
          </w:tcPr>
          <w:p w14:paraId="7D81FDAF" w14:textId="77777777" w:rsidR="00641E66" w:rsidRPr="009102F0" w:rsidRDefault="00641E66" w:rsidP="0073510C">
            <w:pPr>
              <w:rPr>
                <w:sz w:val="18"/>
                <w:szCs w:val="18"/>
              </w:rPr>
            </w:pPr>
            <w:r w:rsidRPr="009102F0">
              <w:rPr>
                <w:sz w:val="18"/>
                <w:szCs w:val="18"/>
              </w:rPr>
              <w:t>(e)</w:t>
            </w:r>
          </w:p>
        </w:tc>
        <w:tc>
          <w:tcPr>
            <w:tcW w:w="1148" w:type="dxa"/>
            <w:gridSpan w:val="3"/>
          </w:tcPr>
          <w:p w14:paraId="7EEE1656" w14:textId="77777777" w:rsidR="00641E66" w:rsidRPr="009102F0" w:rsidRDefault="00641E66" w:rsidP="0073510C">
            <w:pPr>
              <w:rPr>
                <w:sz w:val="18"/>
                <w:szCs w:val="18"/>
              </w:rPr>
            </w:pPr>
            <w:r w:rsidRPr="009102F0">
              <w:rPr>
                <w:sz w:val="18"/>
                <w:szCs w:val="18"/>
              </w:rPr>
              <w:t>0.821</w:t>
            </w:r>
          </w:p>
        </w:tc>
        <w:tc>
          <w:tcPr>
            <w:tcW w:w="1288" w:type="dxa"/>
            <w:gridSpan w:val="2"/>
          </w:tcPr>
          <w:p w14:paraId="0EDBD383" w14:textId="77777777" w:rsidR="00641E66" w:rsidRPr="009102F0" w:rsidRDefault="00641E66" w:rsidP="0073510C">
            <w:pPr>
              <w:rPr>
                <w:sz w:val="18"/>
                <w:szCs w:val="18"/>
              </w:rPr>
            </w:pPr>
            <w:r w:rsidRPr="009102F0">
              <w:rPr>
                <w:sz w:val="18"/>
                <w:szCs w:val="18"/>
              </w:rPr>
              <w:t>4.09</w:t>
            </w:r>
          </w:p>
        </w:tc>
        <w:tc>
          <w:tcPr>
            <w:tcW w:w="1399" w:type="dxa"/>
          </w:tcPr>
          <w:p w14:paraId="224DFC38" w14:textId="77777777" w:rsidR="00641E66" w:rsidRPr="009102F0" w:rsidRDefault="00641E66" w:rsidP="0073510C">
            <w:pPr>
              <w:rPr>
                <w:sz w:val="18"/>
                <w:szCs w:val="18"/>
              </w:rPr>
            </w:pPr>
            <w:r w:rsidRPr="009102F0">
              <w:rPr>
                <w:sz w:val="18"/>
                <w:szCs w:val="18"/>
              </w:rPr>
              <w:t>7303</w:t>
            </w:r>
          </w:p>
        </w:tc>
        <w:tc>
          <w:tcPr>
            <w:tcW w:w="1559" w:type="dxa"/>
          </w:tcPr>
          <w:p w14:paraId="24D1A997" w14:textId="77777777" w:rsidR="00641E66" w:rsidRPr="009102F0" w:rsidRDefault="00641E66" w:rsidP="0073510C">
            <w:pPr>
              <w:rPr>
                <w:rFonts w:ascii="Calibri" w:hAnsi="Calibri"/>
                <w:sz w:val="18"/>
                <w:szCs w:val="18"/>
              </w:rPr>
            </w:pPr>
            <w:r w:rsidRPr="009102F0">
              <w:rPr>
                <w:rFonts w:ascii="Calibri" w:hAnsi="Calibri"/>
                <w:sz w:val="18"/>
                <w:szCs w:val="18"/>
              </w:rPr>
              <w:t>$32</w:t>
            </w:r>
          </w:p>
        </w:tc>
      </w:tr>
      <w:tr w:rsidR="00002511" w:rsidRPr="009102F0" w14:paraId="2293482E" w14:textId="77777777" w:rsidTr="00523124">
        <w:tc>
          <w:tcPr>
            <w:tcW w:w="1418" w:type="dxa"/>
            <w:gridSpan w:val="2"/>
            <w:vMerge w:val="restart"/>
          </w:tcPr>
          <w:p w14:paraId="033C1057" w14:textId="77777777" w:rsidR="00002511" w:rsidRPr="00002511" w:rsidRDefault="00002511" w:rsidP="00002511">
            <w:pPr>
              <w:rPr>
                <w:sz w:val="18"/>
                <w:szCs w:val="18"/>
              </w:rPr>
            </w:pPr>
            <w:r w:rsidRPr="00002511">
              <w:rPr>
                <w:sz w:val="18"/>
                <w:szCs w:val="18"/>
              </w:rPr>
              <w:t>Lower adherence</w:t>
            </w:r>
          </w:p>
        </w:tc>
        <w:tc>
          <w:tcPr>
            <w:tcW w:w="1410" w:type="dxa"/>
          </w:tcPr>
          <w:p w14:paraId="324B9E51" w14:textId="77777777" w:rsidR="00002511" w:rsidRPr="00002511" w:rsidRDefault="00002511" w:rsidP="00002511">
            <w:pPr>
              <w:rPr>
                <w:sz w:val="18"/>
                <w:szCs w:val="18"/>
              </w:rPr>
            </w:pPr>
            <w:r w:rsidRPr="00002511">
              <w:rPr>
                <w:sz w:val="18"/>
                <w:szCs w:val="18"/>
              </w:rPr>
              <w:t>No intervention</w:t>
            </w:r>
          </w:p>
        </w:tc>
        <w:tc>
          <w:tcPr>
            <w:tcW w:w="1148" w:type="dxa"/>
            <w:gridSpan w:val="3"/>
          </w:tcPr>
          <w:p w14:paraId="1A055290" w14:textId="76B10695" w:rsidR="00002511" w:rsidRPr="00002511" w:rsidRDefault="00002511" w:rsidP="00002511">
            <w:pPr>
              <w:rPr>
                <w:sz w:val="18"/>
                <w:szCs w:val="18"/>
                <w:highlight w:val="yellow"/>
              </w:rPr>
            </w:pPr>
            <w:r w:rsidRPr="00002511">
              <w:rPr>
                <w:sz w:val="18"/>
                <w:szCs w:val="18"/>
              </w:rPr>
              <w:t>0.689</w:t>
            </w:r>
          </w:p>
        </w:tc>
        <w:tc>
          <w:tcPr>
            <w:tcW w:w="1288" w:type="dxa"/>
            <w:gridSpan w:val="2"/>
          </w:tcPr>
          <w:p w14:paraId="593D0D37" w14:textId="55D88DC0" w:rsidR="00002511" w:rsidRPr="00002511" w:rsidRDefault="00002511" w:rsidP="00002511">
            <w:pPr>
              <w:rPr>
                <w:sz w:val="18"/>
                <w:szCs w:val="18"/>
                <w:highlight w:val="yellow"/>
              </w:rPr>
            </w:pPr>
            <w:r w:rsidRPr="00002511">
              <w:rPr>
                <w:sz w:val="18"/>
                <w:szCs w:val="18"/>
              </w:rPr>
              <w:t>5.51</w:t>
            </w:r>
          </w:p>
        </w:tc>
        <w:tc>
          <w:tcPr>
            <w:tcW w:w="1399" w:type="dxa"/>
          </w:tcPr>
          <w:p w14:paraId="1630EBF2" w14:textId="39766705" w:rsidR="00002511" w:rsidRPr="00002511" w:rsidRDefault="00002511" w:rsidP="00002511">
            <w:pPr>
              <w:rPr>
                <w:sz w:val="18"/>
                <w:szCs w:val="18"/>
                <w:highlight w:val="yellow"/>
              </w:rPr>
            </w:pPr>
            <w:r w:rsidRPr="00002511">
              <w:rPr>
                <w:sz w:val="18"/>
                <w:szCs w:val="18"/>
              </w:rPr>
              <w:t>.</w:t>
            </w:r>
          </w:p>
        </w:tc>
        <w:tc>
          <w:tcPr>
            <w:tcW w:w="1559" w:type="dxa"/>
          </w:tcPr>
          <w:p w14:paraId="6DD86B24" w14:textId="77777777" w:rsidR="00002511" w:rsidRPr="00002511" w:rsidRDefault="00002511" w:rsidP="00002511">
            <w:pPr>
              <w:rPr>
                <w:sz w:val="18"/>
                <w:szCs w:val="18"/>
                <w:highlight w:val="yellow"/>
              </w:rPr>
            </w:pPr>
          </w:p>
        </w:tc>
      </w:tr>
      <w:tr w:rsidR="00002511" w:rsidRPr="009102F0" w14:paraId="0BA72FC0" w14:textId="77777777" w:rsidTr="00523124">
        <w:tc>
          <w:tcPr>
            <w:tcW w:w="1418" w:type="dxa"/>
            <w:gridSpan w:val="2"/>
            <w:vMerge/>
          </w:tcPr>
          <w:p w14:paraId="0744C92F" w14:textId="77777777" w:rsidR="00002511" w:rsidRPr="00002511" w:rsidRDefault="00002511" w:rsidP="00002511">
            <w:pPr>
              <w:rPr>
                <w:sz w:val="18"/>
                <w:szCs w:val="18"/>
              </w:rPr>
            </w:pPr>
          </w:p>
        </w:tc>
        <w:tc>
          <w:tcPr>
            <w:tcW w:w="1410" w:type="dxa"/>
          </w:tcPr>
          <w:p w14:paraId="74E6B396" w14:textId="77777777" w:rsidR="00002511" w:rsidRPr="00002511" w:rsidRDefault="00002511" w:rsidP="00002511">
            <w:pPr>
              <w:rPr>
                <w:sz w:val="18"/>
                <w:szCs w:val="18"/>
              </w:rPr>
            </w:pPr>
            <w:r w:rsidRPr="00002511">
              <w:rPr>
                <w:sz w:val="18"/>
                <w:szCs w:val="18"/>
              </w:rPr>
              <w:t>(a)</w:t>
            </w:r>
          </w:p>
        </w:tc>
        <w:tc>
          <w:tcPr>
            <w:tcW w:w="1148" w:type="dxa"/>
            <w:gridSpan w:val="3"/>
          </w:tcPr>
          <w:p w14:paraId="51848571" w14:textId="11B0611C" w:rsidR="00002511" w:rsidRPr="00002511" w:rsidRDefault="00002511" w:rsidP="00002511">
            <w:pPr>
              <w:rPr>
                <w:sz w:val="18"/>
                <w:szCs w:val="18"/>
                <w:highlight w:val="yellow"/>
              </w:rPr>
            </w:pPr>
            <w:r w:rsidRPr="00002511">
              <w:rPr>
                <w:sz w:val="18"/>
                <w:szCs w:val="18"/>
              </w:rPr>
              <w:t>0.729</w:t>
            </w:r>
          </w:p>
        </w:tc>
        <w:tc>
          <w:tcPr>
            <w:tcW w:w="1288" w:type="dxa"/>
            <w:gridSpan w:val="2"/>
          </w:tcPr>
          <w:p w14:paraId="640014F1" w14:textId="241826B5" w:rsidR="00002511" w:rsidRPr="00002511" w:rsidRDefault="00002511" w:rsidP="00002511">
            <w:pPr>
              <w:rPr>
                <w:sz w:val="18"/>
                <w:szCs w:val="18"/>
                <w:highlight w:val="yellow"/>
              </w:rPr>
            </w:pPr>
            <w:r w:rsidRPr="00002511">
              <w:rPr>
                <w:sz w:val="18"/>
                <w:szCs w:val="18"/>
              </w:rPr>
              <w:t>5.04</w:t>
            </w:r>
          </w:p>
        </w:tc>
        <w:tc>
          <w:tcPr>
            <w:tcW w:w="1399" w:type="dxa"/>
          </w:tcPr>
          <w:p w14:paraId="72305A08" w14:textId="544D1886" w:rsidR="00002511" w:rsidRPr="00002511" w:rsidRDefault="00002511" w:rsidP="00002511">
            <w:pPr>
              <w:rPr>
                <w:sz w:val="18"/>
                <w:szCs w:val="18"/>
                <w:highlight w:val="yellow"/>
              </w:rPr>
            </w:pPr>
            <w:r w:rsidRPr="00002511">
              <w:rPr>
                <w:sz w:val="18"/>
                <w:szCs w:val="18"/>
              </w:rPr>
              <w:t>7296</w:t>
            </w:r>
          </w:p>
        </w:tc>
        <w:tc>
          <w:tcPr>
            <w:tcW w:w="1559" w:type="dxa"/>
          </w:tcPr>
          <w:p w14:paraId="43FAE81B" w14:textId="5EC4FAE3" w:rsidR="00002511" w:rsidRPr="00002511" w:rsidRDefault="00DA26F7" w:rsidP="00002511">
            <w:pPr>
              <w:rPr>
                <w:rFonts w:ascii="Calibri" w:hAnsi="Calibri"/>
                <w:sz w:val="18"/>
                <w:szCs w:val="18"/>
                <w:highlight w:val="yellow"/>
              </w:rPr>
            </w:pPr>
            <w:r w:rsidRPr="00DA26F7">
              <w:rPr>
                <w:rFonts w:ascii="Calibri" w:hAnsi="Calibri"/>
                <w:sz w:val="18"/>
                <w:szCs w:val="18"/>
              </w:rPr>
              <w:t>$35</w:t>
            </w:r>
          </w:p>
        </w:tc>
      </w:tr>
      <w:tr w:rsidR="00002511" w:rsidRPr="009102F0" w14:paraId="72BA79C2" w14:textId="77777777" w:rsidTr="00523124">
        <w:tc>
          <w:tcPr>
            <w:tcW w:w="1418" w:type="dxa"/>
            <w:gridSpan w:val="2"/>
            <w:vMerge/>
          </w:tcPr>
          <w:p w14:paraId="27DF875B" w14:textId="77777777" w:rsidR="00002511" w:rsidRPr="00002511" w:rsidRDefault="00002511" w:rsidP="00002511">
            <w:pPr>
              <w:rPr>
                <w:sz w:val="18"/>
                <w:szCs w:val="18"/>
              </w:rPr>
            </w:pPr>
          </w:p>
        </w:tc>
        <w:tc>
          <w:tcPr>
            <w:tcW w:w="1410" w:type="dxa"/>
          </w:tcPr>
          <w:p w14:paraId="45588726" w14:textId="77777777" w:rsidR="00002511" w:rsidRPr="00002511" w:rsidRDefault="00002511" w:rsidP="00002511">
            <w:pPr>
              <w:rPr>
                <w:sz w:val="18"/>
                <w:szCs w:val="18"/>
              </w:rPr>
            </w:pPr>
            <w:r w:rsidRPr="00002511">
              <w:rPr>
                <w:sz w:val="18"/>
                <w:szCs w:val="18"/>
              </w:rPr>
              <w:t>(b)</w:t>
            </w:r>
          </w:p>
        </w:tc>
        <w:tc>
          <w:tcPr>
            <w:tcW w:w="1148" w:type="dxa"/>
            <w:gridSpan w:val="3"/>
          </w:tcPr>
          <w:p w14:paraId="70459584" w14:textId="6C9C77A0" w:rsidR="00002511" w:rsidRPr="00002511" w:rsidRDefault="00002511" w:rsidP="00002511">
            <w:pPr>
              <w:rPr>
                <w:sz w:val="18"/>
                <w:szCs w:val="18"/>
                <w:highlight w:val="yellow"/>
              </w:rPr>
            </w:pPr>
            <w:r w:rsidRPr="00002511">
              <w:rPr>
                <w:sz w:val="18"/>
                <w:szCs w:val="18"/>
              </w:rPr>
              <w:t>0.765</w:t>
            </w:r>
          </w:p>
        </w:tc>
        <w:tc>
          <w:tcPr>
            <w:tcW w:w="1288" w:type="dxa"/>
            <w:gridSpan w:val="2"/>
          </w:tcPr>
          <w:p w14:paraId="3885EB8E" w14:textId="683C1696" w:rsidR="00002511" w:rsidRPr="00002511" w:rsidRDefault="00002511" w:rsidP="00002511">
            <w:pPr>
              <w:rPr>
                <w:sz w:val="18"/>
                <w:szCs w:val="18"/>
                <w:highlight w:val="yellow"/>
              </w:rPr>
            </w:pPr>
            <w:r w:rsidRPr="00002511">
              <w:rPr>
                <w:sz w:val="18"/>
                <w:szCs w:val="18"/>
              </w:rPr>
              <w:t>4.62</w:t>
            </w:r>
          </w:p>
        </w:tc>
        <w:tc>
          <w:tcPr>
            <w:tcW w:w="1399" w:type="dxa"/>
          </w:tcPr>
          <w:p w14:paraId="04AA7125" w14:textId="5BA579C1" w:rsidR="00002511" w:rsidRPr="00DA26F7" w:rsidRDefault="00002511" w:rsidP="00002511">
            <w:pPr>
              <w:rPr>
                <w:sz w:val="18"/>
                <w:szCs w:val="18"/>
              </w:rPr>
            </w:pPr>
            <w:r w:rsidRPr="00DA26F7">
              <w:rPr>
                <w:sz w:val="18"/>
                <w:szCs w:val="18"/>
              </w:rPr>
              <w:t>12411</w:t>
            </w:r>
          </w:p>
        </w:tc>
        <w:tc>
          <w:tcPr>
            <w:tcW w:w="1559" w:type="dxa"/>
          </w:tcPr>
          <w:p w14:paraId="19C341A8" w14:textId="4E9A8BFC" w:rsidR="00002511" w:rsidRPr="00DA26F7" w:rsidRDefault="00DA26F7" w:rsidP="00002511">
            <w:pPr>
              <w:rPr>
                <w:rFonts w:ascii="Calibri" w:hAnsi="Calibri"/>
                <w:sz w:val="18"/>
                <w:szCs w:val="18"/>
              </w:rPr>
            </w:pPr>
            <w:r w:rsidRPr="00DA26F7">
              <w:rPr>
                <w:rFonts w:ascii="Calibri" w:hAnsi="Calibri"/>
                <w:sz w:val="18"/>
                <w:szCs w:val="18"/>
              </w:rPr>
              <w:t>$39</w:t>
            </w:r>
          </w:p>
        </w:tc>
      </w:tr>
      <w:tr w:rsidR="00002511" w:rsidRPr="009102F0" w14:paraId="4088A849" w14:textId="77777777" w:rsidTr="00523124">
        <w:tc>
          <w:tcPr>
            <w:tcW w:w="1418" w:type="dxa"/>
            <w:gridSpan w:val="2"/>
            <w:vMerge/>
          </w:tcPr>
          <w:p w14:paraId="76DDFC5D" w14:textId="77777777" w:rsidR="00002511" w:rsidRPr="00002511" w:rsidRDefault="00002511" w:rsidP="00002511">
            <w:pPr>
              <w:rPr>
                <w:sz w:val="18"/>
                <w:szCs w:val="18"/>
              </w:rPr>
            </w:pPr>
          </w:p>
        </w:tc>
        <w:tc>
          <w:tcPr>
            <w:tcW w:w="1410" w:type="dxa"/>
          </w:tcPr>
          <w:p w14:paraId="3D276369" w14:textId="77777777" w:rsidR="00002511" w:rsidRPr="00002511" w:rsidRDefault="00002511" w:rsidP="00002511">
            <w:pPr>
              <w:rPr>
                <w:sz w:val="18"/>
                <w:szCs w:val="18"/>
              </w:rPr>
            </w:pPr>
            <w:r w:rsidRPr="00002511">
              <w:rPr>
                <w:sz w:val="18"/>
                <w:szCs w:val="18"/>
              </w:rPr>
              <w:t>(c)</w:t>
            </w:r>
          </w:p>
        </w:tc>
        <w:tc>
          <w:tcPr>
            <w:tcW w:w="1148" w:type="dxa"/>
            <w:gridSpan w:val="3"/>
          </w:tcPr>
          <w:p w14:paraId="2B1D9514" w14:textId="0744B5AE" w:rsidR="00002511" w:rsidRPr="00002511" w:rsidRDefault="00002511" w:rsidP="00002511">
            <w:pPr>
              <w:rPr>
                <w:sz w:val="18"/>
                <w:szCs w:val="18"/>
                <w:highlight w:val="yellow"/>
              </w:rPr>
            </w:pPr>
            <w:r w:rsidRPr="00002511">
              <w:rPr>
                <w:sz w:val="18"/>
                <w:szCs w:val="18"/>
              </w:rPr>
              <w:t>0.713</w:t>
            </w:r>
          </w:p>
        </w:tc>
        <w:tc>
          <w:tcPr>
            <w:tcW w:w="1288" w:type="dxa"/>
            <w:gridSpan w:val="2"/>
          </w:tcPr>
          <w:p w14:paraId="28ECE341" w14:textId="53621215" w:rsidR="00002511" w:rsidRPr="00002511" w:rsidRDefault="00002511" w:rsidP="00002511">
            <w:pPr>
              <w:rPr>
                <w:sz w:val="18"/>
                <w:szCs w:val="18"/>
                <w:highlight w:val="yellow"/>
              </w:rPr>
            </w:pPr>
            <w:r w:rsidRPr="00002511">
              <w:rPr>
                <w:sz w:val="18"/>
                <w:szCs w:val="18"/>
              </w:rPr>
              <w:t>5.13</w:t>
            </w:r>
          </w:p>
        </w:tc>
        <w:tc>
          <w:tcPr>
            <w:tcW w:w="1399" w:type="dxa"/>
          </w:tcPr>
          <w:p w14:paraId="22D6F6ED" w14:textId="1740E1C0" w:rsidR="00002511" w:rsidRPr="00002511" w:rsidRDefault="00002511" w:rsidP="00002511">
            <w:pPr>
              <w:rPr>
                <w:sz w:val="18"/>
                <w:szCs w:val="18"/>
              </w:rPr>
            </w:pPr>
            <w:r w:rsidRPr="00002511">
              <w:rPr>
                <w:sz w:val="18"/>
                <w:szCs w:val="18"/>
              </w:rPr>
              <w:t>4913</w:t>
            </w:r>
          </w:p>
        </w:tc>
        <w:tc>
          <w:tcPr>
            <w:tcW w:w="1559" w:type="dxa"/>
          </w:tcPr>
          <w:p w14:paraId="2BCBB26C" w14:textId="560CEFE7" w:rsidR="00002511" w:rsidRPr="00DA26F7" w:rsidRDefault="00002511" w:rsidP="00002511">
            <w:pPr>
              <w:rPr>
                <w:rFonts w:ascii="Calibri" w:hAnsi="Calibri"/>
                <w:sz w:val="18"/>
                <w:szCs w:val="18"/>
              </w:rPr>
            </w:pPr>
            <w:r w:rsidRPr="00DA26F7">
              <w:rPr>
                <w:rFonts w:ascii="Calibri" w:hAnsi="Calibri"/>
                <w:sz w:val="18"/>
                <w:szCs w:val="18"/>
              </w:rPr>
              <w:t>$7</w:t>
            </w:r>
          </w:p>
        </w:tc>
      </w:tr>
      <w:tr w:rsidR="00002511" w:rsidRPr="009102F0" w14:paraId="3018760A" w14:textId="77777777" w:rsidTr="00523124">
        <w:tc>
          <w:tcPr>
            <w:tcW w:w="1418" w:type="dxa"/>
            <w:gridSpan w:val="2"/>
            <w:vMerge/>
          </w:tcPr>
          <w:p w14:paraId="55ACC432" w14:textId="77777777" w:rsidR="00002511" w:rsidRPr="00002511" w:rsidRDefault="00002511" w:rsidP="00002511">
            <w:pPr>
              <w:rPr>
                <w:sz w:val="18"/>
                <w:szCs w:val="18"/>
              </w:rPr>
            </w:pPr>
          </w:p>
        </w:tc>
        <w:tc>
          <w:tcPr>
            <w:tcW w:w="1410" w:type="dxa"/>
          </w:tcPr>
          <w:p w14:paraId="5FEF9D89" w14:textId="77777777" w:rsidR="00002511" w:rsidRPr="00002511" w:rsidRDefault="00002511" w:rsidP="00002511">
            <w:pPr>
              <w:rPr>
                <w:sz w:val="18"/>
                <w:szCs w:val="18"/>
              </w:rPr>
            </w:pPr>
            <w:r w:rsidRPr="00002511">
              <w:rPr>
                <w:sz w:val="18"/>
                <w:szCs w:val="18"/>
              </w:rPr>
              <w:t>(d)</w:t>
            </w:r>
          </w:p>
        </w:tc>
        <w:tc>
          <w:tcPr>
            <w:tcW w:w="1148" w:type="dxa"/>
            <w:gridSpan w:val="3"/>
          </w:tcPr>
          <w:p w14:paraId="067B75C7" w14:textId="35FA3CAB" w:rsidR="00002511" w:rsidRPr="00002511" w:rsidRDefault="00002511" w:rsidP="00002511">
            <w:pPr>
              <w:rPr>
                <w:sz w:val="18"/>
                <w:szCs w:val="18"/>
                <w:highlight w:val="yellow"/>
              </w:rPr>
            </w:pPr>
            <w:r w:rsidRPr="00002511">
              <w:rPr>
                <w:sz w:val="18"/>
                <w:szCs w:val="18"/>
              </w:rPr>
              <w:t>0.743</w:t>
            </w:r>
          </w:p>
        </w:tc>
        <w:tc>
          <w:tcPr>
            <w:tcW w:w="1288" w:type="dxa"/>
            <w:gridSpan w:val="2"/>
          </w:tcPr>
          <w:p w14:paraId="49620113" w14:textId="209EE967" w:rsidR="00002511" w:rsidRPr="00002511" w:rsidRDefault="00002511" w:rsidP="00002511">
            <w:pPr>
              <w:rPr>
                <w:sz w:val="18"/>
                <w:szCs w:val="18"/>
                <w:highlight w:val="yellow"/>
              </w:rPr>
            </w:pPr>
            <w:r w:rsidRPr="00002511">
              <w:rPr>
                <w:sz w:val="18"/>
                <w:szCs w:val="18"/>
              </w:rPr>
              <w:t>4.97</w:t>
            </w:r>
          </w:p>
        </w:tc>
        <w:tc>
          <w:tcPr>
            <w:tcW w:w="1399" w:type="dxa"/>
          </w:tcPr>
          <w:p w14:paraId="4FD00F11" w14:textId="2818E185" w:rsidR="00002511" w:rsidRPr="00002511" w:rsidRDefault="00002511" w:rsidP="00002511">
            <w:pPr>
              <w:rPr>
                <w:sz w:val="18"/>
                <w:szCs w:val="18"/>
                <w:highlight w:val="yellow"/>
              </w:rPr>
            </w:pPr>
            <w:r w:rsidRPr="00002511">
              <w:rPr>
                <w:sz w:val="18"/>
                <w:szCs w:val="18"/>
              </w:rPr>
              <w:t>8701</w:t>
            </w:r>
          </w:p>
        </w:tc>
        <w:tc>
          <w:tcPr>
            <w:tcW w:w="1559" w:type="dxa"/>
          </w:tcPr>
          <w:p w14:paraId="7BDEDEDB" w14:textId="0718B8BE" w:rsidR="00002511" w:rsidRPr="00344081" w:rsidRDefault="00DA26F7" w:rsidP="00002511">
            <w:pPr>
              <w:rPr>
                <w:rFonts w:ascii="Calibri" w:hAnsi="Calibri"/>
                <w:sz w:val="18"/>
                <w:szCs w:val="18"/>
              </w:rPr>
            </w:pPr>
            <w:r w:rsidRPr="00344081">
              <w:rPr>
                <w:rFonts w:ascii="Calibri" w:hAnsi="Calibri"/>
                <w:sz w:val="18"/>
                <w:szCs w:val="18"/>
              </w:rPr>
              <w:t>$42</w:t>
            </w:r>
          </w:p>
        </w:tc>
      </w:tr>
      <w:tr w:rsidR="00002511" w:rsidRPr="009102F0" w14:paraId="36FEA42C" w14:textId="77777777" w:rsidTr="00523124">
        <w:tc>
          <w:tcPr>
            <w:tcW w:w="1418" w:type="dxa"/>
            <w:gridSpan w:val="2"/>
            <w:vMerge/>
          </w:tcPr>
          <w:p w14:paraId="3575287D" w14:textId="77777777" w:rsidR="00002511" w:rsidRPr="00002511" w:rsidRDefault="00002511" w:rsidP="00002511">
            <w:pPr>
              <w:rPr>
                <w:sz w:val="18"/>
                <w:szCs w:val="18"/>
              </w:rPr>
            </w:pPr>
          </w:p>
        </w:tc>
        <w:tc>
          <w:tcPr>
            <w:tcW w:w="1410" w:type="dxa"/>
          </w:tcPr>
          <w:p w14:paraId="6A9F087E" w14:textId="77777777" w:rsidR="00002511" w:rsidRPr="00002511" w:rsidRDefault="00002511" w:rsidP="00002511">
            <w:pPr>
              <w:rPr>
                <w:sz w:val="18"/>
                <w:szCs w:val="18"/>
              </w:rPr>
            </w:pPr>
            <w:r w:rsidRPr="00002511">
              <w:rPr>
                <w:sz w:val="18"/>
                <w:szCs w:val="18"/>
              </w:rPr>
              <w:t>(e)</w:t>
            </w:r>
          </w:p>
        </w:tc>
        <w:tc>
          <w:tcPr>
            <w:tcW w:w="1148" w:type="dxa"/>
            <w:gridSpan w:val="3"/>
          </w:tcPr>
          <w:p w14:paraId="7215B5BE" w14:textId="1BEB1B6C" w:rsidR="00002511" w:rsidRPr="00002511" w:rsidRDefault="00002511" w:rsidP="00002511">
            <w:pPr>
              <w:rPr>
                <w:sz w:val="18"/>
                <w:szCs w:val="18"/>
                <w:highlight w:val="yellow"/>
              </w:rPr>
            </w:pPr>
            <w:r w:rsidRPr="00002511">
              <w:rPr>
                <w:sz w:val="18"/>
                <w:szCs w:val="18"/>
              </w:rPr>
              <w:t>0.780</w:t>
            </w:r>
          </w:p>
        </w:tc>
        <w:tc>
          <w:tcPr>
            <w:tcW w:w="1288" w:type="dxa"/>
            <w:gridSpan w:val="2"/>
          </w:tcPr>
          <w:p w14:paraId="45EA3069" w14:textId="67826AC2" w:rsidR="00002511" w:rsidRPr="00002511" w:rsidRDefault="00002511" w:rsidP="00002511">
            <w:pPr>
              <w:rPr>
                <w:sz w:val="18"/>
                <w:szCs w:val="18"/>
                <w:highlight w:val="yellow"/>
              </w:rPr>
            </w:pPr>
            <w:r w:rsidRPr="00002511">
              <w:rPr>
                <w:sz w:val="18"/>
                <w:szCs w:val="18"/>
              </w:rPr>
              <w:t>4.54</w:t>
            </w:r>
          </w:p>
        </w:tc>
        <w:tc>
          <w:tcPr>
            <w:tcW w:w="1399" w:type="dxa"/>
          </w:tcPr>
          <w:p w14:paraId="445005AF" w14:textId="0A34B985" w:rsidR="00002511" w:rsidRPr="00002511" w:rsidRDefault="00002511" w:rsidP="00002511">
            <w:pPr>
              <w:rPr>
                <w:sz w:val="18"/>
                <w:szCs w:val="18"/>
                <w:highlight w:val="yellow"/>
              </w:rPr>
            </w:pPr>
            <w:r w:rsidRPr="00002511">
              <w:rPr>
                <w:sz w:val="18"/>
                <w:szCs w:val="18"/>
              </w:rPr>
              <w:t>13849</w:t>
            </w:r>
          </w:p>
        </w:tc>
        <w:tc>
          <w:tcPr>
            <w:tcW w:w="1559" w:type="dxa"/>
          </w:tcPr>
          <w:p w14:paraId="4CF6E6BC" w14:textId="5A29BC66" w:rsidR="00002511" w:rsidRPr="00344081" w:rsidRDefault="00344081" w:rsidP="00002511">
            <w:pPr>
              <w:rPr>
                <w:rFonts w:ascii="Calibri" w:hAnsi="Calibri"/>
                <w:sz w:val="18"/>
                <w:szCs w:val="18"/>
              </w:rPr>
            </w:pPr>
            <w:r w:rsidRPr="00344081">
              <w:rPr>
                <w:rFonts w:ascii="Calibri" w:hAnsi="Calibri"/>
                <w:sz w:val="18"/>
                <w:szCs w:val="18"/>
              </w:rPr>
              <w:t>$47</w:t>
            </w:r>
          </w:p>
        </w:tc>
      </w:tr>
      <w:tr w:rsidR="0016347B" w:rsidRPr="009102F0" w14:paraId="5823AED2" w14:textId="77777777" w:rsidTr="00523124">
        <w:tc>
          <w:tcPr>
            <w:tcW w:w="1418" w:type="dxa"/>
            <w:gridSpan w:val="2"/>
            <w:vMerge w:val="restart"/>
          </w:tcPr>
          <w:p w14:paraId="61ECF8B6" w14:textId="77777777" w:rsidR="0016347B" w:rsidRPr="009102F0" w:rsidRDefault="0016347B" w:rsidP="0016347B">
            <w:pPr>
              <w:rPr>
                <w:sz w:val="18"/>
                <w:szCs w:val="18"/>
              </w:rPr>
            </w:pPr>
            <w:r w:rsidRPr="009102F0">
              <w:rPr>
                <w:sz w:val="18"/>
                <w:szCs w:val="18"/>
              </w:rPr>
              <w:t>Higher adherence</w:t>
            </w:r>
          </w:p>
        </w:tc>
        <w:tc>
          <w:tcPr>
            <w:tcW w:w="1410" w:type="dxa"/>
          </w:tcPr>
          <w:p w14:paraId="5B0E37F4" w14:textId="77777777" w:rsidR="0016347B" w:rsidRPr="0016347B" w:rsidRDefault="0016347B" w:rsidP="0016347B">
            <w:pPr>
              <w:rPr>
                <w:sz w:val="18"/>
                <w:szCs w:val="18"/>
              </w:rPr>
            </w:pPr>
            <w:r w:rsidRPr="0016347B">
              <w:rPr>
                <w:sz w:val="18"/>
                <w:szCs w:val="18"/>
              </w:rPr>
              <w:t>No intervention</w:t>
            </w:r>
          </w:p>
        </w:tc>
        <w:tc>
          <w:tcPr>
            <w:tcW w:w="1148" w:type="dxa"/>
            <w:gridSpan w:val="3"/>
          </w:tcPr>
          <w:p w14:paraId="4B8583AD" w14:textId="5077BFC9" w:rsidR="0016347B" w:rsidRPr="0016347B" w:rsidRDefault="0016347B" w:rsidP="0016347B">
            <w:pPr>
              <w:rPr>
                <w:sz w:val="18"/>
                <w:szCs w:val="18"/>
                <w:highlight w:val="yellow"/>
              </w:rPr>
            </w:pPr>
            <w:r w:rsidRPr="0016347B">
              <w:rPr>
                <w:sz w:val="18"/>
                <w:szCs w:val="18"/>
              </w:rPr>
              <w:t>0.789</w:t>
            </w:r>
          </w:p>
        </w:tc>
        <w:tc>
          <w:tcPr>
            <w:tcW w:w="1288" w:type="dxa"/>
            <w:gridSpan w:val="2"/>
          </w:tcPr>
          <w:p w14:paraId="5C195D3C" w14:textId="2D983080" w:rsidR="0016347B" w:rsidRPr="0016347B" w:rsidRDefault="0016347B" w:rsidP="0016347B">
            <w:pPr>
              <w:rPr>
                <w:sz w:val="18"/>
                <w:szCs w:val="18"/>
                <w:highlight w:val="yellow"/>
              </w:rPr>
            </w:pPr>
            <w:r w:rsidRPr="0016347B">
              <w:rPr>
                <w:sz w:val="18"/>
                <w:szCs w:val="18"/>
              </w:rPr>
              <w:t>4.36</w:t>
            </w:r>
          </w:p>
        </w:tc>
        <w:tc>
          <w:tcPr>
            <w:tcW w:w="1399" w:type="dxa"/>
          </w:tcPr>
          <w:p w14:paraId="541ABB62" w14:textId="12FDC1B0" w:rsidR="0016347B" w:rsidRPr="0016347B" w:rsidRDefault="0016347B" w:rsidP="0016347B">
            <w:pPr>
              <w:rPr>
                <w:sz w:val="18"/>
                <w:szCs w:val="18"/>
                <w:highlight w:val="yellow"/>
              </w:rPr>
            </w:pPr>
            <w:r w:rsidRPr="0016347B">
              <w:rPr>
                <w:sz w:val="18"/>
                <w:szCs w:val="18"/>
              </w:rPr>
              <w:t>.</w:t>
            </w:r>
          </w:p>
        </w:tc>
        <w:tc>
          <w:tcPr>
            <w:tcW w:w="1559" w:type="dxa"/>
          </w:tcPr>
          <w:p w14:paraId="209390B8" w14:textId="77777777" w:rsidR="0016347B" w:rsidRPr="007970AB" w:rsidRDefault="0016347B" w:rsidP="0016347B">
            <w:pPr>
              <w:rPr>
                <w:sz w:val="18"/>
                <w:szCs w:val="18"/>
                <w:highlight w:val="yellow"/>
              </w:rPr>
            </w:pPr>
          </w:p>
        </w:tc>
      </w:tr>
      <w:tr w:rsidR="0016347B" w:rsidRPr="009102F0" w14:paraId="3F910DB1" w14:textId="77777777" w:rsidTr="00523124">
        <w:tc>
          <w:tcPr>
            <w:tcW w:w="1418" w:type="dxa"/>
            <w:gridSpan w:val="2"/>
            <w:vMerge/>
          </w:tcPr>
          <w:p w14:paraId="6BF68F2B" w14:textId="77777777" w:rsidR="0016347B" w:rsidRPr="009102F0" w:rsidRDefault="0016347B" w:rsidP="0016347B">
            <w:pPr>
              <w:rPr>
                <w:sz w:val="18"/>
                <w:szCs w:val="18"/>
              </w:rPr>
            </w:pPr>
          </w:p>
        </w:tc>
        <w:tc>
          <w:tcPr>
            <w:tcW w:w="1410" w:type="dxa"/>
          </w:tcPr>
          <w:p w14:paraId="6CDF5F80" w14:textId="77777777" w:rsidR="0016347B" w:rsidRPr="0016347B" w:rsidRDefault="0016347B" w:rsidP="0016347B">
            <w:pPr>
              <w:rPr>
                <w:sz w:val="18"/>
                <w:szCs w:val="18"/>
              </w:rPr>
            </w:pPr>
            <w:r w:rsidRPr="0016347B">
              <w:rPr>
                <w:sz w:val="18"/>
                <w:szCs w:val="18"/>
              </w:rPr>
              <w:t>(a)</w:t>
            </w:r>
          </w:p>
        </w:tc>
        <w:tc>
          <w:tcPr>
            <w:tcW w:w="1148" w:type="dxa"/>
            <w:gridSpan w:val="3"/>
          </w:tcPr>
          <w:p w14:paraId="505FAD81" w14:textId="74763800" w:rsidR="0016347B" w:rsidRPr="0016347B" w:rsidRDefault="0016347B" w:rsidP="0016347B">
            <w:pPr>
              <w:rPr>
                <w:sz w:val="18"/>
                <w:szCs w:val="18"/>
                <w:highlight w:val="yellow"/>
              </w:rPr>
            </w:pPr>
            <w:r w:rsidRPr="0016347B">
              <w:rPr>
                <w:sz w:val="18"/>
                <w:szCs w:val="18"/>
              </w:rPr>
              <w:t>0.793</w:t>
            </w:r>
          </w:p>
        </w:tc>
        <w:tc>
          <w:tcPr>
            <w:tcW w:w="1288" w:type="dxa"/>
            <w:gridSpan w:val="2"/>
          </w:tcPr>
          <w:p w14:paraId="01901F62" w14:textId="2E1CBBD0" w:rsidR="0016347B" w:rsidRPr="0016347B" w:rsidRDefault="0016347B" w:rsidP="0016347B">
            <w:pPr>
              <w:rPr>
                <w:sz w:val="18"/>
                <w:szCs w:val="18"/>
                <w:highlight w:val="yellow"/>
              </w:rPr>
            </w:pPr>
            <w:r w:rsidRPr="0016347B">
              <w:rPr>
                <w:sz w:val="18"/>
                <w:szCs w:val="18"/>
              </w:rPr>
              <w:t>4.32</w:t>
            </w:r>
          </w:p>
        </w:tc>
        <w:tc>
          <w:tcPr>
            <w:tcW w:w="1399" w:type="dxa"/>
          </w:tcPr>
          <w:p w14:paraId="1110AD33" w14:textId="06B74EB7" w:rsidR="0016347B" w:rsidRPr="0016347B" w:rsidRDefault="0016347B" w:rsidP="0016347B">
            <w:pPr>
              <w:rPr>
                <w:sz w:val="18"/>
                <w:szCs w:val="18"/>
                <w:highlight w:val="yellow"/>
              </w:rPr>
            </w:pPr>
            <w:r w:rsidRPr="0016347B">
              <w:rPr>
                <w:sz w:val="18"/>
                <w:szCs w:val="18"/>
              </w:rPr>
              <w:t>1099</w:t>
            </w:r>
          </w:p>
        </w:tc>
        <w:tc>
          <w:tcPr>
            <w:tcW w:w="1559" w:type="dxa"/>
          </w:tcPr>
          <w:p w14:paraId="47D132A7" w14:textId="049FBCFB" w:rsidR="0016347B" w:rsidRPr="007970AB" w:rsidRDefault="00963708" w:rsidP="0016347B">
            <w:pPr>
              <w:rPr>
                <w:rFonts w:ascii="Calibri" w:hAnsi="Calibri"/>
                <w:sz w:val="18"/>
                <w:szCs w:val="18"/>
                <w:highlight w:val="yellow"/>
              </w:rPr>
            </w:pPr>
            <w:r w:rsidRPr="00963708">
              <w:rPr>
                <w:rFonts w:ascii="Calibri" w:hAnsi="Calibri"/>
                <w:sz w:val="18"/>
                <w:szCs w:val="18"/>
              </w:rPr>
              <w:t>$6</w:t>
            </w:r>
          </w:p>
        </w:tc>
      </w:tr>
      <w:tr w:rsidR="0016347B" w:rsidRPr="009102F0" w14:paraId="1D17D988" w14:textId="77777777" w:rsidTr="00523124">
        <w:tc>
          <w:tcPr>
            <w:tcW w:w="1418" w:type="dxa"/>
            <w:gridSpan w:val="2"/>
            <w:vMerge/>
          </w:tcPr>
          <w:p w14:paraId="3AC7195D" w14:textId="77777777" w:rsidR="0016347B" w:rsidRPr="009102F0" w:rsidRDefault="0016347B" w:rsidP="0016347B">
            <w:pPr>
              <w:rPr>
                <w:sz w:val="18"/>
                <w:szCs w:val="18"/>
              </w:rPr>
            </w:pPr>
          </w:p>
        </w:tc>
        <w:tc>
          <w:tcPr>
            <w:tcW w:w="1410" w:type="dxa"/>
          </w:tcPr>
          <w:p w14:paraId="0324EB5E" w14:textId="77777777" w:rsidR="0016347B" w:rsidRPr="0016347B" w:rsidRDefault="0016347B" w:rsidP="0016347B">
            <w:pPr>
              <w:rPr>
                <w:sz w:val="18"/>
                <w:szCs w:val="18"/>
              </w:rPr>
            </w:pPr>
            <w:r w:rsidRPr="0016347B">
              <w:rPr>
                <w:sz w:val="18"/>
                <w:szCs w:val="18"/>
              </w:rPr>
              <w:t>(b)</w:t>
            </w:r>
          </w:p>
        </w:tc>
        <w:tc>
          <w:tcPr>
            <w:tcW w:w="1148" w:type="dxa"/>
            <w:gridSpan w:val="3"/>
          </w:tcPr>
          <w:p w14:paraId="3A661BD0" w14:textId="5C7EDA11" w:rsidR="0016347B" w:rsidRPr="0016347B" w:rsidRDefault="0016347B" w:rsidP="0016347B">
            <w:pPr>
              <w:rPr>
                <w:sz w:val="18"/>
                <w:szCs w:val="18"/>
                <w:highlight w:val="yellow"/>
              </w:rPr>
            </w:pPr>
            <w:r w:rsidRPr="0016347B">
              <w:rPr>
                <w:sz w:val="18"/>
                <w:szCs w:val="18"/>
              </w:rPr>
              <w:t>0.823</w:t>
            </w:r>
          </w:p>
        </w:tc>
        <w:tc>
          <w:tcPr>
            <w:tcW w:w="1288" w:type="dxa"/>
            <w:gridSpan w:val="2"/>
          </w:tcPr>
          <w:p w14:paraId="7A45C9E9" w14:textId="72E8DFEA" w:rsidR="0016347B" w:rsidRPr="0016347B" w:rsidRDefault="0016347B" w:rsidP="0016347B">
            <w:pPr>
              <w:rPr>
                <w:sz w:val="18"/>
                <w:szCs w:val="18"/>
                <w:highlight w:val="yellow"/>
              </w:rPr>
            </w:pPr>
            <w:r w:rsidRPr="0016347B">
              <w:rPr>
                <w:sz w:val="18"/>
                <w:szCs w:val="18"/>
              </w:rPr>
              <w:t>3.99</w:t>
            </w:r>
          </w:p>
        </w:tc>
        <w:tc>
          <w:tcPr>
            <w:tcW w:w="1399" w:type="dxa"/>
          </w:tcPr>
          <w:p w14:paraId="625FEE32" w14:textId="3AC6FF55" w:rsidR="0016347B" w:rsidRPr="00963708" w:rsidRDefault="0016347B" w:rsidP="0016347B">
            <w:pPr>
              <w:rPr>
                <w:sz w:val="18"/>
                <w:szCs w:val="18"/>
              </w:rPr>
            </w:pPr>
            <w:r w:rsidRPr="00963708">
              <w:rPr>
                <w:sz w:val="18"/>
                <w:szCs w:val="18"/>
              </w:rPr>
              <w:t>4989</w:t>
            </w:r>
          </w:p>
        </w:tc>
        <w:tc>
          <w:tcPr>
            <w:tcW w:w="1559" w:type="dxa"/>
          </w:tcPr>
          <w:p w14:paraId="1541EC6D" w14:textId="3328BB32" w:rsidR="0016347B" w:rsidRPr="00963708" w:rsidRDefault="00963708" w:rsidP="0016347B">
            <w:pPr>
              <w:rPr>
                <w:rFonts w:ascii="Calibri" w:hAnsi="Calibri"/>
                <w:sz w:val="18"/>
                <w:szCs w:val="18"/>
              </w:rPr>
            </w:pPr>
            <w:r w:rsidRPr="00963708">
              <w:rPr>
                <w:rFonts w:ascii="Calibri" w:hAnsi="Calibri"/>
                <w:sz w:val="18"/>
                <w:szCs w:val="18"/>
              </w:rPr>
              <w:t>$12</w:t>
            </w:r>
          </w:p>
        </w:tc>
      </w:tr>
      <w:tr w:rsidR="0016347B" w:rsidRPr="009102F0" w14:paraId="32EE7CD8" w14:textId="77777777" w:rsidTr="00523124">
        <w:tc>
          <w:tcPr>
            <w:tcW w:w="1418" w:type="dxa"/>
            <w:gridSpan w:val="2"/>
            <w:vMerge/>
          </w:tcPr>
          <w:p w14:paraId="3700F845" w14:textId="77777777" w:rsidR="0016347B" w:rsidRPr="009102F0" w:rsidRDefault="0016347B" w:rsidP="0016347B">
            <w:pPr>
              <w:rPr>
                <w:sz w:val="18"/>
                <w:szCs w:val="18"/>
              </w:rPr>
            </w:pPr>
          </w:p>
        </w:tc>
        <w:tc>
          <w:tcPr>
            <w:tcW w:w="1410" w:type="dxa"/>
          </w:tcPr>
          <w:p w14:paraId="3B413BF2" w14:textId="77777777" w:rsidR="0016347B" w:rsidRPr="0016347B" w:rsidRDefault="0016347B" w:rsidP="0016347B">
            <w:pPr>
              <w:rPr>
                <w:sz w:val="18"/>
                <w:szCs w:val="18"/>
              </w:rPr>
            </w:pPr>
            <w:r w:rsidRPr="0016347B">
              <w:rPr>
                <w:sz w:val="18"/>
                <w:szCs w:val="18"/>
              </w:rPr>
              <w:t>(c)</w:t>
            </w:r>
          </w:p>
        </w:tc>
        <w:tc>
          <w:tcPr>
            <w:tcW w:w="1148" w:type="dxa"/>
            <w:gridSpan w:val="3"/>
          </w:tcPr>
          <w:p w14:paraId="50A57453" w14:textId="2942B5DD" w:rsidR="0016347B" w:rsidRPr="0016347B" w:rsidRDefault="0016347B" w:rsidP="0016347B">
            <w:pPr>
              <w:rPr>
                <w:sz w:val="18"/>
                <w:szCs w:val="18"/>
                <w:highlight w:val="yellow"/>
              </w:rPr>
            </w:pPr>
            <w:r w:rsidRPr="0016347B">
              <w:rPr>
                <w:sz w:val="18"/>
                <w:szCs w:val="18"/>
              </w:rPr>
              <w:t>0.819</w:t>
            </w:r>
          </w:p>
        </w:tc>
        <w:tc>
          <w:tcPr>
            <w:tcW w:w="1288" w:type="dxa"/>
            <w:gridSpan w:val="2"/>
          </w:tcPr>
          <w:p w14:paraId="766C83F1" w14:textId="22C501CD" w:rsidR="0016347B" w:rsidRPr="0016347B" w:rsidRDefault="0016347B" w:rsidP="0016347B">
            <w:pPr>
              <w:rPr>
                <w:sz w:val="18"/>
                <w:szCs w:val="18"/>
                <w:highlight w:val="yellow"/>
              </w:rPr>
            </w:pPr>
            <w:r w:rsidRPr="0016347B">
              <w:rPr>
                <w:sz w:val="18"/>
                <w:szCs w:val="18"/>
              </w:rPr>
              <w:t>4.04</w:t>
            </w:r>
          </w:p>
        </w:tc>
        <w:tc>
          <w:tcPr>
            <w:tcW w:w="1399" w:type="dxa"/>
          </w:tcPr>
          <w:p w14:paraId="3C0EB50E" w14:textId="0DBE019C" w:rsidR="0016347B" w:rsidRPr="0016347B" w:rsidRDefault="0016347B" w:rsidP="0016347B">
            <w:pPr>
              <w:rPr>
                <w:sz w:val="18"/>
                <w:szCs w:val="18"/>
                <w:highlight w:val="yellow"/>
              </w:rPr>
            </w:pPr>
            <w:r w:rsidRPr="0016347B">
              <w:rPr>
                <w:sz w:val="18"/>
                <w:szCs w:val="18"/>
              </w:rPr>
              <w:t>3702</w:t>
            </w:r>
          </w:p>
        </w:tc>
        <w:tc>
          <w:tcPr>
            <w:tcW w:w="1559" w:type="dxa"/>
          </w:tcPr>
          <w:p w14:paraId="1B44A158" w14:textId="5912DF3F" w:rsidR="0016347B" w:rsidRPr="007970AB" w:rsidRDefault="00963708" w:rsidP="0016347B">
            <w:pPr>
              <w:rPr>
                <w:rFonts w:ascii="Calibri" w:hAnsi="Calibri"/>
                <w:sz w:val="18"/>
                <w:szCs w:val="18"/>
                <w:highlight w:val="yellow"/>
              </w:rPr>
            </w:pPr>
            <w:r w:rsidRPr="00963708">
              <w:rPr>
                <w:rFonts w:ascii="Calibri" w:hAnsi="Calibri"/>
                <w:sz w:val="18"/>
                <w:szCs w:val="18"/>
              </w:rPr>
              <w:t>$6</w:t>
            </w:r>
          </w:p>
        </w:tc>
      </w:tr>
      <w:tr w:rsidR="0016347B" w:rsidRPr="009102F0" w14:paraId="26FA74DD" w14:textId="77777777" w:rsidTr="00523124">
        <w:tc>
          <w:tcPr>
            <w:tcW w:w="1418" w:type="dxa"/>
            <w:gridSpan w:val="2"/>
            <w:vMerge/>
          </w:tcPr>
          <w:p w14:paraId="02383613" w14:textId="77777777" w:rsidR="0016347B" w:rsidRPr="009102F0" w:rsidRDefault="0016347B" w:rsidP="0016347B">
            <w:pPr>
              <w:rPr>
                <w:sz w:val="18"/>
                <w:szCs w:val="18"/>
              </w:rPr>
            </w:pPr>
          </w:p>
        </w:tc>
        <w:tc>
          <w:tcPr>
            <w:tcW w:w="1410" w:type="dxa"/>
          </w:tcPr>
          <w:p w14:paraId="417F34F1" w14:textId="77777777" w:rsidR="0016347B" w:rsidRPr="0016347B" w:rsidRDefault="0016347B" w:rsidP="0016347B">
            <w:pPr>
              <w:rPr>
                <w:sz w:val="18"/>
                <w:szCs w:val="18"/>
              </w:rPr>
            </w:pPr>
            <w:r w:rsidRPr="0016347B">
              <w:rPr>
                <w:sz w:val="18"/>
                <w:szCs w:val="18"/>
              </w:rPr>
              <w:t>(d)</w:t>
            </w:r>
          </w:p>
        </w:tc>
        <w:tc>
          <w:tcPr>
            <w:tcW w:w="1148" w:type="dxa"/>
            <w:gridSpan w:val="3"/>
          </w:tcPr>
          <w:p w14:paraId="481EEAAD" w14:textId="7A14FAA5" w:rsidR="0016347B" w:rsidRPr="0016347B" w:rsidRDefault="0016347B" w:rsidP="0016347B">
            <w:pPr>
              <w:rPr>
                <w:sz w:val="18"/>
                <w:szCs w:val="18"/>
                <w:highlight w:val="yellow"/>
              </w:rPr>
            </w:pPr>
            <w:r w:rsidRPr="0016347B">
              <w:rPr>
                <w:sz w:val="18"/>
                <w:szCs w:val="18"/>
              </w:rPr>
              <w:t>0.805</w:t>
            </w:r>
          </w:p>
        </w:tc>
        <w:tc>
          <w:tcPr>
            <w:tcW w:w="1288" w:type="dxa"/>
            <w:gridSpan w:val="2"/>
          </w:tcPr>
          <w:p w14:paraId="651DD99E" w14:textId="6A189A60" w:rsidR="0016347B" w:rsidRPr="0016347B" w:rsidRDefault="0016347B" w:rsidP="0016347B">
            <w:pPr>
              <w:rPr>
                <w:sz w:val="18"/>
                <w:szCs w:val="18"/>
                <w:highlight w:val="yellow"/>
              </w:rPr>
            </w:pPr>
            <w:r w:rsidRPr="0016347B">
              <w:rPr>
                <w:sz w:val="18"/>
                <w:szCs w:val="18"/>
              </w:rPr>
              <w:t>4.23</w:t>
            </w:r>
          </w:p>
        </w:tc>
        <w:tc>
          <w:tcPr>
            <w:tcW w:w="1399" w:type="dxa"/>
          </w:tcPr>
          <w:p w14:paraId="45327C62" w14:textId="23BAFD57" w:rsidR="0016347B" w:rsidRPr="0016347B" w:rsidRDefault="0016347B" w:rsidP="0016347B">
            <w:pPr>
              <w:rPr>
                <w:sz w:val="18"/>
                <w:szCs w:val="18"/>
                <w:highlight w:val="yellow"/>
              </w:rPr>
            </w:pPr>
            <w:r w:rsidRPr="0016347B">
              <w:rPr>
                <w:sz w:val="18"/>
                <w:szCs w:val="18"/>
              </w:rPr>
              <w:t>1787</w:t>
            </w:r>
          </w:p>
        </w:tc>
        <w:tc>
          <w:tcPr>
            <w:tcW w:w="1559" w:type="dxa"/>
          </w:tcPr>
          <w:p w14:paraId="3CDA8A5A" w14:textId="49C2B733" w:rsidR="0016347B" w:rsidRPr="007970AB" w:rsidRDefault="00963708" w:rsidP="0016347B">
            <w:pPr>
              <w:rPr>
                <w:rFonts w:ascii="Calibri" w:hAnsi="Calibri"/>
                <w:sz w:val="18"/>
                <w:szCs w:val="18"/>
                <w:highlight w:val="yellow"/>
              </w:rPr>
            </w:pPr>
            <w:r w:rsidRPr="00963708">
              <w:rPr>
                <w:rFonts w:ascii="Calibri" w:hAnsi="Calibri"/>
                <w:sz w:val="18"/>
                <w:szCs w:val="18"/>
              </w:rPr>
              <w:t>$11</w:t>
            </w:r>
          </w:p>
        </w:tc>
      </w:tr>
      <w:tr w:rsidR="0016347B" w:rsidRPr="009102F0" w14:paraId="2F2E3E6A" w14:textId="77777777" w:rsidTr="00523124">
        <w:tc>
          <w:tcPr>
            <w:tcW w:w="1418" w:type="dxa"/>
            <w:gridSpan w:val="2"/>
            <w:vMerge/>
          </w:tcPr>
          <w:p w14:paraId="716217C7" w14:textId="77777777" w:rsidR="0016347B" w:rsidRPr="009102F0" w:rsidRDefault="0016347B" w:rsidP="0016347B">
            <w:pPr>
              <w:rPr>
                <w:sz w:val="18"/>
                <w:szCs w:val="18"/>
              </w:rPr>
            </w:pPr>
          </w:p>
        </w:tc>
        <w:tc>
          <w:tcPr>
            <w:tcW w:w="1410" w:type="dxa"/>
          </w:tcPr>
          <w:p w14:paraId="5B3710CC" w14:textId="77777777" w:rsidR="0016347B" w:rsidRPr="0016347B" w:rsidRDefault="0016347B" w:rsidP="0016347B">
            <w:pPr>
              <w:rPr>
                <w:sz w:val="18"/>
                <w:szCs w:val="18"/>
              </w:rPr>
            </w:pPr>
            <w:r w:rsidRPr="0016347B">
              <w:rPr>
                <w:sz w:val="18"/>
                <w:szCs w:val="18"/>
              </w:rPr>
              <w:t>(e)</w:t>
            </w:r>
          </w:p>
        </w:tc>
        <w:tc>
          <w:tcPr>
            <w:tcW w:w="1148" w:type="dxa"/>
            <w:gridSpan w:val="3"/>
          </w:tcPr>
          <w:p w14:paraId="6A8C4457" w14:textId="6B98D9C7" w:rsidR="0016347B" w:rsidRPr="0016347B" w:rsidRDefault="0016347B" w:rsidP="0016347B">
            <w:pPr>
              <w:rPr>
                <w:sz w:val="18"/>
                <w:szCs w:val="18"/>
                <w:highlight w:val="yellow"/>
              </w:rPr>
            </w:pPr>
            <w:r w:rsidRPr="0016347B">
              <w:rPr>
                <w:sz w:val="18"/>
                <w:szCs w:val="18"/>
              </w:rPr>
              <w:t>0.838</w:t>
            </w:r>
          </w:p>
        </w:tc>
        <w:tc>
          <w:tcPr>
            <w:tcW w:w="1288" w:type="dxa"/>
            <w:gridSpan w:val="2"/>
          </w:tcPr>
          <w:p w14:paraId="22269C78" w14:textId="7CB26363" w:rsidR="0016347B" w:rsidRPr="0016347B" w:rsidRDefault="0016347B" w:rsidP="0016347B">
            <w:pPr>
              <w:rPr>
                <w:sz w:val="18"/>
                <w:szCs w:val="18"/>
                <w:highlight w:val="yellow"/>
              </w:rPr>
            </w:pPr>
            <w:r w:rsidRPr="0016347B">
              <w:rPr>
                <w:sz w:val="18"/>
                <w:szCs w:val="18"/>
              </w:rPr>
              <w:t>3.90</w:t>
            </w:r>
          </w:p>
        </w:tc>
        <w:tc>
          <w:tcPr>
            <w:tcW w:w="1399" w:type="dxa"/>
          </w:tcPr>
          <w:p w14:paraId="3E4D596C" w14:textId="23957F5B" w:rsidR="0016347B" w:rsidRPr="0016347B" w:rsidRDefault="0016347B" w:rsidP="0016347B">
            <w:pPr>
              <w:rPr>
                <w:sz w:val="18"/>
                <w:szCs w:val="18"/>
                <w:highlight w:val="yellow"/>
              </w:rPr>
            </w:pPr>
            <w:r w:rsidRPr="0016347B">
              <w:rPr>
                <w:sz w:val="18"/>
                <w:szCs w:val="18"/>
              </w:rPr>
              <w:t>6721</w:t>
            </w:r>
          </w:p>
        </w:tc>
        <w:tc>
          <w:tcPr>
            <w:tcW w:w="1559" w:type="dxa"/>
          </w:tcPr>
          <w:p w14:paraId="386C560F" w14:textId="38E0FF28" w:rsidR="0016347B" w:rsidRPr="007970AB" w:rsidRDefault="0016347B" w:rsidP="00963708">
            <w:pPr>
              <w:rPr>
                <w:rFonts w:ascii="Calibri" w:hAnsi="Calibri"/>
                <w:sz w:val="18"/>
                <w:szCs w:val="18"/>
                <w:highlight w:val="yellow"/>
              </w:rPr>
            </w:pPr>
            <w:r w:rsidRPr="00963708">
              <w:rPr>
                <w:rFonts w:ascii="Calibri" w:hAnsi="Calibri"/>
                <w:sz w:val="18"/>
                <w:szCs w:val="18"/>
              </w:rPr>
              <w:t>$2</w:t>
            </w:r>
            <w:r w:rsidR="00963708" w:rsidRPr="00963708">
              <w:rPr>
                <w:rFonts w:ascii="Calibri" w:hAnsi="Calibri"/>
                <w:sz w:val="18"/>
                <w:szCs w:val="18"/>
              </w:rPr>
              <w:t>0</w:t>
            </w:r>
          </w:p>
        </w:tc>
      </w:tr>
      <w:tr w:rsidR="00641E66" w:rsidRPr="009102F0" w14:paraId="2C58EA02" w14:textId="77777777" w:rsidTr="00523124">
        <w:tc>
          <w:tcPr>
            <w:tcW w:w="1418" w:type="dxa"/>
            <w:gridSpan w:val="2"/>
            <w:vMerge w:val="restart"/>
          </w:tcPr>
          <w:p w14:paraId="1C1D2E7E" w14:textId="77777777" w:rsidR="00641E66" w:rsidRPr="009102F0" w:rsidRDefault="00641E66" w:rsidP="0073510C">
            <w:pPr>
              <w:rPr>
                <w:sz w:val="18"/>
                <w:szCs w:val="18"/>
              </w:rPr>
            </w:pPr>
            <w:r w:rsidRPr="009102F0">
              <w:rPr>
                <w:sz w:val="18"/>
                <w:szCs w:val="18"/>
              </w:rPr>
              <w:t>Lower rate of ART discontinuation</w:t>
            </w:r>
          </w:p>
        </w:tc>
        <w:tc>
          <w:tcPr>
            <w:tcW w:w="1410" w:type="dxa"/>
          </w:tcPr>
          <w:p w14:paraId="268D6447" w14:textId="77777777" w:rsidR="00641E66" w:rsidRPr="009102F0" w:rsidRDefault="00641E66" w:rsidP="0073510C">
            <w:pPr>
              <w:rPr>
                <w:sz w:val="18"/>
                <w:szCs w:val="18"/>
              </w:rPr>
            </w:pPr>
            <w:r w:rsidRPr="009102F0">
              <w:rPr>
                <w:sz w:val="18"/>
                <w:szCs w:val="18"/>
              </w:rPr>
              <w:t>No intervention</w:t>
            </w:r>
          </w:p>
        </w:tc>
        <w:tc>
          <w:tcPr>
            <w:tcW w:w="1148" w:type="dxa"/>
            <w:gridSpan w:val="3"/>
          </w:tcPr>
          <w:p w14:paraId="194CBCBB" w14:textId="77777777" w:rsidR="00641E66" w:rsidRPr="009102F0" w:rsidRDefault="00641E66" w:rsidP="0073510C">
            <w:pPr>
              <w:rPr>
                <w:sz w:val="18"/>
                <w:szCs w:val="18"/>
              </w:rPr>
            </w:pPr>
            <w:r w:rsidRPr="009102F0">
              <w:rPr>
                <w:sz w:val="18"/>
                <w:szCs w:val="18"/>
              </w:rPr>
              <w:t>0.806</w:t>
            </w:r>
          </w:p>
        </w:tc>
        <w:tc>
          <w:tcPr>
            <w:tcW w:w="1288" w:type="dxa"/>
            <w:gridSpan w:val="2"/>
          </w:tcPr>
          <w:p w14:paraId="2FF1099B" w14:textId="77777777" w:rsidR="00641E66" w:rsidRPr="009102F0" w:rsidRDefault="00641E66" w:rsidP="0073510C">
            <w:pPr>
              <w:rPr>
                <w:sz w:val="18"/>
                <w:szCs w:val="18"/>
              </w:rPr>
            </w:pPr>
            <w:r w:rsidRPr="009102F0">
              <w:rPr>
                <w:sz w:val="18"/>
                <w:szCs w:val="18"/>
              </w:rPr>
              <w:t>4.12</w:t>
            </w:r>
          </w:p>
        </w:tc>
        <w:tc>
          <w:tcPr>
            <w:tcW w:w="1399" w:type="dxa"/>
          </w:tcPr>
          <w:p w14:paraId="4D0A5793" w14:textId="77777777" w:rsidR="00641E66" w:rsidRPr="009102F0" w:rsidRDefault="00641E66" w:rsidP="0073510C">
            <w:pPr>
              <w:rPr>
                <w:sz w:val="18"/>
                <w:szCs w:val="18"/>
              </w:rPr>
            </w:pPr>
            <w:r w:rsidRPr="009102F0">
              <w:rPr>
                <w:sz w:val="18"/>
                <w:szCs w:val="18"/>
              </w:rPr>
              <w:t>.</w:t>
            </w:r>
          </w:p>
        </w:tc>
        <w:tc>
          <w:tcPr>
            <w:tcW w:w="1559" w:type="dxa"/>
          </w:tcPr>
          <w:p w14:paraId="20CE7B32" w14:textId="77777777" w:rsidR="00641E66" w:rsidRPr="009102F0" w:rsidRDefault="00641E66" w:rsidP="0073510C">
            <w:pPr>
              <w:rPr>
                <w:sz w:val="18"/>
                <w:szCs w:val="18"/>
              </w:rPr>
            </w:pPr>
          </w:p>
        </w:tc>
      </w:tr>
      <w:tr w:rsidR="00641E66" w:rsidRPr="009102F0" w14:paraId="2A80F674" w14:textId="77777777" w:rsidTr="00523124">
        <w:tc>
          <w:tcPr>
            <w:tcW w:w="1418" w:type="dxa"/>
            <w:gridSpan w:val="2"/>
            <w:vMerge/>
          </w:tcPr>
          <w:p w14:paraId="6A161515" w14:textId="77777777" w:rsidR="00641E66" w:rsidRPr="009102F0" w:rsidRDefault="00641E66" w:rsidP="0073510C">
            <w:pPr>
              <w:rPr>
                <w:sz w:val="18"/>
                <w:szCs w:val="18"/>
              </w:rPr>
            </w:pPr>
          </w:p>
        </w:tc>
        <w:tc>
          <w:tcPr>
            <w:tcW w:w="1410" w:type="dxa"/>
          </w:tcPr>
          <w:p w14:paraId="6C33B5F8" w14:textId="77777777" w:rsidR="00641E66" w:rsidRPr="009102F0" w:rsidRDefault="00641E66" w:rsidP="0073510C">
            <w:pPr>
              <w:rPr>
                <w:sz w:val="18"/>
                <w:szCs w:val="18"/>
              </w:rPr>
            </w:pPr>
            <w:r w:rsidRPr="009102F0">
              <w:rPr>
                <w:sz w:val="18"/>
                <w:szCs w:val="18"/>
              </w:rPr>
              <w:t>(a)</w:t>
            </w:r>
          </w:p>
        </w:tc>
        <w:tc>
          <w:tcPr>
            <w:tcW w:w="1148" w:type="dxa"/>
            <w:gridSpan w:val="3"/>
          </w:tcPr>
          <w:p w14:paraId="16D8E827" w14:textId="77777777" w:rsidR="00641E66" w:rsidRPr="009102F0" w:rsidRDefault="00641E66" w:rsidP="0073510C">
            <w:pPr>
              <w:rPr>
                <w:sz w:val="18"/>
                <w:szCs w:val="18"/>
              </w:rPr>
            </w:pPr>
            <w:r w:rsidRPr="009102F0">
              <w:rPr>
                <w:sz w:val="18"/>
                <w:szCs w:val="18"/>
              </w:rPr>
              <w:t>0.819</w:t>
            </w:r>
          </w:p>
        </w:tc>
        <w:tc>
          <w:tcPr>
            <w:tcW w:w="1288" w:type="dxa"/>
            <w:gridSpan w:val="2"/>
          </w:tcPr>
          <w:p w14:paraId="1A4ED9CA" w14:textId="77777777" w:rsidR="00641E66" w:rsidRPr="009102F0" w:rsidRDefault="00641E66" w:rsidP="0073510C">
            <w:pPr>
              <w:rPr>
                <w:sz w:val="18"/>
                <w:szCs w:val="18"/>
              </w:rPr>
            </w:pPr>
            <w:r w:rsidRPr="009102F0">
              <w:rPr>
                <w:sz w:val="18"/>
                <w:szCs w:val="18"/>
              </w:rPr>
              <w:t>4.00</w:t>
            </w:r>
          </w:p>
        </w:tc>
        <w:tc>
          <w:tcPr>
            <w:tcW w:w="1399" w:type="dxa"/>
          </w:tcPr>
          <w:p w14:paraId="5E05E802" w14:textId="77777777" w:rsidR="00641E66" w:rsidRPr="009102F0" w:rsidRDefault="00641E66" w:rsidP="0073510C">
            <w:pPr>
              <w:rPr>
                <w:sz w:val="18"/>
                <w:szCs w:val="18"/>
              </w:rPr>
            </w:pPr>
            <w:r w:rsidRPr="009102F0">
              <w:rPr>
                <w:sz w:val="18"/>
                <w:szCs w:val="18"/>
              </w:rPr>
              <w:t>2173</w:t>
            </w:r>
          </w:p>
        </w:tc>
        <w:tc>
          <w:tcPr>
            <w:tcW w:w="1559" w:type="dxa"/>
          </w:tcPr>
          <w:p w14:paraId="23A27576" w14:textId="77777777" w:rsidR="00641E66" w:rsidRPr="009102F0" w:rsidRDefault="00641E66" w:rsidP="0073510C">
            <w:pPr>
              <w:rPr>
                <w:rFonts w:ascii="Calibri" w:hAnsi="Calibri"/>
                <w:sz w:val="18"/>
                <w:szCs w:val="18"/>
              </w:rPr>
            </w:pPr>
            <w:r w:rsidRPr="009102F0">
              <w:rPr>
                <w:rFonts w:ascii="Calibri" w:hAnsi="Calibri"/>
                <w:sz w:val="18"/>
                <w:szCs w:val="18"/>
              </w:rPr>
              <w:t>$11</w:t>
            </w:r>
          </w:p>
        </w:tc>
      </w:tr>
      <w:tr w:rsidR="00641E66" w:rsidRPr="009102F0" w14:paraId="25483B05" w14:textId="77777777" w:rsidTr="00523124">
        <w:tc>
          <w:tcPr>
            <w:tcW w:w="1418" w:type="dxa"/>
            <w:gridSpan w:val="2"/>
            <w:vMerge/>
          </w:tcPr>
          <w:p w14:paraId="307B77AA" w14:textId="77777777" w:rsidR="00641E66" w:rsidRPr="009102F0" w:rsidRDefault="00641E66" w:rsidP="0073510C">
            <w:pPr>
              <w:rPr>
                <w:sz w:val="18"/>
                <w:szCs w:val="18"/>
              </w:rPr>
            </w:pPr>
          </w:p>
        </w:tc>
        <w:tc>
          <w:tcPr>
            <w:tcW w:w="1410" w:type="dxa"/>
          </w:tcPr>
          <w:p w14:paraId="0BAA7F17" w14:textId="77777777" w:rsidR="00641E66" w:rsidRPr="009102F0" w:rsidRDefault="00641E66" w:rsidP="0073510C">
            <w:pPr>
              <w:rPr>
                <w:sz w:val="18"/>
                <w:szCs w:val="18"/>
              </w:rPr>
            </w:pPr>
            <w:r w:rsidRPr="009102F0">
              <w:rPr>
                <w:sz w:val="18"/>
                <w:szCs w:val="18"/>
              </w:rPr>
              <w:t>(b)</w:t>
            </w:r>
          </w:p>
        </w:tc>
        <w:tc>
          <w:tcPr>
            <w:tcW w:w="1148" w:type="dxa"/>
            <w:gridSpan w:val="3"/>
          </w:tcPr>
          <w:p w14:paraId="26DA5007" w14:textId="77777777" w:rsidR="00641E66" w:rsidRPr="009102F0" w:rsidRDefault="00641E66" w:rsidP="0073510C">
            <w:pPr>
              <w:rPr>
                <w:sz w:val="18"/>
                <w:szCs w:val="18"/>
              </w:rPr>
            </w:pPr>
            <w:r w:rsidRPr="009102F0">
              <w:rPr>
                <w:sz w:val="18"/>
                <w:szCs w:val="18"/>
              </w:rPr>
              <w:t>0.837</w:t>
            </w:r>
          </w:p>
        </w:tc>
        <w:tc>
          <w:tcPr>
            <w:tcW w:w="1288" w:type="dxa"/>
            <w:gridSpan w:val="2"/>
          </w:tcPr>
          <w:p w14:paraId="203CD8A3" w14:textId="77777777" w:rsidR="00641E66" w:rsidRPr="009102F0" w:rsidRDefault="00641E66" w:rsidP="0073510C">
            <w:pPr>
              <w:rPr>
                <w:sz w:val="18"/>
                <w:szCs w:val="18"/>
              </w:rPr>
            </w:pPr>
            <w:r w:rsidRPr="009102F0">
              <w:rPr>
                <w:sz w:val="18"/>
                <w:szCs w:val="18"/>
              </w:rPr>
              <w:t>3.81</w:t>
            </w:r>
          </w:p>
        </w:tc>
        <w:tc>
          <w:tcPr>
            <w:tcW w:w="1399" w:type="dxa"/>
          </w:tcPr>
          <w:p w14:paraId="594FB29D" w14:textId="77777777" w:rsidR="00641E66" w:rsidRPr="009102F0" w:rsidRDefault="00641E66" w:rsidP="0073510C">
            <w:pPr>
              <w:rPr>
                <w:sz w:val="18"/>
                <w:szCs w:val="18"/>
              </w:rPr>
            </w:pPr>
            <w:r w:rsidRPr="009102F0">
              <w:rPr>
                <w:sz w:val="18"/>
                <w:szCs w:val="18"/>
              </w:rPr>
              <w:t>4073</w:t>
            </w:r>
          </w:p>
        </w:tc>
        <w:tc>
          <w:tcPr>
            <w:tcW w:w="1559" w:type="dxa"/>
          </w:tcPr>
          <w:p w14:paraId="61842339" w14:textId="77777777" w:rsidR="00641E66" w:rsidRPr="009102F0" w:rsidRDefault="00641E66" w:rsidP="0073510C">
            <w:pPr>
              <w:rPr>
                <w:rFonts w:ascii="Calibri" w:hAnsi="Calibri"/>
                <w:sz w:val="18"/>
                <w:szCs w:val="18"/>
              </w:rPr>
            </w:pPr>
            <w:r w:rsidRPr="009102F0">
              <w:rPr>
                <w:rFonts w:ascii="Calibri" w:hAnsi="Calibri"/>
                <w:sz w:val="18"/>
                <w:szCs w:val="18"/>
              </w:rPr>
              <w:t>$12</w:t>
            </w:r>
          </w:p>
        </w:tc>
      </w:tr>
      <w:tr w:rsidR="00641E66" w:rsidRPr="009102F0" w14:paraId="01125799" w14:textId="77777777" w:rsidTr="00523124">
        <w:tc>
          <w:tcPr>
            <w:tcW w:w="1418" w:type="dxa"/>
            <w:gridSpan w:val="2"/>
            <w:vMerge/>
          </w:tcPr>
          <w:p w14:paraId="5F0CE536" w14:textId="77777777" w:rsidR="00641E66" w:rsidRPr="009102F0" w:rsidRDefault="00641E66" w:rsidP="0073510C">
            <w:pPr>
              <w:rPr>
                <w:sz w:val="18"/>
                <w:szCs w:val="18"/>
              </w:rPr>
            </w:pPr>
          </w:p>
        </w:tc>
        <w:tc>
          <w:tcPr>
            <w:tcW w:w="1410" w:type="dxa"/>
          </w:tcPr>
          <w:p w14:paraId="0CC243E1" w14:textId="77777777" w:rsidR="00641E66" w:rsidRPr="009102F0" w:rsidRDefault="00641E66" w:rsidP="0073510C">
            <w:pPr>
              <w:rPr>
                <w:sz w:val="18"/>
                <w:szCs w:val="18"/>
              </w:rPr>
            </w:pPr>
            <w:r w:rsidRPr="009102F0">
              <w:rPr>
                <w:sz w:val="18"/>
                <w:szCs w:val="18"/>
              </w:rPr>
              <w:t>(c)</w:t>
            </w:r>
          </w:p>
        </w:tc>
        <w:tc>
          <w:tcPr>
            <w:tcW w:w="1148" w:type="dxa"/>
            <w:gridSpan w:val="3"/>
          </w:tcPr>
          <w:p w14:paraId="13B2BA80" w14:textId="77777777" w:rsidR="00641E66" w:rsidRPr="009102F0" w:rsidRDefault="00641E66" w:rsidP="0073510C">
            <w:pPr>
              <w:rPr>
                <w:sz w:val="18"/>
                <w:szCs w:val="18"/>
              </w:rPr>
            </w:pPr>
            <w:r w:rsidRPr="009102F0">
              <w:rPr>
                <w:sz w:val="18"/>
                <w:szCs w:val="18"/>
              </w:rPr>
              <w:t>0.820</w:t>
            </w:r>
          </w:p>
        </w:tc>
        <w:tc>
          <w:tcPr>
            <w:tcW w:w="1288" w:type="dxa"/>
            <w:gridSpan w:val="2"/>
          </w:tcPr>
          <w:p w14:paraId="4AA976F9" w14:textId="77777777" w:rsidR="00641E66" w:rsidRPr="009102F0" w:rsidRDefault="00641E66" w:rsidP="0073510C">
            <w:pPr>
              <w:rPr>
                <w:sz w:val="18"/>
                <w:szCs w:val="18"/>
              </w:rPr>
            </w:pPr>
            <w:r w:rsidRPr="009102F0">
              <w:rPr>
                <w:sz w:val="18"/>
                <w:szCs w:val="18"/>
              </w:rPr>
              <w:t>3.97</w:t>
            </w:r>
          </w:p>
        </w:tc>
        <w:tc>
          <w:tcPr>
            <w:tcW w:w="1399" w:type="dxa"/>
          </w:tcPr>
          <w:p w14:paraId="62460A51" w14:textId="77777777" w:rsidR="00641E66" w:rsidRPr="009102F0" w:rsidRDefault="00641E66" w:rsidP="0073510C">
            <w:pPr>
              <w:rPr>
                <w:sz w:val="18"/>
                <w:szCs w:val="18"/>
              </w:rPr>
            </w:pPr>
            <w:r w:rsidRPr="009102F0">
              <w:rPr>
                <w:sz w:val="18"/>
                <w:szCs w:val="18"/>
              </w:rPr>
              <w:t>2049</w:t>
            </w:r>
          </w:p>
        </w:tc>
        <w:tc>
          <w:tcPr>
            <w:tcW w:w="1559" w:type="dxa"/>
          </w:tcPr>
          <w:p w14:paraId="3406B9CA" w14:textId="77777777" w:rsidR="00641E66" w:rsidRPr="009102F0" w:rsidRDefault="00641E66" w:rsidP="0073510C">
            <w:pPr>
              <w:rPr>
                <w:rFonts w:ascii="Calibri" w:hAnsi="Calibri"/>
                <w:sz w:val="18"/>
                <w:szCs w:val="18"/>
              </w:rPr>
            </w:pPr>
            <w:r w:rsidRPr="009102F0">
              <w:rPr>
                <w:rFonts w:ascii="Calibri" w:hAnsi="Calibri"/>
                <w:sz w:val="18"/>
                <w:szCs w:val="18"/>
              </w:rPr>
              <w:t>$3</w:t>
            </w:r>
          </w:p>
        </w:tc>
      </w:tr>
      <w:tr w:rsidR="00641E66" w:rsidRPr="009102F0" w14:paraId="7DD0CA13" w14:textId="77777777" w:rsidTr="00523124">
        <w:tc>
          <w:tcPr>
            <w:tcW w:w="1418" w:type="dxa"/>
            <w:gridSpan w:val="2"/>
            <w:vMerge/>
          </w:tcPr>
          <w:p w14:paraId="37B73A8F" w14:textId="77777777" w:rsidR="00641E66" w:rsidRPr="009102F0" w:rsidRDefault="00641E66" w:rsidP="0073510C">
            <w:pPr>
              <w:rPr>
                <w:sz w:val="18"/>
                <w:szCs w:val="18"/>
              </w:rPr>
            </w:pPr>
          </w:p>
        </w:tc>
        <w:tc>
          <w:tcPr>
            <w:tcW w:w="1410" w:type="dxa"/>
          </w:tcPr>
          <w:p w14:paraId="0B4E5FB6" w14:textId="77777777" w:rsidR="00641E66" w:rsidRPr="009102F0" w:rsidRDefault="00641E66" w:rsidP="0073510C">
            <w:pPr>
              <w:rPr>
                <w:sz w:val="18"/>
                <w:szCs w:val="18"/>
              </w:rPr>
            </w:pPr>
            <w:r w:rsidRPr="009102F0">
              <w:rPr>
                <w:sz w:val="18"/>
                <w:szCs w:val="18"/>
              </w:rPr>
              <w:t>(d)</w:t>
            </w:r>
          </w:p>
        </w:tc>
        <w:tc>
          <w:tcPr>
            <w:tcW w:w="1148" w:type="dxa"/>
            <w:gridSpan w:val="3"/>
          </w:tcPr>
          <w:p w14:paraId="58BA8D4D" w14:textId="77777777" w:rsidR="00641E66" w:rsidRPr="009102F0" w:rsidRDefault="00641E66" w:rsidP="0073510C">
            <w:pPr>
              <w:rPr>
                <w:sz w:val="18"/>
                <w:szCs w:val="18"/>
              </w:rPr>
            </w:pPr>
            <w:r w:rsidRPr="009102F0">
              <w:rPr>
                <w:sz w:val="18"/>
                <w:szCs w:val="18"/>
              </w:rPr>
              <w:t>0.834</w:t>
            </w:r>
          </w:p>
        </w:tc>
        <w:tc>
          <w:tcPr>
            <w:tcW w:w="1288" w:type="dxa"/>
            <w:gridSpan w:val="2"/>
          </w:tcPr>
          <w:p w14:paraId="07CBA80E" w14:textId="77777777" w:rsidR="00641E66" w:rsidRPr="009102F0" w:rsidRDefault="00641E66" w:rsidP="0073510C">
            <w:pPr>
              <w:rPr>
                <w:sz w:val="18"/>
                <w:szCs w:val="18"/>
              </w:rPr>
            </w:pPr>
            <w:r w:rsidRPr="009102F0">
              <w:rPr>
                <w:sz w:val="18"/>
                <w:szCs w:val="18"/>
              </w:rPr>
              <w:t>3.92</w:t>
            </w:r>
          </w:p>
        </w:tc>
        <w:tc>
          <w:tcPr>
            <w:tcW w:w="1399" w:type="dxa"/>
          </w:tcPr>
          <w:p w14:paraId="2AFAD5D6" w14:textId="77777777" w:rsidR="00641E66" w:rsidRPr="009102F0" w:rsidRDefault="00641E66" w:rsidP="0073510C">
            <w:pPr>
              <w:rPr>
                <w:sz w:val="18"/>
                <w:szCs w:val="18"/>
              </w:rPr>
            </w:pPr>
            <w:r w:rsidRPr="009102F0">
              <w:rPr>
                <w:sz w:val="18"/>
                <w:szCs w:val="18"/>
              </w:rPr>
              <w:t>2778</w:t>
            </w:r>
          </w:p>
        </w:tc>
        <w:tc>
          <w:tcPr>
            <w:tcW w:w="1559" w:type="dxa"/>
          </w:tcPr>
          <w:p w14:paraId="73EA47C8" w14:textId="77777777" w:rsidR="00641E66" w:rsidRPr="009102F0" w:rsidRDefault="00641E66" w:rsidP="0073510C">
            <w:pPr>
              <w:rPr>
                <w:rFonts w:ascii="Calibri" w:hAnsi="Calibri"/>
                <w:sz w:val="18"/>
                <w:szCs w:val="18"/>
              </w:rPr>
            </w:pPr>
            <w:r w:rsidRPr="009102F0">
              <w:rPr>
                <w:rFonts w:ascii="Calibri" w:hAnsi="Calibri"/>
                <w:sz w:val="18"/>
                <w:szCs w:val="18"/>
              </w:rPr>
              <w:t>$16</w:t>
            </w:r>
          </w:p>
        </w:tc>
      </w:tr>
      <w:tr w:rsidR="00641E66" w:rsidRPr="009102F0" w14:paraId="5DC4566E" w14:textId="77777777" w:rsidTr="00523124">
        <w:tc>
          <w:tcPr>
            <w:tcW w:w="1418" w:type="dxa"/>
            <w:gridSpan w:val="2"/>
            <w:vMerge/>
          </w:tcPr>
          <w:p w14:paraId="4DE53602" w14:textId="77777777" w:rsidR="00641E66" w:rsidRPr="009102F0" w:rsidRDefault="00641E66" w:rsidP="0073510C">
            <w:pPr>
              <w:rPr>
                <w:sz w:val="18"/>
                <w:szCs w:val="18"/>
              </w:rPr>
            </w:pPr>
          </w:p>
        </w:tc>
        <w:tc>
          <w:tcPr>
            <w:tcW w:w="1410" w:type="dxa"/>
          </w:tcPr>
          <w:p w14:paraId="6D55D559" w14:textId="77777777" w:rsidR="00641E66" w:rsidRPr="009102F0" w:rsidRDefault="00641E66" w:rsidP="0073510C">
            <w:pPr>
              <w:rPr>
                <w:sz w:val="18"/>
                <w:szCs w:val="18"/>
              </w:rPr>
            </w:pPr>
            <w:r w:rsidRPr="009102F0">
              <w:rPr>
                <w:sz w:val="18"/>
                <w:szCs w:val="18"/>
              </w:rPr>
              <w:t>(e)</w:t>
            </w:r>
          </w:p>
        </w:tc>
        <w:tc>
          <w:tcPr>
            <w:tcW w:w="1148" w:type="dxa"/>
            <w:gridSpan w:val="3"/>
          </w:tcPr>
          <w:p w14:paraId="10E6A362" w14:textId="77777777" w:rsidR="00641E66" w:rsidRPr="009102F0" w:rsidRDefault="00641E66" w:rsidP="0073510C">
            <w:pPr>
              <w:rPr>
                <w:sz w:val="18"/>
                <w:szCs w:val="18"/>
              </w:rPr>
            </w:pPr>
            <w:r w:rsidRPr="009102F0">
              <w:rPr>
                <w:sz w:val="18"/>
                <w:szCs w:val="18"/>
              </w:rPr>
              <w:t>0.852</w:t>
            </w:r>
          </w:p>
        </w:tc>
        <w:tc>
          <w:tcPr>
            <w:tcW w:w="1288" w:type="dxa"/>
            <w:gridSpan w:val="2"/>
          </w:tcPr>
          <w:p w14:paraId="7B169760" w14:textId="77777777" w:rsidR="00641E66" w:rsidRPr="009102F0" w:rsidRDefault="00641E66" w:rsidP="0073510C">
            <w:pPr>
              <w:rPr>
                <w:sz w:val="18"/>
                <w:szCs w:val="18"/>
              </w:rPr>
            </w:pPr>
            <w:r w:rsidRPr="009102F0">
              <w:rPr>
                <w:sz w:val="18"/>
                <w:szCs w:val="18"/>
              </w:rPr>
              <w:t>3.74</w:t>
            </w:r>
          </w:p>
        </w:tc>
        <w:tc>
          <w:tcPr>
            <w:tcW w:w="1399" w:type="dxa"/>
          </w:tcPr>
          <w:p w14:paraId="2CBA4798" w14:textId="77777777" w:rsidR="00641E66" w:rsidRPr="009102F0" w:rsidRDefault="00641E66" w:rsidP="0073510C">
            <w:pPr>
              <w:rPr>
                <w:sz w:val="18"/>
                <w:szCs w:val="18"/>
              </w:rPr>
            </w:pPr>
            <w:r w:rsidRPr="009102F0">
              <w:rPr>
                <w:sz w:val="18"/>
                <w:szCs w:val="18"/>
              </w:rPr>
              <w:t>5265</w:t>
            </w:r>
          </w:p>
        </w:tc>
        <w:tc>
          <w:tcPr>
            <w:tcW w:w="1559" w:type="dxa"/>
          </w:tcPr>
          <w:p w14:paraId="015966AB" w14:textId="77777777" w:rsidR="00641E66" w:rsidRPr="009102F0" w:rsidRDefault="00641E66" w:rsidP="0073510C">
            <w:pPr>
              <w:rPr>
                <w:rFonts w:ascii="Calibri" w:hAnsi="Calibri"/>
                <w:sz w:val="18"/>
                <w:szCs w:val="18"/>
              </w:rPr>
            </w:pPr>
            <w:r w:rsidRPr="009102F0">
              <w:rPr>
                <w:rFonts w:ascii="Calibri" w:hAnsi="Calibri"/>
                <w:sz w:val="18"/>
                <w:szCs w:val="18"/>
              </w:rPr>
              <w:t>$19</w:t>
            </w:r>
          </w:p>
        </w:tc>
      </w:tr>
      <w:tr w:rsidR="00641E66" w14:paraId="07A8BD1A" w14:textId="77777777" w:rsidTr="00523124">
        <w:tc>
          <w:tcPr>
            <w:tcW w:w="1418" w:type="dxa"/>
            <w:gridSpan w:val="2"/>
            <w:vMerge w:val="restart"/>
          </w:tcPr>
          <w:p w14:paraId="5034AF86" w14:textId="77777777" w:rsidR="00641E66" w:rsidRPr="009102F0" w:rsidRDefault="00641E66" w:rsidP="0073510C">
            <w:pPr>
              <w:rPr>
                <w:sz w:val="18"/>
                <w:szCs w:val="18"/>
              </w:rPr>
            </w:pPr>
            <w:r w:rsidRPr="009102F0">
              <w:rPr>
                <w:sz w:val="18"/>
                <w:szCs w:val="18"/>
              </w:rPr>
              <w:t>Higher rate of ART discontinuation</w:t>
            </w:r>
          </w:p>
        </w:tc>
        <w:tc>
          <w:tcPr>
            <w:tcW w:w="1410" w:type="dxa"/>
          </w:tcPr>
          <w:p w14:paraId="103E8CC3" w14:textId="77777777" w:rsidR="00641E66" w:rsidRPr="009102F0" w:rsidRDefault="00641E66" w:rsidP="0073510C">
            <w:pPr>
              <w:rPr>
                <w:sz w:val="18"/>
                <w:szCs w:val="18"/>
              </w:rPr>
            </w:pPr>
            <w:r w:rsidRPr="009102F0">
              <w:rPr>
                <w:sz w:val="18"/>
                <w:szCs w:val="18"/>
              </w:rPr>
              <w:t>No intervention</w:t>
            </w:r>
          </w:p>
        </w:tc>
        <w:tc>
          <w:tcPr>
            <w:tcW w:w="1148" w:type="dxa"/>
            <w:gridSpan w:val="3"/>
          </w:tcPr>
          <w:p w14:paraId="4AAAC997" w14:textId="77777777" w:rsidR="00641E66" w:rsidRPr="009102F0" w:rsidRDefault="00641E66" w:rsidP="0073510C">
            <w:pPr>
              <w:rPr>
                <w:sz w:val="18"/>
                <w:szCs w:val="18"/>
              </w:rPr>
            </w:pPr>
            <w:r w:rsidRPr="009102F0">
              <w:rPr>
                <w:sz w:val="18"/>
                <w:szCs w:val="18"/>
              </w:rPr>
              <w:t>0.694</w:t>
            </w:r>
          </w:p>
        </w:tc>
        <w:tc>
          <w:tcPr>
            <w:tcW w:w="1288" w:type="dxa"/>
            <w:gridSpan w:val="2"/>
          </w:tcPr>
          <w:p w14:paraId="15047AE7" w14:textId="77777777" w:rsidR="00641E66" w:rsidRPr="009102F0" w:rsidRDefault="00641E66" w:rsidP="0073510C">
            <w:pPr>
              <w:rPr>
                <w:sz w:val="18"/>
                <w:szCs w:val="18"/>
              </w:rPr>
            </w:pPr>
            <w:r w:rsidRPr="009102F0">
              <w:rPr>
                <w:sz w:val="18"/>
                <w:szCs w:val="18"/>
              </w:rPr>
              <w:t>5.56</w:t>
            </w:r>
          </w:p>
        </w:tc>
        <w:tc>
          <w:tcPr>
            <w:tcW w:w="1399" w:type="dxa"/>
          </w:tcPr>
          <w:p w14:paraId="67EBA99C" w14:textId="77777777" w:rsidR="00641E66" w:rsidRPr="007C4B51" w:rsidRDefault="00641E66" w:rsidP="0073510C">
            <w:pPr>
              <w:rPr>
                <w:sz w:val="18"/>
                <w:szCs w:val="18"/>
              </w:rPr>
            </w:pPr>
            <w:r w:rsidRPr="009102F0">
              <w:rPr>
                <w:sz w:val="18"/>
                <w:szCs w:val="18"/>
              </w:rPr>
              <w:t>.</w:t>
            </w:r>
          </w:p>
        </w:tc>
        <w:tc>
          <w:tcPr>
            <w:tcW w:w="1559" w:type="dxa"/>
          </w:tcPr>
          <w:p w14:paraId="56D6C0A1" w14:textId="77777777" w:rsidR="00641E66" w:rsidRPr="007C4B51" w:rsidRDefault="00641E66" w:rsidP="0073510C">
            <w:pPr>
              <w:rPr>
                <w:sz w:val="18"/>
                <w:szCs w:val="18"/>
              </w:rPr>
            </w:pPr>
          </w:p>
        </w:tc>
      </w:tr>
      <w:tr w:rsidR="00641E66" w14:paraId="10CD0F31" w14:textId="77777777" w:rsidTr="00523124">
        <w:tc>
          <w:tcPr>
            <w:tcW w:w="1418" w:type="dxa"/>
            <w:gridSpan w:val="2"/>
            <w:vMerge/>
          </w:tcPr>
          <w:p w14:paraId="6F6B5566" w14:textId="77777777" w:rsidR="00641E66" w:rsidRPr="002225D2" w:rsidRDefault="00641E66" w:rsidP="0073510C">
            <w:pPr>
              <w:rPr>
                <w:sz w:val="18"/>
                <w:szCs w:val="18"/>
                <w:highlight w:val="lightGray"/>
              </w:rPr>
            </w:pPr>
          </w:p>
        </w:tc>
        <w:tc>
          <w:tcPr>
            <w:tcW w:w="1410" w:type="dxa"/>
          </w:tcPr>
          <w:p w14:paraId="03B82AC9" w14:textId="77777777" w:rsidR="00641E66" w:rsidRPr="007C4B51" w:rsidRDefault="00641E66" w:rsidP="0073510C">
            <w:pPr>
              <w:rPr>
                <w:sz w:val="18"/>
                <w:szCs w:val="18"/>
              </w:rPr>
            </w:pPr>
            <w:r w:rsidRPr="007C4B51">
              <w:rPr>
                <w:sz w:val="18"/>
                <w:szCs w:val="18"/>
              </w:rPr>
              <w:t>(a)</w:t>
            </w:r>
          </w:p>
        </w:tc>
        <w:tc>
          <w:tcPr>
            <w:tcW w:w="1148" w:type="dxa"/>
            <w:gridSpan w:val="3"/>
          </w:tcPr>
          <w:p w14:paraId="4B4E16E5" w14:textId="77777777" w:rsidR="00641E66" w:rsidRPr="007C4B51" w:rsidRDefault="00641E66" w:rsidP="0073510C">
            <w:pPr>
              <w:rPr>
                <w:sz w:val="18"/>
                <w:szCs w:val="18"/>
              </w:rPr>
            </w:pPr>
            <w:r w:rsidRPr="007C4B51">
              <w:rPr>
                <w:sz w:val="18"/>
                <w:szCs w:val="18"/>
              </w:rPr>
              <w:t>0.703</w:t>
            </w:r>
          </w:p>
        </w:tc>
        <w:tc>
          <w:tcPr>
            <w:tcW w:w="1288" w:type="dxa"/>
            <w:gridSpan w:val="2"/>
          </w:tcPr>
          <w:p w14:paraId="0DD119AC" w14:textId="77777777" w:rsidR="00641E66" w:rsidRPr="007C4B51" w:rsidRDefault="00641E66" w:rsidP="0073510C">
            <w:pPr>
              <w:rPr>
                <w:sz w:val="18"/>
                <w:szCs w:val="18"/>
              </w:rPr>
            </w:pPr>
            <w:r w:rsidRPr="007C4B51">
              <w:rPr>
                <w:sz w:val="18"/>
                <w:szCs w:val="18"/>
              </w:rPr>
              <w:t>5.44</w:t>
            </w:r>
          </w:p>
        </w:tc>
        <w:tc>
          <w:tcPr>
            <w:tcW w:w="1399" w:type="dxa"/>
          </w:tcPr>
          <w:p w14:paraId="29D2A417" w14:textId="77777777" w:rsidR="00641E66" w:rsidRPr="007C4B51" w:rsidRDefault="00641E66" w:rsidP="0073510C">
            <w:pPr>
              <w:rPr>
                <w:sz w:val="18"/>
                <w:szCs w:val="18"/>
              </w:rPr>
            </w:pPr>
            <w:r w:rsidRPr="007C4B51">
              <w:rPr>
                <w:sz w:val="18"/>
                <w:szCs w:val="18"/>
              </w:rPr>
              <w:t>1470</w:t>
            </w:r>
          </w:p>
        </w:tc>
        <w:tc>
          <w:tcPr>
            <w:tcW w:w="1559" w:type="dxa"/>
          </w:tcPr>
          <w:p w14:paraId="10EDE093" w14:textId="77777777" w:rsidR="00641E66" w:rsidRPr="007C4B51" w:rsidRDefault="00641E66" w:rsidP="0073510C">
            <w:pPr>
              <w:rPr>
                <w:rFonts w:ascii="Calibri" w:hAnsi="Calibri"/>
                <w:sz w:val="18"/>
                <w:szCs w:val="18"/>
              </w:rPr>
            </w:pPr>
            <w:r w:rsidRPr="007C4B51">
              <w:rPr>
                <w:rFonts w:ascii="Calibri" w:hAnsi="Calibri"/>
                <w:sz w:val="18"/>
                <w:szCs w:val="18"/>
              </w:rPr>
              <w:t>$9</w:t>
            </w:r>
          </w:p>
        </w:tc>
      </w:tr>
      <w:tr w:rsidR="00641E66" w14:paraId="420170DC" w14:textId="77777777" w:rsidTr="00523124">
        <w:tc>
          <w:tcPr>
            <w:tcW w:w="1418" w:type="dxa"/>
            <w:gridSpan w:val="2"/>
            <w:vMerge/>
          </w:tcPr>
          <w:p w14:paraId="25CC8F96" w14:textId="77777777" w:rsidR="00641E66" w:rsidRPr="002225D2" w:rsidRDefault="00641E66" w:rsidP="0073510C">
            <w:pPr>
              <w:rPr>
                <w:sz w:val="18"/>
                <w:szCs w:val="18"/>
                <w:highlight w:val="lightGray"/>
              </w:rPr>
            </w:pPr>
          </w:p>
        </w:tc>
        <w:tc>
          <w:tcPr>
            <w:tcW w:w="1410" w:type="dxa"/>
          </w:tcPr>
          <w:p w14:paraId="33AD3D97" w14:textId="77777777" w:rsidR="00641E66" w:rsidRPr="007C4B51" w:rsidRDefault="00641E66" w:rsidP="0073510C">
            <w:pPr>
              <w:rPr>
                <w:sz w:val="18"/>
                <w:szCs w:val="18"/>
              </w:rPr>
            </w:pPr>
            <w:r w:rsidRPr="007C4B51">
              <w:rPr>
                <w:sz w:val="18"/>
                <w:szCs w:val="18"/>
              </w:rPr>
              <w:t>(b)</w:t>
            </w:r>
          </w:p>
        </w:tc>
        <w:tc>
          <w:tcPr>
            <w:tcW w:w="1148" w:type="dxa"/>
            <w:gridSpan w:val="3"/>
          </w:tcPr>
          <w:p w14:paraId="1820AA5E" w14:textId="77777777" w:rsidR="00641E66" w:rsidRPr="007C4B51" w:rsidRDefault="00641E66" w:rsidP="0073510C">
            <w:pPr>
              <w:rPr>
                <w:sz w:val="18"/>
                <w:szCs w:val="18"/>
              </w:rPr>
            </w:pPr>
            <w:r w:rsidRPr="007C4B51">
              <w:rPr>
                <w:sz w:val="18"/>
                <w:szCs w:val="18"/>
              </w:rPr>
              <w:t>0.764</w:t>
            </w:r>
          </w:p>
        </w:tc>
        <w:tc>
          <w:tcPr>
            <w:tcW w:w="1288" w:type="dxa"/>
            <w:gridSpan w:val="2"/>
          </w:tcPr>
          <w:p w14:paraId="383489D4" w14:textId="77777777" w:rsidR="00641E66" w:rsidRPr="007C4B51" w:rsidRDefault="00641E66" w:rsidP="0073510C">
            <w:pPr>
              <w:rPr>
                <w:sz w:val="18"/>
                <w:szCs w:val="18"/>
              </w:rPr>
            </w:pPr>
            <w:r w:rsidRPr="007C4B51">
              <w:rPr>
                <w:sz w:val="18"/>
                <w:szCs w:val="18"/>
              </w:rPr>
              <w:t>4.70</w:t>
            </w:r>
          </w:p>
        </w:tc>
        <w:tc>
          <w:tcPr>
            <w:tcW w:w="1399" w:type="dxa"/>
          </w:tcPr>
          <w:p w14:paraId="52984DE6" w14:textId="77777777" w:rsidR="00641E66" w:rsidRPr="007C4B51" w:rsidRDefault="00641E66" w:rsidP="0073510C">
            <w:pPr>
              <w:rPr>
                <w:sz w:val="18"/>
                <w:szCs w:val="18"/>
              </w:rPr>
            </w:pPr>
            <w:r w:rsidRPr="007C4B51">
              <w:rPr>
                <w:sz w:val="18"/>
                <w:szCs w:val="18"/>
              </w:rPr>
              <w:t>10577</w:t>
            </w:r>
          </w:p>
        </w:tc>
        <w:tc>
          <w:tcPr>
            <w:tcW w:w="1559" w:type="dxa"/>
          </w:tcPr>
          <w:p w14:paraId="37F16020" w14:textId="77777777" w:rsidR="00641E66" w:rsidRPr="007C4B51" w:rsidRDefault="00641E66" w:rsidP="0073510C">
            <w:pPr>
              <w:rPr>
                <w:rFonts w:ascii="Calibri" w:hAnsi="Calibri"/>
                <w:sz w:val="18"/>
                <w:szCs w:val="18"/>
              </w:rPr>
            </w:pPr>
            <w:r w:rsidRPr="007C4B51">
              <w:rPr>
                <w:rFonts w:ascii="Calibri" w:hAnsi="Calibri"/>
                <w:sz w:val="18"/>
                <w:szCs w:val="18"/>
              </w:rPr>
              <w:t>$23</w:t>
            </w:r>
          </w:p>
        </w:tc>
      </w:tr>
      <w:tr w:rsidR="00641E66" w14:paraId="64E91750" w14:textId="77777777" w:rsidTr="00523124">
        <w:tc>
          <w:tcPr>
            <w:tcW w:w="1418" w:type="dxa"/>
            <w:gridSpan w:val="2"/>
            <w:vMerge/>
          </w:tcPr>
          <w:p w14:paraId="4C537B77" w14:textId="77777777" w:rsidR="00641E66" w:rsidRPr="002225D2" w:rsidRDefault="00641E66" w:rsidP="0073510C">
            <w:pPr>
              <w:rPr>
                <w:sz w:val="18"/>
                <w:szCs w:val="18"/>
                <w:highlight w:val="lightGray"/>
              </w:rPr>
            </w:pPr>
          </w:p>
        </w:tc>
        <w:tc>
          <w:tcPr>
            <w:tcW w:w="1410" w:type="dxa"/>
          </w:tcPr>
          <w:p w14:paraId="39B47260" w14:textId="77777777" w:rsidR="00641E66" w:rsidRPr="007C4B51" w:rsidRDefault="00641E66" w:rsidP="0073510C">
            <w:pPr>
              <w:rPr>
                <w:sz w:val="18"/>
                <w:szCs w:val="18"/>
              </w:rPr>
            </w:pPr>
            <w:r w:rsidRPr="007C4B51">
              <w:rPr>
                <w:sz w:val="18"/>
                <w:szCs w:val="18"/>
              </w:rPr>
              <w:t>(c)</w:t>
            </w:r>
          </w:p>
        </w:tc>
        <w:tc>
          <w:tcPr>
            <w:tcW w:w="1148" w:type="dxa"/>
            <w:gridSpan w:val="3"/>
          </w:tcPr>
          <w:p w14:paraId="5A94A72A" w14:textId="77777777" w:rsidR="00641E66" w:rsidRPr="007C4B51" w:rsidRDefault="00641E66" w:rsidP="0073510C">
            <w:pPr>
              <w:rPr>
                <w:sz w:val="18"/>
                <w:szCs w:val="18"/>
              </w:rPr>
            </w:pPr>
            <w:r w:rsidRPr="007C4B51">
              <w:rPr>
                <w:sz w:val="18"/>
                <w:szCs w:val="18"/>
              </w:rPr>
              <w:t>0.748</w:t>
            </w:r>
          </w:p>
        </w:tc>
        <w:tc>
          <w:tcPr>
            <w:tcW w:w="1288" w:type="dxa"/>
            <w:gridSpan w:val="2"/>
          </w:tcPr>
          <w:p w14:paraId="13DDCB61" w14:textId="77777777" w:rsidR="00641E66" w:rsidRPr="007C4B51" w:rsidRDefault="00641E66" w:rsidP="0073510C">
            <w:pPr>
              <w:rPr>
                <w:sz w:val="18"/>
                <w:szCs w:val="18"/>
              </w:rPr>
            </w:pPr>
            <w:r w:rsidRPr="007C4B51">
              <w:rPr>
                <w:sz w:val="18"/>
                <w:szCs w:val="18"/>
              </w:rPr>
              <w:t>4.87</w:t>
            </w:r>
          </w:p>
        </w:tc>
        <w:tc>
          <w:tcPr>
            <w:tcW w:w="1399" w:type="dxa"/>
          </w:tcPr>
          <w:p w14:paraId="3ED008E7" w14:textId="77777777" w:rsidR="00641E66" w:rsidRPr="007C4B51" w:rsidRDefault="00641E66" w:rsidP="0073510C">
            <w:pPr>
              <w:rPr>
                <w:sz w:val="18"/>
                <w:szCs w:val="18"/>
              </w:rPr>
            </w:pPr>
            <w:r w:rsidRPr="007C4B51">
              <w:rPr>
                <w:sz w:val="18"/>
                <w:szCs w:val="18"/>
              </w:rPr>
              <w:t>8692</w:t>
            </w:r>
          </w:p>
        </w:tc>
        <w:tc>
          <w:tcPr>
            <w:tcW w:w="1559" w:type="dxa"/>
          </w:tcPr>
          <w:p w14:paraId="4DF25664" w14:textId="77777777" w:rsidR="00641E66" w:rsidRPr="007C4B51" w:rsidRDefault="00641E66" w:rsidP="0073510C">
            <w:pPr>
              <w:rPr>
                <w:rFonts w:ascii="Calibri" w:hAnsi="Calibri"/>
                <w:sz w:val="18"/>
                <w:szCs w:val="18"/>
              </w:rPr>
            </w:pPr>
            <w:r w:rsidRPr="007C4B51">
              <w:rPr>
                <w:rFonts w:ascii="Calibri" w:hAnsi="Calibri"/>
                <w:sz w:val="18"/>
                <w:szCs w:val="18"/>
              </w:rPr>
              <w:t>$15</w:t>
            </w:r>
          </w:p>
        </w:tc>
      </w:tr>
      <w:tr w:rsidR="00641E66" w14:paraId="575A8FB5" w14:textId="77777777" w:rsidTr="00523124">
        <w:tc>
          <w:tcPr>
            <w:tcW w:w="1418" w:type="dxa"/>
            <w:gridSpan w:val="2"/>
            <w:vMerge/>
          </w:tcPr>
          <w:p w14:paraId="5D3041DC" w14:textId="77777777" w:rsidR="00641E66" w:rsidRPr="002225D2" w:rsidRDefault="00641E66" w:rsidP="0073510C">
            <w:pPr>
              <w:rPr>
                <w:sz w:val="18"/>
                <w:szCs w:val="18"/>
                <w:highlight w:val="lightGray"/>
              </w:rPr>
            </w:pPr>
          </w:p>
        </w:tc>
        <w:tc>
          <w:tcPr>
            <w:tcW w:w="1410" w:type="dxa"/>
          </w:tcPr>
          <w:p w14:paraId="1F5B810C" w14:textId="77777777" w:rsidR="00641E66" w:rsidRPr="007C4B51" w:rsidRDefault="00641E66" w:rsidP="0073510C">
            <w:pPr>
              <w:rPr>
                <w:sz w:val="18"/>
                <w:szCs w:val="18"/>
              </w:rPr>
            </w:pPr>
            <w:r w:rsidRPr="007C4B51">
              <w:rPr>
                <w:sz w:val="18"/>
                <w:szCs w:val="18"/>
              </w:rPr>
              <w:t>(d)</w:t>
            </w:r>
          </w:p>
        </w:tc>
        <w:tc>
          <w:tcPr>
            <w:tcW w:w="1148" w:type="dxa"/>
            <w:gridSpan w:val="3"/>
          </w:tcPr>
          <w:p w14:paraId="147260F6" w14:textId="77777777" w:rsidR="00641E66" w:rsidRPr="007C4B51" w:rsidRDefault="00641E66" w:rsidP="0073510C">
            <w:pPr>
              <w:rPr>
                <w:sz w:val="18"/>
                <w:szCs w:val="18"/>
              </w:rPr>
            </w:pPr>
            <w:r w:rsidRPr="007C4B51">
              <w:rPr>
                <w:sz w:val="18"/>
                <w:szCs w:val="18"/>
              </w:rPr>
              <w:t>0.714</w:t>
            </w:r>
          </w:p>
        </w:tc>
        <w:tc>
          <w:tcPr>
            <w:tcW w:w="1288" w:type="dxa"/>
            <w:gridSpan w:val="2"/>
          </w:tcPr>
          <w:p w14:paraId="02FE684E" w14:textId="77777777" w:rsidR="00641E66" w:rsidRPr="007C4B51" w:rsidRDefault="00641E66" w:rsidP="0073510C">
            <w:pPr>
              <w:rPr>
                <w:sz w:val="18"/>
                <w:szCs w:val="18"/>
              </w:rPr>
            </w:pPr>
            <w:r w:rsidRPr="007C4B51">
              <w:rPr>
                <w:sz w:val="18"/>
                <w:szCs w:val="18"/>
              </w:rPr>
              <w:t>5.33</w:t>
            </w:r>
          </w:p>
        </w:tc>
        <w:tc>
          <w:tcPr>
            <w:tcW w:w="1399" w:type="dxa"/>
          </w:tcPr>
          <w:p w14:paraId="74F42EE1" w14:textId="77777777" w:rsidR="00641E66" w:rsidRPr="007C4B51" w:rsidRDefault="00641E66" w:rsidP="0073510C">
            <w:pPr>
              <w:rPr>
                <w:sz w:val="18"/>
                <w:szCs w:val="18"/>
              </w:rPr>
            </w:pPr>
            <w:r w:rsidRPr="007C4B51">
              <w:rPr>
                <w:sz w:val="18"/>
                <w:szCs w:val="18"/>
              </w:rPr>
              <w:t>2838</w:t>
            </w:r>
          </w:p>
        </w:tc>
        <w:tc>
          <w:tcPr>
            <w:tcW w:w="1559" w:type="dxa"/>
          </w:tcPr>
          <w:p w14:paraId="56B776EF" w14:textId="77777777" w:rsidR="00641E66" w:rsidRPr="007C4B51" w:rsidRDefault="00641E66" w:rsidP="0073510C">
            <w:pPr>
              <w:rPr>
                <w:rFonts w:ascii="Calibri" w:hAnsi="Calibri"/>
                <w:sz w:val="18"/>
                <w:szCs w:val="18"/>
              </w:rPr>
            </w:pPr>
            <w:r w:rsidRPr="007C4B51">
              <w:rPr>
                <w:rFonts w:ascii="Calibri" w:hAnsi="Calibri"/>
                <w:sz w:val="18"/>
                <w:szCs w:val="18"/>
              </w:rPr>
              <w:t>$16</w:t>
            </w:r>
          </w:p>
        </w:tc>
      </w:tr>
      <w:tr w:rsidR="00641E66" w14:paraId="134B5820" w14:textId="77777777" w:rsidTr="00523124">
        <w:trPr>
          <w:trHeight w:val="155"/>
        </w:trPr>
        <w:tc>
          <w:tcPr>
            <w:tcW w:w="1418" w:type="dxa"/>
            <w:gridSpan w:val="2"/>
            <w:vMerge/>
          </w:tcPr>
          <w:p w14:paraId="4847E746" w14:textId="77777777" w:rsidR="00641E66" w:rsidRPr="002225D2" w:rsidRDefault="00641E66" w:rsidP="0073510C">
            <w:pPr>
              <w:rPr>
                <w:sz w:val="18"/>
                <w:szCs w:val="18"/>
                <w:highlight w:val="lightGray"/>
              </w:rPr>
            </w:pPr>
          </w:p>
        </w:tc>
        <w:tc>
          <w:tcPr>
            <w:tcW w:w="1410" w:type="dxa"/>
          </w:tcPr>
          <w:p w14:paraId="09803E14" w14:textId="77777777" w:rsidR="00641E66" w:rsidRPr="007C4B51" w:rsidRDefault="00641E66" w:rsidP="0073510C">
            <w:pPr>
              <w:rPr>
                <w:sz w:val="18"/>
                <w:szCs w:val="18"/>
              </w:rPr>
            </w:pPr>
            <w:r w:rsidRPr="007C4B51">
              <w:rPr>
                <w:sz w:val="18"/>
                <w:szCs w:val="18"/>
              </w:rPr>
              <w:t>(e)</w:t>
            </w:r>
          </w:p>
        </w:tc>
        <w:tc>
          <w:tcPr>
            <w:tcW w:w="1148" w:type="dxa"/>
            <w:gridSpan w:val="3"/>
          </w:tcPr>
          <w:p w14:paraId="17DA29FC" w14:textId="77777777" w:rsidR="00641E66" w:rsidRPr="007C4B51" w:rsidRDefault="00641E66" w:rsidP="0073510C">
            <w:pPr>
              <w:rPr>
                <w:sz w:val="18"/>
                <w:szCs w:val="18"/>
              </w:rPr>
            </w:pPr>
            <w:r w:rsidRPr="007C4B51">
              <w:rPr>
                <w:sz w:val="18"/>
                <w:szCs w:val="18"/>
              </w:rPr>
              <w:t>0.778</w:t>
            </w:r>
          </w:p>
        </w:tc>
        <w:tc>
          <w:tcPr>
            <w:tcW w:w="1288" w:type="dxa"/>
            <w:gridSpan w:val="2"/>
          </w:tcPr>
          <w:p w14:paraId="27895C2D" w14:textId="77777777" w:rsidR="00641E66" w:rsidRPr="007C4B51" w:rsidRDefault="00641E66" w:rsidP="0073510C">
            <w:pPr>
              <w:rPr>
                <w:sz w:val="18"/>
                <w:szCs w:val="18"/>
              </w:rPr>
            </w:pPr>
            <w:r w:rsidRPr="007C4B51">
              <w:rPr>
                <w:sz w:val="18"/>
                <w:szCs w:val="18"/>
              </w:rPr>
              <w:t>4.62</w:t>
            </w:r>
          </w:p>
        </w:tc>
        <w:tc>
          <w:tcPr>
            <w:tcW w:w="1399" w:type="dxa"/>
          </w:tcPr>
          <w:p w14:paraId="5BA1E397" w14:textId="77777777" w:rsidR="00641E66" w:rsidRPr="007C4B51" w:rsidRDefault="00641E66" w:rsidP="0073510C">
            <w:pPr>
              <w:rPr>
                <w:sz w:val="18"/>
                <w:szCs w:val="18"/>
              </w:rPr>
            </w:pPr>
            <w:r w:rsidRPr="007C4B51">
              <w:rPr>
                <w:sz w:val="18"/>
                <w:szCs w:val="18"/>
              </w:rPr>
              <w:t>11739</w:t>
            </w:r>
          </w:p>
        </w:tc>
        <w:tc>
          <w:tcPr>
            <w:tcW w:w="1559" w:type="dxa"/>
          </w:tcPr>
          <w:p w14:paraId="6CA50F5D" w14:textId="77777777" w:rsidR="00641E66" w:rsidRPr="007C4B51" w:rsidRDefault="00641E66" w:rsidP="0073510C">
            <w:pPr>
              <w:rPr>
                <w:rFonts w:ascii="Calibri" w:hAnsi="Calibri"/>
                <w:sz w:val="18"/>
                <w:szCs w:val="18"/>
              </w:rPr>
            </w:pPr>
            <w:r w:rsidRPr="007C4B51">
              <w:rPr>
                <w:rFonts w:ascii="Calibri" w:hAnsi="Calibri"/>
                <w:sz w:val="18"/>
                <w:szCs w:val="18"/>
              </w:rPr>
              <w:t>$31</w:t>
            </w:r>
          </w:p>
        </w:tc>
      </w:tr>
      <w:tr w:rsidR="00641E66" w:rsidRPr="004668AE" w14:paraId="2BC03DD3" w14:textId="77777777" w:rsidTr="00523124">
        <w:tc>
          <w:tcPr>
            <w:tcW w:w="1418" w:type="dxa"/>
            <w:gridSpan w:val="2"/>
            <w:vMerge w:val="restart"/>
          </w:tcPr>
          <w:p w14:paraId="4C80887C" w14:textId="77777777" w:rsidR="00641E66" w:rsidRPr="002225D2" w:rsidRDefault="00641E66" w:rsidP="0073510C">
            <w:pPr>
              <w:rPr>
                <w:sz w:val="18"/>
                <w:szCs w:val="18"/>
                <w:highlight w:val="lightGray"/>
              </w:rPr>
            </w:pPr>
            <w:r w:rsidRPr="00E5193E">
              <w:rPr>
                <w:sz w:val="18"/>
                <w:szCs w:val="18"/>
              </w:rPr>
              <w:t>Duration of effect 1 year only</w:t>
            </w:r>
          </w:p>
        </w:tc>
        <w:tc>
          <w:tcPr>
            <w:tcW w:w="1410" w:type="dxa"/>
          </w:tcPr>
          <w:p w14:paraId="7A00D41C" w14:textId="77777777" w:rsidR="00641E66" w:rsidRPr="007C4B51" w:rsidRDefault="00641E66" w:rsidP="0073510C">
            <w:pPr>
              <w:rPr>
                <w:sz w:val="18"/>
                <w:szCs w:val="18"/>
              </w:rPr>
            </w:pPr>
            <w:r w:rsidRPr="007C4B51">
              <w:rPr>
                <w:sz w:val="18"/>
                <w:szCs w:val="18"/>
              </w:rPr>
              <w:t>No intervention</w:t>
            </w:r>
          </w:p>
        </w:tc>
        <w:tc>
          <w:tcPr>
            <w:tcW w:w="1148" w:type="dxa"/>
            <w:gridSpan w:val="3"/>
          </w:tcPr>
          <w:p w14:paraId="0CD638ED" w14:textId="77777777" w:rsidR="00641E66" w:rsidRPr="007C4B51" w:rsidRDefault="00641E66" w:rsidP="0073510C">
            <w:pPr>
              <w:rPr>
                <w:sz w:val="18"/>
                <w:szCs w:val="18"/>
              </w:rPr>
            </w:pPr>
            <w:r w:rsidRPr="007C4B51">
              <w:rPr>
                <w:sz w:val="18"/>
                <w:szCs w:val="18"/>
              </w:rPr>
              <w:t>0.766</w:t>
            </w:r>
          </w:p>
        </w:tc>
        <w:tc>
          <w:tcPr>
            <w:tcW w:w="1288" w:type="dxa"/>
            <w:gridSpan w:val="2"/>
          </w:tcPr>
          <w:p w14:paraId="11528E3A" w14:textId="77777777" w:rsidR="00641E66" w:rsidRPr="007C4B51" w:rsidRDefault="00641E66" w:rsidP="0073510C">
            <w:pPr>
              <w:rPr>
                <w:sz w:val="18"/>
                <w:szCs w:val="18"/>
              </w:rPr>
            </w:pPr>
            <w:r w:rsidRPr="007C4B51">
              <w:rPr>
                <w:sz w:val="18"/>
                <w:szCs w:val="18"/>
              </w:rPr>
              <w:t>4.61</w:t>
            </w:r>
          </w:p>
        </w:tc>
        <w:tc>
          <w:tcPr>
            <w:tcW w:w="1399" w:type="dxa"/>
          </w:tcPr>
          <w:p w14:paraId="27270E67" w14:textId="77777777" w:rsidR="00641E66" w:rsidRPr="007C4B51" w:rsidRDefault="00641E66" w:rsidP="0073510C">
            <w:pPr>
              <w:rPr>
                <w:sz w:val="18"/>
                <w:szCs w:val="18"/>
              </w:rPr>
            </w:pPr>
            <w:r w:rsidRPr="007C4B51">
              <w:rPr>
                <w:sz w:val="18"/>
                <w:szCs w:val="18"/>
              </w:rPr>
              <w:t>---</w:t>
            </w:r>
          </w:p>
        </w:tc>
        <w:tc>
          <w:tcPr>
            <w:tcW w:w="1559" w:type="dxa"/>
          </w:tcPr>
          <w:p w14:paraId="20605C43" w14:textId="77777777" w:rsidR="00641E66" w:rsidRPr="007C4B51" w:rsidRDefault="00641E66" w:rsidP="0073510C">
            <w:pPr>
              <w:rPr>
                <w:sz w:val="18"/>
                <w:szCs w:val="18"/>
              </w:rPr>
            </w:pPr>
          </w:p>
        </w:tc>
      </w:tr>
      <w:tr w:rsidR="00641E66" w:rsidRPr="004668AE" w14:paraId="68747504" w14:textId="77777777" w:rsidTr="00523124">
        <w:tc>
          <w:tcPr>
            <w:tcW w:w="1418" w:type="dxa"/>
            <w:gridSpan w:val="2"/>
            <w:vMerge/>
          </w:tcPr>
          <w:p w14:paraId="09108612" w14:textId="77777777" w:rsidR="00641E66" w:rsidRPr="002225D2" w:rsidRDefault="00641E66" w:rsidP="0073510C">
            <w:pPr>
              <w:rPr>
                <w:sz w:val="18"/>
                <w:szCs w:val="18"/>
                <w:highlight w:val="lightGray"/>
              </w:rPr>
            </w:pPr>
          </w:p>
        </w:tc>
        <w:tc>
          <w:tcPr>
            <w:tcW w:w="1410" w:type="dxa"/>
          </w:tcPr>
          <w:p w14:paraId="59F41FC7" w14:textId="77777777" w:rsidR="00641E66" w:rsidRPr="007C4B51" w:rsidRDefault="00641E66" w:rsidP="0073510C">
            <w:pPr>
              <w:rPr>
                <w:sz w:val="18"/>
                <w:szCs w:val="18"/>
              </w:rPr>
            </w:pPr>
            <w:r w:rsidRPr="007C4B51">
              <w:rPr>
                <w:sz w:val="18"/>
                <w:szCs w:val="18"/>
              </w:rPr>
              <w:t>(a)</w:t>
            </w:r>
          </w:p>
        </w:tc>
        <w:tc>
          <w:tcPr>
            <w:tcW w:w="1148" w:type="dxa"/>
            <w:gridSpan w:val="3"/>
          </w:tcPr>
          <w:p w14:paraId="0573FAD3" w14:textId="77777777" w:rsidR="00641E66" w:rsidRPr="007C4B51" w:rsidRDefault="00641E66" w:rsidP="0073510C">
            <w:pPr>
              <w:rPr>
                <w:sz w:val="18"/>
                <w:szCs w:val="18"/>
              </w:rPr>
            </w:pPr>
            <w:r w:rsidRPr="007C4B51">
              <w:rPr>
                <w:sz w:val="18"/>
                <w:szCs w:val="18"/>
              </w:rPr>
              <w:t>0.768</w:t>
            </w:r>
          </w:p>
        </w:tc>
        <w:tc>
          <w:tcPr>
            <w:tcW w:w="1288" w:type="dxa"/>
            <w:gridSpan w:val="2"/>
          </w:tcPr>
          <w:p w14:paraId="4D6A28D9" w14:textId="77777777" w:rsidR="00641E66" w:rsidRPr="007C4B51" w:rsidRDefault="00641E66" w:rsidP="0073510C">
            <w:pPr>
              <w:rPr>
                <w:sz w:val="18"/>
                <w:szCs w:val="18"/>
              </w:rPr>
            </w:pPr>
            <w:r w:rsidRPr="007C4B51">
              <w:rPr>
                <w:sz w:val="18"/>
                <w:szCs w:val="18"/>
              </w:rPr>
              <w:t>4.59</w:t>
            </w:r>
          </w:p>
        </w:tc>
        <w:tc>
          <w:tcPr>
            <w:tcW w:w="1399" w:type="dxa"/>
          </w:tcPr>
          <w:p w14:paraId="7CADEF82" w14:textId="77777777" w:rsidR="00641E66" w:rsidRPr="007C4B51" w:rsidRDefault="00641E66" w:rsidP="0073510C">
            <w:pPr>
              <w:rPr>
                <w:sz w:val="18"/>
                <w:szCs w:val="18"/>
              </w:rPr>
            </w:pPr>
            <w:r w:rsidRPr="007C4B51">
              <w:rPr>
                <w:sz w:val="18"/>
                <w:szCs w:val="18"/>
              </w:rPr>
              <w:t>572</w:t>
            </w:r>
          </w:p>
        </w:tc>
        <w:tc>
          <w:tcPr>
            <w:tcW w:w="1559" w:type="dxa"/>
          </w:tcPr>
          <w:p w14:paraId="37CA56E6" w14:textId="77777777" w:rsidR="00641E66" w:rsidRPr="007C4B51" w:rsidRDefault="00641E66" w:rsidP="0073510C">
            <w:pPr>
              <w:rPr>
                <w:rFonts w:ascii="Calibri" w:hAnsi="Calibri"/>
                <w:sz w:val="18"/>
                <w:szCs w:val="18"/>
              </w:rPr>
            </w:pPr>
            <w:r w:rsidRPr="007C4B51">
              <w:rPr>
                <w:rFonts w:ascii="Calibri" w:hAnsi="Calibri"/>
                <w:sz w:val="18"/>
                <w:szCs w:val="18"/>
              </w:rPr>
              <w:t>$5</w:t>
            </w:r>
          </w:p>
        </w:tc>
      </w:tr>
      <w:tr w:rsidR="00641E66" w:rsidRPr="004668AE" w14:paraId="0DB256C3" w14:textId="77777777" w:rsidTr="00523124">
        <w:tc>
          <w:tcPr>
            <w:tcW w:w="1418" w:type="dxa"/>
            <w:gridSpan w:val="2"/>
            <w:vMerge/>
          </w:tcPr>
          <w:p w14:paraId="56BA14E3" w14:textId="77777777" w:rsidR="00641E66" w:rsidRPr="002225D2" w:rsidRDefault="00641E66" w:rsidP="0073510C">
            <w:pPr>
              <w:rPr>
                <w:sz w:val="18"/>
                <w:szCs w:val="18"/>
                <w:highlight w:val="lightGray"/>
              </w:rPr>
            </w:pPr>
          </w:p>
        </w:tc>
        <w:tc>
          <w:tcPr>
            <w:tcW w:w="1410" w:type="dxa"/>
          </w:tcPr>
          <w:p w14:paraId="3BC01AA9" w14:textId="77777777" w:rsidR="00641E66" w:rsidRPr="007C4B51" w:rsidRDefault="00641E66" w:rsidP="0073510C">
            <w:pPr>
              <w:rPr>
                <w:sz w:val="18"/>
                <w:szCs w:val="18"/>
              </w:rPr>
            </w:pPr>
            <w:r w:rsidRPr="007C4B51">
              <w:rPr>
                <w:sz w:val="18"/>
                <w:szCs w:val="18"/>
              </w:rPr>
              <w:t>(b)</w:t>
            </w:r>
          </w:p>
        </w:tc>
        <w:tc>
          <w:tcPr>
            <w:tcW w:w="1148" w:type="dxa"/>
            <w:gridSpan w:val="3"/>
          </w:tcPr>
          <w:p w14:paraId="53CBA933" w14:textId="77777777" w:rsidR="00641E66" w:rsidRPr="007C4B51" w:rsidRDefault="00641E66" w:rsidP="0073510C">
            <w:pPr>
              <w:rPr>
                <w:sz w:val="18"/>
                <w:szCs w:val="18"/>
              </w:rPr>
            </w:pPr>
            <w:r w:rsidRPr="007C4B51">
              <w:rPr>
                <w:sz w:val="18"/>
                <w:szCs w:val="18"/>
              </w:rPr>
              <w:t>0.769</w:t>
            </w:r>
          </w:p>
        </w:tc>
        <w:tc>
          <w:tcPr>
            <w:tcW w:w="1288" w:type="dxa"/>
            <w:gridSpan w:val="2"/>
          </w:tcPr>
          <w:p w14:paraId="4726E145" w14:textId="77777777" w:rsidR="00641E66" w:rsidRPr="007C4B51" w:rsidRDefault="00641E66" w:rsidP="0073510C">
            <w:pPr>
              <w:rPr>
                <w:sz w:val="18"/>
                <w:szCs w:val="18"/>
              </w:rPr>
            </w:pPr>
            <w:r w:rsidRPr="007C4B51">
              <w:rPr>
                <w:sz w:val="18"/>
                <w:szCs w:val="18"/>
              </w:rPr>
              <w:t>4.55</w:t>
            </w:r>
          </w:p>
        </w:tc>
        <w:tc>
          <w:tcPr>
            <w:tcW w:w="1399" w:type="dxa"/>
          </w:tcPr>
          <w:p w14:paraId="399CE271" w14:textId="77777777" w:rsidR="00641E66" w:rsidRPr="007C4B51" w:rsidRDefault="00641E66" w:rsidP="0073510C">
            <w:pPr>
              <w:rPr>
                <w:sz w:val="18"/>
                <w:szCs w:val="18"/>
              </w:rPr>
            </w:pPr>
            <w:r w:rsidRPr="007C4B51">
              <w:rPr>
                <w:sz w:val="18"/>
                <w:szCs w:val="18"/>
              </w:rPr>
              <w:t>1853</w:t>
            </w:r>
          </w:p>
        </w:tc>
        <w:tc>
          <w:tcPr>
            <w:tcW w:w="1559" w:type="dxa"/>
          </w:tcPr>
          <w:p w14:paraId="52A7E2BD" w14:textId="77777777" w:rsidR="00641E66" w:rsidRPr="007C4B51" w:rsidRDefault="00641E66" w:rsidP="0073510C">
            <w:pPr>
              <w:rPr>
                <w:rFonts w:ascii="Calibri" w:hAnsi="Calibri"/>
                <w:sz w:val="18"/>
                <w:szCs w:val="18"/>
              </w:rPr>
            </w:pPr>
            <w:r w:rsidRPr="007C4B51">
              <w:rPr>
                <w:rFonts w:ascii="Calibri" w:hAnsi="Calibri"/>
                <w:sz w:val="18"/>
                <w:szCs w:val="18"/>
              </w:rPr>
              <w:t>$8</w:t>
            </w:r>
          </w:p>
        </w:tc>
      </w:tr>
      <w:tr w:rsidR="00641E66" w:rsidRPr="004668AE" w14:paraId="5D9B0A38" w14:textId="77777777" w:rsidTr="00523124">
        <w:tc>
          <w:tcPr>
            <w:tcW w:w="1418" w:type="dxa"/>
            <w:gridSpan w:val="2"/>
            <w:vMerge/>
          </w:tcPr>
          <w:p w14:paraId="0DB7321D" w14:textId="77777777" w:rsidR="00641E66" w:rsidRPr="002225D2" w:rsidRDefault="00641E66" w:rsidP="0073510C">
            <w:pPr>
              <w:rPr>
                <w:sz w:val="18"/>
                <w:szCs w:val="18"/>
                <w:highlight w:val="lightGray"/>
              </w:rPr>
            </w:pPr>
          </w:p>
        </w:tc>
        <w:tc>
          <w:tcPr>
            <w:tcW w:w="1410" w:type="dxa"/>
          </w:tcPr>
          <w:p w14:paraId="480A29A6" w14:textId="77777777" w:rsidR="00641E66" w:rsidRPr="007C4B51" w:rsidRDefault="00641E66" w:rsidP="0073510C">
            <w:pPr>
              <w:rPr>
                <w:sz w:val="18"/>
                <w:szCs w:val="18"/>
              </w:rPr>
            </w:pPr>
            <w:r w:rsidRPr="007C4B51">
              <w:rPr>
                <w:sz w:val="18"/>
                <w:szCs w:val="18"/>
              </w:rPr>
              <w:t>(c)</w:t>
            </w:r>
          </w:p>
        </w:tc>
        <w:tc>
          <w:tcPr>
            <w:tcW w:w="1148" w:type="dxa"/>
            <w:gridSpan w:val="3"/>
          </w:tcPr>
          <w:p w14:paraId="48EC981A" w14:textId="77777777" w:rsidR="00641E66" w:rsidRPr="007C4B51" w:rsidRDefault="00641E66" w:rsidP="0073510C">
            <w:pPr>
              <w:rPr>
                <w:sz w:val="18"/>
                <w:szCs w:val="18"/>
              </w:rPr>
            </w:pPr>
            <w:r w:rsidRPr="007C4B51">
              <w:rPr>
                <w:sz w:val="18"/>
                <w:szCs w:val="18"/>
              </w:rPr>
              <w:t>0.767</w:t>
            </w:r>
          </w:p>
        </w:tc>
        <w:tc>
          <w:tcPr>
            <w:tcW w:w="1288" w:type="dxa"/>
            <w:gridSpan w:val="2"/>
          </w:tcPr>
          <w:p w14:paraId="3793EC45" w14:textId="77777777" w:rsidR="00641E66" w:rsidRPr="007C4B51" w:rsidRDefault="00641E66" w:rsidP="0073510C">
            <w:pPr>
              <w:rPr>
                <w:sz w:val="18"/>
                <w:szCs w:val="18"/>
              </w:rPr>
            </w:pPr>
            <w:r w:rsidRPr="007C4B51">
              <w:rPr>
                <w:sz w:val="18"/>
                <w:szCs w:val="18"/>
              </w:rPr>
              <w:t>4.58</w:t>
            </w:r>
          </w:p>
        </w:tc>
        <w:tc>
          <w:tcPr>
            <w:tcW w:w="1399" w:type="dxa"/>
          </w:tcPr>
          <w:p w14:paraId="40DBF034" w14:textId="77777777" w:rsidR="00641E66" w:rsidRPr="007C4B51" w:rsidRDefault="00641E66" w:rsidP="0073510C">
            <w:pPr>
              <w:rPr>
                <w:sz w:val="18"/>
                <w:szCs w:val="18"/>
              </w:rPr>
            </w:pPr>
            <w:r w:rsidRPr="007C4B51">
              <w:rPr>
                <w:sz w:val="18"/>
                <w:szCs w:val="18"/>
              </w:rPr>
              <w:t>1111</w:t>
            </w:r>
          </w:p>
        </w:tc>
        <w:tc>
          <w:tcPr>
            <w:tcW w:w="1559" w:type="dxa"/>
          </w:tcPr>
          <w:p w14:paraId="509ACC43" w14:textId="77777777" w:rsidR="00641E66" w:rsidRPr="007C4B51" w:rsidRDefault="00641E66" w:rsidP="0073510C">
            <w:pPr>
              <w:rPr>
                <w:rFonts w:ascii="Calibri" w:hAnsi="Calibri"/>
                <w:sz w:val="18"/>
                <w:szCs w:val="18"/>
              </w:rPr>
            </w:pPr>
            <w:r w:rsidRPr="007C4B51">
              <w:rPr>
                <w:rFonts w:ascii="Calibri" w:hAnsi="Calibri"/>
                <w:sz w:val="18"/>
                <w:szCs w:val="18"/>
              </w:rPr>
              <w:t>$5</w:t>
            </w:r>
          </w:p>
        </w:tc>
      </w:tr>
      <w:tr w:rsidR="00641E66" w:rsidRPr="004668AE" w14:paraId="1BE9E6E1" w14:textId="77777777" w:rsidTr="00523124">
        <w:tc>
          <w:tcPr>
            <w:tcW w:w="1418" w:type="dxa"/>
            <w:gridSpan w:val="2"/>
            <w:vMerge/>
          </w:tcPr>
          <w:p w14:paraId="1FE3E50E" w14:textId="77777777" w:rsidR="00641E66" w:rsidRPr="002225D2" w:rsidRDefault="00641E66" w:rsidP="0073510C">
            <w:pPr>
              <w:rPr>
                <w:sz w:val="18"/>
                <w:szCs w:val="18"/>
                <w:highlight w:val="lightGray"/>
              </w:rPr>
            </w:pPr>
          </w:p>
        </w:tc>
        <w:tc>
          <w:tcPr>
            <w:tcW w:w="1410" w:type="dxa"/>
          </w:tcPr>
          <w:p w14:paraId="04D71458" w14:textId="77777777" w:rsidR="00641E66" w:rsidRPr="007C4B51" w:rsidRDefault="00641E66" w:rsidP="0073510C">
            <w:pPr>
              <w:rPr>
                <w:sz w:val="18"/>
                <w:szCs w:val="18"/>
              </w:rPr>
            </w:pPr>
            <w:r w:rsidRPr="007C4B51">
              <w:rPr>
                <w:sz w:val="18"/>
                <w:szCs w:val="18"/>
              </w:rPr>
              <w:t>(d)</w:t>
            </w:r>
          </w:p>
        </w:tc>
        <w:tc>
          <w:tcPr>
            <w:tcW w:w="1148" w:type="dxa"/>
            <w:gridSpan w:val="3"/>
          </w:tcPr>
          <w:p w14:paraId="4A3427AB" w14:textId="77777777" w:rsidR="00641E66" w:rsidRPr="007C4B51" w:rsidRDefault="00641E66" w:rsidP="0073510C">
            <w:pPr>
              <w:rPr>
                <w:sz w:val="18"/>
                <w:szCs w:val="18"/>
              </w:rPr>
            </w:pPr>
            <w:r w:rsidRPr="007C4B51">
              <w:rPr>
                <w:sz w:val="18"/>
                <w:szCs w:val="18"/>
              </w:rPr>
              <w:t>0.770</w:t>
            </w:r>
          </w:p>
        </w:tc>
        <w:tc>
          <w:tcPr>
            <w:tcW w:w="1288" w:type="dxa"/>
            <w:gridSpan w:val="2"/>
          </w:tcPr>
          <w:p w14:paraId="4DE2B1B3" w14:textId="77777777" w:rsidR="00641E66" w:rsidRPr="007C4B51" w:rsidRDefault="00641E66" w:rsidP="0073510C">
            <w:pPr>
              <w:rPr>
                <w:sz w:val="18"/>
                <w:szCs w:val="18"/>
              </w:rPr>
            </w:pPr>
            <w:r w:rsidRPr="007C4B51">
              <w:rPr>
                <w:sz w:val="18"/>
                <w:szCs w:val="18"/>
              </w:rPr>
              <w:t>4.56</w:t>
            </w:r>
          </w:p>
        </w:tc>
        <w:tc>
          <w:tcPr>
            <w:tcW w:w="1399" w:type="dxa"/>
          </w:tcPr>
          <w:p w14:paraId="0CC7ED0F" w14:textId="77777777" w:rsidR="00641E66" w:rsidRPr="007C4B51" w:rsidRDefault="00641E66" w:rsidP="0073510C">
            <w:pPr>
              <w:rPr>
                <w:sz w:val="18"/>
                <w:szCs w:val="18"/>
              </w:rPr>
            </w:pPr>
            <w:r w:rsidRPr="007C4B51">
              <w:rPr>
                <w:sz w:val="18"/>
                <w:szCs w:val="18"/>
              </w:rPr>
              <w:t>1175</w:t>
            </w:r>
          </w:p>
        </w:tc>
        <w:tc>
          <w:tcPr>
            <w:tcW w:w="1559" w:type="dxa"/>
          </w:tcPr>
          <w:p w14:paraId="6CDE016F" w14:textId="77777777" w:rsidR="00641E66" w:rsidRPr="007C4B51" w:rsidRDefault="00641E66" w:rsidP="0073510C">
            <w:pPr>
              <w:rPr>
                <w:rFonts w:ascii="Calibri" w:hAnsi="Calibri"/>
                <w:sz w:val="18"/>
                <w:szCs w:val="18"/>
              </w:rPr>
            </w:pPr>
            <w:r w:rsidRPr="007C4B51">
              <w:rPr>
                <w:rFonts w:ascii="Calibri" w:hAnsi="Calibri"/>
                <w:sz w:val="18"/>
                <w:szCs w:val="18"/>
              </w:rPr>
              <w:t>$7</w:t>
            </w:r>
          </w:p>
        </w:tc>
      </w:tr>
      <w:tr w:rsidR="00641E66" w:rsidRPr="004668AE" w14:paraId="48C59FB2" w14:textId="77777777" w:rsidTr="00523124">
        <w:tc>
          <w:tcPr>
            <w:tcW w:w="1418" w:type="dxa"/>
            <w:gridSpan w:val="2"/>
            <w:vMerge/>
          </w:tcPr>
          <w:p w14:paraId="774AFA69" w14:textId="77777777" w:rsidR="00641E66" w:rsidRPr="002225D2" w:rsidRDefault="00641E66" w:rsidP="0073510C">
            <w:pPr>
              <w:rPr>
                <w:sz w:val="18"/>
                <w:szCs w:val="18"/>
                <w:highlight w:val="lightGray"/>
              </w:rPr>
            </w:pPr>
          </w:p>
        </w:tc>
        <w:tc>
          <w:tcPr>
            <w:tcW w:w="1410" w:type="dxa"/>
          </w:tcPr>
          <w:p w14:paraId="12758296" w14:textId="77777777" w:rsidR="00641E66" w:rsidRPr="007C4B51" w:rsidRDefault="00641E66" w:rsidP="0073510C">
            <w:pPr>
              <w:rPr>
                <w:sz w:val="18"/>
                <w:szCs w:val="18"/>
              </w:rPr>
            </w:pPr>
            <w:r w:rsidRPr="007C4B51">
              <w:rPr>
                <w:sz w:val="18"/>
                <w:szCs w:val="18"/>
              </w:rPr>
              <w:t>(e)</w:t>
            </w:r>
          </w:p>
        </w:tc>
        <w:tc>
          <w:tcPr>
            <w:tcW w:w="1148" w:type="dxa"/>
            <w:gridSpan w:val="3"/>
          </w:tcPr>
          <w:p w14:paraId="411F7275" w14:textId="77777777" w:rsidR="00641E66" w:rsidRPr="007C4B51" w:rsidRDefault="00641E66" w:rsidP="0073510C">
            <w:pPr>
              <w:rPr>
                <w:sz w:val="18"/>
                <w:szCs w:val="18"/>
              </w:rPr>
            </w:pPr>
            <w:r w:rsidRPr="007C4B51">
              <w:rPr>
                <w:sz w:val="18"/>
                <w:szCs w:val="18"/>
              </w:rPr>
              <w:t>0.771</w:t>
            </w:r>
          </w:p>
        </w:tc>
        <w:tc>
          <w:tcPr>
            <w:tcW w:w="1288" w:type="dxa"/>
            <w:gridSpan w:val="2"/>
          </w:tcPr>
          <w:p w14:paraId="6E76D4A8" w14:textId="77777777" w:rsidR="00641E66" w:rsidRPr="007C4B51" w:rsidRDefault="00641E66" w:rsidP="0073510C">
            <w:pPr>
              <w:rPr>
                <w:sz w:val="18"/>
                <w:szCs w:val="18"/>
              </w:rPr>
            </w:pPr>
            <w:r w:rsidRPr="007C4B51">
              <w:rPr>
                <w:sz w:val="18"/>
                <w:szCs w:val="18"/>
              </w:rPr>
              <w:t>4.51</w:t>
            </w:r>
          </w:p>
        </w:tc>
        <w:tc>
          <w:tcPr>
            <w:tcW w:w="1399" w:type="dxa"/>
          </w:tcPr>
          <w:p w14:paraId="5FC92F49" w14:textId="77777777" w:rsidR="00641E66" w:rsidRPr="007C4B51" w:rsidRDefault="00641E66" w:rsidP="0073510C">
            <w:pPr>
              <w:rPr>
                <w:sz w:val="18"/>
                <w:szCs w:val="18"/>
              </w:rPr>
            </w:pPr>
            <w:r w:rsidRPr="007C4B51">
              <w:rPr>
                <w:sz w:val="18"/>
                <w:szCs w:val="18"/>
              </w:rPr>
              <w:t>2146</w:t>
            </w:r>
          </w:p>
        </w:tc>
        <w:tc>
          <w:tcPr>
            <w:tcW w:w="1559" w:type="dxa"/>
          </w:tcPr>
          <w:p w14:paraId="4427DFE8" w14:textId="77777777" w:rsidR="00641E66" w:rsidRPr="007C4B51" w:rsidRDefault="00641E66" w:rsidP="0073510C">
            <w:pPr>
              <w:rPr>
                <w:rFonts w:ascii="Calibri" w:hAnsi="Calibri"/>
                <w:sz w:val="18"/>
                <w:szCs w:val="18"/>
              </w:rPr>
            </w:pPr>
            <w:r w:rsidRPr="007C4B51">
              <w:rPr>
                <w:rFonts w:ascii="Calibri" w:hAnsi="Calibri"/>
                <w:sz w:val="18"/>
                <w:szCs w:val="18"/>
              </w:rPr>
              <w:t>$9</w:t>
            </w:r>
          </w:p>
        </w:tc>
      </w:tr>
      <w:tr w:rsidR="00641E66" w:rsidRPr="004668AE" w14:paraId="01A61CD9" w14:textId="77777777" w:rsidTr="00523124">
        <w:tc>
          <w:tcPr>
            <w:tcW w:w="1418" w:type="dxa"/>
            <w:gridSpan w:val="2"/>
            <w:vMerge w:val="restart"/>
          </w:tcPr>
          <w:p w14:paraId="608C5664" w14:textId="77777777" w:rsidR="00641E66" w:rsidRPr="002225D2" w:rsidRDefault="00641E66" w:rsidP="0073510C">
            <w:pPr>
              <w:rPr>
                <w:sz w:val="18"/>
                <w:szCs w:val="18"/>
                <w:highlight w:val="lightGray"/>
              </w:rPr>
            </w:pPr>
            <w:r w:rsidRPr="00EB3451">
              <w:rPr>
                <w:sz w:val="18"/>
                <w:szCs w:val="18"/>
              </w:rPr>
              <w:t>No adherence-informed differentiated care</w:t>
            </w:r>
          </w:p>
        </w:tc>
        <w:tc>
          <w:tcPr>
            <w:tcW w:w="1410" w:type="dxa"/>
          </w:tcPr>
          <w:p w14:paraId="02DB154C" w14:textId="77777777" w:rsidR="00641E66" w:rsidRPr="007C4B51" w:rsidRDefault="00641E66" w:rsidP="0073510C">
            <w:pPr>
              <w:rPr>
                <w:sz w:val="18"/>
                <w:szCs w:val="18"/>
              </w:rPr>
            </w:pPr>
            <w:r w:rsidRPr="007C4B51">
              <w:rPr>
                <w:sz w:val="18"/>
                <w:szCs w:val="18"/>
              </w:rPr>
              <w:t>No intervention</w:t>
            </w:r>
          </w:p>
        </w:tc>
        <w:tc>
          <w:tcPr>
            <w:tcW w:w="1148" w:type="dxa"/>
            <w:gridSpan w:val="3"/>
          </w:tcPr>
          <w:p w14:paraId="29CCA55B" w14:textId="77777777" w:rsidR="00641E66" w:rsidRPr="007C4B51" w:rsidRDefault="00641E66" w:rsidP="0073510C">
            <w:pPr>
              <w:rPr>
                <w:sz w:val="18"/>
                <w:szCs w:val="18"/>
              </w:rPr>
            </w:pPr>
            <w:r w:rsidRPr="007C4B51">
              <w:rPr>
                <w:sz w:val="18"/>
                <w:szCs w:val="18"/>
              </w:rPr>
              <w:t>0.766</w:t>
            </w:r>
          </w:p>
        </w:tc>
        <w:tc>
          <w:tcPr>
            <w:tcW w:w="1288" w:type="dxa"/>
            <w:gridSpan w:val="2"/>
          </w:tcPr>
          <w:p w14:paraId="2AF05600" w14:textId="77777777" w:rsidR="00641E66" w:rsidRPr="007C4B51" w:rsidRDefault="00641E66" w:rsidP="0073510C">
            <w:pPr>
              <w:rPr>
                <w:sz w:val="18"/>
                <w:szCs w:val="18"/>
              </w:rPr>
            </w:pPr>
            <w:r w:rsidRPr="007C4B51">
              <w:rPr>
                <w:sz w:val="18"/>
                <w:szCs w:val="18"/>
              </w:rPr>
              <w:t>4.60</w:t>
            </w:r>
          </w:p>
        </w:tc>
        <w:tc>
          <w:tcPr>
            <w:tcW w:w="1399" w:type="dxa"/>
          </w:tcPr>
          <w:p w14:paraId="6120027C" w14:textId="77777777" w:rsidR="00641E66" w:rsidRPr="007C4B51" w:rsidRDefault="00641E66" w:rsidP="0073510C">
            <w:pPr>
              <w:rPr>
                <w:sz w:val="18"/>
                <w:szCs w:val="18"/>
              </w:rPr>
            </w:pPr>
            <w:r w:rsidRPr="007C4B51">
              <w:rPr>
                <w:sz w:val="18"/>
                <w:szCs w:val="18"/>
              </w:rPr>
              <w:t>.</w:t>
            </w:r>
          </w:p>
        </w:tc>
        <w:tc>
          <w:tcPr>
            <w:tcW w:w="1559" w:type="dxa"/>
          </w:tcPr>
          <w:p w14:paraId="240C29A3" w14:textId="77777777" w:rsidR="00641E66" w:rsidRPr="007C4B51" w:rsidRDefault="00641E66" w:rsidP="0073510C">
            <w:pPr>
              <w:rPr>
                <w:sz w:val="18"/>
                <w:szCs w:val="18"/>
              </w:rPr>
            </w:pPr>
          </w:p>
        </w:tc>
      </w:tr>
      <w:tr w:rsidR="00641E66" w:rsidRPr="004668AE" w14:paraId="2A86AFD0" w14:textId="77777777" w:rsidTr="00523124">
        <w:tc>
          <w:tcPr>
            <w:tcW w:w="1418" w:type="dxa"/>
            <w:gridSpan w:val="2"/>
            <w:vMerge/>
          </w:tcPr>
          <w:p w14:paraId="5CAD6102" w14:textId="77777777" w:rsidR="00641E66" w:rsidRPr="002225D2" w:rsidRDefault="00641E66" w:rsidP="0073510C">
            <w:pPr>
              <w:rPr>
                <w:sz w:val="18"/>
                <w:szCs w:val="18"/>
                <w:highlight w:val="lightGray"/>
              </w:rPr>
            </w:pPr>
          </w:p>
        </w:tc>
        <w:tc>
          <w:tcPr>
            <w:tcW w:w="1410" w:type="dxa"/>
          </w:tcPr>
          <w:p w14:paraId="026F8211" w14:textId="77777777" w:rsidR="00641E66" w:rsidRPr="007C4B51" w:rsidRDefault="00641E66" w:rsidP="0073510C">
            <w:pPr>
              <w:rPr>
                <w:sz w:val="18"/>
                <w:szCs w:val="18"/>
              </w:rPr>
            </w:pPr>
            <w:r w:rsidRPr="007C4B51">
              <w:rPr>
                <w:sz w:val="18"/>
                <w:szCs w:val="18"/>
              </w:rPr>
              <w:t>(a)</w:t>
            </w:r>
          </w:p>
        </w:tc>
        <w:tc>
          <w:tcPr>
            <w:tcW w:w="1148" w:type="dxa"/>
            <w:gridSpan w:val="3"/>
          </w:tcPr>
          <w:p w14:paraId="0ADD7A2E" w14:textId="77777777" w:rsidR="00641E66" w:rsidRPr="007C4B51" w:rsidRDefault="00641E66" w:rsidP="0073510C">
            <w:pPr>
              <w:rPr>
                <w:sz w:val="18"/>
                <w:szCs w:val="18"/>
              </w:rPr>
            </w:pPr>
            <w:r w:rsidRPr="007C4B51">
              <w:rPr>
                <w:sz w:val="18"/>
                <w:szCs w:val="18"/>
              </w:rPr>
              <w:t>0.777</w:t>
            </w:r>
          </w:p>
        </w:tc>
        <w:tc>
          <w:tcPr>
            <w:tcW w:w="1288" w:type="dxa"/>
            <w:gridSpan w:val="2"/>
          </w:tcPr>
          <w:p w14:paraId="6DA4EC6F" w14:textId="77777777" w:rsidR="00641E66" w:rsidRPr="007C4B51" w:rsidRDefault="00641E66" w:rsidP="0073510C">
            <w:pPr>
              <w:rPr>
                <w:sz w:val="18"/>
                <w:szCs w:val="18"/>
              </w:rPr>
            </w:pPr>
            <w:r w:rsidRPr="007C4B51">
              <w:rPr>
                <w:sz w:val="18"/>
                <w:szCs w:val="18"/>
              </w:rPr>
              <w:t>4.48</w:t>
            </w:r>
          </w:p>
        </w:tc>
        <w:tc>
          <w:tcPr>
            <w:tcW w:w="1399" w:type="dxa"/>
          </w:tcPr>
          <w:p w14:paraId="6B0F5839" w14:textId="77777777" w:rsidR="00641E66" w:rsidRPr="007C4B51" w:rsidRDefault="00641E66" w:rsidP="0073510C">
            <w:pPr>
              <w:rPr>
                <w:sz w:val="18"/>
                <w:szCs w:val="18"/>
              </w:rPr>
            </w:pPr>
            <w:r w:rsidRPr="007C4B51">
              <w:rPr>
                <w:sz w:val="18"/>
                <w:szCs w:val="18"/>
              </w:rPr>
              <w:t>1804</w:t>
            </w:r>
          </w:p>
        </w:tc>
        <w:tc>
          <w:tcPr>
            <w:tcW w:w="1559" w:type="dxa"/>
          </w:tcPr>
          <w:p w14:paraId="46B861A4" w14:textId="77777777" w:rsidR="00641E66" w:rsidRPr="007C4B51" w:rsidRDefault="00641E66" w:rsidP="0073510C">
            <w:pPr>
              <w:rPr>
                <w:rFonts w:ascii="Calibri" w:hAnsi="Calibri"/>
                <w:sz w:val="18"/>
                <w:szCs w:val="18"/>
              </w:rPr>
            </w:pPr>
            <w:r w:rsidRPr="007C4B51">
              <w:rPr>
                <w:rFonts w:ascii="Calibri" w:hAnsi="Calibri"/>
                <w:sz w:val="18"/>
                <w:szCs w:val="18"/>
              </w:rPr>
              <w:t>$8</w:t>
            </w:r>
          </w:p>
        </w:tc>
      </w:tr>
      <w:tr w:rsidR="00641E66" w:rsidRPr="004668AE" w14:paraId="5A818F76" w14:textId="77777777" w:rsidTr="00523124">
        <w:tc>
          <w:tcPr>
            <w:tcW w:w="1418" w:type="dxa"/>
            <w:gridSpan w:val="2"/>
            <w:vMerge/>
          </w:tcPr>
          <w:p w14:paraId="0C13933C" w14:textId="77777777" w:rsidR="00641E66" w:rsidRPr="002225D2" w:rsidRDefault="00641E66" w:rsidP="0073510C">
            <w:pPr>
              <w:rPr>
                <w:sz w:val="18"/>
                <w:szCs w:val="18"/>
                <w:highlight w:val="lightGray"/>
              </w:rPr>
            </w:pPr>
          </w:p>
        </w:tc>
        <w:tc>
          <w:tcPr>
            <w:tcW w:w="1410" w:type="dxa"/>
          </w:tcPr>
          <w:p w14:paraId="66042203" w14:textId="77777777" w:rsidR="00641E66" w:rsidRPr="007C4B51" w:rsidRDefault="00641E66" w:rsidP="0073510C">
            <w:pPr>
              <w:rPr>
                <w:sz w:val="18"/>
                <w:szCs w:val="18"/>
              </w:rPr>
            </w:pPr>
            <w:r w:rsidRPr="007C4B51">
              <w:rPr>
                <w:sz w:val="18"/>
                <w:szCs w:val="18"/>
              </w:rPr>
              <w:t>(b)</w:t>
            </w:r>
          </w:p>
        </w:tc>
        <w:tc>
          <w:tcPr>
            <w:tcW w:w="1148" w:type="dxa"/>
            <w:gridSpan w:val="3"/>
          </w:tcPr>
          <w:p w14:paraId="4799B64A" w14:textId="77777777" w:rsidR="00641E66" w:rsidRPr="007C4B51" w:rsidRDefault="00641E66" w:rsidP="0073510C">
            <w:pPr>
              <w:rPr>
                <w:sz w:val="18"/>
                <w:szCs w:val="18"/>
              </w:rPr>
            </w:pPr>
            <w:r w:rsidRPr="007C4B51">
              <w:rPr>
                <w:sz w:val="18"/>
                <w:szCs w:val="18"/>
              </w:rPr>
              <w:t>0.81</w:t>
            </w:r>
          </w:p>
        </w:tc>
        <w:tc>
          <w:tcPr>
            <w:tcW w:w="1288" w:type="dxa"/>
            <w:gridSpan w:val="2"/>
          </w:tcPr>
          <w:p w14:paraId="6EF30F9E" w14:textId="77777777" w:rsidR="00641E66" w:rsidRPr="007C4B51" w:rsidRDefault="00641E66" w:rsidP="0073510C">
            <w:pPr>
              <w:rPr>
                <w:sz w:val="18"/>
                <w:szCs w:val="18"/>
              </w:rPr>
            </w:pPr>
            <w:r w:rsidRPr="007C4B51">
              <w:rPr>
                <w:sz w:val="18"/>
                <w:szCs w:val="18"/>
              </w:rPr>
              <w:t>4.13</w:t>
            </w:r>
          </w:p>
        </w:tc>
        <w:tc>
          <w:tcPr>
            <w:tcW w:w="1399" w:type="dxa"/>
          </w:tcPr>
          <w:p w14:paraId="7DAB1F53" w14:textId="77777777" w:rsidR="00641E66" w:rsidRPr="007C4B51" w:rsidRDefault="00641E66" w:rsidP="0073510C">
            <w:pPr>
              <w:rPr>
                <w:sz w:val="18"/>
                <w:szCs w:val="18"/>
              </w:rPr>
            </w:pPr>
            <w:r w:rsidRPr="007C4B51">
              <w:rPr>
                <w:sz w:val="18"/>
                <w:szCs w:val="18"/>
              </w:rPr>
              <w:t>6618</w:t>
            </w:r>
          </w:p>
        </w:tc>
        <w:tc>
          <w:tcPr>
            <w:tcW w:w="1559" w:type="dxa"/>
          </w:tcPr>
          <w:p w14:paraId="28DDA7F8" w14:textId="77777777" w:rsidR="00641E66" w:rsidRPr="007C4B51" w:rsidRDefault="00641E66" w:rsidP="0073510C">
            <w:pPr>
              <w:rPr>
                <w:rFonts w:ascii="Calibri" w:hAnsi="Calibri"/>
                <w:sz w:val="18"/>
                <w:szCs w:val="18"/>
              </w:rPr>
            </w:pPr>
            <w:r w:rsidRPr="007C4B51">
              <w:rPr>
                <w:rFonts w:ascii="Calibri" w:hAnsi="Calibri"/>
                <w:sz w:val="18"/>
                <w:szCs w:val="18"/>
              </w:rPr>
              <w:t>$18</w:t>
            </w:r>
          </w:p>
        </w:tc>
      </w:tr>
      <w:tr w:rsidR="00641E66" w:rsidRPr="004668AE" w14:paraId="6457944E" w14:textId="77777777" w:rsidTr="00523124">
        <w:tc>
          <w:tcPr>
            <w:tcW w:w="1418" w:type="dxa"/>
            <w:gridSpan w:val="2"/>
            <w:vMerge/>
          </w:tcPr>
          <w:p w14:paraId="37698ED0" w14:textId="77777777" w:rsidR="00641E66" w:rsidRPr="002225D2" w:rsidRDefault="00641E66" w:rsidP="0073510C">
            <w:pPr>
              <w:rPr>
                <w:sz w:val="18"/>
                <w:szCs w:val="18"/>
                <w:highlight w:val="lightGray"/>
              </w:rPr>
            </w:pPr>
          </w:p>
        </w:tc>
        <w:tc>
          <w:tcPr>
            <w:tcW w:w="1410" w:type="dxa"/>
          </w:tcPr>
          <w:p w14:paraId="67989F72" w14:textId="77777777" w:rsidR="00641E66" w:rsidRPr="007C4B51" w:rsidRDefault="00641E66" w:rsidP="0073510C">
            <w:pPr>
              <w:rPr>
                <w:sz w:val="18"/>
                <w:szCs w:val="18"/>
              </w:rPr>
            </w:pPr>
            <w:r w:rsidRPr="007C4B51">
              <w:rPr>
                <w:sz w:val="18"/>
                <w:szCs w:val="18"/>
              </w:rPr>
              <w:t>(c)</w:t>
            </w:r>
          </w:p>
        </w:tc>
        <w:tc>
          <w:tcPr>
            <w:tcW w:w="1148" w:type="dxa"/>
            <w:gridSpan w:val="3"/>
          </w:tcPr>
          <w:p w14:paraId="6529C91B" w14:textId="77777777" w:rsidR="00641E66" w:rsidRPr="007C4B51" w:rsidRDefault="00641E66" w:rsidP="0073510C">
            <w:pPr>
              <w:rPr>
                <w:sz w:val="18"/>
                <w:szCs w:val="18"/>
              </w:rPr>
            </w:pPr>
            <w:r w:rsidRPr="007C4B51">
              <w:rPr>
                <w:sz w:val="18"/>
                <w:szCs w:val="18"/>
              </w:rPr>
              <w:t>0.795</w:t>
            </w:r>
          </w:p>
        </w:tc>
        <w:tc>
          <w:tcPr>
            <w:tcW w:w="1288" w:type="dxa"/>
            <w:gridSpan w:val="2"/>
          </w:tcPr>
          <w:p w14:paraId="0F14F1D8" w14:textId="77777777" w:rsidR="00641E66" w:rsidRPr="007C4B51" w:rsidRDefault="00641E66" w:rsidP="0073510C">
            <w:pPr>
              <w:rPr>
                <w:sz w:val="18"/>
                <w:szCs w:val="18"/>
              </w:rPr>
            </w:pPr>
            <w:r w:rsidRPr="007C4B51">
              <w:rPr>
                <w:sz w:val="18"/>
                <w:szCs w:val="18"/>
              </w:rPr>
              <w:t>4.25</w:t>
            </w:r>
          </w:p>
        </w:tc>
        <w:tc>
          <w:tcPr>
            <w:tcW w:w="1399" w:type="dxa"/>
          </w:tcPr>
          <w:p w14:paraId="318EA790" w14:textId="77777777" w:rsidR="00641E66" w:rsidRPr="007C4B51" w:rsidRDefault="00641E66" w:rsidP="0073510C">
            <w:pPr>
              <w:rPr>
                <w:sz w:val="18"/>
                <w:szCs w:val="18"/>
              </w:rPr>
            </w:pPr>
            <w:r w:rsidRPr="007C4B51">
              <w:rPr>
                <w:sz w:val="18"/>
                <w:szCs w:val="18"/>
              </w:rPr>
              <w:t>4744</w:t>
            </w:r>
          </w:p>
        </w:tc>
        <w:tc>
          <w:tcPr>
            <w:tcW w:w="1559" w:type="dxa"/>
          </w:tcPr>
          <w:p w14:paraId="48BF0CB7" w14:textId="77777777" w:rsidR="00641E66" w:rsidRPr="007C4B51" w:rsidRDefault="00641E66" w:rsidP="0073510C">
            <w:pPr>
              <w:rPr>
                <w:rFonts w:ascii="Calibri" w:hAnsi="Calibri"/>
                <w:sz w:val="18"/>
                <w:szCs w:val="18"/>
              </w:rPr>
            </w:pPr>
            <w:r w:rsidRPr="007C4B51">
              <w:rPr>
                <w:rFonts w:ascii="Calibri" w:hAnsi="Calibri"/>
                <w:sz w:val="18"/>
                <w:szCs w:val="18"/>
              </w:rPr>
              <w:t>$7</w:t>
            </w:r>
          </w:p>
        </w:tc>
      </w:tr>
      <w:tr w:rsidR="00641E66" w:rsidRPr="004668AE" w14:paraId="0857359C" w14:textId="77777777" w:rsidTr="00523124">
        <w:tc>
          <w:tcPr>
            <w:tcW w:w="1418" w:type="dxa"/>
            <w:gridSpan w:val="2"/>
            <w:vMerge/>
          </w:tcPr>
          <w:p w14:paraId="0EE16DA6" w14:textId="77777777" w:rsidR="00641E66" w:rsidRPr="002225D2" w:rsidRDefault="00641E66" w:rsidP="0073510C">
            <w:pPr>
              <w:rPr>
                <w:sz w:val="18"/>
                <w:szCs w:val="18"/>
                <w:highlight w:val="lightGray"/>
              </w:rPr>
            </w:pPr>
          </w:p>
        </w:tc>
        <w:tc>
          <w:tcPr>
            <w:tcW w:w="1410" w:type="dxa"/>
          </w:tcPr>
          <w:p w14:paraId="79382FB3" w14:textId="77777777" w:rsidR="00641E66" w:rsidRPr="007C4B51" w:rsidRDefault="00641E66" w:rsidP="0073510C">
            <w:pPr>
              <w:rPr>
                <w:sz w:val="18"/>
                <w:szCs w:val="18"/>
              </w:rPr>
            </w:pPr>
            <w:r w:rsidRPr="007C4B51">
              <w:rPr>
                <w:sz w:val="18"/>
                <w:szCs w:val="18"/>
              </w:rPr>
              <w:t>(d)</w:t>
            </w:r>
          </w:p>
        </w:tc>
        <w:tc>
          <w:tcPr>
            <w:tcW w:w="1148" w:type="dxa"/>
            <w:gridSpan w:val="3"/>
          </w:tcPr>
          <w:p w14:paraId="7B8AE148" w14:textId="77777777" w:rsidR="00641E66" w:rsidRPr="007C4B51" w:rsidRDefault="00641E66" w:rsidP="0073510C">
            <w:pPr>
              <w:rPr>
                <w:sz w:val="18"/>
                <w:szCs w:val="18"/>
              </w:rPr>
            </w:pPr>
            <w:r w:rsidRPr="007C4B51">
              <w:rPr>
                <w:sz w:val="18"/>
                <w:szCs w:val="18"/>
              </w:rPr>
              <w:t>0.791</w:t>
            </w:r>
          </w:p>
        </w:tc>
        <w:tc>
          <w:tcPr>
            <w:tcW w:w="1288" w:type="dxa"/>
            <w:gridSpan w:val="2"/>
          </w:tcPr>
          <w:p w14:paraId="19F17FB8" w14:textId="77777777" w:rsidR="00641E66" w:rsidRPr="007C4B51" w:rsidRDefault="00641E66" w:rsidP="0073510C">
            <w:pPr>
              <w:rPr>
                <w:sz w:val="18"/>
                <w:szCs w:val="18"/>
              </w:rPr>
            </w:pPr>
            <w:r w:rsidRPr="007C4B51">
              <w:rPr>
                <w:sz w:val="18"/>
                <w:szCs w:val="18"/>
              </w:rPr>
              <w:t>4.38</w:t>
            </w:r>
          </w:p>
        </w:tc>
        <w:tc>
          <w:tcPr>
            <w:tcW w:w="1399" w:type="dxa"/>
          </w:tcPr>
          <w:p w14:paraId="60BD735C" w14:textId="77777777" w:rsidR="00641E66" w:rsidRPr="007C4B51" w:rsidRDefault="00641E66" w:rsidP="0073510C">
            <w:pPr>
              <w:rPr>
                <w:sz w:val="18"/>
                <w:szCs w:val="18"/>
              </w:rPr>
            </w:pPr>
            <w:r w:rsidRPr="007C4B51">
              <w:rPr>
                <w:sz w:val="18"/>
                <w:szCs w:val="18"/>
              </w:rPr>
              <w:t>2818</w:t>
            </w:r>
          </w:p>
        </w:tc>
        <w:tc>
          <w:tcPr>
            <w:tcW w:w="1559" w:type="dxa"/>
          </w:tcPr>
          <w:p w14:paraId="5EFF6F21" w14:textId="77777777" w:rsidR="00641E66" w:rsidRPr="007C4B51" w:rsidRDefault="00641E66" w:rsidP="0073510C">
            <w:pPr>
              <w:rPr>
                <w:rFonts w:ascii="Calibri" w:hAnsi="Calibri"/>
                <w:sz w:val="18"/>
                <w:szCs w:val="18"/>
              </w:rPr>
            </w:pPr>
            <w:r w:rsidRPr="007C4B51">
              <w:rPr>
                <w:rFonts w:ascii="Calibri" w:hAnsi="Calibri"/>
                <w:sz w:val="18"/>
                <w:szCs w:val="18"/>
              </w:rPr>
              <w:t>$13</w:t>
            </w:r>
          </w:p>
        </w:tc>
      </w:tr>
      <w:tr w:rsidR="00641E66" w:rsidRPr="004668AE" w14:paraId="6C3687CE" w14:textId="77777777" w:rsidTr="00523124">
        <w:tc>
          <w:tcPr>
            <w:tcW w:w="1418" w:type="dxa"/>
            <w:gridSpan w:val="2"/>
            <w:vMerge/>
          </w:tcPr>
          <w:p w14:paraId="14B05560" w14:textId="77777777" w:rsidR="00641E66" w:rsidRPr="002225D2" w:rsidRDefault="00641E66" w:rsidP="0073510C">
            <w:pPr>
              <w:rPr>
                <w:sz w:val="18"/>
                <w:szCs w:val="18"/>
                <w:highlight w:val="lightGray"/>
              </w:rPr>
            </w:pPr>
          </w:p>
        </w:tc>
        <w:tc>
          <w:tcPr>
            <w:tcW w:w="1410" w:type="dxa"/>
          </w:tcPr>
          <w:p w14:paraId="4BC80417" w14:textId="77777777" w:rsidR="00641E66" w:rsidRPr="007C4B51" w:rsidRDefault="00641E66" w:rsidP="0073510C">
            <w:pPr>
              <w:rPr>
                <w:sz w:val="18"/>
                <w:szCs w:val="18"/>
              </w:rPr>
            </w:pPr>
            <w:r w:rsidRPr="007C4B51">
              <w:rPr>
                <w:sz w:val="18"/>
                <w:szCs w:val="18"/>
              </w:rPr>
              <w:t>(e)</w:t>
            </w:r>
          </w:p>
        </w:tc>
        <w:tc>
          <w:tcPr>
            <w:tcW w:w="1148" w:type="dxa"/>
            <w:gridSpan w:val="3"/>
          </w:tcPr>
          <w:p w14:paraId="5351B362" w14:textId="77777777" w:rsidR="00641E66" w:rsidRPr="007C4B51" w:rsidRDefault="00641E66" w:rsidP="0073510C">
            <w:pPr>
              <w:rPr>
                <w:sz w:val="18"/>
                <w:szCs w:val="18"/>
              </w:rPr>
            </w:pPr>
            <w:r w:rsidRPr="007C4B51">
              <w:rPr>
                <w:sz w:val="18"/>
                <w:szCs w:val="18"/>
              </w:rPr>
              <w:t>0.825</w:t>
            </w:r>
          </w:p>
        </w:tc>
        <w:tc>
          <w:tcPr>
            <w:tcW w:w="1288" w:type="dxa"/>
            <w:gridSpan w:val="2"/>
          </w:tcPr>
          <w:p w14:paraId="005B85F4" w14:textId="77777777" w:rsidR="00641E66" w:rsidRPr="007C4B51" w:rsidRDefault="00641E66" w:rsidP="0073510C">
            <w:pPr>
              <w:rPr>
                <w:sz w:val="18"/>
                <w:szCs w:val="18"/>
              </w:rPr>
            </w:pPr>
            <w:r w:rsidRPr="007C4B51">
              <w:rPr>
                <w:sz w:val="18"/>
                <w:szCs w:val="18"/>
              </w:rPr>
              <w:t>4.02</w:t>
            </w:r>
          </w:p>
        </w:tc>
        <w:tc>
          <w:tcPr>
            <w:tcW w:w="1399" w:type="dxa"/>
          </w:tcPr>
          <w:p w14:paraId="522EA2D4" w14:textId="77777777" w:rsidR="00641E66" w:rsidRPr="007C4B51" w:rsidRDefault="00641E66" w:rsidP="0073510C">
            <w:pPr>
              <w:rPr>
                <w:sz w:val="18"/>
                <w:szCs w:val="18"/>
              </w:rPr>
            </w:pPr>
            <w:r w:rsidRPr="007C4B51">
              <w:rPr>
                <w:sz w:val="18"/>
                <w:szCs w:val="18"/>
              </w:rPr>
              <w:t>7683</w:t>
            </w:r>
          </w:p>
        </w:tc>
        <w:tc>
          <w:tcPr>
            <w:tcW w:w="1559" w:type="dxa"/>
          </w:tcPr>
          <w:p w14:paraId="622979E7" w14:textId="77777777" w:rsidR="00641E66" w:rsidRPr="007C4B51" w:rsidRDefault="00641E66" w:rsidP="0073510C">
            <w:pPr>
              <w:rPr>
                <w:rFonts w:ascii="Calibri" w:hAnsi="Calibri"/>
                <w:sz w:val="18"/>
                <w:szCs w:val="18"/>
              </w:rPr>
            </w:pPr>
            <w:r w:rsidRPr="007C4B51">
              <w:rPr>
                <w:rFonts w:ascii="Calibri" w:hAnsi="Calibri"/>
                <w:sz w:val="18"/>
                <w:szCs w:val="18"/>
              </w:rPr>
              <w:t>$21</w:t>
            </w:r>
          </w:p>
        </w:tc>
      </w:tr>
      <w:tr w:rsidR="00641E66" w:rsidRPr="004668AE" w14:paraId="0512C542" w14:textId="77777777" w:rsidTr="00523124">
        <w:tc>
          <w:tcPr>
            <w:tcW w:w="1418" w:type="dxa"/>
            <w:gridSpan w:val="2"/>
            <w:vMerge w:val="restart"/>
          </w:tcPr>
          <w:p w14:paraId="0304D177" w14:textId="77777777" w:rsidR="00641E66" w:rsidRPr="00D600BE" w:rsidRDefault="00641E66" w:rsidP="0073510C">
            <w:pPr>
              <w:rPr>
                <w:sz w:val="18"/>
                <w:szCs w:val="18"/>
              </w:rPr>
            </w:pPr>
            <w:r w:rsidRPr="00D600BE">
              <w:rPr>
                <w:sz w:val="18"/>
                <w:szCs w:val="18"/>
              </w:rPr>
              <w:t xml:space="preserve">No effect of viral load &gt; 1000 on adherence  </w:t>
            </w:r>
          </w:p>
          <w:p w14:paraId="6AE47DCC" w14:textId="77777777" w:rsidR="00641E66" w:rsidRPr="002225D2" w:rsidRDefault="00641E66" w:rsidP="0073510C">
            <w:pPr>
              <w:rPr>
                <w:sz w:val="18"/>
                <w:szCs w:val="18"/>
                <w:highlight w:val="lightGray"/>
              </w:rPr>
            </w:pPr>
          </w:p>
        </w:tc>
        <w:tc>
          <w:tcPr>
            <w:tcW w:w="1410" w:type="dxa"/>
          </w:tcPr>
          <w:p w14:paraId="5ABAE476" w14:textId="77777777" w:rsidR="00641E66" w:rsidRPr="007C4B51" w:rsidRDefault="00641E66" w:rsidP="0073510C">
            <w:pPr>
              <w:rPr>
                <w:sz w:val="18"/>
                <w:szCs w:val="18"/>
              </w:rPr>
            </w:pPr>
            <w:r w:rsidRPr="007C4B51">
              <w:rPr>
                <w:sz w:val="18"/>
                <w:szCs w:val="18"/>
              </w:rPr>
              <w:t>No intervention</w:t>
            </w:r>
          </w:p>
        </w:tc>
        <w:tc>
          <w:tcPr>
            <w:tcW w:w="1148" w:type="dxa"/>
            <w:gridSpan w:val="3"/>
          </w:tcPr>
          <w:p w14:paraId="4EDB5C42" w14:textId="77777777" w:rsidR="00641E66" w:rsidRPr="007C4B51" w:rsidRDefault="00641E66" w:rsidP="0073510C">
            <w:pPr>
              <w:rPr>
                <w:sz w:val="18"/>
                <w:szCs w:val="18"/>
              </w:rPr>
            </w:pPr>
            <w:r w:rsidRPr="007C4B51">
              <w:rPr>
                <w:sz w:val="18"/>
                <w:szCs w:val="18"/>
              </w:rPr>
              <w:t>0.759</w:t>
            </w:r>
          </w:p>
        </w:tc>
        <w:tc>
          <w:tcPr>
            <w:tcW w:w="1288" w:type="dxa"/>
            <w:gridSpan w:val="2"/>
          </w:tcPr>
          <w:p w14:paraId="506F1E33" w14:textId="77777777" w:rsidR="00641E66" w:rsidRPr="007C4B51" w:rsidRDefault="00641E66" w:rsidP="0073510C">
            <w:pPr>
              <w:rPr>
                <w:sz w:val="18"/>
                <w:szCs w:val="18"/>
              </w:rPr>
            </w:pPr>
            <w:r w:rsidRPr="007C4B51">
              <w:rPr>
                <w:sz w:val="18"/>
                <w:szCs w:val="18"/>
              </w:rPr>
              <w:t>4.69</w:t>
            </w:r>
          </w:p>
        </w:tc>
        <w:tc>
          <w:tcPr>
            <w:tcW w:w="1399" w:type="dxa"/>
          </w:tcPr>
          <w:p w14:paraId="51E67CA4" w14:textId="77777777" w:rsidR="00641E66" w:rsidRPr="007C4B51" w:rsidRDefault="00641E66" w:rsidP="0073510C">
            <w:pPr>
              <w:rPr>
                <w:sz w:val="18"/>
                <w:szCs w:val="18"/>
              </w:rPr>
            </w:pPr>
            <w:r w:rsidRPr="007C4B51">
              <w:rPr>
                <w:sz w:val="18"/>
                <w:szCs w:val="18"/>
              </w:rPr>
              <w:t>.</w:t>
            </w:r>
          </w:p>
        </w:tc>
        <w:tc>
          <w:tcPr>
            <w:tcW w:w="1559" w:type="dxa"/>
          </w:tcPr>
          <w:p w14:paraId="124891EC" w14:textId="77777777" w:rsidR="00641E66" w:rsidRPr="007C4B51" w:rsidRDefault="00641E66" w:rsidP="0073510C">
            <w:pPr>
              <w:rPr>
                <w:sz w:val="18"/>
                <w:szCs w:val="18"/>
              </w:rPr>
            </w:pPr>
          </w:p>
        </w:tc>
      </w:tr>
      <w:tr w:rsidR="00641E66" w:rsidRPr="004668AE" w14:paraId="5DEDF09B" w14:textId="77777777" w:rsidTr="00523124">
        <w:tc>
          <w:tcPr>
            <w:tcW w:w="1418" w:type="dxa"/>
            <w:gridSpan w:val="2"/>
            <w:vMerge/>
          </w:tcPr>
          <w:p w14:paraId="3C262322" w14:textId="77777777" w:rsidR="00641E66" w:rsidRPr="004668AE" w:rsidRDefault="00641E66" w:rsidP="0073510C">
            <w:pPr>
              <w:rPr>
                <w:sz w:val="18"/>
                <w:szCs w:val="18"/>
              </w:rPr>
            </w:pPr>
          </w:p>
        </w:tc>
        <w:tc>
          <w:tcPr>
            <w:tcW w:w="1410" w:type="dxa"/>
          </w:tcPr>
          <w:p w14:paraId="1E1EA4FF" w14:textId="77777777" w:rsidR="00641E66" w:rsidRPr="007C4B51" w:rsidRDefault="00641E66" w:rsidP="0073510C">
            <w:pPr>
              <w:rPr>
                <w:sz w:val="18"/>
                <w:szCs w:val="18"/>
              </w:rPr>
            </w:pPr>
            <w:r w:rsidRPr="007C4B51">
              <w:rPr>
                <w:sz w:val="18"/>
                <w:szCs w:val="18"/>
              </w:rPr>
              <w:t>(a)</w:t>
            </w:r>
          </w:p>
        </w:tc>
        <w:tc>
          <w:tcPr>
            <w:tcW w:w="1148" w:type="dxa"/>
            <w:gridSpan w:val="3"/>
          </w:tcPr>
          <w:p w14:paraId="18AC95B8" w14:textId="77777777" w:rsidR="00641E66" w:rsidRPr="007C4B51" w:rsidRDefault="00641E66" w:rsidP="0073510C">
            <w:pPr>
              <w:rPr>
                <w:sz w:val="18"/>
                <w:szCs w:val="18"/>
              </w:rPr>
            </w:pPr>
            <w:r w:rsidRPr="007C4B51">
              <w:rPr>
                <w:sz w:val="18"/>
                <w:szCs w:val="18"/>
              </w:rPr>
              <w:t>0.772</w:t>
            </w:r>
          </w:p>
        </w:tc>
        <w:tc>
          <w:tcPr>
            <w:tcW w:w="1288" w:type="dxa"/>
            <w:gridSpan w:val="2"/>
          </w:tcPr>
          <w:p w14:paraId="2FF86778" w14:textId="77777777" w:rsidR="00641E66" w:rsidRPr="007C4B51" w:rsidRDefault="00641E66" w:rsidP="0073510C">
            <w:pPr>
              <w:rPr>
                <w:sz w:val="18"/>
                <w:szCs w:val="18"/>
              </w:rPr>
            </w:pPr>
            <w:r w:rsidRPr="007C4B51">
              <w:rPr>
                <w:sz w:val="18"/>
                <w:szCs w:val="18"/>
              </w:rPr>
              <w:t>4.53</w:t>
            </w:r>
          </w:p>
        </w:tc>
        <w:tc>
          <w:tcPr>
            <w:tcW w:w="1399" w:type="dxa"/>
          </w:tcPr>
          <w:p w14:paraId="67A64633" w14:textId="77777777" w:rsidR="00641E66" w:rsidRPr="007C4B51" w:rsidRDefault="00641E66" w:rsidP="0073510C">
            <w:pPr>
              <w:rPr>
                <w:sz w:val="18"/>
                <w:szCs w:val="18"/>
              </w:rPr>
            </w:pPr>
            <w:r w:rsidRPr="007C4B51">
              <w:rPr>
                <w:sz w:val="18"/>
                <w:szCs w:val="18"/>
              </w:rPr>
              <w:t>2422</w:t>
            </w:r>
          </w:p>
        </w:tc>
        <w:tc>
          <w:tcPr>
            <w:tcW w:w="1559" w:type="dxa"/>
          </w:tcPr>
          <w:p w14:paraId="70E00A09" w14:textId="77777777" w:rsidR="00641E66" w:rsidRPr="007C4B51" w:rsidRDefault="00641E66" w:rsidP="0073510C">
            <w:pPr>
              <w:rPr>
                <w:rFonts w:ascii="Calibri" w:hAnsi="Calibri"/>
                <w:sz w:val="18"/>
                <w:szCs w:val="18"/>
              </w:rPr>
            </w:pPr>
            <w:r w:rsidRPr="007C4B51">
              <w:rPr>
                <w:rFonts w:ascii="Calibri" w:hAnsi="Calibri"/>
                <w:sz w:val="18"/>
                <w:szCs w:val="18"/>
              </w:rPr>
              <w:t>$13</w:t>
            </w:r>
          </w:p>
        </w:tc>
      </w:tr>
      <w:tr w:rsidR="00641E66" w:rsidRPr="004668AE" w14:paraId="0ED8B3CB" w14:textId="77777777" w:rsidTr="00523124">
        <w:tc>
          <w:tcPr>
            <w:tcW w:w="1418" w:type="dxa"/>
            <w:gridSpan w:val="2"/>
            <w:vMerge/>
          </w:tcPr>
          <w:p w14:paraId="0C345589" w14:textId="77777777" w:rsidR="00641E66" w:rsidRPr="004668AE" w:rsidRDefault="00641E66" w:rsidP="0073510C">
            <w:pPr>
              <w:rPr>
                <w:sz w:val="18"/>
                <w:szCs w:val="18"/>
              </w:rPr>
            </w:pPr>
          </w:p>
        </w:tc>
        <w:tc>
          <w:tcPr>
            <w:tcW w:w="1410" w:type="dxa"/>
          </w:tcPr>
          <w:p w14:paraId="4EC21979" w14:textId="77777777" w:rsidR="00641E66" w:rsidRPr="007C4B51" w:rsidRDefault="00641E66" w:rsidP="0073510C">
            <w:pPr>
              <w:rPr>
                <w:sz w:val="18"/>
                <w:szCs w:val="18"/>
              </w:rPr>
            </w:pPr>
            <w:r w:rsidRPr="007C4B51">
              <w:rPr>
                <w:sz w:val="18"/>
                <w:szCs w:val="18"/>
              </w:rPr>
              <w:t>(b)</w:t>
            </w:r>
          </w:p>
        </w:tc>
        <w:tc>
          <w:tcPr>
            <w:tcW w:w="1148" w:type="dxa"/>
            <w:gridSpan w:val="3"/>
          </w:tcPr>
          <w:p w14:paraId="07581359" w14:textId="77777777" w:rsidR="00641E66" w:rsidRPr="007C4B51" w:rsidRDefault="00641E66" w:rsidP="0073510C">
            <w:pPr>
              <w:rPr>
                <w:sz w:val="18"/>
                <w:szCs w:val="18"/>
              </w:rPr>
            </w:pPr>
            <w:r w:rsidRPr="007C4B51">
              <w:rPr>
                <w:sz w:val="18"/>
                <w:szCs w:val="18"/>
              </w:rPr>
              <w:t>0.807</w:t>
            </w:r>
          </w:p>
        </w:tc>
        <w:tc>
          <w:tcPr>
            <w:tcW w:w="1288" w:type="dxa"/>
            <w:gridSpan w:val="2"/>
          </w:tcPr>
          <w:p w14:paraId="58EAEF62" w14:textId="77777777" w:rsidR="00641E66" w:rsidRPr="007C4B51" w:rsidRDefault="00641E66" w:rsidP="0073510C">
            <w:pPr>
              <w:rPr>
                <w:sz w:val="18"/>
                <w:szCs w:val="18"/>
              </w:rPr>
            </w:pPr>
            <w:r w:rsidRPr="007C4B51">
              <w:rPr>
                <w:sz w:val="18"/>
                <w:szCs w:val="18"/>
              </w:rPr>
              <w:t>4.16</w:t>
            </w:r>
          </w:p>
        </w:tc>
        <w:tc>
          <w:tcPr>
            <w:tcW w:w="1399" w:type="dxa"/>
          </w:tcPr>
          <w:p w14:paraId="47EE6954" w14:textId="77777777" w:rsidR="00641E66" w:rsidRPr="007C4B51" w:rsidRDefault="00641E66" w:rsidP="0073510C">
            <w:pPr>
              <w:rPr>
                <w:sz w:val="18"/>
                <w:szCs w:val="18"/>
              </w:rPr>
            </w:pPr>
            <w:r w:rsidRPr="007C4B51">
              <w:rPr>
                <w:sz w:val="18"/>
                <w:szCs w:val="18"/>
              </w:rPr>
              <w:t>7078</w:t>
            </w:r>
          </w:p>
        </w:tc>
        <w:tc>
          <w:tcPr>
            <w:tcW w:w="1559" w:type="dxa"/>
          </w:tcPr>
          <w:p w14:paraId="204B967B" w14:textId="77777777" w:rsidR="00641E66" w:rsidRPr="007C4B51" w:rsidRDefault="00641E66" w:rsidP="0073510C">
            <w:pPr>
              <w:rPr>
                <w:rFonts w:ascii="Calibri" w:hAnsi="Calibri"/>
                <w:sz w:val="18"/>
                <w:szCs w:val="18"/>
              </w:rPr>
            </w:pPr>
            <w:r w:rsidRPr="007C4B51">
              <w:rPr>
                <w:rFonts w:ascii="Calibri" w:hAnsi="Calibri"/>
                <w:sz w:val="18"/>
                <w:szCs w:val="18"/>
              </w:rPr>
              <w:t>$18</w:t>
            </w:r>
          </w:p>
        </w:tc>
      </w:tr>
      <w:tr w:rsidR="00641E66" w:rsidRPr="004668AE" w14:paraId="62ACF19F" w14:textId="77777777" w:rsidTr="00523124">
        <w:tc>
          <w:tcPr>
            <w:tcW w:w="1418" w:type="dxa"/>
            <w:gridSpan w:val="2"/>
            <w:vMerge/>
          </w:tcPr>
          <w:p w14:paraId="2A7634AF" w14:textId="77777777" w:rsidR="00641E66" w:rsidRPr="004668AE" w:rsidRDefault="00641E66" w:rsidP="0073510C">
            <w:pPr>
              <w:rPr>
                <w:sz w:val="18"/>
                <w:szCs w:val="18"/>
              </w:rPr>
            </w:pPr>
          </w:p>
        </w:tc>
        <w:tc>
          <w:tcPr>
            <w:tcW w:w="1410" w:type="dxa"/>
          </w:tcPr>
          <w:p w14:paraId="13CFF16C" w14:textId="77777777" w:rsidR="00641E66" w:rsidRPr="007C4B51" w:rsidRDefault="00641E66" w:rsidP="0073510C">
            <w:pPr>
              <w:rPr>
                <w:sz w:val="18"/>
                <w:szCs w:val="18"/>
              </w:rPr>
            </w:pPr>
            <w:r w:rsidRPr="007C4B51">
              <w:rPr>
                <w:sz w:val="18"/>
                <w:szCs w:val="18"/>
              </w:rPr>
              <w:t>(c)</w:t>
            </w:r>
          </w:p>
        </w:tc>
        <w:tc>
          <w:tcPr>
            <w:tcW w:w="1148" w:type="dxa"/>
            <w:gridSpan w:val="3"/>
          </w:tcPr>
          <w:p w14:paraId="2B6D7987" w14:textId="77777777" w:rsidR="00641E66" w:rsidRPr="007C4B51" w:rsidRDefault="00641E66" w:rsidP="0073510C">
            <w:pPr>
              <w:rPr>
                <w:sz w:val="18"/>
                <w:szCs w:val="18"/>
              </w:rPr>
            </w:pPr>
            <w:r w:rsidRPr="007C4B51">
              <w:rPr>
                <w:sz w:val="18"/>
                <w:szCs w:val="18"/>
              </w:rPr>
              <w:t>0.79</w:t>
            </w:r>
          </w:p>
        </w:tc>
        <w:tc>
          <w:tcPr>
            <w:tcW w:w="1288" w:type="dxa"/>
            <w:gridSpan w:val="2"/>
          </w:tcPr>
          <w:p w14:paraId="21DBF9D9" w14:textId="77777777" w:rsidR="00641E66" w:rsidRPr="007C4B51" w:rsidRDefault="00641E66" w:rsidP="0073510C">
            <w:pPr>
              <w:rPr>
                <w:sz w:val="18"/>
                <w:szCs w:val="18"/>
              </w:rPr>
            </w:pPr>
            <w:r w:rsidRPr="007C4B51">
              <w:rPr>
                <w:sz w:val="18"/>
                <w:szCs w:val="18"/>
              </w:rPr>
              <w:t>4.33</w:t>
            </w:r>
          </w:p>
        </w:tc>
        <w:tc>
          <w:tcPr>
            <w:tcW w:w="1399" w:type="dxa"/>
          </w:tcPr>
          <w:p w14:paraId="0F0CD074" w14:textId="77777777" w:rsidR="00641E66" w:rsidRPr="007C4B51" w:rsidRDefault="00641E66" w:rsidP="0073510C">
            <w:pPr>
              <w:rPr>
                <w:sz w:val="18"/>
                <w:szCs w:val="18"/>
              </w:rPr>
            </w:pPr>
            <w:r w:rsidRPr="007C4B51">
              <w:rPr>
                <w:sz w:val="18"/>
                <w:szCs w:val="18"/>
              </w:rPr>
              <w:t>4806</w:t>
            </w:r>
          </w:p>
        </w:tc>
        <w:tc>
          <w:tcPr>
            <w:tcW w:w="1559" w:type="dxa"/>
          </w:tcPr>
          <w:p w14:paraId="79A5A4B7" w14:textId="77777777" w:rsidR="00641E66" w:rsidRPr="007C4B51" w:rsidRDefault="00641E66" w:rsidP="0073510C">
            <w:pPr>
              <w:rPr>
                <w:rFonts w:ascii="Calibri" w:hAnsi="Calibri"/>
                <w:sz w:val="18"/>
                <w:szCs w:val="18"/>
              </w:rPr>
            </w:pPr>
            <w:r w:rsidRPr="007C4B51">
              <w:rPr>
                <w:rFonts w:ascii="Calibri" w:hAnsi="Calibri"/>
                <w:sz w:val="18"/>
                <w:szCs w:val="18"/>
              </w:rPr>
              <w:t>$9</w:t>
            </w:r>
          </w:p>
        </w:tc>
      </w:tr>
      <w:tr w:rsidR="00641E66" w:rsidRPr="004668AE" w14:paraId="3AB4D766" w14:textId="77777777" w:rsidTr="00523124">
        <w:tc>
          <w:tcPr>
            <w:tcW w:w="1418" w:type="dxa"/>
            <w:gridSpan w:val="2"/>
            <w:vMerge/>
          </w:tcPr>
          <w:p w14:paraId="1FBE4565" w14:textId="77777777" w:rsidR="00641E66" w:rsidRPr="004668AE" w:rsidRDefault="00641E66" w:rsidP="0073510C">
            <w:pPr>
              <w:rPr>
                <w:sz w:val="18"/>
                <w:szCs w:val="18"/>
              </w:rPr>
            </w:pPr>
          </w:p>
        </w:tc>
        <w:tc>
          <w:tcPr>
            <w:tcW w:w="1410" w:type="dxa"/>
          </w:tcPr>
          <w:p w14:paraId="6178E4FE" w14:textId="77777777" w:rsidR="00641E66" w:rsidRPr="007C4B51" w:rsidRDefault="00641E66" w:rsidP="0073510C">
            <w:pPr>
              <w:rPr>
                <w:sz w:val="18"/>
                <w:szCs w:val="18"/>
              </w:rPr>
            </w:pPr>
            <w:r w:rsidRPr="007C4B51">
              <w:rPr>
                <w:sz w:val="18"/>
                <w:szCs w:val="18"/>
              </w:rPr>
              <w:t>(d)</w:t>
            </w:r>
          </w:p>
        </w:tc>
        <w:tc>
          <w:tcPr>
            <w:tcW w:w="1148" w:type="dxa"/>
            <w:gridSpan w:val="3"/>
          </w:tcPr>
          <w:p w14:paraId="75F5D20A" w14:textId="77777777" w:rsidR="00641E66" w:rsidRPr="007C4B51" w:rsidRDefault="00641E66" w:rsidP="0073510C">
            <w:pPr>
              <w:rPr>
                <w:sz w:val="18"/>
                <w:szCs w:val="18"/>
              </w:rPr>
            </w:pPr>
            <w:r w:rsidRPr="007C4B51">
              <w:rPr>
                <w:sz w:val="18"/>
                <w:szCs w:val="18"/>
              </w:rPr>
              <w:t>0.785</w:t>
            </w:r>
          </w:p>
        </w:tc>
        <w:tc>
          <w:tcPr>
            <w:tcW w:w="1288" w:type="dxa"/>
            <w:gridSpan w:val="2"/>
          </w:tcPr>
          <w:p w14:paraId="7287CDCE" w14:textId="77777777" w:rsidR="00641E66" w:rsidRPr="007C4B51" w:rsidRDefault="00641E66" w:rsidP="0073510C">
            <w:pPr>
              <w:rPr>
                <w:sz w:val="18"/>
                <w:szCs w:val="18"/>
              </w:rPr>
            </w:pPr>
            <w:r w:rsidRPr="007C4B51">
              <w:rPr>
                <w:sz w:val="18"/>
                <w:szCs w:val="18"/>
              </w:rPr>
              <w:t>4.44</w:t>
            </w:r>
          </w:p>
        </w:tc>
        <w:tc>
          <w:tcPr>
            <w:tcW w:w="1399" w:type="dxa"/>
          </w:tcPr>
          <w:p w14:paraId="5EEF418F" w14:textId="77777777" w:rsidR="00641E66" w:rsidRPr="007C4B51" w:rsidRDefault="00641E66" w:rsidP="0073510C">
            <w:pPr>
              <w:rPr>
                <w:sz w:val="18"/>
                <w:szCs w:val="18"/>
              </w:rPr>
            </w:pPr>
            <w:r w:rsidRPr="007C4B51">
              <w:rPr>
                <w:sz w:val="18"/>
                <w:szCs w:val="18"/>
              </w:rPr>
              <w:t>3419</w:t>
            </w:r>
          </w:p>
        </w:tc>
        <w:tc>
          <w:tcPr>
            <w:tcW w:w="1559" w:type="dxa"/>
          </w:tcPr>
          <w:p w14:paraId="1BB2F02E" w14:textId="77777777" w:rsidR="00641E66" w:rsidRPr="007C4B51" w:rsidRDefault="00641E66" w:rsidP="0073510C">
            <w:pPr>
              <w:rPr>
                <w:rFonts w:ascii="Calibri" w:hAnsi="Calibri"/>
                <w:sz w:val="18"/>
                <w:szCs w:val="18"/>
              </w:rPr>
            </w:pPr>
            <w:r w:rsidRPr="007C4B51">
              <w:rPr>
                <w:rFonts w:ascii="Calibri" w:hAnsi="Calibri"/>
                <w:sz w:val="18"/>
                <w:szCs w:val="18"/>
              </w:rPr>
              <w:t>$18</w:t>
            </w:r>
          </w:p>
        </w:tc>
      </w:tr>
      <w:tr w:rsidR="00641E66" w:rsidRPr="004668AE" w14:paraId="41F988BC" w14:textId="77777777" w:rsidTr="00523124">
        <w:tc>
          <w:tcPr>
            <w:tcW w:w="1418" w:type="dxa"/>
            <w:gridSpan w:val="2"/>
            <w:vMerge/>
          </w:tcPr>
          <w:p w14:paraId="46B830DB" w14:textId="77777777" w:rsidR="00641E66" w:rsidRPr="004668AE" w:rsidRDefault="00641E66" w:rsidP="0073510C">
            <w:pPr>
              <w:rPr>
                <w:sz w:val="18"/>
                <w:szCs w:val="18"/>
              </w:rPr>
            </w:pPr>
          </w:p>
        </w:tc>
        <w:tc>
          <w:tcPr>
            <w:tcW w:w="1410" w:type="dxa"/>
          </w:tcPr>
          <w:p w14:paraId="2337225E" w14:textId="77777777" w:rsidR="00641E66" w:rsidRPr="007C4B51" w:rsidRDefault="00641E66" w:rsidP="0073510C">
            <w:pPr>
              <w:rPr>
                <w:sz w:val="18"/>
                <w:szCs w:val="18"/>
              </w:rPr>
            </w:pPr>
            <w:r w:rsidRPr="007C4B51">
              <w:rPr>
                <w:sz w:val="18"/>
                <w:szCs w:val="18"/>
              </w:rPr>
              <w:t>(e)</w:t>
            </w:r>
          </w:p>
        </w:tc>
        <w:tc>
          <w:tcPr>
            <w:tcW w:w="1148" w:type="dxa"/>
            <w:gridSpan w:val="3"/>
          </w:tcPr>
          <w:p w14:paraId="152E3DB4" w14:textId="77777777" w:rsidR="00641E66" w:rsidRPr="007C4B51" w:rsidRDefault="00641E66" w:rsidP="0073510C">
            <w:pPr>
              <w:rPr>
                <w:sz w:val="18"/>
                <w:szCs w:val="18"/>
              </w:rPr>
            </w:pPr>
            <w:r w:rsidRPr="007C4B51">
              <w:rPr>
                <w:sz w:val="18"/>
                <w:szCs w:val="18"/>
              </w:rPr>
              <w:t>0.822</w:t>
            </w:r>
          </w:p>
        </w:tc>
        <w:tc>
          <w:tcPr>
            <w:tcW w:w="1288" w:type="dxa"/>
            <w:gridSpan w:val="2"/>
          </w:tcPr>
          <w:p w14:paraId="2A01D5CB" w14:textId="77777777" w:rsidR="00641E66" w:rsidRPr="007C4B51" w:rsidRDefault="00641E66" w:rsidP="0073510C">
            <w:pPr>
              <w:rPr>
                <w:sz w:val="18"/>
                <w:szCs w:val="18"/>
              </w:rPr>
            </w:pPr>
            <w:r w:rsidRPr="007C4B51">
              <w:rPr>
                <w:sz w:val="18"/>
                <w:szCs w:val="18"/>
              </w:rPr>
              <w:t>4.08</w:t>
            </w:r>
          </w:p>
        </w:tc>
        <w:tc>
          <w:tcPr>
            <w:tcW w:w="1399" w:type="dxa"/>
          </w:tcPr>
          <w:p w14:paraId="23739774" w14:textId="77777777" w:rsidR="00641E66" w:rsidRPr="007C4B51" w:rsidRDefault="00641E66" w:rsidP="0073510C">
            <w:pPr>
              <w:rPr>
                <w:sz w:val="18"/>
                <w:szCs w:val="18"/>
              </w:rPr>
            </w:pPr>
            <w:r w:rsidRPr="007C4B51">
              <w:rPr>
                <w:sz w:val="18"/>
                <w:szCs w:val="18"/>
              </w:rPr>
              <w:t>8519</w:t>
            </w:r>
          </w:p>
        </w:tc>
        <w:tc>
          <w:tcPr>
            <w:tcW w:w="1559" w:type="dxa"/>
          </w:tcPr>
          <w:p w14:paraId="2485F44A" w14:textId="77777777" w:rsidR="00641E66" w:rsidRPr="007C4B51" w:rsidRDefault="00641E66" w:rsidP="0073510C">
            <w:pPr>
              <w:rPr>
                <w:rFonts w:ascii="Calibri" w:hAnsi="Calibri"/>
                <w:sz w:val="18"/>
                <w:szCs w:val="18"/>
              </w:rPr>
            </w:pPr>
            <w:r w:rsidRPr="007C4B51">
              <w:rPr>
                <w:rFonts w:ascii="Calibri" w:hAnsi="Calibri"/>
                <w:sz w:val="18"/>
                <w:szCs w:val="18"/>
              </w:rPr>
              <w:t>$26</w:t>
            </w:r>
          </w:p>
        </w:tc>
      </w:tr>
      <w:tr w:rsidR="00641E66" w:rsidRPr="004668AE" w14:paraId="5C0263E2" w14:textId="77777777" w:rsidTr="00523124">
        <w:tc>
          <w:tcPr>
            <w:tcW w:w="1418" w:type="dxa"/>
            <w:gridSpan w:val="2"/>
            <w:vMerge w:val="restart"/>
          </w:tcPr>
          <w:p w14:paraId="1CFF6393" w14:textId="77777777" w:rsidR="00641E66" w:rsidRPr="00852367" w:rsidRDefault="00641E66" w:rsidP="0073510C">
            <w:pPr>
              <w:rPr>
                <w:sz w:val="18"/>
                <w:szCs w:val="18"/>
              </w:rPr>
            </w:pPr>
            <w:r w:rsidRPr="007A6520">
              <w:rPr>
                <w:sz w:val="18"/>
                <w:szCs w:val="18"/>
              </w:rPr>
              <w:t>No differentiated care (neither driven by viral load nor by adherence)</w:t>
            </w:r>
          </w:p>
        </w:tc>
        <w:tc>
          <w:tcPr>
            <w:tcW w:w="1410" w:type="dxa"/>
          </w:tcPr>
          <w:p w14:paraId="0C9BB8A0" w14:textId="77777777" w:rsidR="00641E66" w:rsidRPr="007C4B51" w:rsidRDefault="00641E66" w:rsidP="0073510C">
            <w:pPr>
              <w:rPr>
                <w:sz w:val="18"/>
                <w:szCs w:val="18"/>
              </w:rPr>
            </w:pPr>
            <w:r w:rsidRPr="007C4B51">
              <w:rPr>
                <w:sz w:val="18"/>
                <w:szCs w:val="18"/>
              </w:rPr>
              <w:t>No intervention</w:t>
            </w:r>
          </w:p>
        </w:tc>
        <w:tc>
          <w:tcPr>
            <w:tcW w:w="1148" w:type="dxa"/>
            <w:gridSpan w:val="3"/>
          </w:tcPr>
          <w:p w14:paraId="4D068AC5" w14:textId="77777777" w:rsidR="00641E66" w:rsidRPr="007C4B51" w:rsidRDefault="00641E66" w:rsidP="0073510C">
            <w:pPr>
              <w:rPr>
                <w:sz w:val="18"/>
                <w:szCs w:val="18"/>
              </w:rPr>
            </w:pPr>
            <w:r w:rsidRPr="007C4B51">
              <w:rPr>
                <w:sz w:val="18"/>
                <w:szCs w:val="18"/>
              </w:rPr>
              <w:t>0.765</w:t>
            </w:r>
          </w:p>
        </w:tc>
        <w:tc>
          <w:tcPr>
            <w:tcW w:w="1288" w:type="dxa"/>
            <w:gridSpan w:val="2"/>
          </w:tcPr>
          <w:p w14:paraId="0F068DB2" w14:textId="77777777" w:rsidR="00641E66" w:rsidRPr="007C4B51" w:rsidRDefault="00641E66" w:rsidP="0073510C">
            <w:pPr>
              <w:rPr>
                <w:sz w:val="18"/>
                <w:szCs w:val="18"/>
              </w:rPr>
            </w:pPr>
            <w:r w:rsidRPr="007C4B51">
              <w:rPr>
                <w:sz w:val="18"/>
                <w:szCs w:val="18"/>
              </w:rPr>
              <w:t>4.61</w:t>
            </w:r>
          </w:p>
        </w:tc>
        <w:tc>
          <w:tcPr>
            <w:tcW w:w="1399" w:type="dxa"/>
          </w:tcPr>
          <w:p w14:paraId="0976AF3F" w14:textId="77777777" w:rsidR="00641E66" w:rsidRPr="007C4B51" w:rsidRDefault="00641E66" w:rsidP="0073510C">
            <w:pPr>
              <w:rPr>
                <w:sz w:val="18"/>
                <w:szCs w:val="18"/>
              </w:rPr>
            </w:pPr>
            <w:r w:rsidRPr="007C4B51">
              <w:rPr>
                <w:sz w:val="18"/>
                <w:szCs w:val="18"/>
              </w:rPr>
              <w:t>.</w:t>
            </w:r>
          </w:p>
        </w:tc>
        <w:tc>
          <w:tcPr>
            <w:tcW w:w="1559" w:type="dxa"/>
          </w:tcPr>
          <w:p w14:paraId="292DC59A" w14:textId="77777777" w:rsidR="00641E66" w:rsidRPr="007C4B51" w:rsidRDefault="00641E66" w:rsidP="0073510C">
            <w:pPr>
              <w:rPr>
                <w:sz w:val="18"/>
                <w:szCs w:val="18"/>
              </w:rPr>
            </w:pPr>
          </w:p>
        </w:tc>
      </w:tr>
      <w:tr w:rsidR="00641E66" w:rsidRPr="004668AE" w14:paraId="7DC91B7F" w14:textId="77777777" w:rsidTr="00523124">
        <w:tc>
          <w:tcPr>
            <w:tcW w:w="1418" w:type="dxa"/>
            <w:gridSpan w:val="2"/>
            <w:vMerge/>
          </w:tcPr>
          <w:p w14:paraId="62BEC51E" w14:textId="77777777" w:rsidR="00641E66" w:rsidRPr="00852367" w:rsidRDefault="00641E66" w:rsidP="0073510C">
            <w:pPr>
              <w:rPr>
                <w:sz w:val="18"/>
                <w:szCs w:val="18"/>
              </w:rPr>
            </w:pPr>
          </w:p>
        </w:tc>
        <w:tc>
          <w:tcPr>
            <w:tcW w:w="1410" w:type="dxa"/>
          </w:tcPr>
          <w:p w14:paraId="4B9CFEF1" w14:textId="77777777" w:rsidR="00641E66" w:rsidRPr="007C4B51" w:rsidRDefault="00641E66" w:rsidP="0073510C">
            <w:pPr>
              <w:rPr>
                <w:sz w:val="18"/>
                <w:szCs w:val="18"/>
              </w:rPr>
            </w:pPr>
            <w:r w:rsidRPr="007C4B51">
              <w:rPr>
                <w:sz w:val="18"/>
                <w:szCs w:val="18"/>
              </w:rPr>
              <w:t>(a)</w:t>
            </w:r>
          </w:p>
        </w:tc>
        <w:tc>
          <w:tcPr>
            <w:tcW w:w="1148" w:type="dxa"/>
            <w:gridSpan w:val="3"/>
          </w:tcPr>
          <w:p w14:paraId="60ED44BB" w14:textId="77777777" w:rsidR="00641E66" w:rsidRPr="007C4B51" w:rsidRDefault="00641E66" w:rsidP="0073510C">
            <w:pPr>
              <w:rPr>
                <w:sz w:val="18"/>
                <w:szCs w:val="18"/>
              </w:rPr>
            </w:pPr>
            <w:r w:rsidRPr="007C4B51">
              <w:rPr>
                <w:sz w:val="18"/>
                <w:szCs w:val="18"/>
              </w:rPr>
              <w:t>0.777</w:t>
            </w:r>
          </w:p>
        </w:tc>
        <w:tc>
          <w:tcPr>
            <w:tcW w:w="1288" w:type="dxa"/>
            <w:gridSpan w:val="2"/>
          </w:tcPr>
          <w:p w14:paraId="0972AA54" w14:textId="77777777" w:rsidR="00641E66" w:rsidRPr="007C4B51" w:rsidRDefault="00641E66" w:rsidP="0073510C">
            <w:pPr>
              <w:rPr>
                <w:sz w:val="18"/>
                <w:szCs w:val="18"/>
              </w:rPr>
            </w:pPr>
            <w:r w:rsidRPr="007C4B51">
              <w:rPr>
                <w:sz w:val="18"/>
                <w:szCs w:val="18"/>
              </w:rPr>
              <w:t>4.47</w:t>
            </w:r>
          </w:p>
        </w:tc>
        <w:tc>
          <w:tcPr>
            <w:tcW w:w="1399" w:type="dxa"/>
          </w:tcPr>
          <w:p w14:paraId="0EFD1DAE" w14:textId="77777777" w:rsidR="00641E66" w:rsidRPr="007C4B51" w:rsidRDefault="00641E66" w:rsidP="0073510C">
            <w:pPr>
              <w:rPr>
                <w:sz w:val="18"/>
                <w:szCs w:val="18"/>
              </w:rPr>
            </w:pPr>
            <w:r w:rsidRPr="007C4B51">
              <w:rPr>
                <w:sz w:val="18"/>
                <w:szCs w:val="18"/>
              </w:rPr>
              <w:t>1794</w:t>
            </w:r>
          </w:p>
        </w:tc>
        <w:tc>
          <w:tcPr>
            <w:tcW w:w="1559" w:type="dxa"/>
          </w:tcPr>
          <w:p w14:paraId="1F68426D" w14:textId="77777777" w:rsidR="00641E66" w:rsidRPr="007C4B51" w:rsidRDefault="00641E66" w:rsidP="0073510C">
            <w:pPr>
              <w:rPr>
                <w:rFonts w:ascii="Calibri" w:hAnsi="Calibri"/>
                <w:sz w:val="18"/>
                <w:szCs w:val="18"/>
              </w:rPr>
            </w:pPr>
            <w:r w:rsidRPr="007C4B51">
              <w:rPr>
                <w:rFonts w:ascii="Calibri" w:hAnsi="Calibri"/>
                <w:sz w:val="18"/>
                <w:szCs w:val="18"/>
              </w:rPr>
              <w:t>$7</w:t>
            </w:r>
          </w:p>
        </w:tc>
      </w:tr>
      <w:tr w:rsidR="00641E66" w:rsidRPr="004668AE" w14:paraId="4C1CE9C9" w14:textId="77777777" w:rsidTr="00523124">
        <w:tc>
          <w:tcPr>
            <w:tcW w:w="1418" w:type="dxa"/>
            <w:gridSpan w:val="2"/>
            <w:vMerge/>
          </w:tcPr>
          <w:p w14:paraId="2730D76A" w14:textId="77777777" w:rsidR="00641E66" w:rsidRPr="00852367" w:rsidRDefault="00641E66" w:rsidP="0073510C">
            <w:pPr>
              <w:rPr>
                <w:sz w:val="18"/>
                <w:szCs w:val="18"/>
              </w:rPr>
            </w:pPr>
          </w:p>
        </w:tc>
        <w:tc>
          <w:tcPr>
            <w:tcW w:w="1410" w:type="dxa"/>
          </w:tcPr>
          <w:p w14:paraId="17C4D627" w14:textId="77777777" w:rsidR="00641E66" w:rsidRPr="007C4B51" w:rsidRDefault="00641E66" w:rsidP="0073510C">
            <w:pPr>
              <w:rPr>
                <w:sz w:val="18"/>
                <w:szCs w:val="18"/>
              </w:rPr>
            </w:pPr>
            <w:r w:rsidRPr="007C4B51">
              <w:rPr>
                <w:sz w:val="18"/>
                <w:szCs w:val="18"/>
              </w:rPr>
              <w:t>(b)</w:t>
            </w:r>
          </w:p>
        </w:tc>
        <w:tc>
          <w:tcPr>
            <w:tcW w:w="1148" w:type="dxa"/>
            <w:gridSpan w:val="3"/>
          </w:tcPr>
          <w:p w14:paraId="75584512" w14:textId="77777777" w:rsidR="00641E66" w:rsidRPr="007C4B51" w:rsidRDefault="00641E66" w:rsidP="0073510C">
            <w:pPr>
              <w:rPr>
                <w:sz w:val="18"/>
                <w:szCs w:val="18"/>
              </w:rPr>
            </w:pPr>
            <w:r w:rsidRPr="007C4B51">
              <w:rPr>
                <w:sz w:val="18"/>
                <w:szCs w:val="18"/>
              </w:rPr>
              <w:t>0.811</w:t>
            </w:r>
          </w:p>
        </w:tc>
        <w:tc>
          <w:tcPr>
            <w:tcW w:w="1288" w:type="dxa"/>
            <w:gridSpan w:val="2"/>
          </w:tcPr>
          <w:p w14:paraId="565EB880" w14:textId="4F7F6A02" w:rsidR="00641E66" w:rsidRPr="007C4B51" w:rsidRDefault="00641E66" w:rsidP="0073510C">
            <w:pPr>
              <w:rPr>
                <w:sz w:val="18"/>
                <w:szCs w:val="18"/>
              </w:rPr>
            </w:pPr>
            <w:r w:rsidRPr="007C4B51">
              <w:rPr>
                <w:sz w:val="18"/>
                <w:szCs w:val="18"/>
              </w:rPr>
              <w:t>4.1</w:t>
            </w:r>
            <w:r w:rsidR="00F40D88">
              <w:rPr>
                <w:sz w:val="18"/>
                <w:szCs w:val="18"/>
              </w:rPr>
              <w:t>0</w:t>
            </w:r>
          </w:p>
        </w:tc>
        <w:tc>
          <w:tcPr>
            <w:tcW w:w="1399" w:type="dxa"/>
          </w:tcPr>
          <w:p w14:paraId="0AD8F52C" w14:textId="77777777" w:rsidR="00641E66" w:rsidRPr="007C4B51" w:rsidRDefault="00641E66" w:rsidP="0073510C">
            <w:pPr>
              <w:rPr>
                <w:sz w:val="18"/>
                <w:szCs w:val="18"/>
              </w:rPr>
            </w:pPr>
            <w:r w:rsidRPr="007C4B51">
              <w:rPr>
                <w:sz w:val="18"/>
                <w:szCs w:val="18"/>
              </w:rPr>
              <w:t>6561</w:t>
            </w:r>
          </w:p>
        </w:tc>
        <w:tc>
          <w:tcPr>
            <w:tcW w:w="1559" w:type="dxa"/>
          </w:tcPr>
          <w:p w14:paraId="40425753" w14:textId="77777777" w:rsidR="00641E66" w:rsidRPr="007C4B51" w:rsidRDefault="00641E66" w:rsidP="0073510C">
            <w:pPr>
              <w:rPr>
                <w:rFonts w:ascii="Calibri" w:hAnsi="Calibri"/>
                <w:sz w:val="18"/>
                <w:szCs w:val="18"/>
              </w:rPr>
            </w:pPr>
            <w:r w:rsidRPr="007C4B51">
              <w:rPr>
                <w:rFonts w:ascii="Calibri" w:hAnsi="Calibri"/>
                <w:sz w:val="18"/>
                <w:szCs w:val="18"/>
              </w:rPr>
              <w:t>$12</w:t>
            </w:r>
          </w:p>
        </w:tc>
      </w:tr>
      <w:tr w:rsidR="00641E66" w:rsidRPr="004668AE" w14:paraId="73EA530F" w14:textId="77777777" w:rsidTr="00523124">
        <w:tc>
          <w:tcPr>
            <w:tcW w:w="1418" w:type="dxa"/>
            <w:gridSpan w:val="2"/>
            <w:vMerge/>
          </w:tcPr>
          <w:p w14:paraId="0C41ADAC" w14:textId="77777777" w:rsidR="00641E66" w:rsidRPr="00852367" w:rsidRDefault="00641E66" w:rsidP="0073510C">
            <w:pPr>
              <w:rPr>
                <w:sz w:val="18"/>
                <w:szCs w:val="18"/>
              </w:rPr>
            </w:pPr>
          </w:p>
        </w:tc>
        <w:tc>
          <w:tcPr>
            <w:tcW w:w="1410" w:type="dxa"/>
          </w:tcPr>
          <w:p w14:paraId="4EB0574E" w14:textId="77777777" w:rsidR="00641E66" w:rsidRPr="007C4B51" w:rsidRDefault="00641E66" w:rsidP="0073510C">
            <w:pPr>
              <w:rPr>
                <w:sz w:val="18"/>
                <w:szCs w:val="18"/>
              </w:rPr>
            </w:pPr>
            <w:r w:rsidRPr="007C4B51">
              <w:rPr>
                <w:sz w:val="18"/>
                <w:szCs w:val="18"/>
              </w:rPr>
              <w:t>(c)</w:t>
            </w:r>
          </w:p>
        </w:tc>
        <w:tc>
          <w:tcPr>
            <w:tcW w:w="1148" w:type="dxa"/>
            <w:gridSpan w:val="3"/>
          </w:tcPr>
          <w:p w14:paraId="5E123189" w14:textId="77777777" w:rsidR="00641E66" w:rsidRPr="007C4B51" w:rsidRDefault="00641E66" w:rsidP="0073510C">
            <w:pPr>
              <w:rPr>
                <w:sz w:val="18"/>
                <w:szCs w:val="18"/>
              </w:rPr>
            </w:pPr>
            <w:r w:rsidRPr="007C4B51">
              <w:rPr>
                <w:sz w:val="18"/>
                <w:szCs w:val="18"/>
              </w:rPr>
              <w:t>0.795</w:t>
            </w:r>
          </w:p>
        </w:tc>
        <w:tc>
          <w:tcPr>
            <w:tcW w:w="1288" w:type="dxa"/>
            <w:gridSpan w:val="2"/>
          </w:tcPr>
          <w:p w14:paraId="7B034BAD" w14:textId="77777777" w:rsidR="00641E66" w:rsidRPr="007C4B51" w:rsidRDefault="00641E66" w:rsidP="0073510C">
            <w:pPr>
              <w:rPr>
                <w:sz w:val="18"/>
                <w:szCs w:val="18"/>
              </w:rPr>
            </w:pPr>
            <w:r w:rsidRPr="007C4B51">
              <w:rPr>
                <w:sz w:val="18"/>
                <w:szCs w:val="18"/>
              </w:rPr>
              <w:t>4.24</w:t>
            </w:r>
          </w:p>
        </w:tc>
        <w:tc>
          <w:tcPr>
            <w:tcW w:w="1399" w:type="dxa"/>
          </w:tcPr>
          <w:p w14:paraId="487B362A" w14:textId="77777777" w:rsidR="00641E66" w:rsidRPr="007C4B51" w:rsidRDefault="00641E66" w:rsidP="0073510C">
            <w:pPr>
              <w:rPr>
                <w:sz w:val="18"/>
                <w:szCs w:val="18"/>
              </w:rPr>
            </w:pPr>
            <w:r w:rsidRPr="007C4B51">
              <w:rPr>
                <w:sz w:val="18"/>
                <w:szCs w:val="18"/>
              </w:rPr>
              <w:t>4410</w:t>
            </w:r>
          </w:p>
        </w:tc>
        <w:tc>
          <w:tcPr>
            <w:tcW w:w="1559" w:type="dxa"/>
          </w:tcPr>
          <w:p w14:paraId="39D9CF16" w14:textId="77777777" w:rsidR="00641E66" w:rsidRPr="007C4B51" w:rsidRDefault="00641E66" w:rsidP="0073510C">
            <w:pPr>
              <w:rPr>
                <w:rFonts w:ascii="Calibri" w:hAnsi="Calibri"/>
                <w:sz w:val="18"/>
                <w:szCs w:val="18"/>
              </w:rPr>
            </w:pPr>
            <w:r w:rsidRPr="007C4B51">
              <w:rPr>
                <w:rFonts w:ascii="Calibri" w:hAnsi="Calibri"/>
                <w:sz w:val="18"/>
                <w:szCs w:val="18"/>
              </w:rPr>
              <w:t>$4</w:t>
            </w:r>
          </w:p>
        </w:tc>
      </w:tr>
      <w:tr w:rsidR="00641E66" w:rsidRPr="004668AE" w14:paraId="706628F1" w14:textId="77777777" w:rsidTr="00523124">
        <w:tc>
          <w:tcPr>
            <w:tcW w:w="1418" w:type="dxa"/>
            <w:gridSpan w:val="2"/>
            <w:vMerge/>
          </w:tcPr>
          <w:p w14:paraId="7F815F01" w14:textId="77777777" w:rsidR="00641E66" w:rsidRPr="00852367" w:rsidRDefault="00641E66" w:rsidP="0073510C">
            <w:pPr>
              <w:rPr>
                <w:sz w:val="18"/>
                <w:szCs w:val="18"/>
              </w:rPr>
            </w:pPr>
          </w:p>
        </w:tc>
        <w:tc>
          <w:tcPr>
            <w:tcW w:w="1410" w:type="dxa"/>
          </w:tcPr>
          <w:p w14:paraId="2126B39C" w14:textId="77777777" w:rsidR="00641E66" w:rsidRPr="007C4B51" w:rsidRDefault="00641E66" w:rsidP="0073510C">
            <w:pPr>
              <w:rPr>
                <w:sz w:val="18"/>
                <w:szCs w:val="18"/>
              </w:rPr>
            </w:pPr>
            <w:r w:rsidRPr="007C4B51">
              <w:rPr>
                <w:sz w:val="18"/>
                <w:szCs w:val="18"/>
              </w:rPr>
              <w:t>(d)</w:t>
            </w:r>
          </w:p>
        </w:tc>
        <w:tc>
          <w:tcPr>
            <w:tcW w:w="1148" w:type="dxa"/>
            <w:gridSpan w:val="3"/>
          </w:tcPr>
          <w:p w14:paraId="64C52017" w14:textId="77777777" w:rsidR="00641E66" w:rsidRPr="007C4B51" w:rsidRDefault="00641E66" w:rsidP="0073510C">
            <w:pPr>
              <w:rPr>
                <w:sz w:val="18"/>
                <w:szCs w:val="18"/>
              </w:rPr>
            </w:pPr>
            <w:r w:rsidRPr="007C4B51">
              <w:rPr>
                <w:sz w:val="18"/>
                <w:szCs w:val="18"/>
              </w:rPr>
              <w:t>0.79</w:t>
            </w:r>
          </w:p>
        </w:tc>
        <w:tc>
          <w:tcPr>
            <w:tcW w:w="1288" w:type="dxa"/>
            <w:gridSpan w:val="2"/>
          </w:tcPr>
          <w:p w14:paraId="796D09F0" w14:textId="77777777" w:rsidR="00641E66" w:rsidRPr="007C4B51" w:rsidRDefault="00641E66" w:rsidP="0073510C">
            <w:pPr>
              <w:rPr>
                <w:sz w:val="18"/>
                <w:szCs w:val="18"/>
              </w:rPr>
            </w:pPr>
            <w:r w:rsidRPr="007C4B51">
              <w:rPr>
                <w:sz w:val="18"/>
                <w:szCs w:val="18"/>
              </w:rPr>
              <w:t>4.38</w:t>
            </w:r>
          </w:p>
        </w:tc>
        <w:tc>
          <w:tcPr>
            <w:tcW w:w="1399" w:type="dxa"/>
          </w:tcPr>
          <w:p w14:paraId="6723387E" w14:textId="77777777" w:rsidR="00641E66" w:rsidRPr="007C4B51" w:rsidRDefault="00641E66" w:rsidP="0073510C">
            <w:pPr>
              <w:rPr>
                <w:sz w:val="18"/>
                <w:szCs w:val="18"/>
              </w:rPr>
            </w:pPr>
            <w:r w:rsidRPr="007C4B51">
              <w:rPr>
                <w:sz w:val="18"/>
                <w:szCs w:val="18"/>
              </w:rPr>
              <w:t>2532</w:t>
            </w:r>
          </w:p>
        </w:tc>
        <w:tc>
          <w:tcPr>
            <w:tcW w:w="1559" w:type="dxa"/>
          </w:tcPr>
          <w:p w14:paraId="4D3B20CD" w14:textId="77777777" w:rsidR="00641E66" w:rsidRPr="007C4B51" w:rsidRDefault="00641E66" w:rsidP="0073510C">
            <w:pPr>
              <w:rPr>
                <w:rFonts w:ascii="Calibri" w:hAnsi="Calibri"/>
                <w:sz w:val="18"/>
                <w:szCs w:val="18"/>
              </w:rPr>
            </w:pPr>
            <w:r w:rsidRPr="007C4B51">
              <w:rPr>
                <w:rFonts w:ascii="Calibri" w:hAnsi="Calibri"/>
                <w:sz w:val="18"/>
                <w:szCs w:val="18"/>
              </w:rPr>
              <w:t>$11</w:t>
            </w:r>
          </w:p>
        </w:tc>
      </w:tr>
      <w:tr w:rsidR="00641E66" w:rsidRPr="004668AE" w14:paraId="23DE3B61" w14:textId="77777777" w:rsidTr="00523124">
        <w:tc>
          <w:tcPr>
            <w:tcW w:w="1418" w:type="dxa"/>
            <w:gridSpan w:val="2"/>
            <w:vMerge/>
          </w:tcPr>
          <w:p w14:paraId="1A3DA8E7" w14:textId="77777777" w:rsidR="00641E66" w:rsidRPr="004668AE" w:rsidRDefault="00641E66" w:rsidP="0073510C">
            <w:pPr>
              <w:rPr>
                <w:sz w:val="18"/>
                <w:szCs w:val="18"/>
              </w:rPr>
            </w:pPr>
          </w:p>
        </w:tc>
        <w:tc>
          <w:tcPr>
            <w:tcW w:w="1410" w:type="dxa"/>
          </w:tcPr>
          <w:p w14:paraId="4A85696E" w14:textId="77777777" w:rsidR="00641E66" w:rsidRPr="007C4B51" w:rsidRDefault="00641E66" w:rsidP="0073510C">
            <w:pPr>
              <w:rPr>
                <w:sz w:val="18"/>
                <w:szCs w:val="18"/>
              </w:rPr>
            </w:pPr>
            <w:r w:rsidRPr="007C4B51">
              <w:rPr>
                <w:sz w:val="18"/>
                <w:szCs w:val="18"/>
              </w:rPr>
              <w:t>(e)</w:t>
            </w:r>
          </w:p>
        </w:tc>
        <w:tc>
          <w:tcPr>
            <w:tcW w:w="1148" w:type="dxa"/>
            <w:gridSpan w:val="3"/>
          </w:tcPr>
          <w:p w14:paraId="7B2A6DAF" w14:textId="77777777" w:rsidR="00641E66" w:rsidRPr="007C4B51" w:rsidRDefault="00641E66" w:rsidP="0073510C">
            <w:pPr>
              <w:rPr>
                <w:sz w:val="18"/>
                <w:szCs w:val="18"/>
              </w:rPr>
            </w:pPr>
            <w:r w:rsidRPr="007C4B51">
              <w:rPr>
                <w:sz w:val="18"/>
                <w:szCs w:val="18"/>
              </w:rPr>
              <w:t>0.825</w:t>
            </w:r>
          </w:p>
        </w:tc>
        <w:tc>
          <w:tcPr>
            <w:tcW w:w="1288" w:type="dxa"/>
            <w:gridSpan w:val="2"/>
          </w:tcPr>
          <w:p w14:paraId="25BED2C7" w14:textId="77777777" w:rsidR="00641E66" w:rsidRPr="007C4B51" w:rsidRDefault="00641E66" w:rsidP="0073510C">
            <w:pPr>
              <w:rPr>
                <w:sz w:val="18"/>
                <w:szCs w:val="18"/>
              </w:rPr>
            </w:pPr>
            <w:r w:rsidRPr="007C4B51">
              <w:rPr>
                <w:sz w:val="18"/>
                <w:szCs w:val="18"/>
              </w:rPr>
              <w:t>4.03</w:t>
            </w:r>
          </w:p>
        </w:tc>
        <w:tc>
          <w:tcPr>
            <w:tcW w:w="1399" w:type="dxa"/>
          </w:tcPr>
          <w:p w14:paraId="24A8EE0B" w14:textId="77777777" w:rsidR="00641E66" w:rsidRPr="007C4B51" w:rsidRDefault="00641E66" w:rsidP="0073510C">
            <w:pPr>
              <w:rPr>
                <w:sz w:val="18"/>
                <w:szCs w:val="18"/>
              </w:rPr>
            </w:pPr>
            <w:r w:rsidRPr="007C4B51">
              <w:rPr>
                <w:sz w:val="18"/>
                <w:szCs w:val="18"/>
              </w:rPr>
              <w:t>7694</w:t>
            </w:r>
          </w:p>
        </w:tc>
        <w:tc>
          <w:tcPr>
            <w:tcW w:w="1559" w:type="dxa"/>
          </w:tcPr>
          <w:p w14:paraId="7FC0D5FD" w14:textId="77777777" w:rsidR="00641E66" w:rsidRPr="007C4B51" w:rsidRDefault="00641E66" w:rsidP="0073510C">
            <w:pPr>
              <w:rPr>
                <w:rFonts w:ascii="Calibri" w:hAnsi="Calibri"/>
                <w:sz w:val="18"/>
                <w:szCs w:val="18"/>
              </w:rPr>
            </w:pPr>
            <w:r w:rsidRPr="007C4B51">
              <w:rPr>
                <w:rFonts w:ascii="Calibri" w:hAnsi="Calibri"/>
                <w:sz w:val="18"/>
                <w:szCs w:val="18"/>
              </w:rPr>
              <w:t>$19</w:t>
            </w:r>
          </w:p>
        </w:tc>
      </w:tr>
      <w:tr w:rsidR="00641E66" w:rsidRPr="007C4B51" w14:paraId="00133017" w14:textId="77777777" w:rsidTr="00523124">
        <w:tc>
          <w:tcPr>
            <w:tcW w:w="1418" w:type="dxa"/>
            <w:gridSpan w:val="2"/>
            <w:vMerge w:val="restart"/>
          </w:tcPr>
          <w:p w14:paraId="1F98C471" w14:textId="77777777" w:rsidR="00641E66" w:rsidRPr="00852367" w:rsidRDefault="00641E66" w:rsidP="0073510C">
            <w:pPr>
              <w:rPr>
                <w:sz w:val="18"/>
                <w:szCs w:val="18"/>
              </w:rPr>
            </w:pPr>
            <w:r w:rsidRPr="00852367">
              <w:rPr>
                <w:sz w:val="18"/>
                <w:szCs w:val="18"/>
              </w:rPr>
              <w:t>Adherence intervention instead of viral load monitoring **</w:t>
            </w:r>
          </w:p>
        </w:tc>
        <w:tc>
          <w:tcPr>
            <w:tcW w:w="1410" w:type="dxa"/>
          </w:tcPr>
          <w:p w14:paraId="42B4F27A" w14:textId="77777777" w:rsidR="00641E66" w:rsidRPr="007C4B51" w:rsidRDefault="00641E66" w:rsidP="0073510C">
            <w:pPr>
              <w:rPr>
                <w:sz w:val="18"/>
                <w:szCs w:val="18"/>
              </w:rPr>
            </w:pPr>
            <w:r w:rsidRPr="007C4B51">
              <w:rPr>
                <w:sz w:val="18"/>
                <w:szCs w:val="18"/>
              </w:rPr>
              <w:t>No intervention</w:t>
            </w:r>
          </w:p>
        </w:tc>
        <w:tc>
          <w:tcPr>
            <w:tcW w:w="1148" w:type="dxa"/>
            <w:gridSpan w:val="3"/>
          </w:tcPr>
          <w:p w14:paraId="32C6FA7A" w14:textId="77777777" w:rsidR="00641E66" w:rsidRPr="007C4B51" w:rsidRDefault="00641E66" w:rsidP="0073510C">
            <w:pPr>
              <w:rPr>
                <w:sz w:val="18"/>
                <w:szCs w:val="18"/>
              </w:rPr>
            </w:pPr>
            <w:r w:rsidRPr="007C4B51">
              <w:rPr>
                <w:sz w:val="18"/>
                <w:szCs w:val="18"/>
              </w:rPr>
              <w:t>0.766</w:t>
            </w:r>
          </w:p>
        </w:tc>
        <w:tc>
          <w:tcPr>
            <w:tcW w:w="1288" w:type="dxa"/>
            <w:gridSpan w:val="2"/>
          </w:tcPr>
          <w:p w14:paraId="1683F117" w14:textId="77777777" w:rsidR="00641E66" w:rsidRPr="007C4B51" w:rsidRDefault="00641E66" w:rsidP="0073510C">
            <w:pPr>
              <w:rPr>
                <w:sz w:val="18"/>
                <w:szCs w:val="18"/>
              </w:rPr>
            </w:pPr>
            <w:r w:rsidRPr="007C4B51">
              <w:rPr>
                <w:sz w:val="18"/>
                <w:szCs w:val="18"/>
              </w:rPr>
              <w:t>4.60</w:t>
            </w:r>
          </w:p>
        </w:tc>
        <w:tc>
          <w:tcPr>
            <w:tcW w:w="1399" w:type="dxa"/>
          </w:tcPr>
          <w:p w14:paraId="5EC4BFDE" w14:textId="77777777" w:rsidR="00641E66" w:rsidRPr="007C4B51" w:rsidRDefault="00641E66" w:rsidP="0073510C">
            <w:pPr>
              <w:rPr>
                <w:sz w:val="18"/>
                <w:szCs w:val="18"/>
              </w:rPr>
            </w:pPr>
            <w:r w:rsidRPr="007C4B51">
              <w:rPr>
                <w:sz w:val="18"/>
                <w:szCs w:val="18"/>
              </w:rPr>
              <w:t>.</w:t>
            </w:r>
          </w:p>
        </w:tc>
        <w:tc>
          <w:tcPr>
            <w:tcW w:w="1559" w:type="dxa"/>
          </w:tcPr>
          <w:p w14:paraId="3D01908C" w14:textId="77777777" w:rsidR="00641E66" w:rsidRPr="007C4B51" w:rsidRDefault="00641E66" w:rsidP="0073510C">
            <w:pPr>
              <w:rPr>
                <w:sz w:val="18"/>
                <w:szCs w:val="18"/>
              </w:rPr>
            </w:pPr>
          </w:p>
        </w:tc>
      </w:tr>
      <w:tr w:rsidR="00641E66" w:rsidRPr="007C4B51" w14:paraId="169E0DEE" w14:textId="77777777" w:rsidTr="00523124">
        <w:tc>
          <w:tcPr>
            <w:tcW w:w="1418" w:type="dxa"/>
            <w:gridSpan w:val="2"/>
            <w:vMerge/>
          </w:tcPr>
          <w:p w14:paraId="7B28A50A" w14:textId="77777777" w:rsidR="00641E66" w:rsidRPr="00852367" w:rsidRDefault="00641E66" w:rsidP="0073510C">
            <w:pPr>
              <w:rPr>
                <w:sz w:val="18"/>
                <w:szCs w:val="18"/>
              </w:rPr>
            </w:pPr>
          </w:p>
        </w:tc>
        <w:tc>
          <w:tcPr>
            <w:tcW w:w="1410" w:type="dxa"/>
          </w:tcPr>
          <w:p w14:paraId="615063CC" w14:textId="77777777" w:rsidR="00641E66" w:rsidRPr="007C4B51" w:rsidRDefault="00641E66" w:rsidP="0073510C">
            <w:pPr>
              <w:rPr>
                <w:sz w:val="18"/>
                <w:szCs w:val="18"/>
              </w:rPr>
            </w:pPr>
            <w:r w:rsidRPr="007C4B51">
              <w:rPr>
                <w:sz w:val="18"/>
                <w:szCs w:val="18"/>
              </w:rPr>
              <w:t>(a)</w:t>
            </w:r>
          </w:p>
        </w:tc>
        <w:tc>
          <w:tcPr>
            <w:tcW w:w="1148" w:type="dxa"/>
            <w:gridSpan w:val="3"/>
          </w:tcPr>
          <w:p w14:paraId="641177A0" w14:textId="77777777" w:rsidR="00641E66" w:rsidRPr="007C4B51" w:rsidRDefault="00641E66" w:rsidP="0073510C">
            <w:pPr>
              <w:rPr>
                <w:sz w:val="18"/>
                <w:szCs w:val="18"/>
              </w:rPr>
            </w:pPr>
            <w:r w:rsidRPr="007C4B51">
              <w:rPr>
                <w:sz w:val="18"/>
                <w:szCs w:val="18"/>
              </w:rPr>
              <w:t>0.756</w:t>
            </w:r>
          </w:p>
        </w:tc>
        <w:tc>
          <w:tcPr>
            <w:tcW w:w="1288" w:type="dxa"/>
            <w:gridSpan w:val="2"/>
          </w:tcPr>
          <w:p w14:paraId="0D273242" w14:textId="77777777" w:rsidR="00641E66" w:rsidRPr="007C4B51" w:rsidRDefault="00641E66" w:rsidP="0073510C">
            <w:pPr>
              <w:rPr>
                <w:sz w:val="18"/>
                <w:szCs w:val="18"/>
              </w:rPr>
            </w:pPr>
            <w:r w:rsidRPr="007C4B51">
              <w:rPr>
                <w:sz w:val="18"/>
                <w:szCs w:val="18"/>
              </w:rPr>
              <w:t>4.54</w:t>
            </w:r>
          </w:p>
        </w:tc>
        <w:tc>
          <w:tcPr>
            <w:tcW w:w="1399" w:type="dxa"/>
          </w:tcPr>
          <w:p w14:paraId="33BFCE7E" w14:textId="77777777" w:rsidR="00641E66" w:rsidRPr="007C4B51" w:rsidRDefault="00641E66" w:rsidP="0073510C">
            <w:pPr>
              <w:rPr>
                <w:sz w:val="18"/>
                <w:szCs w:val="18"/>
              </w:rPr>
            </w:pPr>
            <w:r w:rsidRPr="007C4B51">
              <w:rPr>
                <w:sz w:val="18"/>
                <w:szCs w:val="18"/>
              </w:rPr>
              <w:t>930</w:t>
            </w:r>
          </w:p>
        </w:tc>
        <w:tc>
          <w:tcPr>
            <w:tcW w:w="1559" w:type="dxa"/>
          </w:tcPr>
          <w:p w14:paraId="60617A4F" w14:textId="77777777" w:rsidR="00641E66" w:rsidRPr="007C4B51" w:rsidRDefault="00641E66" w:rsidP="0073510C">
            <w:pPr>
              <w:rPr>
                <w:rFonts w:ascii="Calibri" w:hAnsi="Calibri"/>
                <w:sz w:val="18"/>
                <w:szCs w:val="18"/>
              </w:rPr>
            </w:pPr>
            <w:r w:rsidRPr="007C4B51">
              <w:rPr>
                <w:rFonts w:ascii="Calibri" w:hAnsi="Calibri"/>
                <w:sz w:val="18"/>
                <w:szCs w:val="18"/>
              </w:rPr>
              <w:t>$10</w:t>
            </w:r>
          </w:p>
        </w:tc>
      </w:tr>
      <w:tr w:rsidR="00641E66" w:rsidRPr="007C4B51" w14:paraId="67FDA509" w14:textId="77777777" w:rsidTr="00523124">
        <w:tc>
          <w:tcPr>
            <w:tcW w:w="1418" w:type="dxa"/>
            <w:gridSpan w:val="2"/>
            <w:vMerge/>
          </w:tcPr>
          <w:p w14:paraId="48892626" w14:textId="77777777" w:rsidR="00641E66" w:rsidRPr="00852367" w:rsidRDefault="00641E66" w:rsidP="0073510C">
            <w:pPr>
              <w:rPr>
                <w:sz w:val="18"/>
                <w:szCs w:val="18"/>
              </w:rPr>
            </w:pPr>
          </w:p>
        </w:tc>
        <w:tc>
          <w:tcPr>
            <w:tcW w:w="1410" w:type="dxa"/>
          </w:tcPr>
          <w:p w14:paraId="50894C9B" w14:textId="77777777" w:rsidR="00641E66" w:rsidRPr="007C4B51" w:rsidRDefault="00641E66" w:rsidP="0073510C">
            <w:pPr>
              <w:rPr>
                <w:sz w:val="18"/>
                <w:szCs w:val="18"/>
              </w:rPr>
            </w:pPr>
            <w:r w:rsidRPr="007C4B51">
              <w:rPr>
                <w:sz w:val="18"/>
                <w:szCs w:val="18"/>
              </w:rPr>
              <w:t>(b)</w:t>
            </w:r>
          </w:p>
        </w:tc>
        <w:tc>
          <w:tcPr>
            <w:tcW w:w="1148" w:type="dxa"/>
            <w:gridSpan w:val="3"/>
          </w:tcPr>
          <w:p w14:paraId="3E4CB71E" w14:textId="77777777" w:rsidR="00641E66" w:rsidRPr="007C4B51" w:rsidRDefault="00641E66" w:rsidP="0073510C">
            <w:pPr>
              <w:rPr>
                <w:sz w:val="18"/>
                <w:szCs w:val="18"/>
              </w:rPr>
            </w:pPr>
            <w:r w:rsidRPr="007C4B51">
              <w:rPr>
                <w:sz w:val="18"/>
                <w:szCs w:val="18"/>
              </w:rPr>
              <w:t>0.788</w:t>
            </w:r>
          </w:p>
        </w:tc>
        <w:tc>
          <w:tcPr>
            <w:tcW w:w="1288" w:type="dxa"/>
            <w:gridSpan w:val="2"/>
          </w:tcPr>
          <w:p w14:paraId="2019C774" w14:textId="77777777" w:rsidR="00641E66" w:rsidRPr="007C4B51" w:rsidRDefault="00641E66" w:rsidP="0073510C">
            <w:pPr>
              <w:rPr>
                <w:sz w:val="18"/>
                <w:szCs w:val="18"/>
              </w:rPr>
            </w:pPr>
            <w:r w:rsidRPr="007C4B51">
              <w:rPr>
                <w:sz w:val="18"/>
                <w:szCs w:val="18"/>
              </w:rPr>
              <w:t>4.17</w:t>
            </w:r>
          </w:p>
        </w:tc>
        <w:tc>
          <w:tcPr>
            <w:tcW w:w="1399" w:type="dxa"/>
          </w:tcPr>
          <w:p w14:paraId="1805608B" w14:textId="77777777" w:rsidR="00641E66" w:rsidRPr="007C4B51" w:rsidRDefault="00641E66" w:rsidP="0073510C">
            <w:pPr>
              <w:rPr>
                <w:sz w:val="18"/>
                <w:szCs w:val="18"/>
              </w:rPr>
            </w:pPr>
            <w:r w:rsidRPr="007C4B51">
              <w:rPr>
                <w:sz w:val="18"/>
                <w:szCs w:val="18"/>
              </w:rPr>
              <w:t>5760</w:t>
            </w:r>
          </w:p>
        </w:tc>
        <w:tc>
          <w:tcPr>
            <w:tcW w:w="1559" w:type="dxa"/>
          </w:tcPr>
          <w:p w14:paraId="21557F34" w14:textId="77777777" w:rsidR="00641E66" w:rsidRPr="007C4B51" w:rsidRDefault="00641E66" w:rsidP="0073510C">
            <w:pPr>
              <w:rPr>
                <w:rFonts w:ascii="Calibri" w:hAnsi="Calibri"/>
                <w:sz w:val="18"/>
                <w:szCs w:val="18"/>
              </w:rPr>
            </w:pPr>
            <w:r w:rsidRPr="007C4B51">
              <w:rPr>
                <w:rFonts w:ascii="Calibri" w:hAnsi="Calibri"/>
                <w:sz w:val="18"/>
                <w:szCs w:val="18"/>
              </w:rPr>
              <w:t>$18</w:t>
            </w:r>
          </w:p>
        </w:tc>
      </w:tr>
      <w:tr w:rsidR="00641E66" w:rsidRPr="007C4B51" w14:paraId="418A9C5A" w14:textId="77777777" w:rsidTr="00523124">
        <w:tc>
          <w:tcPr>
            <w:tcW w:w="1418" w:type="dxa"/>
            <w:gridSpan w:val="2"/>
            <w:vMerge/>
          </w:tcPr>
          <w:p w14:paraId="08B13E7D" w14:textId="77777777" w:rsidR="00641E66" w:rsidRPr="00852367" w:rsidRDefault="00641E66" w:rsidP="0073510C">
            <w:pPr>
              <w:rPr>
                <w:sz w:val="18"/>
                <w:szCs w:val="18"/>
              </w:rPr>
            </w:pPr>
          </w:p>
        </w:tc>
        <w:tc>
          <w:tcPr>
            <w:tcW w:w="1410" w:type="dxa"/>
          </w:tcPr>
          <w:p w14:paraId="12B6EA53" w14:textId="77777777" w:rsidR="00641E66" w:rsidRPr="007C4B51" w:rsidRDefault="00641E66" w:rsidP="0073510C">
            <w:pPr>
              <w:rPr>
                <w:sz w:val="18"/>
                <w:szCs w:val="18"/>
              </w:rPr>
            </w:pPr>
            <w:r w:rsidRPr="007C4B51">
              <w:rPr>
                <w:sz w:val="18"/>
                <w:szCs w:val="18"/>
              </w:rPr>
              <w:t>(c)</w:t>
            </w:r>
          </w:p>
        </w:tc>
        <w:tc>
          <w:tcPr>
            <w:tcW w:w="1148" w:type="dxa"/>
            <w:gridSpan w:val="3"/>
          </w:tcPr>
          <w:p w14:paraId="0E482C60" w14:textId="77777777" w:rsidR="00641E66" w:rsidRPr="007C4B51" w:rsidRDefault="00641E66" w:rsidP="0073510C">
            <w:pPr>
              <w:rPr>
                <w:sz w:val="18"/>
                <w:szCs w:val="18"/>
              </w:rPr>
            </w:pPr>
            <w:r w:rsidRPr="007C4B51">
              <w:rPr>
                <w:sz w:val="18"/>
                <w:szCs w:val="18"/>
              </w:rPr>
              <w:t>0.768</w:t>
            </w:r>
          </w:p>
        </w:tc>
        <w:tc>
          <w:tcPr>
            <w:tcW w:w="1288" w:type="dxa"/>
            <w:gridSpan w:val="2"/>
          </w:tcPr>
          <w:p w14:paraId="01DB1786" w14:textId="77777777" w:rsidR="00641E66" w:rsidRPr="007C4B51" w:rsidRDefault="00641E66" w:rsidP="0073510C">
            <w:pPr>
              <w:rPr>
                <w:sz w:val="18"/>
                <w:szCs w:val="18"/>
              </w:rPr>
            </w:pPr>
            <w:r w:rsidRPr="007C4B51">
              <w:rPr>
                <w:sz w:val="18"/>
                <w:szCs w:val="18"/>
              </w:rPr>
              <w:t>4.34</w:t>
            </w:r>
          </w:p>
        </w:tc>
        <w:tc>
          <w:tcPr>
            <w:tcW w:w="1399" w:type="dxa"/>
          </w:tcPr>
          <w:p w14:paraId="4D222F71" w14:textId="77777777" w:rsidR="00641E66" w:rsidRPr="007C4B51" w:rsidRDefault="00641E66" w:rsidP="0073510C">
            <w:pPr>
              <w:rPr>
                <w:sz w:val="18"/>
                <w:szCs w:val="18"/>
              </w:rPr>
            </w:pPr>
            <w:r w:rsidRPr="007C4B51">
              <w:rPr>
                <w:sz w:val="18"/>
                <w:szCs w:val="18"/>
              </w:rPr>
              <w:t>3224</w:t>
            </w:r>
          </w:p>
        </w:tc>
        <w:tc>
          <w:tcPr>
            <w:tcW w:w="1559" w:type="dxa"/>
          </w:tcPr>
          <w:p w14:paraId="3382F1FF" w14:textId="77777777" w:rsidR="00641E66" w:rsidRPr="007C4B51" w:rsidRDefault="00641E66" w:rsidP="0073510C">
            <w:pPr>
              <w:rPr>
                <w:rFonts w:ascii="Calibri" w:hAnsi="Calibri"/>
                <w:sz w:val="18"/>
                <w:szCs w:val="18"/>
              </w:rPr>
            </w:pPr>
            <w:r w:rsidRPr="007C4B51">
              <w:rPr>
                <w:rFonts w:ascii="Calibri" w:hAnsi="Calibri"/>
                <w:sz w:val="18"/>
                <w:szCs w:val="18"/>
              </w:rPr>
              <w:t>$5</w:t>
            </w:r>
          </w:p>
        </w:tc>
      </w:tr>
      <w:tr w:rsidR="00641E66" w:rsidRPr="007C4B51" w14:paraId="6F3E4B4D" w14:textId="77777777" w:rsidTr="00523124">
        <w:tc>
          <w:tcPr>
            <w:tcW w:w="1418" w:type="dxa"/>
            <w:gridSpan w:val="2"/>
            <w:vMerge/>
          </w:tcPr>
          <w:p w14:paraId="7D9D04EE" w14:textId="77777777" w:rsidR="00641E66" w:rsidRPr="00852367" w:rsidRDefault="00641E66" w:rsidP="0073510C">
            <w:pPr>
              <w:rPr>
                <w:sz w:val="18"/>
                <w:szCs w:val="18"/>
              </w:rPr>
            </w:pPr>
          </w:p>
        </w:tc>
        <w:tc>
          <w:tcPr>
            <w:tcW w:w="1410" w:type="dxa"/>
          </w:tcPr>
          <w:p w14:paraId="0BD30F4E" w14:textId="77777777" w:rsidR="00641E66" w:rsidRPr="007C4B51" w:rsidRDefault="00641E66" w:rsidP="0073510C">
            <w:pPr>
              <w:rPr>
                <w:sz w:val="18"/>
                <w:szCs w:val="18"/>
              </w:rPr>
            </w:pPr>
            <w:r w:rsidRPr="007C4B51">
              <w:rPr>
                <w:sz w:val="18"/>
                <w:szCs w:val="18"/>
              </w:rPr>
              <w:t>(d)</w:t>
            </w:r>
          </w:p>
        </w:tc>
        <w:tc>
          <w:tcPr>
            <w:tcW w:w="1148" w:type="dxa"/>
            <w:gridSpan w:val="3"/>
          </w:tcPr>
          <w:p w14:paraId="3AFEEC18" w14:textId="77777777" w:rsidR="00641E66" w:rsidRPr="007C4B51" w:rsidRDefault="00641E66" w:rsidP="0073510C">
            <w:pPr>
              <w:rPr>
                <w:sz w:val="18"/>
                <w:szCs w:val="18"/>
              </w:rPr>
            </w:pPr>
            <w:r w:rsidRPr="007C4B51">
              <w:rPr>
                <w:sz w:val="18"/>
                <w:szCs w:val="18"/>
              </w:rPr>
              <w:t>0.771</w:t>
            </w:r>
          </w:p>
        </w:tc>
        <w:tc>
          <w:tcPr>
            <w:tcW w:w="1288" w:type="dxa"/>
            <w:gridSpan w:val="2"/>
          </w:tcPr>
          <w:p w14:paraId="60B41681" w14:textId="77777777" w:rsidR="00641E66" w:rsidRPr="007C4B51" w:rsidRDefault="00641E66" w:rsidP="0073510C">
            <w:pPr>
              <w:rPr>
                <w:sz w:val="18"/>
                <w:szCs w:val="18"/>
              </w:rPr>
            </w:pPr>
            <w:r w:rsidRPr="007C4B51">
              <w:rPr>
                <w:sz w:val="18"/>
                <w:szCs w:val="18"/>
              </w:rPr>
              <w:t>4.43</w:t>
            </w:r>
          </w:p>
        </w:tc>
        <w:tc>
          <w:tcPr>
            <w:tcW w:w="1399" w:type="dxa"/>
          </w:tcPr>
          <w:p w14:paraId="77D03F22" w14:textId="77777777" w:rsidR="00641E66" w:rsidRPr="007C4B51" w:rsidRDefault="00641E66" w:rsidP="0073510C">
            <w:pPr>
              <w:rPr>
                <w:sz w:val="18"/>
                <w:szCs w:val="18"/>
              </w:rPr>
            </w:pPr>
            <w:r w:rsidRPr="007C4B51">
              <w:rPr>
                <w:sz w:val="18"/>
                <w:szCs w:val="18"/>
              </w:rPr>
              <w:t>2018</w:t>
            </w:r>
          </w:p>
        </w:tc>
        <w:tc>
          <w:tcPr>
            <w:tcW w:w="1559" w:type="dxa"/>
          </w:tcPr>
          <w:p w14:paraId="0B12E740" w14:textId="77777777" w:rsidR="00641E66" w:rsidRPr="007C4B51" w:rsidRDefault="00641E66" w:rsidP="0073510C">
            <w:pPr>
              <w:rPr>
                <w:rFonts w:ascii="Calibri" w:hAnsi="Calibri"/>
                <w:sz w:val="18"/>
                <w:szCs w:val="18"/>
              </w:rPr>
            </w:pPr>
            <w:r w:rsidRPr="007C4B51">
              <w:rPr>
                <w:rFonts w:ascii="Calibri" w:hAnsi="Calibri"/>
                <w:sz w:val="18"/>
                <w:szCs w:val="18"/>
              </w:rPr>
              <w:t>$16</w:t>
            </w:r>
          </w:p>
        </w:tc>
      </w:tr>
      <w:tr w:rsidR="00641E66" w:rsidRPr="007C4B51" w14:paraId="560E0B54" w14:textId="77777777" w:rsidTr="00523124">
        <w:tc>
          <w:tcPr>
            <w:tcW w:w="1418" w:type="dxa"/>
            <w:gridSpan w:val="2"/>
            <w:vMerge/>
          </w:tcPr>
          <w:p w14:paraId="43DBCCFF" w14:textId="77777777" w:rsidR="00641E66" w:rsidRPr="004668AE" w:rsidRDefault="00641E66" w:rsidP="0073510C">
            <w:pPr>
              <w:rPr>
                <w:sz w:val="18"/>
                <w:szCs w:val="18"/>
              </w:rPr>
            </w:pPr>
          </w:p>
        </w:tc>
        <w:tc>
          <w:tcPr>
            <w:tcW w:w="1410" w:type="dxa"/>
          </w:tcPr>
          <w:p w14:paraId="62542E92" w14:textId="77777777" w:rsidR="00641E66" w:rsidRPr="007C4B51" w:rsidRDefault="00641E66" w:rsidP="0073510C">
            <w:pPr>
              <w:rPr>
                <w:sz w:val="18"/>
                <w:szCs w:val="18"/>
              </w:rPr>
            </w:pPr>
            <w:r w:rsidRPr="007C4B51">
              <w:rPr>
                <w:sz w:val="18"/>
                <w:szCs w:val="18"/>
              </w:rPr>
              <w:t>(e)</w:t>
            </w:r>
          </w:p>
        </w:tc>
        <w:tc>
          <w:tcPr>
            <w:tcW w:w="1148" w:type="dxa"/>
            <w:gridSpan w:val="3"/>
          </w:tcPr>
          <w:p w14:paraId="528B925F" w14:textId="77777777" w:rsidR="00641E66" w:rsidRPr="007C4B51" w:rsidRDefault="00641E66" w:rsidP="0073510C">
            <w:pPr>
              <w:rPr>
                <w:sz w:val="18"/>
                <w:szCs w:val="18"/>
              </w:rPr>
            </w:pPr>
            <w:r w:rsidRPr="007C4B51">
              <w:rPr>
                <w:sz w:val="18"/>
                <w:szCs w:val="18"/>
              </w:rPr>
              <w:t>0.806</w:t>
            </w:r>
          </w:p>
        </w:tc>
        <w:tc>
          <w:tcPr>
            <w:tcW w:w="1288" w:type="dxa"/>
            <w:gridSpan w:val="2"/>
          </w:tcPr>
          <w:p w14:paraId="4F7B1F9A" w14:textId="77777777" w:rsidR="00641E66" w:rsidRPr="007C4B51" w:rsidRDefault="00641E66" w:rsidP="0073510C">
            <w:pPr>
              <w:rPr>
                <w:sz w:val="18"/>
                <w:szCs w:val="18"/>
              </w:rPr>
            </w:pPr>
            <w:r w:rsidRPr="007C4B51">
              <w:rPr>
                <w:sz w:val="18"/>
                <w:szCs w:val="18"/>
              </w:rPr>
              <w:t>4.07</w:t>
            </w:r>
          </w:p>
        </w:tc>
        <w:tc>
          <w:tcPr>
            <w:tcW w:w="1399" w:type="dxa"/>
          </w:tcPr>
          <w:p w14:paraId="41782FA9" w14:textId="77777777" w:rsidR="00641E66" w:rsidRPr="007C4B51" w:rsidRDefault="00641E66" w:rsidP="0073510C">
            <w:pPr>
              <w:rPr>
                <w:sz w:val="18"/>
                <w:szCs w:val="18"/>
              </w:rPr>
            </w:pPr>
            <w:r w:rsidRPr="007C4B51">
              <w:rPr>
                <w:sz w:val="18"/>
                <w:szCs w:val="18"/>
              </w:rPr>
              <w:t>6869</w:t>
            </w:r>
          </w:p>
        </w:tc>
        <w:tc>
          <w:tcPr>
            <w:tcW w:w="1559" w:type="dxa"/>
          </w:tcPr>
          <w:p w14:paraId="3AC942A2" w14:textId="77777777" w:rsidR="00641E66" w:rsidRPr="007C4B51" w:rsidRDefault="00641E66" w:rsidP="0073510C">
            <w:pPr>
              <w:rPr>
                <w:rFonts w:ascii="Calibri" w:hAnsi="Calibri"/>
                <w:sz w:val="18"/>
                <w:szCs w:val="18"/>
              </w:rPr>
            </w:pPr>
            <w:r w:rsidRPr="007C4B51">
              <w:rPr>
                <w:rFonts w:ascii="Calibri" w:hAnsi="Calibri"/>
                <w:sz w:val="18"/>
                <w:szCs w:val="18"/>
              </w:rPr>
              <w:t>$23</w:t>
            </w:r>
          </w:p>
        </w:tc>
      </w:tr>
      <w:tr w:rsidR="003376A5" w:rsidRPr="009102F0" w14:paraId="17F675D5" w14:textId="77777777" w:rsidTr="00523124">
        <w:tc>
          <w:tcPr>
            <w:tcW w:w="1418" w:type="dxa"/>
            <w:gridSpan w:val="2"/>
            <w:vMerge w:val="restart"/>
          </w:tcPr>
          <w:p w14:paraId="33A8C4FD" w14:textId="77777777" w:rsidR="003376A5" w:rsidRPr="00F94B82" w:rsidRDefault="003376A5" w:rsidP="003376A5">
            <w:pPr>
              <w:rPr>
                <w:sz w:val="18"/>
                <w:szCs w:val="18"/>
                <w:highlight w:val="lightGray"/>
              </w:rPr>
            </w:pPr>
            <w:r w:rsidRPr="00F94B82">
              <w:rPr>
                <w:sz w:val="18"/>
                <w:szCs w:val="18"/>
                <w:highlight w:val="lightGray"/>
              </w:rPr>
              <w:t>Alternative underlying adherence pattern</w:t>
            </w:r>
          </w:p>
        </w:tc>
        <w:tc>
          <w:tcPr>
            <w:tcW w:w="1417" w:type="dxa"/>
            <w:gridSpan w:val="2"/>
          </w:tcPr>
          <w:p w14:paraId="6C99FEA4" w14:textId="77777777" w:rsidR="003376A5" w:rsidRPr="00F94B82" w:rsidRDefault="003376A5" w:rsidP="003376A5">
            <w:pPr>
              <w:rPr>
                <w:sz w:val="18"/>
                <w:szCs w:val="18"/>
                <w:highlight w:val="lightGray"/>
              </w:rPr>
            </w:pPr>
            <w:r w:rsidRPr="00F94B82">
              <w:rPr>
                <w:sz w:val="18"/>
                <w:szCs w:val="18"/>
                <w:highlight w:val="lightGray"/>
              </w:rPr>
              <w:t>No intervention</w:t>
            </w:r>
          </w:p>
        </w:tc>
        <w:tc>
          <w:tcPr>
            <w:tcW w:w="1134" w:type="dxa"/>
          </w:tcPr>
          <w:p w14:paraId="6ACAC686" w14:textId="4FDB7F26" w:rsidR="003376A5" w:rsidRPr="00F94B82" w:rsidRDefault="003376A5" w:rsidP="003376A5">
            <w:pPr>
              <w:rPr>
                <w:sz w:val="18"/>
                <w:szCs w:val="18"/>
                <w:highlight w:val="lightGray"/>
              </w:rPr>
            </w:pPr>
            <w:r w:rsidRPr="00F94B82">
              <w:rPr>
                <w:sz w:val="18"/>
                <w:szCs w:val="18"/>
                <w:highlight w:val="lightGray"/>
              </w:rPr>
              <w:t>0.747</w:t>
            </w:r>
          </w:p>
        </w:tc>
        <w:tc>
          <w:tcPr>
            <w:tcW w:w="1276" w:type="dxa"/>
            <w:gridSpan w:val="2"/>
          </w:tcPr>
          <w:p w14:paraId="002EE0B8" w14:textId="63BDD816" w:rsidR="003376A5" w:rsidRPr="00F94B82" w:rsidRDefault="003376A5" w:rsidP="003376A5">
            <w:pPr>
              <w:rPr>
                <w:sz w:val="18"/>
                <w:szCs w:val="18"/>
                <w:highlight w:val="lightGray"/>
              </w:rPr>
            </w:pPr>
            <w:r w:rsidRPr="00F94B82">
              <w:rPr>
                <w:rFonts w:cs="Arial"/>
                <w:color w:val="000000"/>
                <w:sz w:val="18"/>
                <w:szCs w:val="18"/>
                <w:highlight w:val="lightGray"/>
              </w:rPr>
              <w:t>4.75</w:t>
            </w:r>
          </w:p>
        </w:tc>
        <w:tc>
          <w:tcPr>
            <w:tcW w:w="1418" w:type="dxa"/>
            <w:gridSpan w:val="2"/>
          </w:tcPr>
          <w:p w14:paraId="216FA4D3" w14:textId="6F0FD4B9" w:rsidR="003376A5" w:rsidRPr="00F94B82" w:rsidRDefault="003376A5" w:rsidP="003376A5">
            <w:pPr>
              <w:rPr>
                <w:sz w:val="18"/>
                <w:szCs w:val="18"/>
                <w:highlight w:val="lightGray"/>
              </w:rPr>
            </w:pPr>
            <w:r w:rsidRPr="00F94B82">
              <w:rPr>
                <w:rFonts w:cs="Arial"/>
                <w:color w:val="000000"/>
                <w:sz w:val="18"/>
                <w:szCs w:val="18"/>
                <w:highlight w:val="lightGray"/>
              </w:rPr>
              <w:t>.</w:t>
            </w:r>
          </w:p>
        </w:tc>
        <w:tc>
          <w:tcPr>
            <w:tcW w:w="1559" w:type="dxa"/>
          </w:tcPr>
          <w:p w14:paraId="5312EC0C" w14:textId="77777777" w:rsidR="003376A5" w:rsidRPr="00F94B82" w:rsidRDefault="003376A5" w:rsidP="003376A5">
            <w:pPr>
              <w:rPr>
                <w:sz w:val="18"/>
                <w:szCs w:val="18"/>
                <w:highlight w:val="lightGray"/>
              </w:rPr>
            </w:pPr>
          </w:p>
        </w:tc>
      </w:tr>
      <w:tr w:rsidR="003376A5" w:rsidRPr="009102F0" w14:paraId="5E455C55" w14:textId="77777777" w:rsidTr="00523124">
        <w:tc>
          <w:tcPr>
            <w:tcW w:w="1418" w:type="dxa"/>
            <w:gridSpan w:val="2"/>
            <w:vMerge/>
          </w:tcPr>
          <w:p w14:paraId="65132E50" w14:textId="77777777" w:rsidR="003376A5" w:rsidRPr="00F94B82" w:rsidRDefault="003376A5" w:rsidP="003376A5">
            <w:pPr>
              <w:rPr>
                <w:sz w:val="18"/>
                <w:szCs w:val="18"/>
                <w:highlight w:val="lightGray"/>
              </w:rPr>
            </w:pPr>
          </w:p>
        </w:tc>
        <w:tc>
          <w:tcPr>
            <w:tcW w:w="1417" w:type="dxa"/>
            <w:gridSpan w:val="2"/>
          </w:tcPr>
          <w:p w14:paraId="2BE4AD46" w14:textId="77777777" w:rsidR="003376A5" w:rsidRPr="00F94B82" w:rsidRDefault="003376A5" w:rsidP="003376A5">
            <w:pPr>
              <w:rPr>
                <w:sz w:val="18"/>
                <w:szCs w:val="18"/>
                <w:highlight w:val="lightGray"/>
              </w:rPr>
            </w:pPr>
            <w:r w:rsidRPr="00F94B82">
              <w:rPr>
                <w:sz w:val="18"/>
                <w:szCs w:val="18"/>
                <w:highlight w:val="lightGray"/>
              </w:rPr>
              <w:t>(a)</w:t>
            </w:r>
          </w:p>
        </w:tc>
        <w:tc>
          <w:tcPr>
            <w:tcW w:w="1134" w:type="dxa"/>
          </w:tcPr>
          <w:p w14:paraId="7ED813B8" w14:textId="365256F0" w:rsidR="003376A5" w:rsidRPr="00F94B82" w:rsidRDefault="003376A5" w:rsidP="003376A5">
            <w:pPr>
              <w:rPr>
                <w:sz w:val="18"/>
                <w:szCs w:val="18"/>
                <w:highlight w:val="lightGray"/>
              </w:rPr>
            </w:pPr>
            <w:r w:rsidRPr="00F94B82">
              <w:rPr>
                <w:sz w:val="18"/>
                <w:szCs w:val="18"/>
                <w:highlight w:val="lightGray"/>
              </w:rPr>
              <w:t>0.767</w:t>
            </w:r>
          </w:p>
        </w:tc>
        <w:tc>
          <w:tcPr>
            <w:tcW w:w="1276" w:type="dxa"/>
            <w:gridSpan w:val="2"/>
          </w:tcPr>
          <w:p w14:paraId="42796A03" w14:textId="79B21C25" w:rsidR="003376A5" w:rsidRPr="00F94B82" w:rsidRDefault="003376A5" w:rsidP="003376A5">
            <w:pPr>
              <w:rPr>
                <w:sz w:val="18"/>
                <w:szCs w:val="18"/>
                <w:highlight w:val="lightGray"/>
              </w:rPr>
            </w:pPr>
            <w:r w:rsidRPr="00F94B82">
              <w:rPr>
                <w:rFonts w:cs="Arial"/>
                <w:color w:val="000000"/>
                <w:sz w:val="18"/>
                <w:szCs w:val="18"/>
                <w:highlight w:val="lightGray"/>
              </w:rPr>
              <w:t>4.56</w:t>
            </w:r>
          </w:p>
        </w:tc>
        <w:tc>
          <w:tcPr>
            <w:tcW w:w="1418" w:type="dxa"/>
            <w:gridSpan w:val="2"/>
          </w:tcPr>
          <w:p w14:paraId="46E4CBC8" w14:textId="140CEE5C" w:rsidR="003376A5" w:rsidRPr="00F94B82" w:rsidRDefault="003376A5" w:rsidP="003376A5">
            <w:pPr>
              <w:rPr>
                <w:sz w:val="18"/>
                <w:szCs w:val="18"/>
                <w:highlight w:val="lightGray"/>
              </w:rPr>
            </w:pPr>
            <w:r w:rsidRPr="00F94B82">
              <w:rPr>
                <w:rFonts w:cs="Arial"/>
                <w:color w:val="000000"/>
                <w:sz w:val="18"/>
                <w:szCs w:val="18"/>
                <w:highlight w:val="lightGray"/>
              </w:rPr>
              <w:t>2775</w:t>
            </w:r>
          </w:p>
        </w:tc>
        <w:tc>
          <w:tcPr>
            <w:tcW w:w="1559" w:type="dxa"/>
          </w:tcPr>
          <w:p w14:paraId="526A9790" w14:textId="750A7225" w:rsidR="003376A5" w:rsidRPr="00F94B82" w:rsidRDefault="00F40D88" w:rsidP="003376A5">
            <w:pPr>
              <w:rPr>
                <w:rFonts w:ascii="Calibri" w:hAnsi="Calibri"/>
                <w:sz w:val="18"/>
                <w:szCs w:val="18"/>
                <w:highlight w:val="lightGray"/>
              </w:rPr>
            </w:pPr>
            <w:r w:rsidRPr="00F94B82">
              <w:rPr>
                <w:rFonts w:ascii="Calibri" w:hAnsi="Calibri"/>
                <w:sz w:val="18"/>
                <w:szCs w:val="18"/>
                <w:highlight w:val="lightGray"/>
              </w:rPr>
              <w:t>$15</w:t>
            </w:r>
          </w:p>
        </w:tc>
      </w:tr>
      <w:tr w:rsidR="003376A5" w:rsidRPr="009102F0" w14:paraId="5964E2A9" w14:textId="77777777" w:rsidTr="00523124">
        <w:tc>
          <w:tcPr>
            <w:tcW w:w="1418" w:type="dxa"/>
            <w:gridSpan w:val="2"/>
            <w:vMerge/>
          </w:tcPr>
          <w:p w14:paraId="25F40DBC" w14:textId="77777777" w:rsidR="003376A5" w:rsidRPr="00F94B82" w:rsidRDefault="003376A5" w:rsidP="003376A5">
            <w:pPr>
              <w:rPr>
                <w:sz w:val="18"/>
                <w:szCs w:val="18"/>
                <w:highlight w:val="lightGray"/>
              </w:rPr>
            </w:pPr>
          </w:p>
        </w:tc>
        <w:tc>
          <w:tcPr>
            <w:tcW w:w="1417" w:type="dxa"/>
            <w:gridSpan w:val="2"/>
          </w:tcPr>
          <w:p w14:paraId="1EBFAB82" w14:textId="77777777" w:rsidR="003376A5" w:rsidRPr="00F94B82" w:rsidRDefault="003376A5" w:rsidP="003376A5">
            <w:pPr>
              <w:rPr>
                <w:sz w:val="18"/>
                <w:szCs w:val="18"/>
                <w:highlight w:val="lightGray"/>
              </w:rPr>
            </w:pPr>
            <w:r w:rsidRPr="00F94B82">
              <w:rPr>
                <w:sz w:val="18"/>
                <w:szCs w:val="18"/>
                <w:highlight w:val="lightGray"/>
              </w:rPr>
              <w:t>(b)</w:t>
            </w:r>
          </w:p>
        </w:tc>
        <w:tc>
          <w:tcPr>
            <w:tcW w:w="1134" w:type="dxa"/>
          </w:tcPr>
          <w:p w14:paraId="3A235545" w14:textId="524CEFBC" w:rsidR="003376A5" w:rsidRPr="00F94B82" w:rsidRDefault="003376A5" w:rsidP="003376A5">
            <w:pPr>
              <w:rPr>
                <w:sz w:val="18"/>
                <w:szCs w:val="18"/>
                <w:highlight w:val="lightGray"/>
              </w:rPr>
            </w:pPr>
            <w:r w:rsidRPr="00F94B82">
              <w:rPr>
                <w:sz w:val="18"/>
                <w:szCs w:val="18"/>
                <w:highlight w:val="lightGray"/>
              </w:rPr>
              <w:t>0.801</w:t>
            </w:r>
          </w:p>
        </w:tc>
        <w:tc>
          <w:tcPr>
            <w:tcW w:w="1276" w:type="dxa"/>
            <w:gridSpan w:val="2"/>
          </w:tcPr>
          <w:p w14:paraId="788B16FF" w14:textId="22163A89" w:rsidR="003376A5" w:rsidRPr="00F94B82" w:rsidRDefault="003376A5" w:rsidP="003376A5">
            <w:pPr>
              <w:rPr>
                <w:sz w:val="18"/>
                <w:szCs w:val="18"/>
                <w:highlight w:val="lightGray"/>
              </w:rPr>
            </w:pPr>
            <w:r w:rsidRPr="00F94B82">
              <w:rPr>
                <w:rFonts w:cs="Arial"/>
                <w:color w:val="000000"/>
                <w:sz w:val="18"/>
                <w:szCs w:val="18"/>
                <w:highlight w:val="lightGray"/>
              </w:rPr>
              <w:t>4.19</w:t>
            </w:r>
          </w:p>
        </w:tc>
        <w:tc>
          <w:tcPr>
            <w:tcW w:w="1418" w:type="dxa"/>
            <w:gridSpan w:val="2"/>
          </w:tcPr>
          <w:p w14:paraId="0AFE3A2A" w14:textId="3E890DED" w:rsidR="003376A5" w:rsidRPr="00F94B82" w:rsidRDefault="003376A5" w:rsidP="003376A5">
            <w:pPr>
              <w:rPr>
                <w:sz w:val="18"/>
                <w:szCs w:val="18"/>
                <w:highlight w:val="lightGray"/>
              </w:rPr>
            </w:pPr>
            <w:r w:rsidRPr="00F94B82">
              <w:rPr>
                <w:rFonts w:cs="Arial"/>
                <w:color w:val="000000"/>
                <w:sz w:val="18"/>
                <w:szCs w:val="18"/>
                <w:highlight w:val="lightGray"/>
              </w:rPr>
              <w:t>7777</w:t>
            </w:r>
          </w:p>
        </w:tc>
        <w:tc>
          <w:tcPr>
            <w:tcW w:w="1559" w:type="dxa"/>
          </w:tcPr>
          <w:p w14:paraId="560A04BE" w14:textId="73B8DD43" w:rsidR="003376A5" w:rsidRPr="00F94B82" w:rsidRDefault="00F94B82" w:rsidP="003376A5">
            <w:pPr>
              <w:rPr>
                <w:rFonts w:ascii="Calibri" w:hAnsi="Calibri"/>
                <w:sz w:val="18"/>
                <w:szCs w:val="18"/>
                <w:highlight w:val="lightGray"/>
              </w:rPr>
            </w:pPr>
            <w:r w:rsidRPr="00F94B82">
              <w:rPr>
                <w:rFonts w:ascii="Calibri" w:hAnsi="Calibri"/>
                <w:sz w:val="18"/>
                <w:szCs w:val="18"/>
                <w:highlight w:val="lightGray"/>
              </w:rPr>
              <w:t>$23</w:t>
            </w:r>
          </w:p>
        </w:tc>
      </w:tr>
      <w:tr w:rsidR="003376A5" w:rsidRPr="009102F0" w14:paraId="67169B35" w14:textId="77777777" w:rsidTr="00523124">
        <w:tc>
          <w:tcPr>
            <w:tcW w:w="1418" w:type="dxa"/>
            <w:gridSpan w:val="2"/>
            <w:vMerge/>
          </w:tcPr>
          <w:p w14:paraId="0E584DFB" w14:textId="77777777" w:rsidR="003376A5" w:rsidRPr="00F94B82" w:rsidRDefault="003376A5" w:rsidP="003376A5">
            <w:pPr>
              <w:rPr>
                <w:sz w:val="18"/>
                <w:szCs w:val="18"/>
                <w:highlight w:val="lightGray"/>
              </w:rPr>
            </w:pPr>
          </w:p>
        </w:tc>
        <w:tc>
          <w:tcPr>
            <w:tcW w:w="1417" w:type="dxa"/>
            <w:gridSpan w:val="2"/>
          </w:tcPr>
          <w:p w14:paraId="6CB44ED4" w14:textId="77777777" w:rsidR="003376A5" w:rsidRPr="00F94B82" w:rsidRDefault="003376A5" w:rsidP="003376A5">
            <w:pPr>
              <w:rPr>
                <w:sz w:val="18"/>
                <w:szCs w:val="18"/>
                <w:highlight w:val="lightGray"/>
              </w:rPr>
            </w:pPr>
            <w:r w:rsidRPr="00F94B82">
              <w:rPr>
                <w:sz w:val="18"/>
                <w:szCs w:val="18"/>
                <w:highlight w:val="lightGray"/>
              </w:rPr>
              <w:t>(c)</w:t>
            </w:r>
          </w:p>
        </w:tc>
        <w:tc>
          <w:tcPr>
            <w:tcW w:w="1134" w:type="dxa"/>
          </w:tcPr>
          <w:p w14:paraId="5C410124" w14:textId="4DAC0EE2" w:rsidR="003376A5" w:rsidRPr="00F94B82" w:rsidRDefault="003376A5" w:rsidP="003376A5">
            <w:pPr>
              <w:rPr>
                <w:sz w:val="18"/>
                <w:szCs w:val="18"/>
                <w:highlight w:val="lightGray"/>
              </w:rPr>
            </w:pPr>
            <w:r w:rsidRPr="00F94B82">
              <w:rPr>
                <w:sz w:val="18"/>
                <w:szCs w:val="18"/>
                <w:highlight w:val="lightGray"/>
              </w:rPr>
              <w:t>0.775</w:t>
            </w:r>
          </w:p>
        </w:tc>
        <w:tc>
          <w:tcPr>
            <w:tcW w:w="1276" w:type="dxa"/>
            <w:gridSpan w:val="2"/>
          </w:tcPr>
          <w:p w14:paraId="44D5B219" w14:textId="579A96C6" w:rsidR="003376A5" w:rsidRPr="00F94B82" w:rsidRDefault="003376A5" w:rsidP="003376A5">
            <w:pPr>
              <w:rPr>
                <w:sz w:val="18"/>
                <w:szCs w:val="18"/>
                <w:highlight w:val="lightGray"/>
              </w:rPr>
            </w:pPr>
            <w:r w:rsidRPr="00F94B82">
              <w:rPr>
                <w:rFonts w:cs="Arial"/>
                <w:color w:val="000000"/>
                <w:sz w:val="18"/>
                <w:szCs w:val="18"/>
                <w:highlight w:val="lightGray"/>
              </w:rPr>
              <w:t>4.39</w:t>
            </w:r>
          </w:p>
        </w:tc>
        <w:tc>
          <w:tcPr>
            <w:tcW w:w="1418" w:type="dxa"/>
            <w:gridSpan w:val="2"/>
          </w:tcPr>
          <w:p w14:paraId="551E31C3" w14:textId="22608268" w:rsidR="003376A5" w:rsidRPr="00F94B82" w:rsidRDefault="003376A5" w:rsidP="003376A5">
            <w:pPr>
              <w:rPr>
                <w:sz w:val="18"/>
                <w:szCs w:val="18"/>
                <w:highlight w:val="lightGray"/>
              </w:rPr>
            </w:pPr>
            <w:r w:rsidRPr="00F94B82">
              <w:rPr>
                <w:rFonts w:cs="Arial"/>
                <w:color w:val="000000"/>
                <w:sz w:val="18"/>
                <w:szCs w:val="18"/>
                <w:highlight w:val="lightGray"/>
              </w:rPr>
              <w:t>4410</w:t>
            </w:r>
          </w:p>
        </w:tc>
        <w:tc>
          <w:tcPr>
            <w:tcW w:w="1559" w:type="dxa"/>
          </w:tcPr>
          <w:p w14:paraId="0267E707" w14:textId="3C844B36" w:rsidR="003376A5" w:rsidRPr="00F94B82" w:rsidRDefault="003376A5" w:rsidP="003376A5">
            <w:pPr>
              <w:rPr>
                <w:rFonts w:ascii="Calibri" w:hAnsi="Calibri"/>
                <w:sz w:val="18"/>
                <w:szCs w:val="18"/>
                <w:highlight w:val="lightGray"/>
              </w:rPr>
            </w:pPr>
            <w:r w:rsidRPr="00F94B82">
              <w:rPr>
                <w:rFonts w:ascii="Calibri" w:hAnsi="Calibri"/>
                <w:sz w:val="18"/>
                <w:szCs w:val="18"/>
                <w:highlight w:val="lightGray"/>
              </w:rPr>
              <w:t>$6</w:t>
            </w:r>
          </w:p>
        </w:tc>
      </w:tr>
      <w:tr w:rsidR="003376A5" w:rsidRPr="009102F0" w14:paraId="11C97552" w14:textId="77777777" w:rsidTr="00523124">
        <w:tc>
          <w:tcPr>
            <w:tcW w:w="1418" w:type="dxa"/>
            <w:gridSpan w:val="2"/>
            <w:vMerge/>
          </w:tcPr>
          <w:p w14:paraId="694D2BC7" w14:textId="77777777" w:rsidR="003376A5" w:rsidRPr="00F94B82" w:rsidRDefault="003376A5" w:rsidP="003376A5">
            <w:pPr>
              <w:rPr>
                <w:sz w:val="18"/>
                <w:szCs w:val="18"/>
                <w:highlight w:val="lightGray"/>
              </w:rPr>
            </w:pPr>
          </w:p>
        </w:tc>
        <w:tc>
          <w:tcPr>
            <w:tcW w:w="1417" w:type="dxa"/>
            <w:gridSpan w:val="2"/>
          </w:tcPr>
          <w:p w14:paraId="509554DF" w14:textId="77777777" w:rsidR="003376A5" w:rsidRPr="00F94B82" w:rsidRDefault="003376A5" w:rsidP="003376A5">
            <w:pPr>
              <w:rPr>
                <w:sz w:val="18"/>
                <w:szCs w:val="18"/>
                <w:highlight w:val="lightGray"/>
              </w:rPr>
            </w:pPr>
            <w:r w:rsidRPr="00F94B82">
              <w:rPr>
                <w:sz w:val="18"/>
                <w:szCs w:val="18"/>
                <w:highlight w:val="lightGray"/>
              </w:rPr>
              <w:t>(d)</w:t>
            </w:r>
          </w:p>
        </w:tc>
        <w:tc>
          <w:tcPr>
            <w:tcW w:w="1134" w:type="dxa"/>
          </w:tcPr>
          <w:p w14:paraId="0BE5D837" w14:textId="60755490" w:rsidR="003376A5" w:rsidRPr="00F94B82" w:rsidRDefault="003376A5" w:rsidP="003376A5">
            <w:pPr>
              <w:rPr>
                <w:sz w:val="18"/>
                <w:szCs w:val="18"/>
                <w:highlight w:val="lightGray"/>
              </w:rPr>
            </w:pPr>
            <w:r w:rsidRPr="00F94B82">
              <w:rPr>
                <w:sz w:val="18"/>
                <w:szCs w:val="18"/>
                <w:highlight w:val="lightGray"/>
              </w:rPr>
              <w:t>0.78</w:t>
            </w:r>
          </w:p>
        </w:tc>
        <w:tc>
          <w:tcPr>
            <w:tcW w:w="1276" w:type="dxa"/>
            <w:gridSpan w:val="2"/>
          </w:tcPr>
          <w:p w14:paraId="0BA46A5C" w14:textId="1C8C8D56" w:rsidR="003376A5" w:rsidRPr="00F94B82" w:rsidRDefault="003376A5" w:rsidP="003376A5">
            <w:pPr>
              <w:rPr>
                <w:sz w:val="18"/>
                <w:szCs w:val="18"/>
                <w:highlight w:val="lightGray"/>
              </w:rPr>
            </w:pPr>
            <w:r w:rsidRPr="00F94B82">
              <w:rPr>
                <w:rFonts w:cs="Arial"/>
                <w:color w:val="000000"/>
                <w:sz w:val="18"/>
                <w:szCs w:val="18"/>
                <w:highlight w:val="lightGray"/>
              </w:rPr>
              <w:t>4.49</w:t>
            </w:r>
          </w:p>
        </w:tc>
        <w:tc>
          <w:tcPr>
            <w:tcW w:w="1418" w:type="dxa"/>
            <w:gridSpan w:val="2"/>
          </w:tcPr>
          <w:p w14:paraId="3D90FDA0" w14:textId="67F27319" w:rsidR="003376A5" w:rsidRPr="00F94B82" w:rsidRDefault="003376A5" w:rsidP="003376A5">
            <w:pPr>
              <w:rPr>
                <w:sz w:val="18"/>
                <w:szCs w:val="18"/>
                <w:highlight w:val="lightGray"/>
              </w:rPr>
            </w:pPr>
            <w:r w:rsidRPr="00F94B82">
              <w:rPr>
                <w:rFonts w:cs="Arial"/>
                <w:color w:val="000000"/>
                <w:sz w:val="18"/>
                <w:szCs w:val="18"/>
                <w:highlight w:val="lightGray"/>
              </w:rPr>
              <w:t>3397</w:t>
            </w:r>
          </w:p>
        </w:tc>
        <w:tc>
          <w:tcPr>
            <w:tcW w:w="1559" w:type="dxa"/>
          </w:tcPr>
          <w:p w14:paraId="7E5EB16C" w14:textId="3661E7FE" w:rsidR="003376A5" w:rsidRPr="00F94B82" w:rsidRDefault="00511EE9" w:rsidP="003376A5">
            <w:pPr>
              <w:rPr>
                <w:rFonts w:ascii="Calibri" w:hAnsi="Calibri"/>
                <w:sz w:val="18"/>
                <w:szCs w:val="18"/>
                <w:highlight w:val="lightGray"/>
              </w:rPr>
            </w:pPr>
            <w:r w:rsidRPr="00F94B82">
              <w:rPr>
                <w:rFonts w:ascii="Calibri" w:hAnsi="Calibri"/>
                <w:sz w:val="18"/>
                <w:szCs w:val="18"/>
                <w:highlight w:val="lightGray"/>
              </w:rPr>
              <w:t>$20</w:t>
            </w:r>
          </w:p>
        </w:tc>
      </w:tr>
      <w:tr w:rsidR="003376A5" w:rsidRPr="009102F0" w14:paraId="574E75A3" w14:textId="77777777" w:rsidTr="00523124">
        <w:tc>
          <w:tcPr>
            <w:tcW w:w="1418" w:type="dxa"/>
            <w:gridSpan w:val="2"/>
            <w:vMerge/>
          </w:tcPr>
          <w:p w14:paraId="78A692A4" w14:textId="77777777" w:rsidR="003376A5" w:rsidRPr="00F94B82" w:rsidRDefault="003376A5" w:rsidP="003376A5">
            <w:pPr>
              <w:rPr>
                <w:sz w:val="18"/>
                <w:szCs w:val="18"/>
                <w:highlight w:val="lightGray"/>
              </w:rPr>
            </w:pPr>
          </w:p>
        </w:tc>
        <w:tc>
          <w:tcPr>
            <w:tcW w:w="1417" w:type="dxa"/>
            <w:gridSpan w:val="2"/>
          </w:tcPr>
          <w:p w14:paraId="2954A533" w14:textId="77777777" w:rsidR="003376A5" w:rsidRPr="00F94B82" w:rsidRDefault="003376A5" w:rsidP="003376A5">
            <w:pPr>
              <w:rPr>
                <w:sz w:val="18"/>
                <w:szCs w:val="18"/>
                <w:highlight w:val="lightGray"/>
              </w:rPr>
            </w:pPr>
            <w:r w:rsidRPr="00F94B82">
              <w:rPr>
                <w:sz w:val="18"/>
                <w:szCs w:val="18"/>
                <w:highlight w:val="lightGray"/>
              </w:rPr>
              <w:t>(e)</w:t>
            </w:r>
          </w:p>
        </w:tc>
        <w:tc>
          <w:tcPr>
            <w:tcW w:w="1134" w:type="dxa"/>
          </w:tcPr>
          <w:p w14:paraId="2F5266AD" w14:textId="1DD72821" w:rsidR="003376A5" w:rsidRPr="00F94B82" w:rsidRDefault="003376A5" w:rsidP="003376A5">
            <w:pPr>
              <w:rPr>
                <w:sz w:val="18"/>
                <w:szCs w:val="18"/>
                <w:highlight w:val="lightGray"/>
              </w:rPr>
            </w:pPr>
            <w:r w:rsidRPr="00F94B82">
              <w:rPr>
                <w:sz w:val="18"/>
                <w:szCs w:val="18"/>
                <w:highlight w:val="lightGray"/>
              </w:rPr>
              <w:t>0.816</w:t>
            </w:r>
          </w:p>
        </w:tc>
        <w:tc>
          <w:tcPr>
            <w:tcW w:w="1276" w:type="dxa"/>
            <w:gridSpan w:val="2"/>
          </w:tcPr>
          <w:p w14:paraId="0739C9D3" w14:textId="228767DF" w:rsidR="003376A5" w:rsidRPr="00F94B82" w:rsidRDefault="003376A5" w:rsidP="003376A5">
            <w:pPr>
              <w:rPr>
                <w:sz w:val="18"/>
                <w:szCs w:val="18"/>
                <w:highlight w:val="lightGray"/>
              </w:rPr>
            </w:pPr>
            <w:r w:rsidRPr="00F94B82">
              <w:rPr>
                <w:rFonts w:cs="Arial"/>
                <w:color w:val="000000"/>
                <w:sz w:val="18"/>
                <w:szCs w:val="18"/>
                <w:highlight w:val="lightGray"/>
              </w:rPr>
              <w:t>4.12</w:t>
            </w:r>
          </w:p>
        </w:tc>
        <w:tc>
          <w:tcPr>
            <w:tcW w:w="1418" w:type="dxa"/>
            <w:gridSpan w:val="2"/>
          </w:tcPr>
          <w:p w14:paraId="4F00685C" w14:textId="511EA5FD" w:rsidR="003376A5" w:rsidRPr="00F94B82" w:rsidRDefault="003376A5" w:rsidP="003376A5">
            <w:pPr>
              <w:rPr>
                <w:sz w:val="18"/>
                <w:szCs w:val="18"/>
                <w:highlight w:val="lightGray"/>
              </w:rPr>
            </w:pPr>
            <w:r w:rsidRPr="00F94B82">
              <w:rPr>
                <w:rFonts w:cs="Arial"/>
                <w:color w:val="000000"/>
                <w:sz w:val="18"/>
                <w:szCs w:val="18"/>
                <w:highlight w:val="lightGray"/>
              </w:rPr>
              <w:t>8480</w:t>
            </w:r>
          </w:p>
        </w:tc>
        <w:tc>
          <w:tcPr>
            <w:tcW w:w="1559" w:type="dxa"/>
          </w:tcPr>
          <w:p w14:paraId="5DB080EA" w14:textId="1D25F946" w:rsidR="003376A5" w:rsidRPr="00F94B82" w:rsidRDefault="00F94B82" w:rsidP="003376A5">
            <w:pPr>
              <w:rPr>
                <w:rFonts w:ascii="Calibri" w:hAnsi="Calibri"/>
                <w:sz w:val="18"/>
                <w:szCs w:val="18"/>
                <w:highlight w:val="lightGray"/>
              </w:rPr>
            </w:pPr>
            <w:r w:rsidRPr="00F94B82">
              <w:rPr>
                <w:rFonts w:ascii="Calibri" w:hAnsi="Calibri"/>
                <w:sz w:val="18"/>
                <w:szCs w:val="18"/>
                <w:highlight w:val="lightGray"/>
              </w:rPr>
              <w:t>$28</w:t>
            </w:r>
          </w:p>
        </w:tc>
      </w:tr>
    </w:tbl>
    <w:p w14:paraId="7803C5E1" w14:textId="77777777" w:rsidR="00AB1156" w:rsidRPr="009102F0" w:rsidRDefault="00AB1156" w:rsidP="00AB1156">
      <w:pPr>
        <w:spacing w:after="0"/>
        <w:rPr>
          <w:sz w:val="18"/>
          <w:szCs w:val="18"/>
        </w:rPr>
      </w:pPr>
    </w:p>
    <w:p w14:paraId="73D5847B" w14:textId="77777777" w:rsidR="00641E66" w:rsidRPr="0034620A" w:rsidRDefault="00641E66" w:rsidP="00641E66">
      <w:pPr>
        <w:rPr>
          <w:color w:val="808080" w:themeColor="background1" w:themeShade="80"/>
        </w:rPr>
      </w:pPr>
    </w:p>
    <w:p w14:paraId="61486342" w14:textId="77777777" w:rsidR="00641E66" w:rsidRPr="00CD7BB8" w:rsidRDefault="00641E66" w:rsidP="00641E66">
      <w:pPr>
        <w:rPr>
          <w:sz w:val="20"/>
          <w:szCs w:val="20"/>
        </w:rPr>
      </w:pPr>
      <w:r w:rsidRPr="00CD7BB8">
        <w:rPr>
          <w:sz w:val="20"/>
          <w:szCs w:val="20"/>
        </w:rPr>
        <w:t>** here only the no intervention scenario has viral load monitoring.</w:t>
      </w:r>
    </w:p>
    <w:p w14:paraId="3114CF7E" w14:textId="77777777" w:rsidR="00641E66" w:rsidRDefault="00641E66" w:rsidP="00641E66">
      <w:pPr>
        <w:rPr>
          <w:b/>
          <w:color w:val="AB112E"/>
        </w:rPr>
      </w:pPr>
    </w:p>
    <w:p w14:paraId="5CE039BA" w14:textId="2FAEC037" w:rsidR="004F2235" w:rsidRPr="009102F0" w:rsidRDefault="00937D14" w:rsidP="00641E66">
      <w:pPr>
        <w:spacing w:line="420" w:lineRule="auto"/>
      </w:pPr>
      <w:r w:rsidRPr="009102F0">
        <w:t>When viral load monitoring is available (Table 2b),</w:t>
      </w:r>
      <w:r w:rsidR="006E6D3C" w:rsidRPr="009102F0">
        <w:t xml:space="preserve"> </w:t>
      </w:r>
      <w:r w:rsidRPr="009102F0">
        <w:t xml:space="preserve">benefits </w:t>
      </w:r>
      <w:r w:rsidR="006E6D3C" w:rsidRPr="009102F0">
        <w:t>in terms of viral suppression</w:t>
      </w:r>
      <w:r w:rsidR="008F7382" w:rsidRPr="009102F0">
        <w:t>,</w:t>
      </w:r>
      <w:r w:rsidR="006E6D3C" w:rsidRPr="009102F0">
        <w:t xml:space="preserve"> death rates and DALYs </w:t>
      </w:r>
      <w:r w:rsidRPr="009102F0">
        <w:t xml:space="preserve">are </w:t>
      </w:r>
      <w:r w:rsidR="006E6D3C" w:rsidRPr="009102F0">
        <w:t>similar to the case with</w:t>
      </w:r>
      <w:r w:rsidR="00E95E15" w:rsidRPr="009102F0">
        <w:t>out</w:t>
      </w:r>
      <w:r w:rsidR="006E6D3C" w:rsidRPr="009102F0">
        <w:t xml:space="preserve"> viral load monitoring. </w:t>
      </w:r>
      <w:r w:rsidR="00D61EDC" w:rsidRPr="009102F0">
        <w:t xml:space="preserve"> However, since there is less of a benefit in cost due to the fact that care is already differentiated</w:t>
      </w:r>
      <w:r w:rsidR="00E95E15" w:rsidRPr="009102F0">
        <w:t>, based on</w:t>
      </w:r>
      <w:r w:rsidR="00D61EDC" w:rsidRPr="009102F0">
        <w:t xml:space="preserve"> viral load (Figure 2), the cost of the adherence monitoring-based intervention </w:t>
      </w:r>
      <w:r w:rsidR="0078005B" w:rsidRPr="009102F0">
        <w:t>required</w:t>
      </w:r>
      <w:r w:rsidR="00D61EDC" w:rsidRPr="009102F0">
        <w:t xml:space="preserve"> to be cost effective is substantially lower.  </w:t>
      </w:r>
      <w:r w:rsidRPr="009102F0">
        <w:t xml:space="preserve"> </w:t>
      </w:r>
      <w:r w:rsidR="00D61EDC" w:rsidRPr="009102F0">
        <w:t>Still, an intervention costing $2</w:t>
      </w:r>
      <w:r w:rsidR="00743A12" w:rsidRPr="009102F0">
        <w:t>3</w:t>
      </w:r>
      <w:r w:rsidR="00D61EDC" w:rsidRPr="009102F0">
        <w:t xml:space="preserve"> per</w:t>
      </w:r>
      <w:r w:rsidR="00743A12" w:rsidRPr="009102F0">
        <w:t xml:space="preserve"> year</w:t>
      </w:r>
      <w:r w:rsidR="00D61EDC" w:rsidRPr="009102F0">
        <w:t xml:space="preserve"> per person on ART, if it increases th</w:t>
      </w:r>
      <w:r w:rsidR="002C59D7" w:rsidRPr="009102F0">
        <w:t>e</w:t>
      </w:r>
      <w:r w:rsidR="00D61EDC" w:rsidRPr="009102F0">
        <w:t xml:space="preserve"> proportion of ART experienced people with viral load &lt; 1000 cps/mL by 5</w:t>
      </w:r>
      <w:r w:rsidR="0054717F" w:rsidRPr="009102F0">
        <w:t>.9</w:t>
      </w:r>
      <w:r w:rsidR="00D61EDC" w:rsidRPr="009102F0">
        <w:t xml:space="preserve">%, would be cost effective.  </w:t>
      </w:r>
      <w:r w:rsidR="002C59D7" w:rsidRPr="009102F0">
        <w:t xml:space="preserve"> </w:t>
      </w:r>
    </w:p>
    <w:p w14:paraId="02263C52" w14:textId="39E614CD" w:rsidR="004F2235" w:rsidRPr="009102F0" w:rsidRDefault="004F2235" w:rsidP="00641E66">
      <w:pPr>
        <w:spacing w:line="420" w:lineRule="auto"/>
      </w:pPr>
      <w:r w:rsidRPr="009102F0">
        <w:t xml:space="preserve">If viral load monitoring is available as well as an adherence monitoring intervention then perhaps a more likely situation </w:t>
      </w:r>
      <w:r w:rsidR="00B03603" w:rsidRPr="009102F0">
        <w:t xml:space="preserve">than our base case </w:t>
      </w:r>
      <w:r w:rsidRPr="009102F0">
        <w:t xml:space="preserve">is that viral load measurement will be ceased in people with a previous viral load level measured below 1000 </w:t>
      </w:r>
      <w:r w:rsidR="00CE128B" w:rsidRPr="009102F0">
        <w:t>copies</w:t>
      </w:r>
      <w:r w:rsidRPr="009102F0">
        <w:t>/mL and &gt; 80% adherence since</w:t>
      </w:r>
      <w:r w:rsidR="00DA204D">
        <w:t xml:space="preserve"> the viral load measurement</w:t>
      </w:r>
      <w:r w:rsidRPr="009102F0">
        <w:t>.  In this case (Table 3b), an intervention costing $32 per year per person on ART, if it increases the proportion of ART experienced people with viral load &lt; 1000 cps/mL by 5.5%, would be cost effective.</w:t>
      </w:r>
    </w:p>
    <w:p w14:paraId="4A1E7FB3" w14:textId="490E4BE2" w:rsidR="00E95E15" w:rsidRPr="009102F0" w:rsidRDefault="002C59D7" w:rsidP="00641E66">
      <w:pPr>
        <w:spacing w:line="420" w:lineRule="auto"/>
      </w:pPr>
      <w:r w:rsidRPr="009102F0">
        <w:t xml:space="preserve">In </w:t>
      </w:r>
      <w:r w:rsidR="0078005B" w:rsidRPr="009102F0">
        <w:t>sensitivity</w:t>
      </w:r>
      <w:r w:rsidRPr="009102F0">
        <w:t xml:space="preserve"> analyses</w:t>
      </w:r>
      <w:r w:rsidR="004F2235" w:rsidRPr="009102F0">
        <w:t xml:space="preserve"> (Table 3b)</w:t>
      </w:r>
      <w:r w:rsidRPr="009102F0">
        <w:t xml:space="preserve">, the </w:t>
      </w:r>
      <w:r w:rsidR="00A41517">
        <w:t xml:space="preserve">maximum </w:t>
      </w:r>
      <w:r w:rsidRPr="009102F0">
        <w:t xml:space="preserve">intervention cost </w:t>
      </w:r>
      <w:r w:rsidR="00A41517">
        <w:t xml:space="preserve">permissible for it </w:t>
      </w:r>
      <w:r w:rsidRPr="009102F0">
        <w:t>to be cost</w:t>
      </w:r>
      <w:r w:rsidR="00743A12" w:rsidRPr="009102F0">
        <w:t xml:space="preserve"> effective is </w:t>
      </w:r>
      <w:r w:rsidR="004F2235" w:rsidRPr="009102F0">
        <w:t xml:space="preserve">also </w:t>
      </w:r>
      <w:r w:rsidR="00743A12" w:rsidRPr="009102F0">
        <w:t>higher in the situ</w:t>
      </w:r>
      <w:r w:rsidRPr="009102F0">
        <w:t>ations where</w:t>
      </w:r>
      <w:r w:rsidR="004B3F7C" w:rsidRPr="009102F0">
        <w:t xml:space="preserve"> the </w:t>
      </w:r>
      <w:r w:rsidRPr="009102F0">
        <w:t>adherence</w:t>
      </w:r>
      <w:r w:rsidR="004B3F7C" w:rsidRPr="009102F0">
        <w:t xml:space="preserve"> levels in the population are gene</w:t>
      </w:r>
      <w:r w:rsidR="00743A12" w:rsidRPr="009102F0">
        <w:t>r</w:t>
      </w:r>
      <w:r w:rsidR="004B3F7C" w:rsidRPr="009102F0">
        <w:t>ally lower</w:t>
      </w:r>
      <w:r w:rsidR="00E95E15" w:rsidRPr="009102F0">
        <w:t xml:space="preserve"> or when </w:t>
      </w:r>
      <w:r w:rsidR="007E2417">
        <w:t xml:space="preserve">the </w:t>
      </w:r>
      <w:r w:rsidR="00E95E15" w:rsidRPr="009102F0">
        <w:t>intervention replaces viral load monitoring rather than being in addition.</w:t>
      </w:r>
      <w:r w:rsidR="0013357B">
        <w:t xml:space="preserve">  </w:t>
      </w:r>
    </w:p>
    <w:p w14:paraId="51617A01" w14:textId="4DE307C7" w:rsidR="007426E1" w:rsidRPr="00DC3A0F" w:rsidRDefault="007426E1" w:rsidP="00641E66">
      <w:pPr>
        <w:spacing w:line="420" w:lineRule="auto"/>
        <w:rPr>
          <w:b/>
          <w:color w:val="A50021"/>
          <w:sz w:val="36"/>
          <w:szCs w:val="36"/>
        </w:rPr>
      </w:pPr>
      <w:r w:rsidRPr="00DC3A0F">
        <w:rPr>
          <w:b/>
          <w:color w:val="A50021"/>
          <w:sz w:val="36"/>
          <w:szCs w:val="36"/>
        </w:rPr>
        <w:t>Discussion</w:t>
      </w:r>
    </w:p>
    <w:p w14:paraId="23924C49" w14:textId="5660881F" w:rsidR="002A065B" w:rsidRPr="009102F0" w:rsidRDefault="002A065B" w:rsidP="00641E66">
      <w:pPr>
        <w:spacing w:line="420" w:lineRule="auto"/>
      </w:pPr>
      <w:r w:rsidRPr="009102F0">
        <w:t xml:space="preserve">In this paper we </w:t>
      </w:r>
      <w:r w:rsidR="00506947" w:rsidRPr="009102F0">
        <w:t xml:space="preserve">use </w:t>
      </w:r>
      <w:r w:rsidRPr="009102F0">
        <w:t xml:space="preserve">a </w:t>
      </w:r>
      <w:r w:rsidR="00506947" w:rsidRPr="009102F0">
        <w:t xml:space="preserve">mathematical </w:t>
      </w:r>
      <w:r w:rsidRPr="009102F0">
        <w:t xml:space="preserve">model which captures the joint effects of adherence and viral resistance on response to ART in order to provide a link between viral suppression outcomes </w:t>
      </w:r>
      <w:r w:rsidR="00073F2F" w:rsidRPr="009102F0">
        <w:t xml:space="preserve">of a putative adherence monitoring intervention </w:t>
      </w:r>
      <w:r w:rsidRPr="009102F0">
        <w:t>and key programme outcomes of death rates and DALYs.  This should facilitate use of data from trials of adherence</w:t>
      </w:r>
      <w:r w:rsidR="00073F2F" w:rsidRPr="009102F0">
        <w:t xml:space="preserve"> monitoring</w:t>
      </w:r>
      <w:r w:rsidRPr="009102F0">
        <w:t xml:space="preserve"> interventions to be used to predict the population impact of the interventions, and hence allow assessment of cost effectiveness of such interventions.  </w:t>
      </w:r>
      <w:r w:rsidR="00693D2C" w:rsidRPr="009102F0">
        <w:t>Our results should</w:t>
      </w:r>
      <w:r w:rsidR="00073F2F" w:rsidRPr="009102F0">
        <w:t xml:space="preserve"> also be useful in the design of trials when</w:t>
      </w:r>
      <w:r w:rsidR="00717366">
        <w:t xml:space="preserve"> specifying the target effect for</w:t>
      </w:r>
      <w:r w:rsidR="00073F2F" w:rsidRPr="009102F0">
        <w:t xml:space="preserve"> viral load or adherence outcomes, for sample size calculation.   </w:t>
      </w:r>
    </w:p>
    <w:p w14:paraId="3E8550C8" w14:textId="7E27DE3A" w:rsidR="00F74B47" w:rsidRPr="009102F0" w:rsidRDefault="00F13662" w:rsidP="00641E66">
      <w:pPr>
        <w:spacing w:line="420" w:lineRule="auto"/>
        <w:rPr>
          <w:color w:val="000000" w:themeColor="text1"/>
        </w:rPr>
      </w:pPr>
      <w:r w:rsidRPr="009102F0">
        <w:rPr>
          <w:color w:val="000000" w:themeColor="text1"/>
        </w:rPr>
        <w:t xml:space="preserve">In assessing cost effectiveness of adherence monitoring-based interventions it is important to consider what laboratory monitoring is in place, if any.  </w:t>
      </w:r>
      <w:r w:rsidR="00506947" w:rsidRPr="009102F0">
        <w:rPr>
          <w:color w:val="000000" w:themeColor="text1"/>
        </w:rPr>
        <w:t>We considered our adherenc</w:t>
      </w:r>
      <w:r w:rsidR="00B03603" w:rsidRPr="009102F0">
        <w:rPr>
          <w:color w:val="000000" w:themeColor="text1"/>
        </w:rPr>
        <w:t>e monitoring intervention in three main</w:t>
      </w:r>
      <w:r w:rsidR="00506947" w:rsidRPr="009102F0">
        <w:rPr>
          <w:color w:val="000000" w:themeColor="text1"/>
        </w:rPr>
        <w:t xml:space="preserve"> contexts: one in the presence of viral load monitoring </w:t>
      </w:r>
      <w:r w:rsidR="00B03603" w:rsidRPr="009102F0">
        <w:rPr>
          <w:color w:val="000000" w:themeColor="text1"/>
        </w:rPr>
        <w:t xml:space="preserve">where viral load monitoring continues alongside the adherence monitoring intervention, one in which viral load monitoring is available but is selectively replaced by adherence monitoring, and </w:t>
      </w:r>
      <w:r w:rsidR="00506947" w:rsidRPr="009102F0">
        <w:rPr>
          <w:color w:val="000000" w:themeColor="text1"/>
        </w:rPr>
        <w:t xml:space="preserve">one in the </w:t>
      </w:r>
      <w:r w:rsidR="00B03603" w:rsidRPr="009102F0">
        <w:rPr>
          <w:color w:val="000000" w:themeColor="text1"/>
        </w:rPr>
        <w:t>complete absence of viral load monitoring</w:t>
      </w:r>
      <w:r w:rsidR="00506947" w:rsidRPr="009102F0">
        <w:rPr>
          <w:color w:val="000000" w:themeColor="text1"/>
        </w:rPr>
        <w:t xml:space="preserve">.   </w:t>
      </w:r>
      <w:r w:rsidR="001D6F06" w:rsidRPr="009102F0">
        <w:rPr>
          <w:color w:val="000000" w:themeColor="text1"/>
        </w:rPr>
        <w:t>Given that the non-ART programme costs of providing for clinic visits average $60-$90 per year in low income settings in Africa</w:t>
      </w:r>
      <w:r w:rsidR="00B64E87" w:rsidRPr="009102F0">
        <w:rPr>
          <w:color w:val="000000" w:themeColor="text1"/>
        </w:rPr>
        <w:t>,</w:t>
      </w:r>
      <w:r w:rsidR="001D6F06" w:rsidRPr="009102F0">
        <w:rPr>
          <w:color w:val="000000" w:themeColor="text1"/>
        </w:rPr>
        <w:t xml:space="preserve"> </w:t>
      </w:r>
      <w:r w:rsidRPr="009102F0">
        <w:rPr>
          <w:color w:val="000000" w:themeColor="text1"/>
        </w:rPr>
        <w:t xml:space="preserve">approaches that enable </w:t>
      </w:r>
      <w:r w:rsidR="001D6F06" w:rsidRPr="009102F0">
        <w:rPr>
          <w:color w:val="000000" w:themeColor="text1"/>
        </w:rPr>
        <w:t xml:space="preserve">differentiation of care </w:t>
      </w:r>
      <w:r w:rsidR="00110488">
        <w:rPr>
          <w:color w:val="000000" w:themeColor="text1"/>
        </w:rPr>
        <w:t xml:space="preserve">to allow less clinical visits in those doing well on ART </w:t>
      </w:r>
      <w:r w:rsidR="001D6F06" w:rsidRPr="009102F0">
        <w:rPr>
          <w:color w:val="000000" w:themeColor="text1"/>
        </w:rPr>
        <w:t>are potentially highly significant</w:t>
      </w:r>
      <w:r w:rsidR="00500A36" w:rsidRPr="009102F0">
        <w:rPr>
          <w:color w:val="000000" w:themeColor="text1"/>
        </w:rPr>
        <w:t xml:space="preserve"> </w:t>
      </w:r>
      <w:r w:rsidR="00B666FC">
        <w:rPr>
          <w:color w:val="000000" w:themeColor="text1"/>
        </w:rPr>
        <w:t>[58]</w:t>
      </w:r>
      <w:r w:rsidR="001D6F06" w:rsidRPr="009102F0">
        <w:rPr>
          <w:color w:val="000000" w:themeColor="text1"/>
        </w:rPr>
        <w:t xml:space="preserve">.  </w:t>
      </w:r>
      <w:r w:rsidR="00F74B47" w:rsidRPr="009102F0">
        <w:rPr>
          <w:color w:val="000000" w:themeColor="text1"/>
        </w:rPr>
        <w:t>We assumed that in the scenario where vir</w:t>
      </w:r>
      <w:r w:rsidRPr="009102F0">
        <w:rPr>
          <w:color w:val="000000" w:themeColor="text1"/>
        </w:rPr>
        <w:t>al load monitoring is available</w:t>
      </w:r>
      <w:r w:rsidR="00F74B47" w:rsidRPr="009102F0">
        <w:rPr>
          <w:color w:val="000000" w:themeColor="text1"/>
        </w:rPr>
        <w:t xml:space="preserve"> such an appro</w:t>
      </w:r>
      <w:r w:rsidR="00F4414A" w:rsidRPr="009102F0">
        <w:rPr>
          <w:color w:val="000000" w:themeColor="text1"/>
        </w:rPr>
        <w:t>a</w:t>
      </w:r>
      <w:r w:rsidR="00F74B47" w:rsidRPr="009102F0">
        <w:rPr>
          <w:color w:val="000000" w:themeColor="text1"/>
        </w:rPr>
        <w:t xml:space="preserve">ch </w:t>
      </w:r>
      <w:r w:rsidRPr="009102F0">
        <w:rPr>
          <w:color w:val="000000" w:themeColor="text1"/>
        </w:rPr>
        <w:t>is employed</w:t>
      </w:r>
      <w:r w:rsidR="00F74B47" w:rsidRPr="009102F0">
        <w:rPr>
          <w:color w:val="000000" w:themeColor="text1"/>
        </w:rPr>
        <w:t xml:space="preserve">.  </w:t>
      </w:r>
      <w:r w:rsidRPr="009102F0">
        <w:rPr>
          <w:color w:val="000000" w:themeColor="text1"/>
        </w:rPr>
        <w:t>However, a</w:t>
      </w:r>
      <w:r w:rsidR="00F74B47" w:rsidRPr="009102F0">
        <w:rPr>
          <w:color w:val="000000" w:themeColor="text1"/>
        </w:rPr>
        <w:t>lthough</w:t>
      </w:r>
      <w:r w:rsidR="001D6F06" w:rsidRPr="009102F0">
        <w:rPr>
          <w:color w:val="000000" w:themeColor="text1"/>
        </w:rPr>
        <w:t xml:space="preserve"> viral load monitoring is</w:t>
      </w:r>
      <w:r w:rsidR="00B64E87" w:rsidRPr="009102F0">
        <w:rPr>
          <w:color w:val="000000" w:themeColor="text1"/>
        </w:rPr>
        <w:t xml:space="preserve"> </w:t>
      </w:r>
      <w:r w:rsidR="00F74B47" w:rsidRPr="009102F0">
        <w:rPr>
          <w:color w:val="000000" w:themeColor="text1"/>
        </w:rPr>
        <w:t xml:space="preserve">recommended in </w:t>
      </w:r>
      <w:r w:rsidR="001D6F06" w:rsidRPr="009102F0">
        <w:rPr>
          <w:color w:val="000000" w:themeColor="text1"/>
        </w:rPr>
        <w:t xml:space="preserve">WHO guidelines, the </w:t>
      </w:r>
      <w:r w:rsidR="00506947" w:rsidRPr="009102F0">
        <w:rPr>
          <w:color w:val="000000" w:themeColor="text1"/>
        </w:rPr>
        <w:t xml:space="preserve">roll out </w:t>
      </w:r>
      <w:r w:rsidR="001D6F06" w:rsidRPr="009102F0">
        <w:rPr>
          <w:color w:val="000000" w:themeColor="text1"/>
        </w:rPr>
        <w:t>in m</w:t>
      </w:r>
      <w:r w:rsidR="00506947" w:rsidRPr="009102F0">
        <w:rPr>
          <w:color w:val="000000" w:themeColor="text1"/>
        </w:rPr>
        <w:t xml:space="preserve">any </w:t>
      </w:r>
      <w:r w:rsidR="001D6F06" w:rsidRPr="009102F0">
        <w:rPr>
          <w:color w:val="000000" w:themeColor="text1"/>
        </w:rPr>
        <w:t>countries in Africa towards that goal has been modest</w:t>
      </w:r>
      <w:r w:rsidRPr="009102F0">
        <w:rPr>
          <w:color w:val="000000" w:themeColor="text1"/>
        </w:rPr>
        <w:t xml:space="preserve">, largely due to the complexities of setting </w:t>
      </w:r>
      <w:r w:rsidR="003A153B" w:rsidRPr="009102F0">
        <w:rPr>
          <w:color w:val="000000" w:themeColor="text1"/>
        </w:rPr>
        <w:t xml:space="preserve">up </w:t>
      </w:r>
      <w:r w:rsidRPr="009102F0">
        <w:rPr>
          <w:color w:val="000000" w:themeColor="text1"/>
        </w:rPr>
        <w:t xml:space="preserve">and continually running central laboratories with the capacity to meet demand for measurement of viral load on dried blood spot or plasma samples, and the current lack of a suitable </w:t>
      </w:r>
      <w:r w:rsidR="00892BD3" w:rsidRPr="009102F0">
        <w:rPr>
          <w:color w:val="000000" w:themeColor="text1"/>
        </w:rPr>
        <w:t xml:space="preserve">affordable </w:t>
      </w:r>
      <w:r w:rsidRPr="009102F0">
        <w:rPr>
          <w:color w:val="000000" w:themeColor="text1"/>
        </w:rPr>
        <w:t>point of care assay</w:t>
      </w:r>
      <w:r w:rsidR="00B64E87" w:rsidRPr="009102F0">
        <w:rPr>
          <w:color w:val="000000" w:themeColor="text1"/>
        </w:rPr>
        <w:t xml:space="preserve"> </w:t>
      </w:r>
      <w:r w:rsidR="00B666FC">
        <w:rPr>
          <w:color w:val="000000" w:themeColor="text1"/>
        </w:rPr>
        <w:t>[53]</w:t>
      </w:r>
      <w:r w:rsidR="001D6F06" w:rsidRPr="009102F0">
        <w:rPr>
          <w:color w:val="000000" w:themeColor="text1"/>
        </w:rPr>
        <w:t>.</w:t>
      </w:r>
      <w:r w:rsidRPr="009102F0">
        <w:rPr>
          <w:color w:val="000000" w:themeColor="text1"/>
        </w:rPr>
        <w:t xml:space="preserve">  For this reason we also considered a scenario in which viral load monitoring is not available, and here we assume</w:t>
      </w:r>
      <w:r w:rsidR="008E1D0A" w:rsidRPr="009102F0">
        <w:rPr>
          <w:color w:val="000000" w:themeColor="text1"/>
        </w:rPr>
        <w:t>d</w:t>
      </w:r>
      <w:r w:rsidRPr="009102F0">
        <w:rPr>
          <w:color w:val="000000" w:themeColor="text1"/>
        </w:rPr>
        <w:t xml:space="preserve"> a CD4 count monitoring strategy is used, without differentiation of care</w:t>
      </w:r>
      <w:r w:rsidR="00B03603" w:rsidRPr="009102F0">
        <w:rPr>
          <w:color w:val="000000" w:themeColor="text1"/>
        </w:rPr>
        <w:t xml:space="preserve"> (in the absence of an adherence-monitoring intervention)</w:t>
      </w:r>
      <w:r w:rsidRPr="009102F0">
        <w:rPr>
          <w:color w:val="000000" w:themeColor="text1"/>
        </w:rPr>
        <w:t>.</w:t>
      </w:r>
    </w:p>
    <w:p w14:paraId="1B78CE58" w14:textId="0AD89CB6" w:rsidR="00CF64A8" w:rsidRPr="009102F0" w:rsidRDefault="00AC56E4" w:rsidP="00641E66">
      <w:pPr>
        <w:spacing w:line="420" w:lineRule="auto"/>
        <w:rPr>
          <w:color w:val="000000" w:themeColor="text1"/>
        </w:rPr>
      </w:pPr>
      <w:r w:rsidRPr="009102F0">
        <w:rPr>
          <w:color w:val="000000" w:themeColor="text1"/>
        </w:rPr>
        <w:t>Adherence monitoring-based interventions also could potentially be used to enable differentiation of care so that those with high adherence can have reduced visit frequency</w:t>
      </w:r>
      <w:r w:rsidR="00892BD3" w:rsidRPr="009102F0">
        <w:rPr>
          <w:color w:val="000000" w:themeColor="text1"/>
        </w:rPr>
        <w:t>, reduced VL monitoring</w:t>
      </w:r>
      <w:r w:rsidRPr="009102F0">
        <w:rPr>
          <w:color w:val="000000" w:themeColor="text1"/>
        </w:rPr>
        <w:t xml:space="preserve"> and/or attend for pharmacy-only visits.  This represents a significant potential benefit, alongside the beneficial effect of </w:t>
      </w:r>
      <w:r w:rsidR="00CF64A8" w:rsidRPr="009102F0">
        <w:rPr>
          <w:color w:val="000000" w:themeColor="text1"/>
        </w:rPr>
        <w:t>improvement</w:t>
      </w:r>
      <w:r w:rsidRPr="009102F0">
        <w:rPr>
          <w:color w:val="000000" w:themeColor="text1"/>
        </w:rPr>
        <w:t>s</w:t>
      </w:r>
      <w:r w:rsidR="00CF64A8" w:rsidRPr="009102F0">
        <w:rPr>
          <w:color w:val="000000" w:themeColor="text1"/>
        </w:rPr>
        <w:t xml:space="preserve"> in adherence/retention in those with sub-optimal adherence</w:t>
      </w:r>
      <w:r w:rsidRPr="009102F0">
        <w:rPr>
          <w:color w:val="000000" w:themeColor="text1"/>
        </w:rPr>
        <w:t xml:space="preserve">.  </w:t>
      </w:r>
      <w:r w:rsidR="00B16307" w:rsidRPr="009102F0">
        <w:rPr>
          <w:color w:val="000000" w:themeColor="text1"/>
        </w:rPr>
        <w:t>In settings without viral load monitoring</w:t>
      </w:r>
      <w:r w:rsidR="00C16D65" w:rsidRPr="009102F0">
        <w:rPr>
          <w:color w:val="000000" w:themeColor="text1"/>
        </w:rPr>
        <w:t xml:space="preserve"> available,</w:t>
      </w:r>
      <w:r w:rsidR="00B16307" w:rsidRPr="009102F0">
        <w:rPr>
          <w:color w:val="000000" w:themeColor="text1"/>
        </w:rPr>
        <w:t xml:space="preserve"> the potential </w:t>
      </w:r>
      <w:r w:rsidR="00F51B44" w:rsidRPr="009102F0">
        <w:rPr>
          <w:color w:val="000000" w:themeColor="text1"/>
        </w:rPr>
        <w:t xml:space="preserve">for adherence </w:t>
      </w:r>
      <w:r w:rsidR="0078005B" w:rsidRPr="009102F0">
        <w:rPr>
          <w:color w:val="000000" w:themeColor="text1"/>
        </w:rPr>
        <w:t>monitoring</w:t>
      </w:r>
      <w:r w:rsidR="00F51B44" w:rsidRPr="009102F0">
        <w:rPr>
          <w:color w:val="000000" w:themeColor="text1"/>
        </w:rPr>
        <w:t xml:space="preserve"> based in</w:t>
      </w:r>
      <w:r w:rsidR="008F7382" w:rsidRPr="009102F0">
        <w:rPr>
          <w:color w:val="000000" w:themeColor="text1"/>
        </w:rPr>
        <w:t>terventions to represent a cost-</w:t>
      </w:r>
      <w:r w:rsidR="00F51B44" w:rsidRPr="009102F0">
        <w:rPr>
          <w:color w:val="000000" w:themeColor="text1"/>
        </w:rPr>
        <w:t>effective approach is substan</w:t>
      </w:r>
      <w:r w:rsidR="000C2032" w:rsidRPr="009102F0">
        <w:rPr>
          <w:color w:val="000000" w:themeColor="text1"/>
        </w:rPr>
        <w:t>t</w:t>
      </w:r>
      <w:r w:rsidR="00F51B44" w:rsidRPr="009102F0">
        <w:rPr>
          <w:color w:val="000000" w:themeColor="text1"/>
        </w:rPr>
        <w:t>ial</w:t>
      </w:r>
      <w:r w:rsidR="00B16307" w:rsidRPr="009102F0">
        <w:rPr>
          <w:color w:val="000000" w:themeColor="text1"/>
        </w:rPr>
        <w:t>.  Our resu</w:t>
      </w:r>
      <w:r w:rsidR="00D74075" w:rsidRPr="009102F0">
        <w:rPr>
          <w:color w:val="000000" w:themeColor="text1"/>
        </w:rPr>
        <w:t xml:space="preserve">lts suggest that adherence monitoring-based interventions can cost as much as approximately </w:t>
      </w:r>
      <w:r w:rsidR="00B64E87" w:rsidRPr="009102F0">
        <w:rPr>
          <w:color w:val="000000" w:themeColor="text1"/>
        </w:rPr>
        <w:t>$62</w:t>
      </w:r>
      <w:r w:rsidR="00D74075" w:rsidRPr="009102F0">
        <w:rPr>
          <w:color w:val="000000" w:themeColor="text1"/>
        </w:rPr>
        <w:t xml:space="preserve"> per person on ART per </w:t>
      </w:r>
      <w:r w:rsidR="00B64E87" w:rsidRPr="009102F0">
        <w:rPr>
          <w:color w:val="000000" w:themeColor="text1"/>
        </w:rPr>
        <w:t>year</w:t>
      </w:r>
      <w:r w:rsidR="00D74075" w:rsidRPr="009102F0">
        <w:rPr>
          <w:color w:val="000000" w:themeColor="text1"/>
        </w:rPr>
        <w:t xml:space="preserve"> and represent a cost effective approach. </w:t>
      </w:r>
      <w:r w:rsidR="00706823" w:rsidRPr="009102F0">
        <w:rPr>
          <w:color w:val="000000" w:themeColor="text1"/>
        </w:rPr>
        <w:t xml:space="preserve">This is an average cost over all people on ART, including those who are adherent without any intervention. </w:t>
      </w:r>
      <w:r w:rsidR="00D74075" w:rsidRPr="009102F0">
        <w:rPr>
          <w:color w:val="000000" w:themeColor="text1"/>
        </w:rPr>
        <w:t xml:space="preserve"> Considering that costs for the approximately 80% of people with high adherence might be no more than $5 per year, this</w:t>
      </w:r>
      <w:r w:rsidR="00D91274" w:rsidRPr="009102F0">
        <w:rPr>
          <w:color w:val="000000" w:themeColor="text1"/>
        </w:rPr>
        <w:t xml:space="preserve"> leaves $</w:t>
      </w:r>
      <w:r w:rsidR="00B64E87" w:rsidRPr="009102F0">
        <w:rPr>
          <w:color w:val="000000" w:themeColor="text1"/>
        </w:rPr>
        <w:t>290</w:t>
      </w:r>
      <w:r w:rsidR="00D91274" w:rsidRPr="009102F0">
        <w:rPr>
          <w:color w:val="000000" w:themeColor="text1"/>
        </w:rPr>
        <w:t xml:space="preserve"> per year </w:t>
      </w:r>
      <w:r w:rsidR="00B64E87" w:rsidRPr="009102F0">
        <w:rPr>
          <w:color w:val="000000" w:themeColor="text1"/>
        </w:rPr>
        <w:t xml:space="preserve">each </w:t>
      </w:r>
      <w:r w:rsidR="00D91274" w:rsidRPr="009102F0">
        <w:rPr>
          <w:color w:val="000000" w:themeColor="text1"/>
        </w:rPr>
        <w:t xml:space="preserve">for the </w:t>
      </w:r>
      <w:r w:rsidR="006B7359" w:rsidRPr="009102F0">
        <w:rPr>
          <w:color w:val="000000" w:themeColor="text1"/>
        </w:rPr>
        <w:t xml:space="preserve">approximately </w:t>
      </w:r>
      <w:r w:rsidR="00D74075" w:rsidRPr="009102F0">
        <w:rPr>
          <w:color w:val="000000" w:themeColor="text1"/>
        </w:rPr>
        <w:t>20% of people who have suboptimal or poor adherence.</w:t>
      </w:r>
      <w:r w:rsidR="00977DB4" w:rsidRPr="009102F0">
        <w:rPr>
          <w:color w:val="000000" w:themeColor="text1"/>
        </w:rPr>
        <w:t xml:space="preserve">  </w:t>
      </w:r>
      <w:r w:rsidR="00C16D65" w:rsidRPr="009102F0">
        <w:rPr>
          <w:color w:val="000000" w:themeColor="text1"/>
        </w:rPr>
        <w:t xml:space="preserve"> E</w:t>
      </w:r>
      <w:r w:rsidR="00DB1572" w:rsidRPr="009102F0">
        <w:rPr>
          <w:color w:val="000000" w:themeColor="text1"/>
        </w:rPr>
        <w:t xml:space="preserve">ven where viral load monitoring is available there is a potentially important role for adherence monitoring-based interventions.  We assumed </w:t>
      </w:r>
      <w:r w:rsidR="00977DB4" w:rsidRPr="009102F0">
        <w:rPr>
          <w:color w:val="000000" w:themeColor="text1"/>
        </w:rPr>
        <w:t xml:space="preserve">in our base case </w:t>
      </w:r>
      <w:r w:rsidR="00DB1572" w:rsidRPr="009102F0">
        <w:rPr>
          <w:color w:val="000000" w:themeColor="text1"/>
        </w:rPr>
        <w:t>that care would be differ</w:t>
      </w:r>
      <w:r w:rsidR="00D47A89" w:rsidRPr="009102F0">
        <w:rPr>
          <w:color w:val="000000" w:themeColor="text1"/>
        </w:rPr>
        <w:t>e</w:t>
      </w:r>
      <w:r w:rsidR="00DB1572" w:rsidRPr="009102F0">
        <w:rPr>
          <w:color w:val="000000" w:themeColor="text1"/>
        </w:rPr>
        <w:t>ntiated according to the adherence level</w:t>
      </w:r>
      <w:r w:rsidR="00D47A89" w:rsidRPr="009102F0">
        <w:rPr>
          <w:color w:val="000000" w:themeColor="text1"/>
        </w:rPr>
        <w:t xml:space="preserve">, </w:t>
      </w:r>
      <w:r w:rsidR="00706823" w:rsidRPr="009102F0">
        <w:rPr>
          <w:color w:val="000000" w:themeColor="text1"/>
        </w:rPr>
        <w:t xml:space="preserve">measured by </w:t>
      </w:r>
      <w:r w:rsidR="00D47A89" w:rsidRPr="009102F0">
        <w:rPr>
          <w:color w:val="000000" w:themeColor="text1"/>
        </w:rPr>
        <w:t>adherence monitoring,</w:t>
      </w:r>
      <w:r w:rsidR="00DB1572" w:rsidRPr="009102F0">
        <w:rPr>
          <w:color w:val="000000" w:themeColor="text1"/>
        </w:rPr>
        <w:t xml:space="preserve"> whenever the most recent viral measure was &lt; 1000 cps/mL but more than one year in the past. </w:t>
      </w:r>
      <w:r w:rsidR="00977DB4" w:rsidRPr="009102F0">
        <w:rPr>
          <w:color w:val="000000" w:themeColor="text1"/>
        </w:rPr>
        <w:t xml:space="preserve">  With an adherence monitoring based intervention leading to a 5% increase in the proportion of ART </w:t>
      </w:r>
      <w:r w:rsidR="0078005B" w:rsidRPr="009102F0">
        <w:rPr>
          <w:color w:val="000000" w:themeColor="text1"/>
        </w:rPr>
        <w:t>experienced</w:t>
      </w:r>
      <w:r w:rsidR="00977DB4" w:rsidRPr="009102F0">
        <w:rPr>
          <w:color w:val="000000" w:themeColor="text1"/>
        </w:rPr>
        <w:t xml:space="preserve"> people with viral suppression &lt; 1000 copies/mL </w:t>
      </w:r>
      <w:r w:rsidR="005C64C8" w:rsidRPr="009102F0">
        <w:rPr>
          <w:color w:val="000000" w:themeColor="text1"/>
        </w:rPr>
        <w:t xml:space="preserve">(Table 2) </w:t>
      </w:r>
      <w:r w:rsidR="00977DB4" w:rsidRPr="009102F0">
        <w:rPr>
          <w:color w:val="000000" w:themeColor="text1"/>
        </w:rPr>
        <w:t xml:space="preserve">the intervention </w:t>
      </w:r>
      <w:r w:rsidR="00B64E87" w:rsidRPr="009102F0">
        <w:rPr>
          <w:color w:val="000000" w:themeColor="text1"/>
        </w:rPr>
        <w:t>is cost effective if costing $23</w:t>
      </w:r>
      <w:r w:rsidR="00977DB4" w:rsidRPr="009102F0">
        <w:rPr>
          <w:color w:val="000000" w:themeColor="text1"/>
        </w:rPr>
        <w:t xml:space="preserve"> per year</w:t>
      </w:r>
      <w:r w:rsidR="001A1427" w:rsidRPr="009102F0">
        <w:rPr>
          <w:color w:val="000000" w:themeColor="text1"/>
        </w:rPr>
        <w:t xml:space="preserve"> person on ART or less</w:t>
      </w:r>
      <w:r w:rsidR="0054717F" w:rsidRPr="009102F0">
        <w:rPr>
          <w:color w:val="000000" w:themeColor="text1"/>
        </w:rPr>
        <w:t xml:space="preserve"> ($95</w:t>
      </w:r>
      <w:r w:rsidR="00D91274" w:rsidRPr="009102F0">
        <w:rPr>
          <w:color w:val="000000" w:themeColor="text1"/>
        </w:rPr>
        <w:t xml:space="preserve"> per year for </w:t>
      </w:r>
      <w:r w:rsidR="0054717F" w:rsidRPr="009102F0">
        <w:rPr>
          <w:color w:val="000000" w:themeColor="text1"/>
        </w:rPr>
        <w:t xml:space="preserve">each of </w:t>
      </w:r>
      <w:r w:rsidR="00D91274" w:rsidRPr="009102F0">
        <w:rPr>
          <w:color w:val="000000" w:themeColor="text1"/>
        </w:rPr>
        <w:t>the 20% with poor adherence)</w:t>
      </w:r>
      <w:r w:rsidR="00977DB4" w:rsidRPr="009102F0">
        <w:rPr>
          <w:color w:val="000000" w:themeColor="text1"/>
        </w:rPr>
        <w:t>.</w:t>
      </w:r>
      <w:r w:rsidR="001A1427" w:rsidRPr="009102F0">
        <w:rPr>
          <w:color w:val="000000" w:themeColor="text1"/>
        </w:rPr>
        <w:t xml:space="preserve">  </w:t>
      </w:r>
      <w:r w:rsidR="00DB1572" w:rsidRPr="009102F0">
        <w:rPr>
          <w:color w:val="000000" w:themeColor="text1"/>
        </w:rPr>
        <w:t xml:space="preserve"> An alternative</w:t>
      </w:r>
      <w:r w:rsidR="00915135" w:rsidRPr="009102F0">
        <w:rPr>
          <w:color w:val="000000" w:themeColor="text1"/>
        </w:rPr>
        <w:t>, and perhaps more likely,</w:t>
      </w:r>
      <w:r w:rsidR="00DB1572" w:rsidRPr="009102F0">
        <w:rPr>
          <w:color w:val="000000" w:themeColor="text1"/>
        </w:rPr>
        <w:t xml:space="preserve"> approach </w:t>
      </w:r>
      <w:r w:rsidR="008F7382" w:rsidRPr="009102F0">
        <w:rPr>
          <w:color w:val="000000" w:themeColor="text1"/>
        </w:rPr>
        <w:t>could be to stop viral load mon</w:t>
      </w:r>
      <w:r w:rsidR="00DB1572" w:rsidRPr="009102F0">
        <w:rPr>
          <w:color w:val="000000" w:themeColor="text1"/>
        </w:rPr>
        <w:t>i</w:t>
      </w:r>
      <w:r w:rsidR="008F7382" w:rsidRPr="009102F0">
        <w:rPr>
          <w:color w:val="000000" w:themeColor="text1"/>
        </w:rPr>
        <w:t>t</w:t>
      </w:r>
      <w:r w:rsidR="00DB1572" w:rsidRPr="009102F0">
        <w:rPr>
          <w:color w:val="000000" w:themeColor="text1"/>
        </w:rPr>
        <w:t xml:space="preserve">oring in those with high levels of adherence </w:t>
      </w:r>
      <w:r w:rsidR="006C4E39" w:rsidRPr="009102F0">
        <w:rPr>
          <w:color w:val="000000" w:themeColor="text1"/>
        </w:rPr>
        <w:t>and continue on a reduced visit frequency unless the adherence level declines, at which point viral load monitoring can be resumed until viral load supp</w:t>
      </w:r>
      <w:r w:rsidR="008F7382" w:rsidRPr="009102F0">
        <w:rPr>
          <w:color w:val="000000" w:themeColor="text1"/>
        </w:rPr>
        <w:t>r</w:t>
      </w:r>
      <w:r w:rsidR="006C4E39" w:rsidRPr="009102F0">
        <w:rPr>
          <w:color w:val="000000" w:themeColor="text1"/>
        </w:rPr>
        <w:t xml:space="preserve">ession </w:t>
      </w:r>
      <w:r w:rsidR="00336DD5" w:rsidRPr="009102F0">
        <w:rPr>
          <w:color w:val="000000" w:themeColor="text1"/>
        </w:rPr>
        <w:t>and high adherence are achieved.</w:t>
      </w:r>
      <w:r w:rsidR="00DB1572" w:rsidRPr="009102F0">
        <w:rPr>
          <w:color w:val="000000" w:themeColor="text1"/>
        </w:rPr>
        <w:t xml:space="preserve">  </w:t>
      </w:r>
      <w:r w:rsidR="008F7382" w:rsidRPr="009102F0">
        <w:rPr>
          <w:color w:val="000000" w:themeColor="text1"/>
        </w:rPr>
        <w:t>With this approach the adherence int</w:t>
      </w:r>
      <w:r w:rsidR="0054717F" w:rsidRPr="009102F0">
        <w:rPr>
          <w:color w:val="000000" w:themeColor="text1"/>
        </w:rPr>
        <w:t>ervention can be as high as $32</w:t>
      </w:r>
      <w:r w:rsidR="008F7382" w:rsidRPr="009102F0">
        <w:rPr>
          <w:color w:val="000000" w:themeColor="text1"/>
        </w:rPr>
        <w:t xml:space="preserve"> per person on ART per year and remain cost effective.  </w:t>
      </w:r>
      <w:r w:rsidR="00D106C8">
        <w:rPr>
          <w:color w:val="000000" w:themeColor="text1"/>
        </w:rPr>
        <w:t>Further s</w:t>
      </w:r>
      <w:r w:rsidR="004F79E4" w:rsidRPr="009102F0">
        <w:rPr>
          <w:color w:val="000000" w:themeColor="text1"/>
        </w:rPr>
        <w:t xml:space="preserve">tudies </w:t>
      </w:r>
      <w:r w:rsidR="00336DD5" w:rsidRPr="009102F0">
        <w:rPr>
          <w:color w:val="000000" w:themeColor="text1"/>
        </w:rPr>
        <w:t xml:space="preserve">to </w:t>
      </w:r>
      <w:r w:rsidR="00D106C8">
        <w:rPr>
          <w:color w:val="000000" w:themeColor="text1"/>
        </w:rPr>
        <w:t>compare health outcomes from</w:t>
      </w:r>
      <w:r w:rsidR="00336DD5" w:rsidRPr="009102F0">
        <w:rPr>
          <w:color w:val="000000" w:themeColor="text1"/>
        </w:rPr>
        <w:t xml:space="preserve"> different approaches</w:t>
      </w:r>
      <w:r w:rsidR="00D106C8">
        <w:rPr>
          <w:color w:val="000000" w:themeColor="text1"/>
        </w:rPr>
        <w:t xml:space="preserve"> </w:t>
      </w:r>
      <w:r w:rsidR="00336DD5" w:rsidRPr="009102F0">
        <w:rPr>
          <w:color w:val="000000" w:themeColor="text1"/>
        </w:rPr>
        <w:t>to use adherence monitoring in tandem with</w:t>
      </w:r>
      <w:r w:rsidR="00D106C8">
        <w:rPr>
          <w:color w:val="000000" w:themeColor="text1"/>
        </w:rPr>
        <w:t xml:space="preserve"> </w:t>
      </w:r>
      <w:r w:rsidR="00336DD5" w:rsidRPr="009102F0">
        <w:rPr>
          <w:color w:val="000000" w:themeColor="text1"/>
        </w:rPr>
        <w:t>viral load testing in a cost efficient way would be helpful.</w:t>
      </w:r>
      <w:r w:rsidR="007E41AC" w:rsidRPr="009102F0">
        <w:rPr>
          <w:color w:val="000000" w:themeColor="text1"/>
        </w:rPr>
        <w:t xml:space="preserve"> </w:t>
      </w:r>
      <w:r w:rsidR="00D106C8">
        <w:rPr>
          <w:color w:val="000000" w:themeColor="text1"/>
        </w:rPr>
        <w:t xml:space="preserve"> </w:t>
      </w:r>
      <w:r w:rsidR="007E41AC" w:rsidRPr="009102F0">
        <w:rPr>
          <w:color w:val="000000" w:themeColor="text1"/>
        </w:rPr>
        <w:t xml:space="preserve"> We assume a modest effect of viral load being measured abo</w:t>
      </w:r>
      <w:r w:rsidR="00D60CB7" w:rsidRPr="009102F0">
        <w:rPr>
          <w:color w:val="000000" w:themeColor="text1"/>
        </w:rPr>
        <w:t>ve</w:t>
      </w:r>
      <w:r w:rsidR="007E41AC" w:rsidRPr="009102F0">
        <w:rPr>
          <w:color w:val="000000" w:themeColor="text1"/>
        </w:rPr>
        <w:t xml:space="preserve"> 1000 copies/mL on adherence, but this was not very influential in our results and the maximum cost for the intervention to be cost effective was similar in sensitivity </w:t>
      </w:r>
      <w:r w:rsidR="006B7359" w:rsidRPr="009102F0">
        <w:rPr>
          <w:color w:val="000000" w:themeColor="text1"/>
        </w:rPr>
        <w:t xml:space="preserve">analyses </w:t>
      </w:r>
      <w:r w:rsidR="007E41AC" w:rsidRPr="009102F0">
        <w:rPr>
          <w:color w:val="000000" w:themeColor="text1"/>
        </w:rPr>
        <w:t xml:space="preserve">when this assumed </w:t>
      </w:r>
      <w:r w:rsidR="0044576A" w:rsidRPr="009102F0">
        <w:rPr>
          <w:color w:val="000000" w:themeColor="text1"/>
        </w:rPr>
        <w:t>beneficial effect on adherence was removed.</w:t>
      </w:r>
    </w:p>
    <w:p w14:paraId="0490B69A" w14:textId="25BB5313" w:rsidR="005B6B2D" w:rsidRDefault="00C16D65" w:rsidP="00641E66">
      <w:pPr>
        <w:spacing w:line="420" w:lineRule="auto"/>
        <w:rPr>
          <w:color w:val="000000" w:themeColor="text1"/>
        </w:rPr>
      </w:pPr>
      <w:r w:rsidRPr="009102F0">
        <w:t>The r</w:t>
      </w:r>
      <w:r w:rsidR="006F76E2" w:rsidRPr="009102F0">
        <w:t xml:space="preserve">elationship between </w:t>
      </w:r>
      <w:r w:rsidRPr="009102F0">
        <w:t xml:space="preserve">the </w:t>
      </w:r>
      <w:r w:rsidR="006F76E2" w:rsidRPr="009102F0">
        <w:t xml:space="preserve">proportion </w:t>
      </w:r>
      <w:r w:rsidRPr="009102F0">
        <w:t xml:space="preserve">of ART experienced people </w:t>
      </w:r>
      <w:r w:rsidR="006F76E2" w:rsidRPr="009102F0">
        <w:t xml:space="preserve">virally suppressed and mortality in ART experienced </w:t>
      </w:r>
      <w:r w:rsidR="00C979FA" w:rsidRPr="009102F0">
        <w:t xml:space="preserve">people </w:t>
      </w:r>
      <w:r w:rsidR="006F76E2" w:rsidRPr="009102F0">
        <w:t xml:space="preserve">will depend on various </w:t>
      </w:r>
      <w:r w:rsidRPr="009102F0">
        <w:t>characteristics of the HIV positive population</w:t>
      </w:r>
      <w:r w:rsidR="006F76E2" w:rsidRPr="009102F0">
        <w:t xml:space="preserve">, particularly the CD4 count profile and the CD4 count nadir (the level to which the CD4 will tend to fall over the first few months of ART </w:t>
      </w:r>
      <w:r w:rsidR="006C07C8" w:rsidRPr="009102F0">
        <w:t>discontinuation</w:t>
      </w:r>
      <w:r w:rsidRPr="009102F0">
        <w:t>, should this occur).   Our</w:t>
      </w:r>
      <w:r w:rsidR="005B6B2D" w:rsidRPr="009102F0">
        <w:rPr>
          <w:color w:val="000000" w:themeColor="text1"/>
        </w:rPr>
        <w:t xml:space="preserve"> findings are most specifically relevant to Zimbabwe</w:t>
      </w:r>
      <w:r w:rsidRPr="009102F0">
        <w:rPr>
          <w:color w:val="000000" w:themeColor="text1"/>
        </w:rPr>
        <w:t>,</w:t>
      </w:r>
      <w:r w:rsidR="005B6B2D" w:rsidRPr="009102F0">
        <w:rPr>
          <w:color w:val="000000" w:themeColor="text1"/>
        </w:rPr>
        <w:t xml:space="preserve"> but given that we have considered a range of scenarios in terms of existing ART monitoring strategy (viral load monitoring or not), population adherence profile, and population tendency to </w:t>
      </w:r>
      <w:r w:rsidR="006C07C8" w:rsidRPr="009102F0">
        <w:rPr>
          <w:color w:val="000000" w:themeColor="text1"/>
        </w:rPr>
        <w:t xml:space="preserve">discontinue </w:t>
      </w:r>
      <w:r w:rsidR="005B6B2D" w:rsidRPr="009102F0">
        <w:rPr>
          <w:color w:val="000000" w:themeColor="text1"/>
        </w:rPr>
        <w:t>ART</w:t>
      </w:r>
      <w:r w:rsidRPr="009102F0">
        <w:rPr>
          <w:color w:val="000000" w:themeColor="text1"/>
        </w:rPr>
        <w:t>,</w:t>
      </w:r>
      <w:r w:rsidR="005B6B2D" w:rsidRPr="009102F0">
        <w:rPr>
          <w:color w:val="000000" w:themeColor="text1"/>
        </w:rPr>
        <w:t xml:space="preserve"> our findings regarding </w:t>
      </w:r>
      <w:r w:rsidR="00612D60" w:rsidRPr="009102F0">
        <w:rPr>
          <w:color w:val="000000" w:themeColor="text1"/>
        </w:rPr>
        <w:t xml:space="preserve">the translation of </w:t>
      </w:r>
      <w:r w:rsidR="0078005B" w:rsidRPr="009102F0">
        <w:rPr>
          <w:color w:val="000000" w:themeColor="text1"/>
        </w:rPr>
        <w:t>intervention</w:t>
      </w:r>
      <w:r w:rsidR="005B6B2D" w:rsidRPr="009102F0">
        <w:rPr>
          <w:color w:val="000000" w:themeColor="text1"/>
        </w:rPr>
        <w:t xml:space="preserve"> effectiveness</w:t>
      </w:r>
      <w:r w:rsidR="00612D60" w:rsidRPr="009102F0">
        <w:rPr>
          <w:color w:val="000000" w:themeColor="text1"/>
        </w:rPr>
        <w:t xml:space="preserve"> into DALYs averted</w:t>
      </w:r>
      <w:r w:rsidR="005B6B2D" w:rsidRPr="009102F0">
        <w:rPr>
          <w:color w:val="000000" w:themeColor="text1"/>
        </w:rPr>
        <w:t xml:space="preserve"> should be reasonably </w:t>
      </w:r>
      <w:r w:rsidR="0078005B" w:rsidRPr="009102F0">
        <w:rPr>
          <w:color w:val="000000" w:themeColor="text1"/>
        </w:rPr>
        <w:t>generalizable</w:t>
      </w:r>
      <w:r w:rsidR="005B6B2D" w:rsidRPr="009102F0">
        <w:rPr>
          <w:color w:val="000000" w:themeColor="text1"/>
        </w:rPr>
        <w:t xml:space="preserve"> across sub-Saharan Africa.  Regarding costs, we provide a breakdown of cost components so that country-specific costs for other countries could be </w:t>
      </w:r>
      <w:r w:rsidR="0078005B" w:rsidRPr="009102F0">
        <w:rPr>
          <w:color w:val="000000" w:themeColor="text1"/>
        </w:rPr>
        <w:t>utilized</w:t>
      </w:r>
      <w:r w:rsidR="005B6B2D" w:rsidRPr="009102F0">
        <w:rPr>
          <w:color w:val="000000" w:themeColor="text1"/>
        </w:rPr>
        <w:t xml:space="preserve"> </w:t>
      </w:r>
      <w:r w:rsidR="005B6B2D" w:rsidRPr="00764A38">
        <w:t>if required.</w:t>
      </w:r>
      <w:r w:rsidR="00764A38" w:rsidRPr="00764A38">
        <w:t xml:space="preserve">  </w:t>
      </w:r>
      <w:r w:rsidR="00764A38" w:rsidRPr="00764A38">
        <w:rPr>
          <w:highlight w:val="lightGray"/>
        </w:rPr>
        <w:t>We use a cost-effectiveness threshold of $500 to reflect the value (opportunity costs) of other claims on resources, but this value is uncertain and may well be different in other countries.  A lower threshold will mean that intervention costs need to be lower in order to be cost-effective.</w:t>
      </w:r>
    </w:p>
    <w:p w14:paraId="4DD01ED6" w14:textId="0D30FC95" w:rsidR="00A56DFE" w:rsidRPr="009102F0" w:rsidRDefault="00A56DFE" w:rsidP="00641E66">
      <w:pPr>
        <w:spacing w:line="420" w:lineRule="auto"/>
        <w:rPr>
          <w:color w:val="000000" w:themeColor="text1"/>
        </w:rPr>
      </w:pPr>
      <w:r w:rsidRPr="00A56DFE">
        <w:rPr>
          <w:color w:val="000000" w:themeColor="text1"/>
          <w:highlight w:val="lightGray"/>
        </w:rPr>
        <w:t xml:space="preserve">Examples of objective adherence-monitoring based interventions are use of pharmacy and drug pick up records and use of electronic adherence monitors, including real time monitors using mobile-phone technology. </w:t>
      </w:r>
      <w:r>
        <w:rPr>
          <w:color w:val="000000" w:themeColor="text1"/>
          <w:highlight w:val="lightGray"/>
        </w:rPr>
        <w:t xml:space="preserve"> Neither is a perfect measure but both are likely to be more accurate than subjective measures such as self report.  </w:t>
      </w:r>
      <w:r w:rsidRPr="00A56DFE">
        <w:rPr>
          <w:color w:val="000000" w:themeColor="text1"/>
          <w:highlight w:val="lightGray"/>
        </w:rPr>
        <w:t xml:space="preserve"> Perhaps the most relevant objective measure </w:t>
      </w:r>
      <w:r>
        <w:rPr>
          <w:color w:val="000000" w:themeColor="text1"/>
          <w:highlight w:val="lightGray"/>
        </w:rPr>
        <w:t xml:space="preserve">of adherence </w:t>
      </w:r>
      <w:r w:rsidRPr="00A56DFE">
        <w:rPr>
          <w:color w:val="000000" w:themeColor="text1"/>
          <w:highlight w:val="lightGray"/>
        </w:rPr>
        <w:t>is the plasma drug level but it is currently hard to conceive that this latter measure could be used in routine care.</w:t>
      </w:r>
      <w:r>
        <w:rPr>
          <w:color w:val="000000" w:themeColor="text1"/>
        </w:rPr>
        <w:t xml:space="preserve">  </w:t>
      </w:r>
    </w:p>
    <w:p w14:paraId="3EB9E100" w14:textId="05F4A4C6" w:rsidR="005B6B2D" w:rsidRPr="009102F0" w:rsidRDefault="00864F29" w:rsidP="00641E66">
      <w:pPr>
        <w:spacing w:line="420" w:lineRule="auto"/>
      </w:pPr>
      <w:r w:rsidRPr="009102F0">
        <w:t xml:space="preserve">To our knowledge there is little similar work to ours which has been conducted.  </w:t>
      </w:r>
      <w:r w:rsidR="00C16D65" w:rsidRPr="009102F0">
        <w:t xml:space="preserve">Kessler and colleagues </w:t>
      </w:r>
      <w:r w:rsidRPr="009102F0">
        <w:t xml:space="preserve">considered </w:t>
      </w:r>
      <w:r w:rsidR="00C16D65" w:rsidRPr="009102F0">
        <w:t xml:space="preserve">the impact and cost-effectiveness of hypothetical strategies to enhance retention in care within HIV treatment programs in East Africa </w:t>
      </w:r>
      <w:r w:rsidR="00B666FC">
        <w:t>[59]</w:t>
      </w:r>
      <w:r w:rsidR="00C16D65" w:rsidRPr="009102F0">
        <w:t xml:space="preserve">. </w:t>
      </w:r>
      <w:r w:rsidR="00587146" w:rsidRPr="009102F0">
        <w:t xml:space="preserve"> </w:t>
      </w:r>
      <w:r w:rsidR="00BE52AE" w:rsidRPr="009102F0">
        <w:t>They concluded that programs should consider retention</w:t>
      </w:r>
      <w:r w:rsidR="001F1B2C" w:rsidRPr="009102F0">
        <w:t>-</w:t>
      </w:r>
      <w:r w:rsidR="00BE52AE" w:rsidRPr="009102F0">
        <w:t>focused programs once they have already achieved high degrees of ART coverage among eligible patients</w:t>
      </w:r>
      <w:r w:rsidR="008F7382" w:rsidRPr="009102F0">
        <w:t>, and n</w:t>
      </w:r>
      <w:r w:rsidR="00BE52AE" w:rsidRPr="009102F0">
        <w:t xml:space="preserve">oted that it is important that decision makers understand the epidemiology and associated outcomes of those patients who are classified as lost to follow up in their systems prior to implementation in order to achieve the highest value. </w:t>
      </w:r>
      <w:r w:rsidRPr="009102F0">
        <w:t xml:space="preserve">  In addition, Petersen et al, have used marginal structural models to estimate the effect of pillbox organisers on adherence and viral load outcomes and, in the United States context, found them to be associated with cost per QALY of $19,000 </w:t>
      </w:r>
      <w:r w:rsidR="00B666FC">
        <w:t>[60]</w:t>
      </w:r>
      <w:r w:rsidRPr="009102F0">
        <w:t xml:space="preserve">.   </w:t>
      </w:r>
      <w:r w:rsidR="008510E9" w:rsidRPr="009102F0">
        <w:t xml:space="preserve">Cost effectiveness of adherence interventions </w:t>
      </w:r>
      <w:r w:rsidR="00FB32F3" w:rsidRPr="009102F0">
        <w:t xml:space="preserve">has been reviewed </w:t>
      </w:r>
      <w:r w:rsidR="00B666FC">
        <w:t>[61]</w:t>
      </w:r>
      <w:r w:rsidR="00FB32F3" w:rsidRPr="009102F0">
        <w:t>, with the conclusion that they can be cost effective, but those results are of limited relevance for sub-Saharan Africa</w:t>
      </w:r>
      <w:r w:rsidR="008510E9" w:rsidRPr="009102F0">
        <w:t>.</w:t>
      </w:r>
      <w:r w:rsidR="00FB32F3" w:rsidRPr="009102F0">
        <w:t xml:space="preserve">  </w:t>
      </w:r>
    </w:p>
    <w:p w14:paraId="7BF99988" w14:textId="5FF27440" w:rsidR="00745D58" w:rsidRPr="009102F0" w:rsidRDefault="00187E96" w:rsidP="00641E66">
      <w:pPr>
        <w:spacing w:line="420" w:lineRule="auto"/>
      </w:pPr>
      <w:r w:rsidRPr="009102F0">
        <w:t>Converting the efficacy, measured in terms of level of viral load suppression</w:t>
      </w:r>
      <w:r w:rsidR="00C22C1B" w:rsidRPr="009102F0">
        <w:t>,</w:t>
      </w:r>
      <w:r w:rsidRPr="009102F0">
        <w:t xml:space="preserve"> into clinical and mortality outcomes is not straightforward. This issue was initially raised when the Food and Drug Administration was taking a decision on whether to licence drugs based on trials with viral load rather than </w:t>
      </w:r>
      <w:r w:rsidR="00B666FC">
        <w:t>clinical endpoints as outcomes [62-64]</w:t>
      </w:r>
      <w:r w:rsidRPr="009102F0">
        <w:t xml:space="preserve">.  </w:t>
      </w:r>
      <w:r w:rsidR="00BC0FD9" w:rsidRPr="009102F0">
        <w:t>Analyses of trials in which viral load was assessed as well as clinical ou</w:t>
      </w:r>
      <w:r w:rsidR="008F7382" w:rsidRPr="009102F0">
        <w:t>tcomes</w:t>
      </w:r>
      <w:r w:rsidR="00500A36" w:rsidRPr="009102F0">
        <w:t xml:space="preserve"> were used</w:t>
      </w:r>
      <w:r w:rsidR="00BC0FD9" w:rsidRPr="009102F0">
        <w:t xml:space="preserve">.  </w:t>
      </w:r>
    </w:p>
    <w:p w14:paraId="3184031F" w14:textId="2F26FC6D" w:rsidR="00DE0956" w:rsidRPr="00764A38" w:rsidRDefault="00DE0956" w:rsidP="00641E66">
      <w:pPr>
        <w:spacing w:line="420" w:lineRule="auto"/>
      </w:pPr>
      <w:r w:rsidRPr="009102F0">
        <w:t xml:space="preserve">There are limitations of this work.  </w:t>
      </w:r>
      <w:r w:rsidR="00187E96" w:rsidRPr="009102F0">
        <w:t xml:space="preserve">The model updates in </w:t>
      </w:r>
      <w:r w:rsidR="00BA5F55" w:rsidRPr="009102F0">
        <w:t>3</w:t>
      </w:r>
      <w:r w:rsidR="00187E96" w:rsidRPr="009102F0">
        <w:t xml:space="preserve"> month periods and therefore it is </w:t>
      </w:r>
      <w:r w:rsidR="00187E96" w:rsidRPr="009102F0">
        <w:rPr>
          <w:bCs/>
        </w:rPr>
        <w:t xml:space="preserve">not suited to capture specific patterns of adherence. </w:t>
      </w:r>
      <w:r w:rsidR="00764A38">
        <w:rPr>
          <w:bCs/>
        </w:rPr>
        <w:t xml:space="preserve"> </w:t>
      </w:r>
      <w:r w:rsidR="006C28BF" w:rsidRPr="009102F0">
        <w:rPr>
          <w:bCs/>
        </w:rPr>
        <w:t xml:space="preserve">Because average adherence </w:t>
      </w:r>
      <w:r w:rsidR="00587146" w:rsidRPr="009102F0">
        <w:rPr>
          <w:bCs/>
        </w:rPr>
        <w:t xml:space="preserve">is a </w:t>
      </w:r>
      <w:r w:rsidR="006C28BF" w:rsidRPr="009102F0">
        <w:rPr>
          <w:bCs/>
        </w:rPr>
        <w:t>relatively insen</w:t>
      </w:r>
      <w:r w:rsidR="00CE128B">
        <w:rPr>
          <w:bCs/>
        </w:rPr>
        <w:t>si</w:t>
      </w:r>
      <w:r w:rsidR="006C28BF" w:rsidRPr="009102F0">
        <w:rPr>
          <w:bCs/>
        </w:rPr>
        <w:t xml:space="preserve">tive predictor of VL failure compared to </w:t>
      </w:r>
      <w:r w:rsidR="006C07C8" w:rsidRPr="009102F0">
        <w:rPr>
          <w:bCs/>
        </w:rPr>
        <w:t>discontinuation</w:t>
      </w:r>
      <w:r w:rsidR="006C28BF" w:rsidRPr="009102F0">
        <w:rPr>
          <w:bCs/>
        </w:rPr>
        <w:t xml:space="preserve">s, this is a conservative bias. Electronic monitoring which </w:t>
      </w:r>
      <w:r w:rsidR="002A5AC9" w:rsidRPr="009102F0">
        <w:rPr>
          <w:bCs/>
        </w:rPr>
        <w:t>incorporates</w:t>
      </w:r>
      <w:r w:rsidR="006C28BF" w:rsidRPr="009102F0">
        <w:rPr>
          <w:bCs/>
        </w:rPr>
        <w:t xml:space="preserve"> </w:t>
      </w:r>
      <w:r w:rsidR="006C07C8" w:rsidRPr="009102F0">
        <w:rPr>
          <w:bCs/>
        </w:rPr>
        <w:t>discontinuation</w:t>
      </w:r>
      <w:r w:rsidR="006C28BF" w:rsidRPr="009102F0">
        <w:rPr>
          <w:bCs/>
        </w:rPr>
        <w:t>s would add to the predictive power, lead to better differentiation and improve cost effectiveness.</w:t>
      </w:r>
      <w:r w:rsidR="00A904B5">
        <w:t xml:space="preserve"> </w:t>
      </w:r>
      <w:r w:rsidR="006C28BF" w:rsidRPr="009102F0">
        <w:t xml:space="preserve"> Qualitative data by Ware </w:t>
      </w:r>
      <w:r w:rsidR="002E57C5" w:rsidRPr="009102F0">
        <w:t xml:space="preserve">and quantitative data by Haberer </w:t>
      </w:r>
      <w:r w:rsidR="006C28BF" w:rsidRPr="009102F0">
        <w:t>suggests that the mer</w:t>
      </w:r>
      <w:r w:rsidR="002E57C5" w:rsidRPr="009102F0">
        <w:t>e</w:t>
      </w:r>
      <w:r w:rsidR="006C28BF" w:rsidRPr="009102F0">
        <w:t xml:space="preserve"> presence of electronic monitoring creates a perception of “connectedness to clinic” and may improve adherence by the presence of monitoring alone, even without explicit intervention</w:t>
      </w:r>
      <w:r w:rsidR="00A904B5">
        <w:t xml:space="preserve"> [65, 66]</w:t>
      </w:r>
      <w:r w:rsidR="006C28BF" w:rsidRPr="009102F0">
        <w:t xml:space="preserve">. </w:t>
      </w:r>
      <w:r w:rsidR="00587146" w:rsidRPr="009102F0">
        <w:t xml:space="preserve"> </w:t>
      </w:r>
      <w:r w:rsidR="002E57C5" w:rsidRPr="009102F0">
        <w:t>Such a Hawthorne effect would increase the cost-effectiveness of our estimates.</w:t>
      </w:r>
      <w:r w:rsidR="00187E96" w:rsidRPr="009102F0">
        <w:t xml:space="preserve"> Lastly, by the nature of any model we have not captured all subtleties of real life and cannot rule out that some are important in affecting the outcomes we modelled.</w:t>
      </w:r>
      <w:r w:rsidR="00764A38">
        <w:t xml:space="preserve">  </w:t>
      </w:r>
      <w:r w:rsidR="00764A38" w:rsidRPr="00764A38">
        <w:rPr>
          <w:highlight w:val="lightGray"/>
        </w:rPr>
        <w:t>Lastly, we used a 20 year time horizon and ideally we would have used a longer time period to allow effects to play out over a longer period.</w:t>
      </w:r>
    </w:p>
    <w:p w14:paraId="3EF02E2B" w14:textId="00BE934C" w:rsidR="00324661" w:rsidRPr="009102F0" w:rsidRDefault="00324661" w:rsidP="00324661">
      <w:pPr>
        <w:spacing w:line="420" w:lineRule="auto"/>
      </w:pPr>
      <w:r w:rsidRPr="00A56DFE">
        <w:rPr>
          <w:highlight w:val="lightGray"/>
        </w:rPr>
        <w:t>In conclusion, our results suggest that there is clear scope for adherence monitoring-based interventions to provide net population health gain in low income settings in sub-Saharan Africa, with potential cost-effective use in situations where viral load monitoring is or is not available.  Our results should guide the implementation of future adherence monitoring interventions found in randomized trials and other studies to have health benefit.</w:t>
      </w:r>
      <w:r>
        <w:t xml:space="preserve">  </w:t>
      </w:r>
    </w:p>
    <w:p w14:paraId="1D460E19" w14:textId="77777777" w:rsidR="00324661" w:rsidRPr="009102F0" w:rsidRDefault="00324661" w:rsidP="00641E66">
      <w:pPr>
        <w:spacing w:line="420" w:lineRule="auto"/>
      </w:pPr>
    </w:p>
    <w:p w14:paraId="12FF99DA" w14:textId="77777777" w:rsidR="00DC3A0F" w:rsidRDefault="00DC3A0F" w:rsidP="00641E66">
      <w:pPr>
        <w:spacing w:line="420" w:lineRule="auto"/>
        <w:rPr>
          <w:b/>
          <w:color w:val="A50021"/>
          <w:sz w:val="36"/>
          <w:szCs w:val="36"/>
        </w:rPr>
      </w:pPr>
    </w:p>
    <w:p w14:paraId="1DDB2CD8" w14:textId="77777777" w:rsidR="007426E1" w:rsidRPr="00DC3A0F" w:rsidRDefault="007426E1" w:rsidP="00641E66">
      <w:pPr>
        <w:spacing w:line="420" w:lineRule="auto"/>
        <w:rPr>
          <w:color w:val="A50021"/>
          <w:sz w:val="36"/>
          <w:szCs w:val="36"/>
        </w:rPr>
      </w:pPr>
      <w:r w:rsidRPr="00DC3A0F">
        <w:rPr>
          <w:b/>
          <w:color w:val="A50021"/>
          <w:sz w:val="36"/>
          <w:szCs w:val="36"/>
        </w:rPr>
        <w:t>Acknowledgements</w:t>
      </w:r>
    </w:p>
    <w:p w14:paraId="7C541249" w14:textId="6235D423" w:rsidR="007426E1" w:rsidRPr="009102F0" w:rsidRDefault="007426E1" w:rsidP="00641E66">
      <w:pPr>
        <w:spacing w:line="420" w:lineRule="auto"/>
        <w:rPr>
          <w:b/>
          <w:color w:val="A50021"/>
        </w:rPr>
      </w:pPr>
      <w:r w:rsidRPr="009102F0">
        <w:t>Funding B</w:t>
      </w:r>
      <w:r w:rsidR="003A10C2" w:rsidRPr="009102F0">
        <w:t xml:space="preserve">ill &amp; </w:t>
      </w:r>
      <w:r w:rsidRPr="009102F0">
        <w:t>M</w:t>
      </w:r>
      <w:r w:rsidR="003A10C2" w:rsidRPr="009102F0">
        <w:t xml:space="preserve">elinda </w:t>
      </w:r>
      <w:r w:rsidRPr="009102F0">
        <w:t>G</w:t>
      </w:r>
      <w:r w:rsidR="003A10C2" w:rsidRPr="009102F0">
        <w:t xml:space="preserve">ates </w:t>
      </w:r>
      <w:r w:rsidRPr="009102F0">
        <w:t>F</w:t>
      </w:r>
      <w:r w:rsidR="003A10C2" w:rsidRPr="009102F0">
        <w:t>oundation</w:t>
      </w:r>
      <w:r w:rsidRPr="009102F0">
        <w:t>.</w:t>
      </w:r>
      <w:r w:rsidR="0062132B" w:rsidRPr="009102F0">
        <w:t xml:space="preserve">   Legion@ucl</w:t>
      </w:r>
      <w:r w:rsidR="000A2642">
        <w:t xml:space="preserve"> </w:t>
      </w:r>
      <w:r w:rsidR="0062132B" w:rsidRPr="009102F0">
        <w:t xml:space="preserve">.  </w:t>
      </w:r>
      <w:r w:rsidRPr="009102F0">
        <w:rPr>
          <w:b/>
          <w:color w:val="A50021"/>
        </w:rPr>
        <w:br w:type="page"/>
      </w:r>
    </w:p>
    <w:p w14:paraId="51694752" w14:textId="77777777" w:rsidR="00FE5B00" w:rsidRPr="00DC3A0F" w:rsidRDefault="00FE5B00" w:rsidP="00FE5B00">
      <w:pPr>
        <w:rPr>
          <w:b/>
          <w:color w:val="A50021"/>
          <w:sz w:val="36"/>
          <w:szCs w:val="36"/>
        </w:rPr>
      </w:pPr>
      <w:r w:rsidRPr="00DC3A0F">
        <w:rPr>
          <w:b/>
          <w:color w:val="A50021"/>
          <w:sz w:val="36"/>
          <w:szCs w:val="36"/>
        </w:rPr>
        <w:t>References</w:t>
      </w:r>
    </w:p>
    <w:p w14:paraId="4EE20029" w14:textId="77777777" w:rsidR="007D16BB" w:rsidRPr="00FE5B00" w:rsidRDefault="007D16BB" w:rsidP="003F2B07">
      <w:pPr>
        <w:pStyle w:val="ListParagraph"/>
        <w:numPr>
          <w:ilvl w:val="0"/>
          <w:numId w:val="15"/>
        </w:numPr>
        <w:spacing w:after="0" w:line="240" w:lineRule="auto"/>
      </w:pPr>
      <w:r w:rsidRPr="00FE5B00">
        <w:t xml:space="preserve">Bärnighausen T, Chaiyachati K, Chimbindi N, et al.  Interventions to increase antiretroviral adherence in sub-Saharan Africa: a systematic review of evaluation studies.  Lancet Infect Dis 2011; 11: 942–51. </w:t>
      </w:r>
    </w:p>
    <w:p w14:paraId="4F2D09E6" w14:textId="77777777" w:rsidR="007D16BB" w:rsidRDefault="007D16BB" w:rsidP="007843FC">
      <w:pPr>
        <w:spacing w:after="0" w:line="240" w:lineRule="auto"/>
      </w:pPr>
    </w:p>
    <w:p w14:paraId="0DE190B4" w14:textId="77777777" w:rsidR="007843FC" w:rsidRPr="003F2B07" w:rsidRDefault="007843FC" w:rsidP="003F2B07">
      <w:pPr>
        <w:pStyle w:val="ListParagraph"/>
        <w:numPr>
          <w:ilvl w:val="0"/>
          <w:numId w:val="15"/>
        </w:numPr>
        <w:spacing w:after="0" w:line="240" w:lineRule="auto"/>
        <w:rPr>
          <w:rFonts w:cs="AdvPACF3"/>
        </w:rPr>
      </w:pPr>
      <w:r w:rsidRPr="007843FC">
        <w:t>Chaiyachatia</w:t>
      </w:r>
      <w:r>
        <w:t xml:space="preserve"> KH</w:t>
      </w:r>
      <w:r w:rsidRPr="007843FC">
        <w:t>, Ogbuojib O, Price M, Suthar AB, Negussie EK, Bärnighausen T.  Interventions to improve adherence to antiretroviral therapy: a rapid systematic review.  AIDS 2014;</w:t>
      </w:r>
      <w:r w:rsidRPr="003F2B07">
        <w:rPr>
          <w:rFonts w:cs="AdvPACF3"/>
        </w:rPr>
        <w:t xml:space="preserve"> </w:t>
      </w:r>
      <w:r w:rsidRPr="003F2B07">
        <w:rPr>
          <w:rFonts w:cs="AdvPAC4C"/>
        </w:rPr>
        <w:t xml:space="preserve">28 </w:t>
      </w:r>
      <w:r w:rsidRPr="003F2B07">
        <w:rPr>
          <w:rFonts w:cs="AdvPACF3"/>
        </w:rPr>
        <w:t>(Suppl 2)</w:t>
      </w:r>
      <w:r w:rsidRPr="003F2B07">
        <w:rPr>
          <w:rFonts w:cs="AdvTimes"/>
        </w:rPr>
        <w:t>:</w:t>
      </w:r>
      <w:r w:rsidRPr="003F2B07">
        <w:rPr>
          <w:rFonts w:cs="AdvPACF3"/>
        </w:rPr>
        <w:t>S187–S204</w:t>
      </w:r>
    </w:p>
    <w:p w14:paraId="2178FC32" w14:textId="77777777" w:rsidR="007843FC" w:rsidRPr="007843FC" w:rsidRDefault="007843FC" w:rsidP="007843FC">
      <w:pPr>
        <w:spacing w:after="0" w:line="240" w:lineRule="auto"/>
      </w:pPr>
    </w:p>
    <w:p w14:paraId="3862CA1D" w14:textId="77777777" w:rsidR="007D16BB" w:rsidRPr="007843FC" w:rsidRDefault="007D16BB" w:rsidP="003F2B07">
      <w:pPr>
        <w:pStyle w:val="ListParagraph"/>
        <w:numPr>
          <w:ilvl w:val="0"/>
          <w:numId w:val="15"/>
        </w:numPr>
        <w:spacing w:after="0" w:line="240" w:lineRule="auto"/>
      </w:pPr>
      <w:r w:rsidRPr="007843FC">
        <w:t xml:space="preserve">Campbell </w:t>
      </w:r>
      <w:r>
        <w:t xml:space="preserve">JI, </w:t>
      </w:r>
      <w:r w:rsidRPr="007843FC">
        <w:t>Haberer</w:t>
      </w:r>
      <w:r>
        <w:t xml:space="preserve"> JE.  </w:t>
      </w:r>
      <w:r w:rsidRPr="007843FC">
        <w:t>Cell Phone-Based and Adherence Device Technologies for HIV</w:t>
      </w:r>
      <w:r>
        <w:t xml:space="preserve"> </w:t>
      </w:r>
      <w:r w:rsidRPr="007843FC">
        <w:t>Care and Treatment in Resource-Limited Settings:</w:t>
      </w:r>
      <w:r>
        <w:t xml:space="preserve"> </w:t>
      </w:r>
      <w:r w:rsidRPr="007843FC">
        <w:t>Recent Advances</w:t>
      </w:r>
      <w:r>
        <w:t xml:space="preserve">.  </w:t>
      </w:r>
      <w:r w:rsidRPr="007843FC">
        <w:t>Curr HIV/AIDS Rep (2015) 12:523–531</w:t>
      </w:r>
      <w:r>
        <w:t>.</w:t>
      </w:r>
    </w:p>
    <w:p w14:paraId="40F07F9F" w14:textId="77777777" w:rsidR="007D16BB" w:rsidRDefault="007D16BB" w:rsidP="007D16BB">
      <w:pPr>
        <w:spacing w:after="0" w:line="240" w:lineRule="auto"/>
      </w:pPr>
    </w:p>
    <w:p w14:paraId="084E2C28" w14:textId="77777777" w:rsidR="003F2B07" w:rsidRPr="00FE5B00" w:rsidRDefault="003F2B07" w:rsidP="003F2B07">
      <w:pPr>
        <w:pStyle w:val="ListParagraph"/>
        <w:numPr>
          <w:ilvl w:val="0"/>
          <w:numId w:val="15"/>
        </w:numPr>
        <w:spacing w:after="0" w:line="240" w:lineRule="auto"/>
      </w:pPr>
      <w:r w:rsidRPr="00FE5B00">
        <w:t>Demonceau J, Ruppar T, Kristanto P, et al.  Identification and Assessment of Adherence-Enhancing Interventions in Studies Assessing Medication Adherence Through Electronically Compiled Drug Dosing Histories: A Systematic Literature Review and Meta-Analysis.  Drugs (2013) 73:545–562</w:t>
      </w:r>
    </w:p>
    <w:p w14:paraId="3A009FD9" w14:textId="77777777" w:rsidR="003F2B07" w:rsidRDefault="003F2B07" w:rsidP="003F2B07">
      <w:pPr>
        <w:tabs>
          <w:tab w:val="left" w:pos="0"/>
        </w:tabs>
        <w:spacing w:after="0" w:line="240" w:lineRule="auto"/>
        <w:rPr>
          <w:noProof/>
          <w:shd w:val="clear" w:color="auto" w:fill="FFFFFF"/>
        </w:rPr>
      </w:pPr>
    </w:p>
    <w:p w14:paraId="63A31F89" w14:textId="77777777" w:rsidR="003F2B07" w:rsidRPr="00FE5B00" w:rsidRDefault="003F2B07" w:rsidP="003F2B07">
      <w:pPr>
        <w:pStyle w:val="ListParagraph"/>
        <w:numPr>
          <w:ilvl w:val="0"/>
          <w:numId w:val="15"/>
        </w:numPr>
        <w:spacing w:after="0" w:line="240" w:lineRule="auto"/>
      </w:pPr>
      <w:r w:rsidRPr="00FE5B00">
        <w:t>Pellowski  JA, Kalichman SC.  Recent Advances (2011-2012) in Technology-Delivered Interventions for People Living with HIV.  Curr HIV/AIDS Rep  2012; 9:326–334</w:t>
      </w:r>
    </w:p>
    <w:p w14:paraId="03FDC941" w14:textId="77777777" w:rsidR="003F2B07" w:rsidRDefault="003F2B07" w:rsidP="003F2B07">
      <w:pPr>
        <w:spacing w:after="0" w:line="240" w:lineRule="auto"/>
      </w:pPr>
    </w:p>
    <w:p w14:paraId="655CBC5E" w14:textId="77777777" w:rsidR="007D16BB" w:rsidRPr="003F2B07" w:rsidRDefault="007D16BB" w:rsidP="003F2B07">
      <w:pPr>
        <w:pStyle w:val="ListParagraph"/>
        <w:numPr>
          <w:ilvl w:val="0"/>
          <w:numId w:val="15"/>
        </w:numPr>
        <w:tabs>
          <w:tab w:val="left" w:pos="0"/>
        </w:tabs>
        <w:spacing w:after="0" w:line="240" w:lineRule="auto"/>
        <w:rPr>
          <w:noProof/>
          <w:shd w:val="clear" w:color="auto" w:fill="FFFFFF"/>
        </w:rPr>
      </w:pPr>
      <w:r w:rsidRPr="003F2B07">
        <w:rPr>
          <w:noProof/>
          <w:shd w:val="clear" w:color="auto" w:fill="FFFFFF"/>
        </w:rPr>
        <w:t xml:space="preserve">Osterberg, L. &amp; Blaschke, T. 2005. Adherence to Medication. </w:t>
      </w:r>
      <w:r w:rsidRPr="003F2B07">
        <w:rPr>
          <w:i/>
          <w:noProof/>
          <w:shd w:val="clear" w:color="auto" w:fill="FFFFFF"/>
        </w:rPr>
        <w:t>NEJM</w:t>
      </w:r>
      <w:r w:rsidRPr="003F2B07">
        <w:rPr>
          <w:noProof/>
          <w:shd w:val="clear" w:color="auto" w:fill="FFFFFF"/>
        </w:rPr>
        <w:t>, 353, 487-497</w:t>
      </w:r>
    </w:p>
    <w:p w14:paraId="31B35889" w14:textId="77777777" w:rsidR="007D16BB" w:rsidRDefault="007D16BB" w:rsidP="007D16BB">
      <w:pPr>
        <w:spacing w:after="0" w:line="240" w:lineRule="auto"/>
      </w:pPr>
    </w:p>
    <w:p w14:paraId="4202AEB4" w14:textId="77777777" w:rsidR="003F2B07" w:rsidRDefault="007D16BB" w:rsidP="000F55AE">
      <w:pPr>
        <w:pStyle w:val="ListParagraph"/>
        <w:numPr>
          <w:ilvl w:val="0"/>
          <w:numId w:val="15"/>
        </w:numPr>
        <w:spacing w:after="0" w:line="240" w:lineRule="auto"/>
      </w:pPr>
      <w:r w:rsidRPr="00FE5B00">
        <w:t>Blaschke TF, Osterberg L, Vrijens B,  Urquhart J.  Adherence to Medications: Insights Arising from Studies on the Unreliable Link Between Prescribed and Actual Drug Dosing Histories.   Annu. Rev. Pharmacol. Toxicol. 2012. 52:275–301.</w:t>
      </w:r>
    </w:p>
    <w:p w14:paraId="00B821E6" w14:textId="77777777" w:rsidR="003F2B07" w:rsidRDefault="003F2B07" w:rsidP="003F2B07">
      <w:pPr>
        <w:pStyle w:val="ListParagraph"/>
        <w:spacing w:after="0" w:line="240" w:lineRule="auto"/>
      </w:pPr>
    </w:p>
    <w:p w14:paraId="671EC93C" w14:textId="77777777" w:rsidR="0014332F" w:rsidRDefault="000F55AE" w:rsidP="0014332F">
      <w:pPr>
        <w:pStyle w:val="ListParagraph"/>
        <w:numPr>
          <w:ilvl w:val="0"/>
          <w:numId w:val="15"/>
        </w:numPr>
        <w:spacing w:after="0" w:line="240" w:lineRule="auto"/>
      </w:pPr>
      <w:r>
        <w:t xml:space="preserve">Haberer J, et al.  </w:t>
      </w:r>
      <w:r w:rsidRPr="000F55AE">
        <w:t>Realtime adherence monitoring of antiretroviral therapy among HIV-infected adults and children in rural Uganda</w:t>
      </w:r>
      <w:r>
        <w:t>.  AIDS  2013; 13:2166-2168.  DOI: 10.1097/QAD.0b013e328363b53f</w:t>
      </w:r>
    </w:p>
    <w:p w14:paraId="596F60CC" w14:textId="77777777" w:rsidR="0014332F" w:rsidRDefault="0014332F" w:rsidP="0014332F">
      <w:pPr>
        <w:pStyle w:val="ListParagraph"/>
        <w:spacing w:after="0" w:line="240" w:lineRule="auto"/>
      </w:pPr>
    </w:p>
    <w:p w14:paraId="69251AA3" w14:textId="77777777" w:rsidR="0014332F" w:rsidRDefault="0014332F" w:rsidP="007D16BB">
      <w:pPr>
        <w:pStyle w:val="ListParagraph"/>
        <w:numPr>
          <w:ilvl w:val="0"/>
          <w:numId w:val="15"/>
        </w:numPr>
        <w:spacing w:after="0" w:line="240" w:lineRule="auto"/>
      </w:pPr>
      <w:r w:rsidRPr="0014332F">
        <w:t>Orrell</w:t>
      </w:r>
      <w:r>
        <w:t xml:space="preserve"> C</w:t>
      </w:r>
      <w:r w:rsidRPr="0014332F">
        <w:t>,</w:t>
      </w:r>
      <w:r>
        <w:t xml:space="preserve"> </w:t>
      </w:r>
      <w:r w:rsidRPr="0014332F">
        <w:t>Cohen</w:t>
      </w:r>
      <w:r>
        <w:t xml:space="preserve"> K</w:t>
      </w:r>
      <w:r w:rsidRPr="0014332F">
        <w:t>, Mauff</w:t>
      </w:r>
      <w:r>
        <w:t xml:space="preserve"> K</w:t>
      </w:r>
      <w:r w:rsidRPr="0014332F">
        <w:t>,</w:t>
      </w:r>
      <w:r>
        <w:t xml:space="preserve"> B</w:t>
      </w:r>
      <w:r w:rsidRPr="0014332F">
        <w:t>angsberg</w:t>
      </w:r>
      <w:r>
        <w:t xml:space="preserve"> DR, </w:t>
      </w:r>
      <w:r w:rsidRPr="0014332F">
        <w:t>Maartens</w:t>
      </w:r>
      <w:r>
        <w:t xml:space="preserve"> G</w:t>
      </w:r>
      <w:r w:rsidRPr="0014332F">
        <w:t>,</w:t>
      </w:r>
      <w:r>
        <w:t xml:space="preserve"> W</w:t>
      </w:r>
      <w:r w:rsidRPr="0014332F">
        <w:t>ood</w:t>
      </w:r>
      <w:r>
        <w:t xml:space="preserve"> R.  </w:t>
      </w:r>
      <w:r w:rsidRPr="0014332F">
        <w:t>A Randomized Controlled Trial of Real-Time Electronic</w:t>
      </w:r>
      <w:r>
        <w:t xml:space="preserve"> </w:t>
      </w:r>
      <w:r w:rsidRPr="0014332F">
        <w:t>Adherence Monitoring With Text Message Dosing</w:t>
      </w:r>
      <w:r>
        <w:t xml:space="preserve"> </w:t>
      </w:r>
      <w:r w:rsidRPr="0014332F">
        <w:t>Reminders in People Starting First-Line</w:t>
      </w:r>
      <w:r>
        <w:t xml:space="preserve"> </w:t>
      </w:r>
      <w:r w:rsidRPr="0014332F">
        <w:t>Antiretroviral Therapy</w:t>
      </w:r>
      <w:r>
        <w:t xml:space="preserve">.  </w:t>
      </w:r>
      <w:r w:rsidRPr="0014332F">
        <w:t>J Acquir Immune Defic Syndr 2015;70:495–502</w:t>
      </w:r>
    </w:p>
    <w:p w14:paraId="58F59A11" w14:textId="77777777" w:rsidR="0014332F" w:rsidRDefault="0014332F" w:rsidP="0014332F">
      <w:pPr>
        <w:pStyle w:val="ListParagraph"/>
        <w:spacing w:after="0" w:line="240" w:lineRule="auto"/>
      </w:pPr>
    </w:p>
    <w:p w14:paraId="06D37556" w14:textId="77777777" w:rsidR="0014332F" w:rsidRDefault="001B136C" w:rsidP="007D16BB">
      <w:pPr>
        <w:pStyle w:val="ListParagraph"/>
        <w:numPr>
          <w:ilvl w:val="0"/>
          <w:numId w:val="15"/>
        </w:numPr>
        <w:spacing w:after="0" w:line="240" w:lineRule="auto"/>
      </w:pPr>
      <w:r w:rsidRPr="001B136C">
        <w:t>Duncombe</w:t>
      </w:r>
      <w:r>
        <w:t xml:space="preserve"> C</w:t>
      </w:r>
      <w:r w:rsidRPr="001B136C">
        <w:t>,  Rosenblum</w:t>
      </w:r>
      <w:r>
        <w:t xml:space="preserve"> S</w:t>
      </w:r>
      <w:r w:rsidRPr="001B136C">
        <w:t>, Hellmann</w:t>
      </w:r>
      <w:r>
        <w:t xml:space="preserve"> N</w:t>
      </w:r>
      <w:r w:rsidRPr="001B136C">
        <w:t>, Holmes</w:t>
      </w:r>
      <w:r>
        <w:t xml:space="preserve"> C</w:t>
      </w:r>
      <w:r w:rsidRPr="001B136C">
        <w:t>, Wilkinson</w:t>
      </w:r>
      <w:r>
        <w:t xml:space="preserve"> L </w:t>
      </w:r>
      <w:r w:rsidRPr="001B136C">
        <w:t>, Biot</w:t>
      </w:r>
      <w:r>
        <w:t xml:space="preserve"> M</w:t>
      </w:r>
      <w:r w:rsidRPr="001B136C">
        <w:t>,</w:t>
      </w:r>
      <w:r>
        <w:t xml:space="preserve"> </w:t>
      </w:r>
      <w:r w:rsidRPr="001B136C">
        <w:t>Bygrave</w:t>
      </w:r>
      <w:r>
        <w:t xml:space="preserve"> H</w:t>
      </w:r>
      <w:r w:rsidRPr="001B136C">
        <w:t>, Hoos</w:t>
      </w:r>
      <w:r>
        <w:t xml:space="preserve"> D, </w:t>
      </w:r>
      <w:r w:rsidRPr="001B136C">
        <w:t>Garnett</w:t>
      </w:r>
      <w:r>
        <w:t xml:space="preserve"> G.   </w:t>
      </w:r>
      <w:r w:rsidRPr="001B136C">
        <w:t>Reframing HIV care: putting people at the centre of</w:t>
      </w:r>
      <w:r>
        <w:t xml:space="preserve"> </w:t>
      </w:r>
      <w:r w:rsidRPr="001B136C">
        <w:t>antiretroviral delivery</w:t>
      </w:r>
      <w:r>
        <w:t>.  Trop Med Hygiene 2015</w:t>
      </w:r>
      <w:r w:rsidR="008473BE">
        <w:t xml:space="preserve">; </w:t>
      </w:r>
      <w:r w:rsidR="008473BE" w:rsidRPr="008473BE">
        <w:t>20</w:t>
      </w:r>
      <w:r w:rsidR="008473BE">
        <w:t>:</w:t>
      </w:r>
      <w:r w:rsidR="008473BE" w:rsidRPr="008473BE">
        <w:t xml:space="preserve"> 430–447</w:t>
      </w:r>
    </w:p>
    <w:p w14:paraId="062DC7DA" w14:textId="77777777" w:rsidR="0014332F" w:rsidRDefault="0014332F" w:rsidP="0014332F">
      <w:pPr>
        <w:pStyle w:val="ListParagraph"/>
        <w:spacing w:after="0" w:line="240" w:lineRule="auto"/>
      </w:pPr>
    </w:p>
    <w:p w14:paraId="61519678" w14:textId="77777777" w:rsidR="00376F88" w:rsidRDefault="007D16BB" w:rsidP="007D16BB">
      <w:pPr>
        <w:pStyle w:val="ListParagraph"/>
        <w:numPr>
          <w:ilvl w:val="0"/>
          <w:numId w:val="15"/>
        </w:numPr>
        <w:spacing w:after="0" w:line="240" w:lineRule="auto"/>
      </w:pPr>
      <w:r w:rsidRPr="007D16BB">
        <w:t>Working Group on Modelling of ART Monitoring Strategies in Sub-Saharan</w:t>
      </w:r>
      <w:r>
        <w:t xml:space="preserve"> </w:t>
      </w:r>
      <w:r w:rsidRPr="007D16BB">
        <w:t>Africa. Sustainable HIV treatment in Africa through viral load-informed differentiated</w:t>
      </w:r>
      <w:r>
        <w:t xml:space="preserve"> </w:t>
      </w:r>
      <w:r w:rsidRPr="007D16BB">
        <w:t>care. Nature 2015; 528:S68–76.</w:t>
      </w:r>
    </w:p>
    <w:p w14:paraId="1AEBF645" w14:textId="77777777" w:rsidR="00376F88" w:rsidRDefault="00376F88" w:rsidP="00376F88">
      <w:pPr>
        <w:pStyle w:val="ListParagraph"/>
        <w:spacing w:after="0" w:line="240" w:lineRule="auto"/>
      </w:pPr>
    </w:p>
    <w:p w14:paraId="1410D3D2" w14:textId="77777777" w:rsidR="00376F88" w:rsidRPr="00376F88" w:rsidRDefault="007D16BB" w:rsidP="007D16BB">
      <w:pPr>
        <w:pStyle w:val="ListParagraph"/>
        <w:numPr>
          <w:ilvl w:val="0"/>
          <w:numId w:val="15"/>
        </w:numPr>
        <w:spacing w:after="0" w:line="240" w:lineRule="auto"/>
      </w:pPr>
      <w:r w:rsidRPr="00376F88">
        <w:rPr>
          <w:rFonts w:cs="Arial"/>
        </w:rPr>
        <w:t>Phillips AN, Pillay D, Garnett G, et al. Effect on transmission of HIV-1 resistance of timing of implementation of viral load monitoring to determine switches from first to second-line regimens in resource-limited settings. AIDS 2011; 25: 843–50.</w:t>
      </w:r>
    </w:p>
    <w:p w14:paraId="224C9E1C" w14:textId="77777777" w:rsidR="00376F88" w:rsidRPr="00376F88" w:rsidRDefault="00376F88" w:rsidP="00376F88">
      <w:pPr>
        <w:pStyle w:val="ListParagraph"/>
        <w:spacing w:after="0" w:line="240" w:lineRule="auto"/>
      </w:pPr>
    </w:p>
    <w:p w14:paraId="0063906A" w14:textId="77777777" w:rsidR="00376F88" w:rsidRPr="00376F88" w:rsidRDefault="007D16BB" w:rsidP="00376F88">
      <w:pPr>
        <w:pStyle w:val="ListParagraph"/>
        <w:numPr>
          <w:ilvl w:val="0"/>
          <w:numId w:val="15"/>
        </w:numPr>
        <w:spacing w:after="0" w:line="240" w:lineRule="auto"/>
      </w:pPr>
      <w:r w:rsidRPr="00376F88">
        <w:rPr>
          <w:rFonts w:cs="Arial"/>
        </w:rPr>
        <w:t>Cambiano V, Bertagnolio S, Jordan M, Pillay D, Perriens J, Venter F, et al.  Predicted levels of HIV drug resistance: potential impact of expanding diagnosis, retention, and eligibility criteria for antiretroviral therapy initiation.  AIDS 2014, 28 (Suppl 1):S15–S23.</w:t>
      </w:r>
    </w:p>
    <w:p w14:paraId="7229067A" w14:textId="77777777" w:rsidR="00376F88" w:rsidRPr="00376F88" w:rsidRDefault="00376F88" w:rsidP="00376F88">
      <w:pPr>
        <w:pStyle w:val="ListParagraph"/>
        <w:spacing w:after="0" w:line="240" w:lineRule="auto"/>
      </w:pPr>
    </w:p>
    <w:p w14:paraId="37BA3EAD" w14:textId="77777777" w:rsidR="00376F88" w:rsidRPr="00376F88" w:rsidRDefault="007D16BB" w:rsidP="00376F88">
      <w:pPr>
        <w:pStyle w:val="ListParagraph"/>
        <w:numPr>
          <w:ilvl w:val="0"/>
          <w:numId w:val="15"/>
        </w:numPr>
        <w:spacing w:after="0" w:line="240" w:lineRule="auto"/>
      </w:pPr>
      <w:r w:rsidRPr="00376F88">
        <w:rPr>
          <w:rFonts w:cs="Arial"/>
          <w:color w:val="000000"/>
        </w:rPr>
        <w:t>Nakagawa F, Lodwick RK, Smith CJ, Smith R, Cambiano V, Lundgren JD, et al. Projected life expectancy of people with HIV according to timing of diagnosis. AIDS 2012;26(3):335-43.</w:t>
      </w:r>
    </w:p>
    <w:p w14:paraId="3C0F3435" w14:textId="77777777" w:rsidR="00376F88" w:rsidRPr="00376F88" w:rsidRDefault="00376F88" w:rsidP="00376F88">
      <w:pPr>
        <w:pStyle w:val="ListParagraph"/>
        <w:spacing w:after="0" w:line="240" w:lineRule="auto"/>
      </w:pPr>
    </w:p>
    <w:p w14:paraId="358E8746" w14:textId="7F0348DD" w:rsidR="00515D8E" w:rsidRPr="00376F88" w:rsidRDefault="00515D8E" w:rsidP="00376F88">
      <w:pPr>
        <w:pStyle w:val="ListParagraph"/>
        <w:numPr>
          <w:ilvl w:val="0"/>
          <w:numId w:val="15"/>
        </w:numPr>
        <w:spacing w:after="0" w:line="240" w:lineRule="auto"/>
      </w:pPr>
      <w:r w:rsidRPr="00376F88">
        <w:rPr>
          <w:noProof/>
          <w:shd w:val="clear" w:color="auto" w:fill="FFFFFF"/>
        </w:rPr>
        <w:t xml:space="preserve">Cambiano, V., Lampe, F.C., Rodger, A.J., Smith, C.J., Geretti, A.M., Lodwick, R.K., Puradiredja, D.I., Johnson, M., Swaden, L., &amp; Phillips, A.N. 2010a. Long-term trends in adherence to antiretroviral therapy from start of HAART. </w:t>
      </w:r>
      <w:r w:rsidRPr="00376F88">
        <w:rPr>
          <w:i/>
          <w:noProof/>
          <w:shd w:val="clear" w:color="auto" w:fill="FFFFFF"/>
        </w:rPr>
        <w:t>AIDS</w:t>
      </w:r>
      <w:r w:rsidRPr="00376F88">
        <w:rPr>
          <w:noProof/>
          <w:shd w:val="clear" w:color="auto" w:fill="FFFFFF"/>
        </w:rPr>
        <w:t xml:space="preserve">, 24, (8) 1153-1162 available from: PM:20299959 </w:t>
      </w:r>
    </w:p>
    <w:p w14:paraId="37E84D97" w14:textId="77777777" w:rsidR="007D16BB" w:rsidRDefault="007D16BB" w:rsidP="007843FC">
      <w:pPr>
        <w:spacing w:after="0" w:line="240" w:lineRule="auto"/>
      </w:pPr>
    </w:p>
    <w:p w14:paraId="65F5666E" w14:textId="77777777" w:rsidR="00515D8E" w:rsidRPr="00376F88" w:rsidRDefault="00515D8E" w:rsidP="00376F88">
      <w:pPr>
        <w:pStyle w:val="ListParagraph"/>
        <w:numPr>
          <w:ilvl w:val="0"/>
          <w:numId w:val="15"/>
        </w:numPr>
        <w:tabs>
          <w:tab w:val="left" w:pos="0"/>
        </w:tabs>
        <w:spacing w:after="0" w:line="240" w:lineRule="auto"/>
        <w:rPr>
          <w:noProof/>
          <w:shd w:val="clear" w:color="auto" w:fill="FFFFFF"/>
        </w:rPr>
      </w:pPr>
      <w:r w:rsidRPr="00376F88">
        <w:rPr>
          <w:noProof/>
          <w:shd w:val="clear" w:color="auto" w:fill="FFFFFF"/>
        </w:rPr>
        <w:t xml:space="preserve">Carrieri, P., Cailleton, V., Le, M., V, Spire, B., Dellamonica, P., Bouvet, E., Raffi, F., Journot, V., &amp; Moatti, J.P. 2001. The dynamic of adherence to highly active antiretroviral therapy: results from the French National APROCO cohort. </w:t>
      </w:r>
      <w:r w:rsidRPr="00376F88">
        <w:rPr>
          <w:i/>
          <w:noProof/>
          <w:shd w:val="clear" w:color="auto" w:fill="FFFFFF"/>
        </w:rPr>
        <w:t>J.Acquir.Immune.Defic.Syndr.</w:t>
      </w:r>
      <w:r w:rsidRPr="00376F88">
        <w:rPr>
          <w:noProof/>
          <w:shd w:val="clear" w:color="auto" w:fill="FFFFFF"/>
        </w:rPr>
        <w:t xml:space="preserve">, 28, (3) 232-239 available from: PM:11694829 </w:t>
      </w:r>
    </w:p>
    <w:p w14:paraId="12677C3B" w14:textId="77777777" w:rsidR="00515D8E" w:rsidRDefault="00515D8E" w:rsidP="00515D8E">
      <w:pPr>
        <w:tabs>
          <w:tab w:val="left" w:pos="0"/>
        </w:tabs>
        <w:spacing w:after="0" w:line="240" w:lineRule="auto"/>
        <w:rPr>
          <w:noProof/>
          <w:shd w:val="clear" w:color="auto" w:fill="FFFFFF"/>
        </w:rPr>
      </w:pPr>
    </w:p>
    <w:p w14:paraId="271596FC" w14:textId="77777777" w:rsidR="00515D8E" w:rsidRPr="00376F88" w:rsidRDefault="00515D8E" w:rsidP="00376F88">
      <w:pPr>
        <w:pStyle w:val="ListParagraph"/>
        <w:numPr>
          <w:ilvl w:val="0"/>
          <w:numId w:val="15"/>
        </w:numPr>
        <w:tabs>
          <w:tab w:val="left" w:pos="0"/>
        </w:tabs>
        <w:spacing w:after="0" w:line="240" w:lineRule="auto"/>
        <w:rPr>
          <w:noProof/>
          <w:shd w:val="clear" w:color="auto" w:fill="FFFFFF"/>
        </w:rPr>
      </w:pPr>
      <w:r w:rsidRPr="00376F88">
        <w:rPr>
          <w:noProof/>
          <w:shd w:val="clear" w:color="auto" w:fill="FFFFFF"/>
        </w:rPr>
        <w:t xml:space="preserve">El-Khatib, Z., Ekstrom, A.M., Coovadia, A., Abrams, E.J., Petzold, M., Katzenstein, D., Morris, L., &amp; Kuhn, L. 2011. Adherence and virologic suppression during the first 24 weeks on antiretroviral therapy among women in Johannesburg, South Africa - a prospective cohort study. </w:t>
      </w:r>
      <w:r w:rsidRPr="00376F88">
        <w:rPr>
          <w:i/>
          <w:noProof/>
          <w:shd w:val="clear" w:color="auto" w:fill="FFFFFF"/>
        </w:rPr>
        <w:t>BMC.Public Health</w:t>
      </w:r>
      <w:r w:rsidRPr="00376F88">
        <w:rPr>
          <w:noProof/>
          <w:shd w:val="clear" w:color="auto" w:fill="FFFFFF"/>
        </w:rPr>
        <w:t xml:space="preserve">, 11, 88 available from: PM:21303548 </w:t>
      </w:r>
    </w:p>
    <w:p w14:paraId="0015BD01" w14:textId="77777777" w:rsidR="00376F88" w:rsidRDefault="00376F88" w:rsidP="00376F88">
      <w:pPr>
        <w:pStyle w:val="ListParagraph"/>
        <w:tabs>
          <w:tab w:val="left" w:pos="0"/>
        </w:tabs>
        <w:spacing w:after="0" w:line="240" w:lineRule="auto"/>
        <w:rPr>
          <w:noProof/>
          <w:shd w:val="clear" w:color="auto" w:fill="FFFFFF"/>
        </w:rPr>
      </w:pPr>
    </w:p>
    <w:p w14:paraId="024E1A31" w14:textId="77777777" w:rsidR="00515D8E" w:rsidRPr="00376F88" w:rsidRDefault="00515D8E" w:rsidP="00376F88">
      <w:pPr>
        <w:pStyle w:val="ListParagraph"/>
        <w:numPr>
          <w:ilvl w:val="0"/>
          <w:numId w:val="15"/>
        </w:numPr>
        <w:tabs>
          <w:tab w:val="left" w:pos="0"/>
        </w:tabs>
        <w:spacing w:after="0" w:line="240" w:lineRule="auto"/>
        <w:rPr>
          <w:noProof/>
          <w:shd w:val="clear" w:color="auto" w:fill="FFFFFF"/>
        </w:rPr>
      </w:pPr>
      <w:r w:rsidRPr="00376F88">
        <w:rPr>
          <w:noProof/>
          <w:shd w:val="clear" w:color="auto" w:fill="FFFFFF"/>
        </w:rPr>
        <w:t xml:space="preserve">Genberg, B.L., Wilson, I.B., Bangsberg, D.R., Arnsten, J., Goggin, K., Remien, R.H., Simoni, J., Gross, R., Reynolds, N., Rosen, M., &amp; Liu, H. 2012. Patterns of antiretroviral therapy adherence and impact on HIV RNA among patients in North America. </w:t>
      </w:r>
      <w:r w:rsidRPr="00376F88">
        <w:rPr>
          <w:i/>
          <w:noProof/>
          <w:shd w:val="clear" w:color="auto" w:fill="FFFFFF"/>
        </w:rPr>
        <w:t>AIDS</w:t>
      </w:r>
      <w:r w:rsidRPr="00376F88">
        <w:rPr>
          <w:noProof/>
          <w:shd w:val="clear" w:color="auto" w:fill="FFFFFF"/>
        </w:rPr>
        <w:t xml:space="preserve">, 26, (11) 1415-1423 available from: PM:22767342 </w:t>
      </w:r>
    </w:p>
    <w:p w14:paraId="094F78B6" w14:textId="77777777" w:rsidR="00515D8E" w:rsidRDefault="00515D8E" w:rsidP="00515D8E">
      <w:pPr>
        <w:tabs>
          <w:tab w:val="left" w:pos="0"/>
        </w:tabs>
        <w:spacing w:after="0" w:line="240" w:lineRule="auto"/>
        <w:rPr>
          <w:noProof/>
          <w:shd w:val="clear" w:color="auto" w:fill="FFFFFF"/>
        </w:rPr>
      </w:pPr>
    </w:p>
    <w:p w14:paraId="48D6865B" w14:textId="77777777" w:rsidR="00515D8E" w:rsidRPr="00376F88" w:rsidRDefault="00515D8E" w:rsidP="00376F88">
      <w:pPr>
        <w:pStyle w:val="ListParagraph"/>
        <w:numPr>
          <w:ilvl w:val="0"/>
          <w:numId w:val="15"/>
        </w:numPr>
        <w:tabs>
          <w:tab w:val="left" w:pos="0"/>
        </w:tabs>
        <w:spacing w:after="0" w:line="240" w:lineRule="auto"/>
        <w:rPr>
          <w:noProof/>
          <w:shd w:val="clear" w:color="auto" w:fill="FFFFFF"/>
        </w:rPr>
      </w:pPr>
      <w:r w:rsidRPr="00376F88">
        <w:rPr>
          <w:noProof/>
          <w:shd w:val="clear" w:color="auto" w:fill="FFFFFF"/>
        </w:rPr>
        <w:t xml:space="preserve">Glass, T.R., Battegay, M., Cavassini, M., De, G.S., Furrer, H., Vernazza, P.L., Hirschel, B., Bernasconi, E., Rickenbach, M., Gunthard, H.F., &amp; Bucher, H.C. 2010. Longitudinal analysis of patterns and predictors of changes in self-reported adherence to antiretroviral therapy: Swiss HIV Cohort Study. </w:t>
      </w:r>
      <w:r w:rsidRPr="00376F88">
        <w:rPr>
          <w:i/>
          <w:noProof/>
          <w:shd w:val="clear" w:color="auto" w:fill="FFFFFF"/>
        </w:rPr>
        <w:t>J.Acquir.Immune.Defic.Syndr.</w:t>
      </w:r>
      <w:r w:rsidRPr="00376F88">
        <w:rPr>
          <w:noProof/>
          <w:shd w:val="clear" w:color="auto" w:fill="FFFFFF"/>
        </w:rPr>
        <w:t xml:space="preserve">, 54, (2) 197-203 available from: PM:20035231 </w:t>
      </w:r>
    </w:p>
    <w:p w14:paraId="68ED3048" w14:textId="77777777" w:rsidR="00515D8E" w:rsidRDefault="00515D8E" w:rsidP="00515D8E">
      <w:pPr>
        <w:tabs>
          <w:tab w:val="left" w:pos="0"/>
        </w:tabs>
        <w:spacing w:after="0" w:line="240" w:lineRule="auto"/>
        <w:rPr>
          <w:noProof/>
          <w:shd w:val="clear" w:color="auto" w:fill="FFFFFF"/>
        </w:rPr>
      </w:pPr>
    </w:p>
    <w:p w14:paraId="6E6225E7" w14:textId="77777777" w:rsidR="00515D8E" w:rsidRPr="00376F88" w:rsidRDefault="00515D8E" w:rsidP="00376F88">
      <w:pPr>
        <w:pStyle w:val="ListParagraph"/>
        <w:numPr>
          <w:ilvl w:val="0"/>
          <w:numId w:val="15"/>
        </w:numPr>
        <w:tabs>
          <w:tab w:val="left" w:pos="0"/>
        </w:tabs>
        <w:spacing w:after="0" w:line="240" w:lineRule="auto"/>
        <w:rPr>
          <w:noProof/>
          <w:shd w:val="clear" w:color="auto" w:fill="FFFFFF"/>
        </w:rPr>
      </w:pPr>
      <w:r w:rsidRPr="00376F88">
        <w:rPr>
          <w:noProof/>
          <w:shd w:val="clear" w:color="auto" w:fill="FFFFFF"/>
        </w:rPr>
        <w:t xml:space="preserve">Kleeberger, C.A., Buechner, J., Palella, F., Detels, R., Riddler, S., Godfrey, R., &amp; Jacobson, L.P. 2004. Changes in adherence to highly active antiretroviral therapy medications in the Multicenter AIDS Cohort Study. </w:t>
      </w:r>
      <w:r w:rsidRPr="00376F88">
        <w:rPr>
          <w:i/>
          <w:noProof/>
          <w:shd w:val="clear" w:color="auto" w:fill="FFFFFF"/>
        </w:rPr>
        <w:t>AIDS</w:t>
      </w:r>
      <w:r w:rsidRPr="00376F88">
        <w:rPr>
          <w:noProof/>
          <w:shd w:val="clear" w:color="auto" w:fill="FFFFFF"/>
        </w:rPr>
        <w:t xml:space="preserve">, 18, (4) 683-688 available from: PM:15090774 </w:t>
      </w:r>
    </w:p>
    <w:p w14:paraId="4654F066" w14:textId="77777777" w:rsidR="00515D8E" w:rsidRDefault="00515D8E" w:rsidP="00515D8E">
      <w:pPr>
        <w:tabs>
          <w:tab w:val="left" w:pos="0"/>
        </w:tabs>
        <w:spacing w:after="0" w:line="240" w:lineRule="auto"/>
        <w:rPr>
          <w:noProof/>
          <w:shd w:val="clear" w:color="auto" w:fill="FFFFFF"/>
        </w:rPr>
      </w:pPr>
    </w:p>
    <w:p w14:paraId="43975F08" w14:textId="77777777" w:rsidR="00515D8E" w:rsidRPr="00376F88" w:rsidRDefault="00515D8E" w:rsidP="00376F88">
      <w:pPr>
        <w:pStyle w:val="ListParagraph"/>
        <w:numPr>
          <w:ilvl w:val="0"/>
          <w:numId w:val="15"/>
        </w:numPr>
        <w:tabs>
          <w:tab w:val="left" w:pos="0"/>
        </w:tabs>
        <w:spacing w:after="0" w:line="240" w:lineRule="auto"/>
        <w:rPr>
          <w:noProof/>
          <w:shd w:val="clear" w:color="auto" w:fill="FFFFFF"/>
        </w:rPr>
      </w:pPr>
      <w:r w:rsidRPr="00376F88">
        <w:rPr>
          <w:noProof/>
          <w:shd w:val="clear" w:color="auto" w:fill="FFFFFF"/>
        </w:rPr>
        <w:t xml:space="preserve">Lazo, M., Gange, S.J., Wilson, T.E., Anastos, K., Ostrow, D.G., Witt, M.D., &amp; Jacobson, L.P. 2007. Patterns and predictors of changes in adherence to highly active antiretroviral therapy: longitudinal study of men and women. </w:t>
      </w:r>
      <w:r w:rsidRPr="00376F88">
        <w:rPr>
          <w:i/>
          <w:noProof/>
          <w:shd w:val="clear" w:color="auto" w:fill="FFFFFF"/>
        </w:rPr>
        <w:t>Clin.Infect.Dis.</w:t>
      </w:r>
      <w:r w:rsidRPr="00376F88">
        <w:rPr>
          <w:noProof/>
          <w:shd w:val="clear" w:color="auto" w:fill="FFFFFF"/>
        </w:rPr>
        <w:t xml:space="preserve">, 45, (10) 1377-1385 available from: PM:17968839 </w:t>
      </w:r>
    </w:p>
    <w:p w14:paraId="212597EA" w14:textId="77777777" w:rsidR="00515D8E" w:rsidRDefault="00515D8E" w:rsidP="00515D8E">
      <w:pPr>
        <w:tabs>
          <w:tab w:val="left" w:pos="0"/>
        </w:tabs>
        <w:spacing w:after="0" w:line="240" w:lineRule="auto"/>
        <w:rPr>
          <w:noProof/>
          <w:shd w:val="clear" w:color="auto" w:fill="FFFFFF"/>
        </w:rPr>
      </w:pPr>
    </w:p>
    <w:p w14:paraId="3A41B5F6" w14:textId="77777777" w:rsidR="00515D8E" w:rsidRPr="00376F88" w:rsidRDefault="00515D8E" w:rsidP="00376F88">
      <w:pPr>
        <w:pStyle w:val="ListParagraph"/>
        <w:numPr>
          <w:ilvl w:val="0"/>
          <w:numId w:val="15"/>
        </w:numPr>
        <w:tabs>
          <w:tab w:val="left" w:pos="0"/>
        </w:tabs>
        <w:spacing w:after="0" w:line="240" w:lineRule="auto"/>
        <w:rPr>
          <w:noProof/>
          <w:shd w:val="clear" w:color="auto" w:fill="FFFFFF"/>
        </w:rPr>
      </w:pPr>
      <w:r w:rsidRPr="00376F88">
        <w:rPr>
          <w:noProof/>
          <w:shd w:val="clear" w:color="auto" w:fill="FFFFFF"/>
        </w:rPr>
        <w:t xml:space="preserve">Levine, A.J., Hinkin, C.H., Castellon, S.A., Mason, K.I., Lam, M.N., Perkins, A., Robinet, M., Longshore, D., Newton, T., Myers, H., Durvasula, R.S., &amp; Hardy, D.J. 2005. Variations in patterns of highly active antiretroviral therapy (HAART) adherence. </w:t>
      </w:r>
      <w:r w:rsidRPr="00376F88">
        <w:rPr>
          <w:i/>
          <w:noProof/>
          <w:shd w:val="clear" w:color="auto" w:fill="FFFFFF"/>
        </w:rPr>
        <w:t>AIDS Behav.</w:t>
      </w:r>
      <w:r w:rsidRPr="00376F88">
        <w:rPr>
          <w:noProof/>
          <w:shd w:val="clear" w:color="auto" w:fill="FFFFFF"/>
        </w:rPr>
        <w:t xml:space="preserve">, 9, (3) 355-362 available from: PM:16088365 </w:t>
      </w:r>
    </w:p>
    <w:p w14:paraId="05EE82ED" w14:textId="77777777" w:rsidR="00515D8E" w:rsidRDefault="00515D8E" w:rsidP="00515D8E">
      <w:pPr>
        <w:tabs>
          <w:tab w:val="left" w:pos="0"/>
        </w:tabs>
        <w:spacing w:after="0" w:line="240" w:lineRule="auto"/>
        <w:rPr>
          <w:noProof/>
          <w:shd w:val="clear" w:color="auto" w:fill="FFFFFF"/>
        </w:rPr>
      </w:pPr>
    </w:p>
    <w:p w14:paraId="2A21686F" w14:textId="77777777" w:rsidR="00515D8E" w:rsidRPr="00376F88" w:rsidRDefault="00515D8E" w:rsidP="00376F88">
      <w:pPr>
        <w:pStyle w:val="ListParagraph"/>
        <w:numPr>
          <w:ilvl w:val="0"/>
          <w:numId w:val="15"/>
        </w:numPr>
        <w:tabs>
          <w:tab w:val="left" w:pos="0"/>
        </w:tabs>
        <w:spacing w:after="0" w:line="240" w:lineRule="auto"/>
        <w:rPr>
          <w:noProof/>
          <w:shd w:val="clear" w:color="auto" w:fill="FFFFFF"/>
        </w:rPr>
      </w:pPr>
      <w:r w:rsidRPr="00376F88">
        <w:rPr>
          <w:noProof/>
          <w:shd w:val="clear" w:color="auto" w:fill="FFFFFF"/>
        </w:rPr>
        <w:t xml:space="preserve">Mannheimer, S., Friedland, G., Matts, J., Child, C., &amp; Chesney, M. 2002. The consistency of adherence to antiretroviral therapy predicts biologic outcomes for human immunodeficiency virus-infected persons in clinical trials. </w:t>
      </w:r>
      <w:r w:rsidRPr="00376F88">
        <w:rPr>
          <w:i/>
          <w:noProof/>
          <w:shd w:val="clear" w:color="auto" w:fill="FFFFFF"/>
        </w:rPr>
        <w:t>Clin.Infect.Dis.</w:t>
      </w:r>
      <w:r w:rsidRPr="00376F88">
        <w:rPr>
          <w:noProof/>
          <w:shd w:val="clear" w:color="auto" w:fill="FFFFFF"/>
        </w:rPr>
        <w:t xml:space="preserve">, 34, (8) 1115-1121 available from: PM:11915001 </w:t>
      </w:r>
    </w:p>
    <w:p w14:paraId="5EB035DA" w14:textId="77777777" w:rsidR="00515D8E" w:rsidRDefault="00515D8E" w:rsidP="00515D8E">
      <w:pPr>
        <w:tabs>
          <w:tab w:val="left" w:pos="0"/>
        </w:tabs>
        <w:spacing w:after="0" w:line="240" w:lineRule="auto"/>
        <w:rPr>
          <w:noProof/>
          <w:shd w:val="clear" w:color="auto" w:fill="FFFFFF"/>
        </w:rPr>
      </w:pPr>
    </w:p>
    <w:p w14:paraId="375A12BC" w14:textId="580CDA0B" w:rsidR="00515D8E" w:rsidRPr="00376F88" w:rsidRDefault="00515D8E" w:rsidP="00602EA6">
      <w:pPr>
        <w:pStyle w:val="ListParagraph"/>
        <w:numPr>
          <w:ilvl w:val="0"/>
          <w:numId w:val="15"/>
        </w:numPr>
        <w:tabs>
          <w:tab w:val="left" w:pos="0"/>
        </w:tabs>
        <w:spacing w:after="0" w:line="240" w:lineRule="auto"/>
        <w:rPr>
          <w:noProof/>
          <w:shd w:val="clear" w:color="auto" w:fill="FFFFFF"/>
        </w:rPr>
      </w:pPr>
      <w:r w:rsidRPr="00376F88">
        <w:rPr>
          <w:noProof/>
          <w:shd w:val="clear" w:color="auto" w:fill="FFFFFF"/>
        </w:rPr>
        <w:t xml:space="preserve">Meresse, M., March, L., Kouanfack, C., Bonono, R.C., Boyer, S., Laborde-Balen, G., Aghokeng, A., Suzan-Monti, M., Delaporte, E., Spire, B., Carrieri, M.P., &amp; Laurent, C. 2014. Patterns of adherence to antiretroviral therapy and HIV drug resistance over time in the Stratall ANRS 12110/ESTHER trial in Cameroon. </w:t>
      </w:r>
      <w:r w:rsidRPr="00376F88">
        <w:rPr>
          <w:i/>
          <w:noProof/>
          <w:shd w:val="clear" w:color="auto" w:fill="FFFFFF"/>
        </w:rPr>
        <w:t>HIV.Med.</w:t>
      </w:r>
      <w:r w:rsidRPr="00376F88">
        <w:rPr>
          <w:noProof/>
          <w:shd w:val="clear" w:color="auto" w:fill="FFFFFF"/>
        </w:rPr>
        <w:t xml:space="preserve"> available from: PM:24589279 </w:t>
      </w:r>
    </w:p>
    <w:p w14:paraId="6F2F01E9" w14:textId="77777777" w:rsidR="00376F88" w:rsidRDefault="00376F88" w:rsidP="00515D8E">
      <w:pPr>
        <w:tabs>
          <w:tab w:val="left" w:pos="0"/>
        </w:tabs>
        <w:spacing w:after="0" w:line="240" w:lineRule="auto"/>
        <w:rPr>
          <w:noProof/>
          <w:shd w:val="clear" w:color="auto" w:fill="FFFFFF"/>
        </w:rPr>
      </w:pPr>
    </w:p>
    <w:p w14:paraId="71E82B82" w14:textId="77777777" w:rsidR="00515D8E" w:rsidRPr="00602EA6" w:rsidRDefault="00515D8E" w:rsidP="00602EA6">
      <w:pPr>
        <w:pStyle w:val="ListParagraph"/>
        <w:numPr>
          <w:ilvl w:val="0"/>
          <w:numId w:val="15"/>
        </w:numPr>
        <w:autoSpaceDE w:val="0"/>
        <w:autoSpaceDN w:val="0"/>
        <w:adjustRightInd w:val="0"/>
        <w:spacing w:after="0" w:line="240" w:lineRule="auto"/>
        <w:rPr>
          <w:rFonts w:cs="Arial"/>
          <w:bCs/>
          <w:color w:val="000000"/>
        </w:rPr>
      </w:pPr>
      <w:r w:rsidRPr="00602EA6">
        <w:rPr>
          <w:rFonts w:cs="Arial"/>
          <w:bCs/>
          <w:color w:val="000000"/>
        </w:rPr>
        <w:t>Fox, M.P., Cutsem, G.V., Giddy, J., Maskew, M., Keiser, O., Prozesky, H., Wood, R., Hernan, M.A., Sterne, J.A., Egger, M., &amp; Boulle, A. 2012. Rates and predictors of failure of first-line antiretroviral therapy and switch to second-line ART in South Africa. J.Acquir.Immune.Defic.Syndr., 60, (4) 428-437 available from: PM:22433846</w:t>
      </w:r>
    </w:p>
    <w:p w14:paraId="72D9FCC1" w14:textId="77777777" w:rsidR="00515D8E" w:rsidRDefault="00515D8E" w:rsidP="00515D8E">
      <w:pPr>
        <w:tabs>
          <w:tab w:val="left" w:pos="0"/>
        </w:tabs>
        <w:spacing w:after="0" w:line="240" w:lineRule="auto"/>
        <w:rPr>
          <w:noProof/>
          <w:shd w:val="clear" w:color="auto" w:fill="FFFFFF"/>
        </w:rPr>
      </w:pPr>
    </w:p>
    <w:p w14:paraId="2FC272EC" w14:textId="77777777" w:rsidR="00515D8E" w:rsidRPr="00602EA6" w:rsidRDefault="00515D8E" w:rsidP="00602EA6">
      <w:pPr>
        <w:pStyle w:val="ListParagraph"/>
        <w:numPr>
          <w:ilvl w:val="0"/>
          <w:numId w:val="15"/>
        </w:numPr>
        <w:spacing w:after="0" w:line="240" w:lineRule="auto"/>
        <w:rPr>
          <w:rFonts w:eastAsia="Times New Roman" w:cs="Arial"/>
          <w:color w:val="000000"/>
        </w:rPr>
      </w:pPr>
      <w:r w:rsidRPr="00602EA6">
        <w:rPr>
          <w:rFonts w:eastAsia="Times New Roman" w:cs="Arial"/>
          <w:color w:val="000000"/>
          <w:lang w:val="da-DK"/>
        </w:rPr>
        <w:t xml:space="preserve">Bangsberg DR, Moss AR, Deeks SG et al.  </w:t>
      </w:r>
      <w:r w:rsidRPr="00602EA6">
        <w:rPr>
          <w:rFonts w:eastAsia="Times New Roman" w:cs="Arial"/>
          <w:color w:val="000000"/>
        </w:rPr>
        <w:t>Paradoxes of adherence and drug resistance to HIV antiretroviral therapy.  J Antimicrob Chem  2004; 53 (5): 696-699.</w:t>
      </w:r>
    </w:p>
    <w:p w14:paraId="51BF967C" w14:textId="77777777" w:rsidR="00515D8E" w:rsidRDefault="00515D8E" w:rsidP="00515D8E">
      <w:pPr>
        <w:spacing w:after="0" w:line="240" w:lineRule="auto"/>
        <w:rPr>
          <w:rFonts w:eastAsia="Times New Roman" w:cs="Arial"/>
        </w:rPr>
      </w:pPr>
    </w:p>
    <w:p w14:paraId="3DFCE937" w14:textId="77777777" w:rsidR="00515D8E" w:rsidRPr="00602EA6" w:rsidRDefault="00515D8E"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Bangsberg, D.R., Acosta, E.P., Gupta, R., Guzman, D., Riley, E.D., Harrigan, P.R., Parkin, N., &amp; Deeks, S.G. 2006b. Adherence-resistance relationships for protease and non-nucleoside reverse transcriptase inhibitors explained by virological fitness. </w:t>
      </w:r>
      <w:r w:rsidRPr="00602EA6">
        <w:rPr>
          <w:i/>
          <w:noProof/>
          <w:shd w:val="clear" w:color="auto" w:fill="FFFFFF"/>
        </w:rPr>
        <w:t>AIDS</w:t>
      </w:r>
      <w:r w:rsidRPr="00602EA6">
        <w:rPr>
          <w:noProof/>
          <w:shd w:val="clear" w:color="auto" w:fill="FFFFFF"/>
        </w:rPr>
        <w:t xml:space="preserve">, 20, (2) 223-231 available from: PM:16511415 </w:t>
      </w:r>
    </w:p>
    <w:p w14:paraId="2A8BB87A" w14:textId="77777777" w:rsidR="00515D8E" w:rsidRDefault="00515D8E" w:rsidP="00515D8E">
      <w:pPr>
        <w:tabs>
          <w:tab w:val="left" w:pos="0"/>
        </w:tabs>
        <w:spacing w:after="0" w:line="240" w:lineRule="auto"/>
        <w:rPr>
          <w:noProof/>
          <w:shd w:val="clear" w:color="auto" w:fill="FFFFFF"/>
        </w:rPr>
      </w:pPr>
    </w:p>
    <w:p w14:paraId="4D30DD76" w14:textId="77777777" w:rsidR="00515D8E" w:rsidRPr="00602EA6" w:rsidRDefault="00515D8E"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Hamers, R.L., Wallis, C.L., Kityo, C., Siwale, M., Mandaliya, K., Conradie, F., Botes, M.E., Wellington, M., Osibogun, A., Sigaloff, K.C., Nankya, I., Schuurman, R., Wit, F.W., Stevens, W.S., van, V.M., &amp; de Wit, T.F. 2011. HIV-1 drug resistance in antiretroviral-naive individuals in sub-Saharan Africa after rollout of antiretroviral therapy: a multicentre observational study. </w:t>
      </w:r>
      <w:r w:rsidRPr="00602EA6">
        <w:rPr>
          <w:i/>
          <w:noProof/>
          <w:shd w:val="clear" w:color="auto" w:fill="FFFFFF"/>
        </w:rPr>
        <w:t>Lancet Infect.Dis.</w:t>
      </w:r>
      <w:r w:rsidRPr="00602EA6">
        <w:rPr>
          <w:noProof/>
          <w:shd w:val="clear" w:color="auto" w:fill="FFFFFF"/>
        </w:rPr>
        <w:t xml:space="preserve">, 11, (10) 750-759 available from: PM:21802367 </w:t>
      </w:r>
    </w:p>
    <w:p w14:paraId="66ACDA19" w14:textId="77777777" w:rsidR="00515D8E" w:rsidRDefault="00515D8E" w:rsidP="00515D8E">
      <w:pPr>
        <w:tabs>
          <w:tab w:val="left" w:pos="0"/>
        </w:tabs>
        <w:spacing w:after="0" w:line="240" w:lineRule="auto"/>
        <w:rPr>
          <w:noProof/>
          <w:shd w:val="clear" w:color="auto" w:fill="FFFFFF"/>
        </w:rPr>
      </w:pPr>
    </w:p>
    <w:p w14:paraId="1037CFF2" w14:textId="77777777" w:rsidR="00515D8E" w:rsidRPr="00602EA6" w:rsidRDefault="00515D8E"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Hassan, A.S., Nabwera, H.M., Mwaringa, S.M., Obonyo, C.A., Sanders, E.J., Rinke de Wit, T.F., Cane, P.A., &amp; Berkley, J.A. 2014. HIV-1 virologic failure and acquired drug resistance among first-line antiretroviral experienced adults at a rural HIV clinic in coastal Kenya: a cross-sectional study. </w:t>
      </w:r>
      <w:r w:rsidRPr="00602EA6">
        <w:rPr>
          <w:i/>
          <w:noProof/>
          <w:shd w:val="clear" w:color="auto" w:fill="FFFFFF"/>
        </w:rPr>
        <w:t>AIDS Res.Ther.</w:t>
      </w:r>
      <w:r w:rsidRPr="00602EA6">
        <w:rPr>
          <w:noProof/>
          <w:shd w:val="clear" w:color="auto" w:fill="FFFFFF"/>
        </w:rPr>
        <w:t xml:space="preserve">, 11, (1) 9 available from: PM:24456757 </w:t>
      </w:r>
    </w:p>
    <w:p w14:paraId="483128BE" w14:textId="77777777" w:rsidR="00515D8E" w:rsidRDefault="00515D8E" w:rsidP="00515D8E">
      <w:pPr>
        <w:tabs>
          <w:tab w:val="left" w:pos="0"/>
        </w:tabs>
        <w:spacing w:after="0" w:line="240" w:lineRule="auto"/>
        <w:rPr>
          <w:noProof/>
          <w:shd w:val="clear" w:color="auto" w:fill="FFFFFF"/>
        </w:rPr>
      </w:pPr>
    </w:p>
    <w:p w14:paraId="20F4D2D9" w14:textId="77777777" w:rsidR="00515D8E" w:rsidRPr="00602EA6" w:rsidRDefault="00515D8E"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Hoffmann, C.J., Charalambous, S., Grant, A.D., Morris, L., Churchyard, G.J., &amp; Chaisson, R.E. 2014. Durable HIV RNA resuppression after virologic failure while remaining on a first-line regimen: a cohort study. </w:t>
      </w:r>
      <w:r w:rsidRPr="00602EA6">
        <w:rPr>
          <w:i/>
          <w:noProof/>
          <w:shd w:val="clear" w:color="auto" w:fill="FFFFFF"/>
        </w:rPr>
        <w:t>Trop.Med.Int.Health</w:t>
      </w:r>
      <w:r w:rsidRPr="00602EA6">
        <w:rPr>
          <w:noProof/>
          <w:shd w:val="clear" w:color="auto" w:fill="FFFFFF"/>
        </w:rPr>
        <w:t xml:space="preserve">, 19, (2) 236-239 available from: PM:24588012 </w:t>
      </w:r>
    </w:p>
    <w:p w14:paraId="6B498FCB" w14:textId="77777777" w:rsidR="00515D8E" w:rsidRDefault="00515D8E" w:rsidP="00515D8E">
      <w:pPr>
        <w:tabs>
          <w:tab w:val="left" w:pos="0"/>
        </w:tabs>
        <w:spacing w:after="0" w:line="240" w:lineRule="auto"/>
        <w:rPr>
          <w:noProof/>
          <w:shd w:val="clear" w:color="auto" w:fill="FFFFFF"/>
        </w:rPr>
      </w:pPr>
    </w:p>
    <w:p w14:paraId="001E4B19" w14:textId="77777777" w:rsidR="00515D8E" w:rsidRPr="00602EA6" w:rsidRDefault="00515D8E"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Kobin, A.B. &amp; Sheth, N.U. 2011. Levels of adherence required for virologic suppression among newer antiretroviral medications. </w:t>
      </w:r>
      <w:r w:rsidRPr="00602EA6">
        <w:rPr>
          <w:i/>
          <w:noProof/>
          <w:shd w:val="clear" w:color="auto" w:fill="FFFFFF"/>
        </w:rPr>
        <w:t>Ann.Pharmacother.</w:t>
      </w:r>
      <w:r w:rsidRPr="00602EA6">
        <w:rPr>
          <w:noProof/>
          <w:shd w:val="clear" w:color="auto" w:fill="FFFFFF"/>
        </w:rPr>
        <w:t xml:space="preserve">, 45, (3) 372-379 available from: PM:21386024 </w:t>
      </w:r>
    </w:p>
    <w:p w14:paraId="2533A45F" w14:textId="77777777" w:rsidR="00515D8E" w:rsidRDefault="00515D8E" w:rsidP="00515D8E">
      <w:pPr>
        <w:tabs>
          <w:tab w:val="left" w:pos="0"/>
        </w:tabs>
        <w:spacing w:after="0" w:line="240" w:lineRule="auto"/>
        <w:rPr>
          <w:noProof/>
          <w:shd w:val="clear" w:color="auto" w:fill="FFFFFF"/>
        </w:rPr>
      </w:pPr>
    </w:p>
    <w:p w14:paraId="4935A362" w14:textId="77777777" w:rsidR="00515D8E" w:rsidRPr="00602EA6" w:rsidRDefault="00515D8E"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Li, J.Z., Gallien, S., Ribaudo, H., Heisey, A., Bangsberg, D.R., &amp; Kuritzkes, D.R. 2014. Incomplete adherence to antiretroviral therapy is associated with higher levels of residual HIV-1 viremia. </w:t>
      </w:r>
      <w:r w:rsidRPr="00602EA6">
        <w:rPr>
          <w:i/>
          <w:noProof/>
          <w:shd w:val="clear" w:color="auto" w:fill="FFFFFF"/>
        </w:rPr>
        <w:t>AIDS</w:t>
      </w:r>
      <w:r w:rsidRPr="00602EA6">
        <w:rPr>
          <w:noProof/>
          <w:shd w:val="clear" w:color="auto" w:fill="FFFFFF"/>
        </w:rPr>
        <w:t xml:space="preserve">, 28, (2) 181-186 available from: PM:24361679 </w:t>
      </w:r>
    </w:p>
    <w:p w14:paraId="29C9CAC8" w14:textId="77777777" w:rsidR="00515D8E" w:rsidRDefault="00515D8E" w:rsidP="00515D8E">
      <w:pPr>
        <w:tabs>
          <w:tab w:val="left" w:pos="0"/>
        </w:tabs>
        <w:spacing w:after="0" w:line="240" w:lineRule="auto"/>
        <w:rPr>
          <w:noProof/>
          <w:shd w:val="clear" w:color="auto" w:fill="FFFFFF"/>
        </w:rPr>
      </w:pPr>
    </w:p>
    <w:p w14:paraId="3D752EE0" w14:textId="77777777" w:rsidR="00515D8E" w:rsidRPr="00602EA6" w:rsidRDefault="00515D8E"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Mackie, N.E., Phillips, A.N., Kaye, S., Booth, C., &amp; Geretti, A.M. 2010. Antiretroviral drug resistance in HIV-1-infected patients with low-level viremia. </w:t>
      </w:r>
      <w:r w:rsidRPr="00602EA6">
        <w:rPr>
          <w:i/>
          <w:noProof/>
          <w:shd w:val="clear" w:color="auto" w:fill="FFFFFF"/>
        </w:rPr>
        <w:t>J.Infect.Dis.</w:t>
      </w:r>
      <w:r w:rsidRPr="00602EA6">
        <w:rPr>
          <w:noProof/>
          <w:shd w:val="clear" w:color="auto" w:fill="FFFFFF"/>
        </w:rPr>
        <w:t xml:space="preserve">, 201, (9) 1303-1307 available from: PM:20350161 </w:t>
      </w:r>
    </w:p>
    <w:p w14:paraId="53942782" w14:textId="77777777" w:rsidR="00515D8E" w:rsidRDefault="00515D8E" w:rsidP="00515D8E">
      <w:pPr>
        <w:tabs>
          <w:tab w:val="left" w:pos="0"/>
        </w:tabs>
        <w:spacing w:after="0" w:line="240" w:lineRule="auto"/>
        <w:rPr>
          <w:noProof/>
          <w:shd w:val="clear" w:color="auto" w:fill="FFFFFF"/>
        </w:rPr>
      </w:pPr>
    </w:p>
    <w:p w14:paraId="75BC81C9" w14:textId="77777777" w:rsidR="001B136C" w:rsidRPr="00602EA6" w:rsidRDefault="001B136C"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Rosenblum, M., Deeks, S.G., van der Laan, M., &amp; Bangsberg, D.R. 2009. The risk of virologic failure decreases with duration of HIV suppression, at greater than 50% adherence to antiretroviral therapy. </w:t>
      </w:r>
      <w:r w:rsidRPr="00602EA6">
        <w:rPr>
          <w:i/>
          <w:noProof/>
          <w:shd w:val="clear" w:color="auto" w:fill="FFFFFF"/>
        </w:rPr>
        <w:t>PLoS.One.</w:t>
      </w:r>
      <w:r w:rsidRPr="00602EA6">
        <w:rPr>
          <w:noProof/>
          <w:shd w:val="clear" w:color="auto" w:fill="FFFFFF"/>
        </w:rPr>
        <w:t xml:space="preserve">, 4, (9) e7196 available from: PM:19787058 </w:t>
      </w:r>
    </w:p>
    <w:p w14:paraId="5BCBFADF" w14:textId="77777777" w:rsidR="001B136C" w:rsidRDefault="001B136C" w:rsidP="001B136C">
      <w:pPr>
        <w:tabs>
          <w:tab w:val="left" w:pos="0"/>
        </w:tabs>
        <w:spacing w:after="0" w:line="240" w:lineRule="auto"/>
        <w:rPr>
          <w:noProof/>
          <w:shd w:val="clear" w:color="auto" w:fill="FFFFFF"/>
        </w:rPr>
      </w:pPr>
    </w:p>
    <w:p w14:paraId="3B642AC8" w14:textId="77777777" w:rsidR="001B136C" w:rsidRPr="00602EA6" w:rsidRDefault="001B136C"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Tran, D.A., Wilson, D.P., Shakeshaft, A., Ngo, A.D., Doran, C., &amp; Zhang, L. 2014. Determinants of virological failure after 1 year's antiretroviral therapy in Vietnamese people with HIV: findings from a retrospective cohort of 13 outpatient clinics in six provinces. </w:t>
      </w:r>
      <w:r w:rsidRPr="00602EA6">
        <w:rPr>
          <w:i/>
          <w:noProof/>
          <w:shd w:val="clear" w:color="auto" w:fill="FFFFFF"/>
        </w:rPr>
        <w:t>Sex Transm.Infect.</w:t>
      </w:r>
      <w:r w:rsidRPr="00602EA6">
        <w:rPr>
          <w:noProof/>
          <w:shd w:val="clear" w:color="auto" w:fill="FFFFFF"/>
        </w:rPr>
        <w:t xml:space="preserve"> available from: PM:24619575 </w:t>
      </w:r>
    </w:p>
    <w:p w14:paraId="0CCA1878" w14:textId="77777777" w:rsidR="001B136C" w:rsidRDefault="001B136C" w:rsidP="001B136C">
      <w:pPr>
        <w:tabs>
          <w:tab w:val="left" w:pos="0"/>
        </w:tabs>
        <w:spacing w:after="0" w:line="240" w:lineRule="auto"/>
        <w:rPr>
          <w:noProof/>
          <w:shd w:val="clear" w:color="auto" w:fill="FFFFFF"/>
        </w:rPr>
      </w:pPr>
    </w:p>
    <w:p w14:paraId="401976F4" w14:textId="77777777" w:rsidR="001B136C" w:rsidRPr="00602EA6" w:rsidRDefault="001B136C" w:rsidP="00602EA6">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Usitalo, A., Leister, E., Tassiopoulos, K., Allison, S., Malee, K., Paul, M.E., Smith, R., Van Dyke, R.B., Seage, G.R., III, &amp; Mellins, C.A. 2014. Relationship between viral load and self-report measures of medication adherence among youth with perinatal HIV infection. </w:t>
      </w:r>
      <w:r w:rsidRPr="00602EA6">
        <w:rPr>
          <w:i/>
          <w:noProof/>
          <w:shd w:val="clear" w:color="auto" w:fill="FFFFFF"/>
        </w:rPr>
        <w:t>AIDS Care</w:t>
      </w:r>
      <w:r w:rsidRPr="00602EA6">
        <w:rPr>
          <w:noProof/>
          <w:shd w:val="clear" w:color="auto" w:fill="FFFFFF"/>
        </w:rPr>
        <w:t xml:space="preserve">, 26, (1) 107-115 available from: PM:23800360 </w:t>
      </w:r>
    </w:p>
    <w:p w14:paraId="2BF553CC" w14:textId="77777777" w:rsidR="00515D8E" w:rsidRDefault="00515D8E" w:rsidP="00515D8E">
      <w:pPr>
        <w:tabs>
          <w:tab w:val="left" w:pos="0"/>
        </w:tabs>
        <w:spacing w:after="0" w:line="240" w:lineRule="auto"/>
        <w:rPr>
          <w:noProof/>
          <w:shd w:val="clear" w:color="auto" w:fill="FFFFFF"/>
        </w:rPr>
      </w:pPr>
    </w:p>
    <w:p w14:paraId="51EF4B6F" w14:textId="77777777" w:rsidR="004D7EA7" w:rsidRDefault="001B136C" w:rsidP="001B136C">
      <w:pPr>
        <w:pStyle w:val="ListParagraph"/>
        <w:numPr>
          <w:ilvl w:val="0"/>
          <w:numId w:val="15"/>
        </w:numPr>
        <w:tabs>
          <w:tab w:val="left" w:pos="0"/>
        </w:tabs>
        <w:spacing w:after="0" w:line="240" w:lineRule="auto"/>
        <w:rPr>
          <w:noProof/>
          <w:shd w:val="clear" w:color="auto" w:fill="FFFFFF"/>
        </w:rPr>
      </w:pPr>
      <w:r w:rsidRPr="00602EA6">
        <w:rPr>
          <w:noProof/>
          <w:shd w:val="clear" w:color="auto" w:fill="FFFFFF"/>
        </w:rPr>
        <w:t xml:space="preserve">von Wyl., V, Klimkait, T., Yerly, S., Nicca, D., Furrer, H., Cavassini, M., Calmy, A., Bernasconi, E., Boni, J., Aubert, V., Gunthard, H.F., Bucher, H.C., &amp; Glass, T.R. 2013. Adherence as a predictor of the development of class-specific resistance mutations: the Swiss HIV Cohort Study. </w:t>
      </w:r>
      <w:r w:rsidRPr="00602EA6">
        <w:rPr>
          <w:i/>
          <w:noProof/>
          <w:shd w:val="clear" w:color="auto" w:fill="FFFFFF"/>
        </w:rPr>
        <w:t>PLoS.One.</w:t>
      </w:r>
      <w:r w:rsidRPr="00602EA6">
        <w:rPr>
          <w:noProof/>
          <w:shd w:val="clear" w:color="auto" w:fill="FFFFFF"/>
        </w:rPr>
        <w:t xml:space="preserve">, 8, (10) e77691 available from: PM:24147057 </w:t>
      </w:r>
    </w:p>
    <w:p w14:paraId="4C29ACA2" w14:textId="77777777" w:rsidR="004D7EA7" w:rsidRDefault="004D7EA7" w:rsidP="004D7EA7">
      <w:pPr>
        <w:pStyle w:val="ListParagraph"/>
        <w:tabs>
          <w:tab w:val="left" w:pos="0"/>
        </w:tabs>
        <w:spacing w:after="0" w:line="240" w:lineRule="auto"/>
        <w:rPr>
          <w:noProof/>
          <w:shd w:val="clear" w:color="auto" w:fill="FFFFFF"/>
        </w:rPr>
      </w:pPr>
    </w:p>
    <w:p w14:paraId="45FC0C9F" w14:textId="642DCD4B" w:rsidR="001B136C" w:rsidRPr="004D7EA7" w:rsidRDefault="001B136C" w:rsidP="004D7EA7">
      <w:pPr>
        <w:pStyle w:val="ListParagraph"/>
        <w:numPr>
          <w:ilvl w:val="0"/>
          <w:numId w:val="15"/>
        </w:numPr>
        <w:tabs>
          <w:tab w:val="left" w:pos="0"/>
        </w:tabs>
        <w:spacing w:after="0" w:line="240" w:lineRule="auto"/>
        <w:rPr>
          <w:noProof/>
          <w:shd w:val="clear" w:color="auto" w:fill="FFFFFF"/>
        </w:rPr>
      </w:pPr>
      <w:r w:rsidRPr="004D7EA7">
        <w:rPr>
          <w:noProof/>
          <w:shd w:val="clear" w:color="auto" w:fill="FFFFFF"/>
        </w:rPr>
        <w:t xml:space="preserve">Johannessen, A., Naman, E., Kivuyo, S.L., Kasubi, M.J., Holberg-Petersen, M., Matee, M.I., Gundersen, S.G., &amp; Bruun, J.N. 2009. Virological efficacy and emergence of drug resistance in adults on antiretroviral treatment in rural Tanzania. </w:t>
      </w:r>
      <w:r w:rsidRPr="004D7EA7">
        <w:rPr>
          <w:i/>
          <w:noProof/>
          <w:shd w:val="clear" w:color="auto" w:fill="FFFFFF"/>
        </w:rPr>
        <w:t>BMC.Infect.Dis.</w:t>
      </w:r>
      <w:r w:rsidRPr="004D7EA7">
        <w:rPr>
          <w:noProof/>
          <w:shd w:val="clear" w:color="auto" w:fill="FFFFFF"/>
        </w:rPr>
        <w:t xml:space="preserve">, 9, 108 available from: PM:19583845 </w:t>
      </w:r>
    </w:p>
    <w:p w14:paraId="717D00E8" w14:textId="77777777" w:rsidR="001B136C" w:rsidRDefault="001B136C" w:rsidP="001B136C">
      <w:pPr>
        <w:tabs>
          <w:tab w:val="left" w:pos="0"/>
        </w:tabs>
        <w:spacing w:after="0" w:line="240" w:lineRule="auto"/>
        <w:rPr>
          <w:noProof/>
          <w:shd w:val="clear" w:color="auto" w:fill="FFFFFF"/>
        </w:rPr>
      </w:pPr>
    </w:p>
    <w:p w14:paraId="1D102DED" w14:textId="77777777" w:rsidR="004D7EA7" w:rsidRPr="004D7EA7" w:rsidRDefault="001B136C" w:rsidP="004D7EA7">
      <w:pPr>
        <w:pStyle w:val="ListParagraph"/>
        <w:numPr>
          <w:ilvl w:val="0"/>
          <w:numId w:val="15"/>
        </w:numPr>
        <w:tabs>
          <w:tab w:val="left" w:pos="0"/>
        </w:tabs>
        <w:spacing w:after="0" w:line="240" w:lineRule="auto"/>
        <w:rPr>
          <w:rFonts w:eastAsia="Times New Roman" w:cs="Arial"/>
        </w:rPr>
      </w:pPr>
      <w:r w:rsidRPr="004D7EA7">
        <w:rPr>
          <w:noProof/>
          <w:shd w:val="clear" w:color="auto" w:fill="FFFFFF"/>
        </w:rPr>
        <w:t xml:space="preserve">Chi, B.H., Cantrell, R.A., Zulu, I., Mulenga, L.B., Levy, J.W., Tambatamba, B.C., Reid, S., Mwango, A., Mwinga, A., Bulterys, M., Saag, M.S., &amp; Stringer, J.S. 2009. Adherence to first-line antiretroviral therapy affects non-virologic outcomes among patients on treatment for more than 12 months in Lusaka, Zambia. </w:t>
      </w:r>
      <w:r w:rsidRPr="004D7EA7">
        <w:rPr>
          <w:i/>
          <w:noProof/>
          <w:shd w:val="clear" w:color="auto" w:fill="FFFFFF"/>
        </w:rPr>
        <w:t>Int.J.Epidemiol.</w:t>
      </w:r>
      <w:r w:rsidRPr="004D7EA7">
        <w:rPr>
          <w:noProof/>
          <w:shd w:val="clear" w:color="auto" w:fill="FFFFFF"/>
        </w:rPr>
        <w:t xml:space="preserve">, 38, (3) 746-756 available from: PM:19223334 </w:t>
      </w:r>
    </w:p>
    <w:p w14:paraId="607E23D4" w14:textId="77777777" w:rsidR="001B136C" w:rsidRPr="008653C1" w:rsidRDefault="001B136C" w:rsidP="001B136C">
      <w:pPr>
        <w:spacing w:after="0" w:line="240" w:lineRule="auto"/>
        <w:rPr>
          <w:rFonts w:eastAsia="Times New Roman" w:cs="Arial"/>
        </w:rPr>
      </w:pPr>
    </w:p>
    <w:p w14:paraId="6231588D" w14:textId="77777777" w:rsidR="001B136C" w:rsidRPr="004D7EA7" w:rsidRDefault="001B136C" w:rsidP="004D7EA7">
      <w:pPr>
        <w:pStyle w:val="ListParagraph"/>
        <w:numPr>
          <w:ilvl w:val="0"/>
          <w:numId w:val="15"/>
        </w:numPr>
        <w:tabs>
          <w:tab w:val="left" w:pos="0"/>
        </w:tabs>
        <w:spacing w:after="0" w:line="240" w:lineRule="auto"/>
        <w:rPr>
          <w:noProof/>
          <w:shd w:val="clear" w:color="auto" w:fill="FFFFFF"/>
        </w:rPr>
      </w:pPr>
      <w:r w:rsidRPr="004D7EA7">
        <w:rPr>
          <w:noProof/>
          <w:shd w:val="clear" w:color="auto" w:fill="FFFFFF"/>
        </w:rPr>
        <w:t xml:space="preserve">Kranzer, K. &amp; Ford, N. 2011. Unstructured treatment interruption of antiretroviral therapy in clinical practice: a systematic review. </w:t>
      </w:r>
      <w:r w:rsidRPr="004D7EA7">
        <w:rPr>
          <w:i/>
          <w:noProof/>
          <w:shd w:val="clear" w:color="auto" w:fill="FFFFFF"/>
        </w:rPr>
        <w:t>Trop.Med.Int.Health</w:t>
      </w:r>
      <w:r w:rsidRPr="004D7EA7">
        <w:rPr>
          <w:noProof/>
          <w:shd w:val="clear" w:color="auto" w:fill="FFFFFF"/>
        </w:rPr>
        <w:t xml:space="preserve">, 16, (10) 1297-1313 available from: PM:21718394 </w:t>
      </w:r>
    </w:p>
    <w:p w14:paraId="1A1EFF94" w14:textId="77777777" w:rsidR="001B136C" w:rsidRDefault="001B136C" w:rsidP="001B136C">
      <w:pPr>
        <w:tabs>
          <w:tab w:val="left" w:pos="0"/>
        </w:tabs>
        <w:spacing w:after="0" w:line="240" w:lineRule="auto"/>
        <w:rPr>
          <w:noProof/>
          <w:shd w:val="clear" w:color="auto" w:fill="FFFFFF"/>
        </w:rPr>
      </w:pPr>
    </w:p>
    <w:p w14:paraId="323F88E3" w14:textId="77777777" w:rsidR="001B136C" w:rsidRPr="004D7EA7" w:rsidRDefault="001B136C" w:rsidP="004D7EA7">
      <w:pPr>
        <w:pStyle w:val="ListParagraph"/>
        <w:numPr>
          <w:ilvl w:val="0"/>
          <w:numId w:val="15"/>
        </w:numPr>
        <w:tabs>
          <w:tab w:val="left" w:pos="0"/>
        </w:tabs>
        <w:spacing w:after="0" w:line="240" w:lineRule="auto"/>
        <w:rPr>
          <w:noProof/>
          <w:shd w:val="clear" w:color="auto" w:fill="FFFFFF"/>
        </w:rPr>
      </w:pPr>
      <w:r w:rsidRPr="004D7EA7">
        <w:rPr>
          <w:noProof/>
          <w:shd w:val="clear" w:color="auto" w:fill="FFFFFF"/>
        </w:rPr>
        <w:t xml:space="preserve">Kranzer, K., Lewis, J.J., Ford, N., Zeinecker, J., Orrell, C., Lawn, S.D., Bekker, L.G., &amp; Wood, R. 2010. Treatment interruption in a primary care antiretroviral therapy program in South Africa: cohort analysis of trends and risk factors. </w:t>
      </w:r>
      <w:r w:rsidRPr="004D7EA7">
        <w:rPr>
          <w:i/>
          <w:noProof/>
          <w:shd w:val="clear" w:color="auto" w:fill="FFFFFF"/>
        </w:rPr>
        <w:t>J.Acquir.Immune.Defic.Syndr.</w:t>
      </w:r>
      <w:r w:rsidRPr="004D7EA7">
        <w:rPr>
          <w:noProof/>
          <w:shd w:val="clear" w:color="auto" w:fill="FFFFFF"/>
        </w:rPr>
        <w:t xml:space="preserve">, 55, (3) e17-e23 available from: PM:20827216 </w:t>
      </w:r>
    </w:p>
    <w:p w14:paraId="4A73482D" w14:textId="77777777" w:rsidR="001B136C" w:rsidRPr="008D7D71" w:rsidRDefault="001B136C" w:rsidP="001B136C">
      <w:pPr>
        <w:tabs>
          <w:tab w:val="left" w:pos="0"/>
        </w:tabs>
        <w:spacing w:after="0" w:line="240" w:lineRule="auto"/>
        <w:rPr>
          <w:noProof/>
          <w:shd w:val="clear" w:color="auto" w:fill="FFFFFF"/>
        </w:rPr>
      </w:pPr>
    </w:p>
    <w:p w14:paraId="43A4CCC6" w14:textId="77777777" w:rsidR="001B136C" w:rsidRPr="004D7EA7" w:rsidRDefault="001B136C" w:rsidP="004D7EA7">
      <w:pPr>
        <w:pStyle w:val="ListParagraph"/>
        <w:numPr>
          <w:ilvl w:val="0"/>
          <w:numId w:val="15"/>
        </w:numPr>
        <w:tabs>
          <w:tab w:val="left" w:pos="0"/>
        </w:tabs>
        <w:spacing w:after="0" w:line="240" w:lineRule="auto"/>
        <w:rPr>
          <w:noProof/>
          <w:shd w:val="clear" w:color="auto" w:fill="FFFFFF"/>
        </w:rPr>
      </w:pPr>
      <w:r w:rsidRPr="004D7EA7">
        <w:rPr>
          <w:noProof/>
          <w:shd w:val="clear" w:color="auto" w:fill="FFFFFF"/>
        </w:rPr>
        <w:t xml:space="preserve">Tassie, J.M., Baijal, P., Vitoria, M.A., Alisalad, A., Crowley, S.P., &amp; Souteyrand, Y. 2010. Trends in retention on antiretroviral therapy in national programs in low-income and middle-income countries. </w:t>
      </w:r>
      <w:r w:rsidRPr="004D7EA7">
        <w:rPr>
          <w:i/>
          <w:noProof/>
          <w:shd w:val="clear" w:color="auto" w:fill="FFFFFF"/>
        </w:rPr>
        <w:t>J.Acquir.Immune.Defic.Syndr.</w:t>
      </w:r>
      <w:r w:rsidRPr="004D7EA7">
        <w:rPr>
          <w:noProof/>
          <w:shd w:val="clear" w:color="auto" w:fill="FFFFFF"/>
        </w:rPr>
        <w:t xml:space="preserve">, 54, (4) 437-441 available from: PM:20351559 </w:t>
      </w:r>
    </w:p>
    <w:p w14:paraId="2450AD62" w14:textId="77777777" w:rsidR="001B136C" w:rsidRDefault="001B136C" w:rsidP="001B136C">
      <w:pPr>
        <w:tabs>
          <w:tab w:val="left" w:pos="0"/>
        </w:tabs>
        <w:spacing w:after="0" w:line="240" w:lineRule="auto"/>
        <w:rPr>
          <w:noProof/>
          <w:shd w:val="clear" w:color="auto" w:fill="FFFFFF"/>
        </w:rPr>
      </w:pPr>
    </w:p>
    <w:p w14:paraId="14C43056" w14:textId="77777777" w:rsidR="008C0342" w:rsidRDefault="001B136C" w:rsidP="0073510C">
      <w:pPr>
        <w:pStyle w:val="ListParagraph"/>
        <w:numPr>
          <w:ilvl w:val="0"/>
          <w:numId w:val="15"/>
        </w:numPr>
        <w:tabs>
          <w:tab w:val="left" w:pos="0"/>
        </w:tabs>
        <w:spacing w:after="0" w:line="240" w:lineRule="auto"/>
        <w:rPr>
          <w:noProof/>
          <w:shd w:val="clear" w:color="auto" w:fill="FFFFFF"/>
        </w:rPr>
      </w:pPr>
      <w:r w:rsidRPr="008C0342">
        <w:rPr>
          <w:noProof/>
          <w:shd w:val="clear" w:color="auto" w:fill="FFFFFF"/>
        </w:rPr>
        <w:t xml:space="preserve">Wandeler, G., Keiser, O., Pfeiffer, K., Pestilli, S., Fritz, C., Labhardt, N.D., Mbofana, F., Mudyiradima, R., Emmel, J., Egger, M., &amp; Ehmer, J. 2012. Outcomes of antiretroviral treatment programs in rural Southern Africa. </w:t>
      </w:r>
      <w:r w:rsidRPr="008C0342">
        <w:rPr>
          <w:i/>
          <w:noProof/>
          <w:shd w:val="clear" w:color="auto" w:fill="FFFFFF"/>
        </w:rPr>
        <w:t>J.Acquir.Immune.Defic.Syndr.</w:t>
      </w:r>
      <w:r w:rsidRPr="008C0342">
        <w:rPr>
          <w:noProof/>
          <w:shd w:val="clear" w:color="auto" w:fill="FFFFFF"/>
        </w:rPr>
        <w:t xml:space="preserve">, 59, (2) e9-16 available from: PM:22067665 </w:t>
      </w:r>
    </w:p>
    <w:p w14:paraId="34AD5877" w14:textId="77777777" w:rsidR="008C0342" w:rsidRDefault="008C0342" w:rsidP="008C0342">
      <w:pPr>
        <w:pStyle w:val="ListParagraph"/>
        <w:tabs>
          <w:tab w:val="left" w:pos="0"/>
        </w:tabs>
        <w:spacing w:after="0" w:line="240" w:lineRule="auto"/>
        <w:rPr>
          <w:noProof/>
          <w:shd w:val="clear" w:color="auto" w:fill="FFFFFF"/>
        </w:rPr>
      </w:pPr>
    </w:p>
    <w:p w14:paraId="6CD32BE5" w14:textId="457F0345" w:rsidR="008C0342" w:rsidRPr="008C0342" w:rsidRDefault="008C0342" w:rsidP="0099071A">
      <w:pPr>
        <w:pStyle w:val="ListParagraph"/>
        <w:numPr>
          <w:ilvl w:val="0"/>
          <w:numId w:val="15"/>
        </w:numPr>
        <w:tabs>
          <w:tab w:val="left" w:pos="0"/>
        </w:tabs>
        <w:spacing w:after="0" w:line="240" w:lineRule="auto"/>
        <w:rPr>
          <w:noProof/>
          <w:shd w:val="clear" w:color="auto" w:fill="FFFFFF"/>
        </w:rPr>
      </w:pPr>
      <w:r w:rsidRPr="008C0342">
        <w:rPr>
          <w:noProof/>
          <w:shd w:val="clear" w:color="auto" w:fill="FFFFFF"/>
        </w:rPr>
        <w:t>Grund B for the SMART Study Group. Predictors of initial CD4 decline after antiretroviral treatment interruption in the SMART study. XVI International AIDS Conference. August 13-18, 2006. Toronto. Abstract THPE0144.</w:t>
      </w:r>
    </w:p>
    <w:p w14:paraId="302F1E9B" w14:textId="77777777" w:rsidR="001B136C" w:rsidRDefault="001B136C" w:rsidP="001B136C">
      <w:pPr>
        <w:tabs>
          <w:tab w:val="left" w:pos="0"/>
        </w:tabs>
        <w:spacing w:after="0" w:line="240" w:lineRule="auto"/>
        <w:rPr>
          <w:noProof/>
          <w:shd w:val="clear" w:color="auto" w:fill="FFFFFF"/>
        </w:rPr>
      </w:pPr>
    </w:p>
    <w:p w14:paraId="1AB5DBE1" w14:textId="77777777" w:rsidR="001B136C" w:rsidRPr="00FE5B00" w:rsidRDefault="001B136C" w:rsidP="0099071A">
      <w:pPr>
        <w:pStyle w:val="ListParagraph"/>
        <w:numPr>
          <w:ilvl w:val="0"/>
          <w:numId w:val="15"/>
        </w:numPr>
        <w:spacing w:after="0" w:line="240" w:lineRule="auto"/>
      </w:pPr>
      <w:r w:rsidRPr="00FE5B00">
        <w:t>Orrell C, Harling G, Lawn SD et al. Conservation offirst-line antiretroviral treatment regimen where therapeutic</w:t>
      </w:r>
      <w:r>
        <w:t xml:space="preserve"> </w:t>
      </w:r>
      <w:r w:rsidRPr="00FE5B00">
        <w:t>options are limited.   Antiviral Therapy 2007; 12:83–88.</w:t>
      </w:r>
    </w:p>
    <w:p w14:paraId="4DC109B9" w14:textId="77777777" w:rsidR="001B136C" w:rsidRDefault="001B136C" w:rsidP="001B136C">
      <w:pPr>
        <w:tabs>
          <w:tab w:val="left" w:pos="0"/>
        </w:tabs>
        <w:spacing w:after="0" w:line="240" w:lineRule="auto"/>
        <w:rPr>
          <w:noProof/>
          <w:shd w:val="clear" w:color="auto" w:fill="FFFFFF"/>
        </w:rPr>
      </w:pPr>
    </w:p>
    <w:p w14:paraId="019EE6E3" w14:textId="77777777" w:rsidR="001B136C" w:rsidRPr="0099071A" w:rsidRDefault="001B136C" w:rsidP="0099071A">
      <w:pPr>
        <w:pStyle w:val="ListParagraph"/>
        <w:numPr>
          <w:ilvl w:val="0"/>
          <w:numId w:val="15"/>
        </w:numPr>
        <w:spacing w:after="0" w:line="240" w:lineRule="auto"/>
        <w:rPr>
          <w:rFonts w:cs="Arial"/>
        </w:rPr>
      </w:pPr>
      <w:r w:rsidRPr="0099071A">
        <w:rPr>
          <w:rFonts w:cs="Arial"/>
        </w:rPr>
        <w:t>Hoffmann CJ, Charalambous S, Sim J, et al. Viremia, Resuppression, and Time to Resistance in Human Immunodeficiency Virus (HIV) Subtype C during First-Line Antiretroviral Therapy in South Africa.  Clin Infect Dis 2009; 49:1928–35.</w:t>
      </w:r>
    </w:p>
    <w:p w14:paraId="480C3C6D" w14:textId="77777777" w:rsidR="001B136C" w:rsidRDefault="001B136C" w:rsidP="001B136C">
      <w:pPr>
        <w:tabs>
          <w:tab w:val="left" w:pos="0"/>
        </w:tabs>
        <w:spacing w:after="0" w:line="240" w:lineRule="auto"/>
        <w:rPr>
          <w:noProof/>
          <w:shd w:val="clear" w:color="auto" w:fill="FFFFFF"/>
        </w:rPr>
      </w:pPr>
    </w:p>
    <w:p w14:paraId="1876F0A7" w14:textId="77777777" w:rsidR="001B136C" w:rsidRPr="0099071A" w:rsidRDefault="001B136C" w:rsidP="0099071A">
      <w:pPr>
        <w:pStyle w:val="ListParagraph"/>
        <w:numPr>
          <w:ilvl w:val="0"/>
          <w:numId w:val="15"/>
        </w:numPr>
        <w:spacing w:after="0" w:line="240" w:lineRule="auto"/>
        <w:rPr>
          <w:rFonts w:cs="Arial"/>
        </w:rPr>
      </w:pPr>
      <w:r w:rsidRPr="0099071A">
        <w:rPr>
          <w:rFonts w:cs="Arial"/>
        </w:rPr>
        <w:t>Hoffmann CJ, Charalambous S, Grant AD, Morris L, Churchyard GJ, Chaisson RE.  Durable HIV RNA resuppression after virologic failure while remaining on a first-line regimen: a cohort study.  Trop Med &amp; Int Health 2013</w:t>
      </w:r>
    </w:p>
    <w:p w14:paraId="25FAE773" w14:textId="77777777" w:rsidR="00515D8E" w:rsidRDefault="00515D8E" w:rsidP="007843FC">
      <w:pPr>
        <w:spacing w:after="0" w:line="240" w:lineRule="auto"/>
      </w:pPr>
    </w:p>
    <w:p w14:paraId="7152DDC1" w14:textId="77777777" w:rsidR="0099071A" w:rsidRDefault="001B136C" w:rsidP="0099071A">
      <w:pPr>
        <w:pStyle w:val="ListParagraph"/>
        <w:numPr>
          <w:ilvl w:val="0"/>
          <w:numId w:val="15"/>
        </w:numPr>
        <w:spacing w:after="0" w:line="240" w:lineRule="auto"/>
        <w:rPr>
          <w:rFonts w:cs="Arial"/>
        </w:rPr>
      </w:pPr>
      <w:r w:rsidRPr="0099071A">
        <w:rPr>
          <w:rFonts w:cs="Arial"/>
        </w:rPr>
        <w:t>Rutstein SE, Hosseinipour MC, Kamwendo D, Soko A, Mkandawire M, Biddle AK, et al. (2015) Dried Blood Spots for Viral Load Monitoring in Malawi: Feasible and Effective. PLoS ONE 10(4): e0124748. doi:10.1371/journal.pone.0124748</w:t>
      </w:r>
    </w:p>
    <w:p w14:paraId="3C8E766F" w14:textId="77777777" w:rsidR="0099071A" w:rsidRDefault="0099071A" w:rsidP="0099071A">
      <w:pPr>
        <w:pStyle w:val="ListParagraph"/>
        <w:spacing w:after="0" w:line="240" w:lineRule="auto"/>
        <w:rPr>
          <w:rFonts w:cs="Arial"/>
        </w:rPr>
      </w:pPr>
    </w:p>
    <w:p w14:paraId="3BF985B2" w14:textId="77777777" w:rsidR="0099071A" w:rsidRPr="0099071A" w:rsidRDefault="0099071A" w:rsidP="00D83EDB">
      <w:pPr>
        <w:pStyle w:val="ListParagraph"/>
        <w:numPr>
          <w:ilvl w:val="0"/>
          <w:numId w:val="15"/>
        </w:numPr>
        <w:spacing w:after="0" w:line="240" w:lineRule="auto"/>
        <w:rPr>
          <w:rFonts w:cs="Arial"/>
        </w:rPr>
      </w:pPr>
      <w:r w:rsidRPr="0099071A">
        <w:rPr>
          <w:noProof/>
          <w:shd w:val="clear" w:color="auto" w:fill="FFFFFF"/>
        </w:rPr>
        <w:t xml:space="preserve">Bonner, K., Mezochow, A., Roberts, T., Ford, N., &amp; Cohn, J. 2013. Viral load monitoring as a tool to reinforce adherence: a systematic review. </w:t>
      </w:r>
      <w:r w:rsidRPr="0099071A">
        <w:rPr>
          <w:i/>
          <w:noProof/>
          <w:shd w:val="clear" w:color="auto" w:fill="FFFFFF"/>
        </w:rPr>
        <w:t>J.Acquir.Immune.Defic.Syndr.</w:t>
      </w:r>
      <w:r w:rsidRPr="0099071A">
        <w:rPr>
          <w:noProof/>
          <w:shd w:val="clear" w:color="auto" w:fill="FFFFFF"/>
        </w:rPr>
        <w:t xml:space="preserve">, 64, (1) 74-78 available from: PM:23774877 </w:t>
      </w:r>
    </w:p>
    <w:p w14:paraId="5C442685" w14:textId="77777777" w:rsidR="0099071A" w:rsidRPr="0099071A" w:rsidRDefault="0099071A" w:rsidP="0099071A">
      <w:pPr>
        <w:pStyle w:val="ListParagraph"/>
        <w:spacing w:after="0" w:line="240" w:lineRule="auto"/>
        <w:rPr>
          <w:rFonts w:cs="Arial"/>
        </w:rPr>
      </w:pPr>
    </w:p>
    <w:p w14:paraId="2EADAA5A" w14:textId="77777777" w:rsidR="0099071A" w:rsidRPr="0099071A" w:rsidRDefault="00D83EDB" w:rsidP="001B136C">
      <w:pPr>
        <w:pStyle w:val="ListParagraph"/>
        <w:numPr>
          <w:ilvl w:val="0"/>
          <w:numId w:val="15"/>
        </w:numPr>
        <w:spacing w:after="0" w:line="240" w:lineRule="auto"/>
        <w:rPr>
          <w:rFonts w:cs="Arial"/>
        </w:rPr>
      </w:pPr>
      <w:r w:rsidRPr="0099071A">
        <w:rPr>
          <w:rFonts w:cs="ScalaLancetPro"/>
        </w:rPr>
        <w:t>Claxton, K., Walker, S., Palmer, S., Sculpher, M., ‘Appropriate Perspectives for Health Care Decisions’, Centre for Health Economics Research Paper 54, University of York, 2010.</w:t>
      </w:r>
    </w:p>
    <w:p w14:paraId="4202A1B0" w14:textId="77777777" w:rsidR="0099071A" w:rsidRPr="0099071A" w:rsidRDefault="0099071A" w:rsidP="0099071A">
      <w:pPr>
        <w:pStyle w:val="ListParagraph"/>
        <w:spacing w:after="0" w:line="240" w:lineRule="auto"/>
        <w:rPr>
          <w:rFonts w:cs="Arial"/>
        </w:rPr>
      </w:pPr>
    </w:p>
    <w:p w14:paraId="76E4109E" w14:textId="576D1024" w:rsidR="007D16BB" w:rsidRPr="0099071A" w:rsidRDefault="00D83EDB" w:rsidP="0099071A">
      <w:pPr>
        <w:pStyle w:val="ListParagraph"/>
        <w:numPr>
          <w:ilvl w:val="0"/>
          <w:numId w:val="15"/>
        </w:numPr>
        <w:spacing w:after="0" w:line="240" w:lineRule="auto"/>
        <w:rPr>
          <w:rStyle w:val="Hyperlink"/>
          <w:rFonts w:cs="Arial"/>
          <w:color w:val="auto"/>
          <w:u w:val="none"/>
        </w:rPr>
      </w:pPr>
      <w:r w:rsidRPr="0099071A">
        <w:rPr>
          <w:rFonts w:cs="ScalaLancetPro"/>
        </w:rPr>
        <w:t xml:space="preserve">Woods E, Revill P, Sculpher M, Claxton K.  </w:t>
      </w:r>
      <w:r w:rsidRPr="0099071A">
        <w:rPr>
          <w:rFonts w:cs="ScalaLancetPro"/>
          <w:bCs/>
        </w:rPr>
        <w:t xml:space="preserve">Country-Level Cost- Effectiveness Thresholds: Initial Estimates and the Need for Further Research.   </w:t>
      </w:r>
      <w:r w:rsidRPr="0099071A">
        <w:rPr>
          <w:rFonts w:cs="ScalaLancetPro"/>
        </w:rPr>
        <w:t xml:space="preserve">    </w:t>
      </w:r>
      <w:hyperlink r:id="rId5" w:history="1">
        <w:r w:rsidRPr="0099071A">
          <w:rPr>
            <w:rStyle w:val="Hyperlink"/>
            <w:rFonts w:cs="ScalaLancetPro"/>
          </w:rPr>
          <w:t>https://www.york.ac.uk/media/che/documents/papers/researchpapers/CHERP109_cost-effectiveness_threshold_LMICs.pdf</w:t>
        </w:r>
      </w:hyperlink>
    </w:p>
    <w:p w14:paraId="123D4D61" w14:textId="77777777" w:rsidR="0099071A" w:rsidRPr="0099071A" w:rsidRDefault="0099071A" w:rsidP="0099071A">
      <w:pPr>
        <w:pStyle w:val="ListParagraph"/>
        <w:spacing w:after="0" w:line="240" w:lineRule="auto"/>
        <w:rPr>
          <w:rFonts w:cs="Arial"/>
        </w:rPr>
      </w:pPr>
    </w:p>
    <w:p w14:paraId="265E7CA1" w14:textId="77777777" w:rsidR="00515D8E" w:rsidRDefault="00515D8E" w:rsidP="00710935">
      <w:pPr>
        <w:pStyle w:val="ListParagraph"/>
        <w:numPr>
          <w:ilvl w:val="0"/>
          <w:numId w:val="15"/>
        </w:numPr>
        <w:spacing w:after="0" w:line="240" w:lineRule="auto"/>
      </w:pPr>
      <w:r w:rsidRPr="00515D8E">
        <w:t>Salomon JA, Vos T, Hogan DR, et al. Common values in assessing health outcomes from disease and injury: disability weights measurement study for the Global Burden of Disease Study 2010. Lancet 2012; 380: 2129–43.</w:t>
      </w:r>
    </w:p>
    <w:p w14:paraId="11DFF074" w14:textId="77777777" w:rsidR="00515D8E" w:rsidRPr="00D83EDB" w:rsidRDefault="00515D8E" w:rsidP="00D83EDB">
      <w:pPr>
        <w:spacing w:after="0" w:line="240" w:lineRule="auto"/>
      </w:pPr>
    </w:p>
    <w:p w14:paraId="0FA59958" w14:textId="77777777" w:rsidR="00710935" w:rsidRPr="00710935" w:rsidRDefault="00710935" w:rsidP="00710935">
      <w:pPr>
        <w:pStyle w:val="ListParagraph"/>
        <w:numPr>
          <w:ilvl w:val="0"/>
          <w:numId w:val="15"/>
        </w:numPr>
        <w:spacing w:after="0" w:line="240" w:lineRule="auto"/>
        <w:rPr>
          <w:lang w:val="en-ZA"/>
        </w:rPr>
      </w:pPr>
      <w:r w:rsidRPr="00515D8E">
        <w:t>Roberts</w:t>
      </w:r>
      <w:r>
        <w:t xml:space="preserve"> T</w:t>
      </w:r>
      <w:r w:rsidRPr="00515D8E">
        <w:t>,</w:t>
      </w:r>
      <w:r>
        <w:t xml:space="preserve"> </w:t>
      </w:r>
      <w:r w:rsidRPr="00515D8E">
        <w:t>Cohn</w:t>
      </w:r>
      <w:r>
        <w:t xml:space="preserve"> J</w:t>
      </w:r>
      <w:r w:rsidRPr="00515D8E">
        <w:t>,</w:t>
      </w:r>
      <w:r>
        <w:t xml:space="preserve"> </w:t>
      </w:r>
      <w:r w:rsidRPr="00515D8E">
        <w:t>Bonner</w:t>
      </w:r>
      <w:r>
        <w:t xml:space="preserve"> K</w:t>
      </w:r>
      <w:r w:rsidRPr="00515D8E">
        <w:t>,</w:t>
      </w:r>
      <w:r>
        <w:t xml:space="preserve"> </w:t>
      </w:r>
      <w:r w:rsidRPr="00515D8E">
        <w:t>Hargreaves</w:t>
      </w:r>
      <w:r>
        <w:t xml:space="preserve"> S.  </w:t>
      </w:r>
      <w:r w:rsidRPr="00515D8E">
        <w:t>Scale-up of Routine Viral Load Testing in Resource-Poor</w:t>
      </w:r>
      <w:r>
        <w:t xml:space="preserve"> </w:t>
      </w:r>
      <w:r w:rsidRPr="00515D8E">
        <w:t>Settings: Current and Future Implementation Challenges</w:t>
      </w:r>
      <w:r>
        <w:t xml:space="preserve">.  Clin Infect Dis 2016; </w:t>
      </w:r>
      <w:r w:rsidRPr="00515D8E">
        <w:t>DOI: 10.1093/cid/ciw001</w:t>
      </w:r>
    </w:p>
    <w:p w14:paraId="5EF87C30" w14:textId="77777777" w:rsidR="00710935" w:rsidRDefault="00710935" w:rsidP="00710935">
      <w:pPr>
        <w:spacing w:after="0" w:line="240" w:lineRule="auto"/>
        <w:rPr>
          <w:lang w:val="en-ZA"/>
        </w:rPr>
      </w:pPr>
    </w:p>
    <w:p w14:paraId="7DC1389E" w14:textId="77777777" w:rsidR="00710935" w:rsidRPr="00710935" w:rsidRDefault="00710935" w:rsidP="00710935">
      <w:pPr>
        <w:pStyle w:val="ListParagraph"/>
        <w:numPr>
          <w:ilvl w:val="0"/>
          <w:numId w:val="15"/>
        </w:numPr>
        <w:spacing w:after="0" w:line="240" w:lineRule="auto"/>
        <w:rPr>
          <w:lang w:val="en-ZA"/>
        </w:rPr>
      </w:pPr>
      <w:r w:rsidRPr="00D83EDB">
        <w:t>Global Fund. Strategic reviews in sourcing and market dynamics. Available at:</w:t>
      </w:r>
      <w:r>
        <w:t xml:space="preserve"> </w:t>
      </w:r>
      <w:r w:rsidRPr="00D83EDB">
        <w:t>http://www.theglobalfund.org/en/p4i/events/. Accessed November 2015.</w:t>
      </w:r>
    </w:p>
    <w:p w14:paraId="78A5F6E9" w14:textId="77777777" w:rsidR="00710935" w:rsidRDefault="00710935" w:rsidP="00F167D2">
      <w:pPr>
        <w:spacing w:after="0" w:line="240" w:lineRule="auto"/>
      </w:pPr>
    </w:p>
    <w:p w14:paraId="57183BF3" w14:textId="77777777" w:rsidR="00F167D2" w:rsidRPr="00F167D2" w:rsidRDefault="00F167D2" w:rsidP="00B666FC">
      <w:pPr>
        <w:pStyle w:val="ListParagraph"/>
        <w:numPr>
          <w:ilvl w:val="0"/>
          <w:numId w:val="15"/>
        </w:numPr>
        <w:spacing w:after="0" w:line="240" w:lineRule="auto"/>
      </w:pPr>
      <w:r w:rsidRPr="00F167D2">
        <w:t>Hyle EP, Jani IV, Lehe J, Su AE, Wood R, Quevedo J, et al. The Clinical and Economic Impact of Point-of-Care CD4 Testing in Mozambique and Other Resource-Limited Settings: A Cost-Effectiveness Analysis. PLoS Med 2014, 11(9), e1001725. doi:10.1371/journal.pmed.1001725</w:t>
      </w:r>
    </w:p>
    <w:p w14:paraId="57C0C0C1" w14:textId="77777777" w:rsidR="00F167D2" w:rsidRDefault="00F167D2" w:rsidP="007843FC">
      <w:pPr>
        <w:spacing w:after="0" w:line="240" w:lineRule="auto"/>
      </w:pPr>
    </w:p>
    <w:p w14:paraId="18AF8009" w14:textId="77777777" w:rsidR="00D83EDB" w:rsidRPr="00D83EDB" w:rsidRDefault="00515D8E" w:rsidP="00B666FC">
      <w:pPr>
        <w:pStyle w:val="ListParagraph"/>
        <w:numPr>
          <w:ilvl w:val="0"/>
          <w:numId w:val="15"/>
        </w:numPr>
        <w:spacing w:after="0" w:line="240" w:lineRule="auto"/>
      </w:pPr>
      <w:r>
        <w:t xml:space="preserve">MSF.  </w:t>
      </w:r>
      <w:r w:rsidR="00D83EDB" w:rsidRPr="00D83EDB">
        <w:t xml:space="preserve">Untangling the web of antiretroviral price reductions.  17th Edition – July 2014.  </w:t>
      </w:r>
      <w:hyperlink r:id="rId6" w:history="1">
        <w:r w:rsidR="00D83EDB" w:rsidRPr="00D83EDB">
          <w:rPr>
            <w:rStyle w:val="Hyperlink"/>
          </w:rPr>
          <w:t>www.msfaccess.org</w:t>
        </w:r>
      </w:hyperlink>
      <w:r w:rsidR="00D83EDB" w:rsidRPr="00D83EDB">
        <w:t xml:space="preserve">.  </w:t>
      </w:r>
    </w:p>
    <w:p w14:paraId="46866228" w14:textId="77777777" w:rsidR="00D83EDB" w:rsidRDefault="00D83EDB" w:rsidP="007843FC">
      <w:pPr>
        <w:spacing w:after="0" w:line="240" w:lineRule="auto"/>
        <w:rPr>
          <w:lang w:val="en-ZA"/>
        </w:rPr>
      </w:pPr>
    </w:p>
    <w:p w14:paraId="2C707AC4" w14:textId="77777777" w:rsidR="00500A36" w:rsidRPr="00B666FC" w:rsidRDefault="00500A36" w:rsidP="00B666FC">
      <w:pPr>
        <w:pStyle w:val="ListParagraph"/>
        <w:numPr>
          <w:ilvl w:val="0"/>
          <w:numId w:val="15"/>
        </w:numPr>
        <w:spacing w:after="0" w:line="240" w:lineRule="auto"/>
        <w:rPr>
          <w:u w:val="single"/>
        </w:rPr>
      </w:pPr>
      <w:r w:rsidRPr="00F167D2">
        <w:t xml:space="preserve">Siapka M, Remme M, Dayo Obure C, Maier C, Dehne KL, Vassall A.   </w:t>
      </w:r>
      <w:r w:rsidRPr="00B666FC">
        <w:rPr>
          <w:bCs/>
        </w:rPr>
        <w:t xml:space="preserve">Is there scope for cost savings and efficiency gains in HIV services? A systematic review of the evidence from low- and middle-income countries.   </w:t>
      </w:r>
      <w:r w:rsidRPr="00F167D2">
        <w:t xml:space="preserve"> </w:t>
      </w:r>
      <w:r w:rsidRPr="00B666FC">
        <w:rPr>
          <w:iCs/>
        </w:rPr>
        <w:t xml:space="preserve">Bull World Health Organ </w:t>
      </w:r>
      <w:r w:rsidRPr="00F167D2">
        <w:t xml:space="preserve">2014;92:499–511AD </w:t>
      </w:r>
      <w:r w:rsidRPr="00B666FC">
        <w:rPr>
          <w:b/>
          <w:bCs/>
        </w:rPr>
        <w:t xml:space="preserve">| </w:t>
      </w:r>
      <w:r w:rsidRPr="00F167D2">
        <w:t xml:space="preserve">doi: </w:t>
      </w:r>
      <w:hyperlink r:id="rId7" w:history="1">
        <w:r w:rsidRPr="00F167D2">
          <w:rPr>
            <w:rStyle w:val="Hyperlink"/>
          </w:rPr>
          <w:t>http://dx.doi.org/10.2471/BLT.13.127639</w:t>
        </w:r>
      </w:hyperlink>
    </w:p>
    <w:p w14:paraId="722269B2" w14:textId="77777777" w:rsidR="00500A36" w:rsidRDefault="00500A36" w:rsidP="00500A36">
      <w:pPr>
        <w:spacing w:after="0" w:line="240" w:lineRule="auto"/>
      </w:pPr>
    </w:p>
    <w:p w14:paraId="7C433995" w14:textId="77777777" w:rsidR="00B666FC" w:rsidRDefault="00500A36" w:rsidP="0073510C">
      <w:pPr>
        <w:pStyle w:val="ListParagraph"/>
        <w:numPr>
          <w:ilvl w:val="0"/>
          <w:numId w:val="15"/>
        </w:numPr>
        <w:spacing w:after="0" w:line="240" w:lineRule="auto"/>
      </w:pPr>
      <w:r w:rsidRPr="00F167D2">
        <w:t>Tagar E, Sundaram M, Condliffe K, Matatiyo B, Chimbwandira F, et al. (2014) Multi-Country Analysis of Treatment Costs for HIV/AIDS (MATCH): Facility-Level ART Unit Cost Analysis in Ethiopia, Malawi, Rwanda, South Africa and Zambia. PLoS ONE 9(11): e108304. doi:10.1371/journal.pone.0108304</w:t>
      </w:r>
    </w:p>
    <w:p w14:paraId="6F240989" w14:textId="77777777" w:rsidR="00B666FC" w:rsidRDefault="00B666FC" w:rsidP="00B666FC">
      <w:pPr>
        <w:pStyle w:val="ListParagraph"/>
        <w:spacing w:after="0" w:line="240" w:lineRule="auto"/>
      </w:pPr>
    </w:p>
    <w:p w14:paraId="6FE70074" w14:textId="3A050F2D" w:rsidR="00500A36" w:rsidRDefault="00500A36" w:rsidP="0073510C">
      <w:pPr>
        <w:pStyle w:val="ListParagraph"/>
        <w:numPr>
          <w:ilvl w:val="0"/>
          <w:numId w:val="15"/>
        </w:numPr>
        <w:spacing w:after="0" w:line="240" w:lineRule="auto"/>
      </w:pPr>
      <w:r w:rsidRPr="00500A36">
        <w:t>Kessler J, Nucifora K.  Impact and Cost-Effectiveness of Hypothetical Strategies to Enhance Retention in Care within HIV Treatment Programs in East Africa.   Value in Health 2015; 946-955</w:t>
      </w:r>
    </w:p>
    <w:p w14:paraId="642DF99C" w14:textId="77777777" w:rsidR="00B666FC" w:rsidRDefault="00B666FC" w:rsidP="00B666FC">
      <w:pPr>
        <w:pStyle w:val="ListParagraph"/>
        <w:spacing w:after="0" w:line="240" w:lineRule="auto"/>
      </w:pPr>
    </w:p>
    <w:p w14:paraId="4DA8B79F" w14:textId="77777777" w:rsidR="00B666FC" w:rsidRPr="00B666FC" w:rsidRDefault="00B666FC" w:rsidP="00500A36">
      <w:pPr>
        <w:pStyle w:val="ListParagraph"/>
        <w:numPr>
          <w:ilvl w:val="0"/>
          <w:numId w:val="15"/>
        </w:numPr>
        <w:spacing w:after="0" w:line="240" w:lineRule="auto"/>
        <w:rPr>
          <w:bCs/>
        </w:rPr>
      </w:pPr>
      <w:r w:rsidRPr="00B666FC">
        <w:rPr>
          <w:bCs/>
        </w:rPr>
        <w:t>Petersen ML, Wang Y, van der Laan MJ, Guzman D, Riley E,Bangsberg DR.   Pillbox organizers are associated with improved adherence to HIV antiretroviral therapy and viral suppression: A marginal structural model analysis.  Clin Infect Dis  2007</w:t>
      </w:r>
      <w:r w:rsidRPr="00B666FC">
        <w:rPr>
          <w:b/>
          <w:bCs/>
        </w:rPr>
        <w:t>;</w:t>
      </w:r>
      <w:r w:rsidRPr="001F1B2C">
        <w:t> 45</w:t>
      </w:r>
      <w:r w:rsidRPr="00B666FC">
        <w:rPr>
          <w:b/>
          <w:bCs/>
        </w:rPr>
        <w:t>:</w:t>
      </w:r>
      <w:r w:rsidRPr="001F1B2C">
        <w:t> 908-915</w:t>
      </w:r>
    </w:p>
    <w:p w14:paraId="79FC9605" w14:textId="77777777" w:rsidR="00B666FC" w:rsidRPr="00B666FC" w:rsidRDefault="00B666FC" w:rsidP="00B666FC">
      <w:pPr>
        <w:pStyle w:val="ListParagraph"/>
        <w:spacing w:after="0" w:line="240" w:lineRule="auto"/>
        <w:rPr>
          <w:bCs/>
        </w:rPr>
      </w:pPr>
    </w:p>
    <w:p w14:paraId="76743ED3" w14:textId="488A4F4A" w:rsidR="00D83EDB" w:rsidRPr="00B666FC" w:rsidRDefault="00500A36" w:rsidP="007843FC">
      <w:pPr>
        <w:pStyle w:val="ListParagraph"/>
        <w:numPr>
          <w:ilvl w:val="0"/>
          <w:numId w:val="15"/>
        </w:numPr>
        <w:spacing w:after="0" w:line="240" w:lineRule="auto"/>
        <w:rPr>
          <w:bCs/>
        </w:rPr>
      </w:pPr>
      <w:r w:rsidRPr="00500A36">
        <w:t>Mathes T,  Pieper  D, Sunya-Lee; A, et al.  Cost-effectiveness of adherence interventions for highly active ART: a systematic review.  Int J Tech Ass in Health Care  2013; 29: 227-233</w:t>
      </w:r>
    </w:p>
    <w:p w14:paraId="6A143CE4" w14:textId="77777777" w:rsidR="00B666FC" w:rsidRDefault="00B666FC" w:rsidP="007843FC">
      <w:pPr>
        <w:spacing w:after="0" w:line="240" w:lineRule="auto"/>
        <w:rPr>
          <w:lang w:val="en-ZA"/>
        </w:rPr>
      </w:pPr>
    </w:p>
    <w:p w14:paraId="649B1053" w14:textId="77777777" w:rsidR="00D83EDB" w:rsidRPr="00B666FC" w:rsidRDefault="00500A36" w:rsidP="00B666FC">
      <w:pPr>
        <w:pStyle w:val="ListParagraph"/>
        <w:numPr>
          <w:ilvl w:val="0"/>
          <w:numId w:val="15"/>
        </w:numPr>
        <w:spacing w:after="0" w:line="240" w:lineRule="auto"/>
        <w:rPr>
          <w:lang w:val="en-ZA"/>
        </w:rPr>
      </w:pPr>
      <w:r w:rsidRPr="00B666FC">
        <w:rPr>
          <w:lang w:val="en-ZA"/>
        </w:rPr>
        <w:t xml:space="preserve">FDA. </w:t>
      </w:r>
      <w:hyperlink r:id="rId8" w:history="1">
        <w:r w:rsidRPr="00B666FC">
          <w:rPr>
            <w:rStyle w:val="Hyperlink"/>
            <w:lang w:val="en-ZA"/>
          </w:rPr>
          <w:t>http://www.fda.gov/downloads/AboutFDA/CentersOffices/CDER/UCM203014.pdf&amp;keyword=hiv-viral-load-management</w:t>
        </w:r>
      </w:hyperlink>
      <w:r w:rsidRPr="00B666FC">
        <w:rPr>
          <w:lang w:val="en-ZA"/>
        </w:rPr>
        <w:t xml:space="preserve">  Accessed March 2016.03.31</w:t>
      </w:r>
    </w:p>
    <w:p w14:paraId="2BCE1ABE" w14:textId="77777777" w:rsidR="00500A36" w:rsidRDefault="00500A36" w:rsidP="007843FC">
      <w:pPr>
        <w:spacing w:after="0" w:line="240" w:lineRule="auto"/>
        <w:rPr>
          <w:lang w:val="en-ZA"/>
        </w:rPr>
      </w:pPr>
    </w:p>
    <w:p w14:paraId="1CE4B5A8" w14:textId="77777777" w:rsidR="00500A36" w:rsidRDefault="00500A36" w:rsidP="00B666FC">
      <w:pPr>
        <w:pStyle w:val="ListParagraph"/>
        <w:numPr>
          <w:ilvl w:val="0"/>
          <w:numId w:val="15"/>
        </w:numPr>
        <w:spacing w:after="0" w:line="240" w:lineRule="auto"/>
      </w:pPr>
      <w:r>
        <w:t xml:space="preserve">Daniels MJ, Hughes MD.  </w:t>
      </w:r>
      <w:r w:rsidRPr="00500A36">
        <w:t>M</w:t>
      </w:r>
      <w:r>
        <w:t>eta-analysis for the evaluation of potential surrogate markers.  Stat Med 1997; 16:</w:t>
      </w:r>
      <w:r w:rsidRPr="00500A36">
        <w:t xml:space="preserve"> 1965</w:t>
      </w:r>
      <w:r w:rsidRPr="00B666FC">
        <w:rPr>
          <w:i/>
          <w:iCs/>
        </w:rPr>
        <w:t>-</w:t>
      </w:r>
      <w:r w:rsidRPr="00500A36">
        <w:t>1982</w:t>
      </w:r>
    </w:p>
    <w:p w14:paraId="0D199E37" w14:textId="77777777" w:rsidR="00500A36" w:rsidRDefault="00500A36" w:rsidP="00500A36">
      <w:pPr>
        <w:spacing w:after="0" w:line="240" w:lineRule="auto"/>
      </w:pPr>
    </w:p>
    <w:p w14:paraId="2AD74F97" w14:textId="77777777" w:rsidR="00500A36" w:rsidRPr="00B666FC" w:rsidRDefault="00DE0956" w:rsidP="00B666FC">
      <w:pPr>
        <w:pStyle w:val="ListParagraph"/>
        <w:numPr>
          <w:ilvl w:val="0"/>
          <w:numId w:val="15"/>
        </w:numPr>
        <w:spacing w:after="0" w:line="240" w:lineRule="auto"/>
        <w:rPr>
          <w:lang w:val="en-ZA"/>
        </w:rPr>
      </w:pPr>
      <w:r w:rsidRPr="00B666FC">
        <w:rPr>
          <w:bCs/>
        </w:rPr>
        <w:t>Phillips AN, Eron J, Bartlett J, Kuritzkes DR, Johnson VA, Gilbert C, et al.  Correspondence between the effect of zidovudine plus lamivudine on plasma HIV level/CD4 lymphocyte count and the incidence of clinical disease in infected individuals.  AIDS 1997; 11:169–175</w:t>
      </w:r>
    </w:p>
    <w:p w14:paraId="56790C2D" w14:textId="77777777" w:rsidR="001F1B2C" w:rsidRDefault="001F1B2C" w:rsidP="00187E96">
      <w:pPr>
        <w:spacing w:after="0" w:line="240" w:lineRule="auto"/>
      </w:pPr>
    </w:p>
    <w:p w14:paraId="10808B34" w14:textId="17507F32" w:rsidR="00587146" w:rsidRPr="00B666FC" w:rsidRDefault="00587146" w:rsidP="00B666FC">
      <w:pPr>
        <w:pStyle w:val="ListParagraph"/>
        <w:numPr>
          <w:ilvl w:val="0"/>
          <w:numId w:val="15"/>
        </w:numPr>
        <w:spacing w:after="0" w:line="240" w:lineRule="auto"/>
        <w:rPr>
          <w:lang w:val="en-ZA"/>
        </w:rPr>
      </w:pPr>
      <w:r w:rsidRPr="00B666FC">
        <w:rPr>
          <w:lang w:val="en-ZA"/>
        </w:rPr>
        <w:t>Ware NC, Pisarski EE, Tam M, Wyatt MA, Atukunda E, Musiimenta A, Bangsberg DR, Haberer JE.</w:t>
      </w:r>
      <w:r w:rsidR="003A10C2" w:rsidRPr="00B666FC">
        <w:rPr>
          <w:lang w:val="en-ZA"/>
        </w:rPr>
        <w:t xml:space="preserve"> </w:t>
      </w:r>
      <w:r w:rsidRPr="00B666FC">
        <w:rPr>
          <w:lang w:val="en-ZA"/>
        </w:rPr>
        <w:t>The Meanings in the messages: how SMS reminders and real-time adherence monitoring improve antiretroviral therapy adherence in rural Uganda.  AIDS. 2016 May 15;30(8):1287-94. doi: 10.1097/QAD.0000000000001035.</w:t>
      </w:r>
      <w:r w:rsidR="003A10C2" w:rsidRPr="00B666FC">
        <w:rPr>
          <w:lang w:val="en-ZA"/>
        </w:rPr>
        <w:t xml:space="preserve"> </w:t>
      </w:r>
      <w:r w:rsidRPr="00B666FC">
        <w:rPr>
          <w:lang w:val="en-ZA"/>
        </w:rPr>
        <w:t>PMID: 26807967</w:t>
      </w:r>
    </w:p>
    <w:p w14:paraId="4B3B9547" w14:textId="77777777" w:rsidR="00427382" w:rsidRDefault="00427382" w:rsidP="007843FC">
      <w:pPr>
        <w:spacing w:after="0" w:line="240" w:lineRule="auto"/>
      </w:pPr>
    </w:p>
    <w:p w14:paraId="7FA98813" w14:textId="1F1F66EC" w:rsidR="001B136C" w:rsidRPr="003A10C2" w:rsidRDefault="003A10C2" w:rsidP="00B666FC">
      <w:pPr>
        <w:pStyle w:val="ListParagraph"/>
        <w:numPr>
          <w:ilvl w:val="0"/>
          <w:numId w:val="15"/>
        </w:numPr>
        <w:spacing w:after="0" w:line="240" w:lineRule="auto"/>
      </w:pPr>
      <w:r>
        <w:t>Haberer JE, Musinguzi N, Tsai AC, Boum Y, Bwana BM, Muzoora C et al.  Real-time adherence monitoring with follow-up improves adherence compared to electronic monitoring alone: quasi-experimental analysis</w:t>
      </w:r>
      <w:r w:rsidRPr="003A10C2">
        <w:t xml:space="preserve">. </w:t>
      </w:r>
      <w:r>
        <w:t xml:space="preserve"> </w:t>
      </w:r>
      <w:r w:rsidRPr="003A10C2">
        <w:t xml:space="preserve">11th International Conference on HIV Treatment and Prevention Adherence </w:t>
      </w:r>
      <w:r>
        <w:t xml:space="preserve">2016 </w:t>
      </w:r>
      <w:r w:rsidRPr="003A10C2">
        <w:t xml:space="preserve"> 11th International Conference on HIV Treatment and Prevention Adherence, May 9-11, 2016, Fort Lauderdale</w:t>
      </w:r>
      <w:r w:rsidRPr="00B666FC">
        <w:rPr>
          <w:lang w:val="en-ZA"/>
        </w:rPr>
        <w:t>.  Abstract #56.  http://www.iapac.org/AdherenceConference/Adherence_2016.html</w:t>
      </w:r>
    </w:p>
    <w:p w14:paraId="7EB5E2E7" w14:textId="77777777" w:rsidR="004D7EA7" w:rsidRDefault="004D7EA7" w:rsidP="007843FC">
      <w:pPr>
        <w:spacing w:after="0" w:line="240" w:lineRule="auto"/>
        <w:rPr>
          <w:lang w:val="en-ZA"/>
        </w:rPr>
      </w:pPr>
    </w:p>
    <w:p w14:paraId="56D80F59" w14:textId="77777777" w:rsidR="00D83EDB" w:rsidRDefault="00D83EDB" w:rsidP="007843FC">
      <w:pPr>
        <w:spacing w:after="0" w:line="240" w:lineRule="auto"/>
        <w:rPr>
          <w:lang w:val="en-ZA"/>
        </w:rPr>
      </w:pPr>
    </w:p>
    <w:p w14:paraId="39D1A246" w14:textId="77777777" w:rsidR="00D83EDB" w:rsidRDefault="00D83EDB" w:rsidP="007843FC">
      <w:pPr>
        <w:spacing w:after="0" w:line="240" w:lineRule="auto"/>
        <w:rPr>
          <w:lang w:val="en-ZA"/>
        </w:rPr>
      </w:pPr>
    </w:p>
    <w:p w14:paraId="3A4B2235" w14:textId="77777777" w:rsidR="00D83EDB" w:rsidRDefault="00D83EDB" w:rsidP="007843FC">
      <w:pPr>
        <w:spacing w:after="0" w:line="240" w:lineRule="auto"/>
        <w:rPr>
          <w:lang w:val="en-ZA"/>
        </w:rPr>
      </w:pPr>
    </w:p>
    <w:p w14:paraId="6F6C2FBB" w14:textId="77777777" w:rsidR="00D83EDB" w:rsidRDefault="00D83EDB" w:rsidP="007843FC">
      <w:pPr>
        <w:spacing w:after="0" w:line="240" w:lineRule="auto"/>
        <w:rPr>
          <w:lang w:val="en-ZA"/>
        </w:rPr>
      </w:pPr>
    </w:p>
    <w:p w14:paraId="24700907" w14:textId="77777777" w:rsidR="00D83EDB" w:rsidRDefault="00D83EDB" w:rsidP="007843FC">
      <w:pPr>
        <w:spacing w:after="0" w:line="240" w:lineRule="auto"/>
        <w:rPr>
          <w:lang w:val="en-ZA"/>
        </w:rPr>
      </w:pPr>
    </w:p>
    <w:sectPr w:rsidR="00D83EDB" w:rsidSect="00CF468F">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Diverda Sans Com">
    <w:altName w:val="Diverda Sans Co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dvPACF3">
    <w:panose1 w:val="00000000000000000000"/>
    <w:charset w:val="00"/>
    <w:family w:val="swiss"/>
    <w:notTrueType/>
    <w:pitch w:val="default"/>
    <w:sig w:usb0="00000003" w:usb1="00000000" w:usb2="00000000" w:usb3="00000000" w:csb0="00000001" w:csb1="00000000"/>
  </w:font>
  <w:font w:name="AdvPAC4C">
    <w:panose1 w:val="00000000000000000000"/>
    <w:charset w:val="00"/>
    <w:family w:val="swiss"/>
    <w:notTrueType/>
    <w:pitch w:val="default"/>
    <w:sig w:usb0="00000003" w:usb1="00000000" w:usb2="00000000" w:usb3="00000000" w:csb0="00000001" w:csb1="00000000"/>
  </w:font>
  <w:font w:name="AdvTimes">
    <w:panose1 w:val="00000000000000000000"/>
    <w:charset w:val="00"/>
    <w:family w:val="auto"/>
    <w:notTrueType/>
    <w:pitch w:val="default"/>
    <w:sig w:usb0="00000003" w:usb1="00000000" w:usb2="00000000" w:usb3="00000000" w:csb0="00000001" w:csb1="00000000"/>
  </w:font>
  <w:font w:name="ScalaLancetPro">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D05F6"/>
    <w:multiLevelType w:val="hybridMultilevel"/>
    <w:tmpl w:val="9A427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145B8"/>
    <w:multiLevelType w:val="hybridMultilevel"/>
    <w:tmpl w:val="CC16F570"/>
    <w:lvl w:ilvl="0" w:tplc="0B749E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504C4"/>
    <w:multiLevelType w:val="hybridMultilevel"/>
    <w:tmpl w:val="8222F8B0"/>
    <w:lvl w:ilvl="0" w:tplc="DFEAAE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6344AB"/>
    <w:multiLevelType w:val="hybridMultilevel"/>
    <w:tmpl w:val="72269374"/>
    <w:lvl w:ilvl="0" w:tplc="C52A72D2">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533FB4"/>
    <w:multiLevelType w:val="hybridMultilevel"/>
    <w:tmpl w:val="390A8B66"/>
    <w:lvl w:ilvl="0" w:tplc="D61EE08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B19E6"/>
    <w:multiLevelType w:val="hybridMultilevel"/>
    <w:tmpl w:val="64601E86"/>
    <w:lvl w:ilvl="0" w:tplc="E1C4DF2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822119"/>
    <w:multiLevelType w:val="hybridMultilevel"/>
    <w:tmpl w:val="B6080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72E6A"/>
    <w:multiLevelType w:val="hybridMultilevel"/>
    <w:tmpl w:val="17323046"/>
    <w:lvl w:ilvl="0" w:tplc="B236407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EA6DF2"/>
    <w:multiLevelType w:val="hybridMultilevel"/>
    <w:tmpl w:val="7456A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0532D"/>
    <w:multiLevelType w:val="hybridMultilevel"/>
    <w:tmpl w:val="6E8C5E36"/>
    <w:lvl w:ilvl="0" w:tplc="801A007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F9D2984"/>
    <w:multiLevelType w:val="hybridMultilevel"/>
    <w:tmpl w:val="FA1E03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CE08EA"/>
    <w:multiLevelType w:val="multilevel"/>
    <w:tmpl w:val="413E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B652FE"/>
    <w:multiLevelType w:val="multilevel"/>
    <w:tmpl w:val="284E7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55548"/>
    <w:multiLevelType w:val="hybridMultilevel"/>
    <w:tmpl w:val="C9401630"/>
    <w:lvl w:ilvl="0" w:tplc="97483E9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FE282C"/>
    <w:multiLevelType w:val="hybridMultilevel"/>
    <w:tmpl w:val="79F2A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E12D88"/>
    <w:multiLevelType w:val="hybridMultilevel"/>
    <w:tmpl w:val="0846B488"/>
    <w:lvl w:ilvl="0" w:tplc="6ECE67B2">
      <w:start w:val="1"/>
      <w:numFmt w:val="decimal"/>
      <w:lvlText w:val="%1."/>
      <w:lvlJc w:val="left"/>
      <w:pPr>
        <w:ind w:left="720"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7"/>
  </w:num>
  <w:num w:numId="5">
    <w:abstractNumId w:val="5"/>
  </w:num>
  <w:num w:numId="6">
    <w:abstractNumId w:val="4"/>
  </w:num>
  <w:num w:numId="7">
    <w:abstractNumId w:val="2"/>
  </w:num>
  <w:num w:numId="8">
    <w:abstractNumId w:val="6"/>
  </w:num>
  <w:num w:numId="9">
    <w:abstractNumId w:val="0"/>
  </w:num>
  <w:num w:numId="10">
    <w:abstractNumId w:val="8"/>
  </w:num>
  <w:num w:numId="11">
    <w:abstractNumId w:val="12"/>
  </w:num>
  <w:num w:numId="12">
    <w:abstractNumId w:val="9"/>
  </w:num>
  <w:num w:numId="13">
    <w:abstractNumId w:val="11"/>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611"/>
    <w:rsid w:val="00001AA4"/>
    <w:rsid w:val="00001F15"/>
    <w:rsid w:val="00002511"/>
    <w:rsid w:val="00004CD9"/>
    <w:rsid w:val="000203D0"/>
    <w:rsid w:val="00020554"/>
    <w:rsid w:val="000216CD"/>
    <w:rsid w:val="00022178"/>
    <w:rsid w:val="0002282B"/>
    <w:rsid w:val="00025BCF"/>
    <w:rsid w:val="00040737"/>
    <w:rsid w:val="00040C1B"/>
    <w:rsid w:val="00041DB2"/>
    <w:rsid w:val="0004239D"/>
    <w:rsid w:val="000439A8"/>
    <w:rsid w:val="00044E13"/>
    <w:rsid w:val="00052AA0"/>
    <w:rsid w:val="0005397D"/>
    <w:rsid w:val="00053C0D"/>
    <w:rsid w:val="000619F6"/>
    <w:rsid w:val="000639D1"/>
    <w:rsid w:val="000645A3"/>
    <w:rsid w:val="00064A3A"/>
    <w:rsid w:val="00064A8C"/>
    <w:rsid w:val="000656AE"/>
    <w:rsid w:val="00067C25"/>
    <w:rsid w:val="00073F2F"/>
    <w:rsid w:val="000831BC"/>
    <w:rsid w:val="00083463"/>
    <w:rsid w:val="0008491B"/>
    <w:rsid w:val="00087505"/>
    <w:rsid w:val="00097025"/>
    <w:rsid w:val="000A2642"/>
    <w:rsid w:val="000A7363"/>
    <w:rsid w:val="000A7DA8"/>
    <w:rsid w:val="000B677B"/>
    <w:rsid w:val="000C2032"/>
    <w:rsid w:val="000C3FA5"/>
    <w:rsid w:val="000C6A90"/>
    <w:rsid w:val="000C707F"/>
    <w:rsid w:val="000C7CA1"/>
    <w:rsid w:val="000D035A"/>
    <w:rsid w:val="000D206A"/>
    <w:rsid w:val="000E221C"/>
    <w:rsid w:val="000E63C0"/>
    <w:rsid w:val="000E6542"/>
    <w:rsid w:val="000F0193"/>
    <w:rsid w:val="000F4162"/>
    <w:rsid w:val="000F55AE"/>
    <w:rsid w:val="00103087"/>
    <w:rsid w:val="0010772D"/>
    <w:rsid w:val="00110488"/>
    <w:rsid w:val="00110837"/>
    <w:rsid w:val="00113B94"/>
    <w:rsid w:val="00115592"/>
    <w:rsid w:val="0011576B"/>
    <w:rsid w:val="0012010C"/>
    <w:rsid w:val="00120EC9"/>
    <w:rsid w:val="001220A4"/>
    <w:rsid w:val="0012244E"/>
    <w:rsid w:val="00124CD5"/>
    <w:rsid w:val="0012509F"/>
    <w:rsid w:val="0013357B"/>
    <w:rsid w:val="00140663"/>
    <w:rsid w:val="00142350"/>
    <w:rsid w:val="0014332F"/>
    <w:rsid w:val="00144DDD"/>
    <w:rsid w:val="001543CA"/>
    <w:rsid w:val="00156720"/>
    <w:rsid w:val="001572CC"/>
    <w:rsid w:val="001630B4"/>
    <w:rsid w:val="0016347B"/>
    <w:rsid w:val="00164BBC"/>
    <w:rsid w:val="001727BB"/>
    <w:rsid w:val="001731B3"/>
    <w:rsid w:val="00180468"/>
    <w:rsid w:val="0018293A"/>
    <w:rsid w:val="00184293"/>
    <w:rsid w:val="00187E96"/>
    <w:rsid w:val="001A1427"/>
    <w:rsid w:val="001A2F51"/>
    <w:rsid w:val="001A560A"/>
    <w:rsid w:val="001B0B07"/>
    <w:rsid w:val="001B136C"/>
    <w:rsid w:val="001C0AB1"/>
    <w:rsid w:val="001C60AF"/>
    <w:rsid w:val="001C706C"/>
    <w:rsid w:val="001D67F5"/>
    <w:rsid w:val="001D6F06"/>
    <w:rsid w:val="001D76E5"/>
    <w:rsid w:val="001E0531"/>
    <w:rsid w:val="001E0771"/>
    <w:rsid w:val="001E37C0"/>
    <w:rsid w:val="001E6029"/>
    <w:rsid w:val="001E6510"/>
    <w:rsid w:val="001F1B2C"/>
    <w:rsid w:val="001F347A"/>
    <w:rsid w:val="002044BD"/>
    <w:rsid w:val="002067D5"/>
    <w:rsid w:val="002078EA"/>
    <w:rsid w:val="00210491"/>
    <w:rsid w:val="0021694F"/>
    <w:rsid w:val="00217225"/>
    <w:rsid w:val="002225D2"/>
    <w:rsid w:val="00227C48"/>
    <w:rsid w:val="00230594"/>
    <w:rsid w:val="00242F02"/>
    <w:rsid w:val="002457E6"/>
    <w:rsid w:val="00245D4C"/>
    <w:rsid w:val="0025170B"/>
    <w:rsid w:val="00253116"/>
    <w:rsid w:val="00255DA5"/>
    <w:rsid w:val="002665DA"/>
    <w:rsid w:val="00271357"/>
    <w:rsid w:val="00274252"/>
    <w:rsid w:val="0027487F"/>
    <w:rsid w:val="002770BE"/>
    <w:rsid w:val="002854F9"/>
    <w:rsid w:val="00286DB9"/>
    <w:rsid w:val="00287ED6"/>
    <w:rsid w:val="0029073B"/>
    <w:rsid w:val="002908D8"/>
    <w:rsid w:val="00293DE7"/>
    <w:rsid w:val="0029748A"/>
    <w:rsid w:val="00297922"/>
    <w:rsid w:val="002A03E4"/>
    <w:rsid w:val="002A065B"/>
    <w:rsid w:val="002A13ED"/>
    <w:rsid w:val="002A5AC9"/>
    <w:rsid w:val="002B6C80"/>
    <w:rsid w:val="002B7893"/>
    <w:rsid w:val="002C1D76"/>
    <w:rsid w:val="002C347D"/>
    <w:rsid w:val="002C35EE"/>
    <w:rsid w:val="002C3E4D"/>
    <w:rsid w:val="002C59D7"/>
    <w:rsid w:val="002C69DF"/>
    <w:rsid w:val="002D3091"/>
    <w:rsid w:val="002D51B1"/>
    <w:rsid w:val="002E57C5"/>
    <w:rsid w:val="002F13B5"/>
    <w:rsid w:val="002F1768"/>
    <w:rsid w:val="002F2E2F"/>
    <w:rsid w:val="002F6425"/>
    <w:rsid w:val="00303B92"/>
    <w:rsid w:val="0030521D"/>
    <w:rsid w:val="00310B97"/>
    <w:rsid w:val="00310E71"/>
    <w:rsid w:val="00312049"/>
    <w:rsid w:val="00314429"/>
    <w:rsid w:val="00314FD4"/>
    <w:rsid w:val="00316E99"/>
    <w:rsid w:val="00317631"/>
    <w:rsid w:val="00322D2E"/>
    <w:rsid w:val="00324661"/>
    <w:rsid w:val="00334CEF"/>
    <w:rsid w:val="0033668B"/>
    <w:rsid w:val="00336DD5"/>
    <w:rsid w:val="003376A5"/>
    <w:rsid w:val="00337893"/>
    <w:rsid w:val="00344081"/>
    <w:rsid w:val="0034620A"/>
    <w:rsid w:val="00362293"/>
    <w:rsid w:val="00363174"/>
    <w:rsid w:val="00371E0C"/>
    <w:rsid w:val="00372274"/>
    <w:rsid w:val="00373F21"/>
    <w:rsid w:val="00376014"/>
    <w:rsid w:val="00376F88"/>
    <w:rsid w:val="00377541"/>
    <w:rsid w:val="003805AD"/>
    <w:rsid w:val="00380686"/>
    <w:rsid w:val="00384309"/>
    <w:rsid w:val="00385526"/>
    <w:rsid w:val="0038675A"/>
    <w:rsid w:val="0039047F"/>
    <w:rsid w:val="00390F6B"/>
    <w:rsid w:val="0039101F"/>
    <w:rsid w:val="003912AB"/>
    <w:rsid w:val="0039491A"/>
    <w:rsid w:val="003A10C2"/>
    <w:rsid w:val="003A153B"/>
    <w:rsid w:val="003A3146"/>
    <w:rsid w:val="003A3A3C"/>
    <w:rsid w:val="003C6963"/>
    <w:rsid w:val="003D1342"/>
    <w:rsid w:val="003D4908"/>
    <w:rsid w:val="003E0D2C"/>
    <w:rsid w:val="003E28C6"/>
    <w:rsid w:val="003E3278"/>
    <w:rsid w:val="003E50B1"/>
    <w:rsid w:val="003E538F"/>
    <w:rsid w:val="003F1185"/>
    <w:rsid w:val="003F2B07"/>
    <w:rsid w:val="003F431B"/>
    <w:rsid w:val="003F479A"/>
    <w:rsid w:val="003F4A5D"/>
    <w:rsid w:val="00400139"/>
    <w:rsid w:val="004002EF"/>
    <w:rsid w:val="00402D80"/>
    <w:rsid w:val="00404712"/>
    <w:rsid w:val="00410448"/>
    <w:rsid w:val="00414AB7"/>
    <w:rsid w:val="004217AD"/>
    <w:rsid w:val="00427382"/>
    <w:rsid w:val="00433395"/>
    <w:rsid w:val="00436F30"/>
    <w:rsid w:val="00442178"/>
    <w:rsid w:val="00442440"/>
    <w:rsid w:val="0044262F"/>
    <w:rsid w:val="00444095"/>
    <w:rsid w:val="00444ED5"/>
    <w:rsid w:val="0044576A"/>
    <w:rsid w:val="00447EDC"/>
    <w:rsid w:val="00450E4B"/>
    <w:rsid w:val="00457104"/>
    <w:rsid w:val="00457F81"/>
    <w:rsid w:val="00462D28"/>
    <w:rsid w:val="00463314"/>
    <w:rsid w:val="004668AE"/>
    <w:rsid w:val="00466F54"/>
    <w:rsid w:val="00470FD4"/>
    <w:rsid w:val="00476113"/>
    <w:rsid w:val="00476BDF"/>
    <w:rsid w:val="004804D3"/>
    <w:rsid w:val="00486D7C"/>
    <w:rsid w:val="00486DDD"/>
    <w:rsid w:val="004871E6"/>
    <w:rsid w:val="00494C87"/>
    <w:rsid w:val="00496C89"/>
    <w:rsid w:val="004973FE"/>
    <w:rsid w:val="004A085F"/>
    <w:rsid w:val="004A466C"/>
    <w:rsid w:val="004B186A"/>
    <w:rsid w:val="004B2768"/>
    <w:rsid w:val="004B3BB9"/>
    <w:rsid w:val="004B3F7C"/>
    <w:rsid w:val="004B55D0"/>
    <w:rsid w:val="004B695E"/>
    <w:rsid w:val="004B7630"/>
    <w:rsid w:val="004C58A7"/>
    <w:rsid w:val="004D221D"/>
    <w:rsid w:val="004D2AB7"/>
    <w:rsid w:val="004D78A6"/>
    <w:rsid w:val="004D7EA7"/>
    <w:rsid w:val="004E0B49"/>
    <w:rsid w:val="004E152C"/>
    <w:rsid w:val="004E1C3A"/>
    <w:rsid w:val="004E521E"/>
    <w:rsid w:val="004F2235"/>
    <w:rsid w:val="004F38EB"/>
    <w:rsid w:val="004F79E4"/>
    <w:rsid w:val="00500A36"/>
    <w:rsid w:val="00500CD3"/>
    <w:rsid w:val="00501B9D"/>
    <w:rsid w:val="00506947"/>
    <w:rsid w:val="00506EA0"/>
    <w:rsid w:val="00511C75"/>
    <w:rsid w:val="00511EE9"/>
    <w:rsid w:val="005158C5"/>
    <w:rsid w:val="00515D8E"/>
    <w:rsid w:val="00523124"/>
    <w:rsid w:val="0052793A"/>
    <w:rsid w:val="005369AB"/>
    <w:rsid w:val="005405D0"/>
    <w:rsid w:val="00540AE2"/>
    <w:rsid w:val="00542BCD"/>
    <w:rsid w:val="00543923"/>
    <w:rsid w:val="00544918"/>
    <w:rsid w:val="0054717F"/>
    <w:rsid w:val="00557FEC"/>
    <w:rsid w:val="00570A25"/>
    <w:rsid w:val="0057105B"/>
    <w:rsid w:val="00577E2D"/>
    <w:rsid w:val="00583621"/>
    <w:rsid w:val="0058600E"/>
    <w:rsid w:val="00587146"/>
    <w:rsid w:val="00590DF3"/>
    <w:rsid w:val="00591273"/>
    <w:rsid w:val="005946AC"/>
    <w:rsid w:val="005A0648"/>
    <w:rsid w:val="005A42D0"/>
    <w:rsid w:val="005A6602"/>
    <w:rsid w:val="005A7A23"/>
    <w:rsid w:val="005B1BAE"/>
    <w:rsid w:val="005B2A74"/>
    <w:rsid w:val="005B6B2D"/>
    <w:rsid w:val="005C4601"/>
    <w:rsid w:val="005C4C82"/>
    <w:rsid w:val="005C64C8"/>
    <w:rsid w:val="005D38ED"/>
    <w:rsid w:val="005E67CF"/>
    <w:rsid w:val="005F4CFC"/>
    <w:rsid w:val="005F4D10"/>
    <w:rsid w:val="005F4E60"/>
    <w:rsid w:val="00602EA6"/>
    <w:rsid w:val="00604348"/>
    <w:rsid w:val="006045CA"/>
    <w:rsid w:val="006117C1"/>
    <w:rsid w:val="00612581"/>
    <w:rsid w:val="00612D60"/>
    <w:rsid w:val="00613084"/>
    <w:rsid w:val="006163DA"/>
    <w:rsid w:val="0061784F"/>
    <w:rsid w:val="0062132B"/>
    <w:rsid w:val="00625380"/>
    <w:rsid w:val="00632187"/>
    <w:rsid w:val="00641E66"/>
    <w:rsid w:val="00641F35"/>
    <w:rsid w:val="00647DF5"/>
    <w:rsid w:val="00650E0C"/>
    <w:rsid w:val="00651457"/>
    <w:rsid w:val="006556A2"/>
    <w:rsid w:val="006579B1"/>
    <w:rsid w:val="0066425B"/>
    <w:rsid w:val="00673E70"/>
    <w:rsid w:val="00676A60"/>
    <w:rsid w:val="00676CD0"/>
    <w:rsid w:val="00684078"/>
    <w:rsid w:val="00684C0D"/>
    <w:rsid w:val="00686DD4"/>
    <w:rsid w:val="0069063D"/>
    <w:rsid w:val="00693D2C"/>
    <w:rsid w:val="006946BB"/>
    <w:rsid w:val="006950B6"/>
    <w:rsid w:val="00697759"/>
    <w:rsid w:val="006A34BA"/>
    <w:rsid w:val="006B1349"/>
    <w:rsid w:val="006B1B0A"/>
    <w:rsid w:val="006B58BF"/>
    <w:rsid w:val="006B5BA1"/>
    <w:rsid w:val="006B7359"/>
    <w:rsid w:val="006C0284"/>
    <w:rsid w:val="006C07C8"/>
    <w:rsid w:val="006C28BF"/>
    <w:rsid w:val="006C2B77"/>
    <w:rsid w:val="006C412B"/>
    <w:rsid w:val="006C4E39"/>
    <w:rsid w:val="006D239E"/>
    <w:rsid w:val="006E165D"/>
    <w:rsid w:val="006E399D"/>
    <w:rsid w:val="006E6D3C"/>
    <w:rsid w:val="006F07A4"/>
    <w:rsid w:val="006F21B0"/>
    <w:rsid w:val="006F63D6"/>
    <w:rsid w:val="006F7186"/>
    <w:rsid w:val="006F75C2"/>
    <w:rsid w:val="006F76E2"/>
    <w:rsid w:val="00706823"/>
    <w:rsid w:val="00710935"/>
    <w:rsid w:val="00713532"/>
    <w:rsid w:val="00717366"/>
    <w:rsid w:val="0073510C"/>
    <w:rsid w:val="007411F2"/>
    <w:rsid w:val="007426E1"/>
    <w:rsid w:val="00743A12"/>
    <w:rsid w:val="0074493C"/>
    <w:rsid w:val="00745D58"/>
    <w:rsid w:val="00755DF5"/>
    <w:rsid w:val="00757173"/>
    <w:rsid w:val="00760621"/>
    <w:rsid w:val="00764A38"/>
    <w:rsid w:val="00766B23"/>
    <w:rsid w:val="00766FBD"/>
    <w:rsid w:val="007762D6"/>
    <w:rsid w:val="0078005B"/>
    <w:rsid w:val="007843FC"/>
    <w:rsid w:val="0079522B"/>
    <w:rsid w:val="007970AB"/>
    <w:rsid w:val="007A0852"/>
    <w:rsid w:val="007A6520"/>
    <w:rsid w:val="007B49B5"/>
    <w:rsid w:val="007B6587"/>
    <w:rsid w:val="007C13F2"/>
    <w:rsid w:val="007C1929"/>
    <w:rsid w:val="007C34DB"/>
    <w:rsid w:val="007C4B51"/>
    <w:rsid w:val="007C6DB1"/>
    <w:rsid w:val="007D13B8"/>
    <w:rsid w:val="007D16BB"/>
    <w:rsid w:val="007D1990"/>
    <w:rsid w:val="007D1C53"/>
    <w:rsid w:val="007D5A62"/>
    <w:rsid w:val="007E2417"/>
    <w:rsid w:val="007E41AC"/>
    <w:rsid w:val="007F757E"/>
    <w:rsid w:val="007F7AB6"/>
    <w:rsid w:val="00803801"/>
    <w:rsid w:val="0081700B"/>
    <w:rsid w:val="00821C6E"/>
    <w:rsid w:val="008252EE"/>
    <w:rsid w:val="00832F16"/>
    <w:rsid w:val="00842FC3"/>
    <w:rsid w:val="00844006"/>
    <w:rsid w:val="008464DA"/>
    <w:rsid w:val="008473BE"/>
    <w:rsid w:val="00850D07"/>
    <w:rsid w:val="008510E9"/>
    <w:rsid w:val="00852367"/>
    <w:rsid w:val="0085281B"/>
    <w:rsid w:val="008631B1"/>
    <w:rsid w:val="00864F29"/>
    <w:rsid w:val="00872657"/>
    <w:rsid w:val="0087403F"/>
    <w:rsid w:val="00883034"/>
    <w:rsid w:val="0088355F"/>
    <w:rsid w:val="00892BD3"/>
    <w:rsid w:val="00893BD8"/>
    <w:rsid w:val="008A0392"/>
    <w:rsid w:val="008A22BF"/>
    <w:rsid w:val="008A6A9F"/>
    <w:rsid w:val="008B10ED"/>
    <w:rsid w:val="008B2702"/>
    <w:rsid w:val="008B31AA"/>
    <w:rsid w:val="008B6488"/>
    <w:rsid w:val="008C0342"/>
    <w:rsid w:val="008C0E2D"/>
    <w:rsid w:val="008C22CB"/>
    <w:rsid w:val="008C488B"/>
    <w:rsid w:val="008D1041"/>
    <w:rsid w:val="008E0350"/>
    <w:rsid w:val="008E1D0A"/>
    <w:rsid w:val="008F2E3A"/>
    <w:rsid w:val="008F6F88"/>
    <w:rsid w:val="008F7382"/>
    <w:rsid w:val="00904972"/>
    <w:rsid w:val="009102F0"/>
    <w:rsid w:val="00910D56"/>
    <w:rsid w:val="00912F8E"/>
    <w:rsid w:val="00915135"/>
    <w:rsid w:val="00917C66"/>
    <w:rsid w:val="0092303A"/>
    <w:rsid w:val="00924CEA"/>
    <w:rsid w:val="00934C29"/>
    <w:rsid w:val="00937D14"/>
    <w:rsid w:val="00941D18"/>
    <w:rsid w:val="009464AF"/>
    <w:rsid w:val="00951C93"/>
    <w:rsid w:val="0096141D"/>
    <w:rsid w:val="00963708"/>
    <w:rsid w:val="00965CAC"/>
    <w:rsid w:val="00967234"/>
    <w:rsid w:val="00970E4C"/>
    <w:rsid w:val="009735CB"/>
    <w:rsid w:val="00974610"/>
    <w:rsid w:val="00974F6D"/>
    <w:rsid w:val="00977DB4"/>
    <w:rsid w:val="00987B62"/>
    <w:rsid w:val="00987CFD"/>
    <w:rsid w:val="0099071A"/>
    <w:rsid w:val="009915E4"/>
    <w:rsid w:val="009A0E1D"/>
    <w:rsid w:val="009A51C8"/>
    <w:rsid w:val="009B32D7"/>
    <w:rsid w:val="009B46F5"/>
    <w:rsid w:val="009B5A3B"/>
    <w:rsid w:val="009C0517"/>
    <w:rsid w:val="009C3DE9"/>
    <w:rsid w:val="009C5465"/>
    <w:rsid w:val="009D4552"/>
    <w:rsid w:val="009D5FB6"/>
    <w:rsid w:val="009D7B1B"/>
    <w:rsid w:val="009E0D07"/>
    <w:rsid w:val="009E2DD5"/>
    <w:rsid w:val="009E3E7C"/>
    <w:rsid w:val="009E754C"/>
    <w:rsid w:val="009F2DD1"/>
    <w:rsid w:val="009F3B26"/>
    <w:rsid w:val="00A00042"/>
    <w:rsid w:val="00A014D9"/>
    <w:rsid w:val="00A138B4"/>
    <w:rsid w:val="00A13B65"/>
    <w:rsid w:val="00A152A0"/>
    <w:rsid w:val="00A20A9D"/>
    <w:rsid w:val="00A231A3"/>
    <w:rsid w:val="00A33EE3"/>
    <w:rsid w:val="00A41517"/>
    <w:rsid w:val="00A42443"/>
    <w:rsid w:val="00A502CF"/>
    <w:rsid w:val="00A56DFE"/>
    <w:rsid w:val="00A651E9"/>
    <w:rsid w:val="00A7004F"/>
    <w:rsid w:val="00A710F1"/>
    <w:rsid w:val="00A80030"/>
    <w:rsid w:val="00A82FC3"/>
    <w:rsid w:val="00A8550B"/>
    <w:rsid w:val="00A904B5"/>
    <w:rsid w:val="00A919F6"/>
    <w:rsid w:val="00AA7071"/>
    <w:rsid w:val="00AB05A7"/>
    <w:rsid w:val="00AB1156"/>
    <w:rsid w:val="00AB3E53"/>
    <w:rsid w:val="00AC46E3"/>
    <w:rsid w:val="00AC56E4"/>
    <w:rsid w:val="00AD17A7"/>
    <w:rsid w:val="00AD1C0B"/>
    <w:rsid w:val="00AD2400"/>
    <w:rsid w:val="00AD3F06"/>
    <w:rsid w:val="00AD460B"/>
    <w:rsid w:val="00AD6491"/>
    <w:rsid w:val="00AD7834"/>
    <w:rsid w:val="00AD7D8E"/>
    <w:rsid w:val="00AE214F"/>
    <w:rsid w:val="00AE4500"/>
    <w:rsid w:val="00AE534E"/>
    <w:rsid w:val="00AF06FD"/>
    <w:rsid w:val="00AF37F2"/>
    <w:rsid w:val="00AF5B65"/>
    <w:rsid w:val="00AF7959"/>
    <w:rsid w:val="00AF7E88"/>
    <w:rsid w:val="00B0032D"/>
    <w:rsid w:val="00B0328E"/>
    <w:rsid w:val="00B035EF"/>
    <w:rsid w:val="00B03603"/>
    <w:rsid w:val="00B05DDC"/>
    <w:rsid w:val="00B0679A"/>
    <w:rsid w:val="00B0776D"/>
    <w:rsid w:val="00B14B9E"/>
    <w:rsid w:val="00B14D7D"/>
    <w:rsid w:val="00B16307"/>
    <w:rsid w:val="00B206DA"/>
    <w:rsid w:val="00B22BD5"/>
    <w:rsid w:val="00B22CF4"/>
    <w:rsid w:val="00B260A7"/>
    <w:rsid w:val="00B3058E"/>
    <w:rsid w:val="00B31142"/>
    <w:rsid w:val="00B333F7"/>
    <w:rsid w:val="00B4000E"/>
    <w:rsid w:val="00B40F9A"/>
    <w:rsid w:val="00B51DDE"/>
    <w:rsid w:val="00B54D1A"/>
    <w:rsid w:val="00B5611E"/>
    <w:rsid w:val="00B60FA6"/>
    <w:rsid w:val="00B613EC"/>
    <w:rsid w:val="00B62ED2"/>
    <w:rsid w:val="00B64E87"/>
    <w:rsid w:val="00B666FC"/>
    <w:rsid w:val="00B66A00"/>
    <w:rsid w:val="00B67214"/>
    <w:rsid w:val="00B7235A"/>
    <w:rsid w:val="00B726B5"/>
    <w:rsid w:val="00B73DFD"/>
    <w:rsid w:val="00B74626"/>
    <w:rsid w:val="00B86CE7"/>
    <w:rsid w:val="00B9040D"/>
    <w:rsid w:val="00B90D64"/>
    <w:rsid w:val="00B93A37"/>
    <w:rsid w:val="00B97D6C"/>
    <w:rsid w:val="00BA01CB"/>
    <w:rsid w:val="00BA5F55"/>
    <w:rsid w:val="00BA69D5"/>
    <w:rsid w:val="00BA74B4"/>
    <w:rsid w:val="00BB09F7"/>
    <w:rsid w:val="00BB3C15"/>
    <w:rsid w:val="00BB5178"/>
    <w:rsid w:val="00BB65E4"/>
    <w:rsid w:val="00BC0FD9"/>
    <w:rsid w:val="00BC1B98"/>
    <w:rsid w:val="00BC7C3E"/>
    <w:rsid w:val="00BD4D92"/>
    <w:rsid w:val="00BD5387"/>
    <w:rsid w:val="00BD54B4"/>
    <w:rsid w:val="00BE52AE"/>
    <w:rsid w:val="00BE6AED"/>
    <w:rsid w:val="00BF30F8"/>
    <w:rsid w:val="00BF71FB"/>
    <w:rsid w:val="00BF733E"/>
    <w:rsid w:val="00C01374"/>
    <w:rsid w:val="00C06338"/>
    <w:rsid w:val="00C063EF"/>
    <w:rsid w:val="00C16D65"/>
    <w:rsid w:val="00C20ED9"/>
    <w:rsid w:val="00C22C1B"/>
    <w:rsid w:val="00C230BB"/>
    <w:rsid w:val="00C244A0"/>
    <w:rsid w:val="00C26617"/>
    <w:rsid w:val="00C32027"/>
    <w:rsid w:val="00C3238B"/>
    <w:rsid w:val="00C330E6"/>
    <w:rsid w:val="00C356E3"/>
    <w:rsid w:val="00C476E5"/>
    <w:rsid w:val="00C5176C"/>
    <w:rsid w:val="00C60361"/>
    <w:rsid w:val="00C61ADB"/>
    <w:rsid w:val="00C6500C"/>
    <w:rsid w:val="00C67B32"/>
    <w:rsid w:val="00C71E9E"/>
    <w:rsid w:val="00C733D6"/>
    <w:rsid w:val="00C77045"/>
    <w:rsid w:val="00C7710B"/>
    <w:rsid w:val="00C77611"/>
    <w:rsid w:val="00C811B7"/>
    <w:rsid w:val="00C82570"/>
    <w:rsid w:val="00C855BE"/>
    <w:rsid w:val="00C87042"/>
    <w:rsid w:val="00C903F7"/>
    <w:rsid w:val="00C92CB4"/>
    <w:rsid w:val="00C954CF"/>
    <w:rsid w:val="00C979FA"/>
    <w:rsid w:val="00C97AA8"/>
    <w:rsid w:val="00CA3448"/>
    <w:rsid w:val="00CB31C2"/>
    <w:rsid w:val="00CB374B"/>
    <w:rsid w:val="00CB6D2A"/>
    <w:rsid w:val="00CB7FF1"/>
    <w:rsid w:val="00CC530C"/>
    <w:rsid w:val="00CC585C"/>
    <w:rsid w:val="00CD3A31"/>
    <w:rsid w:val="00CD46A0"/>
    <w:rsid w:val="00CD779F"/>
    <w:rsid w:val="00CD7BB8"/>
    <w:rsid w:val="00CE128B"/>
    <w:rsid w:val="00CE6FDC"/>
    <w:rsid w:val="00CF0540"/>
    <w:rsid w:val="00CF0AC5"/>
    <w:rsid w:val="00CF468F"/>
    <w:rsid w:val="00CF4CFA"/>
    <w:rsid w:val="00CF64A8"/>
    <w:rsid w:val="00D00B1D"/>
    <w:rsid w:val="00D10108"/>
    <w:rsid w:val="00D106C8"/>
    <w:rsid w:val="00D12317"/>
    <w:rsid w:val="00D2457C"/>
    <w:rsid w:val="00D248B1"/>
    <w:rsid w:val="00D25FC2"/>
    <w:rsid w:val="00D3037D"/>
    <w:rsid w:val="00D30596"/>
    <w:rsid w:val="00D31040"/>
    <w:rsid w:val="00D46687"/>
    <w:rsid w:val="00D47A89"/>
    <w:rsid w:val="00D600BE"/>
    <w:rsid w:val="00D60CB7"/>
    <w:rsid w:val="00D61EDC"/>
    <w:rsid w:val="00D61FC1"/>
    <w:rsid w:val="00D64597"/>
    <w:rsid w:val="00D74075"/>
    <w:rsid w:val="00D8285B"/>
    <w:rsid w:val="00D83EDB"/>
    <w:rsid w:val="00D850B5"/>
    <w:rsid w:val="00D87D14"/>
    <w:rsid w:val="00D90677"/>
    <w:rsid w:val="00D9093A"/>
    <w:rsid w:val="00D91274"/>
    <w:rsid w:val="00D933B3"/>
    <w:rsid w:val="00D93C5A"/>
    <w:rsid w:val="00D95CAE"/>
    <w:rsid w:val="00D96ACD"/>
    <w:rsid w:val="00DA1781"/>
    <w:rsid w:val="00DA204D"/>
    <w:rsid w:val="00DA26B9"/>
    <w:rsid w:val="00DA26F7"/>
    <w:rsid w:val="00DA5F9A"/>
    <w:rsid w:val="00DB1479"/>
    <w:rsid w:val="00DB1572"/>
    <w:rsid w:val="00DB3C78"/>
    <w:rsid w:val="00DC3A0F"/>
    <w:rsid w:val="00DD421C"/>
    <w:rsid w:val="00DD7393"/>
    <w:rsid w:val="00DE0956"/>
    <w:rsid w:val="00DF1870"/>
    <w:rsid w:val="00DF43B2"/>
    <w:rsid w:val="00E03B42"/>
    <w:rsid w:val="00E054E3"/>
    <w:rsid w:val="00E06A9F"/>
    <w:rsid w:val="00E11EB6"/>
    <w:rsid w:val="00E1258C"/>
    <w:rsid w:val="00E15B7E"/>
    <w:rsid w:val="00E16D65"/>
    <w:rsid w:val="00E214B7"/>
    <w:rsid w:val="00E21544"/>
    <w:rsid w:val="00E240FE"/>
    <w:rsid w:val="00E253FA"/>
    <w:rsid w:val="00E3052E"/>
    <w:rsid w:val="00E3057F"/>
    <w:rsid w:val="00E328A2"/>
    <w:rsid w:val="00E35E2E"/>
    <w:rsid w:val="00E36590"/>
    <w:rsid w:val="00E412AE"/>
    <w:rsid w:val="00E46CDD"/>
    <w:rsid w:val="00E5193E"/>
    <w:rsid w:val="00E55549"/>
    <w:rsid w:val="00E57E2B"/>
    <w:rsid w:val="00E61095"/>
    <w:rsid w:val="00E66150"/>
    <w:rsid w:val="00E71D7D"/>
    <w:rsid w:val="00E71E94"/>
    <w:rsid w:val="00E76818"/>
    <w:rsid w:val="00E82C58"/>
    <w:rsid w:val="00E87C19"/>
    <w:rsid w:val="00E87F38"/>
    <w:rsid w:val="00E91488"/>
    <w:rsid w:val="00E93D7C"/>
    <w:rsid w:val="00E95E15"/>
    <w:rsid w:val="00E95E43"/>
    <w:rsid w:val="00E97043"/>
    <w:rsid w:val="00EA1B26"/>
    <w:rsid w:val="00EA3B04"/>
    <w:rsid w:val="00EA7404"/>
    <w:rsid w:val="00EA79A2"/>
    <w:rsid w:val="00EB3451"/>
    <w:rsid w:val="00EB3E8B"/>
    <w:rsid w:val="00EC5927"/>
    <w:rsid w:val="00EC6F1A"/>
    <w:rsid w:val="00ED32AC"/>
    <w:rsid w:val="00ED4755"/>
    <w:rsid w:val="00ED5E6F"/>
    <w:rsid w:val="00EE20B9"/>
    <w:rsid w:val="00EE32D3"/>
    <w:rsid w:val="00EE4FAD"/>
    <w:rsid w:val="00F002F5"/>
    <w:rsid w:val="00F006A0"/>
    <w:rsid w:val="00F04EC1"/>
    <w:rsid w:val="00F069A9"/>
    <w:rsid w:val="00F13662"/>
    <w:rsid w:val="00F14C51"/>
    <w:rsid w:val="00F15612"/>
    <w:rsid w:val="00F167D2"/>
    <w:rsid w:val="00F20E50"/>
    <w:rsid w:val="00F271A7"/>
    <w:rsid w:val="00F40D88"/>
    <w:rsid w:val="00F4414A"/>
    <w:rsid w:val="00F5084D"/>
    <w:rsid w:val="00F50E3F"/>
    <w:rsid w:val="00F51B44"/>
    <w:rsid w:val="00F52A77"/>
    <w:rsid w:val="00F543C3"/>
    <w:rsid w:val="00F57365"/>
    <w:rsid w:val="00F5744C"/>
    <w:rsid w:val="00F61D81"/>
    <w:rsid w:val="00F65676"/>
    <w:rsid w:val="00F72627"/>
    <w:rsid w:val="00F74B47"/>
    <w:rsid w:val="00F80117"/>
    <w:rsid w:val="00F8176F"/>
    <w:rsid w:val="00F841EC"/>
    <w:rsid w:val="00F944EE"/>
    <w:rsid w:val="00F94B82"/>
    <w:rsid w:val="00FA0231"/>
    <w:rsid w:val="00FA6D3D"/>
    <w:rsid w:val="00FB32F3"/>
    <w:rsid w:val="00FB3A5F"/>
    <w:rsid w:val="00FC380A"/>
    <w:rsid w:val="00FD1206"/>
    <w:rsid w:val="00FD15E2"/>
    <w:rsid w:val="00FE0853"/>
    <w:rsid w:val="00FE5B00"/>
    <w:rsid w:val="00FF0C16"/>
    <w:rsid w:val="00FF4172"/>
    <w:rsid w:val="00FF7F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B39DF5"/>
  <w15:docId w15:val="{01176942-4A3D-4517-BECB-7136A164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A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85B"/>
    <w:pPr>
      <w:ind w:left="720"/>
      <w:contextualSpacing/>
    </w:pPr>
  </w:style>
  <w:style w:type="table" w:styleId="TableGrid">
    <w:name w:val="Table Grid"/>
    <w:basedOn w:val="TableNormal"/>
    <w:uiPriority w:val="39"/>
    <w:rsid w:val="00506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82C58"/>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Light1">
    <w:name w:val="Table Grid Light1"/>
    <w:basedOn w:val="TableNormal"/>
    <w:uiPriority w:val="40"/>
    <w:rsid w:val="00910D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840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078"/>
    <w:rPr>
      <w:rFonts w:ascii="Lucida Grande" w:hAnsi="Lucida Grande" w:cs="Lucida Grande"/>
      <w:sz w:val="18"/>
      <w:szCs w:val="18"/>
    </w:rPr>
  </w:style>
  <w:style w:type="character" w:styleId="Hyperlink">
    <w:name w:val="Hyperlink"/>
    <w:rsid w:val="00293DE7"/>
    <w:rPr>
      <w:color w:val="0000FF"/>
      <w:u w:val="single"/>
    </w:rPr>
  </w:style>
  <w:style w:type="paragraph" w:styleId="CommentText">
    <w:name w:val="annotation text"/>
    <w:basedOn w:val="Normal"/>
    <w:link w:val="CommentTextChar"/>
    <w:uiPriority w:val="99"/>
    <w:semiHidden/>
    <w:unhideWhenUsed/>
    <w:rsid w:val="004B2768"/>
    <w:pPr>
      <w:spacing w:line="240" w:lineRule="auto"/>
    </w:pPr>
    <w:rPr>
      <w:rFonts w:ascii="Calibri" w:hAnsi="Calibri" w:cs="Times New Roman"/>
      <w:sz w:val="20"/>
      <w:szCs w:val="20"/>
      <w:lang w:eastAsia="en-GB"/>
    </w:rPr>
  </w:style>
  <w:style w:type="character" w:customStyle="1" w:styleId="CommentTextChar">
    <w:name w:val="Comment Text Char"/>
    <w:basedOn w:val="DefaultParagraphFont"/>
    <w:link w:val="CommentText"/>
    <w:uiPriority w:val="99"/>
    <w:semiHidden/>
    <w:rsid w:val="004B2768"/>
    <w:rPr>
      <w:rFonts w:ascii="Calibri" w:hAnsi="Calibri" w:cs="Times New Roman"/>
      <w:sz w:val="20"/>
      <w:szCs w:val="20"/>
      <w:lang w:eastAsia="en-GB"/>
    </w:rPr>
  </w:style>
  <w:style w:type="paragraph" w:customStyle="1" w:styleId="Default">
    <w:name w:val="Default"/>
    <w:rsid w:val="00912F8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E6029"/>
    <w:rPr>
      <w:sz w:val="16"/>
      <w:szCs w:val="16"/>
    </w:rPr>
  </w:style>
  <w:style w:type="paragraph" w:styleId="CommentSubject">
    <w:name w:val="annotation subject"/>
    <w:basedOn w:val="CommentText"/>
    <w:next w:val="CommentText"/>
    <w:link w:val="CommentSubjectChar"/>
    <w:uiPriority w:val="99"/>
    <w:semiHidden/>
    <w:unhideWhenUsed/>
    <w:rsid w:val="00C67B32"/>
    <w:rPr>
      <w:rFonts w:ascii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C67B32"/>
    <w:rPr>
      <w:rFonts w:ascii="Calibri"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7503">
      <w:bodyDiv w:val="1"/>
      <w:marLeft w:val="0"/>
      <w:marRight w:val="0"/>
      <w:marTop w:val="0"/>
      <w:marBottom w:val="0"/>
      <w:divBdr>
        <w:top w:val="none" w:sz="0" w:space="0" w:color="auto"/>
        <w:left w:val="none" w:sz="0" w:space="0" w:color="auto"/>
        <w:bottom w:val="none" w:sz="0" w:space="0" w:color="auto"/>
        <w:right w:val="none" w:sz="0" w:space="0" w:color="auto"/>
      </w:divBdr>
    </w:div>
    <w:div w:id="15617506">
      <w:bodyDiv w:val="1"/>
      <w:marLeft w:val="0"/>
      <w:marRight w:val="0"/>
      <w:marTop w:val="0"/>
      <w:marBottom w:val="0"/>
      <w:divBdr>
        <w:top w:val="none" w:sz="0" w:space="0" w:color="auto"/>
        <w:left w:val="none" w:sz="0" w:space="0" w:color="auto"/>
        <w:bottom w:val="none" w:sz="0" w:space="0" w:color="auto"/>
        <w:right w:val="none" w:sz="0" w:space="0" w:color="auto"/>
      </w:divBdr>
    </w:div>
    <w:div w:id="45951476">
      <w:bodyDiv w:val="1"/>
      <w:marLeft w:val="120"/>
      <w:marRight w:val="120"/>
      <w:marTop w:val="0"/>
      <w:marBottom w:val="0"/>
      <w:divBdr>
        <w:top w:val="none" w:sz="0" w:space="0" w:color="auto"/>
        <w:left w:val="none" w:sz="0" w:space="0" w:color="auto"/>
        <w:bottom w:val="none" w:sz="0" w:space="0" w:color="auto"/>
        <w:right w:val="none" w:sz="0" w:space="0" w:color="auto"/>
      </w:divBdr>
      <w:divsChild>
        <w:div w:id="1289511476">
          <w:marLeft w:val="0"/>
          <w:marRight w:val="0"/>
          <w:marTop w:val="0"/>
          <w:marBottom w:val="0"/>
          <w:divBdr>
            <w:top w:val="none" w:sz="0" w:space="0" w:color="auto"/>
            <w:left w:val="none" w:sz="0" w:space="0" w:color="auto"/>
            <w:bottom w:val="none" w:sz="0" w:space="0" w:color="auto"/>
            <w:right w:val="none" w:sz="0" w:space="0" w:color="auto"/>
          </w:divBdr>
          <w:divsChild>
            <w:div w:id="12025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617">
      <w:bodyDiv w:val="1"/>
      <w:marLeft w:val="0"/>
      <w:marRight w:val="0"/>
      <w:marTop w:val="0"/>
      <w:marBottom w:val="0"/>
      <w:divBdr>
        <w:top w:val="none" w:sz="0" w:space="0" w:color="auto"/>
        <w:left w:val="none" w:sz="0" w:space="0" w:color="auto"/>
        <w:bottom w:val="none" w:sz="0" w:space="0" w:color="auto"/>
        <w:right w:val="none" w:sz="0" w:space="0" w:color="auto"/>
      </w:divBdr>
    </w:div>
    <w:div w:id="133567456">
      <w:bodyDiv w:val="1"/>
      <w:marLeft w:val="120"/>
      <w:marRight w:val="120"/>
      <w:marTop w:val="0"/>
      <w:marBottom w:val="0"/>
      <w:divBdr>
        <w:top w:val="none" w:sz="0" w:space="0" w:color="auto"/>
        <w:left w:val="none" w:sz="0" w:space="0" w:color="auto"/>
        <w:bottom w:val="none" w:sz="0" w:space="0" w:color="auto"/>
        <w:right w:val="none" w:sz="0" w:space="0" w:color="auto"/>
      </w:divBdr>
      <w:divsChild>
        <w:div w:id="1790857632">
          <w:marLeft w:val="0"/>
          <w:marRight w:val="0"/>
          <w:marTop w:val="0"/>
          <w:marBottom w:val="0"/>
          <w:divBdr>
            <w:top w:val="none" w:sz="0" w:space="0" w:color="auto"/>
            <w:left w:val="none" w:sz="0" w:space="0" w:color="auto"/>
            <w:bottom w:val="none" w:sz="0" w:space="0" w:color="auto"/>
            <w:right w:val="none" w:sz="0" w:space="0" w:color="auto"/>
          </w:divBdr>
          <w:divsChild>
            <w:div w:id="11902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8833">
      <w:bodyDiv w:val="1"/>
      <w:marLeft w:val="0"/>
      <w:marRight w:val="0"/>
      <w:marTop w:val="0"/>
      <w:marBottom w:val="0"/>
      <w:divBdr>
        <w:top w:val="none" w:sz="0" w:space="0" w:color="auto"/>
        <w:left w:val="none" w:sz="0" w:space="0" w:color="auto"/>
        <w:bottom w:val="none" w:sz="0" w:space="0" w:color="auto"/>
        <w:right w:val="none" w:sz="0" w:space="0" w:color="auto"/>
      </w:divBdr>
    </w:div>
    <w:div w:id="275794644">
      <w:bodyDiv w:val="1"/>
      <w:marLeft w:val="0"/>
      <w:marRight w:val="0"/>
      <w:marTop w:val="0"/>
      <w:marBottom w:val="0"/>
      <w:divBdr>
        <w:top w:val="none" w:sz="0" w:space="0" w:color="auto"/>
        <w:left w:val="none" w:sz="0" w:space="0" w:color="auto"/>
        <w:bottom w:val="none" w:sz="0" w:space="0" w:color="auto"/>
        <w:right w:val="none" w:sz="0" w:space="0" w:color="auto"/>
      </w:divBdr>
      <w:divsChild>
        <w:div w:id="1691300197">
          <w:marLeft w:val="0"/>
          <w:marRight w:val="0"/>
          <w:marTop w:val="0"/>
          <w:marBottom w:val="0"/>
          <w:divBdr>
            <w:top w:val="none" w:sz="0" w:space="0" w:color="auto"/>
            <w:left w:val="none" w:sz="0" w:space="0" w:color="auto"/>
            <w:bottom w:val="none" w:sz="0" w:space="0" w:color="auto"/>
            <w:right w:val="none" w:sz="0" w:space="0" w:color="auto"/>
          </w:divBdr>
        </w:div>
      </w:divsChild>
    </w:div>
    <w:div w:id="339620086">
      <w:bodyDiv w:val="1"/>
      <w:marLeft w:val="0"/>
      <w:marRight w:val="0"/>
      <w:marTop w:val="0"/>
      <w:marBottom w:val="0"/>
      <w:divBdr>
        <w:top w:val="none" w:sz="0" w:space="0" w:color="auto"/>
        <w:left w:val="none" w:sz="0" w:space="0" w:color="auto"/>
        <w:bottom w:val="none" w:sz="0" w:space="0" w:color="auto"/>
        <w:right w:val="none" w:sz="0" w:space="0" w:color="auto"/>
      </w:divBdr>
      <w:divsChild>
        <w:div w:id="1171525363">
          <w:marLeft w:val="45"/>
          <w:marRight w:val="45"/>
          <w:marTop w:val="0"/>
          <w:marBottom w:val="0"/>
          <w:divBdr>
            <w:top w:val="none" w:sz="0" w:space="0" w:color="auto"/>
            <w:left w:val="none" w:sz="0" w:space="0" w:color="auto"/>
            <w:bottom w:val="none" w:sz="0" w:space="0" w:color="auto"/>
            <w:right w:val="none" w:sz="0" w:space="0" w:color="auto"/>
          </w:divBdr>
          <w:divsChild>
            <w:div w:id="7863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067604">
      <w:bodyDiv w:val="1"/>
      <w:marLeft w:val="0"/>
      <w:marRight w:val="0"/>
      <w:marTop w:val="0"/>
      <w:marBottom w:val="0"/>
      <w:divBdr>
        <w:top w:val="none" w:sz="0" w:space="0" w:color="auto"/>
        <w:left w:val="none" w:sz="0" w:space="0" w:color="auto"/>
        <w:bottom w:val="none" w:sz="0" w:space="0" w:color="auto"/>
        <w:right w:val="none" w:sz="0" w:space="0" w:color="auto"/>
      </w:divBdr>
    </w:div>
    <w:div w:id="501235368">
      <w:bodyDiv w:val="1"/>
      <w:marLeft w:val="0"/>
      <w:marRight w:val="0"/>
      <w:marTop w:val="0"/>
      <w:marBottom w:val="0"/>
      <w:divBdr>
        <w:top w:val="none" w:sz="0" w:space="0" w:color="auto"/>
        <w:left w:val="none" w:sz="0" w:space="0" w:color="auto"/>
        <w:bottom w:val="none" w:sz="0" w:space="0" w:color="auto"/>
        <w:right w:val="none" w:sz="0" w:space="0" w:color="auto"/>
      </w:divBdr>
      <w:divsChild>
        <w:div w:id="711660144">
          <w:marLeft w:val="330"/>
          <w:marRight w:val="330"/>
          <w:marTop w:val="30"/>
          <w:marBottom w:val="180"/>
          <w:divBdr>
            <w:top w:val="none" w:sz="0" w:space="0" w:color="auto"/>
            <w:left w:val="none" w:sz="0" w:space="0" w:color="auto"/>
            <w:bottom w:val="none" w:sz="0" w:space="0" w:color="auto"/>
            <w:right w:val="none" w:sz="0" w:space="0" w:color="auto"/>
          </w:divBdr>
        </w:div>
        <w:div w:id="1879854770">
          <w:marLeft w:val="330"/>
          <w:marRight w:val="330"/>
          <w:marTop w:val="0"/>
          <w:marBottom w:val="330"/>
          <w:divBdr>
            <w:top w:val="none" w:sz="0" w:space="0" w:color="auto"/>
            <w:left w:val="none" w:sz="0" w:space="0" w:color="auto"/>
            <w:bottom w:val="none" w:sz="0" w:space="0" w:color="auto"/>
            <w:right w:val="none" w:sz="0" w:space="0" w:color="auto"/>
          </w:divBdr>
        </w:div>
        <w:div w:id="1847208954">
          <w:marLeft w:val="330"/>
          <w:marRight w:val="330"/>
          <w:marTop w:val="0"/>
          <w:marBottom w:val="330"/>
          <w:divBdr>
            <w:top w:val="none" w:sz="0" w:space="0" w:color="auto"/>
            <w:left w:val="none" w:sz="0" w:space="0" w:color="auto"/>
            <w:bottom w:val="none" w:sz="0" w:space="0" w:color="auto"/>
            <w:right w:val="none" w:sz="0" w:space="0" w:color="auto"/>
          </w:divBdr>
          <w:divsChild>
            <w:div w:id="86035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1504">
      <w:bodyDiv w:val="1"/>
      <w:marLeft w:val="0"/>
      <w:marRight w:val="0"/>
      <w:marTop w:val="0"/>
      <w:marBottom w:val="0"/>
      <w:divBdr>
        <w:top w:val="none" w:sz="0" w:space="0" w:color="auto"/>
        <w:left w:val="none" w:sz="0" w:space="0" w:color="auto"/>
        <w:bottom w:val="none" w:sz="0" w:space="0" w:color="auto"/>
        <w:right w:val="none" w:sz="0" w:space="0" w:color="auto"/>
      </w:divBdr>
    </w:div>
    <w:div w:id="655305569">
      <w:bodyDiv w:val="1"/>
      <w:marLeft w:val="0"/>
      <w:marRight w:val="0"/>
      <w:marTop w:val="0"/>
      <w:marBottom w:val="0"/>
      <w:divBdr>
        <w:top w:val="none" w:sz="0" w:space="0" w:color="auto"/>
        <w:left w:val="none" w:sz="0" w:space="0" w:color="auto"/>
        <w:bottom w:val="none" w:sz="0" w:space="0" w:color="auto"/>
        <w:right w:val="none" w:sz="0" w:space="0" w:color="auto"/>
      </w:divBdr>
    </w:div>
    <w:div w:id="667438072">
      <w:bodyDiv w:val="1"/>
      <w:marLeft w:val="0"/>
      <w:marRight w:val="0"/>
      <w:marTop w:val="0"/>
      <w:marBottom w:val="0"/>
      <w:divBdr>
        <w:top w:val="none" w:sz="0" w:space="0" w:color="auto"/>
        <w:left w:val="none" w:sz="0" w:space="0" w:color="auto"/>
        <w:bottom w:val="none" w:sz="0" w:space="0" w:color="auto"/>
        <w:right w:val="none" w:sz="0" w:space="0" w:color="auto"/>
      </w:divBdr>
    </w:div>
    <w:div w:id="733312874">
      <w:bodyDiv w:val="1"/>
      <w:marLeft w:val="0"/>
      <w:marRight w:val="0"/>
      <w:marTop w:val="0"/>
      <w:marBottom w:val="0"/>
      <w:divBdr>
        <w:top w:val="none" w:sz="0" w:space="0" w:color="auto"/>
        <w:left w:val="none" w:sz="0" w:space="0" w:color="auto"/>
        <w:bottom w:val="none" w:sz="0" w:space="0" w:color="auto"/>
        <w:right w:val="none" w:sz="0" w:space="0" w:color="auto"/>
      </w:divBdr>
    </w:div>
    <w:div w:id="829948298">
      <w:bodyDiv w:val="1"/>
      <w:marLeft w:val="0"/>
      <w:marRight w:val="0"/>
      <w:marTop w:val="0"/>
      <w:marBottom w:val="0"/>
      <w:divBdr>
        <w:top w:val="none" w:sz="0" w:space="0" w:color="auto"/>
        <w:left w:val="none" w:sz="0" w:space="0" w:color="auto"/>
        <w:bottom w:val="none" w:sz="0" w:space="0" w:color="auto"/>
        <w:right w:val="none" w:sz="0" w:space="0" w:color="auto"/>
      </w:divBdr>
    </w:div>
    <w:div w:id="872888639">
      <w:bodyDiv w:val="1"/>
      <w:marLeft w:val="0"/>
      <w:marRight w:val="0"/>
      <w:marTop w:val="0"/>
      <w:marBottom w:val="0"/>
      <w:divBdr>
        <w:top w:val="none" w:sz="0" w:space="0" w:color="auto"/>
        <w:left w:val="none" w:sz="0" w:space="0" w:color="auto"/>
        <w:bottom w:val="none" w:sz="0" w:space="0" w:color="auto"/>
        <w:right w:val="none" w:sz="0" w:space="0" w:color="auto"/>
      </w:divBdr>
    </w:div>
    <w:div w:id="980307577">
      <w:bodyDiv w:val="1"/>
      <w:marLeft w:val="0"/>
      <w:marRight w:val="0"/>
      <w:marTop w:val="0"/>
      <w:marBottom w:val="0"/>
      <w:divBdr>
        <w:top w:val="none" w:sz="0" w:space="0" w:color="auto"/>
        <w:left w:val="none" w:sz="0" w:space="0" w:color="auto"/>
        <w:bottom w:val="none" w:sz="0" w:space="0" w:color="auto"/>
        <w:right w:val="none" w:sz="0" w:space="0" w:color="auto"/>
      </w:divBdr>
      <w:divsChild>
        <w:div w:id="1992518255">
          <w:marLeft w:val="330"/>
          <w:marRight w:val="330"/>
          <w:marTop w:val="30"/>
          <w:marBottom w:val="180"/>
          <w:divBdr>
            <w:top w:val="none" w:sz="0" w:space="0" w:color="auto"/>
            <w:left w:val="none" w:sz="0" w:space="0" w:color="auto"/>
            <w:bottom w:val="none" w:sz="0" w:space="0" w:color="auto"/>
            <w:right w:val="none" w:sz="0" w:space="0" w:color="auto"/>
          </w:divBdr>
        </w:div>
        <w:div w:id="1543833300">
          <w:marLeft w:val="330"/>
          <w:marRight w:val="330"/>
          <w:marTop w:val="0"/>
          <w:marBottom w:val="330"/>
          <w:divBdr>
            <w:top w:val="none" w:sz="0" w:space="0" w:color="auto"/>
            <w:left w:val="none" w:sz="0" w:space="0" w:color="auto"/>
            <w:bottom w:val="none" w:sz="0" w:space="0" w:color="auto"/>
            <w:right w:val="none" w:sz="0" w:space="0" w:color="auto"/>
          </w:divBdr>
        </w:div>
        <w:div w:id="1475954257">
          <w:marLeft w:val="330"/>
          <w:marRight w:val="330"/>
          <w:marTop w:val="0"/>
          <w:marBottom w:val="330"/>
          <w:divBdr>
            <w:top w:val="none" w:sz="0" w:space="0" w:color="auto"/>
            <w:left w:val="none" w:sz="0" w:space="0" w:color="auto"/>
            <w:bottom w:val="none" w:sz="0" w:space="0" w:color="auto"/>
            <w:right w:val="none" w:sz="0" w:space="0" w:color="auto"/>
          </w:divBdr>
          <w:divsChild>
            <w:div w:id="2434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5193">
      <w:bodyDiv w:val="1"/>
      <w:marLeft w:val="0"/>
      <w:marRight w:val="0"/>
      <w:marTop w:val="0"/>
      <w:marBottom w:val="0"/>
      <w:divBdr>
        <w:top w:val="none" w:sz="0" w:space="0" w:color="auto"/>
        <w:left w:val="none" w:sz="0" w:space="0" w:color="auto"/>
        <w:bottom w:val="none" w:sz="0" w:space="0" w:color="auto"/>
        <w:right w:val="none" w:sz="0" w:space="0" w:color="auto"/>
      </w:divBdr>
    </w:div>
    <w:div w:id="1123616710">
      <w:bodyDiv w:val="1"/>
      <w:marLeft w:val="0"/>
      <w:marRight w:val="0"/>
      <w:marTop w:val="0"/>
      <w:marBottom w:val="0"/>
      <w:divBdr>
        <w:top w:val="none" w:sz="0" w:space="0" w:color="auto"/>
        <w:left w:val="none" w:sz="0" w:space="0" w:color="auto"/>
        <w:bottom w:val="none" w:sz="0" w:space="0" w:color="auto"/>
        <w:right w:val="none" w:sz="0" w:space="0" w:color="auto"/>
      </w:divBdr>
    </w:div>
    <w:div w:id="1203403197">
      <w:bodyDiv w:val="1"/>
      <w:marLeft w:val="120"/>
      <w:marRight w:val="120"/>
      <w:marTop w:val="0"/>
      <w:marBottom w:val="0"/>
      <w:divBdr>
        <w:top w:val="none" w:sz="0" w:space="0" w:color="auto"/>
        <w:left w:val="none" w:sz="0" w:space="0" w:color="auto"/>
        <w:bottom w:val="none" w:sz="0" w:space="0" w:color="auto"/>
        <w:right w:val="none" w:sz="0" w:space="0" w:color="auto"/>
      </w:divBdr>
      <w:divsChild>
        <w:div w:id="1983732481">
          <w:marLeft w:val="0"/>
          <w:marRight w:val="0"/>
          <w:marTop w:val="0"/>
          <w:marBottom w:val="0"/>
          <w:divBdr>
            <w:top w:val="none" w:sz="0" w:space="0" w:color="auto"/>
            <w:left w:val="none" w:sz="0" w:space="0" w:color="auto"/>
            <w:bottom w:val="none" w:sz="0" w:space="0" w:color="auto"/>
            <w:right w:val="none" w:sz="0" w:space="0" w:color="auto"/>
          </w:divBdr>
          <w:divsChild>
            <w:div w:id="16648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5673">
      <w:bodyDiv w:val="1"/>
      <w:marLeft w:val="120"/>
      <w:marRight w:val="120"/>
      <w:marTop w:val="0"/>
      <w:marBottom w:val="0"/>
      <w:divBdr>
        <w:top w:val="none" w:sz="0" w:space="0" w:color="auto"/>
        <w:left w:val="none" w:sz="0" w:space="0" w:color="auto"/>
        <w:bottom w:val="none" w:sz="0" w:space="0" w:color="auto"/>
        <w:right w:val="none" w:sz="0" w:space="0" w:color="auto"/>
      </w:divBdr>
      <w:divsChild>
        <w:div w:id="168298041">
          <w:marLeft w:val="0"/>
          <w:marRight w:val="0"/>
          <w:marTop w:val="0"/>
          <w:marBottom w:val="0"/>
          <w:divBdr>
            <w:top w:val="none" w:sz="0" w:space="0" w:color="auto"/>
            <w:left w:val="none" w:sz="0" w:space="0" w:color="auto"/>
            <w:bottom w:val="none" w:sz="0" w:space="0" w:color="auto"/>
            <w:right w:val="none" w:sz="0" w:space="0" w:color="auto"/>
          </w:divBdr>
          <w:divsChild>
            <w:div w:id="16735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6626">
      <w:bodyDiv w:val="1"/>
      <w:marLeft w:val="0"/>
      <w:marRight w:val="0"/>
      <w:marTop w:val="0"/>
      <w:marBottom w:val="0"/>
      <w:divBdr>
        <w:top w:val="none" w:sz="0" w:space="0" w:color="auto"/>
        <w:left w:val="none" w:sz="0" w:space="0" w:color="auto"/>
        <w:bottom w:val="none" w:sz="0" w:space="0" w:color="auto"/>
        <w:right w:val="none" w:sz="0" w:space="0" w:color="auto"/>
      </w:divBdr>
    </w:div>
    <w:div w:id="1317033303">
      <w:bodyDiv w:val="1"/>
      <w:marLeft w:val="0"/>
      <w:marRight w:val="0"/>
      <w:marTop w:val="0"/>
      <w:marBottom w:val="0"/>
      <w:divBdr>
        <w:top w:val="none" w:sz="0" w:space="0" w:color="auto"/>
        <w:left w:val="none" w:sz="0" w:space="0" w:color="auto"/>
        <w:bottom w:val="none" w:sz="0" w:space="0" w:color="auto"/>
        <w:right w:val="none" w:sz="0" w:space="0" w:color="auto"/>
      </w:divBdr>
    </w:div>
    <w:div w:id="1358460644">
      <w:bodyDiv w:val="1"/>
      <w:marLeft w:val="0"/>
      <w:marRight w:val="0"/>
      <w:marTop w:val="0"/>
      <w:marBottom w:val="0"/>
      <w:divBdr>
        <w:top w:val="none" w:sz="0" w:space="0" w:color="auto"/>
        <w:left w:val="none" w:sz="0" w:space="0" w:color="auto"/>
        <w:bottom w:val="none" w:sz="0" w:space="0" w:color="auto"/>
        <w:right w:val="none" w:sz="0" w:space="0" w:color="auto"/>
      </w:divBdr>
    </w:div>
    <w:div w:id="1480223246">
      <w:bodyDiv w:val="1"/>
      <w:marLeft w:val="0"/>
      <w:marRight w:val="0"/>
      <w:marTop w:val="0"/>
      <w:marBottom w:val="0"/>
      <w:divBdr>
        <w:top w:val="none" w:sz="0" w:space="0" w:color="auto"/>
        <w:left w:val="none" w:sz="0" w:space="0" w:color="auto"/>
        <w:bottom w:val="none" w:sz="0" w:space="0" w:color="auto"/>
        <w:right w:val="none" w:sz="0" w:space="0" w:color="auto"/>
      </w:divBdr>
    </w:div>
    <w:div w:id="1746953022">
      <w:bodyDiv w:val="1"/>
      <w:marLeft w:val="120"/>
      <w:marRight w:val="120"/>
      <w:marTop w:val="0"/>
      <w:marBottom w:val="0"/>
      <w:divBdr>
        <w:top w:val="none" w:sz="0" w:space="0" w:color="auto"/>
        <w:left w:val="none" w:sz="0" w:space="0" w:color="auto"/>
        <w:bottom w:val="none" w:sz="0" w:space="0" w:color="auto"/>
        <w:right w:val="none" w:sz="0" w:space="0" w:color="auto"/>
      </w:divBdr>
      <w:divsChild>
        <w:div w:id="1320958809">
          <w:marLeft w:val="0"/>
          <w:marRight w:val="0"/>
          <w:marTop w:val="0"/>
          <w:marBottom w:val="0"/>
          <w:divBdr>
            <w:top w:val="none" w:sz="0" w:space="0" w:color="auto"/>
            <w:left w:val="none" w:sz="0" w:space="0" w:color="auto"/>
            <w:bottom w:val="none" w:sz="0" w:space="0" w:color="auto"/>
            <w:right w:val="none" w:sz="0" w:space="0" w:color="auto"/>
          </w:divBdr>
          <w:divsChild>
            <w:div w:id="176144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124">
      <w:bodyDiv w:val="1"/>
      <w:marLeft w:val="0"/>
      <w:marRight w:val="0"/>
      <w:marTop w:val="0"/>
      <w:marBottom w:val="0"/>
      <w:divBdr>
        <w:top w:val="none" w:sz="0" w:space="0" w:color="auto"/>
        <w:left w:val="none" w:sz="0" w:space="0" w:color="auto"/>
        <w:bottom w:val="none" w:sz="0" w:space="0" w:color="auto"/>
        <w:right w:val="none" w:sz="0" w:space="0" w:color="auto"/>
      </w:divBdr>
    </w:div>
    <w:div w:id="1863544754">
      <w:bodyDiv w:val="1"/>
      <w:marLeft w:val="0"/>
      <w:marRight w:val="0"/>
      <w:marTop w:val="0"/>
      <w:marBottom w:val="0"/>
      <w:divBdr>
        <w:top w:val="none" w:sz="0" w:space="0" w:color="auto"/>
        <w:left w:val="none" w:sz="0" w:space="0" w:color="auto"/>
        <w:bottom w:val="none" w:sz="0" w:space="0" w:color="auto"/>
        <w:right w:val="none" w:sz="0" w:space="0" w:color="auto"/>
      </w:divBdr>
      <w:divsChild>
        <w:div w:id="965044688">
          <w:marLeft w:val="45"/>
          <w:marRight w:val="45"/>
          <w:marTop w:val="0"/>
          <w:marBottom w:val="0"/>
          <w:divBdr>
            <w:top w:val="none" w:sz="0" w:space="0" w:color="auto"/>
            <w:left w:val="none" w:sz="0" w:space="0" w:color="auto"/>
            <w:bottom w:val="none" w:sz="0" w:space="0" w:color="auto"/>
            <w:right w:val="none" w:sz="0" w:space="0" w:color="auto"/>
          </w:divBdr>
          <w:divsChild>
            <w:div w:id="5200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5792">
      <w:bodyDiv w:val="1"/>
      <w:marLeft w:val="0"/>
      <w:marRight w:val="0"/>
      <w:marTop w:val="0"/>
      <w:marBottom w:val="0"/>
      <w:divBdr>
        <w:top w:val="none" w:sz="0" w:space="0" w:color="auto"/>
        <w:left w:val="none" w:sz="0" w:space="0" w:color="auto"/>
        <w:bottom w:val="none" w:sz="0" w:space="0" w:color="auto"/>
        <w:right w:val="none" w:sz="0" w:space="0" w:color="auto"/>
      </w:divBdr>
    </w:div>
    <w:div w:id="1948612696">
      <w:bodyDiv w:val="1"/>
      <w:marLeft w:val="0"/>
      <w:marRight w:val="0"/>
      <w:marTop w:val="0"/>
      <w:marBottom w:val="0"/>
      <w:divBdr>
        <w:top w:val="none" w:sz="0" w:space="0" w:color="auto"/>
        <w:left w:val="none" w:sz="0" w:space="0" w:color="auto"/>
        <w:bottom w:val="none" w:sz="0" w:space="0" w:color="auto"/>
        <w:right w:val="none" w:sz="0" w:space="0" w:color="auto"/>
      </w:divBdr>
    </w:div>
    <w:div w:id="1977024803">
      <w:bodyDiv w:val="1"/>
      <w:marLeft w:val="0"/>
      <w:marRight w:val="0"/>
      <w:marTop w:val="0"/>
      <w:marBottom w:val="0"/>
      <w:divBdr>
        <w:top w:val="none" w:sz="0" w:space="0" w:color="auto"/>
        <w:left w:val="none" w:sz="0" w:space="0" w:color="auto"/>
        <w:bottom w:val="none" w:sz="0" w:space="0" w:color="auto"/>
        <w:right w:val="none" w:sz="0" w:space="0" w:color="auto"/>
      </w:divBdr>
    </w:div>
    <w:div w:id="1984499413">
      <w:bodyDiv w:val="1"/>
      <w:marLeft w:val="120"/>
      <w:marRight w:val="120"/>
      <w:marTop w:val="0"/>
      <w:marBottom w:val="0"/>
      <w:divBdr>
        <w:top w:val="none" w:sz="0" w:space="0" w:color="auto"/>
        <w:left w:val="none" w:sz="0" w:space="0" w:color="auto"/>
        <w:bottom w:val="none" w:sz="0" w:space="0" w:color="auto"/>
        <w:right w:val="none" w:sz="0" w:space="0" w:color="auto"/>
      </w:divBdr>
      <w:divsChild>
        <w:div w:id="1570846100">
          <w:marLeft w:val="0"/>
          <w:marRight w:val="0"/>
          <w:marTop w:val="0"/>
          <w:marBottom w:val="0"/>
          <w:divBdr>
            <w:top w:val="none" w:sz="0" w:space="0" w:color="auto"/>
            <w:left w:val="none" w:sz="0" w:space="0" w:color="auto"/>
            <w:bottom w:val="none" w:sz="0" w:space="0" w:color="auto"/>
            <w:right w:val="none" w:sz="0" w:space="0" w:color="auto"/>
          </w:divBdr>
          <w:divsChild>
            <w:div w:id="19256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1223">
      <w:bodyDiv w:val="1"/>
      <w:marLeft w:val="0"/>
      <w:marRight w:val="0"/>
      <w:marTop w:val="0"/>
      <w:marBottom w:val="0"/>
      <w:divBdr>
        <w:top w:val="none" w:sz="0" w:space="0" w:color="auto"/>
        <w:left w:val="none" w:sz="0" w:space="0" w:color="auto"/>
        <w:bottom w:val="none" w:sz="0" w:space="0" w:color="auto"/>
        <w:right w:val="none" w:sz="0" w:space="0" w:color="auto"/>
      </w:divBdr>
    </w:div>
    <w:div w:id="2086684819">
      <w:bodyDiv w:val="1"/>
      <w:marLeft w:val="0"/>
      <w:marRight w:val="0"/>
      <w:marTop w:val="0"/>
      <w:marBottom w:val="0"/>
      <w:divBdr>
        <w:top w:val="none" w:sz="0" w:space="0" w:color="auto"/>
        <w:left w:val="none" w:sz="0" w:space="0" w:color="auto"/>
        <w:bottom w:val="none" w:sz="0" w:space="0" w:color="auto"/>
        <w:right w:val="none" w:sz="0" w:space="0" w:color="auto"/>
      </w:divBdr>
    </w:div>
    <w:div w:id="211478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downloads/AboutFDA/CentersOffices/CDER/UCM203014.pdf&amp;keyword=hiv-viral-load-management" TargetMode="External"/><Relationship Id="rId3" Type="http://schemas.openxmlformats.org/officeDocument/2006/relationships/settings" Target="settings.xml"/><Relationship Id="rId7" Type="http://schemas.openxmlformats.org/officeDocument/2006/relationships/hyperlink" Target="http://dx.doi.org/10.2471/BLT.13.1276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faccess.org" TargetMode="External"/><Relationship Id="rId5" Type="http://schemas.openxmlformats.org/officeDocument/2006/relationships/hyperlink" Target="https://www.york.ac.uk/media/che/documents/papers/researchpapers/CHERP109_cost-effectiveness_threshold_LMIC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520AD1DA.dotm</Template>
  <TotalTime>0</TotalTime>
  <Pages>28</Pages>
  <Words>9796</Words>
  <Characters>55841</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Paul Revill</cp:lastModifiedBy>
  <cp:revision>2</cp:revision>
  <cp:lastPrinted>2015-12-11T14:25:00Z</cp:lastPrinted>
  <dcterms:created xsi:type="dcterms:W3CDTF">2016-12-14T15:16:00Z</dcterms:created>
  <dcterms:modified xsi:type="dcterms:W3CDTF">2016-12-14T15:16:00Z</dcterms:modified>
</cp:coreProperties>
</file>