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90F62" w14:textId="77777777" w:rsidR="001E349C" w:rsidRPr="001E349C" w:rsidRDefault="001E349C" w:rsidP="001E349C">
      <w:pPr>
        <w:jc w:val="both"/>
        <w:rPr>
          <w:rFonts w:ascii="Garamond" w:hAnsi="Garamond"/>
          <w:b/>
        </w:rPr>
      </w:pPr>
      <w:r w:rsidRPr="001E349C">
        <w:rPr>
          <w:rFonts w:ascii="Garamond" w:hAnsi="Garamond"/>
          <w:b/>
        </w:rPr>
        <w:t>Jeremy L. Smith, Verse &amp; Voice in Byrd’s Song Collections of 1588</w:t>
      </w:r>
      <w:r w:rsidRPr="001E349C">
        <w:rPr>
          <w:rFonts w:ascii="Garamond" w:hAnsi="Garamond"/>
          <w:b/>
        </w:rPr>
        <w:t xml:space="preserve"> </w:t>
      </w:r>
      <w:r w:rsidRPr="001E349C">
        <w:rPr>
          <w:rFonts w:ascii="Garamond" w:hAnsi="Garamond"/>
          <w:b/>
        </w:rPr>
        <w:t>and 1589, Woodbridge: The Boydell Press, 2016, pp. 337, £60, ISBN:</w:t>
      </w:r>
      <w:r w:rsidRPr="001E349C">
        <w:rPr>
          <w:rFonts w:ascii="Garamond" w:hAnsi="Garamond"/>
          <w:b/>
        </w:rPr>
        <w:t xml:space="preserve"> </w:t>
      </w:r>
      <w:r w:rsidRPr="001E349C">
        <w:rPr>
          <w:rFonts w:ascii="Garamond" w:hAnsi="Garamond"/>
          <w:b/>
        </w:rPr>
        <w:t>978-1-78327-082-8</w:t>
      </w:r>
    </w:p>
    <w:p w14:paraId="17DFE55E" w14:textId="77777777" w:rsidR="001E349C" w:rsidRPr="001E349C" w:rsidRDefault="001E349C" w:rsidP="001E349C">
      <w:pPr>
        <w:jc w:val="both"/>
        <w:rPr>
          <w:rFonts w:ascii="Garamond" w:hAnsi="Garamond"/>
        </w:rPr>
      </w:pPr>
    </w:p>
    <w:p w14:paraId="036EF48F" w14:textId="77777777" w:rsidR="001E349C" w:rsidRPr="001E349C" w:rsidRDefault="001E349C" w:rsidP="001E349C">
      <w:pPr>
        <w:jc w:val="both"/>
        <w:rPr>
          <w:rFonts w:ascii="Garamond" w:hAnsi="Garamond"/>
        </w:rPr>
      </w:pPr>
      <w:r w:rsidRPr="001E349C">
        <w:rPr>
          <w:rFonts w:ascii="Garamond" w:hAnsi="Garamond"/>
        </w:rPr>
        <w:t>In 1976, Hugh Aveling declared in the Handle and the Axe that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so-called Catholic ‘apologists...have always done their best to prove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that recusants provided most of the glory of the Elizabethan age’,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citing the example of William Byrd. This, he continued, was ‘special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pleading’ because Byrd himself was a ‘conformist and most of his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religious compositions were for the Anglican liturgy’. Moreover, 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concluded dismissively, ‘the creative achievements of...English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Catholics are much what we should expect of a small nonconformist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community’. Thankfully, recent scholars have demonstrated the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importance of English Catholics and their creative achievements for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the literature, music and politics of the age. Furthermore,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musicologists including John Harley, Joseph Kerman, Craig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Monson and Kerry McCarthy have significantly enhanced our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understanding of Byrd’s position as a Catholic recusant, loyal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servant of the Crown, and vital cultural figure in Elizabethan and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Jacobean religious politics. Much of this scholarship has focused on</w:t>
      </w:r>
      <w:r w:rsidRPr="001E349C"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Byrd’s Latin-texted works, and in this monograph Jeremy Smith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crucially adds to this picture, by exploring the moral, religious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and political messages Byrd chose to express through his music in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English.</w:t>
      </w:r>
    </w:p>
    <w:p w14:paraId="52A8C845" w14:textId="77777777" w:rsidR="001E349C" w:rsidRPr="001E349C" w:rsidRDefault="001E349C" w:rsidP="001E349C">
      <w:pPr>
        <w:jc w:val="both"/>
        <w:rPr>
          <w:rFonts w:ascii="Garamond" w:hAnsi="Garamond"/>
        </w:rPr>
      </w:pPr>
    </w:p>
    <w:p w14:paraId="3017F35B" w14:textId="77777777" w:rsidR="001E349C" w:rsidRPr="001E349C" w:rsidRDefault="001E349C" w:rsidP="001E349C">
      <w:pPr>
        <w:jc w:val="both"/>
        <w:rPr>
          <w:rFonts w:ascii="Garamond" w:hAnsi="Garamond"/>
        </w:rPr>
      </w:pPr>
      <w:r w:rsidRPr="001E349C">
        <w:rPr>
          <w:rFonts w:ascii="Garamond" w:hAnsi="Garamond"/>
        </w:rPr>
        <w:t>Smith analyses Byrd’s two English song collection</w:t>
      </w:r>
      <w:r>
        <w:rPr>
          <w:rFonts w:ascii="Garamond" w:hAnsi="Garamond"/>
        </w:rPr>
        <w:t xml:space="preserve">s: Psalmes, Sonets </w:t>
      </w:r>
      <w:r w:rsidRPr="001E349C">
        <w:rPr>
          <w:rFonts w:ascii="Garamond" w:hAnsi="Garamond"/>
        </w:rPr>
        <w:t>and Songs (1588) and Songs of sundrie natures (1589), never before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reflected upon in their entirety. Byrd’s publications are explored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sequentially across nine chapters (with an introduction and conclusion),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and Smith uncovers the hitherto unnoticed story that Byrd intended to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convey. He firmly rejects any remaining claims that Byrd was somehow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‘unliterary’, demonstrating Byrd’s involvement with a significant musico-literary coterie that included figures such as Philip Sidney, Thomas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Watson and Edmund Spenser.</w:t>
      </w:r>
    </w:p>
    <w:p w14:paraId="21DFC04E" w14:textId="77777777" w:rsidR="001E349C" w:rsidRPr="001E349C" w:rsidRDefault="001E349C" w:rsidP="001E349C">
      <w:pPr>
        <w:jc w:val="both"/>
        <w:rPr>
          <w:rFonts w:ascii="Garamond" w:hAnsi="Garamond"/>
        </w:rPr>
      </w:pPr>
    </w:p>
    <w:p w14:paraId="1FE12670" w14:textId="77777777" w:rsidR="001E349C" w:rsidRPr="001E349C" w:rsidRDefault="001E349C" w:rsidP="001E349C">
      <w:pPr>
        <w:jc w:val="both"/>
        <w:rPr>
          <w:rFonts w:ascii="Garamond" w:hAnsi="Garamond"/>
        </w:rPr>
      </w:pPr>
      <w:r w:rsidRPr="001E349C">
        <w:rPr>
          <w:rFonts w:ascii="Garamond" w:hAnsi="Garamond"/>
        </w:rPr>
        <w:t>Throughout the collections, B</w:t>
      </w:r>
      <w:r>
        <w:rPr>
          <w:rFonts w:ascii="Garamond" w:hAnsi="Garamond"/>
        </w:rPr>
        <w:t xml:space="preserve">yrd freely manipulated poems to </w:t>
      </w:r>
      <w:r w:rsidRPr="001E349C">
        <w:rPr>
          <w:rFonts w:ascii="Garamond" w:hAnsi="Garamond"/>
        </w:rPr>
        <w:t>serve his own agenda without concern for their original author.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One of the main reasons for this, Smith argues, was his imagined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discourse with the Queen – vital when venturing into the public arena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of print. Byrd made plain that he was a loyal servant: Elizabeth is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portrayed as goddess in “Though Amarillis”; as Virgin Queen -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‘a mayden chast’ - in “Who likes to love”; and in “An earthly tree” the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allusion to Christ’s royal stature was intended as a compliment for the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monarch.</w:t>
      </w:r>
    </w:p>
    <w:p w14:paraId="1B8C4FB6" w14:textId="77777777" w:rsidR="001E349C" w:rsidRPr="001E349C" w:rsidRDefault="001E349C" w:rsidP="001E349C">
      <w:pPr>
        <w:jc w:val="both"/>
        <w:rPr>
          <w:rFonts w:ascii="Garamond" w:hAnsi="Garamond"/>
        </w:rPr>
      </w:pPr>
    </w:p>
    <w:p w14:paraId="70DAB55B" w14:textId="77777777" w:rsidR="001E349C" w:rsidRPr="001E349C" w:rsidRDefault="001E349C" w:rsidP="001E349C">
      <w:pPr>
        <w:jc w:val="both"/>
        <w:rPr>
          <w:rFonts w:ascii="Garamond" w:hAnsi="Garamond"/>
        </w:rPr>
      </w:pPr>
      <w:r w:rsidRPr="001E349C">
        <w:rPr>
          <w:rFonts w:ascii="Garamond" w:hAnsi="Garamond"/>
        </w:rPr>
        <w:t>At the same time, Byrd conveyed his deep commitment to his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Catholic faith. Smith argues that Byrd’s treatment of “Susanna” in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both the 1588 and 1589 collections provided an outlet for Catholics to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mourn their fallen heroine, Mary Queen of Scots. Byrd also lamented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the execution of Edmund Campion by setting the first verse of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Henry Walpole’s well-known poem “Why do I use my paper, ink and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pen” to music, as well as setting two subsequent verses which, as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Smith explains, are unique to Byrd’s setting. Byrd also recycled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melodies such as the Alleluia Christus resurgens chant from the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outlawed Sarum rite within the pair of English anthems “Christ rising -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Christ is risen again” to bring the 1589 collection to a close on a firmly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Catholic note. Smith also demonstrates how Byrd utilised temporal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dynamics to invoke the controversial doctrine of purgatory in “If in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thine” and “Unto the hills”. In the latter, Byrd embroiled himself in the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heated debates about Churching, where he argued that the theological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ideas supported by the Established Church, in the face of puritan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attacks, could be traced back to uniquely Catholic positions on the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afterlife.</w:t>
      </w:r>
    </w:p>
    <w:p w14:paraId="116C65C3" w14:textId="77777777" w:rsidR="001E349C" w:rsidRPr="001E349C" w:rsidRDefault="001E349C" w:rsidP="001E349C">
      <w:pPr>
        <w:jc w:val="both"/>
        <w:rPr>
          <w:rFonts w:ascii="Garamond" w:hAnsi="Garamond"/>
        </w:rPr>
      </w:pPr>
    </w:p>
    <w:p w14:paraId="0688AD81" w14:textId="77777777" w:rsidR="001E349C" w:rsidRPr="001E349C" w:rsidRDefault="001E349C" w:rsidP="001E349C">
      <w:pPr>
        <w:jc w:val="both"/>
        <w:rPr>
          <w:rFonts w:ascii="Garamond" w:hAnsi="Garamond"/>
        </w:rPr>
      </w:pPr>
      <w:r w:rsidRPr="001E349C">
        <w:rPr>
          <w:rFonts w:ascii="Garamond" w:hAnsi="Garamond"/>
        </w:rPr>
        <w:t>In so doing, Smith argues, Byrd hoped to highlight for the Queen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the similarities in their views, showing her that he was closer to her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than members of the puritan faction. Courtly politics is present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throughout the collection, with the model courtier emerging in the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form of Sir Philip Sidney. Byrd was explicit in his memorial to the</w:t>
      </w:r>
      <w:r w:rsidRPr="001E349C"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poet-soldier, dubbing the last two work</w:t>
      </w:r>
      <w:r>
        <w:rPr>
          <w:rFonts w:ascii="Garamond" w:hAnsi="Garamond"/>
        </w:rPr>
        <w:t xml:space="preserve">s of the </w:t>
      </w:r>
      <w:r>
        <w:rPr>
          <w:rFonts w:ascii="Garamond" w:hAnsi="Garamond"/>
        </w:rPr>
        <w:lastRenderedPageBreak/>
        <w:t xml:space="preserve">entire 1588 collection </w:t>
      </w:r>
      <w:r w:rsidRPr="001E349C">
        <w:rPr>
          <w:rFonts w:ascii="Garamond" w:hAnsi="Garamond"/>
        </w:rPr>
        <w:t>“funerall songs of Sir Philip Sidney”. Smith argues that these songs and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those beginning the 1589 collection form the ‘dilatory space’ of the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narrative. It is at this moment that Sidney himself steps figuratively into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the story as ‘Philon’ in “While that the sun”. Moreover, although cast as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muse in the 1588 collection (“Constant Penelope”), Lady Penelope Rich,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Smith argues, was presented in 1589 as someone Sidney needed to reject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in order to fulfil the requirements of a good death. With this deliverance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Byrd hoped to transcend ‘courtly factionalism and embrace the divided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English nation as a whole’ (p.190).</w:t>
      </w:r>
    </w:p>
    <w:p w14:paraId="4474E22A" w14:textId="77777777" w:rsidR="001E349C" w:rsidRPr="001E349C" w:rsidRDefault="001E349C" w:rsidP="001E349C">
      <w:pPr>
        <w:jc w:val="both"/>
        <w:rPr>
          <w:rFonts w:ascii="Garamond" w:hAnsi="Garamond"/>
        </w:rPr>
      </w:pPr>
    </w:p>
    <w:p w14:paraId="531536DB" w14:textId="77777777" w:rsidR="001E349C" w:rsidRPr="001E349C" w:rsidRDefault="001E349C" w:rsidP="001E349C">
      <w:pPr>
        <w:jc w:val="both"/>
        <w:rPr>
          <w:rFonts w:ascii="Garamond" w:hAnsi="Garamond"/>
        </w:rPr>
      </w:pPr>
      <w:r w:rsidRPr="001E349C">
        <w:rPr>
          <w:rFonts w:ascii="Garamond" w:hAnsi="Garamond"/>
        </w:rPr>
        <w:t>The call for unity extended beyond the court in Byrd’s narrative, as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he used the character of Hob in “Who made thee Hob, forsake the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plough?” to prepare the way for an audience with Elizabeth. This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audience was required in order</w:t>
      </w:r>
      <w:r>
        <w:rPr>
          <w:rFonts w:ascii="Garamond" w:hAnsi="Garamond"/>
        </w:rPr>
        <w:t xml:space="preserve"> for Byrd to promote an image of </w:t>
      </w:r>
      <w:r w:rsidRPr="001E349C">
        <w:rPr>
          <w:rFonts w:ascii="Garamond" w:hAnsi="Garamond"/>
        </w:rPr>
        <w:t>religious unity and fellowship. To really make his point, Byrd ‘set the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stage’ and found ‘within his lexical and musical material the means of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depicting a divided state’ (p.238). He did this, for example, by creating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significant contrasts in his songs when they were approached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sequentially such as placing a sonnet blazon “Of Gold” after a carol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“From Virgin’s womb” at the close of his songs for five parts (1589).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Moreover, the sonnet is in a musical style appropriate for a Catholic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hymn, and his carol conforms very much to the style of a Protestant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verse anthem. Smith has therefore unearthed what seems to be a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remarkable plea by Byrd in these collections for a form of confessional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tolerance.</w:t>
      </w:r>
    </w:p>
    <w:p w14:paraId="6FE641FA" w14:textId="77777777" w:rsidR="001E349C" w:rsidRPr="001E349C" w:rsidRDefault="001E349C" w:rsidP="001E349C">
      <w:pPr>
        <w:jc w:val="both"/>
        <w:rPr>
          <w:rFonts w:ascii="Garamond" w:hAnsi="Garamond"/>
        </w:rPr>
      </w:pPr>
    </w:p>
    <w:p w14:paraId="6F7E0C87" w14:textId="77777777" w:rsidR="001E349C" w:rsidRPr="001E349C" w:rsidRDefault="001E349C" w:rsidP="001E349C">
      <w:pPr>
        <w:jc w:val="both"/>
        <w:rPr>
          <w:rFonts w:ascii="Garamond" w:hAnsi="Garamond"/>
        </w:rPr>
      </w:pPr>
      <w:r w:rsidRPr="001E349C">
        <w:rPr>
          <w:rFonts w:ascii="Garamond" w:hAnsi="Garamond"/>
        </w:rPr>
        <w:t>Smith’s argument for the narrative arrangement of the entirety of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this collection is compelling, and I was left wondering if we knew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anything about the manuscript reception of his songs in sequence.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Despite Smith’s assertion that the 1588 and 1589 collections are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‘practically unperformable in a continuous sequence’ (p.283), it seems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important that new recordings are commissioned of the pieces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performed consecutively, as Byrd intended.</w:t>
      </w:r>
    </w:p>
    <w:p w14:paraId="51B388DC" w14:textId="77777777" w:rsidR="001E349C" w:rsidRPr="001E349C" w:rsidRDefault="001E349C" w:rsidP="001E349C">
      <w:pPr>
        <w:jc w:val="both"/>
        <w:rPr>
          <w:rFonts w:ascii="Garamond" w:hAnsi="Garamond"/>
        </w:rPr>
      </w:pPr>
    </w:p>
    <w:p w14:paraId="6F963676" w14:textId="77777777" w:rsidR="001E349C" w:rsidRPr="001E349C" w:rsidRDefault="001E349C" w:rsidP="001E349C">
      <w:pPr>
        <w:jc w:val="both"/>
        <w:rPr>
          <w:rFonts w:ascii="Garamond" w:hAnsi="Garamond"/>
        </w:rPr>
      </w:pPr>
      <w:r w:rsidRPr="001E349C">
        <w:rPr>
          <w:rFonts w:ascii="Garamond" w:hAnsi="Garamond"/>
        </w:rPr>
        <w:t>Byrd, Smith concludes, was ground-breaking, ‘establishing new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standards in composition and opening, through example, new vistas of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opportunity for other composers to explore’ (p.295). In a similar way,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Smith also provides ‘new vistas of opportunity’ for historians of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Catholicism and early modern England. Through music, William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 xml:space="preserve">Byrd expressed devotion, engaged </w:t>
      </w:r>
      <w:r>
        <w:rPr>
          <w:rFonts w:ascii="Garamond" w:hAnsi="Garamond"/>
        </w:rPr>
        <w:t xml:space="preserve">with religious polemic, and, it </w:t>
      </w:r>
      <w:r w:rsidRPr="001E349C">
        <w:rPr>
          <w:rFonts w:ascii="Garamond" w:hAnsi="Garamond"/>
        </w:rPr>
        <w:t>seems, petitioned the Queen herself for a form of toleration, or at the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 xml:space="preserve">very least for confessional ‘unity and fellowship’. </w:t>
      </w:r>
      <w:r w:rsidRPr="001E349C">
        <w:rPr>
          <w:rFonts w:ascii="Garamond" w:hAnsi="Garamond"/>
          <w:i/>
        </w:rPr>
        <w:t>Voice and Verse</w:t>
      </w:r>
      <w:r w:rsidRPr="001E349C">
        <w:rPr>
          <w:rFonts w:ascii="Garamond" w:hAnsi="Garamond"/>
        </w:rPr>
        <w:t xml:space="preserve"> is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vital reading for musicologists, contains much of great value for</w:t>
      </w:r>
      <w:r>
        <w:rPr>
          <w:rFonts w:ascii="Garamond" w:hAnsi="Garamond"/>
        </w:rPr>
        <w:t xml:space="preserve"> </w:t>
      </w:r>
      <w:r w:rsidRPr="001E349C">
        <w:rPr>
          <w:rFonts w:ascii="Garamond" w:hAnsi="Garamond"/>
        </w:rPr>
        <w:t>literary scholars, and must not be neglected by historians.</w:t>
      </w:r>
    </w:p>
    <w:p w14:paraId="70B44533" w14:textId="77777777" w:rsidR="001E349C" w:rsidRPr="001E349C" w:rsidRDefault="001E349C" w:rsidP="001E349C">
      <w:pPr>
        <w:jc w:val="both"/>
        <w:rPr>
          <w:rFonts w:ascii="Garamond" w:hAnsi="Garamond"/>
        </w:rPr>
      </w:pPr>
    </w:p>
    <w:p w14:paraId="4ECFAAF0" w14:textId="77777777" w:rsidR="00894D09" w:rsidRPr="001E349C" w:rsidRDefault="001E349C" w:rsidP="001E349C">
      <w:pPr>
        <w:jc w:val="both"/>
        <w:rPr>
          <w:rFonts w:ascii="Garamond" w:hAnsi="Garamond"/>
          <w:b/>
        </w:rPr>
      </w:pPr>
      <w:r w:rsidRPr="001E349C">
        <w:rPr>
          <w:rFonts w:ascii="Garamond" w:hAnsi="Garamond"/>
          <w:i/>
        </w:rPr>
        <w:t>National University of Ireland, Galway</w:t>
      </w:r>
      <w:r w:rsidRPr="001E349C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bookmarkStart w:id="0" w:name="_GoBack"/>
      <w:bookmarkEnd w:id="0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</w:t>
      </w:r>
      <w:r w:rsidRPr="001E349C">
        <w:rPr>
          <w:rFonts w:ascii="Garamond" w:hAnsi="Garamond"/>
        </w:rPr>
        <w:t>Emile K. M. Murphy</w:t>
      </w:r>
    </w:p>
    <w:sectPr w:rsidR="00894D09" w:rsidRPr="001E349C" w:rsidSect="003D68A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9C"/>
    <w:rsid w:val="001E349C"/>
    <w:rsid w:val="003D68AA"/>
    <w:rsid w:val="0043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ECE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1112</Words>
  <Characters>5727</Characters>
  <Application>Microsoft Macintosh Word</Application>
  <DocSecurity>0</DocSecurity>
  <Lines>97</Lines>
  <Paragraphs>10</Paragraphs>
  <ScaleCrop>false</ScaleCrop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ekmmurphy@gmail.com</dc:creator>
  <cp:keywords/>
  <dc:description/>
  <cp:lastModifiedBy>ekmmurphy@gmail.com</cp:lastModifiedBy>
  <cp:revision>1</cp:revision>
  <dcterms:created xsi:type="dcterms:W3CDTF">2016-11-14T15:02:00Z</dcterms:created>
  <dcterms:modified xsi:type="dcterms:W3CDTF">2016-11-14T15:07:00Z</dcterms:modified>
</cp:coreProperties>
</file>