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D56F9" w14:textId="0CFDC308" w:rsidR="005F2CFC" w:rsidRPr="006E70FD" w:rsidRDefault="00376531" w:rsidP="008A4E9D">
      <w:pPr>
        <w:spacing w:line="480" w:lineRule="auto"/>
        <w:jc w:val="center"/>
        <w:rPr>
          <w:rFonts w:ascii="Palatino Linotype" w:hAnsi="Palatino Linotype"/>
          <w:b/>
          <w:i/>
        </w:rPr>
      </w:pPr>
      <w:r w:rsidRPr="006E70FD">
        <w:rPr>
          <w:rFonts w:ascii="Palatino Linotype" w:hAnsi="Palatino Linotype"/>
          <w:b/>
          <w:i/>
        </w:rPr>
        <w:t>Short title: Literacy in SSD</w:t>
      </w:r>
    </w:p>
    <w:p w14:paraId="7DF27A13" w14:textId="32440E1D" w:rsidR="00EE7B19" w:rsidRPr="00EE7B19" w:rsidRDefault="00FF0B3F" w:rsidP="008A4E9D">
      <w:pPr>
        <w:spacing w:line="480" w:lineRule="auto"/>
        <w:jc w:val="center"/>
        <w:rPr>
          <w:rFonts w:ascii="Palatino Linotype" w:hAnsi="Palatino Linotype"/>
          <w:b/>
        </w:rPr>
      </w:pPr>
      <w:r w:rsidRPr="00EE7B19">
        <w:rPr>
          <w:rFonts w:ascii="Palatino Linotype" w:hAnsi="Palatino Linotype"/>
          <w:b/>
        </w:rPr>
        <w:t xml:space="preserve">When does </w:t>
      </w:r>
      <w:r w:rsidR="00D43E9A">
        <w:rPr>
          <w:rFonts w:ascii="Palatino Linotype" w:hAnsi="Palatino Linotype"/>
          <w:b/>
        </w:rPr>
        <w:t>speech sound disorder</w:t>
      </w:r>
      <w:r w:rsidR="00D43E9A" w:rsidRPr="00EE7B19">
        <w:rPr>
          <w:rFonts w:ascii="Palatino Linotype" w:hAnsi="Palatino Linotype"/>
          <w:b/>
        </w:rPr>
        <w:t xml:space="preserve"> </w:t>
      </w:r>
      <w:r w:rsidRPr="00EE7B19">
        <w:rPr>
          <w:rFonts w:ascii="Palatino Linotype" w:hAnsi="Palatino Linotype"/>
          <w:b/>
        </w:rPr>
        <w:t xml:space="preserve">matter for literacy? </w:t>
      </w:r>
      <w:r w:rsidR="00980E3C" w:rsidRPr="00EE7B19">
        <w:rPr>
          <w:rFonts w:ascii="Palatino Linotype" w:hAnsi="Palatino Linotype"/>
          <w:b/>
        </w:rPr>
        <w:t xml:space="preserve">The </w:t>
      </w:r>
      <w:r w:rsidR="00EE7B19">
        <w:rPr>
          <w:rFonts w:ascii="Palatino Linotype" w:hAnsi="Palatino Linotype"/>
          <w:b/>
        </w:rPr>
        <w:t>role</w:t>
      </w:r>
      <w:r w:rsidR="00B3306D">
        <w:rPr>
          <w:rFonts w:ascii="Palatino Linotype" w:hAnsi="Palatino Linotype"/>
          <w:b/>
        </w:rPr>
        <w:t xml:space="preserve"> of</w:t>
      </w:r>
      <w:r w:rsidR="00EE7B19">
        <w:rPr>
          <w:rFonts w:ascii="Palatino Linotype" w:hAnsi="Palatino Linotype"/>
          <w:b/>
        </w:rPr>
        <w:t xml:space="preserve"> </w:t>
      </w:r>
      <w:r w:rsidR="009C4103">
        <w:rPr>
          <w:rFonts w:ascii="Palatino Linotype" w:hAnsi="Palatino Linotype"/>
          <w:b/>
        </w:rPr>
        <w:t>disordered speech errors</w:t>
      </w:r>
      <w:r w:rsidR="00580B44" w:rsidRPr="00EE7B19">
        <w:rPr>
          <w:rFonts w:ascii="Palatino Linotype" w:hAnsi="Palatino Linotype"/>
          <w:b/>
        </w:rPr>
        <w:t xml:space="preserve">, co-occurring </w:t>
      </w:r>
      <w:r w:rsidR="00D43E9A">
        <w:rPr>
          <w:rFonts w:ascii="Palatino Linotype" w:hAnsi="Palatino Linotype"/>
          <w:b/>
        </w:rPr>
        <w:t>language impairment</w:t>
      </w:r>
      <w:r w:rsidR="00580B44" w:rsidRPr="00EE7B19">
        <w:rPr>
          <w:rFonts w:ascii="Palatino Linotype" w:hAnsi="Palatino Linotype"/>
          <w:b/>
        </w:rPr>
        <w:t>, and family-risk of dyslexia.</w:t>
      </w:r>
    </w:p>
    <w:p w14:paraId="366BD4AF" w14:textId="4B2C4008" w:rsidR="006E70FD" w:rsidRPr="006E70FD" w:rsidRDefault="00EE7B19" w:rsidP="006E70FD">
      <w:pPr>
        <w:spacing w:after="120" w:line="480" w:lineRule="auto"/>
        <w:jc w:val="center"/>
        <w:rPr>
          <w:b/>
          <w:sz w:val="24"/>
          <w:szCs w:val="24"/>
        </w:rPr>
      </w:pPr>
      <w:r w:rsidRPr="006E70FD">
        <w:rPr>
          <w:b/>
          <w:sz w:val="24"/>
          <w:szCs w:val="24"/>
        </w:rPr>
        <w:t>Marianna E. Hayiou-Thomas</w:t>
      </w:r>
      <w:r w:rsidR="006E70FD" w:rsidRPr="006E70FD">
        <w:rPr>
          <w:b/>
          <w:sz w:val="24"/>
          <w:szCs w:val="24"/>
        </w:rPr>
        <w:t>,</w:t>
      </w:r>
      <w:r w:rsidR="006E70FD" w:rsidRPr="006E70FD">
        <w:rPr>
          <w:b/>
          <w:sz w:val="24"/>
          <w:szCs w:val="24"/>
          <w:vertAlign w:val="superscript"/>
        </w:rPr>
        <w:t xml:space="preserve">1 </w:t>
      </w:r>
      <w:r w:rsidR="009D1C23">
        <w:rPr>
          <w:b/>
          <w:sz w:val="24"/>
          <w:szCs w:val="24"/>
          <w:vertAlign w:val="superscript"/>
        </w:rPr>
        <w:t xml:space="preserve"> </w:t>
      </w:r>
      <w:r w:rsidR="006E70FD" w:rsidRPr="006E70FD">
        <w:rPr>
          <w:b/>
          <w:sz w:val="24"/>
          <w:szCs w:val="24"/>
        </w:rPr>
        <w:t>Julia M. Carroll,</w:t>
      </w:r>
      <w:r w:rsidR="006E70FD" w:rsidRPr="006E70FD">
        <w:rPr>
          <w:b/>
          <w:sz w:val="24"/>
          <w:szCs w:val="24"/>
          <w:vertAlign w:val="superscript"/>
        </w:rPr>
        <w:t xml:space="preserve">2 </w:t>
      </w:r>
      <w:r w:rsidR="006E70FD" w:rsidRPr="006E70FD">
        <w:rPr>
          <w:b/>
          <w:sz w:val="24"/>
          <w:szCs w:val="24"/>
        </w:rPr>
        <w:t>Ruth Leavett,</w:t>
      </w:r>
      <w:r w:rsidR="006E70FD" w:rsidRPr="006E70FD">
        <w:rPr>
          <w:b/>
          <w:sz w:val="24"/>
          <w:szCs w:val="24"/>
          <w:vertAlign w:val="superscript"/>
        </w:rPr>
        <w:t>3</w:t>
      </w:r>
      <w:r w:rsidR="006E70FD" w:rsidRPr="006E70FD">
        <w:rPr>
          <w:b/>
          <w:sz w:val="24"/>
          <w:szCs w:val="24"/>
        </w:rPr>
        <w:t xml:space="preserve"> Charles Hulme,</w:t>
      </w:r>
      <w:r w:rsidR="006E70FD" w:rsidRPr="006E70FD">
        <w:rPr>
          <w:b/>
          <w:sz w:val="24"/>
          <w:szCs w:val="24"/>
          <w:vertAlign w:val="superscript"/>
        </w:rPr>
        <w:t xml:space="preserve">4 </w:t>
      </w:r>
      <w:r w:rsidR="006E70FD" w:rsidRPr="006E70FD">
        <w:rPr>
          <w:b/>
          <w:sz w:val="24"/>
          <w:szCs w:val="24"/>
        </w:rPr>
        <w:t>and Margaret J. Snowling</w:t>
      </w:r>
      <w:r w:rsidR="006E70FD" w:rsidRPr="006E70FD">
        <w:rPr>
          <w:b/>
          <w:sz w:val="24"/>
          <w:szCs w:val="24"/>
          <w:vertAlign w:val="superscript"/>
        </w:rPr>
        <w:t>5</w:t>
      </w:r>
    </w:p>
    <w:p w14:paraId="2432B33D" w14:textId="7DB335FA" w:rsidR="00EE7B19" w:rsidRDefault="00EE7B19" w:rsidP="008A4E9D">
      <w:pPr>
        <w:spacing w:after="120" w:line="480" w:lineRule="auto"/>
        <w:jc w:val="center"/>
        <w:rPr>
          <w:sz w:val="24"/>
          <w:szCs w:val="24"/>
        </w:rPr>
      </w:pPr>
    </w:p>
    <w:p w14:paraId="3ABA6A64" w14:textId="0EC28AB7" w:rsidR="00EF2577" w:rsidRDefault="006E70FD" w:rsidP="008A4E9D">
      <w:pPr>
        <w:spacing w:after="120" w:line="480" w:lineRule="auto"/>
        <w:jc w:val="center"/>
        <w:rPr>
          <w:sz w:val="24"/>
          <w:szCs w:val="24"/>
        </w:rPr>
      </w:pPr>
      <w:r w:rsidRPr="006E70FD">
        <w:rPr>
          <w:sz w:val="24"/>
          <w:szCs w:val="24"/>
          <w:vertAlign w:val="superscript"/>
        </w:rPr>
        <w:t>1</w:t>
      </w:r>
      <w:r w:rsidR="00EF2577">
        <w:rPr>
          <w:sz w:val="24"/>
          <w:szCs w:val="24"/>
        </w:rPr>
        <w:t xml:space="preserve">Department of Psychology, </w:t>
      </w:r>
      <w:r w:rsidR="00D43E9A">
        <w:rPr>
          <w:sz w:val="24"/>
          <w:szCs w:val="24"/>
        </w:rPr>
        <w:t>University of York</w:t>
      </w:r>
      <w:r>
        <w:rPr>
          <w:sz w:val="24"/>
          <w:szCs w:val="24"/>
        </w:rPr>
        <w:t xml:space="preserve">; </w:t>
      </w:r>
      <w:r w:rsidRPr="006E70FD">
        <w:rPr>
          <w:sz w:val="24"/>
          <w:szCs w:val="24"/>
          <w:vertAlign w:val="superscript"/>
        </w:rPr>
        <w:t>2</w:t>
      </w:r>
      <w:r w:rsidR="00EF2577" w:rsidRPr="00EF2577">
        <w:rPr>
          <w:sz w:val="24"/>
          <w:szCs w:val="24"/>
        </w:rPr>
        <w:t>Centre for Research in Psychology, Behaviour and Achievement</w:t>
      </w:r>
      <w:r w:rsidR="00EF2577">
        <w:rPr>
          <w:sz w:val="24"/>
          <w:szCs w:val="24"/>
        </w:rPr>
        <w:t xml:space="preserve">, </w:t>
      </w:r>
      <w:r w:rsidR="00D43E9A">
        <w:rPr>
          <w:sz w:val="24"/>
          <w:szCs w:val="24"/>
        </w:rPr>
        <w:t>Coventry University</w:t>
      </w:r>
      <w:r>
        <w:rPr>
          <w:sz w:val="24"/>
          <w:szCs w:val="24"/>
        </w:rPr>
        <w:t xml:space="preserve">; </w:t>
      </w:r>
      <w:r w:rsidRPr="006E70FD">
        <w:rPr>
          <w:sz w:val="24"/>
          <w:szCs w:val="24"/>
          <w:vertAlign w:val="superscript"/>
        </w:rPr>
        <w:t>3</w:t>
      </w:r>
      <w:r w:rsidR="009D1C23">
        <w:rPr>
          <w:sz w:val="24"/>
          <w:szCs w:val="24"/>
        </w:rPr>
        <w:t xml:space="preserve">Children’s Therapy Service, </w:t>
      </w:r>
      <w:r w:rsidR="009D1C23" w:rsidRPr="009D1C23">
        <w:rPr>
          <w:rFonts w:ascii="Calibri" w:hAnsi="Calibri"/>
          <w:sz w:val="24"/>
          <w:szCs w:val="24"/>
          <w:shd w:val="clear" w:color="auto" w:fill="FFFFFF"/>
        </w:rPr>
        <w:t>York Teaching Hospital NHS Foundation Trust</w:t>
      </w:r>
      <w:r w:rsidRPr="009D1C23">
        <w:rPr>
          <w:sz w:val="24"/>
          <w:szCs w:val="24"/>
        </w:rPr>
        <w:t>;</w:t>
      </w:r>
      <w:r>
        <w:rPr>
          <w:sz w:val="24"/>
          <w:szCs w:val="24"/>
        </w:rPr>
        <w:t xml:space="preserve"> </w:t>
      </w:r>
      <w:r w:rsidRPr="006E70FD">
        <w:rPr>
          <w:sz w:val="24"/>
          <w:szCs w:val="24"/>
          <w:vertAlign w:val="superscript"/>
        </w:rPr>
        <w:t>4</w:t>
      </w:r>
      <w:r w:rsidR="00EF2577" w:rsidRPr="00EF2577">
        <w:rPr>
          <w:sz w:val="24"/>
          <w:szCs w:val="24"/>
        </w:rPr>
        <w:t>Division of Psychology and Language Sciences</w:t>
      </w:r>
      <w:r w:rsidR="00EF2577">
        <w:rPr>
          <w:sz w:val="24"/>
          <w:szCs w:val="24"/>
        </w:rPr>
        <w:t xml:space="preserve">, </w:t>
      </w:r>
      <w:r w:rsidR="00D43E9A">
        <w:rPr>
          <w:sz w:val="24"/>
          <w:szCs w:val="24"/>
        </w:rPr>
        <w:t>University College London</w:t>
      </w:r>
      <w:r>
        <w:rPr>
          <w:sz w:val="24"/>
          <w:szCs w:val="24"/>
        </w:rPr>
        <w:t xml:space="preserve">; </w:t>
      </w:r>
      <w:r w:rsidRPr="006E70FD">
        <w:rPr>
          <w:sz w:val="24"/>
          <w:szCs w:val="24"/>
          <w:vertAlign w:val="superscript"/>
        </w:rPr>
        <w:t>5</w:t>
      </w:r>
      <w:r w:rsidR="009D1C23">
        <w:rPr>
          <w:sz w:val="24"/>
          <w:szCs w:val="24"/>
        </w:rPr>
        <w:t>Department of Experimental Psychology and S</w:t>
      </w:r>
      <w:r w:rsidR="00EF2577" w:rsidRPr="00EF2577">
        <w:rPr>
          <w:sz w:val="24"/>
          <w:szCs w:val="24"/>
        </w:rPr>
        <w:t>t John's College, University of Oxford</w:t>
      </w:r>
    </w:p>
    <w:p w14:paraId="504024A2" w14:textId="77777777" w:rsidR="006E70FD" w:rsidRDefault="006E70FD" w:rsidP="006E70FD">
      <w:pPr>
        <w:spacing w:after="120" w:line="480" w:lineRule="auto"/>
        <w:rPr>
          <w:sz w:val="24"/>
          <w:szCs w:val="24"/>
        </w:rPr>
      </w:pPr>
      <w:bookmarkStart w:id="0" w:name="reftop"/>
      <w:bookmarkEnd w:id="0"/>
    </w:p>
    <w:p w14:paraId="47CA4660" w14:textId="35FA9D74" w:rsidR="006E70FD" w:rsidRDefault="006E70FD" w:rsidP="006E70FD">
      <w:pPr>
        <w:spacing w:after="120" w:line="480" w:lineRule="auto"/>
        <w:rPr>
          <w:sz w:val="24"/>
          <w:szCs w:val="24"/>
        </w:rPr>
      </w:pPr>
      <w:r>
        <w:rPr>
          <w:sz w:val="24"/>
          <w:szCs w:val="24"/>
        </w:rPr>
        <w:t xml:space="preserve">Conflict of interest statement: No conflicts declared. </w:t>
      </w:r>
    </w:p>
    <w:p w14:paraId="7A70F008" w14:textId="77777777" w:rsidR="00EF2577" w:rsidRDefault="00EF2577">
      <w:pPr>
        <w:rPr>
          <w:sz w:val="24"/>
          <w:szCs w:val="24"/>
        </w:rPr>
      </w:pPr>
      <w:r>
        <w:rPr>
          <w:sz w:val="24"/>
          <w:szCs w:val="24"/>
        </w:rPr>
        <w:br w:type="page"/>
      </w:r>
    </w:p>
    <w:p w14:paraId="2EF177C0" w14:textId="77DE36FD" w:rsidR="00D43E9A" w:rsidRDefault="00D43E9A" w:rsidP="008A4E9D">
      <w:pPr>
        <w:spacing w:line="480" w:lineRule="auto"/>
        <w:rPr>
          <w:rFonts w:ascii="Palatino Linotype" w:hAnsi="Palatino Linotype"/>
        </w:rPr>
      </w:pPr>
    </w:p>
    <w:p w14:paraId="4E1C17AC" w14:textId="335CD1CB" w:rsidR="00FF0B3F" w:rsidRPr="00EE7B19" w:rsidRDefault="00D43E9A" w:rsidP="006E70FD">
      <w:pPr>
        <w:spacing w:line="480" w:lineRule="auto"/>
        <w:jc w:val="both"/>
        <w:rPr>
          <w:rFonts w:ascii="Palatino Linotype" w:hAnsi="Palatino Linotype"/>
        </w:rPr>
      </w:pPr>
      <w:r w:rsidRPr="006E70FD">
        <w:rPr>
          <w:rFonts w:ascii="Palatino Linotype" w:hAnsi="Palatino Linotype"/>
          <w:b/>
        </w:rPr>
        <w:t>Background:</w:t>
      </w:r>
      <w:r w:rsidRPr="00EF2577">
        <w:rPr>
          <w:rFonts w:ascii="Palatino Linotype" w:hAnsi="Palatino Linotype"/>
        </w:rPr>
        <w:t xml:space="preserve"> </w:t>
      </w:r>
      <w:r w:rsidR="00C93B86" w:rsidRPr="00EF2577">
        <w:rPr>
          <w:rFonts w:ascii="Palatino Linotype" w:hAnsi="Palatino Linotype"/>
        </w:rPr>
        <w:t>Th</w:t>
      </w:r>
      <w:r w:rsidR="007269C1" w:rsidRPr="00EF2577">
        <w:rPr>
          <w:rFonts w:ascii="Palatino Linotype" w:hAnsi="Palatino Linotype"/>
        </w:rPr>
        <w:t>is</w:t>
      </w:r>
      <w:r w:rsidR="001964DC" w:rsidRPr="00EF2577">
        <w:rPr>
          <w:rFonts w:ascii="Palatino Linotype" w:hAnsi="Palatino Linotype"/>
        </w:rPr>
        <w:t xml:space="preserve"> </w:t>
      </w:r>
      <w:r w:rsidR="00C93B86" w:rsidRPr="00EF2577">
        <w:rPr>
          <w:rFonts w:ascii="Palatino Linotype" w:hAnsi="Palatino Linotype"/>
        </w:rPr>
        <w:t xml:space="preserve">study considers the role of early speech difficulties in literacy development, in the context of additional risk factors. </w:t>
      </w:r>
      <w:r w:rsidRPr="006E70FD">
        <w:rPr>
          <w:rFonts w:ascii="Palatino Linotype" w:hAnsi="Palatino Linotype"/>
          <w:b/>
        </w:rPr>
        <w:t>Method:</w:t>
      </w:r>
      <w:r w:rsidRPr="00EF2577">
        <w:rPr>
          <w:rFonts w:ascii="Palatino Linotype" w:hAnsi="Palatino Linotype"/>
        </w:rPr>
        <w:t xml:space="preserve"> </w:t>
      </w:r>
      <w:r w:rsidR="00C93B86" w:rsidRPr="00EF2577">
        <w:rPr>
          <w:rFonts w:ascii="Palatino Linotype" w:hAnsi="Palatino Linotype"/>
        </w:rPr>
        <w:t xml:space="preserve">Children were identified with </w:t>
      </w:r>
      <w:r w:rsidR="007269C1" w:rsidRPr="00EF2577">
        <w:rPr>
          <w:rFonts w:ascii="Palatino Linotype" w:hAnsi="Palatino Linotype"/>
        </w:rPr>
        <w:t xml:space="preserve">speech-sound disorder </w:t>
      </w:r>
      <w:r w:rsidRPr="00EF2577">
        <w:rPr>
          <w:rFonts w:ascii="Palatino Linotype" w:hAnsi="Palatino Linotype"/>
        </w:rPr>
        <w:t xml:space="preserve">(SSD) </w:t>
      </w:r>
      <w:r w:rsidR="00C93B86" w:rsidRPr="00EF2577">
        <w:rPr>
          <w:rFonts w:ascii="Palatino Linotype" w:hAnsi="Palatino Linotype"/>
        </w:rPr>
        <w:t>at the age of 3½</w:t>
      </w:r>
      <w:r w:rsidR="007269C1" w:rsidRPr="00EF2577">
        <w:rPr>
          <w:rFonts w:ascii="Palatino Linotype" w:hAnsi="Palatino Linotype"/>
        </w:rPr>
        <w:t xml:space="preserve"> years</w:t>
      </w:r>
      <w:r w:rsidR="00C93B86" w:rsidRPr="00EF2577">
        <w:rPr>
          <w:rFonts w:ascii="Palatino Linotype" w:hAnsi="Palatino Linotype"/>
        </w:rPr>
        <w:t xml:space="preserve">, </w:t>
      </w:r>
      <w:r w:rsidR="00C0651C" w:rsidRPr="00EF2577">
        <w:rPr>
          <w:rFonts w:ascii="Palatino Linotype" w:hAnsi="Palatino Linotype"/>
        </w:rPr>
        <w:t>on the basis of performance on the Diagnostic Evaluation of Articulation and Phonology. T</w:t>
      </w:r>
      <w:r w:rsidR="00C93B86" w:rsidRPr="00EF2577">
        <w:rPr>
          <w:rFonts w:ascii="Palatino Linotype" w:hAnsi="Palatino Linotype"/>
        </w:rPr>
        <w:t>heir literacy skills were assessed at the start of formal reading instruction (age 5</w:t>
      </w:r>
      <w:r w:rsidR="002C2DEE" w:rsidRPr="00EF2577">
        <w:rPr>
          <w:rFonts w:ascii="Palatino Linotype" w:hAnsi="Palatino Linotype"/>
        </w:rPr>
        <w:t>½</w:t>
      </w:r>
      <w:r w:rsidR="00C93B86" w:rsidRPr="00EF2577">
        <w:rPr>
          <w:rFonts w:ascii="Palatino Linotype" w:hAnsi="Palatino Linotype"/>
        </w:rPr>
        <w:t xml:space="preserve">), </w:t>
      </w:r>
      <w:r w:rsidR="00C0651C" w:rsidRPr="00EF2577">
        <w:rPr>
          <w:rFonts w:ascii="Palatino Linotype" w:hAnsi="Palatino Linotype"/>
        </w:rPr>
        <w:t>usin</w:t>
      </w:r>
      <w:r w:rsidR="00E23D94" w:rsidRPr="00EF2577">
        <w:rPr>
          <w:rFonts w:ascii="Palatino Linotype" w:hAnsi="Palatino Linotype"/>
        </w:rPr>
        <w:t>g measures of phoneme awareness</w:t>
      </w:r>
      <w:r w:rsidR="00C0651C" w:rsidRPr="00EF2577">
        <w:rPr>
          <w:rFonts w:ascii="Palatino Linotype" w:hAnsi="Palatino Linotype"/>
        </w:rPr>
        <w:t xml:space="preserve">, word-level reading, and spelling; </w:t>
      </w:r>
      <w:r w:rsidR="00C93B86" w:rsidRPr="00EF2577">
        <w:rPr>
          <w:rFonts w:ascii="Palatino Linotype" w:hAnsi="Palatino Linotype"/>
        </w:rPr>
        <w:t>and three years later (age 8)</w:t>
      </w:r>
      <w:r w:rsidR="00C0651C" w:rsidRPr="00EF2577">
        <w:rPr>
          <w:rFonts w:ascii="Palatino Linotype" w:hAnsi="Palatino Linotype"/>
        </w:rPr>
        <w:t>, using measures of word-level reading, spelling and reading comprehension</w:t>
      </w:r>
      <w:r w:rsidR="00C93B86" w:rsidRPr="00EF2577">
        <w:rPr>
          <w:rFonts w:ascii="Palatino Linotype" w:hAnsi="Palatino Linotype"/>
        </w:rPr>
        <w:t>.</w:t>
      </w:r>
      <w:r w:rsidR="006E70FD">
        <w:rPr>
          <w:rFonts w:ascii="Palatino Linotype" w:hAnsi="Palatino Linotype"/>
        </w:rPr>
        <w:t xml:space="preserve"> </w:t>
      </w:r>
      <w:r w:rsidRPr="006E70FD">
        <w:rPr>
          <w:rFonts w:ascii="Palatino Linotype" w:hAnsi="Palatino Linotype"/>
          <w:b/>
        </w:rPr>
        <w:t>Results:</w:t>
      </w:r>
      <w:r w:rsidRPr="00EF2577">
        <w:rPr>
          <w:rFonts w:ascii="Palatino Linotype" w:hAnsi="Palatino Linotype"/>
        </w:rPr>
        <w:t xml:space="preserve"> </w:t>
      </w:r>
      <w:r w:rsidR="00A65281" w:rsidRPr="00EF2577">
        <w:rPr>
          <w:rFonts w:ascii="Palatino Linotype" w:hAnsi="Palatino Linotype"/>
        </w:rPr>
        <w:t xml:space="preserve">The presence of early SSD </w:t>
      </w:r>
      <w:r w:rsidR="00B768ED" w:rsidRPr="00EF2577">
        <w:rPr>
          <w:rFonts w:ascii="Palatino Linotype" w:hAnsi="Palatino Linotype"/>
        </w:rPr>
        <w:t xml:space="preserve">conferred a </w:t>
      </w:r>
      <w:r w:rsidR="002249B5" w:rsidRPr="00EF2577">
        <w:rPr>
          <w:rFonts w:ascii="Palatino Linotype" w:hAnsi="Palatino Linotype"/>
        </w:rPr>
        <w:t xml:space="preserve">small but significant </w:t>
      </w:r>
      <w:r w:rsidR="00B768ED" w:rsidRPr="00EF2577">
        <w:rPr>
          <w:rFonts w:ascii="Palatino Linotype" w:hAnsi="Palatino Linotype"/>
        </w:rPr>
        <w:t xml:space="preserve">risk of poor </w:t>
      </w:r>
      <w:r w:rsidR="000B26CC" w:rsidRPr="00EF2577">
        <w:rPr>
          <w:rFonts w:ascii="Palatino Linotype" w:hAnsi="Palatino Linotype"/>
        </w:rPr>
        <w:t xml:space="preserve">phonemic skills at age 5½ and of poor </w:t>
      </w:r>
      <w:r w:rsidR="00A65281" w:rsidRPr="00EF2577">
        <w:rPr>
          <w:rFonts w:ascii="Palatino Linotype" w:hAnsi="Palatino Linotype"/>
        </w:rPr>
        <w:t>word</w:t>
      </w:r>
      <w:r w:rsidR="000B26CC" w:rsidRPr="00EF2577">
        <w:rPr>
          <w:rFonts w:ascii="Palatino Linotype" w:hAnsi="Palatino Linotype"/>
        </w:rPr>
        <w:t xml:space="preserve"> reading at age 8</w:t>
      </w:r>
      <w:r w:rsidR="00A65281" w:rsidRPr="00EF2577">
        <w:rPr>
          <w:rFonts w:ascii="Palatino Linotype" w:hAnsi="Palatino Linotype"/>
        </w:rPr>
        <w:t xml:space="preserve">. Furthermore, within the group with SSD, </w:t>
      </w:r>
      <w:r w:rsidR="0012582D" w:rsidRPr="00EF2577">
        <w:rPr>
          <w:rFonts w:ascii="Palatino Linotype" w:hAnsi="Palatino Linotype"/>
        </w:rPr>
        <w:t xml:space="preserve">the persistence of speech difficulties to the point of school-entry </w:t>
      </w:r>
      <w:r w:rsidR="007269C1" w:rsidRPr="00EF2577">
        <w:rPr>
          <w:rFonts w:ascii="Palatino Linotype" w:hAnsi="Palatino Linotype"/>
        </w:rPr>
        <w:t xml:space="preserve">was associated </w:t>
      </w:r>
      <w:r w:rsidR="000B26CC" w:rsidRPr="00EF2577">
        <w:rPr>
          <w:rFonts w:ascii="Palatino Linotype" w:hAnsi="Palatino Linotype"/>
        </w:rPr>
        <w:t>with</w:t>
      </w:r>
      <w:r w:rsidR="007269C1" w:rsidRPr="00EF2577">
        <w:rPr>
          <w:rFonts w:ascii="Palatino Linotype" w:hAnsi="Palatino Linotype"/>
        </w:rPr>
        <w:t xml:space="preserve"> poorer</w:t>
      </w:r>
      <w:r w:rsidR="000B26CC" w:rsidRPr="00EF2577">
        <w:rPr>
          <w:rFonts w:ascii="Palatino Linotype" w:hAnsi="Palatino Linotype"/>
        </w:rPr>
        <w:t xml:space="preserve"> literacy-related skills</w:t>
      </w:r>
      <w:r w:rsidR="0012582D" w:rsidRPr="00EF2577">
        <w:rPr>
          <w:rFonts w:ascii="Palatino Linotype" w:hAnsi="Palatino Linotype"/>
        </w:rPr>
        <w:t>,</w:t>
      </w:r>
      <w:r w:rsidR="00B927DC" w:rsidRPr="00EF2577">
        <w:rPr>
          <w:rFonts w:ascii="Palatino Linotype" w:hAnsi="Palatino Linotype"/>
        </w:rPr>
        <w:t xml:space="preserve"> and</w:t>
      </w:r>
      <w:r w:rsidR="007269C1" w:rsidRPr="00EF2577">
        <w:rPr>
          <w:rFonts w:ascii="Palatino Linotype" w:hAnsi="Palatino Linotype"/>
        </w:rPr>
        <w:t xml:space="preserve"> </w:t>
      </w:r>
      <w:r w:rsidR="00A65281" w:rsidRPr="00EF2577">
        <w:rPr>
          <w:rFonts w:ascii="Palatino Linotype" w:hAnsi="Palatino Linotype"/>
        </w:rPr>
        <w:t xml:space="preserve">children with ‘disordered’ speech errors </w:t>
      </w:r>
      <w:r w:rsidR="007269C1" w:rsidRPr="00EF2577">
        <w:rPr>
          <w:rFonts w:ascii="Palatino Linotype" w:hAnsi="Palatino Linotype"/>
        </w:rPr>
        <w:t xml:space="preserve">had poorer word reading skills </w:t>
      </w:r>
      <w:r w:rsidR="00A65281" w:rsidRPr="00EF2577">
        <w:rPr>
          <w:rFonts w:ascii="Palatino Linotype" w:hAnsi="Palatino Linotype"/>
        </w:rPr>
        <w:t>than children whose speech errors indicated ‘delay’. In contrast</w:t>
      </w:r>
      <w:r w:rsidR="00980E3C" w:rsidRPr="00EF2577">
        <w:rPr>
          <w:rFonts w:ascii="Palatino Linotype" w:hAnsi="Palatino Linotype"/>
        </w:rPr>
        <w:t>, t</w:t>
      </w:r>
      <w:r w:rsidR="00A65281" w:rsidRPr="00EF2577">
        <w:rPr>
          <w:rFonts w:ascii="Palatino Linotype" w:hAnsi="Palatino Linotype"/>
        </w:rPr>
        <w:t>he initial severity of the SSD</w:t>
      </w:r>
      <w:r w:rsidR="0012582D" w:rsidRPr="00EF2577">
        <w:rPr>
          <w:rFonts w:ascii="Palatino Linotype" w:hAnsi="Palatino Linotype"/>
        </w:rPr>
        <w:t xml:space="preserve"> </w:t>
      </w:r>
      <w:r w:rsidR="000B26CC" w:rsidRPr="00EF2577">
        <w:rPr>
          <w:rFonts w:ascii="Palatino Linotype" w:hAnsi="Palatino Linotype"/>
        </w:rPr>
        <w:t>was not a significant predictor</w:t>
      </w:r>
      <w:r w:rsidR="007269C1" w:rsidRPr="00EF2577">
        <w:rPr>
          <w:rFonts w:ascii="Palatino Linotype" w:hAnsi="Palatino Linotype"/>
        </w:rPr>
        <w:t xml:space="preserve"> of reading development</w:t>
      </w:r>
      <w:r w:rsidR="00A65281" w:rsidRPr="00EF2577">
        <w:rPr>
          <w:rFonts w:ascii="Palatino Linotype" w:hAnsi="Palatino Linotype"/>
        </w:rPr>
        <w:t>. Beyond the domain of speech</w:t>
      </w:r>
      <w:r w:rsidR="002C2DEE" w:rsidRPr="00EF2577">
        <w:rPr>
          <w:rFonts w:ascii="Palatino Linotype" w:hAnsi="Palatino Linotype"/>
        </w:rPr>
        <w:t>,</w:t>
      </w:r>
      <w:r w:rsidR="00A65281" w:rsidRPr="00EF2577">
        <w:rPr>
          <w:rFonts w:ascii="Palatino Linotype" w:hAnsi="Palatino Linotype"/>
        </w:rPr>
        <w:t xml:space="preserve"> the presence of a co-occurring language impairment was strongly predictive of literacy</w:t>
      </w:r>
      <w:r w:rsidR="00980E3C" w:rsidRPr="00EF2577">
        <w:rPr>
          <w:rFonts w:ascii="Palatino Linotype" w:hAnsi="Palatino Linotype"/>
        </w:rPr>
        <w:t xml:space="preserve"> </w:t>
      </w:r>
      <w:r w:rsidR="007269C1" w:rsidRPr="00EF2577">
        <w:rPr>
          <w:rFonts w:ascii="Palatino Linotype" w:hAnsi="Palatino Linotype"/>
        </w:rPr>
        <w:t xml:space="preserve">skills </w:t>
      </w:r>
      <w:r w:rsidR="00B768ED" w:rsidRPr="00EF2577">
        <w:rPr>
          <w:rFonts w:ascii="Palatino Linotype" w:hAnsi="Palatino Linotype"/>
        </w:rPr>
        <w:t>and having</w:t>
      </w:r>
      <w:r w:rsidR="00980E3C" w:rsidRPr="00EF2577">
        <w:rPr>
          <w:rFonts w:ascii="Palatino Linotype" w:hAnsi="Palatino Linotype"/>
        </w:rPr>
        <w:t xml:space="preserve"> a family-risk of dyslexia predicted additional variance </w:t>
      </w:r>
      <w:r w:rsidR="00004572" w:rsidRPr="00EF2577">
        <w:rPr>
          <w:rFonts w:ascii="Palatino Linotype" w:hAnsi="Palatino Linotype"/>
        </w:rPr>
        <w:t>in</w:t>
      </w:r>
      <w:r w:rsidR="00980E3C" w:rsidRPr="00EF2577">
        <w:rPr>
          <w:rFonts w:ascii="Palatino Linotype" w:hAnsi="Palatino Linotype"/>
        </w:rPr>
        <w:t xml:space="preserve"> literacy at both time-points. </w:t>
      </w:r>
      <w:r w:rsidRPr="006E70FD">
        <w:rPr>
          <w:rFonts w:ascii="Palatino Linotype" w:hAnsi="Palatino Linotype"/>
          <w:b/>
        </w:rPr>
        <w:t>Conclusion:</w:t>
      </w:r>
      <w:r w:rsidRPr="00EF2577">
        <w:rPr>
          <w:rFonts w:ascii="Palatino Linotype" w:hAnsi="Palatino Linotype"/>
        </w:rPr>
        <w:t xml:space="preserve"> </w:t>
      </w:r>
      <w:r w:rsidR="000015EF" w:rsidRPr="00EF2577">
        <w:rPr>
          <w:rFonts w:ascii="Palatino Linotype" w:hAnsi="Palatino Linotype"/>
        </w:rPr>
        <w:t>E</w:t>
      </w:r>
      <w:r w:rsidR="00004572" w:rsidRPr="00EF2577">
        <w:rPr>
          <w:rFonts w:ascii="Palatino Linotype" w:hAnsi="Palatino Linotype"/>
        </w:rPr>
        <w:t xml:space="preserve">arly SSD </w:t>
      </w:r>
      <w:r w:rsidR="00DC2B13" w:rsidRPr="00EF2577">
        <w:rPr>
          <w:rFonts w:ascii="Palatino Linotype" w:hAnsi="Palatino Linotype"/>
        </w:rPr>
        <w:t xml:space="preserve">alone has </w:t>
      </w:r>
      <w:r w:rsidR="00004572" w:rsidRPr="00EF2577">
        <w:rPr>
          <w:rFonts w:ascii="Palatino Linotype" w:hAnsi="Palatino Linotype"/>
        </w:rPr>
        <w:t>only modest effects</w:t>
      </w:r>
      <w:r w:rsidR="00B768ED" w:rsidRPr="00EF2577">
        <w:rPr>
          <w:rFonts w:ascii="Palatino Linotype" w:hAnsi="Palatino Linotype"/>
        </w:rPr>
        <w:t xml:space="preserve"> </w:t>
      </w:r>
      <w:r w:rsidR="000015EF" w:rsidRPr="00EF2577">
        <w:rPr>
          <w:rFonts w:ascii="Palatino Linotype" w:hAnsi="Palatino Linotype"/>
        </w:rPr>
        <w:t xml:space="preserve">on literacy development </w:t>
      </w:r>
      <w:r w:rsidR="00B768ED" w:rsidRPr="00EF2577">
        <w:rPr>
          <w:rFonts w:ascii="Palatino Linotype" w:hAnsi="Palatino Linotype"/>
        </w:rPr>
        <w:t>but when additional risk factors are present these can</w:t>
      </w:r>
      <w:r w:rsidR="00004572" w:rsidRPr="00EF2577">
        <w:rPr>
          <w:rFonts w:ascii="Palatino Linotype" w:hAnsi="Palatino Linotype"/>
        </w:rPr>
        <w:t xml:space="preserve"> </w:t>
      </w:r>
      <w:r w:rsidR="00885DBA" w:rsidRPr="00EF2577">
        <w:rPr>
          <w:rFonts w:ascii="Palatino Linotype" w:hAnsi="Palatino Linotype"/>
        </w:rPr>
        <w:t>have serious negative consequences</w:t>
      </w:r>
      <w:r w:rsidR="000015EF" w:rsidRPr="00EF2577">
        <w:rPr>
          <w:rFonts w:ascii="Palatino Linotype" w:hAnsi="Palatino Linotype"/>
        </w:rPr>
        <w:t xml:space="preserve">, consistent with the view that multiple risks accumulate to predict reading </w:t>
      </w:r>
      <w:r w:rsidR="000A0468" w:rsidRPr="00EF2577">
        <w:rPr>
          <w:rFonts w:ascii="Palatino Linotype" w:hAnsi="Palatino Linotype"/>
        </w:rPr>
        <w:t>disorders</w:t>
      </w:r>
      <w:r w:rsidR="00885DBA" w:rsidRPr="00EF2577">
        <w:rPr>
          <w:rFonts w:ascii="Palatino Linotype" w:hAnsi="Palatino Linotype"/>
        </w:rPr>
        <w:t>.</w:t>
      </w:r>
      <w:r w:rsidR="00EF2577">
        <w:rPr>
          <w:rFonts w:ascii="Palatino Linotype" w:hAnsi="Palatino Linotype"/>
        </w:rPr>
        <w:t xml:space="preserve"> </w:t>
      </w:r>
      <w:r w:rsidR="00EF2577" w:rsidRPr="00EF2577">
        <w:rPr>
          <w:rFonts w:ascii="Palatino Linotype" w:hAnsi="Palatino Linotype"/>
          <w:b/>
        </w:rPr>
        <w:t>Keywords</w:t>
      </w:r>
      <w:r w:rsidR="00EF2577">
        <w:rPr>
          <w:rFonts w:ascii="Palatino Linotype" w:hAnsi="Palatino Linotype"/>
          <w:b/>
        </w:rPr>
        <w:t xml:space="preserve">: </w:t>
      </w:r>
      <w:r w:rsidR="009D1C23" w:rsidRPr="009D1C23">
        <w:rPr>
          <w:rFonts w:ascii="Palatino Linotype" w:hAnsi="Palatino Linotype" w:cs="Arial"/>
          <w:color w:val="222222"/>
          <w:shd w:val="clear" w:color="auto" w:fill="FFFFFF"/>
        </w:rPr>
        <w:t>Speech Sound Disorder, Literacy, Language Impairment, disordered speech errors, family-risk of dyslexia</w:t>
      </w:r>
    </w:p>
    <w:p w14:paraId="7FB13FE3" w14:textId="6A24683B" w:rsidR="006E70FD" w:rsidRDefault="006E70FD">
      <w:pPr>
        <w:rPr>
          <w:rFonts w:ascii="Palatino Linotype" w:hAnsi="Palatino Linotype"/>
        </w:rPr>
      </w:pPr>
      <w:r>
        <w:rPr>
          <w:rFonts w:ascii="Palatino Linotype" w:hAnsi="Palatino Linotype"/>
        </w:rPr>
        <w:br w:type="page"/>
      </w:r>
    </w:p>
    <w:p w14:paraId="11BF7EAC" w14:textId="7A6B3AC9" w:rsidR="003F6C2E" w:rsidRPr="006E70FD" w:rsidRDefault="006E70FD" w:rsidP="006E70FD">
      <w:pPr>
        <w:spacing w:line="480" w:lineRule="auto"/>
        <w:rPr>
          <w:rFonts w:ascii="Palatino Linotype" w:hAnsi="Palatino Linotype"/>
          <w:b/>
        </w:rPr>
      </w:pPr>
      <w:r>
        <w:rPr>
          <w:rFonts w:ascii="Palatino Linotype" w:hAnsi="Palatino Linotype"/>
          <w:b/>
        </w:rPr>
        <w:lastRenderedPageBreak/>
        <w:t>Introduction</w:t>
      </w:r>
    </w:p>
    <w:p w14:paraId="637DACCC" w14:textId="77777777" w:rsidR="006E70FD" w:rsidRDefault="00C51180" w:rsidP="006E70FD">
      <w:pPr>
        <w:spacing w:line="480" w:lineRule="auto"/>
        <w:jc w:val="both"/>
        <w:rPr>
          <w:rFonts w:ascii="Palatino Linotype" w:hAnsi="Palatino Linotype"/>
        </w:rPr>
      </w:pPr>
      <w:r w:rsidRPr="00EE7B19">
        <w:rPr>
          <w:rFonts w:ascii="Palatino Linotype" w:hAnsi="Palatino Linotype"/>
        </w:rPr>
        <w:t xml:space="preserve">Developmental </w:t>
      </w:r>
      <w:r w:rsidR="007269C1">
        <w:rPr>
          <w:rFonts w:ascii="Palatino Linotype" w:hAnsi="Palatino Linotype"/>
        </w:rPr>
        <w:t>s</w:t>
      </w:r>
      <w:r w:rsidRPr="00EE7B19">
        <w:rPr>
          <w:rFonts w:ascii="Palatino Linotype" w:hAnsi="Palatino Linotype"/>
        </w:rPr>
        <w:t xml:space="preserve">peech </w:t>
      </w:r>
      <w:r w:rsidR="007269C1">
        <w:rPr>
          <w:rFonts w:ascii="Palatino Linotype" w:hAnsi="Palatino Linotype"/>
        </w:rPr>
        <w:t>s</w:t>
      </w:r>
      <w:r w:rsidRPr="00EE7B19">
        <w:rPr>
          <w:rFonts w:ascii="Palatino Linotype" w:hAnsi="Palatino Linotype"/>
        </w:rPr>
        <w:t xml:space="preserve">ound </w:t>
      </w:r>
      <w:r w:rsidR="007269C1">
        <w:rPr>
          <w:rFonts w:ascii="Palatino Linotype" w:hAnsi="Palatino Linotype"/>
        </w:rPr>
        <w:t>d</w:t>
      </w:r>
      <w:r w:rsidRPr="00EE7B19">
        <w:rPr>
          <w:rFonts w:ascii="Palatino Linotype" w:hAnsi="Palatino Linotype"/>
        </w:rPr>
        <w:t>isorder (SSD) encompasses a wide range of difficulties with the production of speech in children</w:t>
      </w:r>
      <w:r>
        <w:rPr>
          <w:rFonts w:ascii="Palatino Linotype" w:hAnsi="Palatino Linotype"/>
        </w:rPr>
        <w:t>, and is defined in DSM-</w:t>
      </w:r>
      <w:r w:rsidR="002C2DEE">
        <w:rPr>
          <w:rFonts w:ascii="Palatino Linotype" w:hAnsi="Palatino Linotype"/>
        </w:rPr>
        <w:t>5 (American Psychiatric Association, 2013)</w:t>
      </w:r>
      <w:r>
        <w:rPr>
          <w:rFonts w:ascii="Palatino Linotype" w:hAnsi="Palatino Linotype"/>
        </w:rPr>
        <w:t xml:space="preserve"> as a </w:t>
      </w:r>
      <w:r w:rsidR="006E70FD">
        <w:rPr>
          <w:rFonts w:ascii="Palatino Linotype" w:hAnsi="Palatino Linotype"/>
        </w:rPr>
        <w:t>‘</w:t>
      </w:r>
      <w:r w:rsidRPr="008178C1">
        <w:rPr>
          <w:rFonts w:ascii="Palatino Linotype" w:hAnsi="Palatino Linotype"/>
        </w:rPr>
        <w:t xml:space="preserve">persistent difficulty with speech sound production that interferes </w:t>
      </w:r>
      <w:r w:rsidRPr="006E70FD">
        <w:rPr>
          <w:rFonts w:ascii="Palatino Linotype" w:hAnsi="Palatino Linotype"/>
        </w:rPr>
        <w:t>with speech intelligibility or prevents verbal communication</w:t>
      </w:r>
      <w:r w:rsidR="006E70FD" w:rsidRPr="006E70FD">
        <w:rPr>
          <w:rFonts w:ascii="Palatino Linotype" w:hAnsi="Palatino Linotype"/>
        </w:rPr>
        <w:t>’</w:t>
      </w:r>
      <w:r w:rsidR="00AD20CE" w:rsidRPr="006E70FD">
        <w:rPr>
          <w:rFonts w:ascii="Palatino Linotype" w:hAnsi="Palatino Linotype"/>
        </w:rPr>
        <w:t xml:space="preserve"> that cannot be explained in terms of sensory problems, motoric difficulties or other physical conditions</w:t>
      </w:r>
      <w:r w:rsidRPr="006E70FD">
        <w:rPr>
          <w:rFonts w:ascii="Palatino Linotype" w:hAnsi="Palatino Linotype"/>
        </w:rPr>
        <w:t xml:space="preserve">. </w:t>
      </w:r>
      <w:r w:rsidR="00AD20CE" w:rsidRPr="006E70FD">
        <w:rPr>
          <w:rFonts w:ascii="Palatino Linotype" w:hAnsi="Palatino Linotype"/>
        </w:rPr>
        <w:t xml:space="preserve">Children with SSD make </w:t>
      </w:r>
      <w:r w:rsidR="00244711" w:rsidRPr="006E70FD">
        <w:rPr>
          <w:rFonts w:ascii="Palatino Linotype" w:hAnsi="Palatino Linotype"/>
        </w:rPr>
        <w:t xml:space="preserve">systematic omissions, substitutions or distortions of phonemes within words, despite being able to repeat these phonemes in isolation. </w:t>
      </w:r>
      <w:r w:rsidRPr="006E70FD">
        <w:rPr>
          <w:rFonts w:ascii="Palatino Linotype" w:hAnsi="Palatino Linotype"/>
        </w:rPr>
        <w:t xml:space="preserve">The prevalence of SSD </w:t>
      </w:r>
      <w:r w:rsidR="004D33C9" w:rsidRPr="006E70FD">
        <w:rPr>
          <w:rFonts w:ascii="Palatino Linotype" w:hAnsi="Palatino Linotype"/>
        </w:rPr>
        <w:t>in 4 to 6 year old children has been estimated at approximately 3-6%, based on large population-based cohorts (Beitchman et a</w:t>
      </w:r>
      <w:r w:rsidR="00210742" w:rsidRPr="006E70FD">
        <w:rPr>
          <w:rFonts w:ascii="Palatino Linotype" w:hAnsi="Palatino Linotype"/>
        </w:rPr>
        <w:t>l., 1985; Shriberg, Tomblin &amp; Mc</w:t>
      </w:r>
      <w:r w:rsidR="004D33C9" w:rsidRPr="006E70FD">
        <w:rPr>
          <w:rFonts w:ascii="Palatino Linotype" w:hAnsi="Palatino Linotype"/>
        </w:rPr>
        <w:t>Sweeny, 1999; Eadie et al., 2015</w:t>
      </w:r>
      <w:r w:rsidRPr="006E70FD">
        <w:rPr>
          <w:rFonts w:ascii="Palatino Linotype" w:hAnsi="Palatino Linotype"/>
        </w:rPr>
        <w:t>), although estimates vary substantially with age and with diagnostic criteria</w:t>
      </w:r>
      <w:r w:rsidR="002C6FF4" w:rsidRPr="006E70FD">
        <w:rPr>
          <w:rFonts w:ascii="Palatino Linotype" w:hAnsi="Palatino Linotype"/>
        </w:rPr>
        <w:t>.</w:t>
      </w:r>
      <w:r w:rsidRPr="006E70FD">
        <w:rPr>
          <w:rFonts w:ascii="Palatino Linotype" w:hAnsi="Palatino Linotype"/>
        </w:rPr>
        <w:t xml:space="preserve">  </w:t>
      </w:r>
      <w:r w:rsidR="00B046E8" w:rsidRPr="006E70FD">
        <w:rPr>
          <w:rFonts w:ascii="Palatino Linotype" w:hAnsi="Palatino Linotype"/>
        </w:rPr>
        <w:t>S</w:t>
      </w:r>
      <w:r w:rsidRPr="006E70FD">
        <w:rPr>
          <w:rFonts w:ascii="Palatino Linotype" w:hAnsi="Palatino Linotype"/>
        </w:rPr>
        <w:t xml:space="preserve">peech </w:t>
      </w:r>
      <w:r w:rsidR="00FF0B3F" w:rsidRPr="006E70FD">
        <w:rPr>
          <w:rFonts w:ascii="Palatino Linotype" w:hAnsi="Palatino Linotype"/>
        </w:rPr>
        <w:t xml:space="preserve">difficulties in young children often arouse their parents' concern, and are a </w:t>
      </w:r>
      <w:r w:rsidR="00580B44" w:rsidRPr="006E70FD">
        <w:rPr>
          <w:rFonts w:ascii="Palatino Linotype" w:hAnsi="Palatino Linotype"/>
        </w:rPr>
        <w:t>frequent</w:t>
      </w:r>
      <w:r w:rsidR="00FF0B3F" w:rsidRPr="006E70FD">
        <w:rPr>
          <w:rFonts w:ascii="Palatino Linotype" w:hAnsi="Palatino Linotype"/>
        </w:rPr>
        <w:t xml:space="preserve"> cause of referral to </w:t>
      </w:r>
      <w:r w:rsidR="00F04300" w:rsidRPr="006E70FD">
        <w:rPr>
          <w:rFonts w:ascii="Palatino Linotype" w:hAnsi="Palatino Linotype"/>
        </w:rPr>
        <w:t xml:space="preserve">speech and language therapy </w:t>
      </w:r>
      <w:r w:rsidR="00FF0B3F" w:rsidRPr="006E70FD">
        <w:rPr>
          <w:rFonts w:ascii="Palatino Linotype" w:hAnsi="Palatino Linotype"/>
        </w:rPr>
        <w:t>services (</w:t>
      </w:r>
      <w:r w:rsidR="00B927DC" w:rsidRPr="006E70FD">
        <w:rPr>
          <w:rFonts w:ascii="Palatino Linotype" w:hAnsi="Palatino Linotype"/>
        </w:rPr>
        <w:t xml:space="preserve">Zhang &amp; Tomblin, 2000; </w:t>
      </w:r>
      <w:r w:rsidR="009B495F" w:rsidRPr="006E70FD">
        <w:rPr>
          <w:rFonts w:ascii="Palatino Linotype" w:hAnsi="Palatino Linotype"/>
        </w:rPr>
        <w:t>Bishop &amp;</w:t>
      </w:r>
      <w:r w:rsidR="004954A2" w:rsidRPr="006E70FD">
        <w:rPr>
          <w:rFonts w:ascii="Palatino Linotype" w:hAnsi="Palatino Linotype"/>
        </w:rPr>
        <w:t xml:space="preserve"> Hayiou-Thomas, 2008</w:t>
      </w:r>
      <w:r w:rsidR="00C0403D" w:rsidRPr="006E70FD">
        <w:rPr>
          <w:rFonts w:ascii="Palatino Linotype" w:hAnsi="Palatino Linotype"/>
        </w:rPr>
        <w:t>)</w:t>
      </w:r>
      <w:r w:rsidR="00C0651C" w:rsidRPr="006E70FD">
        <w:rPr>
          <w:rFonts w:ascii="Palatino Linotype" w:hAnsi="Palatino Linotype"/>
        </w:rPr>
        <w:t>. A</w:t>
      </w:r>
      <w:r w:rsidR="008730D6" w:rsidRPr="006E70FD">
        <w:rPr>
          <w:rFonts w:ascii="Palatino Linotype" w:hAnsi="Palatino Linotype"/>
        </w:rPr>
        <w:t>lthough</w:t>
      </w:r>
      <w:r w:rsidR="00C0403D" w:rsidRPr="006E70FD">
        <w:rPr>
          <w:rFonts w:ascii="Palatino Linotype" w:hAnsi="Palatino Linotype"/>
        </w:rPr>
        <w:t xml:space="preserve"> such difficulties </w:t>
      </w:r>
      <w:r w:rsidR="00F04300" w:rsidRPr="006E70FD">
        <w:rPr>
          <w:rFonts w:ascii="Palatino Linotype" w:hAnsi="Palatino Linotype"/>
        </w:rPr>
        <w:t xml:space="preserve">often </w:t>
      </w:r>
      <w:r w:rsidR="00FF0B3F" w:rsidRPr="006E70FD">
        <w:rPr>
          <w:rFonts w:ascii="Palatino Linotype" w:hAnsi="Palatino Linotype"/>
        </w:rPr>
        <w:t>resolve</w:t>
      </w:r>
      <w:r w:rsidR="00DB6275" w:rsidRPr="006E70FD">
        <w:rPr>
          <w:rFonts w:ascii="Palatino Linotype" w:hAnsi="Palatino Linotype"/>
        </w:rPr>
        <w:t xml:space="preserve"> </w:t>
      </w:r>
      <w:r w:rsidR="00D33EAF" w:rsidRPr="006E70FD">
        <w:rPr>
          <w:rFonts w:ascii="Palatino Linotype" w:hAnsi="Palatino Linotype"/>
        </w:rPr>
        <w:t>(</w:t>
      </w:r>
      <w:r w:rsidR="00DB6275" w:rsidRPr="006E70FD">
        <w:rPr>
          <w:rFonts w:ascii="Palatino Linotype" w:hAnsi="Palatino Linotype"/>
        </w:rPr>
        <w:t xml:space="preserve">Dodd, </w:t>
      </w:r>
      <w:r w:rsidR="00D90702" w:rsidRPr="006E70FD">
        <w:rPr>
          <w:rFonts w:ascii="Palatino Linotype" w:hAnsi="Palatino Linotype"/>
        </w:rPr>
        <w:t>199</w:t>
      </w:r>
      <w:r w:rsidR="00D43E9A" w:rsidRPr="006E70FD">
        <w:rPr>
          <w:rFonts w:ascii="Palatino Linotype" w:hAnsi="Palatino Linotype"/>
        </w:rPr>
        <w:t>5</w:t>
      </w:r>
      <w:r w:rsidR="00C0403D" w:rsidRPr="006E70FD">
        <w:rPr>
          <w:rFonts w:ascii="Palatino Linotype" w:hAnsi="Palatino Linotype"/>
        </w:rPr>
        <w:t xml:space="preserve">) </w:t>
      </w:r>
      <w:r w:rsidR="008730D6" w:rsidRPr="006E70FD">
        <w:rPr>
          <w:rFonts w:ascii="Palatino Linotype" w:hAnsi="Palatino Linotype"/>
        </w:rPr>
        <w:t>they are</w:t>
      </w:r>
      <w:r w:rsidRPr="006E70FD">
        <w:rPr>
          <w:rFonts w:ascii="Palatino Linotype" w:hAnsi="Palatino Linotype"/>
        </w:rPr>
        <w:t xml:space="preserve"> commonly </w:t>
      </w:r>
      <w:r w:rsidR="008730D6" w:rsidRPr="006E70FD">
        <w:rPr>
          <w:rFonts w:ascii="Palatino Linotype" w:hAnsi="Palatino Linotype"/>
        </w:rPr>
        <w:t>seen as</w:t>
      </w:r>
      <w:r w:rsidR="00D2123D" w:rsidRPr="006E70FD">
        <w:rPr>
          <w:rFonts w:ascii="Palatino Linotype" w:hAnsi="Palatino Linotype"/>
        </w:rPr>
        <w:t xml:space="preserve"> a</w:t>
      </w:r>
      <w:r w:rsidR="00FF0B3F" w:rsidRPr="006E70FD">
        <w:rPr>
          <w:rFonts w:ascii="Palatino Linotype" w:hAnsi="Palatino Linotype"/>
        </w:rPr>
        <w:t xml:space="preserve"> risk </w:t>
      </w:r>
      <w:r w:rsidR="008730D6" w:rsidRPr="006E70FD">
        <w:rPr>
          <w:rFonts w:ascii="Palatino Linotype" w:hAnsi="Palatino Linotype"/>
        </w:rPr>
        <w:t xml:space="preserve">factor </w:t>
      </w:r>
      <w:r w:rsidR="00FF0B3F" w:rsidRPr="006E70FD">
        <w:rPr>
          <w:rFonts w:ascii="Palatino Linotype" w:hAnsi="Palatino Linotype"/>
        </w:rPr>
        <w:t>for literacy</w:t>
      </w:r>
      <w:r w:rsidR="008730D6" w:rsidRPr="006E70FD">
        <w:rPr>
          <w:rFonts w:ascii="Palatino Linotype" w:hAnsi="Palatino Linotype"/>
        </w:rPr>
        <w:t xml:space="preserve"> difficulties</w:t>
      </w:r>
      <w:r w:rsidR="00D2123D" w:rsidRPr="006E70FD">
        <w:rPr>
          <w:rFonts w:ascii="Palatino Linotype" w:hAnsi="Palatino Linotype"/>
        </w:rPr>
        <w:t xml:space="preserve"> (Bird, Bishop &amp; Freeman, 1995)</w:t>
      </w:r>
      <w:r w:rsidR="00B768ED" w:rsidRPr="006E70FD">
        <w:rPr>
          <w:rFonts w:ascii="Palatino Linotype" w:hAnsi="Palatino Linotype"/>
        </w:rPr>
        <w:t>.</w:t>
      </w:r>
      <w:r w:rsidR="006E70FD">
        <w:rPr>
          <w:rFonts w:ascii="Palatino Linotype" w:hAnsi="Palatino Linotype"/>
        </w:rPr>
        <w:t xml:space="preserve"> </w:t>
      </w:r>
    </w:p>
    <w:p w14:paraId="3264DEB8" w14:textId="675B0997" w:rsidR="004954A2" w:rsidRPr="00EE7B19" w:rsidRDefault="00C0403D" w:rsidP="006E70FD">
      <w:pPr>
        <w:spacing w:line="480" w:lineRule="auto"/>
        <w:ind w:firstLine="709"/>
        <w:jc w:val="both"/>
        <w:rPr>
          <w:rFonts w:ascii="Palatino Linotype" w:hAnsi="Palatino Linotype"/>
        </w:rPr>
      </w:pPr>
      <w:r>
        <w:rPr>
          <w:rFonts w:ascii="Palatino Linotype" w:hAnsi="Palatino Linotype"/>
        </w:rPr>
        <w:t xml:space="preserve">A separate line of research suggests </w:t>
      </w:r>
      <w:r w:rsidR="00FF0B3F" w:rsidRPr="00EE7B19">
        <w:rPr>
          <w:rFonts w:ascii="Palatino Linotype" w:hAnsi="Palatino Linotype"/>
        </w:rPr>
        <w:t xml:space="preserve">that speech and literacy difficulties share </w:t>
      </w:r>
      <w:r w:rsidR="00B768ED">
        <w:rPr>
          <w:rFonts w:ascii="Palatino Linotype" w:hAnsi="Palatino Linotype"/>
        </w:rPr>
        <w:t xml:space="preserve">a </w:t>
      </w:r>
      <w:r w:rsidR="00FF0B3F" w:rsidRPr="00EE7B19">
        <w:rPr>
          <w:rFonts w:ascii="Palatino Linotype" w:hAnsi="Palatino Linotype"/>
        </w:rPr>
        <w:t>common genetic aetiology</w:t>
      </w:r>
      <w:r w:rsidR="00580B44" w:rsidRPr="00EE7B19">
        <w:rPr>
          <w:rFonts w:ascii="Palatino Linotype" w:hAnsi="Palatino Linotype"/>
        </w:rPr>
        <w:t xml:space="preserve"> (</w:t>
      </w:r>
      <w:r w:rsidR="00D62F56">
        <w:rPr>
          <w:rFonts w:ascii="Palatino Linotype" w:hAnsi="Palatino Linotype"/>
        </w:rPr>
        <w:t xml:space="preserve">Stein et al., 2004; </w:t>
      </w:r>
      <w:r w:rsidR="00580B44" w:rsidRPr="00EE7B19">
        <w:rPr>
          <w:rFonts w:ascii="Palatino Linotype" w:hAnsi="Palatino Linotype"/>
        </w:rPr>
        <w:t>Lewis</w:t>
      </w:r>
      <w:r w:rsidR="002C7E6D">
        <w:rPr>
          <w:rFonts w:ascii="Palatino Linotype" w:hAnsi="Palatino Linotype"/>
        </w:rPr>
        <w:t xml:space="preserve"> et al., 2011;</w:t>
      </w:r>
      <w:r w:rsidR="00580B44" w:rsidRPr="00EE7B19">
        <w:rPr>
          <w:rFonts w:ascii="Palatino Linotype" w:hAnsi="Palatino Linotype"/>
        </w:rPr>
        <w:t xml:space="preserve"> H</w:t>
      </w:r>
      <w:r w:rsidR="00D62F56">
        <w:rPr>
          <w:rFonts w:ascii="Palatino Linotype" w:hAnsi="Palatino Linotype"/>
        </w:rPr>
        <w:t>ayiou-</w:t>
      </w:r>
      <w:r w:rsidR="00580B44" w:rsidRPr="00EE7B19">
        <w:rPr>
          <w:rFonts w:ascii="Palatino Linotype" w:hAnsi="Palatino Linotype"/>
        </w:rPr>
        <w:t>T</w:t>
      </w:r>
      <w:r w:rsidR="00D62F56">
        <w:rPr>
          <w:rFonts w:ascii="Palatino Linotype" w:hAnsi="Palatino Linotype"/>
        </w:rPr>
        <w:t>homas</w:t>
      </w:r>
      <w:r w:rsidR="00D90702">
        <w:rPr>
          <w:rFonts w:ascii="Palatino Linotype" w:hAnsi="Palatino Linotype"/>
        </w:rPr>
        <w:t>, Harlaar, Dale &amp; Plomin</w:t>
      </w:r>
      <w:r w:rsidR="00D62F56">
        <w:rPr>
          <w:rFonts w:ascii="Palatino Linotype" w:hAnsi="Palatino Linotype"/>
        </w:rPr>
        <w:t>, 2010</w:t>
      </w:r>
      <w:r w:rsidR="00B768ED">
        <w:rPr>
          <w:rFonts w:ascii="Palatino Linotype" w:hAnsi="Palatino Linotype"/>
        </w:rPr>
        <w:t>)</w:t>
      </w:r>
      <w:r>
        <w:rPr>
          <w:rFonts w:ascii="Palatino Linotype" w:hAnsi="Palatino Linotype"/>
        </w:rPr>
        <w:t>.  T</w:t>
      </w:r>
      <w:r w:rsidR="00DB6275">
        <w:rPr>
          <w:rFonts w:ascii="Palatino Linotype" w:hAnsi="Palatino Linotype"/>
        </w:rPr>
        <w:t>he relationship between the</w:t>
      </w:r>
      <w:r w:rsidR="00B768ED">
        <w:rPr>
          <w:rFonts w:ascii="Palatino Linotype" w:hAnsi="Palatino Linotype"/>
        </w:rPr>
        <w:t>m</w:t>
      </w:r>
      <w:r w:rsidR="002C2DEE">
        <w:rPr>
          <w:rFonts w:ascii="Palatino Linotype" w:hAnsi="Palatino Linotype"/>
        </w:rPr>
        <w:t xml:space="preserve"> </w:t>
      </w:r>
      <w:r w:rsidR="00DB6275">
        <w:rPr>
          <w:rFonts w:ascii="Palatino Linotype" w:hAnsi="Palatino Linotype"/>
        </w:rPr>
        <w:t>is not</w:t>
      </w:r>
      <w:r>
        <w:rPr>
          <w:rFonts w:ascii="Palatino Linotype" w:hAnsi="Palatino Linotype"/>
        </w:rPr>
        <w:t>, however,</w:t>
      </w:r>
      <w:r w:rsidR="00DB6275">
        <w:rPr>
          <w:rFonts w:ascii="Palatino Linotype" w:hAnsi="Palatino Linotype"/>
        </w:rPr>
        <w:t xml:space="preserve"> straightforward</w:t>
      </w:r>
      <w:r>
        <w:rPr>
          <w:rFonts w:ascii="Palatino Linotype" w:hAnsi="Palatino Linotype"/>
        </w:rPr>
        <w:t xml:space="preserve">; </w:t>
      </w:r>
      <w:r w:rsidR="002C2DEE">
        <w:rPr>
          <w:rFonts w:ascii="Palatino Linotype" w:hAnsi="Palatino Linotype"/>
        </w:rPr>
        <w:t>rather</w:t>
      </w:r>
      <w:r w:rsidR="00C51180">
        <w:rPr>
          <w:rFonts w:ascii="Palatino Linotype" w:hAnsi="Palatino Linotype"/>
        </w:rPr>
        <w:t xml:space="preserve"> </w:t>
      </w:r>
      <w:r w:rsidR="00DB6275">
        <w:rPr>
          <w:rFonts w:ascii="Palatino Linotype" w:hAnsi="Palatino Linotype"/>
        </w:rPr>
        <w:t>the</w:t>
      </w:r>
      <w:r w:rsidR="00FF0B3F" w:rsidRPr="00EE7B19">
        <w:rPr>
          <w:rFonts w:ascii="Palatino Linotype" w:hAnsi="Palatino Linotype"/>
        </w:rPr>
        <w:t xml:space="preserve"> risk </w:t>
      </w:r>
      <w:r w:rsidR="00C51180">
        <w:rPr>
          <w:rFonts w:ascii="Palatino Linotype" w:hAnsi="Palatino Linotype"/>
        </w:rPr>
        <w:t xml:space="preserve">of poor literacy in SSD </w:t>
      </w:r>
      <w:r w:rsidR="00DB6275">
        <w:rPr>
          <w:rFonts w:ascii="Palatino Linotype" w:hAnsi="Palatino Linotype"/>
        </w:rPr>
        <w:t>may be</w:t>
      </w:r>
      <w:r w:rsidR="00FF0B3F" w:rsidRPr="00EE7B19">
        <w:rPr>
          <w:rFonts w:ascii="Palatino Linotype" w:hAnsi="Palatino Linotype"/>
        </w:rPr>
        <w:t xml:space="preserve"> moderated by other factors</w:t>
      </w:r>
      <w:r w:rsidR="00085EE6" w:rsidRPr="00EE7B19">
        <w:rPr>
          <w:rFonts w:ascii="Palatino Linotype" w:hAnsi="Palatino Linotype"/>
        </w:rPr>
        <w:t xml:space="preserve"> </w:t>
      </w:r>
      <w:r>
        <w:rPr>
          <w:rFonts w:ascii="Palatino Linotype" w:hAnsi="Palatino Linotype"/>
        </w:rPr>
        <w:t>including</w:t>
      </w:r>
      <w:r w:rsidR="00C51180">
        <w:rPr>
          <w:rFonts w:ascii="Palatino Linotype" w:hAnsi="Palatino Linotype"/>
        </w:rPr>
        <w:t xml:space="preserve"> </w:t>
      </w:r>
      <w:r w:rsidR="00085EE6" w:rsidRPr="00EE7B19">
        <w:rPr>
          <w:rFonts w:ascii="Palatino Linotype" w:hAnsi="Palatino Linotype"/>
        </w:rPr>
        <w:t>the persistence of speech difficulties to the age at which formal reading instruction begins; the nature of the speech errors</w:t>
      </w:r>
      <w:r w:rsidR="00C51180">
        <w:rPr>
          <w:rFonts w:ascii="Palatino Linotype" w:hAnsi="Palatino Linotype"/>
        </w:rPr>
        <w:t xml:space="preserve"> made by the child</w:t>
      </w:r>
      <w:r w:rsidR="00085EE6" w:rsidRPr="00EE7B19">
        <w:rPr>
          <w:rFonts w:ascii="Palatino Linotype" w:hAnsi="Palatino Linotype"/>
        </w:rPr>
        <w:t>; co-</w:t>
      </w:r>
      <w:r w:rsidR="00C5448D" w:rsidRPr="00EE7B19">
        <w:rPr>
          <w:rFonts w:ascii="Palatino Linotype" w:hAnsi="Palatino Linotype"/>
        </w:rPr>
        <w:t>occurring</w:t>
      </w:r>
      <w:r w:rsidR="00085EE6" w:rsidRPr="00EE7B19">
        <w:rPr>
          <w:rFonts w:ascii="Palatino Linotype" w:hAnsi="Palatino Linotype"/>
        </w:rPr>
        <w:t xml:space="preserve"> language </w:t>
      </w:r>
      <w:r w:rsidR="00C51180">
        <w:rPr>
          <w:rFonts w:ascii="Palatino Linotype" w:hAnsi="Palatino Linotype"/>
        </w:rPr>
        <w:t>difficulties</w:t>
      </w:r>
      <w:r w:rsidR="00085EE6" w:rsidRPr="00EE7B19">
        <w:rPr>
          <w:rFonts w:ascii="Palatino Linotype" w:hAnsi="Palatino Linotype"/>
        </w:rPr>
        <w:t>; and a family risk of dyslexia</w:t>
      </w:r>
      <w:r>
        <w:rPr>
          <w:rFonts w:ascii="Palatino Linotype" w:hAnsi="Palatino Linotype"/>
        </w:rPr>
        <w:t xml:space="preserve"> </w:t>
      </w:r>
      <w:r w:rsidRPr="00EE7B19">
        <w:rPr>
          <w:rFonts w:ascii="Palatino Linotype" w:hAnsi="Palatino Linotype"/>
        </w:rPr>
        <w:t>(Pennington &amp; Bishop 2009</w:t>
      </w:r>
      <w:r>
        <w:rPr>
          <w:rFonts w:ascii="Palatino Linotype" w:hAnsi="Palatino Linotype"/>
        </w:rPr>
        <w:t>)</w:t>
      </w:r>
      <w:r w:rsidR="00085EE6" w:rsidRPr="00EE7B19">
        <w:rPr>
          <w:rFonts w:ascii="Palatino Linotype" w:hAnsi="Palatino Linotype"/>
        </w:rPr>
        <w:t xml:space="preserve">. </w:t>
      </w:r>
      <w:r w:rsidR="00DB6275">
        <w:rPr>
          <w:rFonts w:ascii="Palatino Linotype" w:hAnsi="Palatino Linotype"/>
        </w:rPr>
        <w:t xml:space="preserve">While previous research has examined </w:t>
      </w:r>
      <w:r w:rsidR="00DB6275">
        <w:rPr>
          <w:rFonts w:ascii="Palatino Linotype" w:hAnsi="Palatino Linotype"/>
        </w:rPr>
        <w:lastRenderedPageBreak/>
        <w:t xml:space="preserve">each of these factors in isolation, they have not been examined in </w:t>
      </w:r>
      <w:r w:rsidR="00822513">
        <w:rPr>
          <w:rFonts w:ascii="Palatino Linotype" w:hAnsi="Palatino Linotype"/>
        </w:rPr>
        <w:t xml:space="preserve">combination, </w:t>
      </w:r>
      <w:r w:rsidR="008730D6">
        <w:rPr>
          <w:rFonts w:ascii="Palatino Linotype" w:hAnsi="Palatino Linotype"/>
        </w:rPr>
        <w:t>which</w:t>
      </w:r>
      <w:r w:rsidR="00822513">
        <w:rPr>
          <w:rFonts w:ascii="Palatino Linotype" w:hAnsi="Palatino Linotype"/>
        </w:rPr>
        <w:t xml:space="preserve"> is crucial for understanding the</w:t>
      </w:r>
      <w:r w:rsidR="00C51180">
        <w:rPr>
          <w:rFonts w:ascii="Palatino Linotype" w:hAnsi="Palatino Linotype"/>
        </w:rPr>
        <w:t>ir</w:t>
      </w:r>
      <w:r w:rsidR="00822513">
        <w:rPr>
          <w:rFonts w:ascii="Palatino Linotype" w:hAnsi="Palatino Linotype"/>
        </w:rPr>
        <w:t xml:space="preserve"> relative importance</w:t>
      </w:r>
      <w:r w:rsidR="00E111A2">
        <w:rPr>
          <w:rFonts w:ascii="Palatino Linotype" w:hAnsi="Palatino Linotype"/>
        </w:rPr>
        <w:t>.</w:t>
      </w:r>
    </w:p>
    <w:p w14:paraId="56669F43" w14:textId="3CD8EB29" w:rsidR="002C2DEE" w:rsidRDefault="003D6110" w:rsidP="006E70FD">
      <w:pPr>
        <w:spacing w:line="480" w:lineRule="auto"/>
        <w:ind w:firstLine="709"/>
        <w:jc w:val="both"/>
        <w:rPr>
          <w:rFonts w:ascii="Palatino Linotype" w:hAnsi="Palatino Linotype"/>
        </w:rPr>
      </w:pPr>
      <w:r>
        <w:rPr>
          <w:rFonts w:ascii="Palatino Linotype" w:hAnsi="Palatino Linotype"/>
        </w:rPr>
        <w:t>T</w:t>
      </w:r>
      <w:r w:rsidR="002C7E6D">
        <w:rPr>
          <w:rFonts w:ascii="Palatino Linotype" w:hAnsi="Palatino Linotype"/>
        </w:rPr>
        <w:t xml:space="preserve">he persistence of SSD into the early school years </w:t>
      </w:r>
      <w:r w:rsidR="00DC1291">
        <w:rPr>
          <w:rFonts w:ascii="Palatino Linotype" w:hAnsi="Palatino Linotype"/>
        </w:rPr>
        <w:t>is</w:t>
      </w:r>
      <w:r w:rsidR="002C7E6D">
        <w:rPr>
          <w:rFonts w:ascii="Palatino Linotype" w:hAnsi="Palatino Linotype"/>
        </w:rPr>
        <w:t xml:space="preserve"> </w:t>
      </w:r>
      <w:r>
        <w:rPr>
          <w:rFonts w:ascii="Palatino Linotype" w:hAnsi="Palatino Linotype"/>
        </w:rPr>
        <w:t xml:space="preserve">thought to be </w:t>
      </w:r>
      <w:r w:rsidR="00C0403D">
        <w:rPr>
          <w:rFonts w:ascii="Palatino Linotype" w:hAnsi="Palatino Linotype"/>
        </w:rPr>
        <w:t xml:space="preserve">problematic </w:t>
      </w:r>
      <w:r w:rsidR="002C7E6D">
        <w:rPr>
          <w:rFonts w:ascii="Palatino Linotype" w:hAnsi="Palatino Linotype"/>
        </w:rPr>
        <w:t xml:space="preserve">for literacy development, </w:t>
      </w:r>
      <w:r w:rsidR="002C2DEE">
        <w:rPr>
          <w:rFonts w:ascii="Palatino Linotype" w:hAnsi="Palatino Linotype"/>
        </w:rPr>
        <w:t xml:space="preserve">not least because </w:t>
      </w:r>
      <w:r w:rsidR="002C7E6D">
        <w:rPr>
          <w:rFonts w:ascii="Palatino Linotype" w:hAnsi="Palatino Linotype"/>
        </w:rPr>
        <w:t xml:space="preserve">the phonological skills which are </w:t>
      </w:r>
      <w:r w:rsidR="00DC1291">
        <w:rPr>
          <w:rFonts w:ascii="Palatino Linotype" w:hAnsi="Palatino Linotype"/>
        </w:rPr>
        <w:t xml:space="preserve">affected include those which are </w:t>
      </w:r>
      <w:r w:rsidR="002C7E6D">
        <w:rPr>
          <w:rFonts w:ascii="Palatino Linotype" w:hAnsi="Palatino Linotype"/>
        </w:rPr>
        <w:t>a crucial foundation for learning to read</w:t>
      </w:r>
      <w:r w:rsidR="0059156B">
        <w:rPr>
          <w:rFonts w:ascii="Palatino Linotype" w:hAnsi="Palatino Linotype"/>
        </w:rPr>
        <w:t xml:space="preserve">. </w:t>
      </w:r>
      <w:r w:rsidR="002C7E6D">
        <w:rPr>
          <w:rFonts w:ascii="Palatino Linotype" w:hAnsi="Palatino Linotype"/>
        </w:rPr>
        <w:t xml:space="preserve">According to </w:t>
      </w:r>
      <w:r w:rsidR="00C0403D">
        <w:rPr>
          <w:rFonts w:ascii="Palatino Linotype" w:hAnsi="Palatino Linotype"/>
        </w:rPr>
        <w:t xml:space="preserve">the </w:t>
      </w:r>
      <w:r w:rsidR="002C7E6D">
        <w:rPr>
          <w:rFonts w:ascii="Palatino Linotype" w:hAnsi="Palatino Linotype"/>
        </w:rPr>
        <w:t xml:space="preserve">‘critical age </w:t>
      </w:r>
      <w:r w:rsidR="002C7E6D" w:rsidRPr="006E70FD">
        <w:rPr>
          <w:rFonts w:ascii="Palatino Linotype" w:hAnsi="Palatino Linotype"/>
        </w:rPr>
        <w:t>hypothesis’,</w:t>
      </w:r>
      <w:r w:rsidR="0059156B" w:rsidRPr="006E70FD">
        <w:rPr>
          <w:rFonts w:ascii="Palatino Linotype" w:hAnsi="Palatino Linotype"/>
        </w:rPr>
        <w:t xml:space="preserve"> speech deficits matter if they are present at the time that a child is learning to read</w:t>
      </w:r>
      <w:r w:rsidR="0059156B" w:rsidRPr="00EE7B19">
        <w:rPr>
          <w:rFonts w:ascii="Palatino Linotype" w:hAnsi="Palatino Linotype"/>
          <w:i/>
        </w:rPr>
        <w:t xml:space="preserve"> </w:t>
      </w:r>
      <w:r w:rsidR="0059156B" w:rsidRPr="00EE7B19">
        <w:rPr>
          <w:rFonts w:ascii="Palatino Linotype" w:hAnsi="Palatino Linotype"/>
        </w:rPr>
        <w:t xml:space="preserve">(Bishop &amp; Adams, 1990). The strongest evidence in support of a role for SSD </w:t>
      </w:r>
      <w:r w:rsidR="0059156B" w:rsidRPr="00EE7B19">
        <w:rPr>
          <w:rFonts w:ascii="Palatino Linotype" w:hAnsi="Palatino Linotype"/>
          <w:i/>
        </w:rPr>
        <w:t>per se</w:t>
      </w:r>
      <w:r w:rsidR="0059156B" w:rsidRPr="00EE7B19">
        <w:rPr>
          <w:rFonts w:ascii="Palatino Linotype" w:hAnsi="Palatino Linotype"/>
        </w:rPr>
        <w:t xml:space="preserve"> comes from a study by Bird, Bishop and Freeman (1995), who followed a group of 5</w:t>
      </w:r>
      <w:r w:rsidR="008730D6">
        <w:rPr>
          <w:rFonts w:ascii="Palatino Linotype" w:hAnsi="Palatino Linotype"/>
        </w:rPr>
        <w:t xml:space="preserve"> to </w:t>
      </w:r>
      <w:r w:rsidR="0059156B" w:rsidRPr="00EE7B19">
        <w:rPr>
          <w:rFonts w:ascii="Palatino Linotype" w:hAnsi="Palatino Linotype"/>
        </w:rPr>
        <w:t>7</w:t>
      </w:r>
      <w:r w:rsidR="008730D6">
        <w:rPr>
          <w:rFonts w:ascii="Palatino Linotype" w:hAnsi="Palatino Linotype"/>
        </w:rPr>
        <w:t>-</w:t>
      </w:r>
      <w:r w:rsidR="0059156B" w:rsidRPr="00EE7B19">
        <w:rPr>
          <w:rFonts w:ascii="Palatino Linotype" w:hAnsi="Palatino Linotype"/>
        </w:rPr>
        <w:t>year</w:t>
      </w:r>
      <w:r w:rsidR="008730D6">
        <w:rPr>
          <w:rFonts w:ascii="Palatino Linotype" w:hAnsi="Palatino Linotype"/>
        </w:rPr>
        <w:t>-</w:t>
      </w:r>
      <w:r w:rsidR="0059156B" w:rsidRPr="00EE7B19">
        <w:rPr>
          <w:rFonts w:ascii="Palatino Linotype" w:hAnsi="Palatino Linotype"/>
        </w:rPr>
        <w:t xml:space="preserve">old children with SSD and found that, regardless of the presence of additional language impairment, the presence of speech difficulties at school entry posed a significant barrier to learning to read. </w:t>
      </w:r>
    </w:p>
    <w:p w14:paraId="16573D2D" w14:textId="1CE5F628" w:rsidR="002C2DEE" w:rsidRPr="00EE7B19" w:rsidRDefault="0059156B" w:rsidP="006E70FD">
      <w:pPr>
        <w:spacing w:line="480" w:lineRule="auto"/>
        <w:ind w:firstLine="709"/>
        <w:jc w:val="both"/>
        <w:rPr>
          <w:rFonts w:ascii="Palatino Linotype" w:hAnsi="Palatino Linotype"/>
        </w:rPr>
      </w:pPr>
      <w:r w:rsidRPr="00EE7B19">
        <w:rPr>
          <w:rFonts w:ascii="Palatino Linotype" w:hAnsi="Palatino Linotype"/>
        </w:rPr>
        <w:t xml:space="preserve">A weaker role for SSD was reported by </w:t>
      </w:r>
      <w:r w:rsidR="00D33EAF">
        <w:rPr>
          <w:rFonts w:ascii="Palatino Linotype" w:hAnsi="Palatino Linotype"/>
        </w:rPr>
        <w:t xml:space="preserve">Nathan, Stackhouse, Goulandris </w:t>
      </w:r>
      <w:r w:rsidR="00C0403D">
        <w:rPr>
          <w:rFonts w:ascii="Palatino Linotype" w:hAnsi="Palatino Linotype"/>
        </w:rPr>
        <w:t>and</w:t>
      </w:r>
      <w:r w:rsidR="00D33EAF">
        <w:rPr>
          <w:rFonts w:ascii="Palatino Linotype" w:hAnsi="Palatino Linotype"/>
        </w:rPr>
        <w:t xml:space="preserve"> Snowling </w:t>
      </w:r>
      <w:r w:rsidRPr="00EE7B19">
        <w:rPr>
          <w:rFonts w:ascii="Palatino Linotype" w:hAnsi="Palatino Linotype"/>
        </w:rPr>
        <w:t>(2004), who followed a sample of children with SSD from 4½ to 6½</w:t>
      </w:r>
      <w:r w:rsidR="008730D6">
        <w:rPr>
          <w:rFonts w:ascii="Palatino Linotype" w:hAnsi="Palatino Linotype"/>
        </w:rPr>
        <w:t xml:space="preserve"> years</w:t>
      </w:r>
      <w:r w:rsidRPr="00EE7B19">
        <w:rPr>
          <w:rFonts w:ascii="Palatino Linotype" w:hAnsi="Palatino Linotype"/>
        </w:rPr>
        <w:t xml:space="preserve"> and found that, although the presence of SSD at 6½ was strongly related to poor phonological awareness and literacy skills, this was largely due to co-occurring language difficulties. Nonetheless, SSD status at 6½ on its own </w:t>
      </w:r>
      <w:r w:rsidR="00C0403D">
        <w:rPr>
          <w:rFonts w:ascii="Palatino Linotype" w:hAnsi="Palatino Linotype"/>
        </w:rPr>
        <w:t>accounted for</w:t>
      </w:r>
      <w:r w:rsidR="00C0403D" w:rsidRPr="00EE7B19">
        <w:rPr>
          <w:rFonts w:ascii="Palatino Linotype" w:hAnsi="Palatino Linotype"/>
        </w:rPr>
        <w:t xml:space="preserve"> </w:t>
      </w:r>
      <w:r w:rsidRPr="00EE7B19">
        <w:rPr>
          <w:rFonts w:ascii="Palatino Linotype" w:hAnsi="Palatino Linotype"/>
        </w:rPr>
        <w:t xml:space="preserve">a small but significant </w:t>
      </w:r>
      <w:r w:rsidR="00C0403D">
        <w:rPr>
          <w:rFonts w:ascii="Palatino Linotype" w:hAnsi="Palatino Linotype"/>
        </w:rPr>
        <w:t xml:space="preserve">amount of </w:t>
      </w:r>
      <w:r w:rsidRPr="00EE7B19">
        <w:rPr>
          <w:rFonts w:ascii="Palatino Linotype" w:hAnsi="Palatino Linotype"/>
        </w:rPr>
        <w:t xml:space="preserve">unique </w:t>
      </w:r>
      <w:r w:rsidR="00C0403D">
        <w:rPr>
          <w:rFonts w:ascii="Palatino Linotype" w:hAnsi="Palatino Linotype"/>
        </w:rPr>
        <w:t>variance in</w:t>
      </w:r>
      <w:r w:rsidR="00DC1291" w:rsidRPr="00EE7B19">
        <w:rPr>
          <w:rFonts w:ascii="Palatino Linotype" w:hAnsi="Palatino Linotype"/>
        </w:rPr>
        <w:t xml:space="preserve"> </w:t>
      </w:r>
      <w:r w:rsidRPr="00EE7B19">
        <w:rPr>
          <w:rFonts w:ascii="Palatino Linotype" w:hAnsi="Palatino Linotype"/>
        </w:rPr>
        <w:t xml:space="preserve">spelling </w:t>
      </w:r>
      <w:r w:rsidR="00DC1291">
        <w:rPr>
          <w:rFonts w:ascii="Palatino Linotype" w:hAnsi="Palatino Linotype"/>
        </w:rPr>
        <w:t>but not reading skill</w:t>
      </w:r>
      <w:r w:rsidR="008730D6">
        <w:rPr>
          <w:rFonts w:ascii="Palatino Linotype" w:hAnsi="Palatino Linotype"/>
        </w:rPr>
        <w:t>s</w:t>
      </w:r>
      <w:r w:rsidRPr="00EE7B19">
        <w:rPr>
          <w:rFonts w:ascii="Palatino Linotype" w:hAnsi="Palatino Linotype"/>
        </w:rPr>
        <w:t xml:space="preserve">. </w:t>
      </w:r>
      <w:r w:rsidR="00C962A8">
        <w:rPr>
          <w:rFonts w:ascii="Palatino Linotype" w:hAnsi="Palatino Linotype"/>
        </w:rPr>
        <w:t xml:space="preserve"> Similar findings, of weak emergent literacy skills in children with isolated SSD, were also reported by De</w:t>
      </w:r>
      <w:r w:rsidR="002C2DEE">
        <w:rPr>
          <w:rFonts w:ascii="Palatino Linotype" w:hAnsi="Palatino Linotype"/>
        </w:rPr>
        <w:t xml:space="preserve"> </w:t>
      </w:r>
      <w:r w:rsidR="00C962A8">
        <w:rPr>
          <w:rFonts w:ascii="Palatino Linotype" w:hAnsi="Palatino Linotype"/>
        </w:rPr>
        <w:t>Thorne et al, (2006), and there is evidence of longer-</w:t>
      </w:r>
      <w:r w:rsidR="00D33EAF">
        <w:rPr>
          <w:rFonts w:ascii="Palatino Linotype" w:hAnsi="Palatino Linotype"/>
        </w:rPr>
        <w:t xml:space="preserve">term </w:t>
      </w:r>
      <w:r w:rsidR="00C962A8">
        <w:rPr>
          <w:rFonts w:ascii="Palatino Linotype" w:hAnsi="Palatino Linotype"/>
        </w:rPr>
        <w:t xml:space="preserve">effects of early isolated SSD when literacy skills were measured in </w:t>
      </w:r>
      <w:r w:rsidR="00D33EAF">
        <w:rPr>
          <w:rFonts w:ascii="Palatino Linotype" w:hAnsi="Palatino Linotype"/>
        </w:rPr>
        <w:t xml:space="preserve">middle childhood </w:t>
      </w:r>
      <w:r w:rsidR="00C962A8">
        <w:rPr>
          <w:rFonts w:ascii="Palatino Linotype" w:hAnsi="Palatino Linotype"/>
        </w:rPr>
        <w:t>(Lewis</w:t>
      </w:r>
      <w:r w:rsidR="00D90702">
        <w:rPr>
          <w:rFonts w:ascii="Palatino Linotype" w:hAnsi="Palatino Linotype"/>
        </w:rPr>
        <w:t>, Freebairn &amp; Taylor</w:t>
      </w:r>
      <w:r w:rsidR="00C962A8">
        <w:rPr>
          <w:rFonts w:ascii="Palatino Linotype" w:hAnsi="Palatino Linotype"/>
        </w:rPr>
        <w:t>, 2000).</w:t>
      </w:r>
    </w:p>
    <w:p w14:paraId="011EA885" w14:textId="2A8BCCE2" w:rsidR="00DC1291" w:rsidRDefault="00C962A8" w:rsidP="006E70FD">
      <w:pPr>
        <w:spacing w:line="480" w:lineRule="auto"/>
        <w:ind w:firstLine="709"/>
        <w:jc w:val="both"/>
        <w:rPr>
          <w:rFonts w:ascii="Palatino Linotype" w:hAnsi="Palatino Linotype"/>
        </w:rPr>
      </w:pPr>
      <w:r w:rsidRPr="006E70FD">
        <w:rPr>
          <w:rFonts w:ascii="Palatino Linotype" w:hAnsi="Palatino Linotype"/>
        </w:rPr>
        <w:t>An alternative view focuses not on the timing of SSD, but rather on the characteristics of the speech errors</w:t>
      </w:r>
      <w:r w:rsidR="008730D6" w:rsidRPr="006E70FD">
        <w:rPr>
          <w:rFonts w:ascii="Palatino Linotype" w:hAnsi="Palatino Linotype"/>
        </w:rPr>
        <w:t xml:space="preserve"> made</w:t>
      </w:r>
      <w:r w:rsidRPr="006E70FD">
        <w:rPr>
          <w:rFonts w:ascii="Palatino Linotype" w:hAnsi="Palatino Linotype"/>
        </w:rPr>
        <w:t xml:space="preserve">. </w:t>
      </w:r>
      <w:r w:rsidR="005B7C92" w:rsidRPr="006E70FD">
        <w:rPr>
          <w:rFonts w:ascii="Palatino Linotype" w:hAnsi="Palatino Linotype"/>
        </w:rPr>
        <w:fldChar w:fldCharType="begin"/>
      </w:r>
      <w:r w:rsidRPr="006E70FD">
        <w:rPr>
          <w:rFonts w:ascii="Palatino Linotype" w:hAnsi="Palatino Linotype"/>
        </w:rPr>
        <w:instrText xml:space="preserve"> ADDIN EN.CITE &lt;EndNote&gt;&lt;Cite&gt;&lt;Author&gt;Dodd&lt;/Author&gt;&lt;Year&gt;1995&lt;/Year&gt;&lt;RecNum&gt;278&lt;/RecNum&gt;&lt;DisplayText&gt;(Dodd, 1995)&lt;/DisplayText&gt;&lt;record&gt;&lt;rec-number&gt;278&lt;/rec-number&gt;&lt;foreign-keys&gt;&lt;key app="EN" db-id="9setw5fp0w9xtmerswtpr9pgpw0p9srtpevz"&gt;278&lt;/key&gt;&lt;/foreign-keys&gt;&lt;ref-type name="Book"&gt;6&lt;/ref-type&gt;&lt;contributors&gt;&lt;authors&gt;&lt;author&gt;B Dodd&lt;/author&gt;&lt;/authors&gt;&lt;/contributors&gt;&lt;titles&gt;&lt;title&gt;Differential Diagnosis and Treatment of Children with Speech Disorder&lt;/title&gt;&lt;/titles&gt;&lt;dates&gt;&lt;year&gt;1995&lt;/year&gt;&lt;/dates&gt;&lt;pub-location&gt;London&lt;/pub-location&gt;&lt;publisher&gt;Whurr Publishers&lt;/publisher&gt;&lt;label&gt;haven&amp;apos;t read it - describes framework of differentiating delayed, deviant consistent and deviant inconsistent speech impairments&lt;/label&gt;&lt;urls&gt;&lt;/urls&gt;&lt;/record&gt;&lt;/Cite&gt;&lt;/EndNote&gt;</w:instrText>
      </w:r>
      <w:r w:rsidR="005B7C92" w:rsidRPr="006E70FD">
        <w:rPr>
          <w:rFonts w:ascii="Palatino Linotype" w:hAnsi="Palatino Linotype"/>
        </w:rPr>
        <w:fldChar w:fldCharType="separate"/>
      </w:r>
      <w:hyperlink w:anchor="_ENREF_12" w:tooltip="Dodd, 1995 #278" w:history="1">
        <w:r w:rsidRPr="006E70FD">
          <w:rPr>
            <w:rFonts w:ascii="Palatino Linotype" w:hAnsi="Palatino Linotype"/>
            <w:noProof/>
          </w:rPr>
          <w:t>Dodd (1995</w:t>
        </w:r>
      </w:hyperlink>
      <w:r w:rsidRPr="006E70FD">
        <w:rPr>
          <w:rFonts w:ascii="Palatino Linotype" w:hAnsi="Palatino Linotype"/>
          <w:noProof/>
        </w:rPr>
        <w:t>)</w:t>
      </w:r>
      <w:r w:rsidR="005B7C92" w:rsidRPr="006E70FD">
        <w:rPr>
          <w:rFonts w:ascii="Palatino Linotype" w:hAnsi="Palatino Linotype"/>
        </w:rPr>
        <w:fldChar w:fldCharType="end"/>
      </w:r>
      <w:r w:rsidRPr="006E70FD">
        <w:rPr>
          <w:rFonts w:ascii="Palatino Linotype" w:hAnsi="Palatino Linotype"/>
        </w:rPr>
        <w:t xml:space="preserve"> </w:t>
      </w:r>
      <w:r w:rsidR="00DC1291" w:rsidRPr="006E70FD">
        <w:rPr>
          <w:rFonts w:ascii="Palatino Linotype" w:hAnsi="Palatino Linotype"/>
        </w:rPr>
        <w:t>classif</w:t>
      </w:r>
      <w:r w:rsidR="002C2DEE" w:rsidRPr="006E70FD">
        <w:rPr>
          <w:rFonts w:ascii="Palatino Linotype" w:hAnsi="Palatino Linotype"/>
        </w:rPr>
        <w:t>i</w:t>
      </w:r>
      <w:r w:rsidR="00DC1291" w:rsidRPr="006E70FD">
        <w:rPr>
          <w:rFonts w:ascii="Palatino Linotype" w:hAnsi="Palatino Linotype"/>
        </w:rPr>
        <w:t xml:space="preserve">ed </w:t>
      </w:r>
      <w:r w:rsidRPr="006E70FD">
        <w:rPr>
          <w:rFonts w:ascii="Palatino Linotype" w:hAnsi="Palatino Linotype"/>
        </w:rPr>
        <w:t xml:space="preserve">children </w:t>
      </w:r>
      <w:r w:rsidR="00DC1291" w:rsidRPr="006E70FD">
        <w:rPr>
          <w:rFonts w:ascii="Palatino Linotype" w:hAnsi="Palatino Linotype"/>
        </w:rPr>
        <w:t>according to</w:t>
      </w:r>
      <w:r w:rsidRPr="006E70FD">
        <w:rPr>
          <w:rFonts w:ascii="Palatino Linotype" w:hAnsi="Palatino Linotype"/>
        </w:rPr>
        <w:t xml:space="preserve"> whether they show</w:t>
      </w:r>
      <w:r w:rsidR="00DC1291" w:rsidRPr="006E70FD">
        <w:rPr>
          <w:rFonts w:ascii="Palatino Linotype" w:hAnsi="Palatino Linotype"/>
        </w:rPr>
        <w:t>ed</w:t>
      </w:r>
      <w:r w:rsidRPr="006E70FD">
        <w:rPr>
          <w:rFonts w:ascii="Palatino Linotype" w:hAnsi="Palatino Linotype"/>
        </w:rPr>
        <w:t xml:space="preserve"> </w:t>
      </w:r>
      <w:r w:rsidR="002C2DEE" w:rsidRPr="006E70FD">
        <w:rPr>
          <w:rFonts w:ascii="Palatino Linotype" w:hAnsi="Palatino Linotype"/>
        </w:rPr>
        <w:t xml:space="preserve">either </w:t>
      </w:r>
      <w:r w:rsidRPr="006E70FD">
        <w:rPr>
          <w:rFonts w:ascii="Palatino Linotype" w:hAnsi="Palatino Linotype"/>
        </w:rPr>
        <w:t xml:space="preserve">developmental delay </w:t>
      </w:r>
      <w:r w:rsidR="002C2DEE" w:rsidRPr="006E70FD">
        <w:rPr>
          <w:rFonts w:ascii="Palatino Linotype" w:hAnsi="Palatino Linotype"/>
        </w:rPr>
        <w:t xml:space="preserve">(speech errors that are prevalent in younger, typically developing children) </w:t>
      </w:r>
      <w:r w:rsidRPr="006E70FD">
        <w:rPr>
          <w:rFonts w:ascii="Palatino Linotype" w:hAnsi="Palatino Linotype"/>
        </w:rPr>
        <w:t>or disorder</w:t>
      </w:r>
      <w:r w:rsidR="001E0A22" w:rsidRPr="006E70FD">
        <w:rPr>
          <w:rFonts w:ascii="Palatino Linotype" w:hAnsi="Palatino Linotype"/>
        </w:rPr>
        <w:t>ed</w:t>
      </w:r>
      <w:r w:rsidRPr="006E70FD">
        <w:rPr>
          <w:rFonts w:ascii="Palatino Linotype" w:hAnsi="Palatino Linotype"/>
        </w:rPr>
        <w:t xml:space="preserve"> speech errors</w:t>
      </w:r>
      <w:r w:rsidR="00244711" w:rsidRPr="006E70FD">
        <w:rPr>
          <w:rFonts w:ascii="Palatino Linotype" w:hAnsi="Palatino Linotype"/>
        </w:rPr>
        <w:t xml:space="preserve"> (errors that do not tend to occur in typically developing speech, such as vowel distortions or initial consonant deletions)</w:t>
      </w:r>
      <w:r w:rsidRPr="006E70FD">
        <w:rPr>
          <w:rFonts w:ascii="Palatino Linotype" w:hAnsi="Palatino Linotype"/>
        </w:rPr>
        <w:t>.</w:t>
      </w:r>
      <w:r w:rsidR="00822513" w:rsidRPr="006E70FD">
        <w:rPr>
          <w:rFonts w:ascii="Palatino Linotype" w:hAnsi="Palatino Linotype"/>
        </w:rPr>
        <w:t xml:space="preserve"> </w:t>
      </w:r>
      <w:r w:rsidR="002C2DEE" w:rsidRPr="006E70FD">
        <w:rPr>
          <w:rFonts w:ascii="Palatino Linotype" w:hAnsi="Palatino Linotype"/>
        </w:rPr>
        <w:t xml:space="preserve"> </w:t>
      </w:r>
      <w:r w:rsidR="00DC1291" w:rsidRPr="006E70FD">
        <w:rPr>
          <w:rFonts w:ascii="Palatino Linotype" w:hAnsi="Palatino Linotype"/>
        </w:rPr>
        <w:t xml:space="preserve">According to </w:t>
      </w:r>
      <w:r w:rsidR="00822513" w:rsidRPr="006E70FD">
        <w:rPr>
          <w:rFonts w:ascii="Palatino Linotype" w:hAnsi="Palatino Linotype"/>
        </w:rPr>
        <w:t>Dodd</w:t>
      </w:r>
      <w:r w:rsidR="00DC1291" w:rsidRPr="006E70FD">
        <w:rPr>
          <w:rFonts w:ascii="Palatino Linotype" w:hAnsi="Palatino Linotype"/>
        </w:rPr>
        <w:t>,</w:t>
      </w:r>
      <w:r w:rsidRPr="006E70FD">
        <w:rPr>
          <w:rFonts w:ascii="Palatino Linotype" w:hAnsi="Palatino Linotype"/>
        </w:rPr>
        <w:t xml:space="preserve"> children showing disordered speech errors are likely to have deficits in the way that they represent the phonology of known words</w:t>
      </w:r>
      <w:r w:rsidR="002C6FF4" w:rsidRPr="006E70FD">
        <w:rPr>
          <w:rFonts w:ascii="Palatino Linotype" w:hAnsi="Palatino Linotype"/>
        </w:rPr>
        <w:t>,</w:t>
      </w:r>
      <w:r w:rsidR="00DC1291" w:rsidRPr="006E70FD">
        <w:rPr>
          <w:rFonts w:ascii="Palatino Linotype" w:hAnsi="Palatino Linotype"/>
        </w:rPr>
        <w:t xml:space="preserve"> and are at high risk of reading problems because phonological awareness skills are compromised</w:t>
      </w:r>
      <w:r w:rsidRPr="006E70FD">
        <w:rPr>
          <w:rFonts w:ascii="Palatino Linotype" w:hAnsi="Palatino Linotype"/>
        </w:rPr>
        <w:t xml:space="preserve">. </w:t>
      </w:r>
      <w:r w:rsidR="000015EF" w:rsidRPr="006E70FD">
        <w:rPr>
          <w:rFonts w:ascii="Palatino Linotype" w:hAnsi="Palatino Linotype"/>
        </w:rPr>
        <w:t>On the other hand, it is assumed that c</w:t>
      </w:r>
      <w:r w:rsidR="00244711" w:rsidRPr="006E70FD">
        <w:rPr>
          <w:rFonts w:ascii="Palatino Linotype" w:hAnsi="Palatino Linotype"/>
        </w:rPr>
        <w:t>hildren with speech delay will at some point catch up to their typical peers.</w:t>
      </w:r>
    </w:p>
    <w:p w14:paraId="7935B08C" w14:textId="7CB83313" w:rsidR="00E06B19" w:rsidRDefault="00C962A8" w:rsidP="006E70FD">
      <w:pPr>
        <w:spacing w:line="480" w:lineRule="auto"/>
        <w:ind w:firstLine="709"/>
        <w:jc w:val="both"/>
        <w:rPr>
          <w:rFonts w:ascii="Palatino Linotype" w:hAnsi="Palatino Linotype"/>
        </w:rPr>
      </w:pPr>
      <w:r w:rsidRPr="006E70FD">
        <w:rPr>
          <w:rFonts w:ascii="Palatino Linotype" w:hAnsi="Palatino Linotype"/>
        </w:rPr>
        <w:t xml:space="preserve">Evidence </w:t>
      </w:r>
      <w:r w:rsidR="001E0A22" w:rsidRPr="006E70FD">
        <w:rPr>
          <w:rFonts w:ascii="Palatino Linotype" w:hAnsi="Palatino Linotype"/>
        </w:rPr>
        <w:t>supporting</w:t>
      </w:r>
      <w:r w:rsidRPr="006E70FD">
        <w:rPr>
          <w:rFonts w:ascii="Palatino Linotype" w:hAnsi="Palatino Linotype"/>
        </w:rPr>
        <w:t xml:space="preserve"> this view </w:t>
      </w:r>
      <w:r w:rsidR="00DC1291" w:rsidRPr="006E70FD">
        <w:rPr>
          <w:rFonts w:ascii="Palatino Linotype" w:hAnsi="Palatino Linotype"/>
        </w:rPr>
        <w:t xml:space="preserve">comes from comparisons of </w:t>
      </w:r>
      <w:r w:rsidRPr="006E70FD">
        <w:rPr>
          <w:rFonts w:ascii="Palatino Linotype" w:hAnsi="Palatino Linotype"/>
        </w:rPr>
        <w:t xml:space="preserve">children with speech delay and speech disorder on phonological processing measures. </w:t>
      </w:r>
      <w:r w:rsidR="005B7C92" w:rsidRPr="006E70FD">
        <w:rPr>
          <w:rFonts w:ascii="Palatino Linotype" w:hAnsi="Palatino Linotype"/>
        </w:rPr>
        <w:fldChar w:fldCharType="begin"/>
      </w:r>
      <w:r w:rsidRPr="006E70FD">
        <w:rPr>
          <w:rFonts w:ascii="Palatino Linotype" w:hAnsi="Palatino Linotype"/>
        </w:rPr>
        <w:instrText xml:space="preserve"> ADDIN EN.CITE &lt;EndNote&gt;&lt;Cite&gt;&lt;Author&gt;Holm&lt;/Author&gt;&lt;Year&gt;2008&lt;/Year&gt;&lt;RecNum&gt;680&lt;/RecNum&gt;&lt;DisplayText&gt;(Holm, Farrier, &amp;amp; Dodd, 2008)&lt;/DisplayText&gt;&lt;record&gt;&lt;rec-number&gt;680&lt;/rec-number&gt;&lt;foreign-keys&gt;&lt;key app="EN" db-id="9setw5fp0w9xtmerswtpr9pgpw0p9srtpevz"&gt;680&lt;/key&gt;&lt;/foreign-keys&gt;&lt;ref-type name="Journal Article"&gt;17&lt;/ref-type&gt;&lt;contributors&gt;&lt;authors&gt;&lt;author&gt;Holm, A&lt;/author&gt;&lt;author&gt;Farrier, F&lt;/author&gt;&lt;author&gt;Dodd, B&lt;/author&gt;&lt;/authors&gt;&lt;/contributors&gt;&lt;titles&gt;&lt;title&gt;Phonological awareness, reading accuracy and spelling ability of children inconsistent phonological disorder&lt;/title&gt;&lt;secondary-title&gt;International Journal of Language and Communication Disorders&lt;/secondary-title&gt;&lt;/titles&gt;&lt;pages&gt;300-322&lt;/pages&gt;&lt;volume&gt;43&lt;/volume&gt;&lt;number&gt;3&lt;/number&gt;&lt;dates&gt;&lt;year&gt;2008&lt;/year&gt;&lt;/dates&gt;&lt;urls&gt;&lt;/urls&gt;&lt;/record&gt;&lt;/Cite&gt;&lt;/EndNote&gt;</w:instrText>
      </w:r>
      <w:r w:rsidR="005B7C92" w:rsidRPr="006E70FD">
        <w:rPr>
          <w:rFonts w:ascii="Palatino Linotype" w:hAnsi="Palatino Linotype"/>
        </w:rPr>
        <w:fldChar w:fldCharType="separate"/>
      </w:r>
      <w:hyperlink w:anchor="_ENREF_16" w:tooltip="Holm, 2008 #680" w:history="1">
        <w:r w:rsidRPr="006E70FD">
          <w:rPr>
            <w:rFonts w:ascii="Palatino Linotype" w:hAnsi="Palatino Linotype"/>
            <w:noProof/>
          </w:rPr>
          <w:t>Holm, Farrier and  Dodd (2008</w:t>
        </w:r>
      </w:hyperlink>
      <w:r w:rsidRPr="006E70FD">
        <w:rPr>
          <w:rFonts w:ascii="Palatino Linotype" w:hAnsi="Palatino Linotype"/>
          <w:noProof/>
        </w:rPr>
        <w:t>)</w:t>
      </w:r>
      <w:r w:rsidR="005B7C92" w:rsidRPr="006E70FD">
        <w:rPr>
          <w:rFonts w:ascii="Palatino Linotype" w:hAnsi="Palatino Linotype"/>
        </w:rPr>
        <w:fldChar w:fldCharType="end"/>
      </w:r>
      <w:r w:rsidRPr="006E70FD">
        <w:rPr>
          <w:rFonts w:ascii="Palatino Linotype" w:hAnsi="Palatino Linotype"/>
        </w:rPr>
        <w:t xml:space="preserve"> </w:t>
      </w:r>
      <w:r w:rsidR="00D33EAF" w:rsidRPr="006E70FD">
        <w:rPr>
          <w:rFonts w:ascii="Palatino Linotype" w:hAnsi="Palatino Linotype"/>
        </w:rPr>
        <w:t>found that</w:t>
      </w:r>
      <w:r w:rsidR="00C0403D" w:rsidRPr="006E70FD">
        <w:rPr>
          <w:rFonts w:ascii="Palatino Linotype" w:hAnsi="Palatino Linotype"/>
        </w:rPr>
        <w:t>,</w:t>
      </w:r>
      <w:r w:rsidRPr="006E70FD">
        <w:rPr>
          <w:rFonts w:ascii="Palatino Linotype" w:hAnsi="Palatino Linotype"/>
        </w:rPr>
        <w:t xml:space="preserve"> </w:t>
      </w:r>
      <w:r w:rsidR="00D33EAF" w:rsidRPr="006E70FD">
        <w:rPr>
          <w:rFonts w:ascii="Palatino Linotype" w:hAnsi="Palatino Linotype"/>
        </w:rPr>
        <w:t>a</w:t>
      </w:r>
      <w:r w:rsidR="00DC1291" w:rsidRPr="006E70FD">
        <w:rPr>
          <w:rFonts w:ascii="Palatino Linotype" w:hAnsi="Palatino Linotype"/>
        </w:rPr>
        <w:t xml:space="preserve">lthough the </w:t>
      </w:r>
      <w:r w:rsidRPr="006E70FD">
        <w:rPr>
          <w:rFonts w:ascii="Palatino Linotype" w:hAnsi="Palatino Linotype"/>
        </w:rPr>
        <w:t>groups were similar in terms of language skills</w:t>
      </w:r>
      <w:r w:rsidR="00DC1291" w:rsidRPr="006E70FD">
        <w:rPr>
          <w:rFonts w:ascii="Palatino Linotype" w:hAnsi="Palatino Linotype"/>
        </w:rPr>
        <w:t>, the c</w:t>
      </w:r>
      <w:r w:rsidRPr="006E70FD">
        <w:rPr>
          <w:rFonts w:ascii="Palatino Linotype" w:hAnsi="Palatino Linotype"/>
        </w:rPr>
        <w:t xml:space="preserve">hildren </w:t>
      </w:r>
      <w:r w:rsidR="00DC1291" w:rsidRPr="006E70FD">
        <w:rPr>
          <w:rFonts w:ascii="Palatino Linotype" w:hAnsi="Palatino Linotype"/>
        </w:rPr>
        <w:t xml:space="preserve">who made </w:t>
      </w:r>
      <w:r w:rsidRPr="006E70FD">
        <w:rPr>
          <w:rFonts w:ascii="Palatino Linotype" w:hAnsi="Palatino Linotype"/>
        </w:rPr>
        <w:t>disordered</w:t>
      </w:r>
      <w:r w:rsidR="00DC1291" w:rsidRPr="006E70FD">
        <w:rPr>
          <w:rFonts w:ascii="Palatino Linotype" w:hAnsi="Palatino Linotype"/>
        </w:rPr>
        <w:t xml:space="preserve"> speech </w:t>
      </w:r>
      <w:r w:rsidRPr="006E70FD">
        <w:rPr>
          <w:rFonts w:ascii="Palatino Linotype" w:hAnsi="Palatino Linotype"/>
        </w:rPr>
        <w:t xml:space="preserve">errors showed difficulties on </w:t>
      </w:r>
      <w:r w:rsidR="00822513" w:rsidRPr="006E70FD">
        <w:rPr>
          <w:rFonts w:ascii="Palatino Linotype" w:hAnsi="Palatino Linotype"/>
        </w:rPr>
        <w:t>phonological awareness tasks in</w:t>
      </w:r>
      <w:r w:rsidRPr="006E70FD">
        <w:rPr>
          <w:rFonts w:ascii="Palatino Linotype" w:hAnsi="Palatino Linotype"/>
        </w:rPr>
        <w:t xml:space="preserve"> comparison to those with speech delay, indicat</w:t>
      </w:r>
      <w:r w:rsidR="001E0A22" w:rsidRPr="006E70FD">
        <w:rPr>
          <w:rFonts w:ascii="Palatino Linotype" w:hAnsi="Palatino Linotype"/>
        </w:rPr>
        <w:t>ing</w:t>
      </w:r>
      <w:r w:rsidRPr="006E70FD">
        <w:rPr>
          <w:rFonts w:ascii="Palatino Linotype" w:hAnsi="Palatino Linotype"/>
        </w:rPr>
        <w:t xml:space="preserve"> difficulties </w:t>
      </w:r>
      <w:r w:rsidR="001E0A22" w:rsidRPr="006E70FD">
        <w:rPr>
          <w:rFonts w:ascii="Palatino Linotype" w:hAnsi="Palatino Linotype"/>
        </w:rPr>
        <w:t xml:space="preserve">in </w:t>
      </w:r>
      <w:r w:rsidRPr="006E70FD">
        <w:rPr>
          <w:rFonts w:ascii="Palatino Linotype" w:hAnsi="Palatino Linotype"/>
        </w:rPr>
        <w:t>learning the constraints of a phonological system. Similarly,</w:t>
      </w:r>
      <w:r w:rsidR="00735FD8" w:rsidRPr="006E70FD">
        <w:rPr>
          <w:rFonts w:ascii="Palatino Linotype" w:hAnsi="Palatino Linotype"/>
        </w:rPr>
        <w:t xml:space="preserve"> </w:t>
      </w:r>
      <w:r w:rsidR="005B7C92" w:rsidRPr="006E70FD">
        <w:rPr>
          <w:rFonts w:ascii="Palatino Linotype" w:hAnsi="Palatino Linotype"/>
        </w:rPr>
        <w:fldChar w:fldCharType="begin"/>
      </w:r>
      <w:r w:rsidRPr="006E70FD">
        <w:rPr>
          <w:rFonts w:ascii="Palatino Linotype" w:hAnsi="Palatino Linotype"/>
        </w:rPr>
        <w:instrText xml:space="preserve"> ADDIN EN.CITE &lt;EndNote&gt;&lt;Cite&gt;&lt;Author&gt;Leitao&lt;/Author&gt;&lt;Year&gt;1997&lt;/Year&gt;&lt;RecNum&gt;189&lt;/RecNum&gt;&lt;DisplayText&gt;(Leitao, et al., 1997)&lt;/DisplayText&gt;&lt;record&gt;&lt;rec-number&gt;189&lt;/rec-number&gt;&lt;foreign-keys&gt;&lt;key app="EN" db-id="9setw5fp0w9xtmerswtpr9pgpw0p9srtpevz"&gt;189&lt;/key&gt;&lt;/foreign-keys&gt;&lt;ref-type name="Journal Article"&gt;17&lt;/ref-type&gt;&lt;contributors&gt;&lt;authors&gt;&lt;author&gt;S Leitao&lt;/author&gt;&lt;author&gt;J Hogben&lt;/author&gt;&lt;author&gt;J Fletcher&lt;/author&gt;&lt;/authors&gt;&lt;/contributors&gt;&lt;titles&gt;&lt;title&gt;Phonological processing skills in speech and language impaired children&lt;/title&gt;&lt;secondary-title&gt;European Journal of Disorders of Communication&lt;/secondary-title&gt;&lt;/titles&gt;&lt;pages&gt;73-93&lt;/pages&gt;&lt;volume&gt;32&lt;/volume&gt;&lt;number&gt;2&lt;/number&gt;&lt;keywords&gt;&lt;keyword&gt;speech impaired, language impaired, subtypes, phonological processing&lt;/keyword&gt;&lt;/keywords&gt;&lt;dates&gt;&lt;year&gt;1997&lt;/year&gt;&lt;/dates&gt;&lt;urls&gt;&lt;/urls&gt;&lt;/record&gt;&lt;/Cite&gt;&lt;/EndNote&gt;</w:instrText>
      </w:r>
      <w:r w:rsidR="005B7C92" w:rsidRPr="006E70FD">
        <w:rPr>
          <w:rFonts w:ascii="Palatino Linotype" w:hAnsi="Palatino Linotype"/>
        </w:rPr>
        <w:fldChar w:fldCharType="separate"/>
      </w:r>
      <w:hyperlink w:anchor="_ENREF_18" w:tooltip="Leitao, 1997 #189" w:history="1">
        <w:r w:rsidRPr="006E70FD">
          <w:rPr>
            <w:rFonts w:ascii="Palatino Linotype" w:hAnsi="Palatino Linotype"/>
            <w:noProof/>
          </w:rPr>
          <w:t>Leitao</w:t>
        </w:r>
        <w:r w:rsidR="00D90702" w:rsidRPr="006E70FD">
          <w:rPr>
            <w:rFonts w:ascii="Palatino Linotype" w:hAnsi="Palatino Linotype"/>
            <w:noProof/>
          </w:rPr>
          <w:t>, Hogben and Fletcher</w:t>
        </w:r>
        <w:r w:rsidRPr="006E70FD">
          <w:rPr>
            <w:rFonts w:ascii="Palatino Linotype" w:hAnsi="Palatino Linotype"/>
            <w:noProof/>
          </w:rPr>
          <w:t xml:space="preserve"> (1997</w:t>
        </w:r>
      </w:hyperlink>
      <w:r w:rsidRPr="006E70FD">
        <w:rPr>
          <w:rFonts w:ascii="Palatino Linotype" w:hAnsi="Palatino Linotype"/>
          <w:noProof/>
        </w:rPr>
        <w:t>)</w:t>
      </w:r>
      <w:r w:rsidR="005B7C92" w:rsidRPr="006E70FD">
        <w:rPr>
          <w:rFonts w:ascii="Palatino Linotype" w:hAnsi="Palatino Linotype"/>
        </w:rPr>
        <w:fldChar w:fldCharType="end"/>
      </w:r>
      <w:r w:rsidRPr="006E70FD">
        <w:rPr>
          <w:rFonts w:ascii="Palatino Linotype" w:hAnsi="Palatino Linotype"/>
        </w:rPr>
        <w:t xml:space="preserve"> found that only children with disordered speech errors </w:t>
      </w:r>
      <w:r w:rsidR="002C2DEE" w:rsidRPr="006E70FD">
        <w:rPr>
          <w:rFonts w:ascii="Palatino Linotype" w:hAnsi="Palatino Linotype"/>
        </w:rPr>
        <w:t xml:space="preserve">had difficulties with </w:t>
      </w:r>
      <w:r w:rsidRPr="006E70FD">
        <w:rPr>
          <w:rFonts w:ascii="Palatino Linotype" w:hAnsi="Palatino Linotype"/>
        </w:rPr>
        <w:t xml:space="preserve">phonological awareness. A </w:t>
      </w:r>
      <w:r w:rsidR="006D6510" w:rsidRPr="006E70FD">
        <w:rPr>
          <w:rFonts w:ascii="Palatino Linotype" w:hAnsi="Palatino Linotype"/>
        </w:rPr>
        <w:t>follow-</w:t>
      </w:r>
      <w:r w:rsidRPr="006E70FD">
        <w:rPr>
          <w:rFonts w:ascii="Palatino Linotype" w:hAnsi="Palatino Linotype"/>
        </w:rPr>
        <w:t>up at 12</w:t>
      </w:r>
      <w:r w:rsidR="00D33EAF" w:rsidRPr="006E70FD">
        <w:rPr>
          <w:rFonts w:ascii="Palatino Linotype" w:hAnsi="Palatino Linotype"/>
        </w:rPr>
        <w:t>-</w:t>
      </w:r>
      <w:r w:rsidRPr="006E70FD">
        <w:rPr>
          <w:rFonts w:ascii="Palatino Linotype" w:hAnsi="Palatino Linotype"/>
        </w:rPr>
        <w:t>years</w:t>
      </w:r>
      <w:r w:rsidR="00D33EAF" w:rsidRPr="006E70FD">
        <w:rPr>
          <w:rFonts w:ascii="Palatino Linotype" w:hAnsi="Palatino Linotype"/>
        </w:rPr>
        <w:t>-</w:t>
      </w:r>
      <w:r w:rsidRPr="006E70FD">
        <w:rPr>
          <w:rFonts w:ascii="Palatino Linotype" w:hAnsi="Palatino Linotype"/>
        </w:rPr>
        <w:t xml:space="preserve">old </w:t>
      </w:r>
      <w:r w:rsidR="005B7C92" w:rsidRPr="006E70FD">
        <w:rPr>
          <w:rFonts w:ascii="Palatino Linotype" w:hAnsi="Palatino Linotype"/>
        </w:rPr>
        <w:fldChar w:fldCharType="begin"/>
      </w:r>
      <w:r w:rsidRPr="006E70FD">
        <w:rPr>
          <w:rFonts w:ascii="Palatino Linotype" w:hAnsi="Palatino Linotype"/>
        </w:rPr>
        <w:instrText xml:space="preserve"> ADDIN EN.CITE &lt;EndNote&gt;&lt;Cite&gt;&lt;Author&gt;Leitao&lt;/Author&gt;&lt;Year&gt;2004&lt;/Year&gt;&lt;RecNum&gt;676&lt;/RecNum&gt;&lt;DisplayText&gt;(Leitao &amp;amp; Fletcher, 2004)&lt;/DisplayText&gt;&lt;record&gt;&lt;rec-number&gt;676&lt;/rec-number&gt;&lt;foreign-keys&gt;&lt;key app="EN" db-id="9setw5fp0w9xtmerswtpr9pgpw0p9srtpevz"&gt;676&lt;/key&gt;&lt;/foreign-keys&gt;&lt;ref-type name="Journal Article"&gt;17&lt;/ref-type&gt;&lt;contributors&gt;&lt;authors&gt;&lt;author&gt;Leitao, S&lt;/author&gt;&lt;author&gt;Fletcher, J&lt;/author&gt;&lt;/authors&gt;&lt;/contributors&gt;&lt;titles&gt;&lt;title&gt;Literacy outcomes for students with speech impairment: long-term follow up&lt;/title&gt;&lt;secondary-title&gt;International Journal of Language and Communication Disorders&lt;/secondary-title&gt;&lt;/titles&gt;&lt;pages&gt;245-256&lt;/pages&gt;&lt;volume&gt;39&lt;/volume&gt;&lt;number&gt;2&lt;/number&gt;&lt;dates&gt;&lt;year&gt;2004&lt;/year&gt;&lt;/dates&gt;&lt;urls&gt;&lt;/urls&gt;&lt;/record&gt;&lt;/Cite&gt;&lt;/EndNote&gt;</w:instrText>
      </w:r>
      <w:r w:rsidR="005B7C92" w:rsidRPr="006E70FD">
        <w:rPr>
          <w:rFonts w:ascii="Palatino Linotype" w:hAnsi="Palatino Linotype"/>
        </w:rPr>
        <w:fldChar w:fldCharType="separate"/>
      </w:r>
      <w:r w:rsidRPr="006E70FD">
        <w:rPr>
          <w:rFonts w:ascii="Palatino Linotype" w:hAnsi="Palatino Linotype"/>
          <w:noProof/>
        </w:rPr>
        <w:t>(</w:t>
      </w:r>
      <w:hyperlink w:anchor="_ENREF_17" w:tooltip="Leitao, 2004 #676" w:history="1">
        <w:r w:rsidRPr="006E70FD">
          <w:rPr>
            <w:rFonts w:ascii="Palatino Linotype" w:hAnsi="Palatino Linotype"/>
            <w:noProof/>
          </w:rPr>
          <w:t>Leitao &amp; Fletcher, 2004</w:t>
        </w:r>
      </w:hyperlink>
      <w:r w:rsidRPr="006E70FD">
        <w:rPr>
          <w:rFonts w:ascii="Palatino Linotype" w:hAnsi="Palatino Linotype"/>
          <w:noProof/>
        </w:rPr>
        <w:t>)</w:t>
      </w:r>
      <w:r w:rsidR="005B7C92" w:rsidRPr="006E70FD">
        <w:rPr>
          <w:rFonts w:ascii="Palatino Linotype" w:hAnsi="Palatino Linotype"/>
        </w:rPr>
        <w:fldChar w:fldCharType="end"/>
      </w:r>
      <w:r w:rsidRPr="006E70FD">
        <w:rPr>
          <w:rFonts w:ascii="Palatino Linotype" w:hAnsi="Palatino Linotype"/>
        </w:rPr>
        <w:t xml:space="preserve"> showed that most of the sample continued to have literacy difficulties, and that the children with disordered speech at school entry were particularly impaired.</w:t>
      </w:r>
      <w:r w:rsidR="00F37C9A" w:rsidRPr="006E70FD">
        <w:rPr>
          <w:rFonts w:ascii="Palatino Linotype" w:hAnsi="Palatino Linotype"/>
        </w:rPr>
        <w:t xml:space="preserve"> These longitudinal findings were replicated in an independent sample of pre-schoolers with SSD: children who made disordered speech sound errors were more likely to have weak </w:t>
      </w:r>
      <w:r w:rsidR="00B927DC" w:rsidRPr="006E70FD">
        <w:rPr>
          <w:rFonts w:ascii="Palatino Linotype" w:hAnsi="Palatino Linotype"/>
        </w:rPr>
        <w:t xml:space="preserve">literacy </w:t>
      </w:r>
      <w:r w:rsidR="00F37C9A" w:rsidRPr="006E70FD">
        <w:rPr>
          <w:rFonts w:ascii="Palatino Linotype" w:hAnsi="Palatino Linotype"/>
        </w:rPr>
        <w:t>skills at the age of 8 (</w:t>
      </w:r>
      <w:r w:rsidR="00735FD8" w:rsidRPr="006E70FD">
        <w:rPr>
          <w:rFonts w:ascii="Palatino Linotype" w:hAnsi="Palatino Linotype"/>
        </w:rPr>
        <w:t>P</w:t>
      </w:r>
      <w:r w:rsidR="00F37C9A" w:rsidRPr="006E70FD">
        <w:rPr>
          <w:rFonts w:ascii="Palatino Linotype" w:hAnsi="Palatino Linotype"/>
        </w:rPr>
        <w:t xml:space="preserve">reston, Hull &amp; Edwards, </w:t>
      </w:r>
      <w:r w:rsidR="00735FD8" w:rsidRPr="006E70FD">
        <w:rPr>
          <w:rFonts w:ascii="Palatino Linotype" w:hAnsi="Palatino Linotype"/>
        </w:rPr>
        <w:t>2013)</w:t>
      </w:r>
      <w:r w:rsidR="00F37C9A" w:rsidRPr="006E70FD">
        <w:rPr>
          <w:rFonts w:ascii="Palatino Linotype" w:hAnsi="Palatino Linotype"/>
        </w:rPr>
        <w:t>.</w:t>
      </w:r>
    </w:p>
    <w:p w14:paraId="4F048DC8" w14:textId="2D0080B3" w:rsidR="006D6510" w:rsidRDefault="00DA150C" w:rsidP="006E70FD">
      <w:pPr>
        <w:spacing w:line="480" w:lineRule="auto"/>
        <w:ind w:firstLine="567"/>
        <w:jc w:val="both"/>
        <w:rPr>
          <w:rFonts w:ascii="Palatino Linotype" w:hAnsi="Palatino Linotype"/>
        </w:rPr>
      </w:pPr>
      <w:r w:rsidRPr="009826A4">
        <w:rPr>
          <w:rFonts w:ascii="Palatino Linotype" w:hAnsi="Palatino Linotype"/>
        </w:rPr>
        <w:t xml:space="preserve">Beyond the nature and timing of the SSD itself, broader language </w:t>
      </w:r>
      <w:r w:rsidR="006D6510">
        <w:rPr>
          <w:rFonts w:ascii="Palatino Linotype" w:hAnsi="Palatino Linotype"/>
        </w:rPr>
        <w:t>difficulties</w:t>
      </w:r>
      <w:r w:rsidR="006D6510" w:rsidRPr="009826A4">
        <w:rPr>
          <w:rFonts w:ascii="Palatino Linotype" w:hAnsi="Palatino Linotype"/>
        </w:rPr>
        <w:t xml:space="preserve"> </w:t>
      </w:r>
      <w:r w:rsidRPr="009826A4">
        <w:rPr>
          <w:rFonts w:ascii="Palatino Linotype" w:hAnsi="Palatino Linotype"/>
        </w:rPr>
        <w:t xml:space="preserve">have a substantial impact on literacy </w:t>
      </w:r>
      <w:r w:rsidR="008730D6">
        <w:rPr>
          <w:rFonts w:ascii="Palatino Linotype" w:hAnsi="Palatino Linotype"/>
        </w:rPr>
        <w:t>development</w:t>
      </w:r>
      <w:r w:rsidRPr="009826A4">
        <w:rPr>
          <w:rFonts w:ascii="Palatino Linotype" w:hAnsi="Palatino Linotype"/>
        </w:rPr>
        <w:t xml:space="preserve">. </w:t>
      </w:r>
      <w:r w:rsidR="009826A4" w:rsidRPr="009826A4">
        <w:rPr>
          <w:rFonts w:ascii="Palatino Linotype" w:hAnsi="Palatino Linotype"/>
        </w:rPr>
        <w:t xml:space="preserve">The most direct attempt to disentangle whether it is the </w:t>
      </w:r>
      <w:r w:rsidR="009826A4" w:rsidRPr="001E0A22">
        <w:rPr>
          <w:rFonts w:ascii="Palatino Linotype" w:hAnsi="Palatino Linotype"/>
        </w:rPr>
        <w:t>persistence</w:t>
      </w:r>
      <w:r w:rsidR="009826A4" w:rsidRPr="009826A4">
        <w:rPr>
          <w:rFonts w:ascii="Palatino Linotype" w:hAnsi="Palatino Linotype"/>
        </w:rPr>
        <w:t xml:space="preserve"> of SSD or its co-occurrence with LI</w:t>
      </w:r>
      <w:r w:rsidR="006D6510">
        <w:rPr>
          <w:rFonts w:ascii="Palatino Linotype" w:hAnsi="Palatino Linotype"/>
        </w:rPr>
        <w:t xml:space="preserve"> </w:t>
      </w:r>
      <w:r w:rsidR="006D6510" w:rsidRPr="009826A4">
        <w:rPr>
          <w:rFonts w:ascii="Palatino Linotype" w:hAnsi="Palatino Linotype"/>
        </w:rPr>
        <w:t>that matters for literacy</w:t>
      </w:r>
      <w:r w:rsidR="009826A4" w:rsidRPr="009826A4">
        <w:rPr>
          <w:rFonts w:ascii="Palatino Linotype" w:hAnsi="Palatino Linotype"/>
        </w:rPr>
        <w:t>, was a study by Raitano</w:t>
      </w:r>
      <w:r w:rsidR="005757D3">
        <w:rPr>
          <w:rFonts w:ascii="Palatino Linotype" w:hAnsi="Palatino Linotype"/>
        </w:rPr>
        <w:t xml:space="preserve">, Pennington, Tunick, Boada </w:t>
      </w:r>
      <w:r w:rsidR="00C0403D">
        <w:rPr>
          <w:rFonts w:ascii="Palatino Linotype" w:hAnsi="Palatino Linotype"/>
        </w:rPr>
        <w:t xml:space="preserve">and </w:t>
      </w:r>
      <w:r w:rsidR="005757D3">
        <w:rPr>
          <w:rFonts w:ascii="Palatino Linotype" w:hAnsi="Palatino Linotype"/>
        </w:rPr>
        <w:t xml:space="preserve">Shriberg </w:t>
      </w:r>
      <w:r w:rsidR="009826A4" w:rsidRPr="009826A4">
        <w:rPr>
          <w:rFonts w:ascii="Palatino Linotype" w:hAnsi="Palatino Linotype"/>
        </w:rPr>
        <w:t xml:space="preserve">(2004). </w:t>
      </w:r>
      <w:r w:rsidR="00D33EAF">
        <w:rPr>
          <w:rFonts w:ascii="Palatino Linotype" w:hAnsi="Palatino Linotype"/>
        </w:rPr>
        <w:t>K</w:t>
      </w:r>
      <w:r w:rsidR="00C323C4" w:rsidRPr="009826A4">
        <w:rPr>
          <w:rFonts w:ascii="Palatino Linotype" w:hAnsi="Palatino Linotype"/>
        </w:rPr>
        <w:t>indergarten</w:t>
      </w:r>
      <w:r w:rsidR="006D6510" w:rsidRPr="009826A4">
        <w:rPr>
          <w:rFonts w:ascii="Palatino Linotype" w:hAnsi="Palatino Linotype"/>
        </w:rPr>
        <w:t xml:space="preserve"> </w:t>
      </w:r>
      <w:r w:rsidR="009826A4" w:rsidRPr="009826A4">
        <w:rPr>
          <w:rFonts w:ascii="Palatino Linotype" w:hAnsi="Palatino Linotype"/>
        </w:rPr>
        <w:t>children (age 5</w:t>
      </w:r>
      <w:r w:rsidR="00B046E8">
        <w:rPr>
          <w:rFonts w:ascii="Palatino Linotype" w:hAnsi="Palatino Linotype"/>
        </w:rPr>
        <w:t>-</w:t>
      </w:r>
      <w:r w:rsidR="009826A4" w:rsidRPr="009826A4">
        <w:rPr>
          <w:rFonts w:ascii="Palatino Linotype" w:hAnsi="Palatino Linotype"/>
        </w:rPr>
        <w:t>6</w:t>
      </w:r>
      <w:r w:rsidR="008730D6">
        <w:rPr>
          <w:rFonts w:ascii="Palatino Linotype" w:hAnsi="Palatino Linotype"/>
        </w:rPr>
        <w:t xml:space="preserve"> years</w:t>
      </w:r>
      <w:r w:rsidR="009826A4" w:rsidRPr="009826A4">
        <w:rPr>
          <w:rFonts w:ascii="Palatino Linotype" w:hAnsi="Palatino Linotype"/>
        </w:rPr>
        <w:t>) who had a history of SSD were categorised according to their current SSD status (resolved or persistent), and LI status. Both cur</w:t>
      </w:r>
      <w:r w:rsidR="00BD44C2">
        <w:rPr>
          <w:rFonts w:ascii="Palatino Linotype" w:hAnsi="Palatino Linotype"/>
        </w:rPr>
        <w:t xml:space="preserve">rent SSD and LI had significant, additive, </w:t>
      </w:r>
      <w:r w:rsidR="009826A4" w:rsidRPr="009826A4">
        <w:rPr>
          <w:rFonts w:ascii="Palatino Linotype" w:hAnsi="Palatino Linotype"/>
        </w:rPr>
        <w:t xml:space="preserve">effects on phonological awareness skills; </w:t>
      </w:r>
      <w:r w:rsidR="001E0A22">
        <w:rPr>
          <w:rFonts w:ascii="Palatino Linotype" w:hAnsi="Palatino Linotype"/>
        </w:rPr>
        <w:t>additionally</w:t>
      </w:r>
      <w:r w:rsidR="009826A4" w:rsidRPr="009826A4">
        <w:rPr>
          <w:rFonts w:ascii="Palatino Linotype" w:hAnsi="Palatino Linotype"/>
        </w:rPr>
        <w:t xml:space="preserve">, a history of SSD, even if it had resolved, had a significant effect on phonological awareness at age 6. </w:t>
      </w:r>
      <w:r w:rsidR="00E06B19">
        <w:rPr>
          <w:rFonts w:ascii="Palatino Linotype" w:hAnsi="Palatino Linotype"/>
        </w:rPr>
        <w:t xml:space="preserve">When </w:t>
      </w:r>
      <w:r w:rsidR="008730D6">
        <w:rPr>
          <w:rFonts w:ascii="Palatino Linotype" w:hAnsi="Palatino Linotype"/>
        </w:rPr>
        <w:t>these children were</w:t>
      </w:r>
      <w:r w:rsidR="00BD44C2">
        <w:rPr>
          <w:rFonts w:ascii="Palatino Linotype" w:hAnsi="Palatino Linotype"/>
        </w:rPr>
        <w:t xml:space="preserve"> 7-9</w:t>
      </w:r>
      <w:r w:rsidR="008730D6">
        <w:rPr>
          <w:rFonts w:ascii="Palatino Linotype" w:hAnsi="Palatino Linotype"/>
        </w:rPr>
        <w:t xml:space="preserve"> years</w:t>
      </w:r>
      <w:r w:rsidR="00BD44C2">
        <w:rPr>
          <w:rFonts w:ascii="Palatino Linotype" w:hAnsi="Palatino Linotype"/>
        </w:rPr>
        <w:t>, Peterson</w:t>
      </w:r>
      <w:r w:rsidR="005757D3">
        <w:rPr>
          <w:rFonts w:ascii="Palatino Linotype" w:hAnsi="Palatino Linotype"/>
        </w:rPr>
        <w:t xml:space="preserve">, Pennington and Shriberg </w:t>
      </w:r>
      <w:r w:rsidR="00BD44C2">
        <w:rPr>
          <w:rFonts w:ascii="Palatino Linotype" w:hAnsi="Palatino Linotype"/>
        </w:rPr>
        <w:t xml:space="preserve">(2009) reported that while both co-occurring LI and persistent SSD continued to predict variance in phonological awareness skills, only LI </w:t>
      </w:r>
      <w:r w:rsidR="001E0A22">
        <w:rPr>
          <w:rFonts w:ascii="Palatino Linotype" w:hAnsi="Palatino Linotype"/>
        </w:rPr>
        <w:t>predicted</w:t>
      </w:r>
      <w:r w:rsidR="00BD44C2">
        <w:rPr>
          <w:rFonts w:ascii="Palatino Linotype" w:hAnsi="Palatino Linotype"/>
        </w:rPr>
        <w:t xml:space="preserve"> reading outcomes. That is, although children with a history of SSD had phonological processing deficits well into middle-childhood, this only appeared to result in a</w:t>
      </w:r>
      <w:r w:rsidR="003C63ED">
        <w:rPr>
          <w:rFonts w:ascii="Palatino Linotype" w:hAnsi="Palatino Linotype"/>
        </w:rPr>
        <w:t xml:space="preserve"> </w:t>
      </w:r>
      <w:r w:rsidR="00BD44C2">
        <w:rPr>
          <w:rFonts w:ascii="Palatino Linotype" w:hAnsi="Palatino Linotype"/>
        </w:rPr>
        <w:t xml:space="preserve">reading deficit if they also had broader oral language difficulties. </w:t>
      </w:r>
    </w:p>
    <w:p w14:paraId="68BD302E" w14:textId="2EDACD32" w:rsidR="00E06B19" w:rsidRDefault="00E06B19" w:rsidP="006E70FD">
      <w:pPr>
        <w:spacing w:line="480" w:lineRule="auto"/>
        <w:ind w:firstLine="709"/>
        <w:jc w:val="both"/>
        <w:rPr>
          <w:rFonts w:ascii="Palatino Linotype" w:hAnsi="Palatino Linotype"/>
        </w:rPr>
      </w:pPr>
      <w:r w:rsidRPr="006E70FD">
        <w:rPr>
          <w:rFonts w:ascii="Palatino Linotype" w:hAnsi="Palatino Linotype"/>
        </w:rPr>
        <w:t>I</w:t>
      </w:r>
      <w:r w:rsidR="006D6510" w:rsidRPr="006E70FD">
        <w:rPr>
          <w:rFonts w:ascii="Palatino Linotype" w:hAnsi="Palatino Linotype"/>
        </w:rPr>
        <w:t>n summary, t</w:t>
      </w:r>
      <w:r w:rsidR="0088597F" w:rsidRPr="006E70FD">
        <w:rPr>
          <w:rFonts w:ascii="Palatino Linotype" w:hAnsi="Palatino Linotype"/>
        </w:rPr>
        <w:t xml:space="preserve">he relationship between SSD, LI and Reading Disorder is complex: they co-occur more often than would be expected by chance, </w:t>
      </w:r>
      <w:r w:rsidR="00B046E8" w:rsidRPr="006E70FD">
        <w:rPr>
          <w:rFonts w:ascii="Palatino Linotype" w:hAnsi="Palatino Linotype"/>
        </w:rPr>
        <w:t xml:space="preserve">probably </w:t>
      </w:r>
      <w:r w:rsidR="0088597F" w:rsidRPr="006E70FD">
        <w:rPr>
          <w:rFonts w:ascii="Palatino Linotype" w:hAnsi="Palatino Linotype"/>
        </w:rPr>
        <w:t xml:space="preserve">because of overlapping genetic and environmental etiology (Pennington &amp; Bishop, 2009). A reasonable interpretation of </w:t>
      </w:r>
      <w:r w:rsidR="008730D6" w:rsidRPr="006E70FD">
        <w:rPr>
          <w:rFonts w:ascii="Palatino Linotype" w:hAnsi="Palatino Linotype"/>
        </w:rPr>
        <w:t>current findings</w:t>
      </w:r>
      <w:r w:rsidR="0088597F" w:rsidRPr="006E70FD">
        <w:rPr>
          <w:rFonts w:ascii="Palatino Linotype" w:hAnsi="Palatino Linotype"/>
        </w:rPr>
        <w:t xml:space="preserve"> would be that</w:t>
      </w:r>
      <w:r w:rsidR="00304069" w:rsidRPr="006E70FD">
        <w:rPr>
          <w:rFonts w:ascii="Palatino Linotype" w:hAnsi="Palatino Linotype"/>
        </w:rPr>
        <w:t>, since</w:t>
      </w:r>
      <w:r w:rsidR="0088597F" w:rsidRPr="006E70FD">
        <w:rPr>
          <w:rFonts w:ascii="Palatino Linotype" w:hAnsi="Palatino Linotype"/>
        </w:rPr>
        <w:t xml:space="preserve"> </w:t>
      </w:r>
      <w:r w:rsidR="00304069" w:rsidRPr="006E70FD">
        <w:rPr>
          <w:rFonts w:ascii="Palatino Linotype" w:hAnsi="Palatino Linotype"/>
        </w:rPr>
        <w:t xml:space="preserve">both </w:t>
      </w:r>
      <w:r w:rsidR="0088597F" w:rsidRPr="006E70FD">
        <w:rPr>
          <w:rFonts w:ascii="Palatino Linotype" w:hAnsi="Palatino Linotype"/>
        </w:rPr>
        <w:t xml:space="preserve">phonological and broader language skills </w:t>
      </w:r>
      <w:r w:rsidR="004E6DAF" w:rsidRPr="006E70FD">
        <w:rPr>
          <w:rFonts w:ascii="Palatino Linotype" w:hAnsi="Palatino Linotype"/>
        </w:rPr>
        <w:t xml:space="preserve">are a foundation for </w:t>
      </w:r>
      <w:r w:rsidR="00304069" w:rsidRPr="006E70FD">
        <w:rPr>
          <w:rFonts w:ascii="Palatino Linotype" w:hAnsi="Palatino Linotype"/>
        </w:rPr>
        <w:t xml:space="preserve">reading (Hulme, Nash, Gooch, </w:t>
      </w:r>
      <w:r w:rsidR="00304069" w:rsidRPr="006E70FD">
        <w:rPr>
          <w:rFonts w:ascii="Palatino Linotype" w:hAnsi="Palatino Linotype" w:cs="Arial"/>
          <w:color w:val="0D0D0D"/>
          <w:shd w:val="clear" w:color="auto" w:fill="FFFFFF"/>
        </w:rPr>
        <w:t>Lervåg</w:t>
      </w:r>
      <w:r w:rsidR="00304069" w:rsidRPr="006E70FD">
        <w:rPr>
          <w:rFonts w:ascii="Palatino Linotype" w:hAnsi="Palatino Linotype"/>
        </w:rPr>
        <w:t xml:space="preserve"> &amp; Snowling, 2016) deficits in these skills </w:t>
      </w:r>
      <w:r w:rsidRPr="006E70FD">
        <w:rPr>
          <w:rFonts w:ascii="Palatino Linotype" w:hAnsi="Palatino Linotype"/>
        </w:rPr>
        <w:t>are</w:t>
      </w:r>
      <w:r w:rsidR="0088597F" w:rsidRPr="006E70FD">
        <w:rPr>
          <w:rFonts w:ascii="Palatino Linotype" w:hAnsi="Palatino Linotype"/>
        </w:rPr>
        <w:t xml:space="preserve"> endophenotypes that mediate the well-established genetic risk for dyslexia</w:t>
      </w:r>
      <w:r w:rsidRPr="006E70FD">
        <w:rPr>
          <w:rFonts w:ascii="Palatino Linotype" w:hAnsi="Palatino Linotype"/>
        </w:rPr>
        <w:t xml:space="preserve"> on reading </w:t>
      </w:r>
      <w:r w:rsidR="005757D3" w:rsidRPr="006E70FD">
        <w:rPr>
          <w:rFonts w:ascii="Palatino Linotype" w:hAnsi="Palatino Linotype"/>
        </w:rPr>
        <w:t>development</w:t>
      </w:r>
      <w:r w:rsidR="0088597F" w:rsidRPr="006E70FD">
        <w:rPr>
          <w:rFonts w:ascii="Palatino Linotype" w:hAnsi="Palatino Linotype"/>
        </w:rPr>
        <w:t xml:space="preserve"> (Lewis et al., 2011).</w:t>
      </w:r>
      <w:r w:rsidR="00D5623A" w:rsidRPr="006E70FD">
        <w:rPr>
          <w:rFonts w:ascii="Palatino Linotype" w:hAnsi="Palatino Linotype"/>
        </w:rPr>
        <w:t xml:space="preserve">  </w:t>
      </w:r>
      <w:r w:rsidRPr="006E70FD">
        <w:rPr>
          <w:rFonts w:ascii="Palatino Linotype" w:hAnsi="Palatino Linotype"/>
        </w:rPr>
        <w:t>Importantly however,</w:t>
      </w:r>
      <w:r w:rsidR="004E6DAF" w:rsidRPr="006E70FD">
        <w:rPr>
          <w:rFonts w:ascii="Palatino Linotype" w:hAnsi="Palatino Linotype"/>
        </w:rPr>
        <w:t xml:space="preserve"> </w:t>
      </w:r>
      <w:r w:rsidR="00D5623A" w:rsidRPr="006E70FD">
        <w:rPr>
          <w:rFonts w:ascii="Palatino Linotype" w:hAnsi="Palatino Linotype"/>
        </w:rPr>
        <w:t>Carroll</w:t>
      </w:r>
      <w:r w:rsidR="005757D3" w:rsidRPr="006E70FD">
        <w:rPr>
          <w:rFonts w:ascii="Palatino Linotype" w:hAnsi="Palatino Linotype"/>
        </w:rPr>
        <w:t xml:space="preserve">, Mundy and Cunningham </w:t>
      </w:r>
      <w:r w:rsidR="00D5623A" w:rsidRPr="006E70FD">
        <w:rPr>
          <w:rFonts w:ascii="Palatino Linotype" w:hAnsi="Palatino Linotype"/>
        </w:rPr>
        <w:t>(201</w:t>
      </w:r>
      <w:r w:rsidR="00604DD6" w:rsidRPr="006E70FD">
        <w:rPr>
          <w:rFonts w:ascii="Palatino Linotype" w:hAnsi="Palatino Linotype"/>
        </w:rPr>
        <w:t>4</w:t>
      </w:r>
      <w:r w:rsidR="00D5623A" w:rsidRPr="006E70FD">
        <w:rPr>
          <w:rFonts w:ascii="Palatino Linotype" w:hAnsi="Palatino Linotype"/>
        </w:rPr>
        <w:t xml:space="preserve">) reported that a family history of dyslexia conferred additional risk of poor reading outcomes, over and above the contribution of speech and language </w:t>
      </w:r>
      <w:r w:rsidR="004E6DAF" w:rsidRPr="006E70FD">
        <w:rPr>
          <w:rFonts w:ascii="Palatino Linotype" w:hAnsi="Palatino Linotype"/>
        </w:rPr>
        <w:t>measures</w:t>
      </w:r>
      <w:r w:rsidR="005435E9" w:rsidRPr="006E70FD">
        <w:rPr>
          <w:rFonts w:ascii="Palatino Linotype" w:hAnsi="Palatino Linotype"/>
        </w:rPr>
        <w:t xml:space="preserve">: </w:t>
      </w:r>
      <w:r w:rsidR="004E6DAF" w:rsidRPr="006E70FD">
        <w:rPr>
          <w:rFonts w:ascii="Palatino Linotype" w:hAnsi="Palatino Linotype"/>
        </w:rPr>
        <w:t xml:space="preserve">it is </w:t>
      </w:r>
      <w:r w:rsidR="00304069" w:rsidRPr="006E70FD">
        <w:rPr>
          <w:rFonts w:ascii="Palatino Linotype" w:hAnsi="Palatino Linotype"/>
        </w:rPr>
        <w:t xml:space="preserve">therefore </w:t>
      </w:r>
      <w:r w:rsidR="004E6DAF" w:rsidRPr="006E70FD">
        <w:rPr>
          <w:rFonts w:ascii="Palatino Linotype" w:hAnsi="Palatino Linotype"/>
        </w:rPr>
        <w:t>plausible</w:t>
      </w:r>
      <w:r w:rsidR="00144911" w:rsidRPr="006E70FD">
        <w:rPr>
          <w:rFonts w:ascii="Palatino Linotype" w:hAnsi="Palatino Linotype"/>
        </w:rPr>
        <w:t xml:space="preserve"> that some of these risk</w:t>
      </w:r>
      <w:r w:rsidR="00F9605C" w:rsidRPr="006E70FD">
        <w:rPr>
          <w:rFonts w:ascii="Palatino Linotype" w:hAnsi="Palatino Linotype"/>
        </w:rPr>
        <w:t>s</w:t>
      </w:r>
      <w:r w:rsidR="00144911" w:rsidRPr="006E70FD">
        <w:rPr>
          <w:rFonts w:ascii="Palatino Linotype" w:hAnsi="Palatino Linotype"/>
        </w:rPr>
        <w:t xml:space="preserve"> </w:t>
      </w:r>
      <w:r w:rsidR="004E6DAF" w:rsidRPr="006E70FD">
        <w:rPr>
          <w:rFonts w:ascii="Palatino Linotype" w:hAnsi="Palatino Linotype"/>
        </w:rPr>
        <w:t xml:space="preserve">associated with family-risk </w:t>
      </w:r>
      <w:r w:rsidR="00144911" w:rsidRPr="006E70FD">
        <w:rPr>
          <w:rFonts w:ascii="Palatino Linotype" w:hAnsi="Palatino Linotype"/>
        </w:rPr>
        <w:t xml:space="preserve">lie outside </w:t>
      </w:r>
      <w:r w:rsidR="00F9605C" w:rsidRPr="006E70FD">
        <w:rPr>
          <w:rFonts w:ascii="Palatino Linotype" w:hAnsi="Palatino Linotype"/>
        </w:rPr>
        <w:t>the domain</w:t>
      </w:r>
      <w:r w:rsidR="00144911" w:rsidRPr="006E70FD">
        <w:rPr>
          <w:rFonts w:ascii="Palatino Linotype" w:hAnsi="Palatino Linotype"/>
        </w:rPr>
        <w:t xml:space="preserve"> of speech, phonology and language</w:t>
      </w:r>
      <w:r w:rsidR="002C6FF4" w:rsidRPr="006E70FD">
        <w:rPr>
          <w:rFonts w:ascii="Palatino Linotype" w:hAnsi="Palatino Linotype"/>
        </w:rPr>
        <w:t>.</w:t>
      </w:r>
      <w:r w:rsidR="00A96A17" w:rsidRPr="006E70FD">
        <w:rPr>
          <w:rFonts w:ascii="Palatino Linotype" w:hAnsi="Palatino Linotype"/>
        </w:rPr>
        <w:t xml:space="preserve"> These may be genetic or environmental, and lie beyond the scope of the current investigation.</w:t>
      </w:r>
    </w:p>
    <w:p w14:paraId="59AED885" w14:textId="1B970156" w:rsidR="003D0B0F" w:rsidRDefault="00F9605C" w:rsidP="008A4E9D">
      <w:pPr>
        <w:spacing w:line="480" w:lineRule="auto"/>
        <w:ind w:firstLine="709"/>
        <w:rPr>
          <w:rFonts w:ascii="Palatino Linotype" w:hAnsi="Palatino Linotype"/>
        </w:rPr>
      </w:pPr>
      <w:r>
        <w:rPr>
          <w:rFonts w:ascii="Palatino Linotype" w:hAnsi="Palatino Linotype"/>
        </w:rPr>
        <w:t xml:space="preserve">The current study focuses on the literacy outcomes </w:t>
      </w:r>
      <w:r w:rsidR="006E70FD">
        <w:rPr>
          <w:rFonts w:ascii="Palatino Linotype" w:hAnsi="Palatino Linotype"/>
        </w:rPr>
        <w:t>of children with SSD in</w:t>
      </w:r>
      <w:r>
        <w:rPr>
          <w:rFonts w:ascii="Palatino Linotype" w:hAnsi="Palatino Linotype"/>
        </w:rPr>
        <w:t xml:space="preserve"> the initial stages of reading instruction </w:t>
      </w:r>
      <w:r w:rsidR="00D33EAF">
        <w:rPr>
          <w:rFonts w:ascii="Palatino Linotype" w:hAnsi="Palatino Linotype"/>
        </w:rPr>
        <w:t xml:space="preserve">at </w:t>
      </w:r>
      <w:r>
        <w:rPr>
          <w:rFonts w:ascii="Palatino Linotype" w:hAnsi="Palatino Linotype"/>
        </w:rPr>
        <w:t>age 5</w:t>
      </w:r>
      <w:r w:rsidR="006E70FD">
        <w:rPr>
          <w:rFonts w:ascii="Palatino Linotype" w:hAnsi="Palatino Linotype"/>
        </w:rPr>
        <w:t xml:space="preserve"> and </w:t>
      </w:r>
      <w:r>
        <w:rPr>
          <w:rFonts w:ascii="Palatino Linotype" w:hAnsi="Palatino Linotype"/>
        </w:rPr>
        <w:t>three years later</w:t>
      </w:r>
      <w:r w:rsidR="004E6DAF">
        <w:rPr>
          <w:rFonts w:ascii="Palatino Linotype" w:hAnsi="Palatino Linotype"/>
        </w:rPr>
        <w:t xml:space="preserve"> at age 8</w:t>
      </w:r>
      <w:r>
        <w:rPr>
          <w:rFonts w:ascii="Palatino Linotype" w:hAnsi="Palatino Linotype"/>
        </w:rPr>
        <w:t xml:space="preserve">. We </w:t>
      </w:r>
      <w:r w:rsidR="003D0B0F">
        <w:rPr>
          <w:rFonts w:ascii="Palatino Linotype" w:hAnsi="Palatino Linotype"/>
        </w:rPr>
        <w:t>test</w:t>
      </w:r>
      <w:r w:rsidR="00D33EAF">
        <w:rPr>
          <w:rFonts w:ascii="Palatino Linotype" w:hAnsi="Palatino Linotype"/>
        </w:rPr>
        <w:t>ed</w:t>
      </w:r>
      <w:r w:rsidR="003D0B0F">
        <w:rPr>
          <w:rFonts w:ascii="Palatino Linotype" w:hAnsi="Palatino Linotype"/>
        </w:rPr>
        <w:t xml:space="preserve"> the following hypotheses:</w:t>
      </w:r>
    </w:p>
    <w:p w14:paraId="589E4541" w14:textId="79460369" w:rsidR="006434B6" w:rsidRDefault="006434B6" w:rsidP="006434B6">
      <w:pPr>
        <w:pStyle w:val="ListParagraph"/>
        <w:numPr>
          <w:ilvl w:val="0"/>
          <w:numId w:val="8"/>
        </w:numPr>
        <w:spacing w:line="480" w:lineRule="auto"/>
        <w:rPr>
          <w:rFonts w:ascii="Palatino Linotype" w:hAnsi="Palatino Linotype"/>
        </w:rPr>
      </w:pPr>
      <w:r>
        <w:rPr>
          <w:rFonts w:ascii="Palatino Linotype" w:hAnsi="Palatino Linotype"/>
        </w:rPr>
        <w:t>T</w:t>
      </w:r>
      <w:r w:rsidRPr="00A42DB7">
        <w:rPr>
          <w:rFonts w:ascii="Palatino Linotype" w:hAnsi="Palatino Linotype"/>
        </w:rPr>
        <w:t xml:space="preserve">here will be an overall effect of early SSD status on literacy outcomes at both time-points. </w:t>
      </w:r>
    </w:p>
    <w:p w14:paraId="4AD3C539" w14:textId="79AA8F18" w:rsidR="006434B6" w:rsidRDefault="006434B6" w:rsidP="006434B6">
      <w:pPr>
        <w:pStyle w:val="ListParagraph"/>
        <w:numPr>
          <w:ilvl w:val="0"/>
          <w:numId w:val="8"/>
        </w:numPr>
        <w:spacing w:line="480" w:lineRule="auto"/>
        <w:rPr>
          <w:rFonts w:ascii="Palatino Linotype" w:hAnsi="Palatino Linotype"/>
        </w:rPr>
      </w:pPr>
      <w:r>
        <w:rPr>
          <w:rFonts w:ascii="Palatino Linotype" w:hAnsi="Palatino Linotype"/>
        </w:rPr>
        <w:t xml:space="preserve">When </w:t>
      </w:r>
      <w:r w:rsidRPr="00A42DB7">
        <w:rPr>
          <w:rFonts w:ascii="Palatino Linotype" w:hAnsi="Palatino Linotype"/>
        </w:rPr>
        <w:t xml:space="preserve">SSD co-occurs with language impairment </w:t>
      </w:r>
      <w:r>
        <w:rPr>
          <w:rFonts w:ascii="Palatino Linotype" w:hAnsi="Palatino Linotype"/>
        </w:rPr>
        <w:t xml:space="preserve">this </w:t>
      </w:r>
      <w:r w:rsidRPr="00A42DB7">
        <w:rPr>
          <w:rFonts w:ascii="Palatino Linotype" w:hAnsi="Palatino Linotype"/>
        </w:rPr>
        <w:t>will result in poorer literacy outcomes than isolated SSD.</w:t>
      </w:r>
    </w:p>
    <w:p w14:paraId="43FD2280" w14:textId="5CEB7671" w:rsidR="005C7AD0" w:rsidRPr="008A4E9D" w:rsidRDefault="006434B6" w:rsidP="00E06B19">
      <w:pPr>
        <w:pStyle w:val="ListParagraph"/>
        <w:numPr>
          <w:ilvl w:val="0"/>
          <w:numId w:val="8"/>
        </w:numPr>
        <w:spacing w:line="480" w:lineRule="auto"/>
        <w:rPr>
          <w:rFonts w:ascii="Palatino Linotype" w:hAnsi="Palatino Linotype"/>
        </w:rPr>
      </w:pPr>
      <w:r w:rsidRPr="00A42DB7">
        <w:rPr>
          <w:rFonts w:ascii="Palatino Linotype" w:hAnsi="Palatino Linotype" w:cstheme="minorBidi"/>
          <w:lang w:eastAsia="en-US"/>
        </w:rPr>
        <w:t xml:space="preserve">The presence of a family-risk of dyslexia will contribute to the likelihood of a poor literacy outcome, over and above the contribution of speech and language status. </w:t>
      </w:r>
    </w:p>
    <w:p w14:paraId="358C49F8" w14:textId="0DFDDB4B" w:rsidR="006434B6" w:rsidRDefault="006434B6" w:rsidP="006434B6">
      <w:pPr>
        <w:pStyle w:val="ListParagraph"/>
        <w:numPr>
          <w:ilvl w:val="0"/>
          <w:numId w:val="8"/>
        </w:numPr>
        <w:spacing w:line="480" w:lineRule="auto"/>
        <w:rPr>
          <w:rFonts w:ascii="Palatino Linotype" w:hAnsi="Palatino Linotype"/>
        </w:rPr>
      </w:pPr>
      <w:r>
        <w:rPr>
          <w:rFonts w:ascii="Palatino Linotype" w:hAnsi="Palatino Linotype"/>
        </w:rPr>
        <w:t xml:space="preserve">Within the group with SSD, there will be a worse literacy outcome if the initial SSD is more severe, if it persists to age 5, and if the speech errors can be characterised as ‘disordered’ rather than ‘delayed’. </w:t>
      </w:r>
    </w:p>
    <w:p w14:paraId="5A2155EF" w14:textId="1B306C2E" w:rsidR="00F9605C" w:rsidRPr="00995C33" w:rsidRDefault="00A85E9D" w:rsidP="008A4E9D">
      <w:pPr>
        <w:spacing w:line="480" w:lineRule="auto"/>
        <w:rPr>
          <w:rFonts w:ascii="Palatino Linotype" w:hAnsi="Palatino Linotype"/>
          <w:b/>
        </w:rPr>
      </w:pPr>
      <w:r>
        <w:rPr>
          <w:rFonts w:ascii="Palatino Linotype" w:hAnsi="Palatino Linotype"/>
          <w:b/>
        </w:rPr>
        <w:t>METHOD</w:t>
      </w:r>
    </w:p>
    <w:p w14:paraId="351B5B1E" w14:textId="7CED58FA" w:rsidR="00B20C75" w:rsidRPr="00A85E9D" w:rsidRDefault="00B20C75" w:rsidP="008A4E9D">
      <w:pPr>
        <w:spacing w:line="480" w:lineRule="auto"/>
        <w:rPr>
          <w:rFonts w:ascii="Palatino Linotype" w:hAnsi="Palatino Linotype"/>
          <w:b/>
        </w:rPr>
      </w:pPr>
      <w:r w:rsidRPr="00A85E9D">
        <w:rPr>
          <w:rFonts w:ascii="Palatino Linotype" w:hAnsi="Palatino Linotype"/>
          <w:b/>
        </w:rPr>
        <w:t>Participants</w:t>
      </w:r>
    </w:p>
    <w:p w14:paraId="0E7B9EEB" w14:textId="684B3B3C" w:rsidR="006434B6" w:rsidRDefault="006D518A" w:rsidP="006E70FD">
      <w:pPr>
        <w:spacing w:line="480" w:lineRule="auto"/>
        <w:ind w:firstLine="720"/>
        <w:jc w:val="both"/>
        <w:rPr>
          <w:rFonts w:ascii="Palatino Linotype" w:hAnsi="Palatino Linotype"/>
        </w:rPr>
      </w:pPr>
      <w:r w:rsidRPr="006E70FD">
        <w:rPr>
          <w:rFonts w:ascii="Palatino Linotype" w:hAnsi="Palatino Linotype"/>
        </w:rPr>
        <w:t xml:space="preserve">Families were recruited to the study via advertisements, and through speech and language therapy services. </w:t>
      </w:r>
      <w:r w:rsidR="00C85BF8" w:rsidRPr="006E70FD">
        <w:rPr>
          <w:rFonts w:ascii="Palatino Linotype" w:hAnsi="Palatino Linotype"/>
        </w:rPr>
        <w:t>245</w:t>
      </w:r>
      <w:r w:rsidR="00744B40" w:rsidRPr="006E70FD">
        <w:rPr>
          <w:rFonts w:ascii="Palatino Linotype" w:hAnsi="Palatino Linotype"/>
        </w:rPr>
        <w:t xml:space="preserve"> children were recruited</w:t>
      </w:r>
      <w:r w:rsidR="006434B6" w:rsidRPr="006E70FD">
        <w:rPr>
          <w:rFonts w:ascii="Palatino Linotype" w:hAnsi="Palatino Linotype"/>
        </w:rPr>
        <w:t xml:space="preserve"> </w:t>
      </w:r>
      <w:r w:rsidR="009149C3" w:rsidRPr="006E70FD">
        <w:rPr>
          <w:rFonts w:ascii="Palatino Linotype" w:hAnsi="Palatino Linotype"/>
        </w:rPr>
        <w:t>and</w:t>
      </w:r>
      <w:r w:rsidR="00744B40" w:rsidRPr="006E70FD">
        <w:rPr>
          <w:rFonts w:ascii="Palatino Linotype" w:hAnsi="Palatino Linotype"/>
        </w:rPr>
        <w:t xml:space="preserve"> </w:t>
      </w:r>
      <w:r w:rsidR="00742F3F" w:rsidRPr="006E70FD">
        <w:rPr>
          <w:rFonts w:ascii="Palatino Linotype" w:hAnsi="Palatino Linotype"/>
        </w:rPr>
        <w:t xml:space="preserve">tested 6 times </w:t>
      </w:r>
      <w:r w:rsidR="00744B40" w:rsidRPr="006E70FD">
        <w:rPr>
          <w:rFonts w:ascii="Palatino Linotype" w:hAnsi="Palatino Linotype"/>
        </w:rPr>
        <w:t>at roughly annual interval</w:t>
      </w:r>
      <w:r w:rsidR="00FE5B58" w:rsidRPr="006E70FD">
        <w:rPr>
          <w:rFonts w:ascii="Palatino Linotype" w:hAnsi="Palatino Linotype"/>
        </w:rPr>
        <w:t>s, between the ages of 3½ and 9</w:t>
      </w:r>
      <w:r w:rsidR="000A0468" w:rsidRPr="006E70FD">
        <w:rPr>
          <w:rFonts w:ascii="Palatino Linotype" w:hAnsi="Palatino Linotype"/>
        </w:rPr>
        <w:t xml:space="preserve"> (an additional 15 children were recruited into the overarching study at Time 2, but are not included in the current analyses, because the focus is on </w:t>
      </w:r>
      <w:r w:rsidR="00261531" w:rsidRPr="006E70FD">
        <w:rPr>
          <w:rFonts w:ascii="Palatino Linotype" w:hAnsi="Palatino Linotype"/>
        </w:rPr>
        <w:t>SSD status at Time 1/</w:t>
      </w:r>
      <w:r w:rsidR="000A0468" w:rsidRPr="006E70FD">
        <w:rPr>
          <w:rFonts w:ascii="Palatino Linotype" w:hAnsi="Palatino Linotype"/>
        </w:rPr>
        <w:t xml:space="preserve"> age 3½)</w:t>
      </w:r>
      <w:r w:rsidR="00DB2804" w:rsidRPr="006E70FD">
        <w:rPr>
          <w:rFonts w:ascii="Palatino Linotype" w:hAnsi="Palatino Linotype"/>
        </w:rPr>
        <w:t xml:space="preserve">. </w:t>
      </w:r>
      <w:r w:rsidR="006434B6" w:rsidRPr="006E70FD">
        <w:rPr>
          <w:rFonts w:ascii="Palatino Linotype" w:hAnsi="Palatino Linotype"/>
        </w:rPr>
        <w:t>None met exclusionary criteria (MZ twinning, chronic illness, deafness, English as a 2</w:t>
      </w:r>
      <w:r w:rsidR="006434B6" w:rsidRPr="006E70FD">
        <w:rPr>
          <w:rFonts w:ascii="Palatino Linotype" w:hAnsi="Palatino Linotype"/>
          <w:vertAlign w:val="superscript"/>
        </w:rPr>
        <w:t>nd</w:t>
      </w:r>
      <w:r w:rsidR="006434B6" w:rsidRPr="006E70FD">
        <w:rPr>
          <w:rFonts w:ascii="Palatino Linotype" w:hAnsi="Palatino Linotype"/>
        </w:rPr>
        <w:t xml:space="preserve"> language, </w:t>
      </w:r>
      <w:r w:rsidR="0034306C" w:rsidRPr="006E70FD">
        <w:rPr>
          <w:rFonts w:ascii="Palatino Linotype" w:hAnsi="Palatino Linotype"/>
        </w:rPr>
        <w:t>foster care or living in a children’s home</w:t>
      </w:r>
      <w:r w:rsidR="006434B6" w:rsidRPr="006E70FD">
        <w:rPr>
          <w:rFonts w:ascii="Palatino Linotype" w:hAnsi="Palatino Linotype"/>
        </w:rPr>
        <w:t>, or a known neurological or psychiatric disorder). Ethical approval for the study was provided by the ethics committee of the Department of Psychology at the University of York, and the NHS Research Ethics Committee. Parents provided informed consent for their child to be involved.</w:t>
      </w:r>
      <w:r w:rsidR="006434B6">
        <w:rPr>
          <w:rFonts w:ascii="Palatino Linotype" w:hAnsi="Palatino Linotype"/>
        </w:rPr>
        <w:t xml:space="preserve"> </w:t>
      </w:r>
    </w:p>
    <w:p w14:paraId="79AB3E3D" w14:textId="764FC494" w:rsidR="00057C7F" w:rsidRDefault="009574BB" w:rsidP="006E70FD">
      <w:pPr>
        <w:spacing w:line="480" w:lineRule="auto"/>
        <w:ind w:firstLine="720"/>
        <w:jc w:val="both"/>
        <w:rPr>
          <w:rFonts w:ascii="Palatino Linotype" w:hAnsi="Palatino Linotype"/>
        </w:rPr>
      </w:pPr>
      <w:r w:rsidRPr="006E70FD">
        <w:rPr>
          <w:rFonts w:ascii="Palatino Linotype" w:hAnsi="Palatino Linotype"/>
        </w:rPr>
        <w:t xml:space="preserve">Following recruitment, families were classified as at family-risk (FR) or not and </w:t>
      </w:r>
      <w:r w:rsidR="00214CFE" w:rsidRPr="006E70FD">
        <w:rPr>
          <w:rFonts w:ascii="Palatino Linotype" w:hAnsi="Palatino Linotype"/>
        </w:rPr>
        <w:t xml:space="preserve">each </w:t>
      </w:r>
      <w:r w:rsidRPr="006E70FD">
        <w:rPr>
          <w:rFonts w:ascii="Palatino Linotype" w:hAnsi="Palatino Linotype"/>
        </w:rPr>
        <w:t xml:space="preserve">child </w:t>
      </w:r>
      <w:r w:rsidR="00214CFE" w:rsidRPr="006E70FD">
        <w:rPr>
          <w:rFonts w:ascii="Palatino Linotype" w:hAnsi="Palatino Linotype"/>
        </w:rPr>
        <w:t xml:space="preserve">was </w:t>
      </w:r>
      <w:r w:rsidRPr="006E70FD">
        <w:rPr>
          <w:rFonts w:ascii="Palatino Linotype" w:hAnsi="Palatino Linotype"/>
        </w:rPr>
        <w:t>assessed for language impairment (LI).  This led to an initial classification of children into four groups</w:t>
      </w:r>
      <w:r w:rsidR="00DB2804" w:rsidRPr="006E70FD">
        <w:rPr>
          <w:rFonts w:ascii="Palatino Linotype" w:hAnsi="Palatino Linotype"/>
        </w:rPr>
        <w:t xml:space="preserve"> (FR</w:t>
      </w:r>
      <w:r w:rsidR="00B046E8" w:rsidRPr="006E70FD">
        <w:rPr>
          <w:rFonts w:ascii="Palatino Linotype" w:hAnsi="Palatino Linotype"/>
        </w:rPr>
        <w:t xml:space="preserve"> (family-risk only)</w:t>
      </w:r>
      <w:r w:rsidR="00DB2804" w:rsidRPr="006E70FD">
        <w:rPr>
          <w:rFonts w:ascii="Palatino Linotype" w:hAnsi="Palatino Linotype"/>
        </w:rPr>
        <w:t>, LI</w:t>
      </w:r>
      <w:r w:rsidR="00B046E8" w:rsidRPr="006E70FD">
        <w:rPr>
          <w:rFonts w:ascii="Palatino Linotype" w:hAnsi="Palatino Linotype"/>
        </w:rPr>
        <w:t xml:space="preserve"> (language impairment only)</w:t>
      </w:r>
      <w:r w:rsidR="00DB2804" w:rsidRPr="006E70FD">
        <w:rPr>
          <w:rFonts w:ascii="Palatino Linotype" w:hAnsi="Palatino Linotype"/>
        </w:rPr>
        <w:t xml:space="preserve">, FRLI </w:t>
      </w:r>
      <w:r w:rsidR="00B046E8" w:rsidRPr="006E70FD">
        <w:rPr>
          <w:rFonts w:ascii="Palatino Linotype" w:hAnsi="Palatino Linotype"/>
        </w:rPr>
        <w:t xml:space="preserve">(family-risk and language impairment) </w:t>
      </w:r>
      <w:r w:rsidR="00DB2804" w:rsidRPr="006E70FD">
        <w:rPr>
          <w:rFonts w:ascii="Palatino Linotype" w:hAnsi="Palatino Linotype"/>
        </w:rPr>
        <w:t>and TD control</w:t>
      </w:r>
      <w:r w:rsidR="00B046E8" w:rsidRPr="006E70FD">
        <w:rPr>
          <w:rFonts w:ascii="Palatino Linotype" w:hAnsi="Palatino Linotype"/>
        </w:rPr>
        <w:t xml:space="preserve"> (typically developing)</w:t>
      </w:r>
      <w:r w:rsidR="00DB2804" w:rsidRPr="006E70FD">
        <w:rPr>
          <w:rFonts w:ascii="Palatino Linotype" w:hAnsi="Palatino Linotype"/>
        </w:rPr>
        <w:t xml:space="preserve">; </w:t>
      </w:r>
      <w:r w:rsidRPr="006E70FD">
        <w:rPr>
          <w:rFonts w:ascii="Palatino Linotype" w:hAnsi="Palatino Linotype"/>
        </w:rPr>
        <w:t>see</w:t>
      </w:r>
      <w:r w:rsidR="00E06B19" w:rsidRPr="006E70FD">
        <w:rPr>
          <w:rFonts w:ascii="Palatino Linotype" w:hAnsi="Palatino Linotype"/>
        </w:rPr>
        <w:t xml:space="preserve"> </w:t>
      </w:r>
      <w:r w:rsidRPr="006E70FD">
        <w:rPr>
          <w:rFonts w:ascii="Palatino Linotype" w:hAnsi="Palatino Linotype"/>
        </w:rPr>
        <w:t>Nash</w:t>
      </w:r>
      <w:r w:rsidR="005757D3" w:rsidRPr="006E70FD">
        <w:rPr>
          <w:rFonts w:ascii="Palatino Linotype" w:hAnsi="Palatino Linotype"/>
        </w:rPr>
        <w:t>, Hulme, Gooch &amp; Snowling</w:t>
      </w:r>
      <w:r w:rsidRPr="006E70FD">
        <w:rPr>
          <w:rFonts w:ascii="Palatino Linotype" w:hAnsi="Palatino Linotype"/>
        </w:rPr>
        <w:t>, 2013</w:t>
      </w:r>
      <w:r w:rsidR="00DB2804" w:rsidRPr="006E70FD">
        <w:rPr>
          <w:rFonts w:ascii="Palatino Linotype" w:hAnsi="Palatino Linotype"/>
        </w:rPr>
        <w:t xml:space="preserve"> for further details</w:t>
      </w:r>
      <w:r w:rsidRPr="006E70FD">
        <w:rPr>
          <w:rFonts w:ascii="Palatino Linotype" w:hAnsi="Palatino Linotype"/>
        </w:rPr>
        <w:t xml:space="preserve">). </w:t>
      </w:r>
      <w:r w:rsidR="009149C3" w:rsidRPr="006E70FD">
        <w:rPr>
          <w:rFonts w:ascii="Palatino Linotype" w:hAnsi="Palatino Linotype"/>
        </w:rPr>
        <w:t>Although children were not</w:t>
      </w:r>
      <w:r w:rsidR="00922954" w:rsidRPr="006E70FD">
        <w:rPr>
          <w:rFonts w:ascii="Palatino Linotype" w:hAnsi="Palatino Linotype"/>
        </w:rPr>
        <w:t xml:space="preserve"> originally</w:t>
      </w:r>
      <w:r w:rsidR="009149C3" w:rsidRPr="006E70FD">
        <w:rPr>
          <w:rFonts w:ascii="Palatino Linotype" w:hAnsi="Palatino Linotype"/>
        </w:rPr>
        <w:t xml:space="preserve"> recruited on the basis of speech sound disorder, they were</w:t>
      </w:r>
      <w:r w:rsidR="00922954" w:rsidRPr="006E70FD">
        <w:rPr>
          <w:rFonts w:ascii="Palatino Linotype" w:hAnsi="Palatino Linotype"/>
        </w:rPr>
        <w:t xml:space="preserve"> assessed for this at T1, and those who met SSD criteria are the focus of the current study. I</w:t>
      </w:r>
      <w:r w:rsidR="00057C7F" w:rsidRPr="006E70FD">
        <w:rPr>
          <w:rFonts w:ascii="Palatino Linotype" w:hAnsi="Palatino Linotype"/>
        </w:rPr>
        <w:t xml:space="preserve">t is important to note that many children fulfilled criteria for more than one risk category (family-risk; LI, SSD; see </w:t>
      </w:r>
      <w:r w:rsidR="00117724" w:rsidRPr="006E70FD">
        <w:rPr>
          <w:rFonts w:ascii="Palatino Linotype" w:hAnsi="Palatino Linotype"/>
        </w:rPr>
        <w:t xml:space="preserve">Table </w:t>
      </w:r>
      <w:r w:rsidR="00057C7F" w:rsidRPr="006E70FD">
        <w:rPr>
          <w:rFonts w:ascii="Palatino Linotype" w:hAnsi="Palatino Linotype"/>
        </w:rPr>
        <w:t>1 for details of participant</w:t>
      </w:r>
      <w:r w:rsidR="005C50A1" w:rsidRPr="006E70FD">
        <w:rPr>
          <w:rFonts w:ascii="Palatino Linotype" w:hAnsi="Palatino Linotype"/>
        </w:rPr>
        <w:t>s)</w:t>
      </w:r>
      <w:r w:rsidR="00057C7F" w:rsidRPr="006E70FD">
        <w:rPr>
          <w:rFonts w:ascii="Palatino Linotype" w:hAnsi="Palatino Linotype"/>
        </w:rPr>
        <w:t>. T</w:t>
      </w:r>
      <w:r w:rsidR="00214CFE" w:rsidRPr="006E70FD">
        <w:rPr>
          <w:rFonts w:ascii="Palatino Linotype" w:hAnsi="Palatino Linotype"/>
        </w:rPr>
        <w:t xml:space="preserve">he </w:t>
      </w:r>
      <w:r w:rsidRPr="006E70FD">
        <w:rPr>
          <w:rFonts w:ascii="Palatino Linotype" w:hAnsi="Palatino Linotype"/>
        </w:rPr>
        <w:t xml:space="preserve">study examines the progress </w:t>
      </w:r>
      <w:r w:rsidR="00214CFE" w:rsidRPr="006E70FD">
        <w:rPr>
          <w:rFonts w:ascii="Palatino Linotype" w:hAnsi="Palatino Linotype"/>
        </w:rPr>
        <w:t xml:space="preserve">of the sample </w:t>
      </w:r>
      <w:r w:rsidRPr="006E70FD">
        <w:rPr>
          <w:rFonts w:ascii="Palatino Linotype" w:hAnsi="Palatino Linotype"/>
        </w:rPr>
        <w:t xml:space="preserve">at three time-points of the overarching longitudinal study: T1 (age 3½), T3 (age 5½) and T5 (age 8) on a subset of measures.  </w:t>
      </w:r>
      <w:r w:rsidR="00214CFE" w:rsidRPr="006E70FD">
        <w:rPr>
          <w:rFonts w:ascii="Palatino Linotype" w:hAnsi="Palatino Linotype"/>
        </w:rPr>
        <w:t>There was a small amount of missing data.</w:t>
      </w:r>
      <w:r w:rsidR="00057C7F">
        <w:rPr>
          <w:rFonts w:ascii="Palatino Linotype" w:hAnsi="Palatino Linotype"/>
        </w:rPr>
        <w:t xml:space="preserve">  </w:t>
      </w:r>
      <w:r w:rsidR="00214CFE">
        <w:rPr>
          <w:rFonts w:ascii="Palatino Linotype" w:hAnsi="Palatino Linotype"/>
        </w:rPr>
        <w:t xml:space="preserve">  </w:t>
      </w:r>
      <w:r>
        <w:rPr>
          <w:rFonts w:ascii="Palatino Linotype" w:hAnsi="Palatino Linotype"/>
        </w:rPr>
        <w:t xml:space="preserve">  </w:t>
      </w:r>
    </w:p>
    <w:p w14:paraId="645747E4" w14:textId="77F090FB" w:rsidR="00E10E19" w:rsidRPr="00A85E9D" w:rsidRDefault="00A10156" w:rsidP="006E70FD">
      <w:pPr>
        <w:spacing w:line="480" w:lineRule="auto"/>
        <w:jc w:val="both"/>
        <w:rPr>
          <w:rFonts w:ascii="Palatino Linotype" w:hAnsi="Palatino Linotype"/>
          <w:b/>
          <w:i/>
        </w:rPr>
      </w:pPr>
      <w:r w:rsidRPr="00A85E9D">
        <w:rPr>
          <w:rFonts w:ascii="Palatino Linotype" w:hAnsi="Palatino Linotype"/>
          <w:b/>
          <w:i/>
        </w:rPr>
        <w:t>Defining f</w:t>
      </w:r>
      <w:r w:rsidR="00995C33" w:rsidRPr="00A85E9D">
        <w:rPr>
          <w:rFonts w:ascii="Palatino Linotype" w:hAnsi="Palatino Linotype"/>
          <w:b/>
          <w:i/>
        </w:rPr>
        <w:t xml:space="preserve">amily-risk of dyslexia, </w:t>
      </w:r>
      <w:r w:rsidRPr="00A85E9D">
        <w:rPr>
          <w:rFonts w:ascii="Palatino Linotype" w:hAnsi="Palatino Linotype"/>
          <w:b/>
          <w:i/>
        </w:rPr>
        <w:t>language i</w:t>
      </w:r>
      <w:r w:rsidR="00995C33" w:rsidRPr="00A85E9D">
        <w:rPr>
          <w:rFonts w:ascii="Palatino Linotype" w:hAnsi="Palatino Linotype"/>
          <w:b/>
          <w:i/>
        </w:rPr>
        <w:t xml:space="preserve">mpairment, and </w:t>
      </w:r>
      <w:r w:rsidRPr="00A85E9D">
        <w:rPr>
          <w:rFonts w:ascii="Palatino Linotype" w:hAnsi="Palatino Linotype"/>
          <w:b/>
          <w:i/>
        </w:rPr>
        <w:t>speech sound d</w:t>
      </w:r>
      <w:r w:rsidR="00995C33" w:rsidRPr="00A85E9D">
        <w:rPr>
          <w:rFonts w:ascii="Palatino Linotype" w:hAnsi="Palatino Linotype"/>
          <w:b/>
          <w:i/>
        </w:rPr>
        <w:t>isorder.</w:t>
      </w:r>
    </w:p>
    <w:p w14:paraId="0D99C98B" w14:textId="086E9100" w:rsidR="00055442" w:rsidRPr="00086FEC" w:rsidRDefault="00072C9E" w:rsidP="006E70FD">
      <w:pPr>
        <w:spacing w:line="480" w:lineRule="auto"/>
        <w:jc w:val="both"/>
        <w:rPr>
          <w:rFonts w:ascii="Palatino Linotype" w:hAnsi="Palatino Linotype" w:cs="AdvOTf9433e2d"/>
          <w:color w:val="000000"/>
        </w:rPr>
      </w:pPr>
      <w:r w:rsidRPr="00A85E9D">
        <w:rPr>
          <w:rFonts w:ascii="Palatino Linotype" w:hAnsi="Palatino Linotype"/>
          <w:u w:val="single"/>
        </w:rPr>
        <w:t>Family-risk status</w:t>
      </w:r>
      <w:r w:rsidR="00A85E9D">
        <w:rPr>
          <w:rFonts w:ascii="Palatino Linotype" w:hAnsi="Palatino Linotype"/>
        </w:rPr>
        <w:t>:</w:t>
      </w:r>
      <w:r w:rsidR="00E10E19">
        <w:rPr>
          <w:rFonts w:ascii="Palatino Linotype" w:hAnsi="Palatino Linotype"/>
        </w:rPr>
        <w:t xml:space="preserve"> </w:t>
      </w:r>
      <w:r w:rsidR="00E10E19" w:rsidRPr="00E10E19">
        <w:rPr>
          <w:rFonts w:ascii="Palatino Linotype" w:hAnsi="Palatino Linotype"/>
        </w:rPr>
        <w:t>Family-risk status</w:t>
      </w:r>
      <w:r w:rsidRPr="006E70FD">
        <w:rPr>
          <w:rFonts w:ascii="Palatino Linotype" w:hAnsi="Palatino Linotype"/>
        </w:rPr>
        <w:t xml:space="preserve"> of dyslexia</w:t>
      </w:r>
      <w:r w:rsidR="00B927DC" w:rsidRPr="006E70FD">
        <w:rPr>
          <w:rFonts w:ascii="Palatino Linotype" w:hAnsi="Palatino Linotype"/>
        </w:rPr>
        <w:t xml:space="preserve"> </w:t>
      </w:r>
      <w:r w:rsidR="00304069" w:rsidRPr="006E70FD">
        <w:rPr>
          <w:rFonts w:ascii="Palatino Linotype" w:hAnsi="Palatino Linotype"/>
        </w:rPr>
        <w:t>was ascertained on the basis of a first-degree relative</w:t>
      </w:r>
      <w:r w:rsidR="003F6C2E" w:rsidRPr="006E70FD">
        <w:rPr>
          <w:rFonts w:ascii="Palatino Linotype" w:hAnsi="Palatino Linotype"/>
        </w:rPr>
        <w:t xml:space="preserve"> (biological parent or full sibling)</w:t>
      </w:r>
      <w:r w:rsidR="00B927DC" w:rsidRPr="006E70FD">
        <w:rPr>
          <w:rFonts w:ascii="Palatino Linotype" w:hAnsi="Palatino Linotype"/>
        </w:rPr>
        <w:t>,</w:t>
      </w:r>
      <w:r w:rsidR="00304069" w:rsidRPr="006E70FD">
        <w:rPr>
          <w:rFonts w:ascii="Palatino Linotype" w:hAnsi="Palatino Linotype"/>
        </w:rPr>
        <w:t xml:space="preserve"> as is standard practice in the field. Previous studies </w:t>
      </w:r>
      <w:r w:rsidR="00304069" w:rsidRPr="006E70FD">
        <w:rPr>
          <w:rFonts w:ascii="Palatino Linotype" w:hAnsi="Palatino Linotype" w:cs="AdvOTf9433e2d"/>
          <w:color w:val="000000"/>
        </w:rPr>
        <w:t xml:space="preserve">have mostly used parental self-report measures to determine whether a first degree relative has dyslexia.  We considered it appropriate to validate this process with objective assessment when possible because it is not uncommon for parents with a history of reading difficulties to be unaware that they have dyslexia. </w:t>
      </w:r>
      <w:r w:rsidR="00304069" w:rsidRPr="006E70FD">
        <w:rPr>
          <w:rFonts w:ascii="Palatino Linotype" w:hAnsi="Palatino Linotype"/>
        </w:rPr>
        <w:t>Thus,</w:t>
      </w:r>
      <w:r w:rsidR="00304069" w:rsidRPr="006E70FD">
        <w:rPr>
          <w:rFonts w:ascii="Palatino Linotype" w:hAnsi="Palatino Linotype" w:cs="AdvOTf9433e2d"/>
        </w:rPr>
        <w:t xml:space="preserve"> each parent who consented, regardless of whether or not he or she self-reported as dyslexic, was assessed to ascertain family-risk status (see below). </w:t>
      </w:r>
      <w:r w:rsidR="00304069" w:rsidRPr="006E70FD">
        <w:rPr>
          <w:rFonts w:ascii="Palatino Linotype" w:hAnsi="Palatino Linotype"/>
        </w:rPr>
        <w:t>Participating c</w:t>
      </w:r>
      <w:r w:rsidR="00304069" w:rsidRPr="006E70FD">
        <w:rPr>
          <w:rFonts w:ascii="Palatino Linotype" w:hAnsi="Palatino Linotype" w:cs="AdvOTf9433e2d"/>
          <w:color w:val="000000"/>
        </w:rPr>
        <w:t>hildren were classified</w:t>
      </w:r>
      <w:r w:rsidR="00304069" w:rsidRPr="006E70FD">
        <w:rPr>
          <w:rFonts w:ascii="Palatino Linotype" w:hAnsi="Palatino Linotype" w:cs="AdvOTf9433e2d"/>
        </w:rPr>
        <w:t xml:space="preserve"> </w:t>
      </w:r>
      <w:r w:rsidR="00304069" w:rsidRPr="006E70FD">
        <w:rPr>
          <w:rFonts w:ascii="Palatino Linotype" w:hAnsi="Palatino Linotype" w:cs="AdvOTf9433e2d"/>
          <w:color w:val="000000"/>
        </w:rPr>
        <w:t>as at family risk if</w:t>
      </w:r>
      <w:r w:rsidR="006E70FD">
        <w:rPr>
          <w:rFonts w:ascii="Palatino Linotype" w:hAnsi="Palatino Linotype" w:cs="AdvOTf9433e2d"/>
          <w:color w:val="000000"/>
        </w:rPr>
        <w:t>:</w:t>
      </w:r>
      <w:r w:rsidR="00304069" w:rsidRPr="006E70FD">
        <w:rPr>
          <w:rFonts w:ascii="Palatino Linotype" w:hAnsi="Palatino Linotype" w:cs="AdvOTf9433e2d"/>
          <w:color w:val="000000"/>
        </w:rPr>
        <w:t xml:space="preserve"> </w:t>
      </w:r>
      <w:r w:rsidRPr="006E70FD">
        <w:rPr>
          <w:rFonts w:ascii="Palatino Linotype" w:hAnsi="Palatino Linotype"/>
        </w:rPr>
        <w:t>a parent self-reported as dyslexic, on the basis of the Adult Reading Questionnaire (Snowling</w:t>
      </w:r>
      <w:r w:rsidR="006E70FD">
        <w:rPr>
          <w:rFonts w:ascii="Palatino Linotype" w:hAnsi="Palatino Linotype"/>
        </w:rPr>
        <w:t xml:space="preserve">, Dawes, Nash &amp; Hulme, 2012); </w:t>
      </w:r>
      <w:r w:rsidRPr="006E70FD">
        <w:rPr>
          <w:rFonts w:ascii="Palatino Linotype" w:hAnsi="Palatino Linotype"/>
        </w:rPr>
        <w:t>for parents who consented to objective testing, a literacy composite score below 90 derived from two tests of nonword reading and spelling</w:t>
      </w:r>
      <w:r w:rsidR="00775C74" w:rsidRPr="006E70FD">
        <w:rPr>
          <w:rFonts w:ascii="Palatino Linotype" w:hAnsi="Palatino Linotype"/>
        </w:rPr>
        <w:t xml:space="preserve"> (Test of Word Reading Efficiency: TOWRE, Torgesen, Wagner &amp; Rashotte, 1999, and the spelling subtest from the Wide Range Achievement Test; WRAT-4, Wilkinson &amp; Roberston, 2006)</w:t>
      </w:r>
      <w:r w:rsidR="006E70FD">
        <w:rPr>
          <w:rFonts w:ascii="Palatino Linotype" w:hAnsi="Palatino Linotype"/>
        </w:rPr>
        <w:t>; and</w:t>
      </w:r>
      <w:r w:rsidRPr="006E70FD">
        <w:rPr>
          <w:rFonts w:ascii="Palatino Linotype" w:hAnsi="Palatino Linotype"/>
        </w:rPr>
        <w:t xml:space="preserve"> a parent with a literacy composite score below 96 AND a 1.5 SD discrepancy between literacy and nonverbal ability</w:t>
      </w:r>
      <w:r w:rsidR="00775C74" w:rsidRPr="006E70FD">
        <w:rPr>
          <w:rFonts w:ascii="Palatino Linotype" w:hAnsi="Palatino Linotype"/>
        </w:rPr>
        <w:t xml:space="preserve"> (Wechsler Abbreviated Scale of Intelligence: WASI, Wechsler, 1999)</w:t>
      </w:r>
      <w:r w:rsidRPr="006E70FD">
        <w:rPr>
          <w:rFonts w:ascii="Palatino Linotype" w:hAnsi="Palatino Linotype"/>
        </w:rPr>
        <w:t>, or d) a sibling with a diagnosis of dyslexia from an educational psychologist or specialist teacher.</w:t>
      </w:r>
    </w:p>
    <w:p w14:paraId="36B87B5A" w14:textId="3DFA7336" w:rsidR="00072C9E" w:rsidRDefault="00E10E19" w:rsidP="00E10E19">
      <w:pPr>
        <w:spacing w:line="480" w:lineRule="auto"/>
        <w:jc w:val="both"/>
        <w:rPr>
          <w:rFonts w:ascii="Palatino Linotype" w:hAnsi="Palatino Linotype"/>
        </w:rPr>
      </w:pPr>
      <w:r w:rsidRPr="00A85E9D">
        <w:rPr>
          <w:rFonts w:ascii="Palatino Linotype" w:hAnsi="Palatino Linotype"/>
          <w:u w:val="single"/>
        </w:rPr>
        <w:t>Language impairment</w:t>
      </w:r>
      <w:r w:rsidR="00A85E9D">
        <w:rPr>
          <w:rFonts w:ascii="Palatino Linotype" w:hAnsi="Palatino Linotype"/>
          <w:u w:val="single"/>
        </w:rPr>
        <w:t>:</w:t>
      </w:r>
      <w:r w:rsidRPr="00E10E19">
        <w:rPr>
          <w:rFonts w:ascii="Palatino Linotype" w:hAnsi="Palatino Linotype"/>
          <w:i/>
        </w:rPr>
        <w:t xml:space="preserve"> </w:t>
      </w:r>
      <w:r w:rsidR="00072C9E" w:rsidRPr="00E10E19">
        <w:rPr>
          <w:rFonts w:ascii="Palatino Linotype" w:hAnsi="Palatino Linotype"/>
        </w:rPr>
        <w:t xml:space="preserve">LI status </w:t>
      </w:r>
      <w:r w:rsidR="006F59C7" w:rsidRPr="00E10E19">
        <w:rPr>
          <w:rFonts w:ascii="Palatino Linotype" w:hAnsi="Palatino Linotype"/>
        </w:rPr>
        <w:t xml:space="preserve">at </w:t>
      </w:r>
      <w:r w:rsidR="00CD2337" w:rsidRPr="00E10E19">
        <w:rPr>
          <w:rFonts w:ascii="Palatino Linotype" w:hAnsi="Palatino Linotype"/>
        </w:rPr>
        <w:t>age 3½</w:t>
      </w:r>
      <w:r w:rsidR="006F59C7" w:rsidRPr="00E10E19">
        <w:rPr>
          <w:rFonts w:ascii="Palatino Linotype" w:hAnsi="Palatino Linotype"/>
        </w:rPr>
        <w:t xml:space="preserve"> </w:t>
      </w:r>
      <w:r w:rsidR="00803C09" w:rsidRPr="00E10E19">
        <w:rPr>
          <w:rFonts w:ascii="Palatino Linotype" w:hAnsi="Palatino Linotype"/>
        </w:rPr>
        <w:t>was determined on the basis of scoring below a cut-off on 2/4 of the following measures: the Expressive Vocabulary, Basic Concepts and Sentence Structure subtests of the Clinical Evaluation of Language Fundamentals – Preschool 2 UK (Wiig</w:t>
      </w:r>
      <w:r w:rsidR="002C3561" w:rsidRPr="00E10E19">
        <w:rPr>
          <w:rFonts w:ascii="Palatino Linotype" w:hAnsi="Palatino Linotype"/>
        </w:rPr>
        <w:t xml:space="preserve">, </w:t>
      </w:r>
      <w:r w:rsidR="00803C09" w:rsidRPr="00E10E19">
        <w:rPr>
          <w:rFonts w:ascii="Palatino Linotype" w:hAnsi="Palatino Linotype"/>
        </w:rPr>
        <w:t>Secord</w:t>
      </w:r>
      <w:r w:rsidR="002C3561" w:rsidRPr="00E10E19">
        <w:rPr>
          <w:rFonts w:ascii="Palatino Linotype" w:hAnsi="Palatino Linotype"/>
        </w:rPr>
        <w:t xml:space="preserve"> &amp; Semel,</w:t>
      </w:r>
      <w:r w:rsidR="00803C09" w:rsidRPr="00E10E19">
        <w:rPr>
          <w:rFonts w:ascii="Palatino Linotype" w:hAnsi="Palatino Linotype"/>
        </w:rPr>
        <w:t xml:space="preserve"> 2006), and the screener from the Test of Early Grammatical Impairment (</w:t>
      </w:r>
      <w:r w:rsidR="00BF0F5D" w:rsidRPr="00E10E19">
        <w:rPr>
          <w:rFonts w:ascii="Palatino Linotype" w:hAnsi="Palatino Linotype"/>
        </w:rPr>
        <w:t xml:space="preserve">TEGI; </w:t>
      </w:r>
      <w:r w:rsidR="00803C09" w:rsidRPr="00E10E19">
        <w:rPr>
          <w:rFonts w:ascii="Palatino Linotype" w:hAnsi="Palatino Linotype"/>
        </w:rPr>
        <w:t xml:space="preserve">Rice &amp; Wexler, 2001). The cut-offs were a scaled score below 7 on the CELF subtests, or </w:t>
      </w:r>
      <w:r w:rsidR="00072C9E" w:rsidRPr="00E10E19">
        <w:rPr>
          <w:rFonts w:ascii="Palatino Linotype" w:hAnsi="Palatino Linotype"/>
        </w:rPr>
        <w:t>failure of the TEGI screener</w:t>
      </w:r>
      <w:r w:rsidR="00803C09" w:rsidRPr="00E10E19">
        <w:rPr>
          <w:rFonts w:ascii="Palatino Linotype" w:hAnsi="Palatino Linotype"/>
        </w:rPr>
        <w:t>.</w:t>
      </w:r>
      <w:r w:rsidR="003C37B7" w:rsidRPr="00E10E19">
        <w:rPr>
          <w:rFonts w:ascii="Palatino Linotype" w:hAnsi="Palatino Linotype"/>
        </w:rPr>
        <w:t xml:space="preserve"> In a subset of cases (N</w:t>
      </w:r>
      <w:r w:rsidR="00277DAE" w:rsidRPr="00E10E19">
        <w:rPr>
          <w:rFonts w:ascii="Palatino Linotype" w:hAnsi="Palatino Linotype"/>
        </w:rPr>
        <w:t xml:space="preserve"> = </w:t>
      </w:r>
      <w:r w:rsidR="00D06718" w:rsidRPr="00E10E19">
        <w:rPr>
          <w:rFonts w:ascii="Palatino Linotype" w:hAnsi="Palatino Linotype"/>
        </w:rPr>
        <w:t>22</w:t>
      </w:r>
      <w:r w:rsidR="003C37B7" w:rsidRPr="00E10E19">
        <w:rPr>
          <w:rFonts w:ascii="Palatino Linotype" w:hAnsi="Palatino Linotype"/>
        </w:rPr>
        <w:t>) with insufficient data from these diagnostic tests, we used a combination of further</w:t>
      </w:r>
      <w:r w:rsidR="0061484F" w:rsidRPr="00E10E19">
        <w:rPr>
          <w:rFonts w:ascii="Palatino Linotype" w:hAnsi="Palatino Linotype"/>
        </w:rPr>
        <w:t xml:space="preserve"> language</w:t>
      </w:r>
      <w:r w:rsidR="003C37B7" w:rsidRPr="00E10E19">
        <w:rPr>
          <w:rFonts w:ascii="Palatino Linotype" w:hAnsi="Palatino Linotype"/>
        </w:rPr>
        <w:t xml:space="preserve"> subtests to come to a clinical judgement of LI</w:t>
      </w:r>
      <w:r w:rsidR="000D3E53" w:rsidRPr="00E10E19">
        <w:rPr>
          <w:rFonts w:ascii="Palatino Linotype" w:hAnsi="Palatino Linotype"/>
        </w:rPr>
        <w:t xml:space="preserve"> (Nash et al., 2013)</w:t>
      </w:r>
      <w:r w:rsidR="003C37B7" w:rsidRPr="00E10E19">
        <w:rPr>
          <w:rFonts w:ascii="Palatino Linotype" w:hAnsi="Palatino Linotype"/>
        </w:rPr>
        <w:t>.</w:t>
      </w:r>
      <w:r w:rsidR="006A6B9D" w:rsidRPr="00E10E19">
        <w:rPr>
          <w:rFonts w:ascii="Palatino Linotype" w:hAnsi="Palatino Linotype"/>
        </w:rPr>
        <w:t xml:space="preserve"> </w:t>
      </w:r>
      <w:r w:rsidR="00196AEF" w:rsidRPr="00E10E19">
        <w:rPr>
          <w:rFonts w:ascii="Palatino Linotype" w:hAnsi="Palatino Linotype"/>
        </w:rPr>
        <w:t xml:space="preserve">Of the children with LI, 6 had low nonverbal ability, and 3 were unable to complete the tests, while the remaining </w:t>
      </w:r>
      <w:r w:rsidR="006A6B9D" w:rsidRPr="00E10E19">
        <w:rPr>
          <w:rFonts w:ascii="Palatino Linotype" w:hAnsi="Palatino Linotype"/>
        </w:rPr>
        <w:t xml:space="preserve">children in the LI group had nonverbal ability in the normal range (&gt; 80 on the </w:t>
      </w:r>
      <w:r w:rsidR="007D4935" w:rsidRPr="00E10E19">
        <w:rPr>
          <w:rFonts w:ascii="Palatino Linotype" w:hAnsi="Palatino Linotype"/>
        </w:rPr>
        <w:t>Wechsler Preschool Primary Scale of Intelligence</w:t>
      </w:r>
      <w:r w:rsidR="000D3E53" w:rsidRPr="00E10E19">
        <w:rPr>
          <w:rFonts w:ascii="Palatino Linotype" w:hAnsi="Palatino Linotype"/>
        </w:rPr>
        <w:t>-</w:t>
      </w:r>
      <w:r w:rsidR="007D4935" w:rsidRPr="00E10E19">
        <w:rPr>
          <w:rFonts w:ascii="Palatino Linotype" w:hAnsi="Palatino Linotype"/>
        </w:rPr>
        <w:t>III, Wechsler, 2003).</w:t>
      </w:r>
    </w:p>
    <w:p w14:paraId="231A2281" w14:textId="6AAC5671" w:rsidR="003C37B7" w:rsidRDefault="003C37B7" w:rsidP="00E10E19">
      <w:pPr>
        <w:spacing w:line="480" w:lineRule="auto"/>
        <w:jc w:val="both"/>
        <w:rPr>
          <w:rFonts w:ascii="Palatino Linotype" w:hAnsi="Palatino Linotype"/>
        </w:rPr>
      </w:pPr>
      <w:r w:rsidRPr="00A85E9D">
        <w:rPr>
          <w:rFonts w:ascii="Palatino Linotype" w:hAnsi="Palatino Linotype"/>
          <w:u w:val="single"/>
        </w:rPr>
        <w:t>Speech</w:t>
      </w:r>
      <w:r w:rsidR="00A10156" w:rsidRPr="00A85E9D">
        <w:rPr>
          <w:rFonts w:ascii="Palatino Linotype" w:hAnsi="Palatino Linotype"/>
          <w:u w:val="single"/>
        </w:rPr>
        <w:t xml:space="preserve"> sound d</w:t>
      </w:r>
      <w:r w:rsidR="00E10E19" w:rsidRPr="00A85E9D">
        <w:rPr>
          <w:rFonts w:ascii="Palatino Linotype" w:hAnsi="Palatino Linotype"/>
          <w:u w:val="single"/>
        </w:rPr>
        <w:t>isorder</w:t>
      </w:r>
      <w:r w:rsidR="00A85E9D" w:rsidRPr="00A85E9D">
        <w:rPr>
          <w:rFonts w:ascii="Palatino Linotype" w:hAnsi="Palatino Linotype"/>
          <w:u w:val="single"/>
        </w:rPr>
        <w:t>:</w:t>
      </w:r>
      <w:r w:rsidR="006A6B9D">
        <w:rPr>
          <w:rFonts w:ascii="Palatino Linotype" w:hAnsi="Palatino Linotype"/>
        </w:rPr>
        <w:t xml:space="preserve"> SSD status at </w:t>
      </w:r>
      <w:r w:rsidR="00CD2337">
        <w:rPr>
          <w:rFonts w:ascii="Palatino Linotype" w:hAnsi="Palatino Linotype"/>
        </w:rPr>
        <w:t>age 3½</w:t>
      </w:r>
      <w:r w:rsidR="0034306C">
        <w:rPr>
          <w:rFonts w:ascii="Palatino Linotype" w:hAnsi="Palatino Linotype"/>
        </w:rPr>
        <w:t xml:space="preserve"> </w:t>
      </w:r>
      <w:r w:rsidR="006A6B9D">
        <w:rPr>
          <w:rFonts w:ascii="Palatino Linotype" w:hAnsi="Palatino Linotype"/>
        </w:rPr>
        <w:t>was based on percent consonants correct</w:t>
      </w:r>
      <w:r w:rsidR="00A52E30">
        <w:rPr>
          <w:rFonts w:ascii="Palatino Linotype" w:hAnsi="Palatino Linotype"/>
        </w:rPr>
        <w:t xml:space="preserve"> (PCC)</w:t>
      </w:r>
      <w:r w:rsidR="006A6B9D">
        <w:rPr>
          <w:rFonts w:ascii="Palatino Linotype" w:hAnsi="Palatino Linotype"/>
        </w:rPr>
        <w:t xml:space="preserve"> scored on the screener and Articulation measure of the Diagnostic Evaluation of Articulation and Phonology (DEAP</w:t>
      </w:r>
      <w:r w:rsidR="002C3561">
        <w:rPr>
          <w:rFonts w:ascii="Palatino Linotype" w:hAnsi="Palatino Linotype"/>
        </w:rPr>
        <w:t>; Dodd, Hua, Crosbie, Holme &amp; Ozanne, 2002</w:t>
      </w:r>
      <w:r w:rsidR="006A6B9D">
        <w:rPr>
          <w:rFonts w:ascii="Palatino Linotype" w:hAnsi="Palatino Linotype"/>
        </w:rPr>
        <w:t xml:space="preserve">).  Children </w:t>
      </w:r>
      <w:r w:rsidR="00322007">
        <w:rPr>
          <w:rFonts w:ascii="Palatino Linotype" w:hAnsi="Palatino Linotype"/>
        </w:rPr>
        <w:t>were asked</w:t>
      </w:r>
      <w:r w:rsidR="000134F5">
        <w:rPr>
          <w:rFonts w:ascii="Palatino Linotype" w:hAnsi="Palatino Linotype"/>
        </w:rPr>
        <w:t xml:space="preserve"> to name a series of pictures including all the consonants in British English</w:t>
      </w:r>
      <w:r w:rsidR="00A52E30">
        <w:rPr>
          <w:rFonts w:ascii="Palatino Linotype" w:hAnsi="Palatino Linotype"/>
        </w:rPr>
        <w:t>; they</w:t>
      </w:r>
      <w:r w:rsidR="000134F5">
        <w:rPr>
          <w:rFonts w:ascii="Palatino Linotype" w:hAnsi="Palatino Linotype"/>
        </w:rPr>
        <w:t xml:space="preserve"> </w:t>
      </w:r>
      <w:r w:rsidR="006A6B9D">
        <w:rPr>
          <w:rFonts w:ascii="Palatino Linotype" w:hAnsi="Palatino Linotype"/>
        </w:rPr>
        <w:t xml:space="preserve">were </w:t>
      </w:r>
      <w:r w:rsidR="00A52E30">
        <w:rPr>
          <w:rFonts w:ascii="Palatino Linotype" w:hAnsi="Palatino Linotype"/>
        </w:rPr>
        <w:t xml:space="preserve">classified </w:t>
      </w:r>
      <w:r w:rsidR="006A6B9D">
        <w:rPr>
          <w:rFonts w:ascii="Palatino Linotype" w:hAnsi="Palatino Linotype"/>
        </w:rPr>
        <w:t xml:space="preserve">as having a SSD if they </w:t>
      </w:r>
      <w:r w:rsidR="00A52E30">
        <w:rPr>
          <w:rFonts w:ascii="Palatino Linotype" w:hAnsi="Palatino Linotype"/>
        </w:rPr>
        <w:t>scored two standard deviations below the mean of the TD control group (</w:t>
      </w:r>
      <w:r w:rsidR="000134F5">
        <w:rPr>
          <w:rFonts w:ascii="Palatino Linotype" w:hAnsi="Palatino Linotype"/>
        </w:rPr>
        <w:t>PCC</w:t>
      </w:r>
      <w:r w:rsidR="006A6B9D">
        <w:rPr>
          <w:rFonts w:ascii="Palatino Linotype" w:hAnsi="Palatino Linotype"/>
        </w:rPr>
        <w:t xml:space="preserve"> score </w:t>
      </w:r>
      <w:r w:rsidR="00A52E30">
        <w:rPr>
          <w:rFonts w:ascii="Palatino Linotype" w:hAnsi="Palatino Linotype"/>
        </w:rPr>
        <w:t xml:space="preserve">&lt; </w:t>
      </w:r>
      <w:r w:rsidR="006A6B9D">
        <w:rPr>
          <w:rFonts w:ascii="Palatino Linotype" w:hAnsi="Palatino Linotype"/>
        </w:rPr>
        <w:t>74.32 %</w:t>
      </w:r>
      <w:r w:rsidR="00A52E30">
        <w:rPr>
          <w:rFonts w:ascii="Palatino Linotype" w:hAnsi="Palatino Linotype"/>
        </w:rPr>
        <w:t>)</w:t>
      </w:r>
      <w:r w:rsidR="006A6B9D">
        <w:rPr>
          <w:rFonts w:ascii="Palatino Linotype" w:hAnsi="Palatino Linotype"/>
        </w:rPr>
        <w:t>. Sixty-eight children fulfilled this criterion at T1.</w:t>
      </w:r>
    </w:p>
    <w:p w14:paraId="40F2749B" w14:textId="11D6EA27" w:rsidR="00DD5AB5" w:rsidRDefault="00DD5AB5" w:rsidP="00E10E19">
      <w:pPr>
        <w:spacing w:line="480" w:lineRule="auto"/>
        <w:ind w:firstLine="709"/>
        <w:jc w:val="both"/>
        <w:rPr>
          <w:rFonts w:ascii="Palatino Linotype" w:hAnsi="Palatino Linotype"/>
        </w:rPr>
      </w:pPr>
      <w:r>
        <w:rPr>
          <w:rFonts w:ascii="Palatino Linotype" w:hAnsi="Palatino Linotype"/>
        </w:rPr>
        <w:t xml:space="preserve">At </w:t>
      </w:r>
      <w:r w:rsidR="00CD2337">
        <w:rPr>
          <w:rFonts w:ascii="Palatino Linotype" w:hAnsi="Palatino Linotype"/>
        </w:rPr>
        <w:t>age 5½</w:t>
      </w:r>
      <w:r>
        <w:rPr>
          <w:rFonts w:ascii="Palatino Linotype" w:hAnsi="Palatino Linotype"/>
        </w:rPr>
        <w:t>, 59 of these 68 children with a history of SSD were available and completed the DEAP screener and articulation measure for a second time. Children who had scored in the average range on the DEAP at Time 1 were not asked to complete the task again. The cut point for a designation of SSD at Time 3 was therefore based on having a PCC more than two standard deviations below the</w:t>
      </w:r>
      <w:r w:rsidR="00322007">
        <w:rPr>
          <w:rFonts w:ascii="Palatino Linotype" w:hAnsi="Palatino Linotype"/>
        </w:rPr>
        <w:t xml:space="preserve"> age-appropriate</w:t>
      </w:r>
      <w:r>
        <w:rPr>
          <w:rFonts w:ascii="Palatino Linotype" w:hAnsi="Palatino Linotype"/>
        </w:rPr>
        <w:t xml:space="preserve"> mean in the DEAP manual, </w:t>
      </w:r>
      <w:r w:rsidRPr="00E10E19">
        <w:rPr>
          <w:rFonts w:ascii="Palatino Linotype" w:hAnsi="Palatino Linotype"/>
        </w:rPr>
        <w:t>which equated to a score of 85% PCC.</w:t>
      </w:r>
      <w:r w:rsidR="00196AEF" w:rsidRPr="00E10E19">
        <w:rPr>
          <w:rFonts w:ascii="Palatino Linotype" w:hAnsi="Palatino Linotype"/>
        </w:rPr>
        <w:t xml:space="preserve"> Thirty-three children met this criterion for SSD at Time 3.</w:t>
      </w:r>
    </w:p>
    <w:p w14:paraId="6465C30A" w14:textId="14F79C5F" w:rsidR="00995C33" w:rsidRPr="00A85E9D" w:rsidRDefault="00A10156" w:rsidP="008A4E9D">
      <w:pPr>
        <w:spacing w:line="480" w:lineRule="auto"/>
        <w:rPr>
          <w:rFonts w:ascii="Palatino Linotype" w:hAnsi="Palatino Linotype"/>
          <w:b/>
          <w:i/>
        </w:rPr>
      </w:pPr>
      <w:r w:rsidRPr="00A85E9D">
        <w:rPr>
          <w:rFonts w:ascii="Palatino Linotype" w:hAnsi="Palatino Linotype"/>
          <w:b/>
          <w:i/>
        </w:rPr>
        <w:t>Differentiating speech delay and speech disorder</w:t>
      </w:r>
    </w:p>
    <w:p w14:paraId="3EC9F809" w14:textId="16361814" w:rsidR="00BF0F5D" w:rsidRDefault="00995C33" w:rsidP="00E10E19">
      <w:pPr>
        <w:spacing w:line="480" w:lineRule="auto"/>
        <w:jc w:val="both"/>
        <w:rPr>
          <w:rFonts w:ascii="Palatino Linotype" w:hAnsi="Palatino Linotype"/>
        </w:rPr>
      </w:pPr>
      <w:r w:rsidRPr="00EE75B7">
        <w:rPr>
          <w:rFonts w:ascii="Palatino Linotype" w:hAnsi="Palatino Linotype"/>
        </w:rPr>
        <w:t>The</w:t>
      </w:r>
      <w:r>
        <w:rPr>
          <w:rFonts w:ascii="Palatino Linotype" w:hAnsi="Palatino Linotype"/>
        </w:rPr>
        <w:t xml:space="preserve"> DEAP Screener and Articulation </w:t>
      </w:r>
      <w:r w:rsidRPr="00EE75B7">
        <w:rPr>
          <w:rFonts w:ascii="Palatino Linotype" w:hAnsi="Palatino Linotype"/>
        </w:rPr>
        <w:t xml:space="preserve">tasks </w:t>
      </w:r>
      <w:r>
        <w:rPr>
          <w:rFonts w:ascii="Palatino Linotype" w:hAnsi="Palatino Linotype"/>
        </w:rPr>
        <w:t>were used</w:t>
      </w:r>
      <w:r w:rsidRPr="00EE75B7">
        <w:rPr>
          <w:rFonts w:ascii="Palatino Linotype" w:hAnsi="Palatino Linotype"/>
        </w:rPr>
        <w:t xml:space="preserve"> to provide a profile of each child’s </w:t>
      </w:r>
      <w:r>
        <w:rPr>
          <w:rFonts w:ascii="Palatino Linotype" w:hAnsi="Palatino Linotype"/>
        </w:rPr>
        <w:t xml:space="preserve">speech </w:t>
      </w:r>
      <w:r w:rsidRPr="00EE75B7">
        <w:rPr>
          <w:rFonts w:ascii="Palatino Linotype" w:hAnsi="Palatino Linotype"/>
        </w:rPr>
        <w:t>error pattern</w:t>
      </w:r>
      <w:r w:rsidR="0061484F">
        <w:rPr>
          <w:rFonts w:ascii="Palatino Linotype" w:hAnsi="Palatino Linotype"/>
        </w:rPr>
        <w:t xml:space="preserve"> at Time 1</w:t>
      </w:r>
      <w:r w:rsidRPr="00EE75B7">
        <w:rPr>
          <w:rFonts w:ascii="Palatino Linotype" w:hAnsi="Palatino Linotype"/>
        </w:rPr>
        <w:t xml:space="preserve">. </w:t>
      </w:r>
      <w:r w:rsidR="00A52E30">
        <w:rPr>
          <w:rFonts w:ascii="Palatino Linotype" w:hAnsi="Palatino Linotype"/>
        </w:rPr>
        <w:t>E</w:t>
      </w:r>
      <w:r w:rsidR="00A52E30" w:rsidRPr="00EE75B7">
        <w:rPr>
          <w:rFonts w:ascii="Palatino Linotype" w:hAnsi="Palatino Linotype"/>
        </w:rPr>
        <w:t xml:space="preserve">rror </w:t>
      </w:r>
      <w:r w:rsidRPr="00EE75B7">
        <w:rPr>
          <w:rFonts w:ascii="Palatino Linotype" w:hAnsi="Palatino Linotype"/>
        </w:rPr>
        <w:t xml:space="preserve">patterns </w:t>
      </w:r>
      <w:r w:rsidR="0026465F">
        <w:rPr>
          <w:rFonts w:ascii="Palatino Linotype" w:hAnsi="Palatino Linotype"/>
        </w:rPr>
        <w:t>were</w:t>
      </w:r>
      <w:r w:rsidR="0026465F" w:rsidRPr="00EE75B7">
        <w:rPr>
          <w:rFonts w:ascii="Palatino Linotype" w:hAnsi="Palatino Linotype"/>
        </w:rPr>
        <w:t xml:space="preserve"> </w:t>
      </w:r>
      <w:r w:rsidR="00A52E30">
        <w:rPr>
          <w:rFonts w:ascii="Palatino Linotype" w:hAnsi="Palatino Linotype"/>
        </w:rPr>
        <w:t>assign</w:t>
      </w:r>
      <w:r w:rsidR="00A52E30" w:rsidRPr="00EE75B7">
        <w:rPr>
          <w:rFonts w:ascii="Palatino Linotype" w:hAnsi="Palatino Linotype"/>
        </w:rPr>
        <w:t xml:space="preserve">ed </w:t>
      </w:r>
      <w:r w:rsidRPr="00EE75B7">
        <w:rPr>
          <w:rFonts w:ascii="Palatino Linotype" w:hAnsi="Palatino Linotype"/>
        </w:rPr>
        <w:t xml:space="preserve">if a child </w:t>
      </w:r>
      <w:r w:rsidR="0026465F" w:rsidRPr="00EE75B7">
        <w:rPr>
          <w:rFonts w:ascii="Palatino Linotype" w:hAnsi="Palatino Linotype"/>
        </w:rPr>
        <w:t>show</w:t>
      </w:r>
      <w:r w:rsidR="0026465F">
        <w:rPr>
          <w:rFonts w:ascii="Palatino Linotype" w:hAnsi="Palatino Linotype"/>
        </w:rPr>
        <w:t>ed</w:t>
      </w:r>
      <w:r w:rsidR="0026465F" w:rsidRPr="00EE75B7">
        <w:rPr>
          <w:rFonts w:ascii="Palatino Linotype" w:hAnsi="Palatino Linotype"/>
        </w:rPr>
        <w:t xml:space="preserve"> </w:t>
      </w:r>
      <w:r w:rsidRPr="00EE75B7">
        <w:rPr>
          <w:rFonts w:ascii="Palatino Linotype" w:hAnsi="Palatino Linotype"/>
        </w:rPr>
        <w:t>five examples of a particular error type (e.g. fronting, gliding or cluster reduction)</w:t>
      </w:r>
      <w:r w:rsidR="00A52E30">
        <w:rPr>
          <w:rFonts w:ascii="Palatino Linotype" w:hAnsi="Palatino Linotype"/>
        </w:rPr>
        <w:t xml:space="preserve">, excluding </w:t>
      </w:r>
      <w:r w:rsidR="00A52E30" w:rsidRPr="00EE75B7">
        <w:rPr>
          <w:rFonts w:ascii="Palatino Linotype" w:hAnsi="Palatino Linotype"/>
        </w:rPr>
        <w:t xml:space="preserve">errors that </w:t>
      </w:r>
      <w:r w:rsidR="0026465F">
        <w:rPr>
          <w:rFonts w:ascii="Palatino Linotype" w:hAnsi="Palatino Linotype"/>
        </w:rPr>
        <w:t>could</w:t>
      </w:r>
      <w:r w:rsidR="0026465F" w:rsidRPr="00EE75B7">
        <w:rPr>
          <w:rFonts w:ascii="Palatino Linotype" w:hAnsi="Palatino Linotype"/>
        </w:rPr>
        <w:t xml:space="preserve"> </w:t>
      </w:r>
      <w:r w:rsidR="00A52E30" w:rsidRPr="00EE75B7">
        <w:rPr>
          <w:rFonts w:ascii="Palatino Linotype" w:hAnsi="Palatino Linotype"/>
        </w:rPr>
        <w:t xml:space="preserve">be explained by difficulties in articulating a sound in isolation. </w:t>
      </w:r>
      <w:r w:rsidR="00A52E30">
        <w:rPr>
          <w:rFonts w:ascii="Palatino Linotype" w:hAnsi="Palatino Linotype"/>
        </w:rPr>
        <w:t>E</w:t>
      </w:r>
      <w:r w:rsidRPr="00EE75B7">
        <w:rPr>
          <w:rFonts w:ascii="Palatino Linotype" w:hAnsi="Palatino Linotype"/>
        </w:rPr>
        <w:t xml:space="preserve">rror patterns </w:t>
      </w:r>
      <w:r w:rsidR="0026465F">
        <w:rPr>
          <w:rFonts w:ascii="Palatino Linotype" w:hAnsi="Palatino Linotype"/>
        </w:rPr>
        <w:t xml:space="preserve">were </w:t>
      </w:r>
      <w:r w:rsidR="00A52E30">
        <w:rPr>
          <w:rFonts w:ascii="Palatino Linotype" w:hAnsi="Palatino Linotype"/>
        </w:rPr>
        <w:t>next</w:t>
      </w:r>
      <w:r w:rsidR="00A52E30" w:rsidRPr="00EE75B7">
        <w:rPr>
          <w:rFonts w:ascii="Palatino Linotype" w:hAnsi="Palatino Linotype"/>
        </w:rPr>
        <w:t xml:space="preserve"> </w:t>
      </w:r>
      <w:r w:rsidRPr="00EE75B7">
        <w:rPr>
          <w:rFonts w:ascii="Palatino Linotype" w:hAnsi="Palatino Linotype"/>
        </w:rPr>
        <w:t xml:space="preserve">classified as to whether they </w:t>
      </w:r>
      <w:r w:rsidR="0026465F">
        <w:rPr>
          <w:rFonts w:ascii="Palatino Linotype" w:hAnsi="Palatino Linotype"/>
        </w:rPr>
        <w:t>were</w:t>
      </w:r>
      <w:r w:rsidR="0026465F" w:rsidRPr="00EE75B7">
        <w:rPr>
          <w:rFonts w:ascii="Palatino Linotype" w:hAnsi="Palatino Linotype"/>
        </w:rPr>
        <w:t xml:space="preserve"> </w:t>
      </w:r>
      <w:r w:rsidRPr="00EE75B7">
        <w:rPr>
          <w:rFonts w:ascii="Palatino Linotype" w:hAnsi="Palatino Linotype"/>
        </w:rPr>
        <w:t>age-appropriate, developmentally delayed or disordered</w:t>
      </w:r>
      <w:r>
        <w:rPr>
          <w:rFonts w:ascii="Palatino Linotype" w:hAnsi="Palatino Linotype"/>
        </w:rPr>
        <w:t xml:space="preserve">, </w:t>
      </w:r>
      <w:r w:rsidR="00E06B19">
        <w:rPr>
          <w:rFonts w:ascii="Palatino Linotype" w:hAnsi="Palatino Linotype"/>
        </w:rPr>
        <w:t>according to</w:t>
      </w:r>
      <w:r>
        <w:rPr>
          <w:rFonts w:ascii="Palatino Linotype" w:hAnsi="Palatino Linotype"/>
        </w:rPr>
        <w:t xml:space="preserve"> the DEAP </w:t>
      </w:r>
      <w:r w:rsidR="00E06B19">
        <w:rPr>
          <w:rFonts w:ascii="Palatino Linotype" w:hAnsi="Palatino Linotype"/>
        </w:rPr>
        <w:t>guidelines</w:t>
      </w:r>
      <w:r w:rsidR="00D33EAF" w:rsidRPr="00BF0F5D">
        <w:rPr>
          <w:rFonts w:ascii="Palatino Linotype" w:hAnsi="Palatino Linotype"/>
        </w:rPr>
        <w:t>; 5 instances of a disordered error-type led to a classification of ‘disordered speech’</w:t>
      </w:r>
      <w:r w:rsidR="00D33EAF">
        <w:rPr>
          <w:rFonts w:ascii="Palatino Linotype" w:hAnsi="Palatino Linotype"/>
        </w:rPr>
        <w:t xml:space="preserve"> (Dodd, personal communication, 2006)</w:t>
      </w:r>
      <w:r w:rsidRPr="00EE75B7">
        <w:rPr>
          <w:rFonts w:ascii="Palatino Linotype" w:hAnsi="Palatino Linotype"/>
        </w:rPr>
        <w:t xml:space="preserve">. </w:t>
      </w:r>
      <w:r w:rsidR="00A52E30">
        <w:rPr>
          <w:rFonts w:ascii="Palatino Linotype" w:hAnsi="Palatino Linotype"/>
        </w:rPr>
        <w:t>A child’s speech profile was desc</w:t>
      </w:r>
      <w:r w:rsidR="00E06B19">
        <w:rPr>
          <w:rFonts w:ascii="Palatino Linotype" w:hAnsi="Palatino Linotype"/>
        </w:rPr>
        <w:t>rib</w:t>
      </w:r>
      <w:r w:rsidR="00A52E30">
        <w:rPr>
          <w:rFonts w:ascii="Palatino Linotype" w:hAnsi="Palatino Linotype"/>
        </w:rPr>
        <w:t>ed</w:t>
      </w:r>
      <w:r w:rsidRPr="00EE75B7">
        <w:rPr>
          <w:rFonts w:ascii="Palatino Linotype" w:hAnsi="Palatino Linotype"/>
        </w:rPr>
        <w:t xml:space="preserve"> according to their </w:t>
      </w:r>
      <w:r>
        <w:rPr>
          <w:rFonts w:ascii="Palatino Linotype" w:hAnsi="Palatino Linotype"/>
        </w:rPr>
        <w:t>most serious</w:t>
      </w:r>
      <w:r w:rsidRPr="00EE75B7">
        <w:rPr>
          <w:rFonts w:ascii="Palatino Linotype" w:hAnsi="Palatino Linotype"/>
        </w:rPr>
        <w:t xml:space="preserve"> error pattern (e.g., a child </w:t>
      </w:r>
      <w:r w:rsidR="000D3E53">
        <w:rPr>
          <w:rFonts w:ascii="Palatino Linotype" w:hAnsi="Palatino Linotype"/>
        </w:rPr>
        <w:t>with</w:t>
      </w:r>
      <w:r w:rsidR="000D3E53" w:rsidRPr="00EE75B7">
        <w:rPr>
          <w:rFonts w:ascii="Palatino Linotype" w:hAnsi="Palatino Linotype"/>
        </w:rPr>
        <w:t xml:space="preserve"> </w:t>
      </w:r>
      <w:r w:rsidRPr="00EE75B7">
        <w:rPr>
          <w:rFonts w:ascii="Palatino Linotype" w:hAnsi="Palatino Linotype"/>
        </w:rPr>
        <w:t>both delayed and disordered error patterns</w:t>
      </w:r>
      <w:r w:rsidR="000D3E53">
        <w:rPr>
          <w:rFonts w:ascii="Palatino Linotype" w:hAnsi="Palatino Linotype"/>
        </w:rPr>
        <w:t xml:space="preserve"> would be</w:t>
      </w:r>
      <w:r w:rsidRPr="00EE75B7">
        <w:rPr>
          <w:rFonts w:ascii="Palatino Linotype" w:hAnsi="Palatino Linotype"/>
        </w:rPr>
        <w:t xml:space="preserve"> classified as having disordered speech).</w:t>
      </w:r>
      <w:r w:rsidR="008B42B3">
        <w:rPr>
          <w:rFonts w:ascii="Palatino Linotype" w:hAnsi="Palatino Linotype"/>
        </w:rPr>
        <w:t xml:space="preserve"> 60/68 children in the SSD group could be clearly classified as showing either delay or disorder</w:t>
      </w:r>
      <w:r w:rsidR="0061484F">
        <w:rPr>
          <w:rFonts w:ascii="Palatino Linotype" w:hAnsi="Palatino Linotype"/>
        </w:rPr>
        <w:t xml:space="preserve"> at </w:t>
      </w:r>
      <w:r w:rsidR="00CD2337">
        <w:rPr>
          <w:rFonts w:ascii="Palatino Linotype" w:hAnsi="Palatino Linotype"/>
        </w:rPr>
        <w:t>age 3½</w:t>
      </w:r>
      <w:r w:rsidR="008B42B3">
        <w:rPr>
          <w:rFonts w:ascii="Palatino Linotype" w:hAnsi="Palatino Linotype"/>
        </w:rPr>
        <w:t>.</w:t>
      </w:r>
      <w:r w:rsidR="0034306C">
        <w:rPr>
          <w:rFonts w:ascii="Palatino Linotype" w:hAnsi="Palatino Linotype"/>
        </w:rPr>
        <w:t xml:space="preserve"> </w:t>
      </w:r>
      <w:r w:rsidR="0061484F">
        <w:rPr>
          <w:rFonts w:ascii="Palatino Linotype" w:hAnsi="Palatino Linotype"/>
        </w:rPr>
        <w:t>Forty-four</w:t>
      </w:r>
      <w:r w:rsidR="00BF0F5D">
        <w:rPr>
          <w:rFonts w:ascii="Palatino Linotype" w:hAnsi="Palatino Linotype"/>
        </w:rPr>
        <w:t xml:space="preserve"> </w:t>
      </w:r>
      <w:r w:rsidR="00A82469">
        <w:rPr>
          <w:rFonts w:ascii="Palatino Linotype" w:hAnsi="Palatino Linotype"/>
        </w:rPr>
        <w:t>children showed</w:t>
      </w:r>
      <w:r w:rsidR="00BF0F5D">
        <w:rPr>
          <w:rFonts w:ascii="Palatino Linotype" w:hAnsi="Palatino Linotype"/>
        </w:rPr>
        <w:t xml:space="preserve"> </w:t>
      </w:r>
      <w:r w:rsidR="00A82469">
        <w:rPr>
          <w:rFonts w:ascii="Palatino Linotype" w:hAnsi="Palatino Linotype"/>
        </w:rPr>
        <w:t xml:space="preserve">delayed and 16 showed disordered speech errors; two did not meet criteria for any speech pattern, one had an articulation disorder and four had incomplete speech data. </w:t>
      </w:r>
    </w:p>
    <w:p w14:paraId="374225E2" w14:textId="3F886C86" w:rsidR="00C81B88" w:rsidRPr="00A85E9D" w:rsidRDefault="00E10E19" w:rsidP="00C81B88">
      <w:pPr>
        <w:spacing w:line="480" w:lineRule="auto"/>
        <w:rPr>
          <w:rFonts w:ascii="Palatino Linotype" w:hAnsi="Palatino Linotype"/>
          <w:b/>
          <w:i/>
        </w:rPr>
      </w:pPr>
      <w:r w:rsidRPr="00A85E9D">
        <w:rPr>
          <w:rFonts w:ascii="Palatino Linotype" w:hAnsi="Palatino Linotype"/>
          <w:b/>
          <w:i/>
        </w:rPr>
        <w:t>Socio-economic s</w:t>
      </w:r>
      <w:r w:rsidR="00C81B88" w:rsidRPr="00A85E9D">
        <w:rPr>
          <w:rFonts w:ascii="Palatino Linotype" w:hAnsi="Palatino Linotype"/>
          <w:b/>
          <w:i/>
        </w:rPr>
        <w:t>tatus</w:t>
      </w:r>
    </w:p>
    <w:p w14:paraId="722FA057" w14:textId="6FB82426" w:rsidR="00C81B88" w:rsidRPr="000452FD" w:rsidRDefault="00C81B88" w:rsidP="00E10E19">
      <w:pPr>
        <w:autoSpaceDE w:val="0"/>
        <w:autoSpaceDN w:val="0"/>
        <w:adjustRightInd w:val="0"/>
        <w:spacing w:after="0" w:line="480" w:lineRule="auto"/>
        <w:jc w:val="both"/>
        <w:rPr>
          <w:rFonts w:ascii="Palatino Linotype" w:hAnsi="Palatino Linotype"/>
          <w:b/>
        </w:rPr>
      </w:pPr>
      <w:r w:rsidRPr="00E10E19">
        <w:rPr>
          <w:rFonts w:ascii="Palatino Linotype" w:hAnsi="Palatino Linotype"/>
        </w:rPr>
        <w:t>Several measures of socioeconomic circumstances were collected in the present study.  These included</w:t>
      </w:r>
      <w:r w:rsidR="00357E28" w:rsidRPr="00E10E19">
        <w:rPr>
          <w:rFonts w:ascii="Palatino Linotype" w:hAnsi="Palatino Linotype"/>
        </w:rPr>
        <w:t xml:space="preserve"> the father’s and mother’s occupation and educational qualifications </w:t>
      </w:r>
      <w:r w:rsidR="00357E28" w:rsidRPr="00E10E19">
        <w:rPr>
          <w:rFonts w:ascii="Palatino Linotype" w:hAnsi="Palatino Linotype" w:cs="AdvOTf9433e2d"/>
          <w:color w:val="000000"/>
        </w:rPr>
        <w:t>as well as</w:t>
      </w:r>
      <w:r w:rsidRPr="00E10E19">
        <w:rPr>
          <w:rFonts w:ascii="Palatino Linotype" w:hAnsi="Palatino Linotype"/>
        </w:rPr>
        <w:t xml:space="preserve"> </w:t>
      </w:r>
      <w:r w:rsidR="00357E28" w:rsidRPr="00E10E19">
        <w:rPr>
          <w:rFonts w:ascii="Palatino Linotype" w:hAnsi="Palatino Linotype"/>
        </w:rPr>
        <w:t xml:space="preserve">an index of deprivation associated with UK postcodes </w:t>
      </w:r>
      <w:r w:rsidR="00885E8B" w:rsidRPr="00E10E19">
        <w:rPr>
          <w:rFonts w:ascii="Palatino Linotype" w:hAnsi="Palatino Linotype"/>
        </w:rPr>
        <w:t>(</w:t>
      </w:r>
      <w:r w:rsidR="00357E28" w:rsidRPr="00E10E19">
        <w:rPr>
          <w:rFonts w:ascii="Palatino Linotype" w:hAnsi="Palatino Linotype"/>
        </w:rPr>
        <w:t xml:space="preserve">Department of Communities and Local Government, Indices of Multiple Deprivation, 2007). Here we report socio-economic status (SES) based on </w:t>
      </w:r>
      <w:r w:rsidRPr="00E10E19">
        <w:rPr>
          <w:rFonts w:ascii="Palatino Linotype" w:hAnsi="Palatino Linotype"/>
        </w:rPr>
        <w:t xml:space="preserve">postcode </w:t>
      </w:r>
      <w:r w:rsidR="00357E28" w:rsidRPr="00E10E19">
        <w:rPr>
          <w:rFonts w:ascii="Palatino Linotype" w:hAnsi="Palatino Linotype"/>
        </w:rPr>
        <w:t>as a centile score</w:t>
      </w:r>
      <w:r w:rsidR="000452FD" w:rsidRPr="00E10E19">
        <w:rPr>
          <w:rFonts w:ascii="Palatino Linotype" w:hAnsi="Palatino Linotype"/>
        </w:rPr>
        <w:t>.</w:t>
      </w:r>
      <w:r w:rsidR="00357E28">
        <w:rPr>
          <w:rFonts w:ascii="Palatino Linotype" w:hAnsi="Palatino Linotype"/>
        </w:rPr>
        <w:t xml:space="preserve"> </w:t>
      </w:r>
    </w:p>
    <w:p w14:paraId="707D1B58" w14:textId="0A8EE733" w:rsidR="00A85E9D" w:rsidRPr="00A85E9D" w:rsidRDefault="00A85E9D" w:rsidP="008A4E9D">
      <w:pPr>
        <w:spacing w:line="480" w:lineRule="auto"/>
        <w:rPr>
          <w:rFonts w:ascii="Palatino Linotype" w:hAnsi="Palatino Linotype"/>
          <w:b/>
        </w:rPr>
      </w:pPr>
      <w:r w:rsidRPr="00A85E9D">
        <w:rPr>
          <w:rFonts w:ascii="Palatino Linotype" w:hAnsi="Palatino Linotype"/>
          <w:b/>
        </w:rPr>
        <w:t>Measures</w:t>
      </w:r>
    </w:p>
    <w:p w14:paraId="53C4BB4B" w14:textId="2ED3174A" w:rsidR="00CF4706" w:rsidRPr="00A85E9D" w:rsidRDefault="003B42A1" w:rsidP="008A4E9D">
      <w:pPr>
        <w:spacing w:line="480" w:lineRule="auto"/>
        <w:rPr>
          <w:rFonts w:ascii="Palatino Linotype" w:hAnsi="Palatino Linotype"/>
          <w:b/>
          <w:i/>
        </w:rPr>
      </w:pPr>
      <w:r w:rsidRPr="00A85E9D">
        <w:rPr>
          <w:rFonts w:ascii="Palatino Linotype" w:hAnsi="Palatino Linotype"/>
          <w:b/>
          <w:i/>
        </w:rPr>
        <w:t>L</w:t>
      </w:r>
      <w:r w:rsidR="00090451" w:rsidRPr="00A85E9D">
        <w:rPr>
          <w:rFonts w:ascii="Palatino Linotype" w:hAnsi="Palatino Linotype"/>
          <w:b/>
          <w:i/>
        </w:rPr>
        <w:t xml:space="preserve">iteracy </w:t>
      </w:r>
      <w:r w:rsidR="00E10E19" w:rsidRPr="00A85E9D">
        <w:rPr>
          <w:rFonts w:ascii="Palatino Linotype" w:hAnsi="Palatino Linotype"/>
          <w:b/>
          <w:i/>
        </w:rPr>
        <w:t>outcome m</w:t>
      </w:r>
      <w:r w:rsidR="00090451" w:rsidRPr="00A85E9D">
        <w:rPr>
          <w:rFonts w:ascii="Palatino Linotype" w:hAnsi="Palatino Linotype"/>
          <w:b/>
          <w:i/>
        </w:rPr>
        <w:t>easures</w:t>
      </w:r>
    </w:p>
    <w:p w14:paraId="42D94BF3" w14:textId="72873C3B" w:rsidR="00090451" w:rsidRDefault="001D3626" w:rsidP="008A4E9D">
      <w:pPr>
        <w:spacing w:line="480" w:lineRule="auto"/>
        <w:rPr>
          <w:rFonts w:ascii="Palatino Linotype" w:hAnsi="Palatino Linotype"/>
        </w:rPr>
      </w:pPr>
      <w:r>
        <w:rPr>
          <w:rFonts w:ascii="Palatino Linotype" w:hAnsi="Palatino Linotype"/>
        </w:rPr>
        <w:t>At age 5½</w:t>
      </w:r>
      <w:r w:rsidR="00090451">
        <w:rPr>
          <w:rFonts w:ascii="Palatino Linotype" w:hAnsi="Palatino Linotype"/>
        </w:rPr>
        <w:t>, children completed the following measures tapping emergent literacy skills, as part of a broader language and literacy assessment.</w:t>
      </w:r>
      <w:r w:rsidR="0026465F">
        <w:rPr>
          <w:rFonts w:ascii="Palatino Linotype" w:hAnsi="Palatino Linotype"/>
        </w:rPr>
        <w:t xml:space="preserve"> </w:t>
      </w:r>
      <w:r w:rsidR="00FF3D86">
        <w:rPr>
          <w:rFonts w:ascii="Palatino Linotype" w:hAnsi="Palatino Linotype"/>
        </w:rPr>
        <w:t>Analyses were based on z-scores standardised on the control group means; c</w:t>
      </w:r>
      <w:r w:rsidR="0026465F">
        <w:rPr>
          <w:rFonts w:ascii="Palatino Linotype" w:hAnsi="Palatino Linotype"/>
        </w:rPr>
        <w:t>omposites were created by averaging</w:t>
      </w:r>
      <w:r w:rsidR="00FF3D86">
        <w:rPr>
          <w:rFonts w:ascii="Palatino Linotype" w:hAnsi="Palatino Linotype"/>
        </w:rPr>
        <w:t xml:space="preserve"> the</w:t>
      </w:r>
      <w:r w:rsidR="0026465F">
        <w:rPr>
          <w:rFonts w:ascii="Palatino Linotype" w:hAnsi="Palatino Linotype"/>
        </w:rPr>
        <w:t xml:space="preserve"> z-scores </w:t>
      </w:r>
      <w:r w:rsidR="00FF3D86">
        <w:rPr>
          <w:rFonts w:ascii="Palatino Linotype" w:hAnsi="Palatino Linotype"/>
        </w:rPr>
        <w:t xml:space="preserve">of the relevant measures. </w:t>
      </w:r>
    </w:p>
    <w:p w14:paraId="0DE3ED3E" w14:textId="1850E548" w:rsidR="00090451" w:rsidRPr="00E25E49" w:rsidRDefault="00A10156" w:rsidP="008A4E9D">
      <w:pPr>
        <w:spacing w:line="480" w:lineRule="auto"/>
        <w:rPr>
          <w:rFonts w:ascii="Times New Roman" w:hAnsi="Times New Roman" w:cs="Times New Roman"/>
          <w:i/>
          <w:sz w:val="24"/>
          <w:szCs w:val="24"/>
        </w:rPr>
      </w:pPr>
      <w:r w:rsidRPr="00A85E9D">
        <w:rPr>
          <w:rFonts w:ascii="Palatino Linotype" w:hAnsi="Palatino Linotype"/>
          <w:u w:val="single"/>
        </w:rPr>
        <w:t>Phoneme a</w:t>
      </w:r>
      <w:r w:rsidR="00E10E19" w:rsidRPr="00A85E9D">
        <w:rPr>
          <w:rFonts w:ascii="Palatino Linotype" w:hAnsi="Palatino Linotype"/>
          <w:u w:val="single"/>
        </w:rPr>
        <w:t>wareness</w:t>
      </w:r>
      <w:r w:rsidR="00A85E9D">
        <w:rPr>
          <w:rFonts w:ascii="Palatino Linotype" w:hAnsi="Palatino Linotype"/>
          <w:u w:val="single"/>
        </w:rPr>
        <w:t>:</w:t>
      </w:r>
      <w:r w:rsidR="0026465F">
        <w:rPr>
          <w:rFonts w:ascii="Palatino Linotype" w:hAnsi="Palatino Linotype"/>
          <w:i/>
        </w:rPr>
        <w:t xml:space="preserve"> </w:t>
      </w:r>
      <w:r w:rsidR="001D3626">
        <w:rPr>
          <w:rFonts w:ascii="Palatino Linotype" w:hAnsi="Palatino Linotype"/>
        </w:rPr>
        <w:t>i) Phoneme isolation</w:t>
      </w:r>
      <w:r w:rsidR="00B201DF">
        <w:rPr>
          <w:rFonts w:ascii="Palatino Linotype" w:hAnsi="Palatino Linotype"/>
        </w:rPr>
        <w:t xml:space="preserve"> –</w:t>
      </w:r>
      <w:r w:rsidR="001F67EB" w:rsidRPr="00E25E49">
        <w:rPr>
          <w:rFonts w:ascii="Palatino Linotype" w:hAnsi="Palatino Linotype" w:cs="Times New Roman"/>
        </w:rPr>
        <w:t>children had to identify the first (8 items) or last sound (8 items) of a given nonword (e.g., first sound of /guf/);</w:t>
      </w:r>
      <w:r w:rsidR="00B201DF" w:rsidRPr="00E25E49">
        <w:rPr>
          <w:rFonts w:ascii="Palatino Linotype" w:hAnsi="Palatino Linotype"/>
        </w:rPr>
        <w:t xml:space="preserve"> testing was discontinued after four incorrect responses</w:t>
      </w:r>
      <w:r w:rsidR="00B037A6">
        <w:rPr>
          <w:rFonts w:ascii="Palatino Linotype" w:hAnsi="Palatino Linotype"/>
        </w:rPr>
        <w:t xml:space="preserve"> </w:t>
      </w:r>
      <w:r w:rsidR="00B037A6">
        <w:rPr>
          <w:rFonts w:ascii="Palatino Linotype" w:hAnsi="Palatino Linotype" w:cs="Times New Roman"/>
        </w:rPr>
        <w:t>(α=.</w:t>
      </w:r>
      <w:r w:rsidR="0099318F">
        <w:rPr>
          <w:rFonts w:ascii="Palatino Linotype" w:hAnsi="Palatino Linotype" w:cs="Times New Roman"/>
        </w:rPr>
        <w:t>88</w:t>
      </w:r>
      <w:r w:rsidR="00CD51DF">
        <w:rPr>
          <w:rFonts w:ascii="Palatino Linotype" w:hAnsi="Palatino Linotype" w:cs="Times New Roman"/>
        </w:rPr>
        <w:t xml:space="preserve">) </w:t>
      </w:r>
      <w:r w:rsidR="00B201DF" w:rsidRPr="00E25E49">
        <w:rPr>
          <w:rFonts w:ascii="Palatino Linotype" w:hAnsi="Palatino Linotype"/>
        </w:rPr>
        <w:t xml:space="preserve"> ii) Phoneme Deletion, from the York Assessment of Reading Comprehension (YARC, Snowling et al., 2009) </w:t>
      </w:r>
      <w:r w:rsidR="00E25E49" w:rsidRPr="00E25E49">
        <w:rPr>
          <w:rFonts w:ascii="Palatino Linotype" w:hAnsi="Palatino Linotype"/>
        </w:rPr>
        <w:t>–</w:t>
      </w:r>
      <w:r w:rsidR="00B201DF" w:rsidRPr="00E25E49">
        <w:rPr>
          <w:rFonts w:ascii="Palatino Linotype" w:hAnsi="Palatino Linotype"/>
        </w:rPr>
        <w:t xml:space="preserve"> </w:t>
      </w:r>
      <w:r w:rsidR="00E25E49" w:rsidRPr="00E25E49">
        <w:rPr>
          <w:rFonts w:ascii="Palatino Linotype" w:hAnsi="Palatino Linotype" w:cs="Times New Roman"/>
        </w:rPr>
        <w:t xml:space="preserve">children repeated a word, and then said it again leaving out a specified phoneme (e.g., </w:t>
      </w:r>
      <w:r w:rsidR="006E70FD">
        <w:rPr>
          <w:rFonts w:ascii="Palatino Linotype" w:hAnsi="Palatino Linotype" w:cs="Times New Roman"/>
        </w:rPr>
        <w:t>‘</w:t>
      </w:r>
      <w:r w:rsidR="0011178D">
        <w:rPr>
          <w:rFonts w:ascii="Palatino Linotype" w:hAnsi="Palatino Linotype" w:cs="Times New Roman"/>
        </w:rPr>
        <w:t>sheep</w:t>
      </w:r>
      <w:r w:rsidR="006E70FD">
        <w:rPr>
          <w:rFonts w:ascii="Palatino Linotype" w:hAnsi="Palatino Linotype" w:cs="Times New Roman"/>
        </w:rPr>
        <w:t>’</w:t>
      </w:r>
      <w:r w:rsidR="00C113D5">
        <w:rPr>
          <w:rFonts w:ascii="Palatino Linotype" w:hAnsi="Palatino Linotype" w:cs="Times New Roman"/>
        </w:rPr>
        <w:t xml:space="preserve"> </w:t>
      </w:r>
      <w:r w:rsidR="00E25E49" w:rsidRPr="00E25E49">
        <w:rPr>
          <w:rFonts w:ascii="Palatino Linotype" w:hAnsi="Palatino Linotype" w:cs="Times New Roman"/>
        </w:rPr>
        <w:t>‘without the /</w:t>
      </w:r>
      <w:r w:rsidR="0011178D">
        <w:rPr>
          <w:rFonts w:ascii="Palatino Linotype" w:hAnsi="Palatino Linotype" w:cs="Times New Roman"/>
        </w:rPr>
        <w:t>p</w:t>
      </w:r>
      <w:r w:rsidR="00E25E49" w:rsidRPr="00E25E49">
        <w:rPr>
          <w:rFonts w:ascii="Palatino Linotype" w:hAnsi="Palatino Linotype" w:cs="Times New Roman"/>
        </w:rPr>
        <w:t>/’) (12 items) (α=.93).</w:t>
      </w:r>
      <w:r w:rsidR="00CD51DF">
        <w:rPr>
          <w:rFonts w:ascii="Palatino Linotype" w:hAnsi="Palatino Linotype" w:cs="Times New Roman"/>
        </w:rPr>
        <w:t xml:space="preserve">  </w:t>
      </w:r>
    </w:p>
    <w:p w14:paraId="7C1125AF" w14:textId="1D7C6FBF" w:rsidR="00090451" w:rsidRPr="008A4E9D" w:rsidRDefault="00090451" w:rsidP="008A4E9D">
      <w:pPr>
        <w:spacing w:line="480" w:lineRule="auto"/>
        <w:rPr>
          <w:rFonts w:ascii="Times New Roman" w:hAnsi="Times New Roman" w:cs="Times New Roman"/>
          <w:i/>
          <w:sz w:val="24"/>
          <w:szCs w:val="24"/>
        </w:rPr>
      </w:pPr>
      <w:r w:rsidRPr="00A85E9D">
        <w:rPr>
          <w:rFonts w:ascii="Palatino Linotype" w:hAnsi="Palatino Linotype"/>
          <w:u w:val="single"/>
        </w:rPr>
        <w:t>Wor</w:t>
      </w:r>
      <w:r w:rsidR="00A10156" w:rsidRPr="00A85E9D">
        <w:rPr>
          <w:rFonts w:ascii="Palatino Linotype" w:hAnsi="Palatino Linotype"/>
          <w:u w:val="single"/>
        </w:rPr>
        <w:t>d-level r</w:t>
      </w:r>
      <w:r w:rsidRPr="00A85E9D">
        <w:rPr>
          <w:rFonts w:ascii="Palatino Linotype" w:hAnsi="Palatino Linotype"/>
          <w:u w:val="single"/>
        </w:rPr>
        <w:t>eading</w:t>
      </w:r>
      <w:r w:rsidR="00A85E9D" w:rsidRPr="00A85E9D">
        <w:rPr>
          <w:rFonts w:ascii="Palatino Linotype" w:hAnsi="Palatino Linotype"/>
          <w:u w:val="single"/>
        </w:rPr>
        <w:t>:</w:t>
      </w:r>
      <w:r w:rsidR="0026465F">
        <w:rPr>
          <w:rFonts w:ascii="Palatino Linotype" w:hAnsi="Palatino Linotype"/>
          <w:i/>
        </w:rPr>
        <w:t xml:space="preserve"> </w:t>
      </w:r>
      <w:r w:rsidR="001D3626">
        <w:rPr>
          <w:rFonts w:ascii="Palatino Linotype" w:hAnsi="Palatino Linotype"/>
        </w:rPr>
        <w:t xml:space="preserve">i) </w:t>
      </w:r>
      <w:r w:rsidR="00B201DF">
        <w:rPr>
          <w:rFonts w:ascii="Palatino Linotype" w:hAnsi="Palatino Linotype"/>
        </w:rPr>
        <w:t xml:space="preserve">Early Word </w:t>
      </w:r>
      <w:r w:rsidR="00CD2337">
        <w:rPr>
          <w:rFonts w:ascii="Palatino Linotype" w:hAnsi="Palatino Linotype"/>
        </w:rPr>
        <w:t xml:space="preserve">Reading </w:t>
      </w:r>
      <w:r w:rsidR="00B201DF">
        <w:rPr>
          <w:rFonts w:ascii="Palatino Linotype" w:hAnsi="Palatino Linotype"/>
        </w:rPr>
        <w:t>from the YARC</w:t>
      </w:r>
      <w:r w:rsidR="001D3626">
        <w:rPr>
          <w:rFonts w:ascii="Palatino Linotype" w:hAnsi="Palatino Linotype"/>
        </w:rPr>
        <w:t xml:space="preserve"> – children read aloud 30 single words, graded in difficulty, half of which were phonemically decodable and half irregular. </w:t>
      </w:r>
      <w:r w:rsidR="00A82469">
        <w:rPr>
          <w:rFonts w:ascii="Palatino Linotype" w:hAnsi="Palatino Linotype"/>
        </w:rPr>
        <w:t>T</w:t>
      </w:r>
      <w:r w:rsidR="001D3626">
        <w:rPr>
          <w:rFonts w:ascii="Palatino Linotype" w:hAnsi="Palatino Linotype"/>
        </w:rPr>
        <w:t>esting was discontinued after 1</w:t>
      </w:r>
      <w:r w:rsidR="00452BCB">
        <w:rPr>
          <w:rFonts w:ascii="Palatino Linotype" w:hAnsi="Palatino Linotype"/>
        </w:rPr>
        <w:t>0</w:t>
      </w:r>
      <w:r w:rsidR="001D3626">
        <w:rPr>
          <w:rFonts w:ascii="Palatino Linotype" w:hAnsi="Palatino Linotype"/>
        </w:rPr>
        <w:t xml:space="preserve"> consecutive errors</w:t>
      </w:r>
      <w:r w:rsidR="00B037A6">
        <w:rPr>
          <w:rFonts w:ascii="Palatino Linotype" w:hAnsi="Palatino Linotype"/>
        </w:rPr>
        <w:t xml:space="preserve"> </w:t>
      </w:r>
      <w:r w:rsidR="00B037A6" w:rsidRPr="00E25E49">
        <w:rPr>
          <w:rFonts w:ascii="Palatino Linotype" w:hAnsi="Palatino Linotype" w:cs="Times New Roman"/>
        </w:rPr>
        <w:t>(</w:t>
      </w:r>
      <w:r w:rsidR="00B04E58">
        <w:rPr>
          <w:rFonts w:ascii="Palatino Linotype" w:hAnsi="Palatino Linotype" w:cs="Times New Roman"/>
        </w:rPr>
        <w:t>test-retest r</w:t>
      </w:r>
      <w:r w:rsidR="00B037A6">
        <w:rPr>
          <w:rFonts w:ascii="Palatino Linotype" w:hAnsi="Palatino Linotype" w:cs="Times New Roman"/>
        </w:rPr>
        <w:t>=.95)</w:t>
      </w:r>
      <w:r w:rsidR="001D3626">
        <w:rPr>
          <w:rFonts w:ascii="Palatino Linotype" w:hAnsi="Palatino Linotype"/>
        </w:rPr>
        <w:t>. ii) Single Word Reading Test (Foster, 2007) – children read 60 words of increasing difficulty; testing was discontinued</w:t>
      </w:r>
      <w:r w:rsidR="00B201DF">
        <w:rPr>
          <w:rFonts w:ascii="Palatino Linotype" w:hAnsi="Palatino Linotype"/>
        </w:rPr>
        <w:t xml:space="preserve"> after five consecutive errors/refusals</w:t>
      </w:r>
      <w:r w:rsidR="00B037A6">
        <w:rPr>
          <w:rFonts w:ascii="Palatino Linotype" w:hAnsi="Palatino Linotype"/>
        </w:rPr>
        <w:t xml:space="preserve"> </w:t>
      </w:r>
      <w:r w:rsidR="00B037A6" w:rsidRPr="00E25E49">
        <w:rPr>
          <w:rFonts w:ascii="Palatino Linotype" w:hAnsi="Palatino Linotype" w:cs="Times New Roman"/>
        </w:rPr>
        <w:t>(α</w:t>
      </w:r>
      <w:r w:rsidR="00B037A6">
        <w:rPr>
          <w:rFonts w:ascii="Palatino Linotype" w:hAnsi="Palatino Linotype" w:cs="Times New Roman"/>
        </w:rPr>
        <w:t>=.98)</w:t>
      </w:r>
      <w:r w:rsidR="00B201DF">
        <w:rPr>
          <w:rFonts w:ascii="Palatino Linotype" w:hAnsi="Palatino Linotype"/>
        </w:rPr>
        <w:t>.</w:t>
      </w:r>
      <w:r w:rsidR="00CD51DF">
        <w:rPr>
          <w:rFonts w:ascii="Palatino Linotype" w:hAnsi="Palatino Linotype"/>
        </w:rPr>
        <w:t xml:space="preserve">  </w:t>
      </w:r>
    </w:p>
    <w:p w14:paraId="1D3588DE" w14:textId="14BAF279" w:rsidR="00E10E19" w:rsidRDefault="00090451" w:rsidP="008A4E9D">
      <w:pPr>
        <w:spacing w:line="480" w:lineRule="auto"/>
        <w:rPr>
          <w:rFonts w:ascii="Palatino Linotype" w:hAnsi="Palatino Linotype"/>
        </w:rPr>
      </w:pPr>
      <w:r w:rsidRPr="00A85E9D">
        <w:rPr>
          <w:rFonts w:ascii="Palatino Linotype" w:hAnsi="Palatino Linotype"/>
          <w:u w:val="single"/>
        </w:rPr>
        <w:t>Spelling</w:t>
      </w:r>
      <w:r w:rsidR="00A85E9D" w:rsidRPr="00A85E9D">
        <w:rPr>
          <w:rFonts w:ascii="Palatino Linotype" w:hAnsi="Palatino Linotype"/>
          <w:u w:val="single"/>
        </w:rPr>
        <w:t>:</w:t>
      </w:r>
      <w:r w:rsidRPr="00E10E19">
        <w:rPr>
          <w:rFonts w:ascii="Palatino Linotype" w:hAnsi="Palatino Linotype"/>
        </w:rPr>
        <w:t xml:space="preserve"> </w:t>
      </w:r>
      <w:r w:rsidR="00FF3D86" w:rsidRPr="00E10E19">
        <w:rPr>
          <w:rFonts w:ascii="Palatino Linotype" w:hAnsi="Palatino Linotype"/>
        </w:rPr>
        <w:t>In this bespoke task, c</w:t>
      </w:r>
      <w:r w:rsidR="005B5005" w:rsidRPr="00E10E19">
        <w:rPr>
          <w:rFonts w:ascii="Palatino Linotype" w:hAnsi="Palatino Linotype"/>
        </w:rPr>
        <w:t>hildren spell</w:t>
      </w:r>
      <w:r w:rsidR="009E3083" w:rsidRPr="00E10E19">
        <w:rPr>
          <w:rFonts w:ascii="Palatino Linotype" w:hAnsi="Palatino Linotype"/>
        </w:rPr>
        <w:t>ed</w:t>
      </w:r>
      <w:r w:rsidR="005B5005" w:rsidRPr="00E10E19">
        <w:rPr>
          <w:rFonts w:ascii="Palatino Linotype" w:hAnsi="Palatino Linotype"/>
        </w:rPr>
        <w:t xml:space="preserve"> five words, each represented by a pictur</w:t>
      </w:r>
      <w:r w:rsidR="003F03B1" w:rsidRPr="00E10E19">
        <w:rPr>
          <w:rFonts w:ascii="Palatino Linotype" w:hAnsi="Palatino Linotype"/>
        </w:rPr>
        <w:t>e (dog, cup, tent, book, heart)</w:t>
      </w:r>
      <w:r w:rsidR="00FF3D86" w:rsidRPr="00E10E19">
        <w:rPr>
          <w:rFonts w:ascii="Palatino Linotype" w:hAnsi="Palatino Linotype"/>
        </w:rPr>
        <w:t>; the score was the total number of words spelled correctly</w:t>
      </w:r>
      <w:r w:rsidR="00FF3D86">
        <w:rPr>
          <w:rFonts w:ascii="Palatino Linotype" w:hAnsi="Palatino Linotype"/>
        </w:rPr>
        <w:t xml:space="preserve"> </w:t>
      </w:r>
      <w:r w:rsidR="003F03B1" w:rsidRPr="00DB6CBF">
        <w:rPr>
          <w:rFonts w:ascii="Palatino Linotype" w:hAnsi="Palatino Linotype" w:cs="Times New Roman"/>
        </w:rPr>
        <w:t>(α</w:t>
      </w:r>
      <w:r w:rsidR="00DB6CBF" w:rsidRPr="00DB6CBF">
        <w:rPr>
          <w:rFonts w:ascii="Palatino Linotype" w:hAnsi="Palatino Linotype" w:cs="Times New Roman"/>
        </w:rPr>
        <w:t>=.79)</w:t>
      </w:r>
      <w:r w:rsidR="00DB6CBF" w:rsidRPr="00DB6CBF">
        <w:rPr>
          <w:rFonts w:ascii="Palatino Linotype" w:hAnsi="Palatino Linotype"/>
        </w:rPr>
        <w:t>.</w:t>
      </w:r>
      <w:r w:rsidR="00E10E19">
        <w:rPr>
          <w:rFonts w:ascii="Palatino Linotype" w:hAnsi="Palatino Linotype"/>
        </w:rPr>
        <w:t xml:space="preserve"> </w:t>
      </w:r>
    </w:p>
    <w:p w14:paraId="44DFE80A" w14:textId="29D07029" w:rsidR="00090451" w:rsidRDefault="00090451" w:rsidP="00E10E19">
      <w:pPr>
        <w:spacing w:line="480" w:lineRule="auto"/>
        <w:ind w:firstLine="720"/>
        <w:rPr>
          <w:rFonts w:ascii="Palatino Linotype" w:hAnsi="Palatino Linotype"/>
        </w:rPr>
      </w:pPr>
      <w:r>
        <w:rPr>
          <w:rFonts w:ascii="Palatino Linotype" w:hAnsi="Palatino Linotype"/>
        </w:rPr>
        <w:t xml:space="preserve">At age 8½, children completed the following measures, as part of a broader assessment. </w:t>
      </w:r>
    </w:p>
    <w:p w14:paraId="57F46668" w14:textId="1BF6DBA9" w:rsidR="00090451" w:rsidRDefault="00090451" w:rsidP="00E10E19">
      <w:pPr>
        <w:spacing w:line="480" w:lineRule="auto"/>
        <w:jc w:val="both"/>
        <w:rPr>
          <w:rFonts w:ascii="Palatino Linotype" w:hAnsi="Palatino Linotype"/>
        </w:rPr>
      </w:pPr>
      <w:r w:rsidRPr="00A85E9D">
        <w:rPr>
          <w:rFonts w:ascii="Palatino Linotype" w:hAnsi="Palatino Linotype"/>
          <w:u w:val="single"/>
        </w:rPr>
        <w:t xml:space="preserve">Word-level </w:t>
      </w:r>
      <w:r w:rsidR="00E10E19" w:rsidRPr="00A85E9D">
        <w:rPr>
          <w:rFonts w:ascii="Palatino Linotype" w:hAnsi="Palatino Linotype"/>
          <w:u w:val="single"/>
        </w:rPr>
        <w:t>r</w:t>
      </w:r>
      <w:r w:rsidRPr="00A85E9D">
        <w:rPr>
          <w:rFonts w:ascii="Palatino Linotype" w:hAnsi="Palatino Linotype"/>
          <w:u w:val="single"/>
        </w:rPr>
        <w:t>eading</w:t>
      </w:r>
      <w:r w:rsidR="00A85E9D" w:rsidRPr="00A85E9D">
        <w:rPr>
          <w:rFonts w:ascii="Palatino Linotype" w:hAnsi="Palatino Linotype"/>
        </w:rPr>
        <w:t>:</w:t>
      </w:r>
      <w:r w:rsidR="005B5005" w:rsidRPr="00A85E9D">
        <w:rPr>
          <w:rFonts w:ascii="Palatino Linotype" w:hAnsi="Palatino Linotype"/>
        </w:rPr>
        <w:t xml:space="preserve"> </w:t>
      </w:r>
      <w:r w:rsidR="005B5005">
        <w:rPr>
          <w:rFonts w:ascii="Palatino Linotype" w:hAnsi="Palatino Linotype"/>
        </w:rPr>
        <w:t>i)</w:t>
      </w:r>
      <w:r w:rsidR="00B201DF">
        <w:rPr>
          <w:rFonts w:ascii="Palatino Linotype" w:hAnsi="Palatino Linotype"/>
        </w:rPr>
        <w:t xml:space="preserve"> Sight-Word and Decoding subtests of the Test of Word Reading Efficiency (</w:t>
      </w:r>
      <w:r w:rsidR="005B5005">
        <w:rPr>
          <w:rFonts w:ascii="Palatino Linotype" w:hAnsi="Palatino Linotype"/>
        </w:rPr>
        <w:t>TOWRE</w:t>
      </w:r>
      <w:r w:rsidR="002C3561">
        <w:rPr>
          <w:rFonts w:ascii="Palatino Linotype" w:hAnsi="Palatino Linotype"/>
        </w:rPr>
        <w:t>; Torgesen, Wagner &amp; Rashotte, 1999</w:t>
      </w:r>
      <w:r w:rsidR="00B201DF">
        <w:rPr>
          <w:rFonts w:ascii="Palatino Linotype" w:hAnsi="Palatino Linotype"/>
        </w:rPr>
        <w:t xml:space="preserve">) – children read as many words/nonwords </w:t>
      </w:r>
      <w:r w:rsidR="00CD2337">
        <w:rPr>
          <w:rFonts w:ascii="Palatino Linotype" w:hAnsi="Palatino Linotype"/>
        </w:rPr>
        <w:t xml:space="preserve">from a list </w:t>
      </w:r>
      <w:r w:rsidR="00B201DF">
        <w:rPr>
          <w:rFonts w:ascii="Palatino Linotype" w:hAnsi="Palatino Linotype"/>
        </w:rPr>
        <w:t>as they could in 45 seconds</w:t>
      </w:r>
      <w:r w:rsidR="00B037A6">
        <w:rPr>
          <w:rFonts w:ascii="Palatino Linotype" w:hAnsi="Palatino Linotype"/>
        </w:rPr>
        <w:t xml:space="preserve"> </w:t>
      </w:r>
      <w:r w:rsidR="00B037A6" w:rsidRPr="00E25E49">
        <w:rPr>
          <w:rFonts w:ascii="Palatino Linotype" w:hAnsi="Palatino Linotype" w:cs="Times New Roman"/>
        </w:rPr>
        <w:t>(α</w:t>
      </w:r>
      <w:r w:rsidR="00B037A6">
        <w:rPr>
          <w:rFonts w:ascii="Palatino Linotype" w:hAnsi="Palatino Linotype" w:cs="Times New Roman"/>
        </w:rPr>
        <w:t>=.95)</w:t>
      </w:r>
      <w:r w:rsidR="00B201DF">
        <w:rPr>
          <w:rFonts w:ascii="Palatino Linotype" w:hAnsi="Palatino Linotype"/>
        </w:rPr>
        <w:t xml:space="preserve">. ii) Accuracy from the Passage Reading subtest of the YARC - </w:t>
      </w:r>
      <w:r w:rsidR="00D7243D">
        <w:rPr>
          <w:rFonts w:ascii="Palatino Linotype" w:hAnsi="Palatino Linotype"/>
        </w:rPr>
        <w:t>children read aloud a series of short texts, with reading errors corrected up to a given number as specified in the manual. Reading accuracy was based on the tw</w:t>
      </w:r>
      <w:r w:rsidR="00B037A6">
        <w:rPr>
          <w:rFonts w:ascii="Palatino Linotype" w:hAnsi="Palatino Linotype"/>
        </w:rPr>
        <w:t>o most difficult passages read</w:t>
      </w:r>
      <w:r w:rsidR="000A213F">
        <w:rPr>
          <w:rFonts w:ascii="Palatino Linotype" w:hAnsi="Palatino Linotype"/>
        </w:rPr>
        <w:t xml:space="preserve"> (</w:t>
      </w:r>
      <w:r w:rsidR="000A213F" w:rsidRPr="00E25E49">
        <w:rPr>
          <w:rFonts w:ascii="Palatino Linotype" w:hAnsi="Palatino Linotype" w:cs="Times New Roman"/>
        </w:rPr>
        <w:t>α</w:t>
      </w:r>
      <w:r w:rsidR="000A213F">
        <w:rPr>
          <w:rFonts w:ascii="Palatino Linotype" w:hAnsi="Palatino Linotype" w:cs="Times New Roman"/>
        </w:rPr>
        <w:t>=.87)</w:t>
      </w:r>
      <w:r w:rsidR="00DB6CBF">
        <w:rPr>
          <w:rFonts w:ascii="Palatino Linotype" w:hAnsi="Palatino Linotype" w:cs="Times New Roman"/>
        </w:rPr>
        <w:t xml:space="preserve">.  </w:t>
      </w:r>
    </w:p>
    <w:p w14:paraId="56097F7E" w14:textId="38CA8202" w:rsidR="00090451" w:rsidRDefault="00090451" w:rsidP="00E10E19">
      <w:pPr>
        <w:spacing w:line="480" w:lineRule="auto"/>
        <w:jc w:val="both"/>
        <w:rPr>
          <w:rFonts w:ascii="Palatino Linotype" w:hAnsi="Palatino Linotype"/>
        </w:rPr>
      </w:pPr>
      <w:r w:rsidRPr="00A85E9D">
        <w:rPr>
          <w:rFonts w:ascii="Palatino Linotype" w:hAnsi="Palatino Linotype"/>
          <w:u w:val="single"/>
        </w:rPr>
        <w:t xml:space="preserve">Reading </w:t>
      </w:r>
      <w:r w:rsidR="00E10E19" w:rsidRPr="00A85E9D">
        <w:rPr>
          <w:rFonts w:ascii="Palatino Linotype" w:hAnsi="Palatino Linotype"/>
          <w:u w:val="single"/>
        </w:rPr>
        <w:t>c</w:t>
      </w:r>
      <w:r w:rsidR="001D3626" w:rsidRPr="00A85E9D">
        <w:rPr>
          <w:rFonts w:ascii="Palatino Linotype" w:hAnsi="Palatino Linotype"/>
          <w:u w:val="single"/>
        </w:rPr>
        <w:t>omprehension</w:t>
      </w:r>
      <w:r w:rsidR="00A85E9D" w:rsidRPr="00A85E9D">
        <w:rPr>
          <w:rFonts w:ascii="Palatino Linotype" w:hAnsi="Palatino Linotype"/>
          <w:u w:val="single"/>
        </w:rPr>
        <w:t>:</w:t>
      </w:r>
      <w:r w:rsidR="005B5005">
        <w:rPr>
          <w:rFonts w:ascii="Palatino Linotype" w:hAnsi="Palatino Linotype"/>
        </w:rPr>
        <w:t xml:space="preserve"> Passage Reading from the YARC –</w:t>
      </w:r>
      <w:r w:rsidR="00D7243D">
        <w:rPr>
          <w:rFonts w:ascii="Palatino Linotype" w:hAnsi="Palatino Linotype"/>
        </w:rPr>
        <w:t xml:space="preserve"> see above</w:t>
      </w:r>
      <w:r w:rsidR="005B5005">
        <w:rPr>
          <w:rFonts w:ascii="Palatino Linotype" w:hAnsi="Palatino Linotype"/>
        </w:rPr>
        <w:t>; passages which were read accurately were followed by a set of eight spoken comprehension questions. Comprehension ability scores were calculated based on the two most difficult passages read</w:t>
      </w:r>
      <w:r w:rsidR="00B037A6">
        <w:rPr>
          <w:rFonts w:ascii="Palatino Linotype" w:hAnsi="Palatino Linotype"/>
        </w:rPr>
        <w:t xml:space="preserve"> (</w:t>
      </w:r>
      <w:r w:rsidR="00B037A6" w:rsidRPr="00E25E49">
        <w:rPr>
          <w:rFonts w:ascii="Palatino Linotype" w:hAnsi="Palatino Linotype" w:cs="Times New Roman"/>
        </w:rPr>
        <w:t>α</w:t>
      </w:r>
      <w:r w:rsidR="00B037A6">
        <w:rPr>
          <w:rFonts w:ascii="Palatino Linotype" w:hAnsi="Palatino Linotype" w:cs="Times New Roman"/>
        </w:rPr>
        <w:t>=.</w:t>
      </w:r>
      <w:r w:rsidR="000A213F">
        <w:rPr>
          <w:rFonts w:ascii="Palatino Linotype" w:hAnsi="Palatino Linotype" w:cs="Times New Roman"/>
        </w:rPr>
        <w:t>64</w:t>
      </w:r>
      <w:r w:rsidR="00B037A6">
        <w:rPr>
          <w:rFonts w:ascii="Palatino Linotype" w:hAnsi="Palatino Linotype" w:cs="Times New Roman"/>
        </w:rPr>
        <w:t>)</w:t>
      </w:r>
      <w:r w:rsidR="00B037A6">
        <w:rPr>
          <w:rFonts w:ascii="Palatino Linotype" w:hAnsi="Palatino Linotype"/>
        </w:rPr>
        <w:t xml:space="preserve">. </w:t>
      </w:r>
    </w:p>
    <w:p w14:paraId="270616C5" w14:textId="79876C58" w:rsidR="00E25E49" w:rsidRDefault="00090451" w:rsidP="00E10E19">
      <w:pPr>
        <w:spacing w:line="480" w:lineRule="auto"/>
        <w:jc w:val="both"/>
        <w:rPr>
          <w:rFonts w:ascii="Times New Roman" w:hAnsi="Times New Roman" w:cs="Times New Roman"/>
          <w:sz w:val="24"/>
          <w:szCs w:val="24"/>
        </w:rPr>
      </w:pPr>
      <w:r w:rsidRPr="00A85E9D">
        <w:rPr>
          <w:rFonts w:ascii="Palatino Linotype" w:hAnsi="Palatino Linotype"/>
          <w:u w:val="single"/>
        </w:rPr>
        <w:t>Spelling</w:t>
      </w:r>
      <w:r w:rsidR="00A85E9D" w:rsidRPr="00A85E9D">
        <w:rPr>
          <w:rFonts w:ascii="Palatino Linotype" w:hAnsi="Palatino Linotype"/>
          <w:u w:val="single"/>
        </w:rPr>
        <w:t>:</w:t>
      </w:r>
      <w:r w:rsidR="00B201DF">
        <w:rPr>
          <w:rFonts w:ascii="Palatino Linotype" w:hAnsi="Palatino Linotype"/>
        </w:rPr>
        <w:t xml:space="preserve"> Spelling </w:t>
      </w:r>
      <w:r w:rsidR="00E25E49">
        <w:rPr>
          <w:rFonts w:ascii="Palatino Linotype" w:hAnsi="Palatino Linotype"/>
        </w:rPr>
        <w:t xml:space="preserve">words </w:t>
      </w:r>
      <w:r w:rsidR="00B201DF">
        <w:rPr>
          <w:rFonts w:ascii="Palatino Linotype" w:hAnsi="Palatino Linotype"/>
        </w:rPr>
        <w:t>subtest of the W</w:t>
      </w:r>
      <w:r w:rsidR="00D7243D">
        <w:rPr>
          <w:rFonts w:ascii="Palatino Linotype" w:hAnsi="Palatino Linotype"/>
        </w:rPr>
        <w:t>echsler Individual Ability Test (WIAT</w:t>
      </w:r>
      <w:r w:rsidR="00FB5D14">
        <w:rPr>
          <w:rFonts w:ascii="Palatino Linotype" w:hAnsi="Palatino Linotype"/>
        </w:rPr>
        <w:t xml:space="preserve"> II</w:t>
      </w:r>
      <w:r w:rsidR="00E25E49">
        <w:rPr>
          <w:rFonts w:ascii="Palatino Linotype" w:hAnsi="Palatino Linotype"/>
        </w:rPr>
        <w:t xml:space="preserve">; Wechsler, 2005) – children spelled </w:t>
      </w:r>
      <w:r w:rsidR="00E25E49">
        <w:rPr>
          <w:rFonts w:ascii="Times New Roman" w:hAnsi="Times New Roman" w:cs="Times New Roman"/>
          <w:sz w:val="24"/>
          <w:szCs w:val="24"/>
        </w:rPr>
        <w:t>words increasing in difficulty</w:t>
      </w:r>
      <w:r w:rsidR="00E25E49" w:rsidRPr="00FF306C">
        <w:rPr>
          <w:rFonts w:ascii="Times New Roman" w:hAnsi="Times New Roman" w:cs="Times New Roman"/>
          <w:sz w:val="24"/>
          <w:szCs w:val="24"/>
          <w:lang w:val="en-US"/>
        </w:rPr>
        <w:t>.</w:t>
      </w:r>
      <w:r w:rsidR="00E25E49">
        <w:rPr>
          <w:rFonts w:ascii="Times New Roman" w:hAnsi="Times New Roman" w:cs="Times New Roman"/>
          <w:i/>
          <w:sz w:val="24"/>
          <w:szCs w:val="24"/>
          <w:lang w:val="en-US"/>
        </w:rPr>
        <w:t xml:space="preserve"> </w:t>
      </w:r>
      <w:r w:rsidR="00E25E49">
        <w:rPr>
          <w:rFonts w:ascii="Times New Roman" w:hAnsi="Times New Roman" w:cs="Times New Roman"/>
          <w:sz w:val="24"/>
          <w:szCs w:val="24"/>
        </w:rPr>
        <w:t>Testing was</w:t>
      </w:r>
      <w:r w:rsidR="00E25E49" w:rsidRPr="00143AF7">
        <w:rPr>
          <w:rFonts w:ascii="Times New Roman" w:hAnsi="Times New Roman" w:cs="Times New Roman"/>
          <w:sz w:val="24"/>
          <w:szCs w:val="24"/>
        </w:rPr>
        <w:t xml:space="preserve"> discontinued after </w:t>
      </w:r>
      <w:r w:rsidR="00E25E49">
        <w:rPr>
          <w:rFonts w:ascii="Times New Roman" w:hAnsi="Times New Roman" w:cs="Times New Roman"/>
          <w:sz w:val="24"/>
          <w:szCs w:val="24"/>
        </w:rPr>
        <w:t>10</w:t>
      </w:r>
      <w:r w:rsidR="00E25E49" w:rsidRPr="00143AF7">
        <w:rPr>
          <w:rFonts w:ascii="Times New Roman" w:hAnsi="Times New Roman" w:cs="Times New Roman"/>
          <w:sz w:val="24"/>
          <w:szCs w:val="24"/>
        </w:rPr>
        <w:t xml:space="preserve"> consecutive errors.</w:t>
      </w:r>
      <w:r w:rsidR="00E25E49">
        <w:rPr>
          <w:rFonts w:ascii="Times New Roman" w:hAnsi="Times New Roman" w:cs="Times New Roman"/>
          <w:sz w:val="24"/>
          <w:szCs w:val="24"/>
        </w:rPr>
        <w:t xml:space="preserve"> </w:t>
      </w:r>
      <w:r w:rsidR="00E25E49" w:rsidRPr="00D7206B">
        <w:rPr>
          <w:rFonts w:ascii="Times New Roman" w:hAnsi="Times New Roman" w:cs="Times New Roman"/>
          <w:sz w:val="24"/>
          <w:szCs w:val="24"/>
        </w:rPr>
        <w:t>(</w:t>
      </w:r>
      <w:r w:rsidR="00D600C2">
        <w:rPr>
          <w:rFonts w:ascii="Times New Roman" w:hAnsi="Times New Roman" w:cs="Times New Roman"/>
          <w:sz w:val="24"/>
          <w:szCs w:val="24"/>
        </w:rPr>
        <w:t>Test-retest</w:t>
      </w:r>
      <w:r w:rsidR="00B04E58">
        <w:rPr>
          <w:rFonts w:ascii="Times New Roman" w:hAnsi="Times New Roman" w:cs="Times New Roman"/>
          <w:sz w:val="24"/>
          <w:szCs w:val="24"/>
        </w:rPr>
        <w:t xml:space="preserve"> r</w:t>
      </w:r>
      <w:r w:rsidR="00B04E58" w:rsidRPr="00D7206B">
        <w:rPr>
          <w:rFonts w:ascii="Times New Roman" w:hAnsi="Times New Roman" w:cs="Times New Roman"/>
          <w:sz w:val="24"/>
          <w:szCs w:val="24"/>
        </w:rPr>
        <w:t xml:space="preserve"> </w:t>
      </w:r>
      <w:r w:rsidR="00E25E49" w:rsidRPr="00D7206B">
        <w:rPr>
          <w:rFonts w:ascii="Times New Roman" w:hAnsi="Times New Roman" w:cs="Times New Roman"/>
          <w:sz w:val="24"/>
          <w:szCs w:val="24"/>
        </w:rPr>
        <w:t>=.93</w:t>
      </w:r>
      <w:r w:rsidR="00E25E49">
        <w:rPr>
          <w:rFonts w:ascii="Times New Roman" w:hAnsi="Times New Roman" w:cs="Times New Roman"/>
          <w:sz w:val="24"/>
          <w:szCs w:val="24"/>
        </w:rPr>
        <w:t>).</w:t>
      </w:r>
    </w:p>
    <w:p w14:paraId="4BEA9DCC" w14:textId="3231E79F" w:rsidR="00DA150C" w:rsidRDefault="00A85E9D" w:rsidP="008A4E9D">
      <w:pPr>
        <w:spacing w:line="480" w:lineRule="auto"/>
        <w:rPr>
          <w:rFonts w:ascii="Palatino Linotype" w:hAnsi="Palatino Linotype"/>
          <w:b/>
        </w:rPr>
      </w:pPr>
      <w:r>
        <w:rPr>
          <w:rFonts w:ascii="Palatino Linotype" w:hAnsi="Palatino Linotype"/>
          <w:b/>
        </w:rPr>
        <w:t>RESULTS</w:t>
      </w:r>
    </w:p>
    <w:p w14:paraId="0BB1F28B" w14:textId="6F716D76" w:rsidR="002F5215" w:rsidRPr="00A85E9D" w:rsidRDefault="00FF3D86" w:rsidP="008A4E9D">
      <w:pPr>
        <w:spacing w:line="480" w:lineRule="auto"/>
        <w:rPr>
          <w:rFonts w:ascii="Palatino Linotype" w:hAnsi="Palatino Linotype"/>
          <w:b/>
        </w:rPr>
      </w:pPr>
      <w:r w:rsidRPr="00A85E9D">
        <w:rPr>
          <w:rFonts w:ascii="Palatino Linotype" w:hAnsi="Palatino Linotype"/>
          <w:b/>
        </w:rPr>
        <w:t>A</w:t>
      </w:r>
      <w:r w:rsidR="002F5215" w:rsidRPr="00A85E9D">
        <w:rPr>
          <w:rFonts w:ascii="Palatino Linotype" w:hAnsi="Palatino Linotype"/>
          <w:b/>
        </w:rPr>
        <w:t>nalysis plan</w:t>
      </w:r>
    </w:p>
    <w:p w14:paraId="0C2FA662" w14:textId="4EABC22F" w:rsidR="00FF3D86" w:rsidRPr="00981BA9" w:rsidRDefault="00FF3D86" w:rsidP="00E10E19">
      <w:pPr>
        <w:spacing w:line="480" w:lineRule="auto"/>
        <w:ind w:firstLine="720"/>
        <w:jc w:val="both"/>
        <w:rPr>
          <w:rFonts w:ascii="Palatino Linotype" w:hAnsi="Palatino Linotype"/>
        </w:rPr>
      </w:pPr>
      <w:r w:rsidRPr="00E10E19">
        <w:rPr>
          <w:rFonts w:ascii="Palatino Linotype" w:hAnsi="Palatino Linotype"/>
        </w:rPr>
        <w:t xml:space="preserve">The first set of analyses characterise the </w:t>
      </w:r>
      <w:r w:rsidR="002F5215" w:rsidRPr="00E10E19">
        <w:rPr>
          <w:rFonts w:ascii="Palatino Linotype" w:hAnsi="Palatino Linotype"/>
        </w:rPr>
        <w:t>group of children who met criteria for SSD at the age of 3½, in terms of their demographic characteristics, language and family-risk status, speech profile, and group-level literacy outcomes at the ages of 5½ and 8. The second set of analyses take an individual differences approach, and use regression models based on the entire sample to examine SSD, language impairment and family-risk status as predictors of continuous literacy outcomes. The final set of analyses use regression models based on the SSD group only, to examine the effect of the nature, persistence and severity of SSD on literacy outcomes.</w:t>
      </w:r>
      <w:r w:rsidR="00E10E19">
        <w:rPr>
          <w:rFonts w:ascii="Palatino Linotype" w:hAnsi="Palatino Linotype"/>
        </w:rPr>
        <w:t xml:space="preserve"> </w:t>
      </w:r>
      <w:r w:rsidR="00C81B88" w:rsidRPr="00E10E19">
        <w:rPr>
          <w:rFonts w:ascii="Palatino Linotype" w:hAnsi="Palatino Linotype"/>
        </w:rPr>
        <w:t>We report effect sizes where appropriate: d=0.8 is considered large; 0.5 medium and 0.2 small.</w:t>
      </w:r>
    </w:p>
    <w:p w14:paraId="02B46B23" w14:textId="67EB4A65" w:rsidR="000616CC" w:rsidRPr="00A85E9D" w:rsidRDefault="000616CC" w:rsidP="008A4E9D">
      <w:pPr>
        <w:spacing w:line="480" w:lineRule="auto"/>
        <w:rPr>
          <w:rFonts w:ascii="Palatino Linotype" w:hAnsi="Palatino Linotype"/>
          <w:b/>
        </w:rPr>
      </w:pPr>
      <w:r w:rsidRPr="00A85E9D">
        <w:rPr>
          <w:rFonts w:ascii="Palatino Linotype" w:hAnsi="Palatino Linotype"/>
          <w:b/>
        </w:rPr>
        <w:t>Characterising the SSD group</w:t>
      </w:r>
      <w:r w:rsidR="00E94FDD" w:rsidRPr="00A85E9D">
        <w:rPr>
          <w:rFonts w:ascii="Palatino Linotype" w:hAnsi="Palatino Linotype"/>
          <w:b/>
        </w:rPr>
        <w:t xml:space="preserve"> </w:t>
      </w:r>
    </w:p>
    <w:p w14:paraId="774D68C9" w14:textId="3D3A9683" w:rsidR="0039031E" w:rsidRDefault="007C0CEB" w:rsidP="00E10E19">
      <w:pPr>
        <w:spacing w:line="480" w:lineRule="auto"/>
        <w:ind w:firstLine="709"/>
        <w:jc w:val="both"/>
        <w:rPr>
          <w:rFonts w:ascii="Palatino Linotype" w:hAnsi="Palatino Linotype"/>
        </w:rPr>
      </w:pPr>
      <w:r>
        <w:rPr>
          <w:rFonts w:ascii="Palatino Linotype" w:hAnsi="Palatino Linotype"/>
        </w:rPr>
        <w:t>Descriptive statistics for the SSD and</w:t>
      </w:r>
      <w:r w:rsidR="00570FB5">
        <w:rPr>
          <w:rFonts w:ascii="Palatino Linotype" w:hAnsi="Palatino Linotype"/>
        </w:rPr>
        <w:t xml:space="preserve"> control</w:t>
      </w:r>
      <w:r>
        <w:rPr>
          <w:rFonts w:ascii="Palatino Linotype" w:hAnsi="Palatino Linotype"/>
        </w:rPr>
        <w:t xml:space="preserve"> groups</w:t>
      </w:r>
      <w:r w:rsidR="000616CC">
        <w:rPr>
          <w:rFonts w:ascii="Palatino Linotype" w:hAnsi="Palatino Linotype"/>
        </w:rPr>
        <w:t xml:space="preserve"> </w:t>
      </w:r>
      <w:r w:rsidR="00C4514F">
        <w:rPr>
          <w:rFonts w:ascii="Palatino Linotype" w:hAnsi="Palatino Linotype"/>
        </w:rPr>
        <w:t>are presented in</w:t>
      </w:r>
      <w:r w:rsidR="00C53D0B">
        <w:rPr>
          <w:rFonts w:ascii="Palatino Linotype" w:hAnsi="Palatino Linotype"/>
        </w:rPr>
        <w:t xml:space="preserve"> </w:t>
      </w:r>
      <w:r w:rsidR="00C4514F">
        <w:rPr>
          <w:rFonts w:ascii="Palatino Linotype" w:hAnsi="Palatino Linotype"/>
        </w:rPr>
        <w:t xml:space="preserve">Table </w:t>
      </w:r>
      <w:r w:rsidR="00C53D0B">
        <w:rPr>
          <w:rFonts w:ascii="Palatino Linotype" w:hAnsi="Palatino Linotype"/>
        </w:rPr>
        <w:t>1</w:t>
      </w:r>
      <w:r w:rsidR="00922954">
        <w:rPr>
          <w:rFonts w:ascii="Palatino Linotype" w:hAnsi="Palatino Linotype"/>
        </w:rPr>
        <w:t xml:space="preserve"> (the contr</w:t>
      </w:r>
      <w:r w:rsidR="005A349C">
        <w:rPr>
          <w:rFonts w:ascii="Palatino Linotype" w:hAnsi="Palatino Linotype"/>
        </w:rPr>
        <w:t>ol group is defined as having no family risk of dyslexia, and not meeting criteria for LI or SSD at T1)</w:t>
      </w:r>
      <w:r w:rsidR="00C4514F">
        <w:rPr>
          <w:rFonts w:ascii="Palatino Linotype" w:hAnsi="Palatino Linotype"/>
        </w:rPr>
        <w:t xml:space="preserve">. The </w:t>
      </w:r>
      <w:r w:rsidR="0095550F">
        <w:rPr>
          <w:rFonts w:ascii="Palatino Linotype" w:hAnsi="Palatino Linotype"/>
        </w:rPr>
        <w:t xml:space="preserve">SSD and control </w:t>
      </w:r>
      <w:r w:rsidR="00C4514F">
        <w:rPr>
          <w:rFonts w:ascii="Palatino Linotype" w:hAnsi="Palatino Linotype"/>
        </w:rPr>
        <w:t>group</w:t>
      </w:r>
      <w:r w:rsidR="0011323D">
        <w:rPr>
          <w:rFonts w:ascii="Palatino Linotype" w:hAnsi="Palatino Linotype"/>
        </w:rPr>
        <w:t>s</w:t>
      </w:r>
      <w:r w:rsidR="00C4514F">
        <w:rPr>
          <w:rFonts w:ascii="Palatino Linotype" w:hAnsi="Palatino Linotype"/>
        </w:rPr>
        <w:t xml:space="preserve"> </w:t>
      </w:r>
      <w:r w:rsidR="00526FF9">
        <w:rPr>
          <w:rFonts w:ascii="Palatino Linotype" w:hAnsi="Palatino Linotype"/>
        </w:rPr>
        <w:t>were</w:t>
      </w:r>
      <w:r>
        <w:rPr>
          <w:rFonts w:ascii="Palatino Linotype" w:hAnsi="Palatino Linotype"/>
        </w:rPr>
        <w:t xml:space="preserve"> </w:t>
      </w:r>
      <w:r w:rsidR="006B5DE7">
        <w:rPr>
          <w:rFonts w:ascii="Palatino Linotype" w:hAnsi="Palatino Linotype"/>
        </w:rPr>
        <w:t xml:space="preserve">equivalent </w:t>
      </w:r>
      <w:r w:rsidR="00C113D5">
        <w:rPr>
          <w:rFonts w:ascii="Palatino Linotype" w:hAnsi="Palatino Linotype"/>
        </w:rPr>
        <w:t xml:space="preserve">in </w:t>
      </w:r>
      <w:r>
        <w:rPr>
          <w:rFonts w:ascii="Palatino Linotype" w:hAnsi="Palatino Linotype"/>
        </w:rPr>
        <w:t xml:space="preserve">age, but the </w:t>
      </w:r>
      <w:r w:rsidR="0095550F">
        <w:rPr>
          <w:rFonts w:ascii="Palatino Linotype" w:hAnsi="Palatino Linotype"/>
        </w:rPr>
        <w:t xml:space="preserve">control </w:t>
      </w:r>
      <w:r>
        <w:rPr>
          <w:rFonts w:ascii="Palatino Linotype" w:hAnsi="Palatino Linotype"/>
        </w:rPr>
        <w:t xml:space="preserve">group </w:t>
      </w:r>
      <w:r w:rsidR="00F823E9">
        <w:rPr>
          <w:rFonts w:ascii="Palatino Linotype" w:hAnsi="Palatino Linotype"/>
        </w:rPr>
        <w:t>was</w:t>
      </w:r>
      <w:r w:rsidR="00C113D5">
        <w:rPr>
          <w:rFonts w:ascii="Palatino Linotype" w:hAnsi="Palatino Linotype"/>
        </w:rPr>
        <w:t xml:space="preserve"> higher in</w:t>
      </w:r>
      <w:r>
        <w:rPr>
          <w:rFonts w:ascii="Palatino Linotype" w:hAnsi="Palatino Linotype"/>
        </w:rPr>
        <w:t xml:space="preserve"> SES and performance IQ</w:t>
      </w:r>
      <w:r w:rsidR="006B7E3D">
        <w:rPr>
          <w:rFonts w:ascii="Palatino Linotype" w:hAnsi="Palatino Linotype"/>
        </w:rPr>
        <w:t xml:space="preserve">, and had </w:t>
      </w:r>
      <w:r w:rsidR="0011323D">
        <w:rPr>
          <w:rFonts w:ascii="Palatino Linotype" w:hAnsi="Palatino Linotype"/>
        </w:rPr>
        <w:t>fewer</w:t>
      </w:r>
      <w:r w:rsidR="006B7E3D">
        <w:rPr>
          <w:rFonts w:ascii="Palatino Linotype" w:hAnsi="Palatino Linotype"/>
        </w:rPr>
        <w:t xml:space="preserve"> boys</w:t>
      </w:r>
      <w:r w:rsidR="0011323D">
        <w:rPr>
          <w:rFonts w:ascii="Palatino Linotype" w:hAnsi="Palatino Linotype"/>
        </w:rPr>
        <w:t xml:space="preserve"> (non-significant difference)</w:t>
      </w:r>
      <w:r>
        <w:rPr>
          <w:rFonts w:ascii="Palatino Linotype" w:hAnsi="Palatino Linotype"/>
        </w:rPr>
        <w:t xml:space="preserve">. </w:t>
      </w:r>
      <w:r w:rsidR="00F64CD1">
        <w:rPr>
          <w:rFonts w:ascii="Palatino Linotype" w:hAnsi="Palatino Linotype"/>
        </w:rPr>
        <w:t>Approximately half of the SSD group met criteria for language impairment at T1, and half</w:t>
      </w:r>
      <w:r w:rsidR="005D6365">
        <w:rPr>
          <w:rFonts w:ascii="Palatino Linotype" w:hAnsi="Palatino Linotype"/>
        </w:rPr>
        <w:t xml:space="preserve"> had a family-risk of dyslexia (</w:t>
      </w:r>
      <w:r w:rsidR="006B7E3D">
        <w:rPr>
          <w:rFonts w:ascii="Palatino Linotype" w:hAnsi="Palatino Linotype"/>
        </w:rPr>
        <w:t>with</w:t>
      </w:r>
      <w:r w:rsidR="005D6365">
        <w:rPr>
          <w:rFonts w:ascii="Palatino Linotype" w:hAnsi="Palatino Linotype"/>
        </w:rPr>
        <w:t xml:space="preserve"> 22% of the SSD group me</w:t>
      </w:r>
      <w:r w:rsidR="006B7E3D">
        <w:rPr>
          <w:rFonts w:ascii="Palatino Linotype" w:hAnsi="Palatino Linotype"/>
        </w:rPr>
        <w:t>e</w:t>
      </w:r>
      <w:r w:rsidR="005D6365">
        <w:rPr>
          <w:rFonts w:ascii="Palatino Linotype" w:hAnsi="Palatino Linotype"/>
        </w:rPr>
        <w:t>t</w:t>
      </w:r>
      <w:r w:rsidR="006B7E3D">
        <w:rPr>
          <w:rFonts w:ascii="Palatino Linotype" w:hAnsi="Palatino Linotype"/>
        </w:rPr>
        <w:t>ing</w:t>
      </w:r>
      <w:r w:rsidR="005D6365">
        <w:rPr>
          <w:rFonts w:ascii="Palatino Linotype" w:hAnsi="Palatino Linotype"/>
        </w:rPr>
        <w:t xml:space="preserve"> both LI </w:t>
      </w:r>
      <w:r w:rsidR="006B7E3D">
        <w:rPr>
          <w:rFonts w:ascii="Palatino Linotype" w:hAnsi="Palatino Linotype"/>
        </w:rPr>
        <w:t>and FR criteria</w:t>
      </w:r>
      <w:r w:rsidR="005D6365">
        <w:rPr>
          <w:rFonts w:ascii="Palatino Linotype" w:hAnsi="Palatino Linotype"/>
        </w:rPr>
        <w:t xml:space="preserve">). </w:t>
      </w:r>
      <w:r w:rsidR="006B5DE7">
        <w:rPr>
          <w:rFonts w:ascii="Palatino Linotype" w:hAnsi="Palatino Linotype"/>
        </w:rPr>
        <w:t xml:space="preserve"> Of the SSD group, </w:t>
      </w:r>
      <w:r w:rsidR="001174EF">
        <w:rPr>
          <w:rFonts w:ascii="Palatino Linotype" w:hAnsi="Palatino Linotype"/>
        </w:rPr>
        <w:t>73</w:t>
      </w:r>
      <w:r w:rsidR="006B5DE7">
        <w:rPr>
          <w:rFonts w:ascii="Palatino Linotype" w:hAnsi="Palatino Linotype"/>
        </w:rPr>
        <w:t>% had speech errors which indicated a speech delay</w:t>
      </w:r>
      <w:r w:rsidR="00C53D0B">
        <w:rPr>
          <w:rFonts w:ascii="Palatino Linotype" w:hAnsi="Palatino Linotype"/>
        </w:rPr>
        <w:t xml:space="preserve"> and</w:t>
      </w:r>
      <w:r w:rsidR="006B5DE7">
        <w:rPr>
          <w:rFonts w:ascii="Palatino Linotype" w:hAnsi="Palatino Linotype"/>
        </w:rPr>
        <w:t xml:space="preserve"> </w:t>
      </w:r>
      <w:r w:rsidR="001174EF">
        <w:rPr>
          <w:rFonts w:ascii="Palatino Linotype" w:hAnsi="Palatino Linotype"/>
        </w:rPr>
        <w:t>27</w:t>
      </w:r>
      <w:r w:rsidR="006B5DE7">
        <w:rPr>
          <w:rFonts w:ascii="Palatino Linotype" w:hAnsi="Palatino Linotype"/>
        </w:rPr>
        <w:t xml:space="preserve">% had errors indicating speech disorder. The speech difficulties for </w:t>
      </w:r>
      <w:r w:rsidR="00D06718">
        <w:rPr>
          <w:rFonts w:ascii="Palatino Linotype" w:hAnsi="Palatino Linotype"/>
        </w:rPr>
        <w:t>over half</w:t>
      </w:r>
      <w:r w:rsidR="006B5DE7">
        <w:rPr>
          <w:rFonts w:ascii="Palatino Linotype" w:hAnsi="Palatino Linotype"/>
        </w:rPr>
        <w:t xml:space="preserve"> the children persisted to the age of school entry, with </w:t>
      </w:r>
      <w:r w:rsidR="00D06718" w:rsidRPr="00D06718">
        <w:rPr>
          <w:rFonts w:ascii="Palatino Linotype" w:hAnsi="Palatino Linotype"/>
        </w:rPr>
        <w:t>56</w:t>
      </w:r>
      <w:r w:rsidR="006B5DE7" w:rsidRPr="00D06718">
        <w:rPr>
          <w:rFonts w:ascii="Palatino Linotype" w:hAnsi="Palatino Linotype"/>
        </w:rPr>
        <w:t>%</w:t>
      </w:r>
      <w:r w:rsidR="006B5DE7">
        <w:rPr>
          <w:rFonts w:ascii="Palatino Linotype" w:hAnsi="Palatino Linotype"/>
        </w:rPr>
        <w:t xml:space="preserve"> of the SSD group at 3½ also meeting criteria for SSD at age 5.</w:t>
      </w:r>
    </w:p>
    <w:p w14:paraId="6FB9D10A" w14:textId="042B24D0" w:rsidR="001A64B0" w:rsidRPr="00A85E9D" w:rsidRDefault="00ED778C" w:rsidP="008A4E9D">
      <w:pPr>
        <w:spacing w:line="480" w:lineRule="auto"/>
        <w:rPr>
          <w:rFonts w:ascii="Palatino Linotype" w:hAnsi="Palatino Linotype"/>
          <w:b/>
        </w:rPr>
      </w:pPr>
      <w:r w:rsidRPr="00A85E9D">
        <w:rPr>
          <w:rFonts w:ascii="Palatino Linotype" w:hAnsi="Palatino Linotype"/>
          <w:b/>
        </w:rPr>
        <w:t>Literacy outcomes</w:t>
      </w:r>
      <w:r w:rsidR="001A4990" w:rsidRPr="00A85E9D">
        <w:rPr>
          <w:rFonts w:ascii="Palatino Linotype" w:hAnsi="Palatino Linotype"/>
          <w:b/>
        </w:rPr>
        <w:t xml:space="preserve"> </w:t>
      </w:r>
      <w:r w:rsidR="00700FC8" w:rsidRPr="00A85E9D">
        <w:rPr>
          <w:rFonts w:ascii="Palatino Linotype" w:hAnsi="Palatino Linotype"/>
          <w:b/>
        </w:rPr>
        <w:t>of the SSD group</w:t>
      </w:r>
      <w:r w:rsidR="001A4990" w:rsidRPr="00A85E9D">
        <w:rPr>
          <w:rFonts w:ascii="Palatino Linotype" w:hAnsi="Palatino Linotype"/>
          <w:b/>
        </w:rPr>
        <w:t xml:space="preserve"> </w:t>
      </w:r>
    </w:p>
    <w:p w14:paraId="6D9F9DEF" w14:textId="38AD0650" w:rsidR="00700FC8" w:rsidRDefault="001964DC" w:rsidP="00E10E19">
      <w:pPr>
        <w:spacing w:line="480" w:lineRule="auto"/>
        <w:jc w:val="both"/>
        <w:rPr>
          <w:rFonts w:ascii="Palatino Linotype" w:hAnsi="Palatino Linotype"/>
        </w:rPr>
      </w:pPr>
      <w:r w:rsidRPr="00E10E19">
        <w:rPr>
          <w:rFonts w:ascii="Palatino Linotype" w:hAnsi="Palatino Linotype"/>
        </w:rPr>
        <w:t>T</w:t>
      </w:r>
      <w:r w:rsidR="00C53D0B" w:rsidRPr="00E10E19">
        <w:rPr>
          <w:rFonts w:ascii="Palatino Linotype" w:hAnsi="Palatino Linotype"/>
        </w:rPr>
        <w:t xml:space="preserve">he </w:t>
      </w:r>
      <w:r w:rsidR="00ED778C" w:rsidRPr="00E10E19">
        <w:rPr>
          <w:rFonts w:ascii="Palatino Linotype" w:hAnsi="Palatino Linotype"/>
        </w:rPr>
        <w:t xml:space="preserve">literacy skills of the SSD group were poorer than those of the TD group, in terms of </w:t>
      </w:r>
      <w:r w:rsidR="000D2159" w:rsidRPr="00E10E19">
        <w:rPr>
          <w:rFonts w:ascii="Palatino Linotype" w:hAnsi="Palatino Linotype"/>
        </w:rPr>
        <w:t>phoneme awareness, word-level reading and spelling at age 5, and word-level reading</w:t>
      </w:r>
      <w:r w:rsidR="00C53D0B" w:rsidRPr="00E10E19">
        <w:rPr>
          <w:rFonts w:ascii="Palatino Linotype" w:hAnsi="Palatino Linotype"/>
        </w:rPr>
        <w:t>, spelling</w:t>
      </w:r>
      <w:r w:rsidR="000D2159" w:rsidRPr="00E10E19">
        <w:rPr>
          <w:rFonts w:ascii="Palatino Linotype" w:hAnsi="Palatino Linotype"/>
        </w:rPr>
        <w:t xml:space="preserve"> and reading comprehension at age 8. </w:t>
      </w:r>
      <w:r w:rsidR="00C53D0B" w:rsidRPr="00E10E19">
        <w:rPr>
          <w:rFonts w:ascii="Palatino Linotype" w:hAnsi="Palatino Linotype"/>
        </w:rPr>
        <w:t>A</w:t>
      </w:r>
      <w:r w:rsidR="00855E58" w:rsidRPr="00E10E19">
        <w:rPr>
          <w:rFonts w:ascii="Palatino Linotype" w:hAnsi="Palatino Linotype"/>
        </w:rPr>
        <w:t>cross measures, the SSD group was performing nearly one standard deviation below the TD group mean</w:t>
      </w:r>
      <w:r w:rsidR="00BC5152" w:rsidRPr="00E10E19">
        <w:rPr>
          <w:rFonts w:ascii="Palatino Linotype" w:hAnsi="Palatino Linotype"/>
        </w:rPr>
        <w:t xml:space="preserve">, a significant difference for all measures </w:t>
      </w:r>
      <w:r w:rsidR="00385460" w:rsidRPr="00E10E19">
        <w:rPr>
          <w:rFonts w:ascii="Palatino Linotype" w:hAnsi="Palatino Linotype"/>
        </w:rPr>
        <w:t>(Table 2)</w:t>
      </w:r>
      <w:r w:rsidR="00855E58" w:rsidRPr="00E10E19">
        <w:rPr>
          <w:rFonts w:ascii="Palatino Linotype" w:hAnsi="Palatino Linotype"/>
        </w:rPr>
        <w:t>.</w:t>
      </w:r>
      <w:r w:rsidR="000D2159" w:rsidRPr="00E10E19">
        <w:rPr>
          <w:rFonts w:ascii="Palatino Linotype" w:hAnsi="Palatino Linotype"/>
        </w:rPr>
        <w:t xml:space="preserve"> </w:t>
      </w:r>
      <w:r w:rsidR="00C53D0B" w:rsidRPr="00E10E19">
        <w:rPr>
          <w:rFonts w:ascii="Palatino Linotype" w:hAnsi="Palatino Linotype"/>
        </w:rPr>
        <w:t xml:space="preserve">  However, a key question is whether </w:t>
      </w:r>
      <w:r w:rsidR="006204F4" w:rsidRPr="00E10E19">
        <w:rPr>
          <w:rFonts w:ascii="Palatino Linotype" w:hAnsi="Palatino Linotype"/>
        </w:rPr>
        <w:t xml:space="preserve">it is </w:t>
      </w:r>
      <w:r w:rsidR="00700FC8" w:rsidRPr="00E10E19">
        <w:rPr>
          <w:rFonts w:ascii="Palatino Linotype" w:hAnsi="Palatino Linotype"/>
        </w:rPr>
        <w:t>speech difficulties</w:t>
      </w:r>
      <w:r w:rsidR="00C53D0B" w:rsidRPr="00E10E19">
        <w:rPr>
          <w:rFonts w:ascii="Palatino Linotype" w:hAnsi="Palatino Linotype"/>
        </w:rPr>
        <w:t xml:space="preserve"> </w:t>
      </w:r>
      <w:r w:rsidR="006204F4" w:rsidRPr="00E10E19">
        <w:rPr>
          <w:rFonts w:ascii="Palatino Linotype" w:hAnsi="Palatino Linotype"/>
        </w:rPr>
        <w:t>that compromise</w:t>
      </w:r>
      <w:r w:rsidR="00FA18F6" w:rsidRPr="00E10E19">
        <w:rPr>
          <w:rFonts w:ascii="Palatino Linotype" w:hAnsi="Palatino Linotype"/>
        </w:rPr>
        <w:t xml:space="preserve"> </w:t>
      </w:r>
      <w:r w:rsidR="00C53D0B" w:rsidRPr="00E10E19">
        <w:rPr>
          <w:rFonts w:ascii="Palatino Linotype" w:hAnsi="Palatino Linotype"/>
        </w:rPr>
        <w:t xml:space="preserve">literacy development </w:t>
      </w:r>
      <w:r w:rsidR="00FA18F6" w:rsidRPr="00E10E19">
        <w:rPr>
          <w:rFonts w:ascii="Palatino Linotype" w:hAnsi="Palatino Linotype"/>
        </w:rPr>
        <w:t>or whether the risk is actually carried by being at family risk of dyslexia or by broader oral language difficulties (both of which co-occur with speech difficulties).</w:t>
      </w:r>
      <w:r w:rsidR="006204F4" w:rsidRPr="00E10E19">
        <w:rPr>
          <w:rFonts w:ascii="Palatino Linotype" w:hAnsi="Palatino Linotype"/>
        </w:rPr>
        <w:t xml:space="preserve"> </w:t>
      </w:r>
      <w:r w:rsidR="00F35B4D" w:rsidRPr="00E10E19">
        <w:rPr>
          <w:rFonts w:ascii="Palatino Linotype" w:hAnsi="Palatino Linotype"/>
        </w:rPr>
        <w:t xml:space="preserve">The mean z-scores on the literacy measures for subgroups of children with SSD classified according to co-occurring language impairment and/or family-risk status are presented in Figure 1. </w:t>
      </w:r>
      <w:r w:rsidR="00C53D0B" w:rsidRPr="00E10E19">
        <w:rPr>
          <w:rFonts w:ascii="Palatino Linotype" w:hAnsi="Palatino Linotype"/>
        </w:rPr>
        <w:t>As can be seen</w:t>
      </w:r>
      <w:r w:rsidR="006204F4" w:rsidRPr="00E10E19">
        <w:rPr>
          <w:rFonts w:ascii="Palatino Linotype" w:hAnsi="Palatino Linotype"/>
        </w:rPr>
        <w:t xml:space="preserve"> from Figure 1</w:t>
      </w:r>
      <w:r w:rsidR="00C53D0B" w:rsidRPr="00E10E19">
        <w:rPr>
          <w:rFonts w:ascii="Palatino Linotype" w:hAnsi="Palatino Linotype"/>
        </w:rPr>
        <w:t>,</w:t>
      </w:r>
      <w:r w:rsidR="00795341" w:rsidRPr="00E10E19">
        <w:rPr>
          <w:rFonts w:ascii="Palatino Linotype" w:hAnsi="Palatino Linotype"/>
        </w:rPr>
        <w:t xml:space="preserve"> children with isolated SSD were performing </w:t>
      </w:r>
      <w:r w:rsidR="00C53D0B" w:rsidRPr="00E10E19">
        <w:rPr>
          <w:rFonts w:ascii="Palatino Linotype" w:hAnsi="Palatino Linotype"/>
        </w:rPr>
        <w:t xml:space="preserve">consistently </w:t>
      </w:r>
      <w:r w:rsidR="00795341" w:rsidRPr="00E10E19">
        <w:rPr>
          <w:rFonts w:ascii="Palatino Linotype" w:hAnsi="Palatino Linotype"/>
        </w:rPr>
        <w:t>below the</w:t>
      </w:r>
      <w:r w:rsidR="009B340D" w:rsidRPr="00E10E19">
        <w:rPr>
          <w:rFonts w:ascii="Palatino Linotype" w:hAnsi="Palatino Linotype"/>
        </w:rPr>
        <w:t xml:space="preserve"> level of the</w:t>
      </w:r>
      <w:r w:rsidR="00795341" w:rsidRPr="00E10E19">
        <w:rPr>
          <w:rFonts w:ascii="Palatino Linotype" w:hAnsi="Palatino Linotype"/>
        </w:rPr>
        <w:t xml:space="preserve"> typically developing group</w:t>
      </w:r>
      <w:r w:rsidR="009B340D" w:rsidRPr="00E10E19">
        <w:rPr>
          <w:rFonts w:ascii="Palatino Linotype" w:hAnsi="Palatino Linotype"/>
        </w:rPr>
        <w:t xml:space="preserve"> (-.2 </w:t>
      </w:r>
      <w:r w:rsidR="009119BC" w:rsidRPr="00E10E19">
        <w:rPr>
          <w:rFonts w:ascii="Palatino Linotype" w:hAnsi="Palatino Linotype"/>
        </w:rPr>
        <w:t xml:space="preserve">to </w:t>
      </w:r>
      <w:r w:rsidR="009B340D" w:rsidRPr="00E10E19">
        <w:rPr>
          <w:rFonts w:ascii="Palatino Linotype" w:hAnsi="Palatino Linotype"/>
        </w:rPr>
        <w:t>-.6 SD)</w:t>
      </w:r>
      <w:r w:rsidR="00C53D0B" w:rsidRPr="00E10E19">
        <w:rPr>
          <w:rFonts w:ascii="Palatino Linotype" w:hAnsi="Palatino Linotype"/>
        </w:rPr>
        <w:t>. Further,</w:t>
      </w:r>
      <w:r w:rsidR="00795341" w:rsidRPr="00E10E19">
        <w:rPr>
          <w:rFonts w:ascii="Palatino Linotype" w:hAnsi="Palatino Linotype"/>
        </w:rPr>
        <w:t xml:space="preserve"> the </w:t>
      </w:r>
      <w:r w:rsidR="00033E40" w:rsidRPr="00E10E19">
        <w:rPr>
          <w:rFonts w:ascii="Palatino Linotype" w:hAnsi="Palatino Linotype"/>
        </w:rPr>
        <w:t xml:space="preserve">outcomes for children with SSD and </w:t>
      </w:r>
      <w:r w:rsidR="009119BC" w:rsidRPr="00E10E19">
        <w:rPr>
          <w:rFonts w:ascii="Palatino Linotype" w:hAnsi="Palatino Linotype"/>
        </w:rPr>
        <w:t>co-</w:t>
      </w:r>
      <w:r w:rsidR="00785F85" w:rsidRPr="00E10E19">
        <w:rPr>
          <w:rFonts w:ascii="Palatino Linotype" w:hAnsi="Palatino Linotype"/>
        </w:rPr>
        <w:t>o</w:t>
      </w:r>
      <w:r w:rsidR="00C53D0B" w:rsidRPr="00E10E19">
        <w:rPr>
          <w:rFonts w:ascii="Palatino Linotype" w:hAnsi="Palatino Linotype"/>
        </w:rPr>
        <w:t xml:space="preserve">ccurring </w:t>
      </w:r>
      <w:r w:rsidR="00033E40" w:rsidRPr="00E10E19">
        <w:rPr>
          <w:rFonts w:ascii="Palatino Linotype" w:hAnsi="Palatino Linotype"/>
        </w:rPr>
        <w:t>LI were substantially lower</w:t>
      </w:r>
      <w:r w:rsidR="00795341" w:rsidRPr="00E10E19">
        <w:rPr>
          <w:rFonts w:ascii="Palatino Linotype" w:hAnsi="Palatino Linotype"/>
        </w:rPr>
        <w:t>,</w:t>
      </w:r>
      <w:r w:rsidR="009B340D" w:rsidRPr="00E10E19">
        <w:rPr>
          <w:rFonts w:ascii="Palatino Linotype" w:hAnsi="Palatino Linotype"/>
        </w:rPr>
        <w:t xml:space="preserve"> particularly at age 5,</w:t>
      </w:r>
      <w:r w:rsidR="00795341" w:rsidRPr="00E10E19">
        <w:rPr>
          <w:rFonts w:ascii="Palatino Linotype" w:hAnsi="Palatino Linotype"/>
        </w:rPr>
        <w:t xml:space="preserve"> </w:t>
      </w:r>
      <w:r w:rsidR="009B340D" w:rsidRPr="00E10E19">
        <w:rPr>
          <w:rFonts w:ascii="Palatino Linotype" w:hAnsi="Palatino Linotype"/>
        </w:rPr>
        <w:t xml:space="preserve">(-1 </w:t>
      </w:r>
      <w:r w:rsidR="009119BC" w:rsidRPr="00E10E19">
        <w:rPr>
          <w:rFonts w:ascii="Palatino Linotype" w:hAnsi="Palatino Linotype"/>
        </w:rPr>
        <w:t xml:space="preserve">to </w:t>
      </w:r>
      <w:r w:rsidR="009B340D" w:rsidRPr="00E10E19">
        <w:rPr>
          <w:rFonts w:ascii="Palatino Linotype" w:hAnsi="Palatino Linotype"/>
        </w:rPr>
        <w:t>-1.5SD) and children who in addition to SSD and LI also had a family-risk of dyslexia had the most severe and persistent literacy difficulties, with mean scores approximately -1.5SD at both ages 5</w:t>
      </w:r>
      <w:r w:rsidRPr="00E10E19">
        <w:rPr>
          <w:rFonts w:ascii="Palatino Linotype" w:hAnsi="Palatino Linotype"/>
        </w:rPr>
        <w:t xml:space="preserve">½ </w:t>
      </w:r>
      <w:r w:rsidR="009B340D" w:rsidRPr="00E10E19">
        <w:rPr>
          <w:rFonts w:ascii="Palatino Linotype" w:hAnsi="Palatino Linotype"/>
        </w:rPr>
        <w:t xml:space="preserve"> and 8. </w:t>
      </w:r>
      <w:r w:rsidR="006D0CC5" w:rsidRPr="00E10E19">
        <w:rPr>
          <w:rFonts w:ascii="Palatino Linotype" w:hAnsi="Palatino Linotype"/>
        </w:rPr>
        <w:t>Although the effect sizes were generally moderate to large, most of the group comparisons illustrated in Figure 1 did not reach statistical significance, as indicated by the overlapping 95% confidence intervals</w:t>
      </w:r>
      <w:r w:rsidR="00210742" w:rsidRPr="00E10E19">
        <w:rPr>
          <w:rFonts w:ascii="Palatino Linotype" w:hAnsi="Palatino Linotype"/>
        </w:rPr>
        <w:t>.</w:t>
      </w:r>
      <w:r w:rsidR="00210742">
        <w:rPr>
          <w:rFonts w:ascii="Palatino Linotype" w:hAnsi="Palatino Linotype"/>
        </w:rPr>
        <w:t xml:space="preserve"> </w:t>
      </w:r>
    </w:p>
    <w:p w14:paraId="1F7AD575" w14:textId="025CC371" w:rsidR="00700FC8" w:rsidRPr="00A85E9D" w:rsidRDefault="00033E40" w:rsidP="008A4E9D">
      <w:pPr>
        <w:spacing w:line="480" w:lineRule="auto"/>
        <w:rPr>
          <w:rFonts w:ascii="Palatino Linotype" w:hAnsi="Palatino Linotype"/>
          <w:b/>
        </w:rPr>
      </w:pPr>
      <w:r w:rsidRPr="00A85E9D">
        <w:rPr>
          <w:rFonts w:ascii="Palatino Linotype" w:hAnsi="Palatino Linotype"/>
          <w:b/>
        </w:rPr>
        <w:t>Predicting literacy outcomes on the b</w:t>
      </w:r>
      <w:r w:rsidR="00A85E9D">
        <w:rPr>
          <w:rFonts w:ascii="Palatino Linotype" w:hAnsi="Palatino Linotype"/>
          <w:b/>
        </w:rPr>
        <w:t>asis of SSD and LI status, and f</w:t>
      </w:r>
      <w:r w:rsidRPr="00A85E9D">
        <w:rPr>
          <w:rFonts w:ascii="Palatino Linotype" w:hAnsi="Palatino Linotype"/>
          <w:b/>
        </w:rPr>
        <w:t>amily-risk of dyslexia</w:t>
      </w:r>
    </w:p>
    <w:p w14:paraId="306AB062" w14:textId="4D5D533B" w:rsidR="00965D1E" w:rsidRDefault="00565ABB" w:rsidP="00E10E19">
      <w:pPr>
        <w:spacing w:line="480" w:lineRule="auto"/>
        <w:ind w:firstLine="709"/>
        <w:jc w:val="both"/>
        <w:rPr>
          <w:rFonts w:ascii="Palatino Linotype" w:hAnsi="Palatino Linotype"/>
        </w:rPr>
      </w:pPr>
      <w:r>
        <w:rPr>
          <w:rFonts w:ascii="Palatino Linotype" w:hAnsi="Palatino Linotype"/>
        </w:rPr>
        <w:t>A</w:t>
      </w:r>
      <w:r w:rsidR="001A4990">
        <w:rPr>
          <w:rFonts w:ascii="Palatino Linotype" w:hAnsi="Palatino Linotype"/>
        </w:rPr>
        <w:t xml:space="preserve"> series of </w:t>
      </w:r>
      <w:r w:rsidR="00965D1E">
        <w:rPr>
          <w:rFonts w:ascii="Palatino Linotype" w:hAnsi="Palatino Linotype"/>
        </w:rPr>
        <w:t xml:space="preserve">simultaneous </w:t>
      </w:r>
      <w:r w:rsidR="001A4990">
        <w:rPr>
          <w:rFonts w:ascii="Palatino Linotype" w:hAnsi="Palatino Linotype"/>
        </w:rPr>
        <w:t>multiple regression models examine</w:t>
      </w:r>
      <w:r>
        <w:rPr>
          <w:rFonts w:ascii="Palatino Linotype" w:hAnsi="Palatino Linotype"/>
        </w:rPr>
        <w:t>d</w:t>
      </w:r>
      <w:r w:rsidR="001A4990">
        <w:rPr>
          <w:rFonts w:ascii="Palatino Linotype" w:hAnsi="Palatino Linotype"/>
        </w:rPr>
        <w:t xml:space="preserve"> the </w:t>
      </w:r>
      <w:r>
        <w:rPr>
          <w:rFonts w:ascii="Palatino Linotype" w:hAnsi="Palatino Linotype"/>
        </w:rPr>
        <w:t xml:space="preserve">influence of </w:t>
      </w:r>
      <w:r w:rsidR="001A4990">
        <w:rPr>
          <w:rFonts w:ascii="Palatino Linotype" w:hAnsi="Palatino Linotype"/>
        </w:rPr>
        <w:t xml:space="preserve">SSD and LI status at </w:t>
      </w:r>
      <w:r w:rsidR="00CD2337">
        <w:rPr>
          <w:rFonts w:ascii="Palatino Linotype" w:hAnsi="Palatino Linotype"/>
        </w:rPr>
        <w:t>age 3½</w:t>
      </w:r>
      <w:r w:rsidR="001A4990">
        <w:rPr>
          <w:rFonts w:ascii="Palatino Linotype" w:hAnsi="Palatino Linotype"/>
        </w:rPr>
        <w:t>, and family-risk of dyslexia</w:t>
      </w:r>
      <w:r w:rsidR="00965D1E">
        <w:rPr>
          <w:rFonts w:ascii="Palatino Linotype" w:hAnsi="Palatino Linotype"/>
        </w:rPr>
        <w:t xml:space="preserve"> (represented by dummy code</w:t>
      </w:r>
      <w:r w:rsidR="00CB09A3">
        <w:rPr>
          <w:rFonts w:ascii="Palatino Linotype" w:hAnsi="Palatino Linotype"/>
        </w:rPr>
        <w:t>s</w:t>
      </w:r>
      <w:r w:rsidR="00965D1E">
        <w:rPr>
          <w:rFonts w:ascii="Palatino Linotype" w:hAnsi="Palatino Linotype"/>
        </w:rPr>
        <w:t>)</w:t>
      </w:r>
      <w:r w:rsidR="001A4990">
        <w:rPr>
          <w:rFonts w:ascii="Palatino Linotype" w:hAnsi="Palatino Linotype"/>
        </w:rPr>
        <w:t xml:space="preserve"> </w:t>
      </w:r>
      <w:r>
        <w:rPr>
          <w:rFonts w:ascii="Palatino Linotype" w:hAnsi="Palatino Linotype"/>
        </w:rPr>
        <w:t>on</w:t>
      </w:r>
      <w:r w:rsidR="001A4990">
        <w:rPr>
          <w:rFonts w:ascii="Palatino Linotype" w:hAnsi="Palatino Linotype"/>
        </w:rPr>
        <w:t xml:space="preserve"> short-term (age 5</w:t>
      </w:r>
      <w:r w:rsidR="008222C0">
        <w:rPr>
          <w:rFonts w:ascii="Palatino Linotype" w:hAnsi="Palatino Linotype"/>
        </w:rPr>
        <w:t>½</w:t>
      </w:r>
      <w:r w:rsidR="001A4990">
        <w:rPr>
          <w:rFonts w:ascii="Palatino Linotype" w:hAnsi="Palatino Linotype"/>
        </w:rPr>
        <w:t>) and long</w:t>
      </w:r>
      <w:r>
        <w:rPr>
          <w:rFonts w:ascii="Palatino Linotype" w:hAnsi="Palatino Linotype"/>
        </w:rPr>
        <w:t>er</w:t>
      </w:r>
      <w:r w:rsidR="001A4990">
        <w:rPr>
          <w:rFonts w:ascii="Palatino Linotype" w:hAnsi="Palatino Linotype"/>
        </w:rPr>
        <w:t>-term (age 8) literacy outcomes (</w:t>
      </w:r>
      <w:r w:rsidR="00385460">
        <w:rPr>
          <w:rFonts w:ascii="Palatino Linotype" w:hAnsi="Palatino Linotype"/>
        </w:rPr>
        <w:t>Table 3</w:t>
      </w:r>
      <w:r w:rsidR="001A4990">
        <w:rPr>
          <w:rFonts w:ascii="Palatino Linotype" w:hAnsi="Palatino Linotype"/>
        </w:rPr>
        <w:t xml:space="preserve">). </w:t>
      </w:r>
      <w:r w:rsidR="00FA18F6">
        <w:rPr>
          <w:rFonts w:ascii="Palatino Linotype" w:hAnsi="Palatino Linotype"/>
        </w:rPr>
        <w:t>The</w:t>
      </w:r>
      <w:r w:rsidR="00A80F70">
        <w:rPr>
          <w:rFonts w:ascii="Palatino Linotype" w:hAnsi="Palatino Linotype"/>
        </w:rPr>
        <w:t>se</w:t>
      </w:r>
      <w:r w:rsidR="001A4990">
        <w:rPr>
          <w:rFonts w:ascii="Palatino Linotype" w:hAnsi="Palatino Linotype"/>
        </w:rPr>
        <w:t xml:space="preserve"> models explained </w:t>
      </w:r>
      <w:r w:rsidR="00A80F70">
        <w:rPr>
          <w:rFonts w:ascii="Palatino Linotype" w:hAnsi="Palatino Linotype"/>
        </w:rPr>
        <w:t xml:space="preserve">between 8% and </w:t>
      </w:r>
      <w:r w:rsidR="001A4990">
        <w:rPr>
          <w:rFonts w:ascii="Palatino Linotype" w:hAnsi="Palatino Linotype"/>
        </w:rPr>
        <w:t xml:space="preserve">20% of the variance in </w:t>
      </w:r>
      <w:r w:rsidR="00FA18F6">
        <w:rPr>
          <w:rFonts w:ascii="Palatino Linotype" w:hAnsi="Palatino Linotype"/>
        </w:rPr>
        <w:t>literacy scores</w:t>
      </w:r>
      <w:r w:rsidR="001A4990">
        <w:rPr>
          <w:rFonts w:ascii="Palatino Linotype" w:hAnsi="Palatino Linotype"/>
        </w:rPr>
        <w:t xml:space="preserve">. </w:t>
      </w:r>
      <w:r w:rsidR="00A57C45">
        <w:rPr>
          <w:rFonts w:ascii="Palatino Linotype" w:hAnsi="Palatino Linotype"/>
        </w:rPr>
        <w:t xml:space="preserve"> </w:t>
      </w:r>
      <w:r w:rsidR="00965D1E">
        <w:rPr>
          <w:rFonts w:ascii="Palatino Linotype" w:hAnsi="Palatino Linotype"/>
        </w:rPr>
        <w:t>The use of simultaneous entry in these models means that the unique R</w:t>
      </w:r>
      <w:r w:rsidR="00965D1E" w:rsidRPr="00581921">
        <w:rPr>
          <w:rFonts w:ascii="Palatino Linotype" w:hAnsi="Palatino Linotype"/>
          <w:vertAlign w:val="superscript"/>
        </w:rPr>
        <w:t>2</w:t>
      </w:r>
      <w:r w:rsidR="00965D1E">
        <w:rPr>
          <w:rFonts w:ascii="Palatino Linotype" w:hAnsi="Palatino Linotype"/>
        </w:rPr>
        <w:t xml:space="preserve"> values represent the variance accounted for </w:t>
      </w:r>
      <w:r w:rsidR="00A80F70">
        <w:rPr>
          <w:rFonts w:ascii="Palatino Linotype" w:hAnsi="Palatino Linotype"/>
        </w:rPr>
        <w:t xml:space="preserve">by </w:t>
      </w:r>
      <w:r w:rsidR="002F7637">
        <w:rPr>
          <w:rFonts w:ascii="Palatino Linotype" w:hAnsi="Palatino Linotype"/>
        </w:rPr>
        <w:t>each</w:t>
      </w:r>
      <w:r w:rsidR="00A80F70">
        <w:rPr>
          <w:rFonts w:ascii="Palatino Linotype" w:hAnsi="Palatino Linotype"/>
        </w:rPr>
        <w:t xml:space="preserve"> predictor </w:t>
      </w:r>
      <w:r w:rsidR="00965D1E">
        <w:rPr>
          <w:rFonts w:ascii="Palatino Linotype" w:hAnsi="Palatino Linotype"/>
        </w:rPr>
        <w:t>after the effects of other predictors in the model have been controlled.</w:t>
      </w:r>
    </w:p>
    <w:p w14:paraId="61C641B3" w14:textId="50B6C1B0" w:rsidR="002F7637" w:rsidRDefault="001A4990" w:rsidP="00E10E19">
      <w:pPr>
        <w:spacing w:line="480" w:lineRule="auto"/>
        <w:ind w:firstLine="709"/>
        <w:jc w:val="both"/>
        <w:rPr>
          <w:rFonts w:ascii="Palatino Linotype" w:hAnsi="Palatino Linotype"/>
        </w:rPr>
      </w:pPr>
      <w:r>
        <w:rPr>
          <w:rFonts w:ascii="Palatino Linotype" w:hAnsi="Palatino Linotype"/>
        </w:rPr>
        <w:t xml:space="preserve">The presence of SSD at T1 </w:t>
      </w:r>
      <w:r w:rsidR="002F7637">
        <w:rPr>
          <w:rFonts w:ascii="Palatino Linotype" w:hAnsi="Palatino Linotype"/>
        </w:rPr>
        <w:t>is a fairly weak predictor of outcomes, though it does account for statistically significant unique variance in Phoneme Aw</w:t>
      </w:r>
      <w:r w:rsidR="001F0D81">
        <w:rPr>
          <w:rFonts w:ascii="Palatino Linotype" w:hAnsi="Palatino Linotype"/>
        </w:rPr>
        <w:t xml:space="preserve">areness </w:t>
      </w:r>
      <w:r w:rsidR="00767F15">
        <w:rPr>
          <w:rFonts w:ascii="Palatino Linotype" w:hAnsi="Palatino Linotype"/>
        </w:rPr>
        <w:t xml:space="preserve">(5.8%) </w:t>
      </w:r>
      <w:r w:rsidR="001F0D81">
        <w:rPr>
          <w:rFonts w:ascii="Palatino Linotype" w:hAnsi="Palatino Linotype"/>
        </w:rPr>
        <w:t xml:space="preserve">and Spelling at </w:t>
      </w:r>
      <w:r w:rsidR="009B0FA3">
        <w:rPr>
          <w:rFonts w:ascii="Palatino Linotype" w:hAnsi="Palatino Linotype"/>
        </w:rPr>
        <w:t xml:space="preserve">age 5½, </w:t>
      </w:r>
      <w:r w:rsidR="00767F15">
        <w:rPr>
          <w:rFonts w:ascii="Palatino Linotype" w:hAnsi="Palatino Linotype"/>
        </w:rPr>
        <w:t>(3.4%)</w:t>
      </w:r>
      <w:r w:rsidR="001F0D81">
        <w:rPr>
          <w:rFonts w:ascii="Palatino Linotype" w:hAnsi="Palatino Linotype"/>
        </w:rPr>
        <w:t xml:space="preserve"> and Word R</w:t>
      </w:r>
      <w:r w:rsidR="002F7637">
        <w:rPr>
          <w:rFonts w:ascii="Palatino Linotype" w:hAnsi="Palatino Linotype"/>
        </w:rPr>
        <w:t xml:space="preserve">eading at </w:t>
      </w:r>
      <w:r w:rsidR="009B0FA3">
        <w:rPr>
          <w:rFonts w:ascii="Palatino Linotype" w:hAnsi="Palatino Linotype"/>
        </w:rPr>
        <w:t>age 8</w:t>
      </w:r>
      <w:r w:rsidR="001964DC">
        <w:rPr>
          <w:rFonts w:ascii="Palatino Linotype" w:hAnsi="Palatino Linotype"/>
        </w:rPr>
        <w:t xml:space="preserve"> </w:t>
      </w:r>
      <w:r w:rsidR="00D06611">
        <w:rPr>
          <w:rFonts w:ascii="Palatino Linotype" w:hAnsi="Palatino Linotype"/>
        </w:rPr>
        <w:t>(</w:t>
      </w:r>
      <w:r w:rsidR="002F7637" w:rsidRPr="00D06611">
        <w:rPr>
          <w:rFonts w:ascii="Palatino Linotype" w:hAnsi="Palatino Linotype"/>
        </w:rPr>
        <w:t>1.9%</w:t>
      </w:r>
      <w:r w:rsidR="002F7637">
        <w:rPr>
          <w:rFonts w:ascii="Palatino Linotype" w:hAnsi="Palatino Linotype"/>
        </w:rPr>
        <w:t xml:space="preserve">).  In contrast Language Impairment at T1 is a stronger predictor, </w:t>
      </w:r>
      <w:r w:rsidR="002F7637" w:rsidRPr="002F7637">
        <w:rPr>
          <w:rFonts w:ascii="Palatino Linotype" w:hAnsi="Palatino Linotype"/>
        </w:rPr>
        <w:t>account</w:t>
      </w:r>
      <w:r w:rsidR="002F7637">
        <w:rPr>
          <w:rFonts w:ascii="Palatino Linotype" w:hAnsi="Palatino Linotype"/>
        </w:rPr>
        <w:t>ing</w:t>
      </w:r>
      <w:r w:rsidR="002F7637" w:rsidRPr="002F7637">
        <w:rPr>
          <w:rFonts w:ascii="Palatino Linotype" w:hAnsi="Palatino Linotype"/>
        </w:rPr>
        <w:t xml:space="preserve"> for statistically significant unique variance</w:t>
      </w:r>
      <w:r w:rsidR="009B0FA3">
        <w:rPr>
          <w:rFonts w:ascii="Palatino Linotype" w:hAnsi="Palatino Linotype"/>
        </w:rPr>
        <w:t xml:space="preserve"> (</w:t>
      </w:r>
      <w:r w:rsidR="009B0FA3" w:rsidRPr="002F7637">
        <w:rPr>
          <w:rFonts w:ascii="Palatino Linotype" w:hAnsi="Palatino Linotype"/>
        </w:rPr>
        <w:t>between</w:t>
      </w:r>
      <w:r w:rsidR="009B0FA3">
        <w:rPr>
          <w:rFonts w:ascii="Palatino Linotype" w:hAnsi="Palatino Linotype"/>
        </w:rPr>
        <w:t xml:space="preserve"> </w:t>
      </w:r>
      <w:r w:rsidR="009B0FA3" w:rsidRPr="00D06611">
        <w:rPr>
          <w:rFonts w:ascii="Palatino Linotype" w:hAnsi="Palatino Linotype"/>
        </w:rPr>
        <w:t>2%-10%</w:t>
      </w:r>
      <w:r w:rsidR="009B0FA3">
        <w:rPr>
          <w:rFonts w:ascii="Palatino Linotype" w:hAnsi="Palatino Linotype"/>
        </w:rPr>
        <w:t xml:space="preserve">) </w:t>
      </w:r>
      <w:r w:rsidR="002F7637" w:rsidRPr="002F7637">
        <w:rPr>
          <w:rFonts w:ascii="Palatino Linotype" w:hAnsi="Palatino Linotype"/>
        </w:rPr>
        <w:t>in</w:t>
      </w:r>
      <w:r w:rsidR="002F7637">
        <w:rPr>
          <w:rFonts w:ascii="Palatino Linotype" w:hAnsi="Palatino Linotype"/>
        </w:rPr>
        <w:t xml:space="preserve"> all outcome </w:t>
      </w:r>
      <w:r w:rsidR="009B0FA3">
        <w:rPr>
          <w:rFonts w:ascii="Palatino Linotype" w:hAnsi="Palatino Linotype"/>
        </w:rPr>
        <w:t>measures.</w:t>
      </w:r>
      <w:r w:rsidR="002F7637">
        <w:rPr>
          <w:rFonts w:ascii="Palatino Linotype" w:hAnsi="Palatino Linotype"/>
        </w:rPr>
        <w:t xml:space="preserve"> Family Risk status has effects that are stronger than the effects of SSD but weaker than the e</w:t>
      </w:r>
      <w:r w:rsidR="00F81F46">
        <w:rPr>
          <w:rFonts w:ascii="Palatino Linotype" w:hAnsi="Palatino Linotype"/>
        </w:rPr>
        <w:t xml:space="preserve">ffects of Language </w:t>
      </w:r>
      <w:r w:rsidR="000E35CA">
        <w:rPr>
          <w:rFonts w:ascii="Palatino Linotype" w:hAnsi="Palatino Linotype"/>
        </w:rPr>
        <w:t>I</w:t>
      </w:r>
      <w:r w:rsidR="00F81F46">
        <w:rPr>
          <w:rFonts w:ascii="Palatino Linotype" w:hAnsi="Palatino Linotype"/>
        </w:rPr>
        <w:t xml:space="preserve">mpairment, accounting </w:t>
      </w:r>
      <w:r w:rsidR="002F7637" w:rsidRPr="002F7637">
        <w:rPr>
          <w:rFonts w:ascii="Palatino Linotype" w:hAnsi="Palatino Linotype"/>
        </w:rPr>
        <w:t>for statistically significant unique variance</w:t>
      </w:r>
      <w:r w:rsidR="009B0FA3">
        <w:rPr>
          <w:rFonts w:ascii="Palatino Linotype" w:hAnsi="Palatino Linotype"/>
        </w:rPr>
        <w:t xml:space="preserve"> (</w:t>
      </w:r>
      <w:r w:rsidR="009B0FA3" w:rsidRPr="00D06611">
        <w:rPr>
          <w:rFonts w:ascii="Palatino Linotype" w:hAnsi="Palatino Linotype"/>
        </w:rPr>
        <w:t>between 0.9 and 3.8%)</w:t>
      </w:r>
      <w:r w:rsidR="002F7637" w:rsidRPr="002F7637">
        <w:rPr>
          <w:rFonts w:ascii="Palatino Linotype" w:hAnsi="Palatino Linotype"/>
        </w:rPr>
        <w:t xml:space="preserve"> </w:t>
      </w:r>
      <w:r w:rsidR="002F7637">
        <w:rPr>
          <w:rFonts w:ascii="Palatino Linotype" w:hAnsi="Palatino Linotype"/>
        </w:rPr>
        <w:t>in Word Reading</w:t>
      </w:r>
      <w:r w:rsidR="009A2C95">
        <w:rPr>
          <w:rFonts w:ascii="Palatino Linotype" w:hAnsi="Palatino Linotype"/>
        </w:rPr>
        <w:t xml:space="preserve"> at </w:t>
      </w:r>
      <w:r w:rsidR="009B0FA3">
        <w:rPr>
          <w:rFonts w:ascii="Palatino Linotype" w:hAnsi="Palatino Linotype"/>
        </w:rPr>
        <w:t xml:space="preserve">age 5½ </w:t>
      </w:r>
      <w:r w:rsidR="009A2C95">
        <w:rPr>
          <w:rFonts w:ascii="Palatino Linotype" w:hAnsi="Palatino Linotype"/>
        </w:rPr>
        <w:t>and Word R</w:t>
      </w:r>
      <w:r w:rsidR="002F7637" w:rsidRPr="002F7637">
        <w:rPr>
          <w:rFonts w:ascii="Palatino Linotype" w:hAnsi="Palatino Linotype"/>
        </w:rPr>
        <w:t>eading</w:t>
      </w:r>
      <w:r w:rsidR="002F7637">
        <w:rPr>
          <w:rFonts w:ascii="Palatino Linotype" w:hAnsi="Palatino Linotype"/>
        </w:rPr>
        <w:t>, Spelling and Reading Comprehension</w:t>
      </w:r>
      <w:r w:rsidR="002F7637" w:rsidRPr="002F7637">
        <w:rPr>
          <w:rFonts w:ascii="Palatino Linotype" w:hAnsi="Palatino Linotype"/>
        </w:rPr>
        <w:t xml:space="preserve"> at </w:t>
      </w:r>
      <w:r w:rsidR="009B0FA3">
        <w:rPr>
          <w:rFonts w:ascii="Palatino Linotype" w:hAnsi="Palatino Linotype"/>
        </w:rPr>
        <w:t>age 8.</w:t>
      </w:r>
    </w:p>
    <w:p w14:paraId="1880CBF2" w14:textId="52487F7F" w:rsidR="001C781F" w:rsidRDefault="001C781F" w:rsidP="00E10E19">
      <w:pPr>
        <w:spacing w:line="480" w:lineRule="auto"/>
        <w:ind w:firstLine="709"/>
        <w:jc w:val="both"/>
        <w:rPr>
          <w:rFonts w:ascii="Palatino Linotype" w:hAnsi="Palatino Linotype"/>
        </w:rPr>
      </w:pPr>
      <w:r w:rsidRPr="00F823E9">
        <w:rPr>
          <w:rFonts w:ascii="Palatino Linotype" w:hAnsi="Palatino Linotype"/>
        </w:rPr>
        <w:t xml:space="preserve">These models were re-run including Performance IQ at T1 as a covariate.  The pattern of significant predictive relationships remained unchanged, except for the fact that the relationship between language impairment at T1 and Spelling at </w:t>
      </w:r>
      <w:r w:rsidR="009C0AC9">
        <w:rPr>
          <w:rFonts w:ascii="Palatino Linotype" w:hAnsi="Palatino Linotype"/>
        </w:rPr>
        <w:t>age 8</w:t>
      </w:r>
      <w:r w:rsidR="000E35CA">
        <w:rPr>
          <w:rFonts w:ascii="Palatino Linotype" w:hAnsi="Palatino Linotype"/>
        </w:rPr>
        <w:t xml:space="preserve"> </w:t>
      </w:r>
      <w:r w:rsidRPr="00F823E9">
        <w:rPr>
          <w:rFonts w:ascii="Palatino Linotype" w:hAnsi="Palatino Linotype"/>
        </w:rPr>
        <w:t>was reduced to nonsignificant levels.</w:t>
      </w:r>
      <w:r>
        <w:rPr>
          <w:rFonts w:ascii="Palatino Linotype" w:hAnsi="Palatino Linotype"/>
        </w:rPr>
        <w:t xml:space="preserve">  </w:t>
      </w:r>
    </w:p>
    <w:p w14:paraId="47B86BC8" w14:textId="77777777" w:rsidR="001A4990" w:rsidRPr="00A85E9D" w:rsidRDefault="00033E40" w:rsidP="008A4E9D">
      <w:pPr>
        <w:spacing w:line="480" w:lineRule="auto"/>
        <w:rPr>
          <w:rFonts w:ascii="Palatino Linotype" w:hAnsi="Palatino Linotype"/>
          <w:b/>
        </w:rPr>
      </w:pPr>
      <w:r w:rsidRPr="00A85E9D">
        <w:rPr>
          <w:rFonts w:ascii="Palatino Linotype" w:hAnsi="Palatino Linotype"/>
          <w:b/>
        </w:rPr>
        <w:t>The nature, persistence and severity of SSD in relation to literacy outcomes</w:t>
      </w:r>
    </w:p>
    <w:p w14:paraId="7F45171B" w14:textId="6D9FB7CD" w:rsidR="00F83146" w:rsidRDefault="003157F1" w:rsidP="00E10E19">
      <w:pPr>
        <w:spacing w:line="480" w:lineRule="auto"/>
        <w:jc w:val="both"/>
        <w:rPr>
          <w:rFonts w:ascii="Palatino Linotype" w:hAnsi="Palatino Linotype"/>
        </w:rPr>
      </w:pPr>
      <w:r>
        <w:rPr>
          <w:rFonts w:ascii="Palatino Linotype" w:hAnsi="Palatino Linotype"/>
        </w:rPr>
        <w:t>To assess whether</w:t>
      </w:r>
      <w:r w:rsidR="00033E40">
        <w:rPr>
          <w:rFonts w:ascii="Palatino Linotype" w:hAnsi="Palatino Linotype"/>
        </w:rPr>
        <w:t xml:space="preserve"> </w:t>
      </w:r>
      <w:r w:rsidR="005C7AD0">
        <w:rPr>
          <w:rFonts w:ascii="Palatino Linotype" w:hAnsi="Palatino Linotype"/>
        </w:rPr>
        <w:t xml:space="preserve">the </w:t>
      </w:r>
      <w:r w:rsidR="00597D22">
        <w:rPr>
          <w:rFonts w:ascii="Palatino Linotype" w:hAnsi="Palatino Linotype"/>
        </w:rPr>
        <w:t xml:space="preserve">severity or </w:t>
      </w:r>
      <w:r w:rsidR="008D5187">
        <w:rPr>
          <w:rFonts w:ascii="Palatino Linotype" w:hAnsi="Palatino Linotype"/>
        </w:rPr>
        <w:t>type</w:t>
      </w:r>
      <w:r w:rsidR="005C7AD0">
        <w:rPr>
          <w:rFonts w:ascii="Palatino Linotype" w:hAnsi="Palatino Linotype"/>
        </w:rPr>
        <w:t xml:space="preserve"> of speech difficulty </w:t>
      </w:r>
      <w:r w:rsidR="00F83146">
        <w:rPr>
          <w:rFonts w:ascii="Palatino Linotype" w:hAnsi="Palatino Linotype"/>
        </w:rPr>
        <w:t xml:space="preserve">(disordered vs delayed) </w:t>
      </w:r>
      <w:r w:rsidR="005C7AD0">
        <w:rPr>
          <w:rFonts w:ascii="Palatino Linotype" w:hAnsi="Palatino Linotype"/>
        </w:rPr>
        <w:t>at age 3½</w:t>
      </w:r>
      <w:r>
        <w:rPr>
          <w:rFonts w:ascii="Palatino Linotype" w:hAnsi="Palatino Linotype"/>
        </w:rPr>
        <w:t>, or its persistence</w:t>
      </w:r>
      <w:r w:rsidR="005C7AD0">
        <w:rPr>
          <w:rFonts w:ascii="Palatino Linotype" w:hAnsi="Palatino Linotype"/>
        </w:rPr>
        <w:t xml:space="preserve"> </w:t>
      </w:r>
      <w:r w:rsidR="007F4DBD">
        <w:rPr>
          <w:rFonts w:ascii="Palatino Linotype" w:hAnsi="Palatino Linotype"/>
        </w:rPr>
        <w:t xml:space="preserve">to age 5½ </w:t>
      </w:r>
      <w:r w:rsidR="00F83146">
        <w:rPr>
          <w:rFonts w:ascii="Palatino Linotype" w:hAnsi="Palatino Linotype"/>
        </w:rPr>
        <w:t xml:space="preserve">(persistent vs resolved) </w:t>
      </w:r>
      <w:r w:rsidR="00FF3E17">
        <w:rPr>
          <w:rFonts w:ascii="Palatino Linotype" w:hAnsi="Palatino Linotype"/>
        </w:rPr>
        <w:t>predicted</w:t>
      </w:r>
      <w:r w:rsidR="005C7AD0">
        <w:rPr>
          <w:rFonts w:ascii="Palatino Linotype" w:hAnsi="Palatino Linotype"/>
        </w:rPr>
        <w:t xml:space="preserve"> subsequent literacy outcomes</w:t>
      </w:r>
      <w:r>
        <w:rPr>
          <w:rFonts w:ascii="Palatino Linotype" w:hAnsi="Palatino Linotype"/>
        </w:rPr>
        <w:t xml:space="preserve">, we </w:t>
      </w:r>
      <w:r w:rsidR="00BF476F">
        <w:rPr>
          <w:rFonts w:ascii="Palatino Linotype" w:hAnsi="Palatino Linotype"/>
        </w:rPr>
        <w:t>computed correlations</w:t>
      </w:r>
      <w:r w:rsidR="00F83146">
        <w:rPr>
          <w:rFonts w:ascii="Palatino Linotype" w:hAnsi="Palatino Linotype"/>
        </w:rPr>
        <w:t xml:space="preserve"> between these variables and literacy outcomes amongst</w:t>
      </w:r>
      <w:r w:rsidR="00FF3E17">
        <w:rPr>
          <w:rFonts w:ascii="Palatino Linotype" w:hAnsi="Palatino Linotype"/>
        </w:rPr>
        <w:t xml:space="preserve"> children with SSD</w:t>
      </w:r>
      <w:r w:rsidR="00F83146">
        <w:rPr>
          <w:rFonts w:ascii="Palatino Linotype" w:hAnsi="Palatino Linotype"/>
        </w:rPr>
        <w:t xml:space="preserve"> only</w:t>
      </w:r>
      <w:r w:rsidR="005C7AD0">
        <w:rPr>
          <w:rFonts w:ascii="Palatino Linotype" w:hAnsi="Palatino Linotype"/>
        </w:rPr>
        <w:t xml:space="preserve"> </w:t>
      </w:r>
      <w:r w:rsidR="00033E40">
        <w:rPr>
          <w:rFonts w:ascii="Palatino Linotype" w:hAnsi="Palatino Linotype"/>
        </w:rPr>
        <w:t>(</w:t>
      </w:r>
      <w:r w:rsidR="00385460">
        <w:rPr>
          <w:rFonts w:ascii="Palatino Linotype" w:hAnsi="Palatino Linotype"/>
        </w:rPr>
        <w:t>Table 4</w:t>
      </w:r>
      <w:r w:rsidR="00033E40">
        <w:rPr>
          <w:rFonts w:ascii="Palatino Linotype" w:hAnsi="Palatino Linotype"/>
        </w:rPr>
        <w:t>)</w:t>
      </w:r>
      <w:r w:rsidR="0039031E">
        <w:rPr>
          <w:rFonts w:ascii="Palatino Linotype" w:hAnsi="Palatino Linotype"/>
        </w:rPr>
        <w:t xml:space="preserve">. </w:t>
      </w:r>
      <w:r w:rsidR="00E35D35">
        <w:rPr>
          <w:rFonts w:ascii="Palatino Linotype" w:hAnsi="Palatino Linotype"/>
        </w:rPr>
        <w:t xml:space="preserve"> </w:t>
      </w:r>
      <w:r w:rsidR="00597D22">
        <w:rPr>
          <w:rFonts w:ascii="Palatino Linotype" w:hAnsi="Palatino Linotype"/>
        </w:rPr>
        <w:t xml:space="preserve">Severity of SSD at age </w:t>
      </w:r>
      <w:r w:rsidR="00597D22" w:rsidRPr="00F83146">
        <w:rPr>
          <w:rFonts w:ascii="Palatino Linotype" w:hAnsi="Palatino Linotype"/>
        </w:rPr>
        <w:t>3½</w:t>
      </w:r>
      <w:r w:rsidR="00597D22">
        <w:rPr>
          <w:rFonts w:ascii="Palatino Linotype" w:hAnsi="Palatino Linotype"/>
        </w:rPr>
        <w:t xml:space="preserve"> </w:t>
      </w:r>
      <w:r w:rsidR="001C781F">
        <w:rPr>
          <w:rFonts w:ascii="Palatino Linotype" w:hAnsi="Palatino Linotype"/>
        </w:rPr>
        <w:t>did not correlate appreciably</w:t>
      </w:r>
      <w:r w:rsidR="00597D22">
        <w:rPr>
          <w:rFonts w:ascii="Palatino Linotype" w:hAnsi="Palatino Linotype"/>
        </w:rPr>
        <w:t xml:space="preserve"> with</w:t>
      </w:r>
      <w:r w:rsidR="001C781F">
        <w:rPr>
          <w:rFonts w:ascii="Palatino Linotype" w:hAnsi="Palatino Linotype"/>
        </w:rPr>
        <w:t xml:space="preserve"> </w:t>
      </w:r>
      <w:r w:rsidR="005A349C">
        <w:rPr>
          <w:rFonts w:ascii="Palatino Linotype" w:hAnsi="Palatino Linotype"/>
        </w:rPr>
        <w:t xml:space="preserve">any </w:t>
      </w:r>
      <w:r w:rsidR="001C781F">
        <w:rPr>
          <w:rFonts w:ascii="Palatino Linotype" w:hAnsi="Palatino Linotype"/>
        </w:rPr>
        <w:t>of the</w:t>
      </w:r>
      <w:r w:rsidR="00597D22">
        <w:rPr>
          <w:rFonts w:ascii="Palatino Linotype" w:hAnsi="Palatino Linotype"/>
        </w:rPr>
        <w:t xml:space="preserve"> literacy outcome</w:t>
      </w:r>
      <w:r w:rsidR="001C781F">
        <w:rPr>
          <w:rFonts w:ascii="Palatino Linotype" w:hAnsi="Palatino Linotype"/>
        </w:rPr>
        <w:t xml:space="preserve"> measure</w:t>
      </w:r>
      <w:r w:rsidR="00597D22">
        <w:rPr>
          <w:rFonts w:ascii="Palatino Linotype" w:hAnsi="Palatino Linotype"/>
        </w:rPr>
        <w:t xml:space="preserve">s. </w:t>
      </w:r>
      <w:r w:rsidR="001C781F">
        <w:rPr>
          <w:rFonts w:ascii="Palatino Linotype" w:hAnsi="Palatino Linotype"/>
        </w:rPr>
        <w:t>Point biserial</w:t>
      </w:r>
      <w:r w:rsidR="007877D9">
        <w:rPr>
          <w:rFonts w:ascii="Palatino Linotype" w:hAnsi="Palatino Linotype"/>
        </w:rPr>
        <w:t xml:space="preserve"> correlations showed that the persistence of SSD</w:t>
      </w:r>
      <w:r w:rsidR="001C781F">
        <w:rPr>
          <w:rFonts w:ascii="Palatino Linotype" w:hAnsi="Palatino Linotype"/>
        </w:rPr>
        <w:t xml:space="preserve"> </w:t>
      </w:r>
      <w:r w:rsidR="009C0AC9">
        <w:rPr>
          <w:rFonts w:ascii="Palatino Linotype" w:hAnsi="Palatino Linotype"/>
        </w:rPr>
        <w:t xml:space="preserve">to age 5½ </w:t>
      </w:r>
      <w:r w:rsidR="007877D9">
        <w:rPr>
          <w:rFonts w:ascii="Palatino Linotype" w:hAnsi="Palatino Linotype"/>
        </w:rPr>
        <w:t xml:space="preserve">correlated </w:t>
      </w:r>
      <w:r w:rsidR="001C781F">
        <w:rPr>
          <w:rFonts w:ascii="Palatino Linotype" w:hAnsi="Palatino Linotype"/>
        </w:rPr>
        <w:t>significantly with</w:t>
      </w:r>
      <w:r w:rsidR="007877D9">
        <w:rPr>
          <w:rFonts w:ascii="Palatino Linotype" w:hAnsi="Palatino Linotype"/>
        </w:rPr>
        <w:t xml:space="preserve"> phoneme awareness and </w:t>
      </w:r>
      <w:r w:rsidR="001C781F">
        <w:rPr>
          <w:rFonts w:ascii="Palatino Linotype" w:hAnsi="Palatino Linotype"/>
        </w:rPr>
        <w:t>word reading</w:t>
      </w:r>
      <w:r w:rsidR="007877D9">
        <w:rPr>
          <w:rFonts w:ascii="Palatino Linotype" w:hAnsi="Palatino Linotype"/>
        </w:rPr>
        <w:t xml:space="preserve"> </w:t>
      </w:r>
      <w:r w:rsidR="009C0AC9">
        <w:rPr>
          <w:rFonts w:ascii="Palatino Linotype" w:hAnsi="Palatino Linotype"/>
        </w:rPr>
        <w:t>measured concurrently</w:t>
      </w:r>
      <w:r w:rsidR="000E35CA">
        <w:rPr>
          <w:rFonts w:ascii="Palatino Linotype" w:hAnsi="Palatino Linotype"/>
        </w:rPr>
        <w:t xml:space="preserve"> </w:t>
      </w:r>
      <w:r w:rsidR="007877D9">
        <w:rPr>
          <w:rFonts w:ascii="Palatino Linotype" w:hAnsi="Palatino Linotype"/>
        </w:rPr>
        <w:t>(</w:t>
      </w:r>
      <w:r w:rsidR="001C781F">
        <w:rPr>
          <w:rFonts w:ascii="Palatino Linotype" w:hAnsi="Palatino Linotype"/>
        </w:rPr>
        <w:t>16% and 21</w:t>
      </w:r>
      <w:r w:rsidR="007877D9">
        <w:rPr>
          <w:rFonts w:ascii="Palatino Linotype" w:hAnsi="Palatino Linotype"/>
        </w:rPr>
        <w:t xml:space="preserve">% of the variance </w:t>
      </w:r>
      <w:r w:rsidR="001C781F">
        <w:rPr>
          <w:rFonts w:ascii="Palatino Linotype" w:hAnsi="Palatino Linotype"/>
        </w:rPr>
        <w:t>respectively).</w:t>
      </w:r>
      <w:r w:rsidR="00042ADA">
        <w:rPr>
          <w:rFonts w:ascii="Palatino Linotype" w:hAnsi="Palatino Linotype"/>
        </w:rPr>
        <w:t xml:space="preserve">  </w:t>
      </w:r>
      <w:r w:rsidR="001C781F">
        <w:rPr>
          <w:rFonts w:ascii="Palatino Linotype" w:hAnsi="Palatino Linotype"/>
        </w:rPr>
        <w:t xml:space="preserve">In addition, </w:t>
      </w:r>
      <w:r w:rsidR="00154739" w:rsidRPr="00154739">
        <w:rPr>
          <w:rFonts w:ascii="Palatino Linotype" w:hAnsi="Palatino Linotype"/>
        </w:rPr>
        <w:t xml:space="preserve">disordered speech errors are associated with poorer </w:t>
      </w:r>
      <w:r w:rsidR="001C781F">
        <w:rPr>
          <w:rFonts w:ascii="Palatino Linotype" w:hAnsi="Palatino Linotype"/>
        </w:rPr>
        <w:t>Wor</w:t>
      </w:r>
      <w:r w:rsidR="0006003E">
        <w:rPr>
          <w:rFonts w:ascii="Palatino Linotype" w:hAnsi="Palatino Linotype"/>
        </w:rPr>
        <w:t>d</w:t>
      </w:r>
      <w:r w:rsidR="001C781F">
        <w:rPr>
          <w:rFonts w:ascii="Palatino Linotype" w:hAnsi="Palatino Linotype"/>
        </w:rPr>
        <w:t xml:space="preserve"> Reading at </w:t>
      </w:r>
      <w:r w:rsidR="009C0AC9">
        <w:rPr>
          <w:rFonts w:ascii="Palatino Linotype" w:hAnsi="Palatino Linotype"/>
        </w:rPr>
        <w:t xml:space="preserve">age 5½ </w:t>
      </w:r>
      <w:r w:rsidR="001C781F">
        <w:rPr>
          <w:rFonts w:ascii="Palatino Linotype" w:hAnsi="Palatino Linotype"/>
        </w:rPr>
        <w:t>(7.6</w:t>
      </w:r>
      <w:r w:rsidR="007877D9">
        <w:rPr>
          <w:rFonts w:ascii="Palatino Linotype" w:hAnsi="Palatino Linotype"/>
        </w:rPr>
        <w:t>% of the variance</w:t>
      </w:r>
      <w:r w:rsidR="001C781F">
        <w:rPr>
          <w:rFonts w:ascii="Palatino Linotype" w:hAnsi="Palatino Linotype"/>
        </w:rPr>
        <w:t xml:space="preserve">). </w:t>
      </w:r>
      <w:r w:rsidR="007048BB">
        <w:rPr>
          <w:rFonts w:ascii="Palatino Linotype" w:hAnsi="Palatino Linotype"/>
        </w:rPr>
        <w:t xml:space="preserve">None of the predictors </w:t>
      </w:r>
      <w:r w:rsidR="00D51163">
        <w:rPr>
          <w:rFonts w:ascii="Palatino Linotype" w:hAnsi="Palatino Linotype"/>
        </w:rPr>
        <w:t>were</w:t>
      </w:r>
      <w:r w:rsidR="007048BB">
        <w:rPr>
          <w:rFonts w:ascii="Palatino Linotype" w:hAnsi="Palatino Linotype"/>
        </w:rPr>
        <w:t xml:space="preserve"> significantly associated with literacy outcomes at </w:t>
      </w:r>
      <w:r w:rsidR="009C0AC9">
        <w:rPr>
          <w:rFonts w:ascii="Palatino Linotype" w:hAnsi="Palatino Linotype"/>
        </w:rPr>
        <w:t>age 8</w:t>
      </w:r>
      <w:r w:rsidR="007048BB">
        <w:rPr>
          <w:rFonts w:ascii="Palatino Linotype" w:hAnsi="Palatino Linotype"/>
        </w:rPr>
        <w:t>.</w:t>
      </w:r>
    </w:p>
    <w:p w14:paraId="54860A08" w14:textId="70F015D2" w:rsidR="00133055" w:rsidRPr="00133055" w:rsidRDefault="00A85E9D" w:rsidP="0027539E">
      <w:pPr>
        <w:spacing w:line="480" w:lineRule="auto"/>
        <w:rPr>
          <w:rFonts w:ascii="Palatino Linotype" w:hAnsi="Palatino Linotype"/>
          <w:b/>
        </w:rPr>
      </w:pPr>
      <w:r>
        <w:rPr>
          <w:rFonts w:ascii="Palatino Linotype" w:hAnsi="Palatino Linotype"/>
          <w:b/>
        </w:rPr>
        <w:t>DISCUSSION</w:t>
      </w:r>
    </w:p>
    <w:p w14:paraId="6184E946" w14:textId="18984269" w:rsidR="00A17ED3" w:rsidRDefault="00F12F16" w:rsidP="00E10E19">
      <w:pPr>
        <w:spacing w:line="480" w:lineRule="auto"/>
        <w:jc w:val="both"/>
        <w:rPr>
          <w:rFonts w:ascii="Palatino Linotype" w:hAnsi="Palatino Linotype"/>
        </w:rPr>
      </w:pPr>
      <w:r>
        <w:rPr>
          <w:rFonts w:ascii="Palatino Linotype" w:hAnsi="Palatino Linotype"/>
        </w:rPr>
        <w:t>W</w:t>
      </w:r>
      <w:r w:rsidR="005673C1">
        <w:rPr>
          <w:rFonts w:ascii="Palatino Linotype" w:hAnsi="Palatino Linotype"/>
        </w:rPr>
        <w:t xml:space="preserve">e followed the progress of children with SSD through the early stages of literacy development </w:t>
      </w:r>
      <w:r w:rsidR="009119BC">
        <w:rPr>
          <w:rFonts w:ascii="Palatino Linotype" w:hAnsi="Palatino Linotype"/>
        </w:rPr>
        <w:t>from</w:t>
      </w:r>
      <w:r w:rsidR="005673C1">
        <w:rPr>
          <w:rFonts w:ascii="Palatino Linotype" w:hAnsi="Palatino Linotype"/>
        </w:rPr>
        <w:t xml:space="preserve"> age 5½ </w:t>
      </w:r>
      <w:r w:rsidR="009119BC">
        <w:rPr>
          <w:rFonts w:ascii="Palatino Linotype" w:hAnsi="Palatino Linotype"/>
        </w:rPr>
        <w:t>to</w:t>
      </w:r>
      <w:r w:rsidR="005673C1">
        <w:rPr>
          <w:rFonts w:ascii="Palatino Linotype" w:hAnsi="Palatino Linotype"/>
        </w:rPr>
        <w:t xml:space="preserve"> 8 years</w:t>
      </w:r>
      <w:r w:rsidR="009119BC">
        <w:rPr>
          <w:rFonts w:ascii="Palatino Linotype" w:hAnsi="Palatino Linotype"/>
        </w:rPr>
        <w:t>,</w:t>
      </w:r>
      <w:r w:rsidR="005673C1">
        <w:rPr>
          <w:rFonts w:ascii="Palatino Linotype" w:hAnsi="Palatino Linotype"/>
        </w:rPr>
        <w:t xml:space="preserve"> comparing them with typically developing controls.  Of particular interest </w:t>
      </w:r>
      <w:r w:rsidR="00A17ED3">
        <w:rPr>
          <w:rFonts w:ascii="Palatino Linotype" w:hAnsi="Palatino Linotype"/>
        </w:rPr>
        <w:t>w</w:t>
      </w:r>
      <w:r w:rsidR="009119BC">
        <w:rPr>
          <w:rFonts w:ascii="Palatino Linotype" w:hAnsi="Palatino Linotype"/>
        </w:rPr>
        <w:t>as</w:t>
      </w:r>
      <w:r w:rsidR="005673C1">
        <w:rPr>
          <w:rFonts w:ascii="Palatino Linotype" w:hAnsi="Palatino Linotype"/>
        </w:rPr>
        <w:t xml:space="preserve"> the outcome of children with isolated SSD compared with those of children </w:t>
      </w:r>
      <w:r w:rsidR="006C2E55">
        <w:rPr>
          <w:rFonts w:ascii="Palatino Linotype" w:hAnsi="Palatino Linotype"/>
        </w:rPr>
        <w:t>who had</w:t>
      </w:r>
      <w:r w:rsidR="005673C1">
        <w:rPr>
          <w:rFonts w:ascii="Palatino Linotype" w:hAnsi="Palatino Linotype"/>
        </w:rPr>
        <w:t xml:space="preserve"> co</w:t>
      </w:r>
      <w:r w:rsidR="00A17ED3">
        <w:rPr>
          <w:rFonts w:ascii="Palatino Linotype" w:hAnsi="Palatino Linotype"/>
        </w:rPr>
        <w:t xml:space="preserve">-occurring language impairment </w:t>
      </w:r>
      <w:r w:rsidR="005673C1">
        <w:rPr>
          <w:rFonts w:ascii="Palatino Linotype" w:hAnsi="Palatino Linotype"/>
        </w:rPr>
        <w:t>(LI) and/or tho</w:t>
      </w:r>
      <w:r w:rsidR="00A10156">
        <w:rPr>
          <w:rFonts w:ascii="Palatino Linotype" w:hAnsi="Palatino Linotype"/>
        </w:rPr>
        <w:t xml:space="preserve">se at family-risk of dyslexia. </w:t>
      </w:r>
    </w:p>
    <w:p w14:paraId="505A0727" w14:textId="73C06D94" w:rsidR="00A17ED3" w:rsidRPr="00A85E9D" w:rsidRDefault="00834B43" w:rsidP="00E10E19">
      <w:pPr>
        <w:spacing w:line="480" w:lineRule="auto"/>
        <w:rPr>
          <w:rFonts w:ascii="Palatino Linotype" w:hAnsi="Palatino Linotype"/>
          <w:b/>
        </w:rPr>
      </w:pPr>
      <w:r w:rsidRPr="00A85E9D">
        <w:rPr>
          <w:rFonts w:ascii="Palatino Linotype" w:hAnsi="Palatino Linotype"/>
          <w:b/>
        </w:rPr>
        <w:t>What is t</w:t>
      </w:r>
      <w:r w:rsidR="00A17ED3" w:rsidRPr="00A85E9D">
        <w:rPr>
          <w:rFonts w:ascii="Palatino Linotype" w:hAnsi="Palatino Linotype"/>
          <w:b/>
        </w:rPr>
        <w:t>he effect of early SSD status on literacy outcomes</w:t>
      </w:r>
      <w:r w:rsidRPr="00A85E9D">
        <w:rPr>
          <w:rFonts w:ascii="Palatino Linotype" w:hAnsi="Palatino Linotype"/>
          <w:b/>
        </w:rPr>
        <w:t>?</w:t>
      </w:r>
    </w:p>
    <w:p w14:paraId="372D637A" w14:textId="45820915" w:rsidR="00A17ED3" w:rsidRPr="008A4E9D" w:rsidRDefault="00A17ED3" w:rsidP="00E10E19">
      <w:pPr>
        <w:spacing w:line="480" w:lineRule="auto"/>
        <w:jc w:val="both"/>
        <w:rPr>
          <w:rFonts w:ascii="Palatino Linotype" w:hAnsi="Palatino Linotype"/>
        </w:rPr>
      </w:pPr>
      <w:r>
        <w:rPr>
          <w:rFonts w:ascii="Palatino Linotype" w:hAnsi="Palatino Linotype"/>
        </w:rPr>
        <w:t xml:space="preserve">We found </w:t>
      </w:r>
      <w:r w:rsidR="00C34148">
        <w:rPr>
          <w:rFonts w:ascii="Palatino Linotype" w:hAnsi="Palatino Linotype"/>
        </w:rPr>
        <w:t xml:space="preserve">that, </w:t>
      </w:r>
      <w:r>
        <w:rPr>
          <w:rFonts w:ascii="Palatino Linotype" w:hAnsi="Palatino Linotype"/>
        </w:rPr>
        <w:t>as a group, children identified with SSD at the age of 3½ performed more poorly than typically developing peers on measures of phoneme awareness, word-level reading and spelling around the point of school-entry and on word-level reading, spelling</w:t>
      </w:r>
      <w:r w:rsidR="00A85E9D">
        <w:rPr>
          <w:rFonts w:ascii="Palatino Linotype" w:hAnsi="Palatino Linotype"/>
        </w:rPr>
        <w:t>,</w:t>
      </w:r>
      <w:r>
        <w:rPr>
          <w:rFonts w:ascii="Palatino Linotype" w:hAnsi="Palatino Linotype"/>
        </w:rPr>
        <w:t xml:space="preserve"> and reading comprehension three years later, with large effect sizes.  However, when the group was subdivided</w:t>
      </w:r>
      <w:r w:rsidR="00FC0E09">
        <w:rPr>
          <w:rFonts w:ascii="Palatino Linotype" w:hAnsi="Palatino Linotype"/>
        </w:rPr>
        <w:t xml:space="preserve"> according to co-occurring conditions,</w:t>
      </w:r>
      <w:r>
        <w:rPr>
          <w:rFonts w:ascii="Palatino Linotype" w:hAnsi="Palatino Linotype"/>
        </w:rPr>
        <w:t xml:space="preserve"> those with isolated SSD showed problems only </w:t>
      </w:r>
      <w:r w:rsidR="00FC0E09">
        <w:rPr>
          <w:rFonts w:ascii="Palatino Linotype" w:hAnsi="Palatino Linotype"/>
        </w:rPr>
        <w:t xml:space="preserve">at the younger age </w:t>
      </w:r>
      <w:r>
        <w:rPr>
          <w:rFonts w:ascii="Palatino Linotype" w:hAnsi="Palatino Linotype"/>
        </w:rPr>
        <w:t xml:space="preserve">with phoneme awareness and spelling. </w:t>
      </w:r>
      <w:r w:rsidR="009119BC">
        <w:rPr>
          <w:rFonts w:ascii="Palatino Linotype" w:hAnsi="Palatino Linotype"/>
        </w:rPr>
        <w:t xml:space="preserve"> </w:t>
      </w:r>
      <w:r w:rsidR="00FC0E09">
        <w:rPr>
          <w:rFonts w:ascii="Palatino Linotype" w:hAnsi="Palatino Linotype"/>
        </w:rPr>
        <w:t xml:space="preserve">Consistent with this, SSD status at </w:t>
      </w:r>
      <w:r w:rsidR="009C0AC9">
        <w:rPr>
          <w:rFonts w:ascii="Palatino Linotype" w:hAnsi="Palatino Linotype"/>
        </w:rPr>
        <w:t xml:space="preserve">age 3½ </w:t>
      </w:r>
      <w:r w:rsidR="00FC0E09">
        <w:rPr>
          <w:rFonts w:ascii="Palatino Linotype" w:hAnsi="Palatino Linotype"/>
        </w:rPr>
        <w:t xml:space="preserve">accounted for up to </w:t>
      </w:r>
      <w:r w:rsidR="00386E7D">
        <w:rPr>
          <w:rFonts w:ascii="Palatino Linotype" w:hAnsi="Palatino Linotype"/>
        </w:rPr>
        <w:t>5.8</w:t>
      </w:r>
      <w:r w:rsidR="00FC0E09">
        <w:rPr>
          <w:rFonts w:ascii="Palatino Linotype" w:hAnsi="Palatino Linotype"/>
        </w:rPr>
        <w:t xml:space="preserve">% of the variance in early </w:t>
      </w:r>
      <w:r w:rsidR="00386E7D">
        <w:rPr>
          <w:rFonts w:ascii="Palatino Linotype" w:hAnsi="Palatino Linotype"/>
        </w:rPr>
        <w:t>phonemic</w:t>
      </w:r>
      <w:r w:rsidR="00C34148">
        <w:rPr>
          <w:rFonts w:ascii="Palatino Linotype" w:hAnsi="Palatino Linotype"/>
        </w:rPr>
        <w:t xml:space="preserve"> </w:t>
      </w:r>
      <w:r w:rsidR="00386E7D">
        <w:rPr>
          <w:rFonts w:ascii="Palatino Linotype" w:hAnsi="Palatino Linotype"/>
        </w:rPr>
        <w:t>and spelling</w:t>
      </w:r>
      <w:r w:rsidR="00FC0E09">
        <w:rPr>
          <w:rFonts w:ascii="Palatino Linotype" w:hAnsi="Palatino Linotype"/>
        </w:rPr>
        <w:t xml:space="preserve"> skills </w:t>
      </w:r>
      <w:r w:rsidR="00C34148">
        <w:rPr>
          <w:rFonts w:ascii="Palatino Linotype" w:hAnsi="Palatino Linotype"/>
        </w:rPr>
        <w:t xml:space="preserve">when LI and FR status were controlled </w:t>
      </w:r>
      <w:r w:rsidR="00FC0E09">
        <w:rPr>
          <w:rFonts w:ascii="Palatino Linotype" w:hAnsi="Palatino Linotype"/>
        </w:rPr>
        <w:t xml:space="preserve">but only </w:t>
      </w:r>
      <w:r w:rsidR="00386E7D">
        <w:rPr>
          <w:rFonts w:ascii="Palatino Linotype" w:hAnsi="Palatino Linotype"/>
        </w:rPr>
        <w:t>up to</w:t>
      </w:r>
      <w:r w:rsidR="00FC0E09">
        <w:rPr>
          <w:rFonts w:ascii="Palatino Linotype" w:hAnsi="Palatino Linotype"/>
        </w:rPr>
        <w:t xml:space="preserve"> 1.</w:t>
      </w:r>
      <w:r w:rsidR="00386E7D">
        <w:rPr>
          <w:rFonts w:ascii="Palatino Linotype" w:hAnsi="Palatino Linotype"/>
        </w:rPr>
        <w:t>9</w:t>
      </w:r>
      <w:r w:rsidR="00FC0E09">
        <w:rPr>
          <w:rFonts w:ascii="Palatino Linotype" w:hAnsi="Palatino Linotype"/>
        </w:rPr>
        <w:t>% of the variance at age 8</w:t>
      </w:r>
      <w:r w:rsidR="00386E7D">
        <w:rPr>
          <w:rFonts w:ascii="Palatino Linotype" w:hAnsi="Palatino Linotype"/>
        </w:rPr>
        <w:t xml:space="preserve"> (though its effects on word reading were significant</w:t>
      </w:r>
      <w:r w:rsidR="00290493">
        <w:rPr>
          <w:rFonts w:ascii="Palatino Linotype" w:hAnsi="Palatino Linotype"/>
        </w:rPr>
        <w:t xml:space="preserve"> </w:t>
      </w:r>
      <w:r w:rsidR="00290493" w:rsidRPr="00E10E19">
        <w:rPr>
          <w:rFonts w:ascii="Palatino Linotype" w:hAnsi="Palatino Linotype"/>
        </w:rPr>
        <w:t>at p&lt;.05</w:t>
      </w:r>
      <w:r w:rsidR="00386E7D" w:rsidRPr="00E10E19">
        <w:rPr>
          <w:rFonts w:ascii="Palatino Linotype" w:hAnsi="Palatino Linotype"/>
        </w:rPr>
        <w:t>)</w:t>
      </w:r>
      <w:r w:rsidR="00C34148" w:rsidRPr="00E10E19">
        <w:rPr>
          <w:rFonts w:ascii="Palatino Linotype" w:hAnsi="Palatino Linotype"/>
        </w:rPr>
        <w:t>.</w:t>
      </w:r>
      <w:r w:rsidR="00FC0E09">
        <w:rPr>
          <w:rFonts w:ascii="Palatino Linotype" w:hAnsi="Palatino Linotype"/>
        </w:rPr>
        <w:t xml:space="preserve"> </w:t>
      </w:r>
      <w:r w:rsidR="00386E7D">
        <w:rPr>
          <w:rFonts w:ascii="Palatino Linotype" w:hAnsi="Palatino Linotype"/>
        </w:rPr>
        <w:t>It follows that</w:t>
      </w:r>
      <w:r w:rsidR="00FC0E09">
        <w:rPr>
          <w:rFonts w:ascii="Palatino Linotype" w:hAnsi="Palatino Linotype"/>
        </w:rPr>
        <w:t xml:space="preserve"> the risk of </w:t>
      </w:r>
      <w:r w:rsidR="00386E7D">
        <w:rPr>
          <w:rFonts w:ascii="Palatino Linotype" w:hAnsi="Palatino Linotype"/>
        </w:rPr>
        <w:t>poor literacy</w:t>
      </w:r>
      <w:r w:rsidR="00FC0E09">
        <w:rPr>
          <w:rFonts w:ascii="Palatino Linotype" w:hAnsi="Palatino Linotype"/>
        </w:rPr>
        <w:t xml:space="preserve"> in children with isolated SSD </w:t>
      </w:r>
      <w:r w:rsidR="002F53E0">
        <w:rPr>
          <w:rFonts w:ascii="Palatino Linotype" w:hAnsi="Palatino Linotype"/>
        </w:rPr>
        <w:t xml:space="preserve">is low, with </w:t>
      </w:r>
      <w:r w:rsidR="00C34148">
        <w:rPr>
          <w:rFonts w:ascii="Palatino Linotype" w:hAnsi="Palatino Linotype"/>
        </w:rPr>
        <w:t xml:space="preserve">only modest and </w:t>
      </w:r>
      <w:r w:rsidR="00184EE7">
        <w:rPr>
          <w:rFonts w:ascii="Palatino Linotype" w:hAnsi="Palatino Linotype"/>
        </w:rPr>
        <w:t xml:space="preserve">mostly </w:t>
      </w:r>
      <w:r w:rsidR="00C34148">
        <w:rPr>
          <w:rFonts w:ascii="Palatino Linotype" w:hAnsi="Palatino Linotype"/>
        </w:rPr>
        <w:t xml:space="preserve">short-lived effects on literacy development, with the skills most closely related to speech </w:t>
      </w:r>
      <w:r w:rsidR="00184EE7">
        <w:rPr>
          <w:rFonts w:ascii="Palatino Linotype" w:hAnsi="Palatino Linotype"/>
        </w:rPr>
        <w:t>in the early</w:t>
      </w:r>
      <w:r w:rsidR="00C34148">
        <w:rPr>
          <w:rFonts w:ascii="Palatino Linotype" w:hAnsi="Palatino Linotype"/>
        </w:rPr>
        <w:t xml:space="preserve"> stage of development</w:t>
      </w:r>
      <w:r w:rsidR="00184EE7">
        <w:rPr>
          <w:rFonts w:ascii="Palatino Linotype" w:hAnsi="Palatino Linotype"/>
        </w:rPr>
        <w:t xml:space="preserve"> being affected</w:t>
      </w:r>
      <w:r w:rsidR="00C34148">
        <w:rPr>
          <w:rFonts w:ascii="Palatino Linotype" w:hAnsi="Palatino Linotype"/>
        </w:rPr>
        <w:t>, namely</w:t>
      </w:r>
      <w:r w:rsidR="00184EE7">
        <w:rPr>
          <w:rFonts w:ascii="Palatino Linotype" w:hAnsi="Palatino Linotype"/>
        </w:rPr>
        <w:t xml:space="preserve"> phoneme awareness and spelling</w:t>
      </w:r>
      <w:r w:rsidR="002F53E0">
        <w:rPr>
          <w:rFonts w:ascii="Palatino Linotype" w:hAnsi="Palatino Linotype"/>
        </w:rPr>
        <w:t>.</w:t>
      </w:r>
      <w:r w:rsidR="00C34148">
        <w:rPr>
          <w:rFonts w:ascii="Palatino Linotype" w:hAnsi="Palatino Linotype"/>
        </w:rPr>
        <w:t xml:space="preserve">  It seems that most children recover from this early set back.</w:t>
      </w:r>
    </w:p>
    <w:p w14:paraId="67D68DAF" w14:textId="18675532" w:rsidR="00834B43" w:rsidRPr="00A85E9D" w:rsidRDefault="00834B43" w:rsidP="00E10E19">
      <w:pPr>
        <w:spacing w:line="480" w:lineRule="auto"/>
        <w:rPr>
          <w:rFonts w:ascii="Palatino Linotype" w:hAnsi="Palatino Linotype"/>
          <w:b/>
        </w:rPr>
      </w:pPr>
      <w:r w:rsidRPr="00A85E9D">
        <w:rPr>
          <w:rFonts w:ascii="Palatino Linotype" w:hAnsi="Palatino Linotype"/>
          <w:b/>
        </w:rPr>
        <w:t>Do</w:t>
      </w:r>
      <w:r w:rsidR="00D4793D" w:rsidRPr="00A85E9D">
        <w:rPr>
          <w:rFonts w:ascii="Palatino Linotype" w:hAnsi="Palatino Linotype"/>
          <w:b/>
        </w:rPr>
        <w:t>es comorbid LI</w:t>
      </w:r>
      <w:r w:rsidRPr="00A85E9D">
        <w:rPr>
          <w:rFonts w:ascii="Palatino Linotype" w:hAnsi="Palatino Linotype"/>
          <w:b/>
        </w:rPr>
        <w:t xml:space="preserve"> </w:t>
      </w:r>
      <w:r w:rsidR="00D4793D" w:rsidRPr="00A85E9D">
        <w:rPr>
          <w:rFonts w:ascii="Palatino Linotype" w:hAnsi="Palatino Linotype"/>
          <w:b/>
        </w:rPr>
        <w:t xml:space="preserve">lead to </w:t>
      </w:r>
      <w:r w:rsidRPr="00A85E9D">
        <w:rPr>
          <w:rFonts w:ascii="Palatino Linotype" w:hAnsi="Palatino Linotype"/>
          <w:b/>
        </w:rPr>
        <w:t>poorer literacy outcomes than SSD</w:t>
      </w:r>
      <w:r w:rsidR="00D4793D" w:rsidRPr="00A85E9D">
        <w:rPr>
          <w:rFonts w:ascii="Palatino Linotype" w:hAnsi="Palatino Linotype"/>
          <w:b/>
        </w:rPr>
        <w:t>-alone</w:t>
      </w:r>
      <w:r w:rsidRPr="00A85E9D">
        <w:rPr>
          <w:rFonts w:ascii="Palatino Linotype" w:hAnsi="Palatino Linotype"/>
          <w:b/>
        </w:rPr>
        <w:t xml:space="preserve">? </w:t>
      </w:r>
    </w:p>
    <w:p w14:paraId="3A0E7558" w14:textId="7FE7C406" w:rsidR="00A17ED3" w:rsidRPr="008A4E9D" w:rsidRDefault="00834B43" w:rsidP="00E10E19">
      <w:pPr>
        <w:spacing w:line="480" w:lineRule="auto"/>
        <w:jc w:val="both"/>
        <w:rPr>
          <w:rFonts w:ascii="Palatino Linotype" w:hAnsi="Palatino Linotype"/>
        </w:rPr>
      </w:pPr>
      <w:r>
        <w:rPr>
          <w:rFonts w:ascii="Palatino Linotype" w:hAnsi="Palatino Linotype"/>
        </w:rPr>
        <w:t>In line with prediction</w:t>
      </w:r>
      <w:r w:rsidR="009C0AC9">
        <w:rPr>
          <w:rFonts w:ascii="Palatino Linotype" w:hAnsi="Palatino Linotype"/>
        </w:rPr>
        <w:t>s</w:t>
      </w:r>
      <w:r>
        <w:rPr>
          <w:rFonts w:ascii="Palatino Linotype" w:hAnsi="Palatino Linotype"/>
        </w:rPr>
        <w:t xml:space="preserve">, the outcome for children with SSD and </w:t>
      </w:r>
      <w:r w:rsidR="00A17ED3" w:rsidRPr="008A4E9D">
        <w:rPr>
          <w:rFonts w:ascii="Palatino Linotype" w:hAnsi="Palatino Linotype"/>
        </w:rPr>
        <w:t>co-occu</w:t>
      </w:r>
      <w:r>
        <w:rPr>
          <w:rFonts w:ascii="Palatino Linotype" w:hAnsi="Palatino Linotype"/>
        </w:rPr>
        <w:t>r</w:t>
      </w:r>
      <w:r w:rsidR="00A17ED3" w:rsidRPr="008A4E9D">
        <w:rPr>
          <w:rFonts w:ascii="Palatino Linotype" w:hAnsi="Palatino Linotype"/>
        </w:rPr>
        <w:t>r</w:t>
      </w:r>
      <w:r>
        <w:rPr>
          <w:rFonts w:ascii="Palatino Linotype" w:hAnsi="Palatino Linotype"/>
        </w:rPr>
        <w:t>ing</w:t>
      </w:r>
      <w:r w:rsidR="00A17ED3" w:rsidRPr="008A4E9D">
        <w:rPr>
          <w:rFonts w:ascii="Palatino Linotype" w:hAnsi="Palatino Linotype"/>
        </w:rPr>
        <w:t xml:space="preserve"> language impairment </w:t>
      </w:r>
      <w:r>
        <w:rPr>
          <w:rFonts w:ascii="Palatino Linotype" w:hAnsi="Palatino Linotype"/>
        </w:rPr>
        <w:t>was</w:t>
      </w:r>
      <w:r w:rsidR="00A17ED3" w:rsidRPr="008A4E9D">
        <w:rPr>
          <w:rFonts w:ascii="Palatino Linotype" w:hAnsi="Palatino Linotype"/>
        </w:rPr>
        <w:t xml:space="preserve"> poorer </w:t>
      </w:r>
      <w:r>
        <w:rPr>
          <w:rFonts w:ascii="Palatino Linotype" w:hAnsi="Palatino Linotype"/>
        </w:rPr>
        <w:t xml:space="preserve">than for </w:t>
      </w:r>
      <w:r w:rsidR="00A17ED3" w:rsidRPr="008A4E9D">
        <w:rPr>
          <w:rFonts w:ascii="Palatino Linotype" w:hAnsi="Palatino Linotype"/>
        </w:rPr>
        <w:t>SSD</w:t>
      </w:r>
      <w:r>
        <w:rPr>
          <w:rFonts w:ascii="Palatino Linotype" w:hAnsi="Palatino Linotype"/>
        </w:rPr>
        <w:t xml:space="preserve"> alone</w:t>
      </w:r>
      <w:r w:rsidR="00A17ED3" w:rsidRPr="008A4E9D">
        <w:rPr>
          <w:rFonts w:ascii="Palatino Linotype" w:hAnsi="Palatino Linotype"/>
        </w:rPr>
        <w:t>.</w:t>
      </w:r>
      <w:r w:rsidR="00E10E19">
        <w:rPr>
          <w:rFonts w:ascii="Palatino Linotype" w:hAnsi="Palatino Linotype"/>
        </w:rPr>
        <w:t xml:space="preserve"> </w:t>
      </w:r>
      <w:r w:rsidR="009119BC">
        <w:rPr>
          <w:rFonts w:ascii="Palatino Linotype" w:hAnsi="Palatino Linotype"/>
        </w:rPr>
        <w:t>The</w:t>
      </w:r>
      <w:r>
        <w:rPr>
          <w:rFonts w:ascii="Palatino Linotype" w:hAnsi="Palatino Linotype"/>
        </w:rPr>
        <w:t xml:space="preserve"> literacy </w:t>
      </w:r>
      <w:r w:rsidR="009119BC">
        <w:rPr>
          <w:rFonts w:ascii="Palatino Linotype" w:hAnsi="Palatino Linotype"/>
        </w:rPr>
        <w:t>skills</w:t>
      </w:r>
      <w:r>
        <w:rPr>
          <w:rFonts w:ascii="Palatino Linotype" w:hAnsi="Palatino Linotype"/>
        </w:rPr>
        <w:t xml:space="preserve"> </w:t>
      </w:r>
      <w:r w:rsidR="009119BC">
        <w:rPr>
          <w:rFonts w:ascii="Palatino Linotype" w:hAnsi="Palatino Linotype"/>
        </w:rPr>
        <w:t xml:space="preserve">of children with SSD and LI were significantly impaired relative to controls </w:t>
      </w:r>
      <w:r>
        <w:rPr>
          <w:rFonts w:ascii="Palatino Linotype" w:hAnsi="Palatino Linotype"/>
        </w:rPr>
        <w:t>and children who in addition were at family-risk of dyslexia showed the most significant impai</w:t>
      </w:r>
      <w:r w:rsidR="00E10E19">
        <w:rPr>
          <w:rFonts w:ascii="Palatino Linotype" w:hAnsi="Palatino Linotype"/>
        </w:rPr>
        <w:t xml:space="preserve">rments. </w:t>
      </w:r>
      <w:r>
        <w:rPr>
          <w:rFonts w:ascii="Palatino Linotype" w:hAnsi="Palatino Linotype"/>
        </w:rPr>
        <w:t xml:space="preserve">When both SSD and FR-dyslexia were controlled, LI status at </w:t>
      </w:r>
      <w:r w:rsidR="009C0AC9">
        <w:rPr>
          <w:rFonts w:ascii="Palatino Linotype" w:hAnsi="Palatino Linotype"/>
        </w:rPr>
        <w:t xml:space="preserve">age 3½ </w:t>
      </w:r>
      <w:r>
        <w:rPr>
          <w:rFonts w:ascii="Palatino Linotype" w:hAnsi="Palatino Linotype"/>
        </w:rPr>
        <w:t xml:space="preserve">T1 accounted for </w:t>
      </w:r>
      <w:r w:rsidR="00991618">
        <w:rPr>
          <w:rFonts w:ascii="Palatino Linotype" w:hAnsi="Palatino Linotype"/>
        </w:rPr>
        <w:t xml:space="preserve">significant </w:t>
      </w:r>
      <w:r>
        <w:rPr>
          <w:rFonts w:ascii="Palatino Linotype" w:hAnsi="Palatino Linotype"/>
        </w:rPr>
        <w:t xml:space="preserve">amounts of variance in early literacy skills and continued to predict later development especially of reading comprehension.  </w:t>
      </w:r>
    </w:p>
    <w:p w14:paraId="311C8074" w14:textId="02A05AB0" w:rsidR="00834B43" w:rsidRPr="00A85E9D" w:rsidRDefault="00834B43" w:rsidP="00E10E19">
      <w:pPr>
        <w:spacing w:line="480" w:lineRule="auto"/>
        <w:rPr>
          <w:rFonts w:ascii="Palatino Linotype" w:hAnsi="Palatino Linotype"/>
          <w:b/>
        </w:rPr>
      </w:pPr>
      <w:r w:rsidRPr="00A85E9D">
        <w:rPr>
          <w:rFonts w:ascii="Palatino Linotype" w:hAnsi="Palatino Linotype"/>
          <w:b/>
        </w:rPr>
        <w:t>Does family-risk of dyslexia contribute to the likelihood of a poor literacy outcome, over and above speech and language status</w:t>
      </w:r>
      <w:r w:rsidR="00D4793D" w:rsidRPr="00A85E9D">
        <w:rPr>
          <w:rFonts w:ascii="Palatino Linotype" w:hAnsi="Palatino Linotype"/>
          <w:b/>
        </w:rPr>
        <w:t>?</w:t>
      </w:r>
      <w:r w:rsidRPr="00A85E9D">
        <w:rPr>
          <w:rFonts w:ascii="Palatino Linotype" w:hAnsi="Palatino Linotype"/>
          <w:b/>
        </w:rPr>
        <w:t xml:space="preserve"> </w:t>
      </w:r>
    </w:p>
    <w:p w14:paraId="6C73C44A" w14:textId="1E50575E" w:rsidR="007C00E8" w:rsidRDefault="00D4793D" w:rsidP="00E10E19">
      <w:pPr>
        <w:spacing w:line="480" w:lineRule="auto"/>
        <w:jc w:val="both"/>
        <w:rPr>
          <w:rFonts w:ascii="Palatino Linotype" w:hAnsi="Palatino Linotype"/>
        </w:rPr>
      </w:pPr>
      <w:r>
        <w:rPr>
          <w:rFonts w:ascii="Palatino Linotype" w:hAnsi="Palatino Linotype"/>
        </w:rPr>
        <w:t xml:space="preserve">Children with SSD who were also at family-risk of dyslexia showed significant impairments relative to TD controls  in phoneme awareness, reading and spelling skills </w:t>
      </w:r>
      <w:r w:rsidR="00486FA6">
        <w:rPr>
          <w:rFonts w:ascii="Palatino Linotype" w:hAnsi="Palatino Linotype"/>
        </w:rPr>
        <w:t>which</w:t>
      </w:r>
      <w:r>
        <w:rPr>
          <w:rFonts w:ascii="Palatino Linotype" w:hAnsi="Palatino Linotype"/>
        </w:rPr>
        <w:t xml:space="preserve"> persisted </w:t>
      </w:r>
      <w:r w:rsidR="00486FA6">
        <w:rPr>
          <w:rFonts w:ascii="Palatino Linotype" w:hAnsi="Palatino Linotype"/>
        </w:rPr>
        <w:t>except for</w:t>
      </w:r>
      <w:r>
        <w:rPr>
          <w:rFonts w:ascii="Palatino Linotype" w:hAnsi="Palatino Linotype"/>
        </w:rPr>
        <w:t xml:space="preserve"> spelling at age 8. The impairments were more marked if LI was also present. In and of itself FR-status accounted for a small but significant amount of variance in literacy outcomes when speech and language difficulties were controlled</w:t>
      </w:r>
      <w:r w:rsidR="00CD18B9">
        <w:rPr>
          <w:rFonts w:ascii="Palatino Linotype" w:hAnsi="Palatino Linotype"/>
        </w:rPr>
        <w:t xml:space="preserve">, </w:t>
      </w:r>
      <w:r w:rsidR="00FF1309">
        <w:rPr>
          <w:rFonts w:ascii="Palatino Linotype" w:hAnsi="Palatino Linotype"/>
        </w:rPr>
        <w:t>supporting</w:t>
      </w:r>
      <w:r w:rsidR="007C00E8">
        <w:rPr>
          <w:rFonts w:ascii="Palatino Linotype" w:hAnsi="Palatino Linotype"/>
        </w:rPr>
        <w:t xml:space="preserve"> the findings of </w:t>
      </w:r>
      <w:r w:rsidR="006B20AE">
        <w:rPr>
          <w:rFonts w:ascii="Palatino Linotype" w:hAnsi="Palatino Linotype"/>
        </w:rPr>
        <w:t>Carroll</w:t>
      </w:r>
      <w:r w:rsidR="002C3561">
        <w:rPr>
          <w:rFonts w:ascii="Palatino Linotype" w:hAnsi="Palatino Linotype"/>
        </w:rPr>
        <w:t xml:space="preserve"> et al.</w:t>
      </w:r>
      <w:r w:rsidR="006B20AE">
        <w:rPr>
          <w:rFonts w:ascii="Palatino Linotype" w:hAnsi="Palatino Linotype"/>
        </w:rPr>
        <w:t xml:space="preserve"> (2014)</w:t>
      </w:r>
      <w:r w:rsidR="007C00E8">
        <w:rPr>
          <w:rFonts w:ascii="Palatino Linotype" w:hAnsi="Palatino Linotype"/>
        </w:rPr>
        <w:t xml:space="preserve"> and</w:t>
      </w:r>
      <w:r w:rsidR="00FF1309">
        <w:rPr>
          <w:rFonts w:ascii="Palatino Linotype" w:hAnsi="Palatino Linotype"/>
        </w:rPr>
        <w:t xml:space="preserve"> </w:t>
      </w:r>
      <w:r w:rsidR="006B20AE">
        <w:rPr>
          <w:rFonts w:ascii="Palatino Linotype" w:hAnsi="Palatino Linotype"/>
        </w:rPr>
        <w:t xml:space="preserve">Puolakanaho et al., (2007). </w:t>
      </w:r>
      <w:r w:rsidR="00184EE7">
        <w:rPr>
          <w:rFonts w:ascii="Palatino Linotype" w:hAnsi="Palatino Linotype"/>
        </w:rPr>
        <w:t xml:space="preserve">It should </w:t>
      </w:r>
      <w:r w:rsidR="00290493">
        <w:rPr>
          <w:rFonts w:ascii="Palatino Linotype" w:hAnsi="Palatino Linotype"/>
        </w:rPr>
        <w:t xml:space="preserve">be </w:t>
      </w:r>
      <w:r w:rsidR="00184EE7">
        <w:rPr>
          <w:rFonts w:ascii="Palatino Linotype" w:hAnsi="Palatino Linotype"/>
        </w:rPr>
        <w:t xml:space="preserve">noted </w:t>
      </w:r>
      <w:r w:rsidR="00FF1309">
        <w:rPr>
          <w:rFonts w:ascii="Palatino Linotype" w:hAnsi="Palatino Linotype"/>
        </w:rPr>
        <w:t xml:space="preserve">however, </w:t>
      </w:r>
      <w:r w:rsidR="006B20AE">
        <w:rPr>
          <w:rFonts w:ascii="Palatino Linotype" w:hAnsi="Palatino Linotype"/>
        </w:rPr>
        <w:t xml:space="preserve">that </w:t>
      </w:r>
      <w:r w:rsidR="00833908">
        <w:rPr>
          <w:rFonts w:ascii="Palatino Linotype" w:hAnsi="Palatino Linotype"/>
        </w:rPr>
        <w:t>it does not predict</w:t>
      </w:r>
      <w:r w:rsidR="00184EE7">
        <w:rPr>
          <w:rFonts w:ascii="Palatino Linotype" w:hAnsi="Palatino Linotype"/>
        </w:rPr>
        <w:t xml:space="preserve"> either </w:t>
      </w:r>
      <w:r w:rsidR="006B20AE">
        <w:rPr>
          <w:rFonts w:ascii="Palatino Linotype" w:hAnsi="Palatino Linotype"/>
        </w:rPr>
        <w:t>phon</w:t>
      </w:r>
      <w:r w:rsidR="007C00E8">
        <w:rPr>
          <w:rFonts w:ascii="Palatino Linotype" w:hAnsi="Palatino Linotype"/>
        </w:rPr>
        <w:t>eme</w:t>
      </w:r>
      <w:r w:rsidR="006B20AE">
        <w:rPr>
          <w:rFonts w:ascii="Palatino Linotype" w:hAnsi="Palatino Linotype"/>
        </w:rPr>
        <w:t xml:space="preserve"> awareness</w:t>
      </w:r>
      <w:r w:rsidR="00184EE7">
        <w:rPr>
          <w:rFonts w:ascii="Palatino Linotype" w:hAnsi="Palatino Linotype"/>
        </w:rPr>
        <w:t xml:space="preserve"> or spelling at </w:t>
      </w:r>
      <w:r w:rsidR="00486FA6">
        <w:rPr>
          <w:rFonts w:ascii="Palatino Linotype" w:hAnsi="Palatino Linotype"/>
        </w:rPr>
        <w:t xml:space="preserve">age </w:t>
      </w:r>
      <w:r w:rsidR="00DB0342">
        <w:rPr>
          <w:rFonts w:ascii="Palatino Linotype" w:hAnsi="Palatino Linotype"/>
        </w:rPr>
        <w:t>5</w:t>
      </w:r>
      <w:r w:rsidR="00486FA6">
        <w:rPr>
          <w:rFonts w:ascii="Palatino Linotype" w:hAnsi="Palatino Linotype"/>
        </w:rPr>
        <w:t>½</w:t>
      </w:r>
      <w:r w:rsidR="00184EE7">
        <w:rPr>
          <w:rFonts w:ascii="Palatino Linotype" w:hAnsi="Palatino Linotype"/>
        </w:rPr>
        <w:t>, plausibly because at this stage most variance in these skills is associated with speech status two years earlier wh</w:t>
      </w:r>
      <w:r w:rsidR="00833908">
        <w:rPr>
          <w:rFonts w:ascii="Palatino Linotype" w:hAnsi="Palatino Linotype"/>
        </w:rPr>
        <w:t>en</w:t>
      </w:r>
      <w:r w:rsidR="00184EE7">
        <w:rPr>
          <w:rFonts w:ascii="Palatino Linotype" w:hAnsi="Palatino Linotype"/>
        </w:rPr>
        <w:t xml:space="preserve"> many children at f</w:t>
      </w:r>
      <w:r w:rsidR="00833908">
        <w:rPr>
          <w:rFonts w:ascii="Palatino Linotype" w:hAnsi="Palatino Linotype"/>
        </w:rPr>
        <w:t>am</w:t>
      </w:r>
      <w:r w:rsidR="00184EE7">
        <w:rPr>
          <w:rFonts w:ascii="Palatino Linotype" w:hAnsi="Palatino Linotype"/>
        </w:rPr>
        <w:t xml:space="preserve">ily-risk of dyslexia show speech </w:t>
      </w:r>
      <w:r w:rsidR="00244711">
        <w:rPr>
          <w:rFonts w:ascii="Palatino Linotype" w:hAnsi="Palatino Linotype"/>
        </w:rPr>
        <w:t>difficulties</w:t>
      </w:r>
      <w:r w:rsidR="006B20AE">
        <w:rPr>
          <w:rFonts w:ascii="Palatino Linotype" w:hAnsi="Palatino Linotype"/>
        </w:rPr>
        <w:t>.</w:t>
      </w:r>
    </w:p>
    <w:p w14:paraId="21FD97AE" w14:textId="492A9D3C" w:rsidR="00D4793D" w:rsidRPr="00A85E9D" w:rsidRDefault="00D4793D" w:rsidP="00E10E19">
      <w:pPr>
        <w:spacing w:line="480" w:lineRule="auto"/>
        <w:rPr>
          <w:rFonts w:ascii="Palatino Linotype" w:hAnsi="Palatino Linotype"/>
          <w:b/>
        </w:rPr>
      </w:pPr>
      <w:r w:rsidRPr="00A85E9D">
        <w:rPr>
          <w:rFonts w:ascii="Palatino Linotype" w:hAnsi="Palatino Linotype"/>
          <w:b/>
        </w:rPr>
        <w:t xml:space="preserve">Does the initial severity or nature of the SSD or its persistence to age 5 predict literacy outcomes? </w:t>
      </w:r>
    </w:p>
    <w:p w14:paraId="01C1B781" w14:textId="088CD6E1" w:rsidR="00FF1309" w:rsidRDefault="00C34148" w:rsidP="00E10E19">
      <w:pPr>
        <w:spacing w:line="480" w:lineRule="auto"/>
        <w:jc w:val="both"/>
        <w:rPr>
          <w:rFonts w:ascii="Palatino Linotype" w:hAnsi="Palatino Linotype"/>
        </w:rPr>
      </w:pPr>
      <w:r w:rsidRPr="00E10E19">
        <w:rPr>
          <w:rFonts w:ascii="Palatino Linotype" w:hAnsi="Palatino Linotype"/>
        </w:rPr>
        <w:t>Contrary to prediction, the severity</w:t>
      </w:r>
      <w:r w:rsidR="00486FA6" w:rsidRPr="00E10E19">
        <w:rPr>
          <w:rFonts w:ascii="Palatino Linotype" w:hAnsi="Palatino Linotype"/>
        </w:rPr>
        <w:t xml:space="preserve"> of</w:t>
      </w:r>
      <w:r w:rsidRPr="00E10E19">
        <w:rPr>
          <w:rFonts w:ascii="Palatino Linotype" w:hAnsi="Palatino Linotype"/>
        </w:rPr>
        <w:t xml:space="preserve"> </w:t>
      </w:r>
      <w:r w:rsidR="00FF1309" w:rsidRPr="00E10E19">
        <w:rPr>
          <w:rFonts w:ascii="Palatino Linotype" w:hAnsi="Palatino Linotype"/>
        </w:rPr>
        <w:t xml:space="preserve">SSD had </w:t>
      </w:r>
      <w:r w:rsidR="00833908" w:rsidRPr="00E10E19">
        <w:rPr>
          <w:rFonts w:ascii="Palatino Linotype" w:hAnsi="Palatino Linotype"/>
        </w:rPr>
        <w:t>a negligible effect</w:t>
      </w:r>
      <w:r w:rsidR="00FF1309" w:rsidRPr="00E10E19">
        <w:rPr>
          <w:rFonts w:ascii="Palatino Linotype" w:hAnsi="Palatino Linotype"/>
        </w:rPr>
        <w:t xml:space="preserve"> on </w:t>
      </w:r>
      <w:r w:rsidR="000221A2" w:rsidRPr="00E10E19">
        <w:rPr>
          <w:rFonts w:ascii="Palatino Linotype" w:hAnsi="Palatino Linotype"/>
        </w:rPr>
        <w:t xml:space="preserve">the development of </w:t>
      </w:r>
      <w:r w:rsidR="00833908" w:rsidRPr="00E10E19">
        <w:rPr>
          <w:rFonts w:ascii="Palatino Linotype" w:hAnsi="Palatino Linotype"/>
        </w:rPr>
        <w:t>literacy</w:t>
      </w:r>
      <w:r w:rsidR="000221A2" w:rsidRPr="00E10E19">
        <w:rPr>
          <w:rFonts w:ascii="Palatino Linotype" w:hAnsi="Palatino Linotype"/>
        </w:rPr>
        <w:t xml:space="preserve"> </w:t>
      </w:r>
      <w:r w:rsidR="00FF1309" w:rsidRPr="00E10E19">
        <w:rPr>
          <w:rFonts w:ascii="Palatino Linotype" w:hAnsi="Palatino Linotype"/>
        </w:rPr>
        <w:t>skills</w:t>
      </w:r>
      <w:r w:rsidR="000221A2" w:rsidRPr="00E10E19">
        <w:rPr>
          <w:rFonts w:ascii="Palatino Linotype" w:hAnsi="Palatino Linotype"/>
        </w:rPr>
        <w:t xml:space="preserve"> within the SSD group</w:t>
      </w:r>
      <w:r w:rsidR="00833908" w:rsidRPr="00E10E19">
        <w:rPr>
          <w:rFonts w:ascii="Palatino Linotype" w:hAnsi="Palatino Linotype"/>
        </w:rPr>
        <w:t xml:space="preserve">.  </w:t>
      </w:r>
      <w:r w:rsidR="000221A2" w:rsidRPr="00E10E19">
        <w:rPr>
          <w:rFonts w:ascii="Palatino Linotype" w:hAnsi="Palatino Linotype"/>
        </w:rPr>
        <w:t xml:space="preserve">The propensity to make disordered speech errors was </w:t>
      </w:r>
      <w:r w:rsidR="00833908" w:rsidRPr="00E10E19">
        <w:rPr>
          <w:rFonts w:ascii="Palatino Linotype" w:hAnsi="Palatino Linotype"/>
        </w:rPr>
        <w:t>a significant predictor of word reading</w:t>
      </w:r>
      <w:r w:rsidR="002F53E0" w:rsidRPr="00E10E19">
        <w:rPr>
          <w:rFonts w:ascii="Palatino Linotype" w:hAnsi="Palatino Linotype"/>
        </w:rPr>
        <w:t xml:space="preserve"> – but not phoneme awareness -</w:t>
      </w:r>
      <w:r w:rsidR="00833908" w:rsidRPr="00E10E19">
        <w:rPr>
          <w:rFonts w:ascii="Palatino Linotype" w:hAnsi="Palatino Linotype"/>
        </w:rPr>
        <w:t xml:space="preserve"> at </w:t>
      </w:r>
      <w:r w:rsidR="00486FA6" w:rsidRPr="00E10E19">
        <w:rPr>
          <w:rFonts w:ascii="Palatino Linotype" w:hAnsi="Palatino Linotype"/>
        </w:rPr>
        <w:t>age 5½</w:t>
      </w:r>
      <w:r w:rsidR="00833908" w:rsidRPr="00E10E19">
        <w:rPr>
          <w:rFonts w:ascii="Palatino Linotype" w:hAnsi="Palatino Linotype"/>
        </w:rPr>
        <w:t xml:space="preserve">, contrary to </w:t>
      </w:r>
      <w:r w:rsidR="00CD18B9" w:rsidRPr="00E10E19">
        <w:rPr>
          <w:rFonts w:ascii="Palatino Linotype" w:hAnsi="Palatino Linotype"/>
        </w:rPr>
        <w:t xml:space="preserve">previous </w:t>
      </w:r>
      <w:r w:rsidR="00833908" w:rsidRPr="00E10E19">
        <w:rPr>
          <w:rFonts w:ascii="Palatino Linotype" w:hAnsi="Palatino Linotype"/>
        </w:rPr>
        <w:t xml:space="preserve">findings </w:t>
      </w:r>
      <w:r w:rsidR="00CD18B9" w:rsidRPr="00E10E19">
        <w:rPr>
          <w:rFonts w:ascii="Palatino Linotype" w:hAnsi="Palatino Linotype"/>
        </w:rPr>
        <w:t>(</w:t>
      </w:r>
      <w:r w:rsidR="00833908" w:rsidRPr="00E10E19">
        <w:rPr>
          <w:rFonts w:ascii="Palatino Linotype" w:hAnsi="Palatino Linotype"/>
        </w:rPr>
        <w:t>Holm et al</w:t>
      </w:r>
      <w:r w:rsidR="00684DA9" w:rsidRPr="00E10E19">
        <w:rPr>
          <w:rFonts w:ascii="Palatino Linotype" w:hAnsi="Palatino Linotype"/>
        </w:rPr>
        <w:t>.</w:t>
      </w:r>
      <w:r w:rsidR="00CD18B9" w:rsidRPr="00E10E19">
        <w:rPr>
          <w:rFonts w:ascii="Palatino Linotype" w:hAnsi="Palatino Linotype"/>
        </w:rPr>
        <w:t xml:space="preserve">, </w:t>
      </w:r>
      <w:r w:rsidR="00684DA9" w:rsidRPr="00E10E19">
        <w:rPr>
          <w:rFonts w:ascii="Palatino Linotype" w:hAnsi="Palatino Linotype"/>
        </w:rPr>
        <w:t>2008</w:t>
      </w:r>
      <w:r w:rsidR="00CD18B9" w:rsidRPr="00E10E19">
        <w:rPr>
          <w:rFonts w:ascii="Palatino Linotype" w:hAnsi="Palatino Linotype"/>
        </w:rPr>
        <w:t>;</w:t>
      </w:r>
      <w:r w:rsidR="00833908" w:rsidRPr="00E10E19">
        <w:rPr>
          <w:rFonts w:ascii="Palatino Linotype" w:hAnsi="Palatino Linotype"/>
        </w:rPr>
        <w:t xml:space="preserve"> Leitao et al.</w:t>
      </w:r>
      <w:r w:rsidR="00CD18B9" w:rsidRPr="00E10E19">
        <w:rPr>
          <w:rFonts w:ascii="Palatino Linotype" w:hAnsi="Palatino Linotype"/>
        </w:rPr>
        <w:t xml:space="preserve">, </w:t>
      </w:r>
      <w:r w:rsidR="00684DA9" w:rsidRPr="00E10E19">
        <w:rPr>
          <w:rFonts w:ascii="Palatino Linotype" w:hAnsi="Palatino Linotype"/>
        </w:rPr>
        <w:t>1997)</w:t>
      </w:r>
      <w:r w:rsidR="00E10E19">
        <w:rPr>
          <w:rFonts w:ascii="Palatino Linotype" w:hAnsi="Palatino Linotype"/>
        </w:rPr>
        <w:t xml:space="preserve">. </w:t>
      </w:r>
      <w:r w:rsidR="00833908" w:rsidRPr="00E10E19">
        <w:rPr>
          <w:rFonts w:ascii="Palatino Linotype" w:hAnsi="Palatino Linotype"/>
        </w:rPr>
        <w:t xml:space="preserve">Persistence on the other hand predicted </w:t>
      </w:r>
      <w:r w:rsidR="002F53E0" w:rsidRPr="00E10E19">
        <w:rPr>
          <w:rFonts w:ascii="Palatino Linotype" w:hAnsi="Palatino Linotype"/>
        </w:rPr>
        <w:t xml:space="preserve">both </w:t>
      </w:r>
      <w:r w:rsidR="00833908" w:rsidRPr="00E10E19">
        <w:rPr>
          <w:rFonts w:ascii="Palatino Linotype" w:hAnsi="Palatino Linotype"/>
        </w:rPr>
        <w:t>phoneme awareness and word reading</w:t>
      </w:r>
      <w:r w:rsidR="002F53E0" w:rsidRPr="00E10E19">
        <w:rPr>
          <w:rFonts w:ascii="Palatino Linotype" w:hAnsi="Palatino Linotype"/>
        </w:rPr>
        <w:t xml:space="preserve"> at </w:t>
      </w:r>
      <w:r w:rsidR="00486FA6" w:rsidRPr="00E10E19">
        <w:rPr>
          <w:rFonts w:ascii="Palatino Linotype" w:hAnsi="Palatino Linotype"/>
        </w:rPr>
        <w:t>age 5½</w:t>
      </w:r>
      <w:r w:rsidR="002F53E0" w:rsidRPr="00E10E19">
        <w:rPr>
          <w:rFonts w:ascii="Palatino Linotype" w:hAnsi="Palatino Linotype"/>
        </w:rPr>
        <w:t xml:space="preserve">, but not at </w:t>
      </w:r>
      <w:r w:rsidR="00486FA6" w:rsidRPr="00E10E19">
        <w:rPr>
          <w:rFonts w:ascii="Palatino Linotype" w:hAnsi="Palatino Linotype"/>
        </w:rPr>
        <w:t>age 8</w:t>
      </w:r>
      <w:r w:rsidR="00833908" w:rsidRPr="00E10E19">
        <w:rPr>
          <w:rFonts w:ascii="Palatino Linotype" w:hAnsi="Palatino Linotype"/>
        </w:rPr>
        <w:t xml:space="preserve">.   </w:t>
      </w:r>
      <w:r w:rsidR="00FE770F" w:rsidRPr="00E10E19">
        <w:rPr>
          <w:rFonts w:ascii="Palatino Linotype" w:hAnsi="Palatino Linotype"/>
        </w:rPr>
        <w:t>It may be that the effects are short-lived because children are able to draw on compensatory mechanisms, for example in orthographic learning, to aid literacy development despite early deficits (</w:t>
      </w:r>
      <w:r w:rsidR="003473C7" w:rsidRPr="00E10E19">
        <w:rPr>
          <w:rFonts w:ascii="Palatino Linotype" w:hAnsi="Palatino Linotype"/>
        </w:rPr>
        <w:t xml:space="preserve">e.g., </w:t>
      </w:r>
      <w:r w:rsidR="00FE770F" w:rsidRPr="00E10E19">
        <w:rPr>
          <w:rFonts w:ascii="Palatino Linotype" w:hAnsi="Palatino Linotype"/>
        </w:rPr>
        <w:t>Treiman, Pennington, Shriberg &amp; Boada, 2008; Peterson, Pennington &amp; Shriberg, 2009).</w:t>
      </w:r>
      <w:r w:rsidR="00FE770F">
        <w:rPr>
          <w:rFonts w:ascii="Palatino Linotype" w:hAnsi="Palatino Linotype"/>
        </w:rPr>
        <w:t xml:space="preserve">  </w:t>
      </w:r>
    </w:p>
    <w:p w14:paraId="3B646654" w14:textId="283D83CA" w:rsidR="009C05EB" w:rsidRDefault="0058734F" w:rsidP="00E10E19">
      <w:pPr>
        <w:spacing w:line="480" w:lineRule="auto"/>
        <w:ind w:firstLine="720"/>
        <w:jc w:val="both"/>
        <w:rPr>
          <w:rFonts w:ascii="Palatino Linotype" w:hAnsi="Palatino Linotype"/>
        </w:rPr>
      </w:pPr>
      <w:r>
        <w:rPr>
          <w:rFonts w:ascii="Palatino Linotype" w:hAnsi="Palatino Linotype"/>
        </w:rPr>
        <w:t xml:space="preserve">Together our </w:t>
      </w:r>
      <w:r w:rsidR="00784388">
        <w:rPr>
          <w:rFonts w:ascii="Palatino Linotype" w:hAnsi="Palatino Linotype"/>
        </w:rPr>
        <w:t xml:space="preserve">findings </w:t>
      </w:r>
      <w:r w:rsidR="007107E2">
        <w:rPr>
          <w:rFonts w:ascii="Palatino Linotype" w:hAnsi="Palatino Linotype"/>
        </w:rPr>
        <w:t xml:space="preserve">are broadly consistent with those reported in </w:t>
      </w:r>
      <w:r w:rsidR="00486FA6">
        <w:rPr>
          <w:rFonts w:ascii="Palatino Linotype" w:hAnsi="Palatino Linotype"/>
        </w:rPr>
        <w:t>previous studies of speech sound disorder</w:t>
      </w:r>
      <w:r w:rsidR="00B65149" w:rsidRPr="00B65149">
        <w:rPr>
          <w:rFonts w:ascii="Palatino Linotype" w:hAnsi="Palatino Linotype"/>
        </w:rPr>
        <w:t xml:space="preserve"> </w:t>
      </w:r>
      <w:r w:rsidR="00B65149">
        <w:rPr>
          <w:rFonts w:ascii="Palatino Linotype" w:hAnsi="Palatino Linotype"/>
        </w:rPr>
        <w:t>(Bishop &amp; Adams, 1990; Bird, Bishop &amp; Freeman, 1995; Nathan et al., 2004; DeThorne et al., 2006; Lewis et al., 2000</w:t>
      </w:r>
      <w:r w:rsidR="007F369F">
        <w:rPr>
          <w:rFonts w:ascii="Palatino Linotype" w:hAnsi="Palatino Linotype"/>
        </w:rPr>
        <w:t>)</w:t>
      </w:r>
      <w:r w:rsidR="000221A2">
        <w:rPr>
          <w:rFonts w:ascii="Palatino Linotype" w:hAnsi="Palatino Linotype"/>
        </w:rPr>
        <w:t xml:space="preserve">.  However, </w:t>
      </w:r>
      <w:r w:rsidR="00230114">
        <w:rPr>
          <w:rFonts w:ascii="Palatino Linotype" w:hAnsi="Palatino Linotype"/>
        </w:rPr>
        <w:t xml:space="preserve">it is clear that </w:t>
      </w:r>
      <w:r w:rsidR="00486FA6">
        <w:rPr>
          <w:rFonts w:ascii="Palatino Linotype" w:hAnsi="Palatino Linotype"/>
        </w:rPr>
        <w:t xml:space="preserve">the </w:t>
      </w:r>
      <w:r w:rsidR="007F369F">
        <w:rPr>
          <w:rFonts w:ascii="Palatino Linotype" w:hAnsi="Palatino Linotype"/>
        </w:rPr>
        <w:t>impact</w:t>
      </w:r>
      <w:r w:rsidR="00486FA6">
        <w:rPr>
          <w:rFonts w:ascii="Palatino Linotype" w:hAnsi="Palatino Linotype"/>
        </w:rPr>
        <w:t xml:space="preserve"> of speech sound disorder on literacy development</w:t>
      </w:r>
      <w:r w:rsidR="007F369F">
        <w:rPr>
          <w:rFonts w:ascii="Palatino Linotype" w:hAnsi="Palatino Linotype"/>
        </w:rPr>
        <w:t xml:space="preserve"> is relatively short-lived</w:t>
      </w:r>
      <w:r w:rsidR="00055E41">
        <w:rPr>
          <w:rFonts w:ascii="Palatino Linotype" w:hAnsi="Palatino Linotype"/>
        </w:rPr>
        <w:t xml:space="preserve"> (</w:t>
      </w:r>
      <w:r w:rsidR="00684DA9">
        <w:rPr>
          <w:rFonts w:ascii="Palatino Linotype" w:hAnsi="Palatino Linotype"/>
        </w:rPr>
        <w:t>cf</w:t>
      </w:r>
      <w:r w:rsidR="00055E41">
        <w:rPr>
          <w:rFonts w:ascii="Palatino Linotype" w:hAnsi="Palatino Linotype"/>
        </w:rPr>
        <w:t xml:space="preserve">. Leitao &amp; Fletcher, </w:t>
      </w:r>
      <w:r w:rsidR="00684DA9">
        <w:rPr>
          <w:rFonts w:ascii="Palatino Linotype" w:hAnsi="Palatino Linotype"/>
        </w:rPr>
        <w:t>2004</w:t>
      </w:r>
      <w:r w:rsidR="00055E41">
        <w:rPr>
          <w:rFonts w:ascii="Palatino Linotype" w:hAnsi="Palatino Linotype"/>
        </w:rPr>
        <w:t>)</w:t>
      </w:r>
      <w:r w:rsidR="009C05EB">
        <w:rPr>
          <w:rFonts w:ascii="Palatino Linotype" w:hAnsi="Palatino Linotype"/>
        </w:rPr>
        <w:t xml:space="preserve"> and we found no strong evidence that disordered (rather than immature) speech errors are indicative of more serious deficits in phonological awareness</w:t>
      </w:r>
      <w:r w:rsidR="00486FA6">
        <w:rPr>
          <w:rFonts w:ascii="Palatino Linotype" w:hAnsi="Palatino Linotype"/>
        </w:rPr>
        <w:t xml:space="preserve"> and literacy</w:t>
      </w:r>
      <w:r w:rsidR="009C05EB">
        <w:rPr>
          <w:rFonts w:ascii="Palatino Linotype" w:hAnsi="Palatino Linotype"/>
        </w:rPr>
        <w:t xml:space="preserve"> (cf. Holm, Farrier &amp; Dodd, 2008; Leitao et al., 1997; Leitao &amp; Fletcher, 2004</w:t>
      </w:r>
      <w:r w:rsidR="00210742">
        <w:rPr>
          <w:rFonts w:ascii="Palatino Linotype" w:hAnsi="Palatino Linotype"/>
        </w:rPr>
        <w:t>; Preston,</w:t>
      </w:r>
      <w:r w:rsidR="00DB0342">
        <w:rPr>
          <w:rFonts w:ascii="Palatino Linotype" w:hAnsi="Palatino Linotype"/>
        </w:rPr>
        <w:t xml:space="preserve"> Hull</w:t>
      </w:r>
      <w:r w:rsidR="00210742">
        <w:rPr>
          <w:rFonts w:ascii="Palatino Linotype" w:hAnsi="Palatino Linotype"/>
        </w:rPr>
        <w:t xml:space="preserve"> &amp; Edwards, 2013</w:t>
      </w:r>
      <w:r w:rsidR="009C05EB">
        <w:rPr>
          <w:rFonts w:ascii="Palatino Linotype" w:hAnsi="Palatino Linotype"/>
        </w:rPr>
        <w:t>)</w:t>
      </w:r>
      <w:r w:rsidR="007F369F">
        <w:rPr>
          <w:rFonts w:ascii="Palatino Linotype" w:hAnsi="Palatino Linotype"/>
        </w:rPr>
        <w:t xml:space="preserve">. </w:t>
      </w:r>
      <w:r w:rsidR="009C05EB">
        <w:rPr>
          <w:rFonts w:ascii="Palatino Linotype" w:hAnsi="Palatino Linotype"/>
        </w:rPr>
        <w:t xml:space="preserve"> </w:t>
      </w:r>
      <w:r w:rsidR="000221A2">
        <w:rPr>
          <w:rFonts w:ascii="Palatino Linotype" w:hAnsi="Palatino Linotype"/>
        </w:rPr>
        <w:t xml:space="preserve">The situation is different when SSD co-occurs with language impairment </w:t>
      </w:r>
      <w:r w:rsidR="00A52700">
        <w:rPr>
          <w:rFonts w:ascii="Palatino Linotype" w:hAnsi="Palatino Linotype"/>
        </w:rPr>
        <w:t>as it frequently does</w:t>
      </w:r>
      <w:r w:rsidR="00684DA9">
        <w:rPr>
          <w:rFonts w:ascii="Palatino Linotype" w:hAnsi="Palatino Linotype"/>
        </w:rPr>
        <w:t xml:space="preserve">: </w:t>
      </w:r>
      <w:r w:rsidR="000221A2">
        <w:rPr>
          <w:rFonts w:ascii="Palatino Linotype" w:hAnsi="Palatino Linotype"/>
        </w:rPr>
        <w:t>language impairment carries a strong risk of literacy difficulties affecting both word</w:t>
      </w:r>
      <w:r w:rsidR="00486FA6">
        <w:rPr>
          <w:rFonts w:ascii="Palatino Linotype" w:hAnsi="Palatino Linotype"/>
        </w:rPr>
        <w:t xml:space="preserve"> reading</w:t>
      </w:r>
      <w:r w:rsidR="000221A2">
        <w:rPr>
          <w:rFonts w:ascii="Palatino Linotype" w:hAnsi="Palatino Linotype"/>
        </w:rPr>
        <w:t xml:space="preserve"> and reading comprehension skills</w:t>
      </w:r>
      <w:r w:rsidR="00A52700">
        <w:rPr>
          <w:rFonts w:ascii="Palatino Linotype" w:hAnsi="Palatino Linotype"/>
        </w:rPr>
        <w:t xml:space="preserve">. </w:t>
      </w:r>
      <w:r w:rsidR="000221A2">
        <w:rPr>
          <w:rFonts w:ascii="Palatino Linotype" w:hAnsi="Palatino Linotype"/>
        </w:rPr>
        <w:t xml:space="preserve"> </w:t>
      </w:r>
      <w:r w:rsidR="009C05EB">
        <w:rPr>
          <w:rFonts w:ascii="Palatino Linotype" w:hAnsi="Palatino Linotype"/>
        </w:rPr>
        <w:t>Similarly, when SSD persists to school entry when reading instruction begins, it has concurrent effects on phoneme awareness and reading skills, consistent with the critical age hypothesis (Bishop &amp; Adams, 1990).</w:t>
      </w:r>
    </w:p>
    <w:p w14:paraId="620674C4" w14:textId="41553A6C" w:rsidR="00FF1309" w:rsidRDefault="005F0D6C" w:rsidP="00E10E19">
      <w:pPr>
        <w:spacing w:line="480" w:lineRule="auto"/>
        <w:ind w:firstLine="709"/>
        <w:jc w:val="both"/>
        <w:rPr>
          <w:rFonts w:ascii="Palatino Linotype" w:hAnsi="Palatino Linotype"/>
        </w:rPr>
      </w:pPr>
      <w:r w:rsidRPr="00E10E19">
        <w:rPr>
          <w:rFonts w:ascii="Palatino Linotype" w:hAnsi="Palatino Linotype"/>
        </w:rPr>
        <w:t>The present study has limitations. First, although the sample of children with SSD was reasonable in size, the numbers of children in the different subgroups was small limiting statistical power</w:t>
      </w:r>
      <w:r w:rsidR="00210742" w:rsidRPr="00E10E19">
        <w:rPr>
          <w:rFonts w:ascii="Palatino Linotype" w:hAnsi="Palatino Linotype"/>
        </w:rPr>
        <w:t xml:space="preserve"> to detect the differences between these subgroups (for example, </w:t>
      </w:r>
      <w:r w:rsidR="003473C7" w:rsidRPr="00E10E19">
        <w:rPr>
          <w:rFonts w:ascii="Palatino Linotype" w:hAnsi="Palatino Linotype"/>
        </w:rPr>
        <w:t>between</w:t>
      </w:r>
      <w:r w:rsidR="00210742" w:rsidRPr="00E10E19">
        <w:rPr>
          <w:rFonts w:ascii="Palatino Linotype" w:hAnsi="Palatino Linotype"/>
        </w:rPr>
        <w:t xml:space="preserve"> children with SSD </w:t>
      </w:r>
      <w:r w:rsidR="003473C7" w:rsidRPr="00E10E19">
        <w:rPr>
          <w:rFonts w:ascii="Palatino Linotype" w:hAnsi="Palatino Linotype"/>
        </w:rPr>
        <w:t>and LI</w:t>
      </w:r>
      <w:r w:rsidR="00210742" w:rsidRPr="00E10E19">
        <w:rPr>
          <w:rFonts w:ascii="Palatino Linotype" w:hAnsi="Palatino Linotype"/>
        </w:rPr>
        <w:t xml:space="preserve"> </w:t>
      </w:r>
      <w:r w:rsidR="003473C7" w:rsidRPr="00E10E19">
        <w:rPr>
          <w:rFonts w:ascii="Palatino Linotype" w:hAnsi="Palatino Linotype"/>
        </w:rPr>
        <w:t>and children with</w:t>
      </w:r>
      <w:r w:rsidR="00210742" w:rsidRPr="00E10E19">
        <w:rPr>
          <w:rFonts w:ascii="Palatino Linotype" w:hAnsi="Palatino Linotype"/>
        </w:rPr>
        <w:t xml:space="preserve"> SSD </w:t>
      </w:r>
      <w:r w:rsidR="003473C7" w:rsidRPr="00E10E19">
        <w:rPr>
          <w:rFonts w:ascii="Palatino Linotype" w:hAnsi="Palatino Linotype"/>
        </w:rPr>
        <w:t>and</w:t>
      </w:r>
      <w:r w:rsidR="00210742" w:rsidRPr="00E10E19">
        <w:rPr>
          <w:rFonts w:ascii="Palatino Linotype" w:hAnsi="Palatino Linotype"/>
        </w:rPr>
        <w:t xml:space="preserve"> family-risk of dyslexia)</w:t>
      </w:r>
      <w:r w:rsidRPr="00E10E19">
        <w:rPr>
          <w:rFonts w:ascii="Palatino Linotype" w:hAnsi="Palatino Linotype"/>
        </w:rPr>
        <w:t xml:space="preserve">.   Second, the study takes account of the persistence of SSD over time but </w:t>
      </w:r>
      <w:r w:rsidR="00210742" w:rsidRPr="00E10E19">
        <w:rPr>
          <w:rFonts w:ascii="Palatino Linotype" w:hAnsi="Palatino Linotype"/>
        </w:rPr>
        <w:t xml:space="preserve">only considers </w:t>
      </w:r>
      <w:r w:rsidRPr="00E10E19">
        <w:rPr>
          <w:rFonts w:ascii="Palatino Linotype" w:hAnsi="Palatino Linotype"/>
        </w:rPr>
        <w:t>the impact of LI as ascertained at the first time point and not according to persistence</w:t>
      </w:r>
      <w:r w:rsidR="00A52700" w:rsidRPr="00E10E19">
        <w:rPr>
          <w:rFonts w:ascii="Palatino Linotype" w:hAnsi="Palatino Linotype"/>
        </w:rPr>
        <w:t xml:space="preserve"> (see </w:t>
      </w:r>
      <w:r w:rsidR="00684DA9" w:rsidRPr="00E10E19">
        <w:rPr>
          <w:rFonts w:ascii="Palatino Linotype" w:hAnsi="Palatino Linotype"/>
        </w:rPr>
        <w:t xml:space="preserve">Snowling, </w:t>
      </w:r>
      <w:r w:rsidR="00A52700" w:rsidRPr="00E10E19">
        <w:rPr>
          <w:rFonts w:ascii="Palatino Linotype" w:hAnsi="Palatino Linotype"/>
        </w:rPr>
        <w:t>Duff, Nash</w:t>
      </w:r>
      <w:r w:rsidR="00684DA9" w:rsidRPr="00E10E19">
        <w:rPr>
          <w:rFonts w:ascii="Palatino Linotype" w:hAnsi="Palatino Linotype"/>
        </w:rPr>
        <w:t xml:space="preserve"> &amp;</w:t>
      </w:r>
      <w:r w:rsidR="00A52700" w:rsidRPr="00E10E19">
        <w:rPr>
          <w:rFonts w:ascii="Palatino Linotype" w:hAnsi="Palatino Linotype"/>
        </w:rPr>
        <w:t xml:space="preserve"> Hulme, 2016 for discussion</w:t>
      </w:r>
      <w:r w:rsidR="00AD20CE" w:rsidRPr="00E10E19">
        <w:rPr>
          <w:rFonts w:ascii="Palatino Linotype" w:hAnsi="Palatino Linotype"/>
        </w:rPr>
        <w:t xml:space="preserve"> of the persistence of LI in this sample</w:t>
      </w:r>
      <w:r w:rsidR="00A52700" w:rsidRPr="00E10E19">
        <w:rPr>
          <w:rFonts w:ascii="Palatino Linotype" w:hAnsi="Palatino Linotype"/>
        </w:rPr>
        <w:t>)</w:t>
      </w:r>
      <w:r w:rsidRPr="00E10E19">
        <w:rPr>
          <w:rFonts w:ascii="Palatino Linotype" w:hAnsi="Palatino Linotype"/>
        </w:rPr>
        <w:t xml:space="preserve">. Nevertheless the findings add to the growing body of evidence that speech difficulties in preschool confer only a slight risk of </w:t>
      </w:r>
      <w:r w:rsidR="00974578" w:rsidRPr="00E10E19">
        <w:rPr>
          <w:rFonts w:ascii="Palatino Linotype" w:hAnsi="Palatino Linotype"/>
        </w:rPr>
        <w:t xml:space="preserve">poor literacy outcomes </w:t>
      </w:r>
      <w:r w:rsidRPr="00E10E19">
        <w:rPr>
          <w:rFonts w:ascii="Palatino Linotype" w:hAnsi="Palatino Linotype"/>
        </w:rPr>
        <w:t>unless they are accompanied by language difficulties</w:t>
      </w:r>
      <w:r w:rsidR="00AC677F" w:rsidRPr="00E10E19">
        <w:rPr>
          <w:rFonts w:ascii="Palatino Linotype" w:hAnsi="Palatino Linotype"/>
        </w:rPr>
        <w:t xml:space="preserve"> (Pennington &amp; Bishop, 2009</w:t>
      </w:r>
      <w:r w:rsidR="00A52700" w:rsidRPr="00E10E19">
        <w:rPr>
          <w:rFonts w:ascii="Palatino Linotype" w:hAnsi="Palatino Linotype"/>
        </w:rPr>
        <w:t>)</w:t>
      </w:r>
      <w:r w:rsidRPr="00E10E19">
        <w:rPr>
          <w:rFonts w:ascii="Palatino Linotype" w:hAnsi="Palatino Linotype"/>
        </w:rPr>
        <w:t>.</w:t>
      </w:r>
    </w:p>
    <w:p w14:paraId="4754585D" w14:textId="2F67291F" w:rsidR="00FF1309" w:rsidRDefault="009C05EB" w:rsidP="00E10E19">
      <w:pPr>
        <w:spacing w:line="480" w:lineRule="auto"/>
        <w:ind w:firstLine="709"/>
        <w:jc w:val="both"/>
        <w:rPr>
          <w:rFonts w:ascii="Palatino Linotype" w:hAnsi="Palatino Linotype"/>
        </w:rPr>
      </w:pPr>
      <w:r w:rsidRPr="00E10E19">
        <w:rPr>
          <w:rFonts w:ascii="Palatino Linotype" w:hAnsi="Palatino Linotype"/>
        </w:rPr>
        <w:t>T</w:t>
      </w:r>
      <w:r w:rsidR="00FF1309" w:rsidRPr="00E10E19">
        <w:rPr>
          <w:rFonts w:ascii="Palatino Linotype" w:hAnsi="Palatino Linotype"/>
        </w:rPr>
        <w:t xml:space="preserve">ogether, our results </w:t>
      </w:r>
      <w:r w:rsidRPr="00E10E19">
        <w:rPr>
          <w:rFonts w:ascii="Palatino Linotype" w:hAnsi="Palatino Linotype"/>
        </w:rPr>
        <w:t>indicate a relatively minor</w:t>
      </w:r>
      <w:r w:rsidR="00FF1309" w:rsidRPr="00E10E19">
        <w:rPr>
          <w:rFonts w:ascii="Palatino Linotype" w:hAnsi="Palatino Linotype"/>
        </w:rPr>
        <w:t xml:space="preserve"> role for early SSD </w:t>
      </w:r>
      <w:r w:rsidR="00486FA6" w:rsidRPr="00E10E19">
        <w:rPr>
          <w:rFonts w:ascii="Palatino Linotype" w:hAnsi="Palatino Linotype"/>
        </w:rPr>
        <w:t xml:space="preserve">as a risk factor for the development of </w:t>
      </w:r>
      <w:r w:rsidR="00FF1309" w:rsidRPr="00E10E19">
        <w:rPr>
          <w:rFonts w:ascii="Palatino Linotype" w:hAnsi="Palatino Linotype"/>
        </w:rPr>
        <w:t xml:space="preserve">dyslexia, within </w:t>
      </w:r>
      <w:r w:rsidR="002E5EDB" w:rsidRPr="00E10E19">
        <w:rPr>
          <w:rFonts w:ascii="Palatino Linotype" w:hAnsi="Palatino Linotype"/>
        </w:rPr>
        <w:t xml:space="preserve">a </w:t>
      </w:r>
      <w:r w:rsidR="00FF1309" w:rsidRPr="00E10E19">
        <w:rPr>
          <w:rFonts w:ascii="Palatino Linotype" w:hAnsi="Palatino Linotype"/>
        </w:rPr>
        <w:t xml:space="preserve">framework </w:t>
      </w:r>
      <w:r w:rsidR="003473C7" w:rsidRPr="00E10E19">
        <w:rPr>
          <w:rFonts w:ascii="Palatino Linotype" w:hAnsi="Palatino Linotype"/>
        </w:rPr>
        <w:t>which suggests</w:t>
      </w:r>
      <w:r w:rsidR="002E5EDB" w:rsidRPr="00E10E19">
        <w:rPr>
          <w:rFonts w:ascii="Palatino Linotype" w:hAnsi="Palatino Linotype"/>
        </w:rPr>
        <w:t xml:space="preserve"> that</w:t>
      </w:r>
      <w:r w:rsidR="003473C7" w:rsidRPr="00E10E19">
        <w:rPr>
          <w:rFonts w:ascii="Palatino Linotype" w:hAnsi="Palatino Linotype"/>
        </w:rPr>
        <w:t xml:space="preserve"> risk factors accumulate to have a negative effect on literacy development (the </w:t>
      </w:r>
      <w:r w:rsidR="00FF1309" w:rsidRPr="00E10E19">
        <w:rPr>
          <w:rFonts w:ascii="Palatino Linotype" w:hAnsi="Palatino Linotype"/>
        </w:rPr>
        <w:t>multiple-risk model</w:t>
      </w:r>
      <w:r w:rsidR="003473C7" w:rsidRPr="00E10E19">
        <w:rPr>
          <w:rFonts w:ascii="Palatino Linotype" w:hAnsi="Palatino Linotype"/>
        </w:rPr>
        <w:t>)</w:t>
      </w:r>
      <w:r w:rsidR="00FF1309" w:rsidRPr="00E10E19">
        <w:rPr>
          <w:rFonts w:ascii="Palatino Linotype" w:hAnsi="Palatino Linotype"/>
        </w:rPr>
        <w:t xml:space="preserve">.  </w:t>
      </w:r>
      <w:r w:rsidR="004958FA" w:rsidRPr="00E10E19">
        <w:rPr>
          <w:rFonts w:ascii="Palatino Linotype" w:hAnsi="Palatino Linotype"/>
        </w:rPr>
        <w:t>The</w:t>
      </w:r>
      <w:r w:rsidR="00FF1309" w:rsidRPr="00E10E19">
        <w:rPr>
          <w:rFonts w:ascii="Palatino Linotype" w:hAnsi="Palatino Linotype"/>
        </w:rPr>
        <w:t xml:space="preserve"> impact of SSD per se appears to</w:t>
      </w:r>
      <w:r w:rsidR="00066266" w:rsidRPr="00E10E19">
        <w:rPr>
          <w:rFonts w:ascii="Palatino Linotype" w:hAnsi="Palatino Linotype"/>
        </w:rPr>
        <w:t xml:space="preserve"> be primarily on early literacy-related skills, </w:t>
      </w:r>
      <w:r w:rsidR="00FF1309" w:rsidRPr="00E10E19">
        <w:rPr>
          <w:rFonts w:ascii="Palatino Linotype" w:hAnsi="Palatino Linotype"/>
        </w:rPr>
        <w:t xml:space="preserve">with its effects lessening over time; in contrast, the impact of LI </w:t>
      </w:r>
      <w:r w:rsidR="00AE735F" w:rsidRPr="00E10E19">
        <w:rPr>
          <w:rFonts w:ascii="Palatino Linotype" w:hAnsi="Palatino Linotype"/>
        </w:rPr>
        <w:t xml:space="preserve">with which it is frequently comorbid </w:t>
      </w:r>
      <w:r w:rsidR="00FF1309" w:rsidRPr="00E10E19">
        <w:rPr>
          <w:rFonts w:ascii="Palatino Linotype" w:hAnsi="Palatino Linotype"/>
        </w:rPr>
        <w:t xml:space="preserve">increases over time and </w:t>
      </w:r>
      <w:r w:rsidR="004958FA" w:rsidRPr="00E10E19">
        <w:rPr>
          <w:rFonts w:ascii="Palatino Linotype" w:hAnsi="Palatino Linotype"/>
        </w:rPr>
        <w:t xml:space="preserve">affects the development of both word reading and </w:t>
      </w:r>
      <w:r w:rsidR="00FF1309" w:rsidRPr="00E10E19">
        <w:rPr>
          <w:rFonts w:ascii="Palatino Linotype" w:hAnsi="Palatino Linotype"/>
        </w:rPr>
        <w:t>reading comprehension</w:t>
      </w:r>
      <w:r w:rsidR="004958FA" w:rsidRPr="00E10E19">
        <w:rPr>
          <w:rFonts w:ascii="Palatino Linotype" w:hAnsi="Palatino Linotype"/>
        </w:rPr>
        <w:t xml:space="preserve"> skills (Hulme et al., 20</w:t>
      </w:r>
      <w:r w:rsidR="00947950" w:rsidRPr="00E10E19">
        <w:rPr>
          <w:rFonts w:ascii="Palatino Linotype" w:hAnsi="Palatino Linotype"/>
        </w:rPr>
        <w:t>1</w:t>
      </w:r>
      <w:r w:rsidR="004958FA" w:rsidRPr="00E10E19">
        <w:rPr>
          <w:rFonts w:ascii="Palatino Linotype" w:hAnsi="Palatino Linotype"/>
        </w:rPr>
        <w:t>5)</w:t>
      </w:r>
      <w:r w:rsidR="00E10E19">
        <w:rPr>
          <w:rFonts w:ascii="Palatino Linotype" w:hAnsi="Palatino Linotype"/>
        </w:rPr>
        <w:t>.</w:t>
      </w:r>
      <w:r w:rsidR="00FF1309" w:rsidRPr="00E10E19">
        <w:rPr>
          <w:rFonts w:ascii="Palatino Linotype" w:hAnsi="Palatino Linotype"/>
        </w:rPr>
        <w:t xml:space="preserve"> Over and above the effects of speech and language difficulties on literacy development, being at family-risk of dyslexia is an additional </w:t>
      </w:r>
      <w:r w:rsidR="004958FA" w:rsidRPr="00E10E19">
        <w:rPr>
          <w:rFonts w:ascii="Palatino Linotype" w:hAnsi="Palatino Linotype"/>
        </w:rPr>
        <w:t>risk factor for literacy difficulties</w:t>
      </w:r>
      <w:r w:rsidR="00E10E19">
        <w:rPr>
          <w:rFonts w:ascii="Palatino Linotype" w:hAnsi="Palatino Linotype"/>
        </w:rPr>
        <w:t xml:space="preserve">. </w:t>
      </w:r>
      <w:r w:rsidR="00FF1309" w:rsidRPr="00E10E19">
        <w:rPr>
          <w:rFonts w:ascii="Palatino Linotype" w:hAnsi="Palatino Linotype"/>
        </w:rPr>
        <w:t xml:space="preserve">While its </w:t>
      </w:r>
      <w:r w:rsidR="00AE735F" w:rsidRPr="00E10E19">
        <w:rPr>
          <w:rFonts w:ascii="Palatino Linotype" w:hAnsi="Palatino Linotype"/>
        </w:rPr>
        <w:t xml:space="preserve">unique </w:t>
      </w:r>
      <w:r w:rsidR="00FF1309" w:rsidRPr="00E10E19">
        <w:rPr>
          <w:rFonts w:ascii="Palatino Linotype" w:hAnsi="Palatino Linotype"/>
        </w:rPr>
        <w:t>effects are small it is important to consider what migh</w:t>
      </w:r>
      <w:r w:rsidR="00E10E19">
        <w:rPr>
          <w:rFonts w:ascii="Palatino Linotype" w:hAnsi="Palatino Linotype"/>
        </w:rPr>
        <w:t xml:space="preserve">t account for this influence. </w:t>
      </w:r>
      <w:r w:rsidR="00FF1309" w:rsidRPr="00E10E19">
        <w:rPr>
          <w:rFonts w:ascii="Palatino Linotype" w:hAnsi="Palatino Linotype"/>
        </w:rPr>
        <w:t xml:space="preserve">One plausible mechanism is that family-risk is associated with environmental influences that </w:t>
      </w:r>
      <w:r w:rsidR="004958FA" w:rsidRPr="00E10E19">
        <w:rPr>
          <w:rFonts w:ascii="Palatino Linotype" w:hAnsi="Palatino Linotype"/>
        </w:rPr>
        <w:t xml:space="preserve">affect </w:t>
      </w:r>
      <w:r w:rsidR="00FF1309" w:rsidRPr="00E10E19">
        <w:rPr>
          <w:rFonts w:ascii="Palatino Linotype" w:hAnsi="Palatino Linotype"/>
        </w:rPr>
        <w:t>learning</w:t>
      </w:r>
      <w:r w:rsidR="004958FA" w:rsidRPr="00E10E19">
        <w:rPr>
          <w:rFonts w:ascii="Palatino Linotype" w:hAnsi="Palatino Linotype"/>
        </w:rPr>
        <w:t xml:space="preserve"> to read</w:t>
      </w:r>
      <w:r w:rsidR="00FF1309" w:rsidRPr="00E10E19">
        <w:rPr>
          <w:rFonts w:ascii="Palatino Linotype" w:hAnsi="Palatino Linotype"/>
        </w:rPr>
        <w:t xml:space="preserve">; indeed using data from the </w:t>
      </w:r>
      <w:r w:rsidR="004958FA" w:rsidRPr="00E10E19">
        <w:rPr>
          <w:rFonts w:ascii="Palatino Linotype" w:hAnsi="Palatino Linotype"/>
        </w:rPr>
        <w:t xml:space="preserve">current </w:t>
      </w:r>
      <w:r w:rsidR="00FF1309" w:rsidRPr="00E10E19">
        <w:rPr>
          <w:rFonts w:ascii="Palatino Linotype" w:hAnsi="Palatino Linotype"/>
        </w:rPr>
        <w:t>sample, Dilnot</w:t>
      </w:r>
      <w:r w:rsidR="002C6FF4" w:rsidRPr="00E10E19">
        <w:rPr>
          <w:rFonts w:ascii="Palatino Linotype" w:hAnsi="Palatino Linotype"/>
        </w:rPr>
        <w:t xml:space="preserve">, Hamilton, Maughan </w:t>
      </w:r>
      <w:r w:rsidR="005A7841" w:rsidRPr="00E10E19">
        <w:rPr>
          <w:rFonts w:ascii="Palatino Linotype" w:hAnsi="Palatino Linotype"/>
        </w:rPr>
        <w:t>and</w:t>
      </w:r>
      <w:r w:rsidR="002C6FF4" w:rsidRPr="00E10E19">
        <w:rPr>
          <w:rFonts w:ascii="Palatino Linotype" w:hAnsi="Palatino Linotype"/>
        </w:rPr>
        <w:t xml:space="preserve"> Snowling</w:t>
      </w:r>
      <w:r w:rsidR="00FF1309" w:rsidRPr="00E10E19">
        <w:rPr>
          <w:rFonts w:ascii="Palatino Linotype" w:hAnsi="Palatino Linotype"/>
        </w:rPr>
        <w:t xml:space="preserve"> (2016) showed that once socioeconomic and home literacy environmental influences are accounted for, family-risk of dyslexia no longer accounts for significant variance in reading readiness.  Alternatively the influence of family-risk might be attributable to sources of variance, for example in executive and motor skills, not controlled in the present analyses.</w:t>
      </w:r>
      <w:r w:rsidR="00FF1309">
        <w:rPr>
          <w:rFonts w:ascii="Palatino Linotype" w:hAnsi="Palatino Linotype"/>
        </w:rPr>
        <w:t xml:space="preserve">  </w:t>
      </w:r>
    </w:p>
    <w:p w14:paraId="7106E435" w14:textId="7B31EE38" w:rsidR="00A52700" w:rsidRDefault="00A52700" w:rsidP="00E10E19">
      <w:pPr>
        <w:spacing w:line="480" w:lineRule="auto"/>
        <w:rPr>
          <w:rFonts w:ascii="Palatino Linotype" w:hAnsi="Palatino Linotype"/>
          <w:b/>
        </w:rPr>
      </w:pPr>
      <w:r w:rsidRPr="002F7480">
        <w:rPr>
          <w:rFonts w:ascii="Palatino Linotype" w:hAnsi="Palatino Linotype"/>
          <w:b/>
        </w:rPr>
        <w:t>Conclusions</w:t>
      </w:r>
      <w:r>
        <w:rPr>
          <w:rFonts w:ascii="Palatino Linotype" w:hAnsi="Palatino Linotype"/>
          <w:b/>
        </w:rPr>
        <w:t xml:space="preserve"> </w:t>
      </w:r>
    </w:p>
    <w:p w14:paraId="306DB127" w14:textId="5AF54461" w:rsidR="00A52700" w:rsidRPr="008A4E9D" w:rsidRDefault="00A52700" w:rsidP="00A10156">
      <w:pPr>
        <w:spacing w:line="480" w:lineRule="auto"/>
        <w:jc w:val="both"/>
        <w:rPr>
          <w:rFonts w:ascii="Palatino Linotype" w:hAnsi="Palatino Linotype"/>
        </w:rPr>
      </w:pPr>
      <w:r>
        <w:rPr>
          <w:rFonts w:ascii="Palatino Linotype" w:hAnsi="Palatino Linotype"/>
        </w:rPr>
        <w:t xml:space="preserve">Speech difficulties impede communication and are a cause of concern for parents often leading to referral to speech and language services.  </w:t>
      </w:r>
      <w:r w:rsidR="005667DF">
        <w:rPr>
          <w:rFonts w:ascii="Palatino Linotype" w:hAnsi="Palatino Linotype"/>
        </w:rPr>
        <w:t>We have shown that</w:t>
      </w:r>
      <w:r>
        <w:rPr>
          <w:rFonts w:ascii="Palatino Linotype" w:hAnsi="Palatino Linotype"/>
        </w:rPr>
        <w:t xml:space="preserve"> these difficulties </w:t>
      </w:r>
      <w:r w:rsidR="004958FA">
        <w:rPr>
          <w:rFonts w:ascii="Palatino Linotype" w:hAnsi="Palatino Linotype"/>
        </w:rPr>
        <w:t>have weak associations with the development of</w:t>
      </w:r>
      <w:r w:rsidR="005667DF">
        <w:rPr>
          <w:rFonts w:ascii="Palatino Linotype" w:hAnsi="Palatino Linotype"/>
        </w:rPr>
        <w:t xml:space="preserve"> phonological skills in the early years and hence literacy can get off to a slow start.  However, unless there are co-occurring problems </w:t>
      </w:r>
      <w:r w:rsidR="004958FA">
        <w:rPr>
          <w:rFonts w:ascii="Palatino Linotype" w:hAnsi="Palatino Linotype"/>
        </w:rPr>
        <w:t>children with speech sound disorder are not at high risk of reading difficulties</w:t>
      </w:r>
      <w:r w:rsidR="00FC1D98">
        <w:rPr>
          <w:rFonts w:ascii="Palatino Linotype" w:hAnsi="Palatino Linotype"/>
        </w:rPr>
        <w:t>.</w:t>
      </w:r>
      <w:r>
        <w:rPr>
          <w:rFonts w:ascii="Palatino Linotype" w:hAnsi="Palatino Linotype"/>
        </w:rPr>
        <w:t xml:space="preserve">  </w:t>
      </w:r>
      <w:r w:rsidR="00066266">
        <w:rPr>
          <w:rFonts w:ascii="Palatino Linotype" w:hAnsi="Palatino Linotype"/>
        </w:rPr>
        <w:t>A</w:t>
      </w:r>
      <w:r>
        <w:rPr>
          <w:rFonts w:ascii="Palatino Linotype" w:hAnsi="Palatino Linotype"/>
        </w:rPr>
        <w:t xml:space="preserve"> family history of literacy problems (not unlikely given the genetic overlap between SSD and </w:t>
      </w:r>
      <w:r w:rsidR="00CD18B9">
        <w:rPr>
          <w:rFonts w:ascii="Palatino Linotype" w:hAnsi="Palatino Linotype"/>
        </w:rPr>
        <w:t>dyslexia</w:t>
      </w:r>
      <w:r>
        <w:rPr>
          <w:rFonts w:ascii="Palatino Linotype" w:hAnsi="Palatino Linotype"/>
        </w:rPr>
        <w:t xml:space="preserve">) should alert the clinician to the need to monitor the development of </w:t>
      </w:r>
      <w:r w:rsidR="00066266">
        <w:rPr>
          <w:rFonts w:ascii="Palatino Linotype" w:hAnsi="Palatino Linotype"/>
        </w:rPr>
        <w:t>a</w:t>
      </w:r>
      <w:r>
        <w:rPr>
          <w:rFonts w:ascii="Palatino Linotype" w:hAnsi="Palatino Linotype"/>
        </w:rPr>
        <w:t xml:space="preserve"> child </w:t>
      </w:r>
      <w:r w:rsidR="00066266">
        <w:rPr>
          <w:rFonts w:ascii="Palatino Linotype" w:hAnsi="Palatino Linotype"/>
        </w:rPr>
        <w:t xml:space="preserve">with SSD </w:t>
      </w:r>
      <w:r>
        <w:rPr>
          <w:rFonts w:ascii="Palatino Linotype" w:hAnsi="Palatino Linotype"/>
        </w:rPr>
        <w:t>through the early stages of literacy development.  More importantly</w:t>
      </w:r>
      <w:r w:rsidR="002E5EDB">
        <w:rPr>
          <w:rFonts w:ascii="Palatino Linotype" w:hAnsi="Palatino Linotype"/>
        </w:rPr>
        <w:t>,</w:t>
      </w:r>
      <w:r>
        <w:rPr>
          <w:rFonts w:ascii="Palatino Linotype" w:hAnsi="Palatino Linotype"/>
        </w:rPr>
        <w:t xml:space="preserve"> a co-occurring language impairment </w:t>
      </w:r>
      <w:r w:rsidR="005667DF">
        <w:rPr>
          <w:rFonts w:ascii="Palatino Linotype" w:hAnsi="Palatino Linotype"/>
        </w:rPr>
        <w:t xml:space="preserve">will place the child at high risk of difficulties learning to read and appropriate interventions should be </w:t>
      </w:r>
      <w:r w:rsidR="004958FA">
        <w:rPr>
          <w:rFonts w:ascii="Palatino Linotype" w:hAnsi="Palatino Linotype"/>
        </w:rPr>
        <w:t>put in place</w:t>
      </w:r>
      <w:r w:rsidR="005667DF">
        <w:rPr>
          <w:rFonts w:ascii="Palatino Linotype" w:hAnsi="Palatino Linotype"/>
        </w:rPr>
        <w:t>.</w:t>
      </w:r>
    </w:p>
    <w:p w14:paraId="170D0E92" w14:textId="54845625" w:rsidR="00EF2577" w:rsidRDefault="00EF2577">
      <w:pPr>
        <w:rPr>
          <w:rFonts w:ascii="Palatino Linotype" w:hAnsi="Palatino Linotype"/>
        </w:rPr>
      </w:pPr>
      <w:r>
        <w:rPr>
          <w:rFonts w:ascii="Palatino Linotype" w:hAnsi="Palatino Linotype"/>
        </w:rPr>
        <w:br w:type="page"/>
      </w:r>
    </w:p>
    <w:p w14:paraId="64E1F60F" w14:textId="4334B6CF" w:rsidR="00EF2577" w:rsidRPr="00EF2577" w:rsidRDefault="00EF2577">
      <w:pPr>
        <w:rPr>
          <w:rFonts w:ascii="Palatino Linotype" w:hAnsi="Palatino Linotype"/>
          <w:b/>
        </w:rPr>
      </w:pPr>
      <w:r w:rsidRPr="00EF2577">
        <w:rPr>
          <w:rFonts w:ascii="Palatino Linotype" w:hAnsi="Palatino Linotype"/>
          <w:b/>
        </w:rPr>
        <w:t>Supporting information</w:t>
      </w:r>
    </w:p>
    <w:p w14:paraId="4BA99137" w14:textId="74D0C633" w:rsidR="00EF2577" w:rsidRDefault="00EF2577">
      <w:pPr>
        <w:rPr>
          <w:rFonts w:ascii="Palatino Linotype" w:hAnsi="Palatino Linotype"/>
        </w:rPr>
      </w:pPr>
      <w:r>
        <w:rPr>
          <w:rFonts w:ascii="Palatino Linotype" w:hAnsi="Palatino Linotype"/>
        </w:rPr>
        <w:t>Additional Supporting Information may be found in the online version of this article:</w:t>
      </w:r>
    </w:p>
    <w:p w14:paraId="08508DCA" w14:textId="77777777" w:rsidR="00EF2577" w:rsidRDefault="00EF2577" w:rsidP="00EF2577">
      <w:pPr>
        <w:spacing w:line="480" w:lineRule="auto"/>
        <w:rPr>
          <w:rFonts w:ascii="Palatino Linotype" w:hAnsi="Palatino Linotype" w:cs="Times New Roman"/>
          <w:noProof/>
        </w:rPr>
      </w:pPr>
      <w:r w:rsidRPr="00DB0F84">
        <w:rPr>
          <w:rFonts w:ascii="Palatino Linotype" w:hAnsi="Palatino Linotype" w:cs="Times New Roman"/>
          <w:b/>
          <w:noProof/>
        </w:rPr>
        <w:t>Appendix S1</w:t>
      </w:r>
      <w:r w:rsidRPr="00DC48C6">
        <w:rPr>
          <w:rFonts w:ascii="Palatino Linotype" w:hAnsi="Palatino Linotype" w:cs="Times New Roman"/>
          <w:noProof/>
        </w:rPr>
        <w:t xml:space="preserve">. Participant groups at Time 1 of the Wellcome Language &amp; Reading Project sample overall (above), showing how they map onto the SSD groups used for analyses in this paper (below). </w:t>
      </w:r>
    </w:p>
    <w:p w14:paraId="6A082C61" w14:textId="77777777" w:rsidR="009D1C23" w:rsidRPr="003D4F7A" w:rsidRDefault="009D1C23" w:rsidP="009D1C23">
      <w:pPr>
        <w:spacing w:after="0" w:line="480" w:lineRule="auto"/>
        <w:rPr>
          <w:rFonts w:ascii="Times New Roman" w:hAnsi="Times New Roman" w:cs="Times New Roman"/>
          <w:b/>
          <w:sz w:val="24"/>
          <w:szCs w:val="24"/>
        </w:rPr>
      </w:pPr>
      <w:r w:rsidRPr="003D4F7A">
        <w:rPr>
          <w:rFonts w:ascii="Times New Roman" w:hAnsi="Times New Roman" w:cs="Times New Roman"/>
          <w:b/>
          <w:sz w:val="24"/>
          <w:szCs w:val="24"/>
        </w:rPr>
        <w:t>Acknowledgements</w:t>
      </w:r>
    </w:p>
    <w:p w14:paraId="569B6C0A" w14:textId="77777777" w:rsidR="009D1C23" w:rsidRPr="003D4F7A" w:rsidRDefault="009D1C23" w:rsidP="009D1C23">
      <w:pPr>
        <w:spacing w:after="0" w:line="480" w:lineRule="auto"/>
        <w:ind w:firstLine="720"/>
        <w:rPr>
          <w:rFonts w:ascii="Times New Roman" w:hAnsi="Times New Roman" w:cs="Times New Roman"/>
          <w:sz w:val="24"/>
          <w:szCs w:val="24"/>
        </w:rPr>
      </w:pPr>
      <w:r w:rsidRPr="003D4F7A">
        <w:rPr>
          <w:rFonts w:ascii="Times New Roman" w:hAnsi="Times New Roman" w:cs="Times New Roman"/>
          <w:sz w:val="24"/>
          <w:szCs w:val="24"/>
        </w:rPr>
        <w:t>This study was funded by the</w:t>
      </w:r>
      <w:r w:rsidRPr="003D4F7A">
        <w:rPr>
          <w:rFonts w:ascii="Times New Roman" w:eastAsia="TimesNewRomanPSMT" w:hAnsi="Times New Roman" w:cs="Times New Roman"/>
          <w:sz w:val="24"/>
          <w:szCs w:val="24"/>
        </w:rPr>
        <w:t xml:space="preserve"> Wellcome Trust Programme Grant </w:t>
      </w:r>
      <w:r w:rsidRPr="003D4F7A">
        <w:rPr>
          <w:rFonts w:ascii="Times New Roman" w:hAnsi="Times New Roman" w:cs="Times New Roman"/>
          <w:color w:val="000000"/>
          <w:sz w:val="24"/>
          <w:szCs w:val="24"/>
        </w:rPr>
        <w:t>WT082036MA.</w:t>
      </w:r>
      <w:r w:rsidRPr="003D4F7A">
        <w:rPr>
          <w:rFonts w:ascii="Calibri" w:hAnsi="Calibri" w:cs="Calibri"/>
          <w:color w:val="000000"/>
        </w:rPr>
        <w:t xml:space="preserve">  </w:t>
      </w:r>
      <w:r w:rsidRPr="003D4F7A">
        <w:rPr>
          <w:rFonts w:ascii="Times New Roman" w:hAnsi="Times New Roman" w:cs="Times New Roman"/>
          <w:sz w:val="24"/>
          <w:szCs w:val="24"/>
        </w:rPr>
        <w:t>We thank the families who took part and Fiona Duff, Lorna Hamilton, Katy Grainger, Piers Dawes and Sam Hardwick for assistance with data collection. The authors have declared that they have no competing or potential conflicts of interests arising from publication of this study.</w:t>
      </w:r>
    </w:p>
    <w:p w14:paraId="648586A9" w14:textId="77777777" w:rsidR="009D1C23" w:rsidRPr="003D4F7A" w:rsidRDefault="009D1C23" w:rsidP="009D1C23">
      <w:pPr>
        <w:spacing w:after="0" w:line="480" w:lineRule="auto"/>
        <w:rPr>
          <w:rFonts w:ascii="Times New Roman" w:hAnsi="Times New Roman" w:cs="Times New Roman"/>
          <w:b/>
          <w:sz w:val="24"/>
          <w:szCs w:val="24"/>
        </w:rPr>
      </w:pPr>
      <w:r w:rsidRPr="003D4F7A">
        <w:rPr>
          <w:rFonts w:ascii="Times New Roman" w:hAnsi="Times New Roman" w:cs="Times New Roman"/>
          <w:b/>
          <w:sz w:val="24"/>
          <w:szCs w:val="24"/>
        </w:rPr>
        <w:t>Correspondence</w:t>
      </w:r>
    </w:p>
    <w:p w14:paraId="718BEA11" w14:textId="77777777" w:rsidR="009D1C23" w:rsidRPr="003D4F7A" w:rsidRDefault="009D1C23" w:rsidP="009D1C2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Dr Marianna E. Hayiou-Thomas, Department of Psychology, University of York, York, YO10 5DD, </w:t>
      </w:r>
      <w:hyperlink r:id="rId8" w:history="1">
        <w:r w:rsidRPr="00A903FB">
          <w:rPr>
            <w:rStyle w:val="Hyperlink"/>
            <w:rFonts w:ascii="Times New Roman" w:hAnsi="Times New Roman" w:cs="Times New Roman"/>
            <w:sz w:val="24"/>
            <w:szCs w:val="24"/>
          </w:rPr>
          <w:t>emma.hayiou-thomas@york.ac.uk</w:t>
        </w:r>
      </w:hyperlink>
      <w:r>
        <w:rPr>
          <w:rFonts w:ascii="Times New Roman" w:hAnsi="Times New Roman" w:cs="Times New Roman"/>
          <w:sz w:val="24"/>
          <w:szCs w:val="24"/>
        </w:rPr>
        <w:t xml:space="preserve"> </w:t>
      </w:r>
    </w:p>
    <w:p w14:paraId="5FDA2037" w14:textId="77777777" w:rsidR="00EF2577" w:rsidRPr="00EF2577" w:rsidRDefault="00EF2577" w:rsidP="00EF2577">
      <w:pPr>
        <w:spacing w:line="480" w:lineRule="auto"/>
        <w:rPr>
          <w:rFonts w:ascii="Palatino Linotype" w:hAnsi="Palatino Linotype" w:cs="Times New Roman"/>
          <w:b/>
          <w:noProof/>
        </w:rPr>
      </w:pPr>
    </w:p>
    <w:p w14:paraId="45B8E156" w14:textId="77777777" w:rsidR="009D1C23" w:rsidRDefault="009D1C23">
      <w:pPr>
        <w:rPr>
          <w:rFonts w:ascii="Times New Roman" w:hAnsi="Times New Roman" w:cs="Times New Roman"/>
          <w:b/>
        </w:rPr>
      </w:pPr>
      <w:r>
        <w:rPr>
          <w:rFonts w:ascii="Times New Roman" w:hAnsi="Times New Roman" w:cs="Times New Roman"/>
          <w:b/>
        </w:rPr>
        <w:br w:type="page"/>
      </w:r>
    </w:p>
    <w:p w14:paraId="75F804D8" w14:textId="6E338EA7" w:rsidR="00EF2577" w:rsidRPr="00EF2577" w:rsidRDefault="00A85E9D" w:rsidP="00EF2577">
      <w:pPr>
        <w:rPr>
          <w:rFonts w:ascii="Times New Roman" w:hAnsi="Times New Roman" w:cs="Times New Roman"/>
          <w:b/>
        </w:rPr>
      </w:pPr>
      <w:r>
        <w:rPr>
          <w:rFonts w:ascii="Times New Roman" w:hAnsi="Times New Roman" w:cs="Times New Roman"/>
          <w:b/>
        </w:rPr>
        <w:t>KEY POINTS</w:t>
      </w:r>
    </w:p>
    <w:p w14:paraId="46DEC2B6" w14:textId="77777777" w:rsidR="00EF2577" w:rsidRDefault="00EF2577" w:rsidP="00EF2577">
      <w:pPr>
        <w:pStyle w:val="ListParagraph"/>
        <w:numPr>
          <w:ilvl w:val="0"/>
          <w:numId w:val="13"/>
        </w:numPr>
        <w:spacing w:after="200" w:line="480" w:lineRule="auto"/>
        <w:contextualSpacing/>
        <w:rPr>
          <w:rFonts w:ascii="Times New Roman" w:hAnsi="Times New Roman"/>
          <w:sz w:val="24"/>
          <w:szCs w:val="24"/>
        </w:rPr>
      </w:pPr>
      <w:r>
        <w:rPr>
          <w:rFonts w:ascii="Times New Roman" w:hAnsi="Times New Roman"/>
          <w:sz w:val="24"/>
          <w:szCs w:val="24"/>
        </w:rPr>
        <w:t>Speech difficulties which persist to the point of school-entry are associated with weak emergent literacy skills at the age of 5½, but these effects are no longer apparent at 8 years.</w:t>
      </w:r>
    </w:p>
    <w:p w14:paraId="6AE09DB3" w14:textId="77777777" w:rsidR="00EF2577" w:rsidRDefault="00EF2577" w:rsidP="00EF2577">
      <w:pPr>
        <w:pStyle w:val="ListParagraph"/>
        <w:numPr>
          <w:ilvl w:val="0"/>
          <w:numId w:val="13"/>
        </w:numPr>
        <w:spacing w:after="200" w:line="480" w:lineRule="auto"/>
        <w:contextualSpacing/>
        <w:rPr>
          <w:rFonts w:ascii="Times New Roman" w:hAnsi="Times New Roman"/>
          <w:sz w:val="24"/>
          <w:szCs w:val="24"/>
        </w:rPr>
      </w:pPr>
      <w:r>
        <w:rPr>
          <w:rFonts w:ascii="Times New Roman" w:hAnsi="Times New Roman"/>
          <w:sz w:val="24"/>
          <w:szCs w:val="24"/>
        </w:rPr>
        <w:t>Disordered speech errors are associated with poorer word reading at age 5½, but these effects are also short-lived and not apparent at age 8.</w:t>
      </w:r>
    </w:p>
    <w:p w14:paraId="460ED736" w14:textId="77777777" w:rsidR="00EF2577" w:rsidRDefault="00EF2577" w:rsidP="00EF2577">
      <w:pPr>
        <w:pStyle w:val="ListParagraph"/>
        <w:numPr>
          <w:ilvl w:val="0"/>
          <w:numId w:val="13"/>
        </w:numPr>
        <w:spacing w:after="200" w:line="480" w:lineRule="auto"/>
        <w:contextualSpacing/>
        <w:rPr>
          <w:rFonts w:ascii="Times New Roman" w:hAnsi="Times New Roman"/>
          <w:sz w:val="24"/>
          <w:szCs w:val="24"/>
        </w:rPr>
      </w:pPr>
      <w:r>
        <w:rPr>
          <w:rFonts w:ascii="Times New Roman" w:hAnsi="Times New Roman"/>
          <w:sz w:val="24"/>
          <w:szCs w:val="24"/>
        </w:rPr>
        <w:t>Early language impairment which co-occurs with speech difficulties is predictive of poor word-level literacy at both 5½ and 8, and of reading comprehension at age 8.</w:t>
      </w:r>
    </w:p>
    <w:p w14:paraId="4262FDC5" w14:textId="77777777" w:rsidR="00EF2577" w:rsidRPr="00FC1D98" w:rsidRDefault="00EF2577" w:rsidP="00EF2577">
      <w:pPr>
        <w:pStyle w:val="ListParagraph"/>
        <w:numPr>
          <w:ilvl w:val="0"/>
          <w:numId w:val="13"/>
        </w:numPr>
        <w:spacing w:line="480" w:lineRule="auto"/>
        <w:rPr>
          <w:rFonts w:ascii="Palatino Linotype" w:hAnsi="Palatino Linotype"/>
        </w:rPr>
      </w:pPr>
      <w:r>
        <w:rPr>
          <w:rFonts w:ascii="Palatino Linotype" w:hAnsi="Palatino Linotype"/>
        </w:rPr>
        <w:t>H</w:t>
      </w:r>
      <w:r w:rsidRPr="00FC1D98">
        <w:rPr>
          <w:rFonts w:ascii="Palatino Linotype" w:hAnsi="Palatino Linotype"/>
        </w:rPr>
        <w:t xml:space="preserve">aving a family-risk of dyslexia </w:t>
      </w:r>
      <w:r>
        <w:rPr>
          <w:rFonts w:ascii="Palatino Linotype" w:hAnsi="Palatino Linotype"/>
        </w:rPr>
        <w:t xml:space="preserve">has a small but significant effect on literacy at both ages, above and beyond the effects of speech and language.  </w:t>
      </w:r>
    </w:p>
    <w:p w14:paraId="6AAE4F85" w14:textId="77777777" w:rsidR="00EF2577" w:rsidRPr="00AB670F" w:rsidRDefault="00EF2577" w:rsidP="00EF2577">
      <w:pPr>
        <w:pStyle w:val="ListParagraph"/>
        <w:rPr>
          <w:highlight w:val="yellow"/>
        </w:rPr>
      </w:pPr>
    </w:p>
    <w:p w14:paraId="5855F625" w14:textId="77777777" w:rsidR="00EF2577" w:rsidRDefault="00EF2577">
      <w:pPr>
        <w:rPr>
          <w:rFonts w:ascii="Palatino Linotype" w:hAnsi="Palatino Linotype"/>
        </w:rPr>
      </w:pPr>
    </w:p>
    <w:p w14:paraId="73E9A168" w14:textId="77777777" w:rsidR="00FF1309" w:rsidRDefault="00FF1309" w:rsidP="008A4E9D">
      <w:pPr>
        <w:spacing w:line="480" w:lineRule="auto"/>
        <w:ind w:firstLine="709"/>
        <w:rPr>
          <w:rFonts w:ascii="Palatino Linotype" w:hAnsi="Palatino Linotype"/>
        </w:rPr>
      </w:pPr>
    </w:p>
    <w:p w14:paraId="2A017DE3" w14:textId="77777777" w:rsidR="00EF2577" w:rsidRDefault="00EF2577">
      <w:pPr>
        <w:rPr>
          <w:rFonts w:ascii="Palatino Linotype" w:hAnsi="Palatino Linotype"/>
        </w:rPr>
        <w:sectPr w:rsidR="00EF2577" w:rsidSect="008A4E9D">
          <w:pgSz w:w="11906" w:h="16838"/>
          <w:pgMar w:top="1440" w:right="1440" w:bottom="1440" w:left="1440" w:header="709" w:footer="709" w:gutter="0"/>
          <w:cols w:space="708"/>
          <w:docGrid w:linePitch="360"/>
        </w:sectPr>
      </w:pPr>
    </w:p>
    <w:p w14:paraId="4F3760B0" w14:textId="577F04E3" w:rsidR="0039031E" w:rsidRDefault="0039031E" w:rsidP="008A4E9D">
      <w:pPr>
        <w:spacing w:line="480" w:lineRule="auto"/>
        <w:rPr>
          <w:rFonts w:ascii="Palatino Linotype" w:hAnsi="Palatino Linotype"/>
        </w:rPr>
      </w:pPr>
      <w:r>
        <w:rPr>
          <w:rFonts w:ascii="Palatino Linotype" w:hAnsi="Palatino Linotype"/>
        </w:rPr>
        <w:t xml:space="preserve">Table </w:t>
      </w:r>
      <w:r w:rsidR="00DF70DE">
        <w:rPr>
          <w:rFonts w:ascii="Palatino Linotype" w:hAnsi="Palatino Linotype"/>
        </w:rPr>
        <w:t>1 Sample Descriptives. The SSD group is shown as an aggregated group, and subgroups according to co-occurring LI and FR status.</w:t>
      </w:r>
    </w:p>
    <w:tbl>
      <w:tblPr>
        <w:tblStyle w:val="TableGrid"/>
        <w:tblW w:w="13948" w:type="dxa"/>
        <w:tblLook w:val="04A0" w:firstRow="1" w:lastRow="0" w:firstColumn="1" w:lastColumn="0" w:noHBand="0" w:noVBand="1"/>
      </w:tblPr>
      <w:tblGrid>
        <w:gridCol w:w="3256"/>
        <w:gridCol w:w="1559"/>
        <w:gridCol w:w="1997"/>
        <w:gridCol w:w="1807"/>
        <w:gridCol w:w="1807"/>
        <w:gridCol w:w="1807"/>
        <w:gridCol w:w="1715"/>
      </w:tblGrid>
      <w:tr w:rsidR="0008258B" w14:paraId="017A6528" w14:textId="05130C29" w:rsidTr="0062052C">
        <w:tc>
          <w:tcPr>
            <w:tcW w:w="3256" w:type="dxa"/>
          </w:tcPr>
          <w:p w14:paraId="1A852BC3" w14:textId="7E70420E" w:rsidR="0008258B" w:rsidRDefault="0008258B" w:rsidP="008A4E9D">
            <w:pPr>
              <w:spacing w:line="480" w:lineRule="auto"/>
              <w:rPr>
                <w:rFonts w:ascii="Palatino Linotype" w:hAnsi="Palatino Linotype"/>
              </w:rPr>
            </w:pPr>
          </w:p>
        </w:tc>
        <w:tc>
          <w:tcPr>
            <w:tcW w:w="1559" w:type="dxa"/>
          </w:tcPr>
          <w:p w14:paraId="6B8C8AB0" w14:textId="77777777" w:rsidR="0008258B" w:rsidRDefault="0008258B" w:rsidP="008A4E9D">
            <w:pPr>
              <w:spacing w:line="480" w:lineRule="auto"/>
              <w:rPr>
                <w:rFonts w:ascii="Palatino Linotype" w:hAnsi="Palatino Linotype"/>
                <w:b/>
              </w:rPr>
            </w:pPr>
            <w:r>
              <w:rPr>
                <w:rFonts w:ascii="Palatino Linotype" w:hAnsi="Palatino Linotype"/>
                <w:b/>
              </w:rPr>
              <w:t xml:space="preserve">Control </w:t>
            </w:r>
            <w:r w:rsidRPr="004B54AF">
              <w:rPr>
                <w:rFonts w:ascii="Palatino Linotype" w:hAnsi="Palatino Linotype"/>
                <w:b/>
              </w:rPr>
              <w:t xml:space="preserve"> </w:t>
            </w:r>
          </w:p>
          <w:p w14:paraId="01EC99EE" w14:textId="09B167EB" w:rsidR="0008258B" w:rsidRPr="004B54AF" w:rsidRDefault="0008258B" w:rsidP="008A4E9D">
            <w:pPr>
              <w:spacing w:line="480" w:lineRule="auto"/>
              <w:rPr>
                <w:rFonts w:ascii="Palatino Linotype" w:hAnsi="Palatino Linotype"/>
                <w:b/>
              </w:rPr>
            </w:pPr>
            <w:r w:rsidRPr="004B54AF">
              <w:rPr>
                <w:rFonts w:ascii="Palatino Linotype" w:hAnsi="Palatino Linotype"/>
                <w:b/>
              </w:rPr>
              <w:t>(N = 68)</w:t>
            </w:r>
          </w:p>
        </w:tc>
        <w:tc>
          <w:tcPr>
            <w:tcW w:w="1997" w:type="dxa"/>
            <w:tcBorders>
              <w:right w:val="double" w:sz="4" w:space="0" w:color="auto"/>
            </w:tcBorders>
          </w:tcPr>
          <w:p w14:paraId="75EC5E16" w14:textId="332C7090" w:rsidR="0008258B" w:rsidRDefault="00066BE8" w:rsidP="008A4E9D">
            <w:pPr>
              <w:spacing w:line="480" w:lineRule="auto"/>
              <w:rPr>
                <w:rFonts w:ascii="Palatino Linotype" w:hAnsi="Palatino Linotype"/>
                <w:b/>
              </w:rPr>
            </w:pPr>
            <w:r>
              <w:rPr>
                <w:rFonts w:ascii="Palatino Linotype" w:hAnsi="Palatino Linotype"/>
                <w:b/>
              </w:rPr>
              <w:t xml:space="preserve">Total </w:t>
            </w:r>
            <w:r w:rsidR="0008258B" w:rsidRPr="004B54AF">
              <w:rPr>
                <w:rFonts w:ascii="Palatino Linotype" w:hAnsi="Palatino Linotype"/>
                <w:b/>
              </w:rPr>
              <w:t xml:space="preserve">SSD group </w:t>
            </w:r>
          </w:p>
          <w:p w14:paraId="6CD9FAE0" w14:textId="07E26948" w:rsidR="0008258B" w:rsidRPr="004B54AF" w:rsidRDefault="0008258B" w:rsidP="008A4E9D">
            <w:pPr>
              <w:spacing w:line="480" w:lineRule="auto"/>
              <w:rPr>
                <w:rFonts w:ascii="Palatino Linotype" w:hAnsi="Palatino Linotype"/>
                <w:b/>
              </w:rPr>
            </w:pPr>
            <w:r w:rsidRPr="004B54AF">
              <w:rPr>
                <w:rFonts w:ascii="Palatino Linotype" w:hAnsi="Palatino Linotype"/>
                <w:b/>
              </w:rPr>
              <w:t>(N = 68)</w:t>
            </w:r>
          </w:p>
        </w:tc>
        <w:tc>
          <w:tcPr>
            <w:tcW w:w="1807" w:type="dxa"/>
            <w:tcBorders>
              <w:left w:val="double" w:sz="4" w:space="0" w:color="auto"/>
            </w:tcBorders>
          </w:tcPr>
          <w:p w14:paraId="1E4F4B6E" w14:textId="77777777" w:rsidR="0008258B" w:rsidRDefault="0008258B" w:rsidP="008A4E9D">
            <w:pPr>
              <w:spacing w:line="480" w:lineRule="auto"/>
              <w:rPr>
                <w:rFonts w:ascii="Palatino Linotype" w:hAnsi="Palatino Linotype"/>
                <w:b/>
              </w:rPr>
            </w:pPr>
            <w:r>
              <w:rPr>
                <w:rFonts w:ascii="Palatino Linotype" w:hAnsi="Palatino Linotype"/>
                <w:b/>
              </w:rPr>
              <w:t>SSD only</w:t>
            </w:r>
          </w:p>
          <w:p w14:paraId="4A801144" w14:textId="630D7CBF" w:rsidR="0008258B" w:rsidRPr="004B54AF" w:rsidRDefault="0008258B" w:rsidP="008A4E9D">
            <w:pPr>
              <w:spacing w:line="480" w:lineRule="auto"/>
              <w:rPr>
                <w:rFonts w:ascii="Palatino Linotype" w:hAnsi="Palatino Linotype"/>
                <w:b/>
              </w:rPr>
            </w:pPr>
            <w:r>
              <w:rPr>
                <w:rFonts w:ascii="Palatino Linotype" w:hAnsi="Palatino Linotype"/>
                <w:b/>
              </w:rPr>
              <w:t>(N = 13)</w:t>
            </w:r>
          </w:p>
        </w:tc>
        <w:tc>
          <w:tcPr>
            <w:tcW w:w="1807" w:type="dxa"/>
          </w:tcPr>
          <w:p w14:paraId="1E7022FC" w14:textId="77777777" w:rsidR="00776201" w:rsidRDefault="0008258B" w:rsidP="008A4E9D">
            <w:pPr>
              <w:spacing w:line="480" w:lineRule="auto"/>
              <w:rPr>
                <w:rFonts w:ascii="Palatino Linotype" w:hAnsi="Palatino Linotype"/>
                <w:b/>
              </w:rPr>
            </w:pPr>
            <w:r>
              <w:rPr>
                <w:rFonts w:ascii="Palatino Linotype" w:hAnsi="Palatino Linotype"/>
                <w:b/>
              </w:rPr>
              <w:t>SSD + FR</w:t>
            </w:r>
            <w:r w:rsidR="00776201">
              <w:rPr>
                <w:rFonts w:ascii="Palatino Linotype" w:hAnsi="Palatino Linotype"/>
                <w:b/>
              </w:rPr>
              <w:t xml:space="preserve"> </w:t>
            </w:r>
          </w:p>
          <w:p w14:paraId="582ACE1A" w14:textId="4EFAF224" w:rsidR="0008258B" w:rsidRPr="004B54AF" w:rsidRDefault="00776201" w:rsidP="008A4E9D">
            <w:pPr>
              <w:spacing w:line="480" w:lineRule="auto"/>
              <w:rPr>
                <w:rFonts w:ascii="Palatino Linotype" w:hAnsi="Palatino Linotype"/>
                <w:b/>
              </w:rPr>
            </w:pPr>
            <w:r>
              <w:rPr>
                <w:rFonts w:ascii="Palatino Linotype" w:hAnsi="Palatino Linotype"/>
                <w:b/>
              </w:rPr>
              <w:t>(N = 16)</w:t>
            </w:r>
          </w:p>
        </w:tc>
        <w:tc>
          <w:tcPr>
            <w:tcW w:w="1807" w:type="dxa"/>
          </w:tcPr>
          <w:p w14:paraId="0C282BB1" w14:textId="77777777" w:rsidR="0008258B" w:rsidRDefault="0008258B" w:rsidP="008A4E9D">
            <w:pPr>
              <w:spacing w:line="480" w:lineRule="auto"/>
              <w:rPr>
                <w:rFonts w:ascii="Palatino Linotype" w:hAnsi="Palatino Linotype"/>
                <w:b/>
              </w:rPr>
            </w:pPr>
            <w:r>
              <w:rPr>
                <w:rFonts w:ascii="Palatino Linotype" w:hAnsi="Palatino Linotype"/>
                <w:b/>
              </w:rPr>
              <w:t>SSD + LI</w:t>
            </w:r>
          </w:p>
          <w:p w14:paraId="72558C2B" w14:textId="0225832E" w:rsidR="00776201" w:rsidRPr="004B54AF" w:rsidRDefault="00776201" w:rsidP="00066BE8">
            <w:pPr>
              <w:spacing w:line="480" w:lineRule="auto"/>
              <w:rPr>
                <w:rFonts w:ascii="Palatino Linotype" w:hAnsi="Palatino Linotype"/>
                <w:b/>
              </w:rPr>
            </w:pPr>
            <w:r>
              <w:rPr>
                <w:rFonts w:ascii="Palatino Linotype" w:hAnsi="Palatino Linotype"/>
                <w:b/>
              </w:rPr>
              <w:t>(N = 2</w:t>
            </w:r>
            <w:r w:rsidR="00066BE8">
              <w:rPr>
                <w:rFonts w:ascii="Palatino Linotype" w:hAnsi="Palatino Linotype"/>
                <w:b/>
              </w:rPr>
              <w:t>2</w:t>
            </w:r>
            <w:r>
              <w:rPr>
                <w:rFonts w:ascii="Palatino Linotype" w:hAnsi="Palatino Linotype"/>
                <w:b/>
              </w:rPr>
              <w:t>)</w:t>
            </w:r>
          </w:p>
        </w:tc>
        <w:tc>
          <w:tcPr>
            <w:tcW w:w="1715" w:type="dxa"/>
          </w:tcPr>
          <w:p w14:paraId="16147A58" w14:textId="77777777" w:rsidR="0008258B" w:rsidRDefault="0008258B" w:rsidP="008A4E9D">
            <w:pPr>
              <w:spacing w:line="480" w:lineRule="auto"/>
              <w:rPr>
                <w:rFonts w:ascii="Palatino Linotype" w:hAnsi="Palatino Linotype"/>
                <w:b/>
              </w:rPr>
            </w:pPr>
            <w:r>
              <w:rPr>
                <w:rFonts w:ascii="Palatino Linotype" w:hAnsi="Palatino Linotype"/>
                <w:b/>
              </w:rPr>
              <w:t>SSD + LI + FR</w:t>
            </w:r>
          </w:p>
          <w:p w14:paraId="46C628AE" w14:textId="20B2EA52" w:rsidR="00776201" w:rsidRDefault="00776201" w:rsidP="00066BE8">
            <w:pPr>
              <w:spacing w:line="480" w:lineRule="auto"/>
              <w:rPr>
                <w:rFonts w:ascii="Palatino Linotype" w:hAnsi="Palatino Linotype"/>
                <w:b/>
              </w:rPr>
            </w:pPr>
            <w:r>
              <w:rPr>
                <w:rFonts w:ascii="Palatino Linotype" w:hAnsi="Palatino Linotype"/>
                <w:b/>
              </w:rPr>
              <w:t>(N = 1</w:t>
            </w:r>
            <w:r w:rsidR="00066BE8">
              <w:rPr>
                <w:rFonts w:ascii="Palatino Linotype" w:hAnsi="Palatino Linotype"/>
                <w:b/>
              </w:rPr>
              <w:t>7</w:t>
            </w:r>
            <w:r>
              <w:rPr>
                <w:rFonts w:ascii="Palatino Linotype" w:hAnsi="Palatino Linotype"/>
                <w:b/>
              </w:rPr>
              <w:t>)</w:t>
            </w:r>
          </w:p>
        </w:tc>
      </w:tr>
      <w:tr w:rsidR="0008258B" w14:paraId="348A1BF1" w14:textId="3B13865C" w:rsidTr="0062052C">
        <w:tc>
          <w:tcPr>
            <w:tcW w:w="3256" w:type="dxa"/>
          </w:tcPr>
          <w:p w14:paraId="4F876ACD" w14:textId="068F1DF8" w:rsidR="0008258B" w:rsidRPr="004B54AF" w:rsidRDefault="0008258B" w:rsidP="008A4E9D">
            <w:pPr>
              <w:spacing w:line="480" w:lineRule="auto"/>
              <w:rPr>
                <w:rFonts w:ascii="Palatino Linotype" w:hAnsi="Palatino Linotype"/>
                <w:b/>
              </w:rPr>
            </w:pPr>
            <w:r w:rsidRPr="004B54AF">
              <w:rPr>
                <w:rFonts w:ascii="Palatino Linotype" w:hAnsi="Palatino Linotype"/>
                <w:b/>
              </w:rPr>
              <w:t>Age (years;</w:t>
            </w:r>
            <w:r>
              <w:rPr>
                <w:rFonts w:ascii="Palatino Linotype" w:hAnsi="Palatino Linotype"/>
                <w:b/>
              </w:rPr>
              <w:t xml:space="preserve"> </w:t>
            </w:r>
            <w:r w:rsidRPr="004B54AF">
              <w:rPr>
                <w:rFonts w:ascii="Palatino Linotype" w:hAnsi="Palatino Linotype"/>
                <w:b/>
              </w:rPr>
              <w:t>months)</w:t>
            </w:r>
          </w:p>
        </w:tc>
        <w:tc>
          <w:tcPr>
            <w:tcW w:w="1559" w:type="dxa"/>
          </w:tcPr>
          <w:p w14:paraId="191907F4" w14:textId="3B7D6658" w:rsidR="0008258B" w:rsidRDefault="0008258B" w:rsidP="008A4E9D">
            <w:pPr>
              <w:spacing w:line="480" w:lineRule="auto"/>
              <w:rPr>
                <w:rFonts w:ascii="Palatino Linotype" w:hAnsi="Palatino Linotype"/>
              </w:rPr>
            </w:pPr>
            <w:r>
              <w:rPr>
                <w:rFonts w:ascii="Palatino Linotype" w:hAnsi="Palatino Linotype"/>
              </w:rPr>
              <w:t>3;9 (3.23)</w:t>
            </w:r>
          </w:p>
        </w:tc>
        <w:tc>
          <w:tcPr>
            <w:tcW w:w="1997" w:type="dxa"/>
            <w:tcBorders>
              <w:right w:val="double" w:sz="4" w:space="0" w:color="auto"/>
            </w:tcBorders>
          </w:tcPr>
          <w:p w14:paraId="7052D389" w14:textId="54CC2119" w:rsidR="0008258B" w:rsidRDefault="0008258B" w:rsidP="008A4E9D">
            <w:pPr>
              <w:spacing w:line="480" w:lineRule="auto"/>
              <w:rPr>
                <w:rFonts w:ascii="Palatino Linotype" w:hAnsi="Palatino Linotype"/>
              </w:rPr>
            </w:pPr>
            <w:r>
              <w:rPr>
                <w:rFonts w:ascii="Palatino Linotype" w:hAnsi="Palatino Linotype"/>
              </w:rPr>
              <w:t>3;8 (3.13)</w:t>
            </w:r>
          </w:p>
        </w:tc>
        <w:tc>
          <w:tcPr>
            <w:tcW w:w="1807" w:type="dxa"/>
            <w:tcBorders>
              <w:left w:val="double" w:sz="4" w:space="0" w:color="auto"/>
            </w:tcBorders>
          </w:tcPr>
          <w:p w14:paraId="1A83853C" w14:textId="604CE552" w:rsidR="0008258B" w:rsidRDefault="00776201" w:rsidP="008A4E9D">
            <w:pPr>
              <w:spacing w:line="480" w:lineRule="auto"/>
              <w:rPr>
                <w:rFonts w:ascii="Palatino Linotype" w:hAnsi="Palatino Linotype"/>
              </w:rPr>
            </w:pPr>
            <w:r>
              <w:rPr>
                <w:rFonts w:ascii="Palatino Linotype" w:hAnsi="Palatino Linotype"/>
              </w:rPr>
              <w:t>3;9 (3.72)</w:t>
            </w:r>
          </w:p>
        </w:tc>
        <w:tc>
          <w:tcPr>
            <w:tcW w:w="1807" w:type="dxa"/>
          </w:tcPr>
          <w:p w14:paraId="73B2E238" w14:textId="39A5EA87" w:rsidR="0008258B" w:rsidRDefault="00066BE8" w:rsidP="008A4E9D">
            <w:pPr>
              <w:spacing w:line="480" w:lineRule="auto"/>
              <w:rPr>
                <w:rFonts w:ascii="Palatino Linotype" w:hAnsi="Palatino Linotype"/>
              </w:rPr>
            </w:pPr>
            <w:r>
              <w:rPr>
                <w:rFonts w:ascii="Palatino Linotype" w:hAnsi="Palatino Linotype"/>
              </w:rPr>
              <w:t>3;8 (2.58)</w:t>
            </w:r>
          </w:p>
        </w:tc>
        <w:tc>
          <w:tcPr>
            <w:tcW w:w="1807" w:type="dxa"/>
          </w:tcPr>
          <w:p w14:paraId="367DBE55" w14:textId="2D2302BA" w:rsidR="0008258B" w:rsidRDefault="00066BE8" w:rsidP="008A4E9D">
            <w:pPr>
              <w:spacing w:line="480" w:lineRule="auto"/>
              <w:rPr>
                <w:rFonts w:ascii="Palatino Linotype" w:hAnsi="Palatino Linotype"/>
              </w:rPr>
            </w:pPr>
            <w:r>
              <w:rPr>
                <w:rFonts w:ascii="Palatino Linotype" w:hAnsi="Palatino Linotype"/>
              </w:rPr>
              <w:t>3;7 (2.13)</w:t>
            </w:r>
          </w:p>
        </w:tc>
        <w:tc>
          <w:tcPr>
            <w:tcW w:w="1715" w:type="dxa"/>
          </w:tcPr>
          <w:p w14:paraId="77164784" w14:textId="4AE719BB" w:rsidR="0008258B" w:rsidRDefault="00066BE8" w:rsidP="008A4E9D">
            <w:pPr>
              <w:spacing w:line="480" w:lineRule="auto"/>
              <w:rPr>
                <w:rFonts w:ascii="Palatino Linotype" w:hAnsi="Palatino Linotype"/>
              </w:rPr>
            </w:pPr>
            <w:r>
              <w:rPr>
                <w:rFonts w:ascii="Palatino Linotype" w:hAnsi="Palatino Linotype"/>
              </w:rPr>
              <w:t>3;9 (4.05)</w:t>
            </w:r>
          </w:p>
        </w:tc>
      </w:tr>
      <w:tr w:rsidR="0008258B" w14:paraId="41617776" w14:textId="2CC299D3" w:rsidTr="0062052C">
        <w:tc>
          <w:tcPr>
            <w:tcW w:w="3256" w:type="dxa"/>
          </w:tcPr>
          <w:p w14:paraId="315EB90E" w14:textId="50335BD8" w:rsidR="0008258B" w:rsidRPr="004B54AF" w:rsidRDefault="0008258B" w:rsidP="008A4E9D">
            <w:pPr>
              <w:spacing w:line="480" w:lineRule="auto"/>
              <w:rPr>
                <w:rFonts w:ascii="Palatino Linotype" w:hAnsi="Palatino Linotype"/>
                <w:b/>
              </w:rPr>
            </w:pPr>
            <w:r w:rsidRPr="004B54AF">
              <w:rPr>
                <w:rFonts w:ascii="Palatino Linotype" w:hAnsi="Palatino Linotype"/>
                <w:b/>
              </w:rPr>
              <w:t>Gender (% male)</w:t>
            </w:r>
          </w:p>
        </w:tc>
        <w:tc>
          <w:tcPr>
            <w:tcW w:w="1559" w:type="dxa"/>
          </w:tcPr>
          <w:p w14:paraId="19EE1306" w14:textId="0F046C0B" w:rsidR="0008258B" w:rsidRDefault="0008258B" w:rsidP="008A4E9D">
            <w:pPr>
              <w:spacing w:line="480" w:lineRule="auto"/>
              <w:rPr>
                <w:rFonts w:ascii="Palatino Linotype" w:hAnsi="Palatino Linotype"/>
              </w:rPr>
            </w:pPr>
            <w:r>
              <w:rPr>
                <w:rFonts w:ascii="Palatino Linotype" w:hAnsi="Palatino Linotype"/>
              </w:rPr>
              <w:t>48</w:t>
            </w:r>
          </w:p>
        </w:tc>
        <w:tc>
          <w:tcPr>
            <w:tcW w:w="1997" w:type="dxa"/>
            <w:tcBorders>
              <w:right w:val="double" w:sz="4" w:space="0" w:color="auto"/>
            </w:tcBorders>
          </w:tcPr>
          <w:p w14:paraId="5D5C84DA" w14:textId="341EC4DA" w:rsidR="0008258B" w:rsidRDefault="0008258B" w:rsidP="008A4E9D">
            <w:pPr>
              <w:spacing w:line="480" w:lineRule="auto"/>
              <w:rPr>
                <w:rFonts w:ascii="Palatino Linotype" w:hAnsi="Palatino Linotype"/>
              </w:rPr>
            </w:pPr>
            <w:r>
              <w:rPr>
                <w:rFonts w:ascii="Palatino Linotype" w:hAnsi="Palatino Linotype"/>
              </w:rPr>
              <w:t>63</w:t>
            </w:r>
          </w:p>
        </w:tc>
        <w:tc>
          <w:tcPr>
            <w:tcW w:w="1807" w:type="dxa"/>
            <w:tcBorders>
              <w:left w:val="double" w:sz="4" w:space="0" w:color="auto"/>
            </w:tcBorders>
          </w:tcPr>
          <w:p w14:paraId="5436951D" w14:textId="45B923F3" w:rsidR="0008258B" w:rsidRDefault="00776201" w:rsidP="008A4E9D">
            <w:pPr>
              <w:spacing w:line="480" w:lineRule="auto"/>
              <w:rPr>
                <w:rFonts w:ascii="Palatino Linotype" w:hAnsi="Palatino Linotype"/>
              </w:rPr>
            </w:pPr>
            <w:r>
              <w:rPr>
                <w:rFonts w:ascii="Palatino Linotype" w:hAnsi="Palatino Linotype"/>
              </w:rPr>
              <w:t>62</w:t>
            </w:r>
          </w:p>
        </w:tc>
        <w:tc>
          <w:tcPr>
            <w:tcW w:w="1807" w:type="dxa"/>
          </w:tcPr>
          <w:p w14:paraId="24C795B6" w14:textId="6AA4E9E1" w:rsidR="0008258B" w:rsidRDefault="00776201" w:rsidP="008A4E9D">
            <w:pPr>
              <w:spacing w:line="480" w:lineRule="auto"/>
              <w:rPr>
                <w:rFonts w:ascii="Palatino Linotype" w:hAnsi="Palatino Linotype"/>
              </w:rPr>
            </w:pPr>
            <w:r>
              <w:rPr>
                <w:rFonts w:ascii="Palatino Linotype" w:hAnsi="Palatino Linotype"/>
              </w:rPr>
              <w:t>56</w:t>
            </w:r>
          </w:p>
        </w:tc>
        <w:tc>
          <w:tcPr>
            <w:tcW w:w="1807" w:type="dxa"/>
          </w:tcPr>
          <w:p w14:paraId="1EE639F5" w14:textId="78DBAB60" w:rsidR="0008258B" w:rsidRDefault="00776201" w:rsidP="00066BE8">
            <w:pPr>
              <w:spacing w:line="480" w:lineRule="auto"/>
              <w:rPr>
                <w:rFonts w:ascii="Palatino Linotype" w:hAnsi="Palatino Linotype"/>
              </w:rPr>
            </w:pPr>
            <w:r>
              <w:rPr>
                <w:rFonts w:ascii="Palatino Linotype" w:hAnsi="Palatino Linotype"/>
              </w:rPr>
              <w:t>7</w:t>
            </w:r>
            <w:r w:rsidR="00066BE8">
              <w:rPr>
                <w:rFonts w:ascii="Palatino Linotype" w:hAnsi="Palatino Linotype"/>
              </w:rPr>
              <w:t>7</w:t>
            </w:r>
          </w:p>
        </w:tc>
        <w:tc>
          <w:tcPr>
            <w:tcW w:w="1715" w:type="dxa"/>
          </w:tcPr>
          <w:p w14:paraId="40940BB2" w14:textId="298A20BE" w:rsidR="0008258B" w:rsidRDefault="00776201" w:rsidP="00066BE8">
            <w:pPr>
              <w:spacing w:line="480" w:lineRule="auto"/>
              <w:rPr>
                <w:rFonts w:ascii="Palatino Linotype" w:hAnsi="Palatino Linotype"/>
              </w:rPr>
            </w:pPr>
            <w:r>
              <w:rPr>
                <w:rFonts w:ascii="Palatino Linotype" w:hAnsi="Palatino Linotype"/>
              </w:rPr>
              <w:t>5</w:t>
            </w:r>
            <w:r w:rsidR="00066BE8">
              <w:rPr>
                <w:rFonts w:ascii="Palatino Linotype" w:hAnsi="Palatino Linotype"/>
              </w:rPr>
              <w:t>3</w:t>
            </w:r>
          </w:p>
        </w:tc>
      </w:tr>
      <w:tr w:rsidR="0008258B" w14:paraId="2B09134C" w14:textId="0A916F8D" w:rsidTr="0062052C">
        <w:tc>
          <w:tcPr>
            <w:tcW w:w="3256" w:type="dxa"/>
          </w:tcPr>
          <w:p w14:paraId="5330C2A8" w14:textId="1B9A2FF4" w:rsidR="0008258B" w:rsidRPr="004B54AF" w:rsidRDefault="0008258B" w:rsidP="008A4E9D">
            <w:pPr>
              <w:spacing w:line="480" w:lineRule="auto"/>
              <w:rPr>
                <w:rFonts w:ascii="Palatino Linotype" w:hAnsi="Palatino Linotype"/>
                <w:b/>
              </w:rPr>
            </w:pPr>
            <w:r w:rsidRPr="004B54AF">
              <w:rPr>
                <w:rFonts w:ascii="Palatino Linotype" w:hAnsi="Palatino Linotype"/>
                <w:b/>
              </w:rPr>
              <w:t>SES</w:t>
            </w:r>
            <w:r>
              <w:rPr>
                <w:rFonts w:ascii="Palatino Linotype" w:hAnsi="Palatino Linotype"/>
                <w:b/>
              </w:rPr>
              <w:t xml:space="preserve"> (postcode% rank</w:t>
            </w:r>
            <w:r w:rsidRPr="0002105B">
              <w:rPr>
                <w:rFonts w:ascii="Palatino Linotype" w:hAnsi="Palatino Linotype"/>
                <w:b/>
                <w:vertAlign w:val="superscript"/>
              </w:rPr>
              <w:t>1</w:t>
            </w:r>
            <w:r>
              <w:rPr>
                <w:rFonts w:ascii="Palatino Linotype" w:hAnsi="Palatino Linotype"/>
                <w:b/>
              </w:rPr>
              <w:t>)</w:t>
            </w:r>
          </w:p>
        </w:tc>
        <w:tc>
          <w:tcPr>
            <w:tcW w:w="1559" w:type="dxa"/>
          </w:tcPr>
          <w:p w14:paraId="10A88A3D" w14:textId="052E60DC" w:rsidR="0008258B" w:rsidRDefault="0008258B" w:rsidP="008A4E9D">
            <w:pPr>
              <w:spacing w:line="480" w:lineRule="auto"/>
              <w:rPr>
                <w:rFonts w:ascii="Palatino Linotype" w:hAnsi="Palatino Linotype"/>
              </w:rPr>
            </w:pPr>
            <w:r>
              <w:rPr>
                <w:rFonts w:ascii="Palatino Linotype" w:hAnsi="Palatino Linotype"/>
              </w:rPr>
              <w:t>69.95 (28.31)</w:t>
            </w:r>
          </w:p>
        </w:tc>
        <w:tc>
          <w:tcPr>
            <w:tcW w:w="1997" w:type="dxa"/>
            <w:tcBorders>
              <w:right w:val="double" w:sz="4" w:space="0" w:color="auto"/>
            </w:tcBorders>
          </w:tcPr>
          <w:p w14:paraId="2CCC0C85" w14:textId="5F469AC2" w:rsidR="0008258B" w:rsidRDefault="0008258B" w:rsidP="008A4E9D">
            <w:pPr>
              <w:spacing w:line="480" w:lineRule="auto"/>
              <w:rPr>
                <w:rFonts w:ascii="Palatino Linotype" w:hAnsi="Palatino Linotype"/>
              </w:rPr>
            </w:pPr>
            <w:r>
              <w:rPr>
                <w:rFonts w:ascii="Palatino Linotype" w:hAnsi="Palatino Linotype"/>
              </w:rPr>
              <w:t>58.45 (29.25)*</w:t>
            </w:r>
          </w:p>
        </w:tc>
        <w:tc>
          <w:tcPr>
            <w:tcW w:w="1807" w:type="dxa"/>
            <w:tcBorders>
              <w:left w:val="double" w:sz="4" w:space="0" w:color="auto"/>
            </w:tcBorders>
          </w:tcPr>
          <w:p w14:paraId="1282E87C" w14:textId="1ED2F779" w:rsidR="0008258B" w:rsidRDefault="00066BE8" w:rsidP="008A4E9D">
            <w:pPr>
              <w:spacing w:line="480" w:lineRule="auto"/>
              <w:rPr>
                <w:rFonts w:ascii="Palatino Linotype" w:hAnsi="Palatino Linotype"/>
              </w:rPr>
            </w:pPr>
            <w:r>
              <w:rPr>
                <w:rFonts w:ascii="Palatino Linotype" w:hAnsi="Palatino Linotype"/>
              </w:rPr>
              <w:t>75.54 (20.24)</w:t>
            </w:r>
          </w:p>
        </w:tc>
        <w:tc>
          <w:tcPr>
            <w:tcW w:w="1807" w:type="dxa"/>
          </w:tcPr>
          <w:p w14:paraId="50A0F95C" w14:textId="1E6C9CF3" w:rsidR="0008258B" w:rsidRDefault="00066BE8" w:rsidP="008A4E9D">
            <w:pPr>
              <w:spacing w:line="480" w:lineRule="auto"/>
              <w:rPr>
                <w:rFonts w:ascii="Palatino Linotype" w:hAnsi="Palatino Linotype"/>
              </w:rPr>
            </w:pPr>
            <w:r>
              <w:rPr>
                <w:rFonts w:ascii="Palatino Linotype" w:hAnsi="Palatino Linotype"/>
              </w:rPr>
              <w:t>57.63 (29.28)</w:t>
            </w:r>
          </w:p>
        </w:tc>
        <w:tc>
          <w:tcPr>
            <w:tcW w:w="1807" w:type="dxa"/>
          </w:tcPr>
          <w:p w14:paraId="186C2C65" w14:textId="47CDCE66" w:rsidR="0008258B" w:rsidRDefault="00066BE8" w:rsidP="008A4E9D">
            <w:pPr>
              <w:spacing w:line="480" w:lineRule="auto"/>
              <w:rPr>
                <w:rFonts w:ascii="Palatino Linotype" w:hAnsi="Palatino Linotype"/>
              </w:rPr>
            </w:pPr>
            <w:r>
              <w:rPr>
                <w:rFonts w:ascii="Palatino Linotype" w:hAnsi="Palatino Linotype"/>
              </w:rPr>
              <w:t>59.12 (30.43)</w:t>
            </w:r>
          </w:p>
        </w:tc>
        <w:tc>
          <w:tcPr>
            <w:tcW w:w="1715" w:type="dxa"/>
          </w:tcPr>
          <w:p w14:paraId="08713D6E" w14:textId="3D73FAC4" w:rsidR="0008258B" w:rsidRDefault="00066BE8" w:rsidP="008A4E9D">
            <w:pPr>
              <w:spacing w:line="480" w:lineRule="auto"/>
              <w:rPr>
                <w:rFonts w:ascii="Palatino Linotype" w:hAnsi="Palatino Linotype"/>
              </w:rPr>
            </w:pPr>
            <w:r>
              <w:rPr>
                <w:rFonts w:ascii="Palatino Linotype" w:hAnsi="Palatino Linotype"/>
              </w:rPr>
              <w:t>45.29 (28.88)</w:t>
            </w:r>
          </w:p>
        </w:tc>
      </w:tr>
      <w:tr w:rsidR="0008258B" w14:paraId="75F9A154" w14:textId="7B4E6A31" w:rsidTr="0062052C">
        <w:tc>
          <w:tcPr>
            <w:tcW w:w="3256" w:type="dxa"/>
            <w:tcBorders>
              <w:bottom w:val="single" w:sz="4" w:space="0" w:color="auto"/>
            </w:tcBorders>
          </w:tcPr>
          <w:p w14:paraId="1636214E" w14:textId="498E9D9D" w:rsidR="0008258B" w:rsidRPr="004B54AF" w:rsidRDefault="0008258B" w:rsidP="008A4E9D">
            <w:pPr>
              <w:spacing w:line="480" w:lineRule="auto"/>
              <w:rPr>
                <w:rFonts w:ascii="Palatino Linotype" w:hAnsi="Palatino Linotype"/>
                <w:b/>
              </w:rPr>
            </w:pPr>
            <w:r w:rsidRPr="004B54AF">
              <w:rPr>
                <w:rFonts w:ascii="Palatino Linotype" w:hAnsi="Palatino Linotype"/>
                <w:b/>
              </w:rPr>
              <w:t>Performance IQ</w:t>
            </w:r>
            <w:r w:rsidRPr="0002105B">
              <w:rPr>
                <w:rFonts w:ascii="Palatino Linotype" w:hAnsi="Palatino Linotype"/>
                <w:b/>
                <w:vertAlign w:val="superscript"/>
              </w:rPr>
              <w:t>2</w:t>
            </w:r>
          </w:p>
        </w:tc>
        <w:tc>
          <w:tcPr>
            <w:tcW w:w="1559" w:type="dxa"/>
            <w:tcBorders>
              <w:bottom w:val="single" w:sz="4" w:space="0" w:color="auto"/>
            </w:tcBorders>
          </w:tcPr>
          <w:p w14:paraId="35A866E2" w14:textId="7F417E40" w:rsidR="0008258B" w:rsidRDefault="0008258B" w:rsidP="008A4E9D">
            <w:pPr>
              <w:spacing w:line="480" w:lineRule="auto"/>
              <w:rPr>
                <w:rFonts w:ascii="Palatino Linotype" w:hAnsi="Palatino Linotype"/>
              </w:rPr>
            </w:pPr>
            <w:r>
              <w:rPr>
                <w:rFonts w:ascii="Palatino Linotype" w:hAnsi="Palatino Linotype"/>
              </w:rPr>
              <w:t xml:space="preserve">115.57 (14.62) </w:t>
            </w:r>
          </w:p>
        </w:tc>
        <w:tc>
          <w:tcPr>
            <w:tcW w:w="1997" w:type="dxa"/>
            <w:tcBorders>
              <w:bottom w:val="single" w:sz="4" w:space="0" w:color="auto"/>
              <w:right w:val="double" w:sz="4" w:space="0" w:color="auto"/>
            </w:tcBorders>
          </w:tcPr>
          <w:p w14:paraId="187FB2C3" w14:textId="0E9564E0" w:rsidR="0008258B" w:rsidRDefault="0008258B" w:rsidP="008A4E9D">
            <w:pPr>
              <w:spacing w:line="480" w:lineRule="auto"/>
              <w:rPr>
                <w:rFonts w:ascii="Palatino Linotype" w:hAnsi="Palatino Linotype"/>
              </w:rPr>
            </w:pPr>
            <w:r>
              <w:rPr>
                <w:rFonts w:ascii="Palatino Linotype" w:hAnsi="Palatino Linotype"/>
              </w:rPr>
              <w:t>101.27 (12.48)***</w:t>
            </w:r>
          </w:p>
        </w:tc>
        <w:tc>
          <w:tcPr>
            <w:tcW w:w="1807" w:type="dxa"/>
            <w:tcBorders>
              <w:left w:val="double" w:sz="4" w:space="0" w:color="auto"/>
              <w:bottom w:val="single" w:sz="4" w:space="0" w:color="auto"/>
            </w:tcBorders>
          </w:tcPr>
          <w:p w14:paraId="5EB18832" w14:textId="5716D524" w:rsidR="0008258B" w:rsidRDefault="00066BE8" w:rsidP="008A4E9D">
            <w:pPr>
              <w:spacing w:line="480" w:lineRule="auto"/>
              <w:rPr>
                <w:rFonts w:ascii="Palatino Linotype" w:hAnsi="Palatino Linotype"/>
              </w:rPr>
            </w:pPr>
            <w:r>
              <w:rPr>
                <w:rFonts w:ascii="Palatino Linotype" w:hAnsi="Palatino Linotype"/>
              </w:rPr>
              <w:t>110.38 (8.27)</w:t>
            </w:r>
          </w:p>
        </w:tc>
        <w:tc>
          <w:tcPr>
            <w:tcW w:w="1807" w:type="dxa"/>
            <w:tcBorders>
              <w:bottom w:val="single" w:sz="4" w:space="0" w:color="auto"/>
            </w:tcBorders>
          </w:tcPr>
          <w:p w14:paraId="544B7E3A" w14:textId="21FBACE2" w:rsidR="0008258B" w:rsidRDefault="00066BE8" w:rsidP="008A4E9D">
            <w:pPr>
              <w:spacing w:line="480" w:lineRule="auto"/>
              <w:rPr>
                <w:rFonts w:ascii="Palatino Linotype" w:hAnsi="Palatino Linotype"/>
              </w:rPr>
            </w:pPr>
            <w:r>
              <w:rPr>
                <w:rFonts w:ascii="Palatino Linotype" w:hAnsi="Palatino Linotype"/>
              </w:rPr>
              <w:t>98.12 (12.34)</w:t>
            </w:r>
          </w:p>
        </w:tc>
        <w:tc>
          <w:tcPr>
            <w:tcW w:w="1807" w:type="dxa"/>
            <w:tcBorders>
              <w:bottom w:val="single" w:sz="4" w:space="0" w:color="auto"/>
            </w:tcBorders>
          </w:tcPr>
          <w:p w14:paraId="754A22AD" w14:textId="4F2415AB" w:rsidR="0008258B" w:rsidRDefault="00066BE8" w:rsidP="008A4E9D">
            <w:pPr>
              <w:spacing w:line="480" w:lineRule="auto"/>
              <w:rPr>
                <w:rFonts w:ascii="Palatino Linotype" w:hAnsi="Palatino Linotype"/>
              </w:rPr>
            </w:pPr>
            <w:r>
              <w:rPr>
                <w:rFonts w:ascii="Palatino Linotype" w:hAnsi="Palatino Linotype"/>
              </w:rPr>
              <w:t>97.00 (13.90)</w:t>
            </w:r>
          </w:p>
        </w:tc>
        <w:tc>
          <w:tcPr>
            <w:tcW w:w="1715" w:type="dxa"/>
            <w:tcBorders>
              <w:bottom w:val="single" w:sz="4" w:space="0" w:color="auto"/>
            </w:tcBorders>
          </w:tcPr>
          <w:p w14:paraId="0A4CD3B6" w14:textId="36602A79" w:rsidR="0008258B" w:rsidRDefault="00066BE8" w:rsidP="008A4E9D">
            <w:pPr>
              <w:spacing w:line="480" w:lineRule="auto"/>
              <w:rPr>
                <w:rFonts w:ascii="Palatino Linotype" w:hAnsi="Palatino Linotype"/>
              </w:rPr>
            </w:pPr>
            <w:r>
              <w:rPr>
                <w:rFonts w:ascii="Palatino Linotype" w:hAnsi="Palatino Linotype"/>
              </w:rPr>
              <w:t>102.29 (10.37)</w:t>
            </w:r>
          </w:p>
        </w:tc>
      </w:tr>
      <w:tr w:rsidR="0008258B" w14:paraId="1D4E6034" w14:textId="095B6729" w:rsidTr="0062052C">
        <w:tc>
          <w:tcPr>
            <w:tcW w:w="3256" w:type="dxa"/>
            <w:tcBorders>
              <w:top w:val="single" w:sz="4" w:space="0" w:color="auto"/>
              <w:bottom w:val="single" w:sz="4" w:space="0" w:color="auto"/>
            </w:tcBorders>
          </w:tcPr>
          <w:p w14:paraId="14E2B080" w14:textId="610D4B36" w:rsidR="0008258B" w:rsidRPr="004B54AF" w:rsidRDefault="0008258B" w:rsidP="008A4E9D">
            <w:pPr>
              <w:spacing w:line="480" w:lineRule="auto"/>
              <w:rPr>
                <w:rFonts w:ascii="Palatino Linotype" w:hAnsi="Palatino Linotype"/>
                <w:b/>
              </w:rPr>
            </w:pPr>
            <w:r w:rsidRPr="004B54AF">
              <w:rPr>
                <w:rFonts w:ascii="Palatino Linotype" w:hAnsi="Palatino Linotype"/>
                <w:b/>
              </w:rPr>
              <w:t xml:space="preserve">PCC </w:t>
            </w:r>
            <w:r>
              <w:rPr>
                <w:rFonts w:ascii="Palatino Linotype" w:hAnsi="Palatino Linotype"/>
                <w:b/>
              </w:rPr>
              <w:t xml:space="preserve">at </w:t>
            </w:r>
            <w:r w:rsidRPr="004B54AF">
              <w:rPr>
                <w:rFonts w:ascii="Palatino Linotype" w:hAnsi="Palatino Linotype"/>
                <w:b/>
              </w:rPr>
              <w:t>T1</w:t>
            </w:r>
          </w:p>
        </w:tc>
        <w:tc>
          <w:tcPr>
            <w:tcW w:w="1559" w:type="dxa"/>
            <w:tcBorders>
              <w:top w:val="single" w:sz="4" w:space="0" w:color="auto"/>
              <w:bottom w:val="single" w:sz="4" w:space="0" w:color="auto"/>
            </w:tcBorders>
          </w:tcPr>
          <w:p w14:paraId="5799DCEA" w14:textId="725F9C82" w:rsidR="0008258B" w:rsidRDefault="0008258B" w:rsidP="008A4E9D">
            <w:pPr>
              <w:spacing w:line="480" w:lineRule="auto"/>
              <w:rPr>
                <w:rFonts w:ascii="Palatino Linotype" w:hAnsi="Palatino Linotype"/>
              </w:rPr>
            </w:pPr>
            <w:r>
              <w:rPr>
                <w:rFonts w:ascii="Palatino Linotype" w:hAnsi="Palatino Linotype"/>
              </w:rPr>
              <w:t>90.49 (5.75)</w:t>
            </w:r>
          </w:p>
        </w:tc>
        <w:tc>
          <w:tcPr>
            <w:tcW w:w="1997" w:type="dxa"/>
            <w:tcBorders>
              <w:top w:val="single" w:sz="4" w:space="0" w:color="auto"/>
              <w:bottom w:val="single" w:sz="4" w:space="0" w:color="auto"/>
              <w:right w:val="double" w:sz="4" w:space="0" w:color="auto"/>
            </w:tcBorders>
          </w:tcPr>
          <w:p w14:paraId="44BCE29C" w14:textId="590417FE" w:rsidR="0008258B" w:rsidRDefault="0008258B" w:rsidP="008A4E9D">
            <w:pPr>
              <w:spacing w:line="480" w:lineRule="auto"/>
              <w:rPr>
                <w:rFonts w:ascii="Palatino Linotype" w:hAnsi="Palatino Linotype"/>
              </w:rPr>
            </w:pPr>
            <w:r>
              <w:rPr>
                <w:rFonts w:ascii="Palatino Linotype" w:hAnsi="Palatino Linotype"/>
              </w:rPr>
              <w:t>52.43 (16.39)***</w:t>
            </w:r>
          </w:p>
        </w:tc>
        <w:tc>
          <w:tcPr>
            <w:tcW w:w="1807" w:type="dxa"/>
            <w:tcBorders>
              <w:top w:val="single" w:sz="4" w:space="0" w:color="auto"/>
              <w:left w:val="double" w:sz="4" w:space="0" w:color="auto"/>
              <w:bottom w:val="single" w:sz="4" w:space="0" w:color="auto"/>
            </w:tcBorders>
          </w:tcPr>
          <w:p w14:paraId="3D832B16" w14:textId="224A2645" w:rsidR="0008258B" w:rsidRDefault="00066BE8" w:rsidP="008A4E9D">
            <w:pPr>
              <w:spacing w:line="480" w:lineRule="auto"/>
              <w:rPr>
                <w:rFonts w:ascii="Palatino Linotype" w:hAnsi="Palatino Linotype"/>
              </w:rPr>
            </w:pPr>
            <w:r>
              <w:rPr>
                <w:rFonts w:ascii="Palatino Linotype" w:hAnsi="Palatino Linotype"/>
              </w:rPr>
              <w:t>56.82 (13.73)</w:t>
            </w:r>
          </w:p>
        </w:tc>
        <w:tc>
          <w:tcPr>
            <w:tcW w:w="1807" w:type="dxa"/>
            <w:tcBorders>
              <w:top w:val="single" w:sz="4" w:space="0" w:color="auto"/>
              <w:bottom w:val="single" w:sz="4" w:space="0" w:color="auto"/>
            </w:tcBorders>
          </w:tcPr>
          <w:p w14:paraId="19CBCB2F" w14:textId="11AAF565" w:rsidR="0008258B" w:rsidRDefault="00066BE8" w:rsidP="008A4E9D">
            <w:pPr>
              <w:spacing w:line="480" w:lineRule="auto"/>
              <w:rPr>
                <w:rFonts w:ascii="Palatino Linotype" w:hAnsi="Palatino Linotype"/>
              </w:rPr>
            </w:pPr>
            <w:r>
              <w:rPr>
                <w:rFonts w:ascii="Palatino Linotype" w:hAnsi="Palatino Linotype"/>
              </w:rPr>
              <w:t>57.60 (15.43)</w:t>
            </w:r>
          </w:p>
        </w:tc>
        <w:tc>
          <w:tcPr>
            <w:tcW w:w="1807" w:type="dxa"/>
            <w:tcBorders>
              <w:top w:val="single" w:sz="4" w:space="0" w:color="auto"/>
              <w:bottom w:val="single" w:sz="4" w:space="0" w:color="auto"/>
            </w:tcBorders>
          </w:tcPr>
          <w:p w14:paraId="03B4B50D" w14:textId="6694CC60" w:rsidR="0008258B" w:rsidRDefault="00066BE8" w:rsidP="008A4E9D">
            <w:pPr>
              <w:spacing w:line="480" w:lineRule="auto"/>
              <w:rPr>
                <w:rFonts w:ascii="Palatino Linotype" w:hAnsi="Palatino Linotype"/>
              </w:rPr>
            </w:pPr>
            <w:r>
              <w:rPr>
                <w:rFonts w:ascii="Palatino Linotype" w:hAnsi="Palatino Linotype"/>
              </w:rPr>
              <w:t>49.24 (18.39)</w:t>
            </w:r>
          </w:p>
        </w:tc>
        <w:tc>
          <w:tcPr>
            <w:tcW w:w="1715" w:type="dxa"/>
            <w:tcBorders>
              <w:top w:val="single" w:sz="4" w:space="0" w:color="auto"/>
              <w:bottom w:val="single" w:sz="4" w:space="0" w:color="auto"/>
            </w:tcBorders>
          </w:tcPr>
          <w:p w14:paraId="12915847" w14:textId="757170EA" w:rsidR="0008258B" w:rsidRDefault="00066BE8" w:rsidP="008A4E9D">
            <w:pPr>
              <w:spacing w:line="480" w:lineRule="auto"/>
              <w:rPr>
                <w:rFonts w:ascii="Palatino Linotype" w:hAnsi="Palatino Linotype"/>
              </w:rPr>
            </w:pPr>
            <w:r>
              <w:rPr>
                <w:rFonts w:ascii="Palatino Linotype" w:hAnsi="Palatino Linotype"/>
              </w:rPr>
              <w:t>48.33 (15.56)</w:t>
            </w:r>
          </w:p>
        </w:tc>
      </w:tr>
      <w:tr w:rsidR="0008258B" w14:paraId="5D94C498" w14:textId="6CF46119" w:rsidTr="0062052C">
        <w:tc>
          <w:tcPr>
            <w:tcW w:w="3256" w:type="dxa"/>
            <w:tcBorders>
              <w:top w:val="single" w:sz="4" w:space="0" w:color="auto"/>
              <w:bottom w:val="single" w:sz="4" w:space="0" w:color="auto"/>
            </w:tcBorders>
          </w:tcPr>
          <w:p w14:paraId="7C6635EA" w14:textId="725E2687" w:rsidR="0008258B" w:rsidRPr="004B54AF" w:rsidRDefault="0008258B" w:rsidP="0062052C">
            <w:pPr>
              <w:spacing w:line="480" w:lineRule="auto"/>
              <w:rPr>
                <w:rFonts w:ascii="Palatino Linotype" w:hAnsi="Palatino Linotype"/>
                <w:b/>
              </w:rPr>
            </w:pPr>
            <w:r>
              <w:rPr>
                <w:rFonts w:ascii="Palatino Linotype" w:hAnsi="Palatino Linotype"/>
                <w:b/>
              </w:rPr>
              <w:t xml:space="preserve">% </w:t>
            </w:r>
            <w:r w:rsidR="0062052C">
              <w:rPr>
                <w:rFonts w:ascii="Palatino Linotype" w:hAnsi="Palatino Linotype"/>
                <w:b/>
              </w:rPr>
              <w:t xml:space="preserve">of children in group with </w:t>
            </w:r>
            <w:r>
              <w:rPr>
                <w:rFonts w:ascii="Palatino Linotype" w:hAnsi="Palatino Linotype"/>
                <w:b/>
              </w:rPr>
              <w:t>speech disorder</w:t>
            </w:r>
            <w:r w:rsidR="005A7841">
              <w:rPr>
                <w:rFonts w:ascii="Palatino Linotype" w:hAnsi="Palatino Linotype"/>
                <w:b/>
              </w:rPr>
              <w:t>ed</w:t>
            </w:r>
            <w:r w:rsidR="0062052C">
              <w:rPr>
                <w:rFonts w:ascii="Palatino Linotype" w:hAnsi="Palatino Linotype"/>
                <w:b/>
              </w:rPr>
              <w:t xml:space="preserve"> errors</w:t>
            </w:r>
            <w:r w:rsidR="005A7841">
              <w:rPr>
                <w:rFonts w:ascii="Palatino Linotype" w:hAnsi="Palatino Linotype"/>
                <w:b/>
              </w:rPr>
              <w:t xml:space="preserve"> </w:t>
            </w:r>
            <w:r w:rsidR="00DF70DE">
              <w:rPr>
                <w:rFonts w:ascii="Palatino Linotype" w:hAnsi="Palatino Linotype"/>
                <w:b/>
              </w:rPr>
              <w:t xml:space="preserve">at </w:t>
            </w:r>
            <w:r>
              <w:rPr>
                <w:rFonts w:ascii="Palatino Linotype" w:hAnsi="Palatino Linotype"/>
                <w:b/>
              </w:rPr>
              <w:t xml:space="preserve">T1 </w:t>
            </w:r>
          </w:p>
        </w:tc>
        <w:tc>
          <w:tcPr>
            <w:tcW w:w="1559" w:type="dxa"/>
            <w:tcBorders>
              <w:top w:val="single" w:sz="4" w:space="0" w:color="auto"/>
              <w:bottom w:val="single" w:sz="4" w:space="0" w:color="auto"/>
            </w:tcBorders>
          </w:tcPr>
          <w:p w14:paraId="782F5401" w14:textId="608A207D" w:rsidR="0008258B" w:rsidRDefault="0008258B">
            <w:pPr>
              <w:spacing w:line="480" w:lineRule="auto"/>
              <w:rPr>
                <w:rFonts w:ascii="Palatino Linotype" w:hAnsi="Palatino Linotype"/>
              </w:rPr>
            </w:pPr>
            <w:r>
              <w:rPr>
                <w:rFonts w:ascii="Palatino Linotype" w:hAnsi="Palatino Linotype"/>
              </w:rPr>
              <w:t>n/a</w:t>
            </w:r>
          </w:p>
        </w:tc>
        <w:tc>
          <w:tcPr>
            <w:tcW w:w="1997" w:type="dxa"/>
            <w:tcBorders>
              <w:top w:val="single" w:sz="4" w:space="0" w:color="auto"/>
              <w:bottom w:val="single" w:sz="4" w:space="0" w:color="auto"/>
              <w:right w:val="double" w:sz="4" w:space="0" w:color="auto"/>
            </w:tcBorders>
          </w:tcPr>
          <w:p w14:paraId="4AB6B043" w14:textId="190F111A" w:rsidR="0008258B" w:rsidRDefault="001174EF" w:rsidP="001174EF">
            <w:pPr>
              <w:spacing w:line="480" w:lineRule="auto"/>
              <w:rPr>
                <w:rFonts w:ascii="Palatino Linotype" w:hAnsi="Palatino Linotype"/>
              </w:rPr>
            </w:pPr>
            <w:r>
              <w:rPr>
                <w:rFonts w:ascii="Palatino Linotype" w:hAnsi="Palatino Linotype"/>
              </w:rPr>
              <w:t>27</w:t>
            </w:r>
          </w:p>
        </w:tc>
        <w:tc>
          <w:tcPr>
            <w:tcW w:w="1807" w:type="dxa"/>
            <w:tcBorders>
              <w:top w:val="single" w:sz="4" w:space="0" w:color="auto"/>
              <w:left w:val="double" w:sz="4" w:space="0" w:color="auto"/>
              <w:bottom w:val="single" w:sz="4" w:space="0" w:color="auto"/>
            </w:tcBorders>
          </w:tcPr>
          <w:p w14:paraId="0B69A665" w14:textId="3867FE59" w:rsidR="0008258B" w:rsidRDefault="007104DB">
            <w:pPr>
              <w:spacing w:line="480" w:lineRule="auto"/>
              <w:rPr>
                <w:rFonts w:ascii="Palatino Linotype" w:hAnsi="Palatino Linotype"/>
              </w:rPr>
            </w:pPr>
            <w:r>
              <w:rPr>
                <w:rFonts w:ascii="Palatino Linotype" w:hAnsi="Palatino Linotype"/>
              </w:rPr>
              <w:t>31</w:t>
            </w:r>
          </w:p>
        </w:tc>
        <w:tc>
          <w:tcPr>
            <w:tcW w:w="1807" w:type="dxa"/>
            <w:tcBorders>
              <w:top w:val="single" w:sz="4" w:space="0" w:color="auto"/>
              <w:bottom w:val="single" w:sz="4" w:space="0" w:color="auto"/>
            </w:tcBorders>
          </w:tcPr>
          <w:p w14:paraId="0A241EBE" w14:textId="08957893" w:rsidR="0008258B" w:rsidRDefault="007104DB">
            <w:pPr>
              <w:spacing w:line="480" w:lineRule="auto"/>
              <w:rPr>
                <w:rFonts w:ascii="Palatino Linotype" w:hAnsi="Palatino Linotype"/>
              </w:rPr>
            </w:pPr>
            <w:r>
              <w:rPr>
                <w:rFonts w:ascii="Palatino Linotype" w:hAnsi="Palatino Linotype"/>
              </w:rPr>
              <w:t>19</w:t>
            </w:r>
          </w:p>
        </w:tc>
        <w:tc>
          <w:tcPr>
            <w:tcW w:w="1807" w:type="dxa"/>
            <w:tcBorders>
              <w:top w:val="single" w:sz="4" w:space="0" w:color="auto"/>
              <w:bottom w:val="single" w:sz="4" w:space="0" w:color="auto"/>
            </w:tcBorders>
          </w:tcPr>
          <w:p w14:paraId="7B768B36" w14:textId="693F4384" w:rsidR="0008258B" w:rsidRDefault="007104DB">
            <w:pPr>
              <w:spacing w:line="480" w:lineRule="auto"/>
              <w:rPr>
                <w:rFonts w:ascii="Palatino Linotype" w:hAnsi="Palatino Linotype"/>
              </w:rPr>
            </w:pPr>
            <w:r>
              <w:rPr>
                <w:rFonts w:ascii="Palatino Linotype" w:hAnsi="Palatino Linotype"/>
              </w:rPr>
              <w:t>23</w:t>
            </w:r>
          </w:p>
        </w:tc>
        <w:tc>
          <w:tcPr>
            <w:tcW w:w="1715" w:type="dxa"/>
            <w:tcBorders>
              <w:top w:val="single" w:sz="4" w:space="0" w:color="auto"/>
              <w:bottom w:val="single" w:sz="4" w:space="0" w:color="auto"/>
            </w:tcBorders>
          </w:tcPr>
          <w:p w14:paraId="763DFCF5" w14:textId="3B0E0DEC" w:rsidR="0008258B" w:rsidRDefault="007104DB">
            <w:pPr>
              <w:spacing w:line="480" w:lineRule="auto"/>
              <w:rPr>
                <w:rFonts w:ascii="Palatino Linotype" w:hAnsi="Palatino Linotype"/>
              </w:rPr>
            </w:pPr>
            <w:r>
              <w:rPr>
                <w:rFonts w:ascii="Palatino Linotype" w:hAnsi="Palatino Linotype"/>
              </w:rPr>
              <w:t>29</w:t>
            </w:r>
          </w:p>
        </w:tc>
      </w:tr>
      <w:tr w:rsidR="0008258B" w14:paraId="380BA75E" w14:textId="431E2D07" w:rsidTr="0062052C">
        <w:tc>
          <w:tcPr>
            <w:tcW w:w="3256" w:type="dxa"/>
            <w:tcBorders>
              <w:top w:val="single" w:sz="4" w:space="0" w:color="auto"/>
              <w:bottom w:val="double" w:sz="4" w:space="0" w:color="auto"/>
            </w:tcBorders>
          </w:tcPr>
          <w:p w14:paraId="36E069B5" w14:textId="0FF27E46" w:rsidR="0008258B" w:rsidRPr="004B54AF" w:rsidRDefault="0008258B" w:rsidP="0062052C">
            <w:pPr>
              <w:spacing w:line="480" w:lineRule="auto"/>
              <w:rPr>
                <w:rFonts w:ascii="Palatino Linotype" w:hAnsi="Palatino Linotype"/>
                <w:b/>
              </w:rPr>
            </w:pPr>
            <w:r>
              <w:rPr>
                <w:rFonts w:ascii="Palatino Linotype" w:hAnsi="Palatino Linotype"/>
                <w:b/>
              </w:rPr>
              <w:t xml:space="preserve">% </w:t>
            </w:r>
            <w:r w:rsidR="0062052C">
              <w:rPr>
                <w:rFonts w:ascii="Palatino Linotype" w:hAnsi="Palatino Linotype"/>
                <w:b/>
              </w:rPr>
              <w:t>of children with SSD persisting t</w:t>
            </w:r>
            <w:r>
              <w:rPr>
                <w:rFonts w:ascii="Palatino Linotype" w:hAnsi="Palatino Linotype"/>
                <w:b/>
              </w:rPr>
              <w:t>o T3</w:t>
            </w:r>
            <w:r w:rsidR="007104DB">
              <w:rPr>
                <w:rFonts w:ascii="Palatino Linotype" w:hAnsi="Palatino Linotype"/>
                <w:b/>
              </w:rPr>
              <w:t xml:space="preserve"> </w:t>
            </w:r>
            <w:r w:rsidR="007104DB">
              <w:rPr>
                <w:rFonts w:ascii="Palatino Linotype" w:hAnsi="Palatino Linotype"/>
                <w:vertAlign w:val="superscript"/>
              </w:rPr>
              <w:t>3</w:t>
            </w:r>
          </w:p>
        </w:tc>
        <w:tc>
          <w:tcPr>
            <w:tcW w:w="1559" w:type="dxa"/>
            <w:tcBorders>
              <w:top w:val="single" w:sz="4" w:space="0" w:color="auto"/>
              <w:bottom w:val="double" w:sz="4" w:space="0" w:color="auto"/>
            </w:tcBorders>
          </w:tcPr>
          <w:p w14:paraId="5A440D5C" w14:textId="58B98B17" w:rsidR="0008258B" w:rsidRDefault="007104DB">
            <w:pPr>
              <w:spacing w:line="480" w:lineRule="auto"/>
              <w:rPr>
                <w:rFonts w:ascii="Palatino Linotype" w:hAnsi="Palatino Linotype"/>
              </w:rPr>
            </w:pPr>
            <w:r>
              <w:rPr>
                <w:rFonts w:ascii="Palatino Linotype" w:hAnsi="Palatino Linotype"/>
              </w:rPr>
              <w:t>n/a</w:t>
            </w:r>
          </w:p>
        </w:tc>
        <w:tc>
          <w:tcPr>
            <w:tcW w:w="1997" w:type="dxa"/>
            <w:tcBorders>
              <w:top w:val="single" w:sz="4" w:space="0" w:color="auto"/>
              <w:bottom w:val="double" w:sz="4" w:space="0" w:color="auto"/>
              <w:right w:val="double" w:sz="4" w:space="0" w:color="auto"/>
            </w:tcBorders>
          </w:tcPr>
          <w:p w14:paraId="7FC15CA2" w14:textId="6543E947" w:rsidR="0008258B" w:rsidRDefault="00A95F29">
            <w:pPr>
              <w:spacing w:line="480" w:lineRule="auto"/>
              <w:rPr>
                <w:rFonts w:ascii="Palatino Linotype" w:hAnsi="Palatino Linotype"/>
              </w:rPr>
            </w:pPr>
            <w:r>
              <w:rPr>
                <w:rFonts w:ascii="Palatino Linotype" w:hAnsi="Palatino Linotype"/>
              </w:rPr>
              <w:t>56</w:t>
            </w:r>
          </w:p>
        </w:tc>
        <w:tc>
          <w:tcPr>
            <w:tcW w:w="1807" w:type="dxa"/>
            <w:tcBorders>
              <w:top w:val="single" w:sz="4" w:space="0" w:color="auto"/>
              <w:left w:val="double" w:sz="4" w:space="0" w:color="auto"/>
              <w:bottom w:val="double" w:sz="4" w:space="0" w:color="auto"/>
            </w:tcBorders>
          </w:tcPr>
          <w:p w14:paraId="63D1AA2C" w14:textId="38E1ADA9" w:rsidR="007104DB" w:rsidRDefault="007104DB" w:rsidP="00DF70DE">
            <w:pPr>
              <w:spacing w:line="480" w:lineRule="auto"/>
              <w:rPr>
                <w:rFonts w:ascii="Palatino Linotype" w:hAnsi="Palatino Linotype"/>
              </w:rPr>
            </w:pPr>
            <w:r>
              <w:rPr>
                <w:rFonts w:ascii="Palatino Linotype" w:hAnsi="Palatino Linotype"/>
              </w:rPr>
              <w:t>54</w:t>
            </w:r>
          </w:p>
        </w:tc>
        <w:tc>
          <w:tcPr>
            <w:tcW w:w="1807" w:type="dxa"/>
            <w:tcBorders>
              <w:top w:val="single" w:sz="4" w:space="0" w:color="auto"/>
              <w:bottom w:val="double" w:sz="4" w:space="0" w:color="auto"/>
            </w:tcBorders>
          </w:tcPr>
          <w:p w14:paraId="1A23F2E5" w14:textId="44CFEEC8" w:rsidR="007104DB" w:rsidRDefault="007104DB" w:rsidP="00DF70DE">
            <w:pPr>
              <w:spacing w:line="480" w:lineRule="auto"/>
              <w:rPr>
                <w:rFonts w:ascii="Palatino Linotype" w:hAnsi="Palatino Linotype"/>
              </w:rPr>
            </w:pPr>
            <w:r>
              <w:rPr>
                <w:rFonts w:ascii="Palatino Linotype" w:hAnsi="Palatino Linotype"/>
              </w:rPr>
              <w:t>43</w:t>
            </w:r>
          </w:p>
        </w:tc>
        <w:tc>
          <w:tcPr>
            <w:tcW w:w="1807" w:type="dxa"/>
            <w:tcBorders>
              <w:top w:val="single" w:sz="4" w:space="0" w:color="auto"/>
              <w:bottom w:val="double" w:sz="4" w:space="0" w:color="auto"/>
            </w:tcBorders>
          </w:tcPr>
          <w:p w14:paraId="3B5F5A24" w14:textId="780845F2" w:rsidR="007104DB" w:rsidRDefault="007104DB" w:rsidP="00DF70DE">
            <w:pPr>
              <w:spacing w:line="480" w:lineRule="auto"/>
              <w:rPr>
                <w:rFonts w:ascii="Palatino Linotype" w:hAnsi="Palatino Linotype"/>
              </w:rPr>
            </w:pPr>
            <w:r>
              <w:rPr>
                <w:rFonts w:ascii="Palatino Linotype" w:hAnsi="Palatino Linotype"/>
              </w:rPr>
              <w:t>68</w:t>
            </w:r>
          </w:p>
        </w:tc>
        <w:tc>
          <w:tcPr>
            <w:tcW w:w="1715" w:type="dxa"/>
            <w:tcBorders>
              <w:top w:val="single" w:sz="4" w:space="0" w:color="auto"/>
              <w:bottom w:val="double" w:sz="4" w:space="0" w:color="auto"/>
            </w:tcBorders>
          </w:tcPr>
          <w:p w14:paraId="77B24047" w14:textId="70704634" w:rsidR="0008258B" w:rsidRDefault="007104DB" w:rsidP="00DF70DE">
            <w:pPr>
              <w:spacing w:line="480" w:lineRule="auto"/>
              <w:rPr>
                <w:rFonts w:ascii="Palatino Linotype" w:hAnsi="Palatino Linotype"/>
              </w:rPr>
            </w:pPr>
            <w:r>
              <w:rPr>
                <w:rFonts w:ascii="Palatino Linotype" w:hAnsi="Palatino Linotype"/>
              </w:rPr>
              <w:t xml:space="preserve">54 </w:t>
            </w:r>
          </w:p>
        </w:tc>
      </w:tr>
    </w:tbl>
    <w:p w14:paraId="720E8A86" w14:textId="317E0147" w:rsidR="0039031E" w:rsidRDefault="000308BF" w:rsidP="008A4E9D">
      <w:pPr>
        <w:spacing w:line="480" w:lineRule="auto"/>
      </w:pPr>
      <w:r>
        <w:t xml:space="preserve">*p&lt;.05, **p&lt;.01, ***p&lt;.001. </w:t>
      </w:r>
      <w:r w:rsidR="00733AC6" w:rsidRPr="0002105B">
        <w:rPr>
          <w:rFonts w:ascii="Palatino Linotype" w:hAnsi="Palatino Linotype"/>
          <w:vertAlign w:val="superscript"/>
        </w:rPr>
        <w:t>1</w:t>
      </w:r>
      <w:r w:rsidR="00733AC6">
        <w:rPr>
          <w:rFonts w:ascii="Palatino Linotype" w:hAnsi="Palatino Linotype"/>
        </w:rPr>
        <w:t xml:space="preserve"> SES based on postcode in UK, relative rank according to deprivation value; Lower = more deprived. </w:t>
      </w:r>
      <w:r w:rsidR="00733AC6" w:rsidRPr="00D600C2">
        <w:rPr>
          <w:rFonts w:ascii="Palatino Linotype" w:hAnsi="Palatino Linotype"/>
          <w:vertAlign w:val="superscript"/>
        </w:rPr>
        <w:t>2</w:t>
      </w:r>
      <w:r w:rsidR="00733AC6" w:rsidRPr="00D600C2">
        <w:rPr>
          <w:rFonts w:ascii="Palatino Linotype" w:hAnsi="Palatino Linotype"/>
        </w:rPr>
        <w:t xml:space="preserve"> Performance IQ is mean standard score, two WPPSI-III Performance IQ subtests</w:t>
      </w:r>
      <w:r w:rsidR="007104DB" w:rsidRPr="00D600C2">
        <w:rPr>
          <w:rFonts w:ascii="Palatino Linotype" w:hAnsi="Palatino Linotype"/>
        </w:rPr>
        <w:t xml:space="preserve">. </w:t>
      </w:r>
      <w:r w:rsidR="007104DB" w:rsidRPr="00D600C2">
        <w:rPr>
          <w:rFonts w:ascii="Palatino Linotype" w:hAnsi="Palatino Linotype"/>
          <w:vertAlign w:val="superscript"/>
        </w:rPr>
        <w:t>3</w:t>
      </w:r>
      <w:r w:rsidR="007104DB" w:rsidRPr="00D600C2">
        <w:rPr>
          <w:rFonts w:ascii="Palatino Linotype" w:hAnsi="Palatino Linotype"/>
        </w:rPr>
        <w:t xml:space="preserve"> Missing DEAP data at T3: N=2 children (SSD+FR group), </w:t>
      </w:r>
      <w:r w:rsidR="001F7FA0" w:rsidRPr="00D600C2">
        <w:rPr>
          <w:rFonts w:ascii="Palatino Linotype" w:hAnsi="Palatino Linotype"/>
        </w:rPr>
        <w:t>N=3 (SSD + LI), N=5 (SSD+LI+FR).</w:t>
      </w:r>
      <w:r>
        <w:rPr>
          <w:rFonts w:ascii="Palatino Linotype" w:hAnsi="Palatino Linotype"/>
        </w:rPr>
        <w:t xml:space="preserve"> </w:t>
      </w:r>
    </w:p>
    <w:p w14:paraId="6AE3ED3B" w14:textId="66E16BA2" w:rsidR="00385460" w:rsidRPr="00EF2577" w:rsidRDefault="00385460" w:rsidP="00385460">
      <w:pPr>
        <w:rPr>
          <w:rFonts w:ascii="Palatino Linotype" w:hAnsi="Palatino Linotype"/>
        </w:rPr>
      </w:pPr>
      <w:r w:rsidRPr="00EF2577">
        <w:rPr>
          <w:rFonts w:ascii="Palatino Linotype" w:hAnsi="Palatino Linotype"/>
        </w:rPr>
        <w:t xml:space="preserve">Table 2: Literacy outcomes </w:t>
      </w:r>
      <w:r w:rsidR="003473C7" w:rsidRPr="00EF2577">
        <w:rPr>
          <w:rFonts w:ascii="Palatino Linotype" w:hAnsi="Palatino Linotype"/>
        </w:rPr>
        <w:t>for the whole</w:t>
      </w:r>
      <w:r w:rsidRPr="00EF2577">
        <w:rPr>
          <w:rFonts w:ascii="Palatino Linotype" w:hAnsi="Palatino Linotype"/>
        </w:rPr>
        <w:t xml:space="preserve"> SSD group (z-scores</w:t>
      </w:r>
      <w:r w:rsidR="000452FD" w:rsidRPr="00EF2577">
        <w:rPr>
          <w:rFonts w:ascii="Palatino Linotype" w:hAnsi="Palatino Linotype"/>
        </w:rPr>
        <w:t xml:space="preserve"> standardised </w:t>
      </w:r>
      <w:r w:rsidR="003473C7" w:rsidRPr="00EF2577">
        <w:rPr>
          <w:rFonts w:ascii="Palatino Linotype" w:hAnsi="Palatino Linotype"/>
        </w:rPr>
        <w:t xml:space="preserve">relative to the control </w:t>
      </w:r>
      <w:r w:rsidR="000452FD" w:rsidRPr="00EF2577">
        <w:rPr>
          <w:rFonts w:ascii="Palatino Linotype" w:hAnsi="Palatino Linotype"/>
        </w:rPr>
        <w:t xml:space="preserve">group </w:t>
      </w:r>
      <w:r w:rsidR="003473C7" w:rsidRPr="00EF2577">
        <w:rPr>
          <w:rFonts w:ascii="Palatino Linotype" w:hAnsi="Palatino Linotype"/>
        </w:rPr>
        <w:t>mean</w:t>
      </w:r>
      <w:r w:rsidRPr="00EF2577">
        <w:rPr>
          <w:rFonts w:ascii="Palatino Linotype" w:hAnsi="Palatino Linotype"/>
        </w:rPr>
        <w:t>).</w:t>
      </w:r>
    </w:p>
    <w:tbl>
      <w:tblPr>
        <w:tblStyle w:val="TableGrid"/>
        <w:tblW w:w="4550" w:type="pct"/>
        <w:tblLook w:val="04A0" w:firstRow="1" w:lastRow="0" w:firstColumn="1" w:lastColumn="0" w:noHBand="0" w:noVBand="1"/>
      </w:tblPr>
      <w:tblGrid>
        <w:gridCol w:w="3035"/>
        <w:gridCol w:w="2026"/>
        <w:gridCol w:w="1912"/>
        <w:gridCol w:w="1909"/>
        <w:gridCol w:w="1912"/>
        <w:gridCol w:w="1899"/>
      </w:tblGrid>
      <w:tr w:rsidR="00B927DC" w:rsidRPr="00EF2577" w14:paraId="52C5F9BC" w14:textId="09C00DDB" w:rsidTr="00B927DC">
        <w:tc>
          <w:tcPr>
            <w:tcW w:w="1196" w:type="pct"/>
          </w:tcPr>
          <w:p w14:paraId="4510D18A" w14:textId="77777777" w:rsidR="00B927DC" w:rsidRPr="00EF2577" w:rsidRDefault="00B927DC" w:rsidP="00304069">
            <w:pPr>
              <w:rPr>
                <w:rFonts w:ascii="Palatino Linotype" w:hAnsi="Palatino Linotype"/>
                <w:i/>
              </w:rPr>
            </w:pPr>
          </w:p>
        </w:tc>
        <w:tc>
          <w:tcPr>
            <w:tcW w:w="798" w:type="pct"/>
          </w:tcPr>
          <w:p w14:paraId="7434E615" w14:textId="7BAAEDE3" w:rsidR="00B927DC" w:rsidRPr="00EF2577" w:rsidRDefault="00B927DC" w:rsidP="00304069">
            <w:pPr>
              <w:jc w:val="center"/>
              <w:rPr>
                <w:rFonts w:ascii="Palatino Linotype" w:hAnsi="Palatino Linotype"/>
                <w:b/>
                <w:i/>
              </w:rPr>
            </w:pPr>
            <w:r w:rsidRPr="00EF2577">
              <w:rPr>
                <w:rFonts w:ascii="Palatino Linotype" w:hAnsi="Palatino Linotype"/>
                <w:b/>
                <w:i/>
              </w:rPr>
              <w:t>Mean</w:t>
            </w:r>
          </w:p>
          <w:p w14:paraId="0D2442A4" w14:textId="2C6B9796" w:rsidR="00B927DC" w:rsidRPr="00EF2577" w:rsidRDefault="00B927DC" w:rsidP="00304069">
            <w:pPr>
              <w:jc w:val="center"/>
              <w:rPr>
                <w:rFonts w:ascii="Palatino Linotype" w:hAnsi="Palatino Linotype"/>
                <w:b/>
                <w:i/>
              </w:rPr>
            </w:pPr>
            <w:r w:rsidRPr="00EF2577">
              <w:rPr>
                <w:rFonts w:ascii="Palatino Linotype" w:hAnsi="Palatino Linotype"/>
                <w:b/>
                <w:i/>
              </w:rPr>
              <w:t>(min-max)</w:t>
            </w:r>
          </w:p>
        </w:tc>
        <w:tc>
          <w:tcPr>
            <w:tcW w:w="753" w:type="pct"/>
          </w:tcPr>
          <w:p w14:paraId="431D36A4" w14:textId="77777777" w:rsidR="00B927DC" w:rsidRPr="00EF2577" w:rsidRDefault="00B927DC" w:rsidP="00304069">
            <w:pPr>
              <w:jc w:val="center"/>
              <w:rPr>
                <w:rFonts w:ascii="Palatino Linotype" w:hAnsi="Palatino Linotype"/>
                <w:b/>
                <w:i/>
              </w:rPr>
            </w:pPr>
            <w:r w:rsidRPr="00EF2577">
              <w:rPr>
                <w:rFonts w:ascii="Palatino Linotype" w:hAnsi="Palatino Linotype"/>
                <w:b/>
                <w:i/>
              </w:rPr>
              <w:t>SD</w:t>
            </w:r>
          </w:p>
        </w:tc>
        <w:tc>
          <w:tcPr>
            <w:tcW w:w="752" w:type="pct"/>
          </w:tcPr>
          <w:p w14:paraId="7AB70443" w14:textId="7B3FC5AD" w:rsidR="00B927DC" w:rsidRPr="00EF2577" w:rsidRDefault="00B927DC" w:rsidP="00304069">
            <w:pPr>
              <w:jc w:val="center"/>
              <w:rPr>
                <w:rFonts w:ascii="Palatino Linotype" w:hAnsi="Palatino Linotype"/>
                <w:b/>
                <w:i/>
              </w:rPr>
            </w:pPr>
            <w:r w:rsidRPr="00EF2577">
              <w:rPr>
                <w:rFonts w:ascii="Palatino Linotype" w:hAnsi="Palatino Linotype"/>
                <w:b/>
                <w:i/>
              </w:rPr>
              <w:t xml:space="preserve">t </w:t>
            </w:r>
          </w:p>
        </w:tc>
        <w:tc>
          <w:tcPr>
            <w:tcW w:w="753" w:type="pct"/>
          </w:tcPr>
          <w:p w14:paraId="22C3D06A" w14:textId="24C9106D" w:rsidR="00B927DC" w:rsidRPr="00EF2577" w:rsidRDefault="00B927DC" w:rsidP="00304069">
            <w:pPr>
              <w:jc w:val="center"/>
              <w:rPr>
                <w:rFonts w:ascii="Palatino Linotype" w:hAnsi="Palatino Linotype"/>
                <w:b/>
                <w:i/>
              </w:rPr>
            </w:pPr>
            <w:r w:rsidRPr="00EF2577">
              <w:rPr>
                <w:rFonts w:ascii="Palatino Linotype" w:hAnsi="Palatino Linotype"/>
                <w:b/>
                <w:i/>
              </w:rPr>
              <w:t>df</w:t>
            </w:r>
          </w:p>
        </w:tc>
        <w:tc>
          <w:tcPr>
            <w:tcW w:w="749" w:type="pct"/>
          </w:tcPr>
          <w:p w14:paraId="05DA2575" w14:textId="5087E06B" w:rsidR="00B927DC" w:rsidRPr="00EF2577" w:rsidRDefault="00B927DC" w:rsidP="00304069">
            <w:pPr>
              <w:jc w:val="center"/>
              <w:rPr>
                <w:rFonts w:ascii="Palatino Linotype" w:hAnsi="Palatino Linotype"/>
                <w:b/>
                <w:i/>
              </w:rPr>
            </w:pPr>
            <w:r w:rsidRPr="00EF2577">
              <w:rPr>
                <w:rFonts w:ascii="Palatino Linotype" w:hAnsi="Palatino Linotype"/>
                <w:b/>
                <w:i/>
              </w:rPr>
              <w:t>p</w:t>
            </w:r>
          </w:p>
        </w:tc>
      </w:tr>
      <w:tr w:rsidR="00B927DC" w:rsidRPr="00EF2577" w14:paraId="65E6F13E" w14:textId="5E826A6B" w:rsidTr="00B927DC">
        <w:tc>
          <w:tcPr>
            <w:tcW w:w="1196" w:type="pct"/>
          </w:tcPr>
          <w:p w14:paraId="100A7811" w14:textId="77777777" w:rsidR="00B927DC" w:rsidRPr="00EF2577" w:rsidRDefault="00B927DC" w:rsidP="00304069">
            <w:pPr>
              <w:rPr>
                <w:rFonts w:ascii="Palatino Linotype" w:hAnsi="Palatino Linotype"/>
                <w:b/>
              </w:rPr>
            </w:pPr>
            <w:r w:rsidRPr="00EF2577">
              <w:rPr>
                <w:rFonts w:ascii="Palatino Linotype" w:hAnsi="Palatino Linotype"/>
                <w:b/>
              </w:rPr>
              <w:t>Phoneme Awareness T3</w:t>
            </w:r>
          </w:p>
        </w:tc>
        <w:tc>
          <w:tcPr>
            <w:tcW w:w="798" w:type="pct"/>
            <w:vAlign w:val="center"/>
          </w:tcPr>
          <w:p w14:paraId="53DFA87B" w14:textId="0FEC5E4E" w:rsidR="00B927DC" w:rsidRPr="00EF2577" w:rsidRDefault="00B927DC" w:rsidP="00304069">
            <w:pPr>
              <w:jc w:val="center"/>
              <w:rPr>
                <w:rFonts w:ascii="Palatino Linotype" w:hAnsi="Palatino Linotype" w:cs="Arial"/>
                <w:color w:val="000000"/>
              </w:rPr>
            </w:pPr>
            <w:r w:rsidRPr="00EF2577">
              <w:rPr>
                <w:rFonts w:ascii="Palatino Linotype" w:hAnsi="Palatino Linotype" w:cs="Arial"/>
                <w:color w:val="000000"/>
              </w:rPr>
              <w:t>-1.08</w:t>
            </w:r>
          </w:p>
          <w:p w14:paraId="713522F8" w14:textId="38AF00DF" w:rsidR="00B927DC" w:rsidRPr="00EF2577" w:rsidRDefault="00B927DC" w:rsidP="00304069">
            <w:pPr>
              <w:jc w:val="center"/>
              <w:rPr>
                <w:rFonts w:ascii="Palatino Linotype" w:hAnsi="Palatino Linotype"/>
              </w:rPr>
            </w:pPr>
            <w:r w:rsidRPr="00EF2577">
              <w:rPr>
                <w:rFonts w:ascii="Palatino Linotype" w:hAnsi="Palatino Linotype" w:cs="Arial"/>
                <w:color w:val="000000"/>
              </w:rPr>
              <w:t>(-3.73 – 1.27)</w:t>
            </w:r>
          </w:p>
        </w:tc>
        <w:tc>
          <w:tcPr>
            <w:tcW w:w="753" w:type="pct"/>
            <w:vAlign w:val="center"/>
          </w:tcPr>
          <w:p w14:paraId="1E8B6D25" w14:textId="77777777" w:rsidR="00B927DC" w:rsidRPr="00EF2577" w:rsidRDefault="00B927DC" w:rsidP="00304069">
            <w:pPr>
              <w:jc w:val="center"/>
              <w:rPr>
                <w:rFonts w:ascii="Palatino Linotype" w:hAnsi="Palatino Linotype"/>
              </w:rPr>
            </w:pPr>
            <w:r w:rsidRPr="00EF2577">
              <w:rPr>
                <w:rFonts w:ascii="Palatino Linotype" w:hAnsi="Palatino Linotype" w:cs="Arial"/>
                <w:color w:val="000000"/>
              </w:rPr>
              <w:t>1.28</w:t>
            </w:r>
          </w:p>
        </w:tc>
        <w:tc>
          <w:tcPr>
            <w:tcW w:w="752" w:type="pct"/>
            <w:vAlign w:val="center"/>
          </w:tcPr>
          <w:p w14:paraId="0D0DF047" w14:textId="70EB1DCF"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5.60*</w:t>
            </w:r>
          </w:p>
        </w:tc>
        <w:tc>
          <w:tcPr>
            <w:tcW w:w="753" w:type="pct"/>
            <w:vAlign w:val="center"/>
          </w:tcPr>
          <w:p w14:paraId="42230223" w14:textId="06E386FD"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102.50</w:t>
            </w:r>
          </w:p>
        </w:tc>
        <w:tc>
          <w:tcPr>
            <w:tcW w:w="749" w:type="pct"/>
            <w:vAlign w:val="center"/>
          </w:tcPr>
          <w:p w14:paraId="31995597" w14:textId="5B3F7391" w:rsidR="00B927DC" w:rsidRPr="00EF2577" w:rsidRDefault="00B927DC" w:rsidP="00D95263">
            <w:pPr>
              <w:jc w:val="center"/>
              <w:rPr>
                <w:rFonts w:ascii="Palatino Linotype" w:hAnsi="Palatino Linotype" w:cs="Arial"/>
                <w:color w:val="000000"/>
              </w:rPr>
            </w:pPr>
            <w:r w:rsidRPr="00EF2577">
              <w:rPr>
                <w:rFonts w:ascii="Palatino Linotype" w:hAnsi="Palatino Linotype" w:cs="Arial"/>
                <w:color w:val="000000"/>
              </w:rPr>
              <w:t>.000</w:t>
            </w:r>
          </w:p>
        </w:tc>
      </w:tr>
      <w:tr w:rsidR="00B927DC" w:rsidRPr="00EF2577" w14:paraId="2149D955" w14:textId="51B6C1D5" w:rsidTr="00B927DC">
        <w:tc>
          <w:tcPr>
            <w:tcW w:w="1196" w:type="pct"/>
          </w:tcPr>
          <w:p w14:paraId="67C1B854" w14:textId="77777777" w:rsidR="00B927DC" w:rsidRPr="00EF2577" w:rsidRDefault="00B927DC" w:rsidP="00304069">
            <w:pPr>
              <w:rPr>
                <w:rFonts w:ascii="Palatino Linotype" w:hAnsi="Palatino Linotype"/>
                <w:b/>
              </w:rPr>
            </w:pPr>
            <w:r w:rsidRPr="00EF2577">
              <w:rPr>
                <w:rFonts w:ascii="Palatino Linotype" w:hAnsi="Palatino Linotype"/>
                <w:b/>
              </w:rPr>
              <w:t>Word Reading T3</w:t>
            </w:r>
          </w:p>
        </w:tc>
        <w:tc>
          <w:tcPr>
            <w:tcW w:w="798" w:type="pct"/>
            <w:vAlign w:val="center"/>
          </w:tcPr>
          <w:p w14:paraId="31F68EB1" w14:textId="392DFA46" w:rsidR="00B927DC" w:rsidRPr="00EF2577" w:rsidRDefault="00B927DC" w:rsidP="00304069">
            <w:pPr>
              <w:jc w:val="center"/>
              <w:rPr>
                <w:rFonts w:ascii="Palatino Linotype" w:hAnsi="Palatino Linotype" w:cs="Arial"/>
                <w:color w:val="000000"/>
              </w:rPr>
            </w:pPr>
            <w:r w:rsidRPr="00EF2577">
              <w:rPr>
                <w:rFonts w:ascii="Palatino Linotype" w:hAnsi="Palatino Linotype" w:cs="Arial"/>
                <w:color w:val="000000"/>
              </w:rPr>
              <w:t>-0.84</w:t>
            </w:r>
          </w:p>
          <w:p w14:paraId="6DE67D45" w14:textId="7C77231F" w:rsidR="00B927DC" w:rsidRPr="00EF2577" w:rsidRDefault="00B927DC" w:rsidP="00304069">
            <w:pPr>
              <w:jc w:val="center"/>
              <w:rPr>
                <w:rFonts w:ascii="Palatino Linotype" w:hAnsi="Palatino Linotype"/>
              </w:rPr>
            </w:pPr>
            <w:r w:rsidRPr="00EF2577">
              <w:rPr>
                <w:rFonts w:ascii="Palatino Linotype" w:hAnsi="Palatino Linotype" w:cs="Arial"/>
                <w:color w:val="000000"/>
              </w:rPr>
              <w:t>(-2.26 – 1.43)</w:t>
            </w:r>
          </w:p>
        </w:tc>
        <w:tc>
          <w:tcPr>
            <w:tcW w:w="753" w:type="pct"/>
            <w:vAlign w:val="center"/>
          </w:tcPr>
          <w:p w14:paraId="3E60C3F1" w14:textId="77777777" w:rsidR="00B927DC" w:rsidRPr="00EF2577" w:rsidRDefault="00B927DC" w:rsidP="00304069">
            <w:pPr>
              <w:jc w:val="center"/>
              <w:rPr>
                <w:rFonts w:ascii="Palatino Linotype" w:hAnsi="Palatino Linotype"/>
              </w:rPr>
            </w:pPr>
            <w:r w:rsidRPr="00EF2577">
              <w:rPr>
                <w:rFonts w:ascii="Palatino Linotype" w:hAnsi="Palatino Linotype" w:cs="Arial"/>
                <w:color w:val="000000"/>
              </w:rPr>
              <w:t>0.93</w:t>
            </w:r>
          </w:p>
        </w:tc>
        <w:tc>
          <w:tcPr>
            <w:tcW w:w="752" w:type="pct"/>
            <w:vAlign w:val="center"/>
          </w:tcPr>
          <w:p w14:paraId="640BA50D" w14:textId="2C41778A" w:rsidR="00B927DC" w:rsidRPr="00EF2577" w:rsidRDefault="00B927DC" w:rsidP="00304069">
            <w:pPr>
              <w:jc w:val="center"/>
              <w:rPr>
                <w:rFonts w:ascii="Palatino Linotype" w:hAnsi="Palatino Linotype" w:cs="Arial"/>
                <w:color w:val="000000"/>
              </w:rPr>
            </w:pPr>
            <w:r w:rsidRPr="00EF2577">
              <w:rPr>
                <w:rFonts w:ascii="Palatino Linotype" w:hAnsi="Palatino Linotype" w:cs="Arial"/>
                <w:color w:val="000000"/>
              </w:rPr>
              <w:t>4.98</w:t>
            </w:r>
          </w:p>
        </w:tc>
        <w:tc>
          <w:tcPr>
            <w:tcW w:w="753" w:type="pct"/>
            <w:vAlign w:val="center"/>
          </w:tcPr>
          <w:p w14:paraId="64554218" w14:textId="6693B841"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129</w:t>
            </w:r>
          </w:p>
        </w:tc>
        <w:tc>
          <w:tcPr>
            <w:tcW w:w="749" w:type="pct"/>
            <w:vAlign w:val="center"/>
          </w:tcPr>
          <w:p w14:paraId="4ABEB3AC" w14:textId="323C5104" w:rsidR="00B927DC" w:rsidRPr="00EF2577" w:rsidRDefault="00B927DC" w:rsidP="00D95263">
            <w:pPr>
              <w:jc w:val="center"/>
              <w:rPr>
                <w:rFonts w:ascii="Palatino Linotype" w:hAnsi="Palatino Linotype" w:cs="Arial"/>
                <w:color w:val="000000"/>
              </w:rPr>
            </w:pPr>
            <w:r w:rsidRPr="00EF2577">
              <w:rPr>
                <w:rFonts w:ascii="Palatino Linotype" w:hAnsi="Palatino Linotype" w:cs="Arial"/>
                <w:color w:val="000000"/>
              </w:rPr>
              <w:t>.000</w:t>
            </w:r>
          </w:p>
        </w:tc>
      </w:tr>
      <w:tr w:rsidR="00B927DC" w:rsidRPr="00EF2577" w14:paraId="7F83068F" w14:textId="31F082C5" w:rsidTr="00B927DC">
        <w:tc>
          <w:tcPr>
            <w:tcW w:w="1196" w:type="pct"/>
          </w:tcPr>
          <w:p w14:paraId="2923511F" w14:textId="77777777" w:rsidR="00B927DC" w:rsidRPr="00EF2577" w:rsidRDefault="00B927DC" w:rsidP="00304069">
            <w:pPr>
              <w:rPr>
                <w:rFonts w:ascii="Palatino Linotype" w:hAnsi="Palatino Linotype"/>
                <w:b/>
              </w:rPr>
            </w:pPr>
            <w:r w:rsidRPr="00EF2577">
              <w:rPr>
                <w:rFonts w:ascii="Palatino Linotype" w:hAnsi="Palatino Linotype"/>
                <w:b/>
              </w:rPr>
              <w:t>Spelling T3</w:t>
            </w:r>
          </w:p>
        </w:tc>
        <w:tc>
          <w:tcPr>
            <w:tcW w:w="798" w:type="pct"/>
            <w:vAlign w:val="center"/>
          </w:tcPr>
          <w:p w14:paraId="0817BD8D" w14:textId="44FC1B30" w:rsidR="00B927DC" w:rsidRPr="00EF2577" w:rsidRDefault="00B927DC" w:rsidP="00304069">
            <w:pPr>
              <w:jc w:val="center"/>
              <w:rPr>
                <w:rFonts w:ascii="Palatino Linotype" w:hAnsi="Palatino Linotype" w:cs="Arial"/>
                <w:color w:val="000000"/>
              </w:rPr>
            </w:pPr>
            <w:r w:rsidRPr="00EF2577">
              <w:rPr>
                <w:rFonts w:ascii="Palatino Linotype" w:hAnsi="Palatino Linotype" w:cs="Arial"/>
                <w:color w:val="000000"/>
              </w:rPr>
              <w:t>-1.08</w:t>
            </w:r>
          </w:p>
          <w:p w14:paraId="25DADE37" w14:textId="6A681EDF" w:rsidR="00B927DC" w:rsidRPr="00EF2577" w:rsidRDefault="00B927DC" w:rsidP="00304069">
            <w:pPr>
              <w:jc w:val="center"/>
              <w:rPr>
                <w:rFonts w:ascii="Palatino Linotype" w:hAnsi="Palatino Linotype"/>
              </w:rPr>
            </w:pPr>
            <w:r w:rsidRPr="00EF2577">
              <w:rPr>
                <w:rFonts w:ascii="Palatino Linotype" w:hAnsi="Palatino Linotype" w:cs="Arial"/>
                <w:color w:val="000000"/>
              </w:rPr>
              <w:t>(-2.10 – 2.03)</w:t>
            </w:r>
          </w:p>
        </w:tc>
        <w:tc>
          <w:tcPr>
            <w:tcW w:w="753" w:type="pct"/>
            <w:vAlign w:val="center"/>
          </w:tcPr>
          <w:p w14:paraId="588B9FEC" w14:textId="77777777" w:rsidR="00B927DC" w:rsidRPr="00EF2577" w:rsidRDefault="00B927DC" w:rsidP="00304069">
            <w:pPr>
              <w:jc w:val="center"/>
              <w:rPr>
                <w:rFonts w:ascii="Palatino Linotype" w:hAnsi="Palatino Linotype"/>
              </w:rPr>
            </w:pPr>
            <w:r w:rsidRPr="00EF2577">
              <w:rPr>
                <w:rFonts w:ascii="Palatino Linotype" w:hAnsi="Palatino Linotype" w:cs="Arial"/>
                <w:color w:val="000000"/>
              </w:rPr>
              <w:t>1.01</w:t>
            </w:r>
          </w:p>
        </w:tc>
        <w:tc>
          <w:tcPr>
            <w:tcW w:w="752" w:type="pct"/>
            <w:vAlign w:val="center"/>
          </w:tcPr>
          <w:p w14:paraId="68724FE8" w14:textId="4EFCC578"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6.14</w:t>
            </w:r>
          </w:p>
        </w:tc>
        <w:tc>
          <w:tcPr>
            <w:tcW w:w="753" w:type="pct"/>
            <w:vAlign w:val="center"/>
          </w:tcPr>
          <w:p w14:paraId="57D21A33" w14:textId="52305D37"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129</w:t>
            </w:r>
          </w:p>
        </w:tc>
        <w:tc>
          <w:tcPr>
            <w:tcW w:w="749" w:type="pct"/>
            <w:vAlign w:val="center"/>
          </w:tcPr>
          <w:p w14:paraId="3C35BC24" w14:textId="35710C7A" w:rsidR="00B927DC" w:rsidRPr="00EF2577" w:rsidRDefault="00B927DC" w:rsidP="00D95263">
            <w:pPr>
              <w:jc w:val="center"/>
              <w:rPr>
                <w:rFonts w:ascii="Palatino Linotype" w:hAnsi="Palatino Linotype" w:cs="Arial"/>
                <w:color w:val="000000"/>
              </w:rPr>
            </w:pPr>
            <w:r w:rsidRPr="00EF2577">
              <w:rPr>
                <w:rFonts w:ascii="Palatino Linotype" w:hAnsi="Palatino Linotype" w:cs="Arial"/>
                <w:color w:val="000000"/>
              </w:rPr>
              <w:t>.000</w:t>
            </w:r>
          </w:p>
        </w:tc>
      </w:tr>
      <w:tr w:rsidR="00B927DC" w:rsidRPr="00EF2577" w14:paraId="4A8C0950" w14:textId="04ECD92B" w:rsidTr="00B927DC">
        <w:tc>
          <w:tcPr>
            <w:tcW w:w="1196" w:type="pct"/>
          </w:tcPr>
          <w:p w14:paraId="609F9661" w14:textId="77777777" w:rsidR="00B927DC" w:rsidRPr="00EF2577" w:rsidRDefault="00B927DC" w:rsidP="00304069">
            <w:pPr>
              <w:rPr>
                <w:rFonts w:ascii="Palatino Linotype" w:hAnsi="Palatino Linotype"/>
                <w:b/>
              </w:rPr>
            </w:pPr>
            <w:r w:rsidRPr="00EF2577">
              <w:rPr>
                <w:rFonts w:ascii="Palatino Linotype" w:hAnsi="Palatino Linotype"/>
                <w:b/>
              </w:rPr>
              <w:t>Word Reading T5</w:t>
            </w:r>
          </w:p>
        </w:tc>
        <w:tc>
          <w:tcPr>
            <w:tcW w:w="798" w:type="pct"/>
            <w:vAlign w:val="center"/>
          </w:tcPr>
          <w:p w14:paraId="6A51E6A0" w14:textId="5ACD5CDC" w:rsidR="00B927DC" w:rsidRPr="00EF2577" w:rsidRDefault="00B927DC" w:rsidP="00304069">
            <w:pPr>
              <w:jc w:val="center"/>
              <w:rPr>
                <w:rFonts w:ascii="Palatino Linotype" w:hAnsi="Palatino Linotype" w:cs="Arial"/>
                <w:color w:val="000000"/>
              </w:rPr>
            </w:pPr>
            <w:r w:rsidRPr="00EF2577">
              <w:rPr>
                <w:rFonts w:ascii="Palatino Linotype" w:hAnsi="Palatino Linotype" w:cs="Arial"/>
                <w:color w:val="000000"/>
              </w:rPr>
              <w:t>-0.80</w:t>
            </w:r>
          </w:p>
          <w:p w14:paraId="757AA0BF" w14:textId="1C47FEEC" w:rsidR="00B927DC" w:rsidRPr="00EF2577" w:rsidRDefault="00B927DC" w:rsidP="00304069">
            <w:pPr>
              <w:jc w:val="center"/>
              <w:rPr>
                <w:rFonts w:ascii="Palatino Linotype" w:hAnsi="Palatino Linotype"/>
              </w:rPr>
            </w:pPr>
            <w:r w:rsidRPr="00EF2577">
              <w:rPr>
                <w:rFonts w:ascii="Palatino Linotype" w:hAnsi="Palatino Linotype" w:cs="Arial"/>
                <w:color w:val="000000"/>
              </w:rPr>
              <w:t>(-4.30 – 1.79)</w:t>
            </w:r>
          </w:p>
        </w:tc>
        <w:tc>
          <w:tcPr>
            <w:tcW w:w="753" w:type="pct"/>
            <w:vAlign w:val="center"/>
          </w:tcPr>
          <w:p w14:paraId="7C75B41F" w14:textId="77777777" w:rsidR="00B927DC" w:rsidRPr="00EF2577" w:rsidRDefault="00B927DC" w:rsidP="00304069">
            <w:pPr>
              <w:jc w:val="center"/>
              <w:rPr>
                <w:rFonts w:ascii="Palatino Linotype" w:hAnsi="Palatino Linotype"/>
              </w:rPr>
            </w:pPr>
            <w:r w:rsidRPr="00EF2577">
              <w:rPr>
                <w:rFonts w:ascii="Palatino Linotype" w:hAnsi="Palatino Linotype" w:cs="Arial"/>
                <w:color w:val="000000"/>
              </w:rPr>
              <w:t>1.27</w:t>
            </w:r>
          </w:p>
        </w:tc>
        <w:tc>
          <w:tcPr>
            <w:tcW w:w="752" w:type="pct"/>
            <w:vAlign w:val="center"/>
          </w:tcPr>
          <w:p w14:paraId="0018F4F2" w14:textId="4CF86AD4"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4.09</w:t>
            </w:r>
          </w:p>
        </w:tc>
        <w:tc>
          <w:tcPr>
            <w:tcW w:w="753" w:type="pct"/>
            <w:vAlign w:val="center"/>
          </w:tcPr>
          <w:p w14:paraId="724C849F" w14:textId="71271DEE"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124</w:t>
            </w:r>
          </w:p>
        </w:tc>
        <w:tc>
          <w:tcPr>
            <w:tcW w:w="749" w:type="pct"/>
            <w:vAlign w:val="center"/>
          </w:tcPr>
          <w:p w14:paraId="5CC1C260" w14:textId="0E79E62A" w:rsidR="00B927DC" w:rsidRPr="00EF2577" w:rsidRDefault="00B927DC" w:rsidP="00D95263">
            <w:pPr>
              <w:jc w:val="center"/>
              <w:rPr>
                <w:rFonts w:ascii="Palatino Linotype" w:hAnsi="Palatino Linotype" w:cs="Arial"/>
                <w:color w:val="000000"/>
              </w:rPr>
            </w:pPr>
            <w:r w:rsidRPr="00EF2577">
              <w:rPr>
                <w:rFonts w:ascii="Palatino Linotype" w:hAnsi="Palatino Linotype" w:cs="Arial"/>
                <w:color w:val="000000"/>
              </w:rPr>
              <w:t>.000</w:t>
            </w:r>
          </w:p>
        </w:tc>
      </w:tr>
      <w:tr w:rsidR="00B927DC" w:rsidRPr="00EF2577" w14:paraId="4C406777" w14:textId="68BCED9D" w:rsidTr="00B927DC">
        <w:tc>
          <w:tcPr>
            <w:tcW w:w="1196" w:type="pct"/>
          </w:tcPr>
          <w:p w14:paraId="794E2C3C" w14:textId="77777777" w:rsidR="00B927DC" w:rsidRPr="00EF2577" w:rsidRDefault="00B927DC" w:rsidP="00304069">
            <w:pPr>
              <w:rPr>
                <w:rFonts w:ascii="Palatino Linotype" w:hAnsi="Palatino Linotype"/>
                <w:b/>
              </w:rPr>
            </w:pPr>
            <w:r w:rsidRPr="00EF2577">
              <w:rPr>
                <w:rFonts w:ascii="Palatino Linotype" w:hAnsi="Palatino Linotype"/>
                <w:b/>
              </w:rPr>
              <w:t>Spelling T5</w:t>
            </w:r>
          </w:p>
        </w:tc>
        <w:tc>
          <w:tcPr>
            <w:tcW w:w="798" w:type="pct"/>
            <w:vAlign w:val="center"/>
          </w:tcPr>
          <w:p w14:paraId="5CE6033A" w14:textId="5506A79D" w:rsidR="00B927DC" w:rsidRPr="00EF2577" w:rsidRDefault="00B927DC" w:rsidP="00304069">
            <w:pPr>
              <w:jc w:val="center"/>
              <w:rPr>
                <w:rFonts w:ascii="Palatino Linotype" w:hAnsi="Palatino Linotype" w:cs="Arial"/>
                <w:color w:val="000000"/>
              </w:rPr>
            </w:pPr>
            <w:r w:rsidRPr="00EF2577">
              <w:rPr>
                <w:rFonts w:ascii="Palatino Linotype" w:hAnsi="Palatino Linotype" w:cs="Arial"/>
                <w:color w:val="000000"/>
              </w:rPr>
              <w:t>-0.66</w:t>
            </w:r>
          </w:p>
          <w:p w14:paraId="5CE18B50" w14:textId="02ACBB22" w:rsidR="00B927DC" w:rsidRPr="00EF2577" w:rsidRDefault="00B927DC" w:rsidP="00304069">
            <w:pPr>
              <w:jc w:val="center"/>
              <w:rPr>
                <w:rFonts w:ascii="Palatino Linotype" w:hAnsi="Palatino Linotype"/>
              </w:rPr>
            </w:pPr>
            <w:r w:rsidRPr="00EF2577">
              <w:rPr>
                <w:rFonts w:ascii="Palatino Linotype" w:hAnsi="Palatino Linotype" w:cs="Arial"/>
                <w:color w:val="000000"/>
              </w:rPr>
              <w:t>(-4.65 – 2.96)</w:t>
            </w:r>
          </w:p>
        </w:tc>
        <w:tc>
          <w:tcPr>
            <w:tcW w:w="753" w:type="pct"/>
            <w:vAlign w:val="center"/>
          </w:tcPr>
          <w:p w14:paraId="53AA6DBA" w14:textId="77777777" w:rsidR="00B927DC" w:rsidRPr="00EF2577" w:rsidRDefault="00B927DC" w:rsidP="00304069">
            <w:pPr>
              <w:jc w:val="center"/>
              <w:rPr>
                <w:rFonts w:ascii="Palatino Linotype" w:hAnsi="Palatino Linotype"/>
              </w:rPr>
            </w:pPr>
            <w:r w:rsidRPr="00EF2577">
              <w:rPr>
                <w:rFonts w:ascii="Palatino Linotype" w:hAnsi="Palatino Linotype" w:cs="Arial"/>
                <w:color w:val="000000"/>
              </w:rPr>
              <w:t>1.38</w:t>
            </w:r>
          </w:p>
        </w:tc>
        <w:tc>
          <w:tcPr>
            <w:tcW w:w="752" w:type="pct"/>
            <w:vAlign w:val="center"/>
          </w:tcPr>
          <w:p w14:paraId="3FA9E592" w14:textId="757F9FD6"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3.13</w:t>
            </w:r>
          </w:p>
        </w:tc>
        <w:tc>
          <w:tcPr>
            <w:tcW w:w="753" w:type="pct"/>
            <w:vAlign w:val="center"/>
          </w:tcPr>
          <w:p w14:paraId="2441595D" w14:textId="3C23D8FE"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125</w:t>
            </w:r>
          </w:p>
        </w:tc>
        <w:tc>
          <w:tcPr>
            <w:tcW w:w="749" w:type="pct"/>
            <w:vAlign w:val="center"/>
          </w:tcPr>
          <w:p w14:paraId="21DF67A6" w14:textId="4E4E3858" w:rsidR="00B927DC" w:rsidRPr="00EF2577" w:rsidRDefault="00B927DC" w:rsidP="00D95263">
            <w:pPr>
              <w:jc w:val="center"/>
              <w:rPr>
                <w:rFonts w:ascii="Palatino Linotype" w:hAnsi="Palatino Linotype" w:cs="Arial"/>
                <w:color w:val="000000"/>
              </w:rPr>
            </w:pPr>
            <w:r w:rsidRPr="00EF2577">
              <w:rPr>
                <w:rFonts w:ascii="Palatino Linotype" w:hAnsi="Palatino Linotype" w:cs="Arial"/>
                <w:color w:val="000000"/>
              </w:rPr>
              <w:t>.002</w:t>
            </w:r>
          </w:p>
        </w:tc>
      </w:tr>
      <w:tr w:rsidR="00B927DC" w:rsidRPr="00EF2577" w14:paraId="77644FE6" w14:textId="6DC5550E" w:rsidTr="00B927DC">
        <w:tc>
          <w:tcPr>
            <w:tcW w:w="1196" w:type="pct"/>
          </w:tcPr>
          <w:p w14:paraId="5DCE1379" w14:textId="77777777" w:rsidR="00B927DC" w:rsidRPr="00EF2577" w:rsidRDefault="00B927DC" w:rsidP="00304069">
            <w:pPr>
              <w:rPr>
                <w:rFonts w:ascii="Palatino Linotype" w:hAnsi="Palatino Linotype"/>
                <w:b/>
              </w:rPr>
            </w:pPr>
            <w:r w:rsidRPr="00EF2577">
              <w:rPr>
                <w:rFonts w:ascii="Palatino Linotype" w:hAnsi="Palatino Linotype"/>
                <w:b/>
              </w:rPr>
              <w:t>Reading Comprehension T5</w:t>
            </w:r>
          </w:p>
        </w:tc>
        <w:tc>
          <w:tcPr>
            <w:tcW w:w="798" w:type="pct"/>
            <w:vAlign w:val="center"/>
          </w:tcPr>
          <w:p w14:paraId="41F73DE0" w14:textId="22C49B11" w:rsidR="00B927DC" w:rsidRPr="00EF2577" w:rsidRDefault="00B927DC" w:rsidP="00304069">
            <w:pPr>
              <w:jc w:val="center"/>
              <w:rPr>
                <w:rFonts w:ascii="Palatino Linotype" w:hAnsi="Palatino Linotype" w:cs="Arial"/>
                <w:color w:val="000000"/>
              </w:rPr>
            </w:pPr>
            <w:r w:rsidRPr="00EF2577">
              <w:rPr>
                <w:rFonts w:ascii="Palatino Linotype" w:hAnsi="Palatino Linotype" w:cs="Arial"/>
                <w:color w:val="000000"/>
              </w:rPr>
              <w:t>-0.82</w:t>
            </w:r>
          </w:p>
          <w:p w14:paraId="622C3C1B" w14:textId="27E5BAD2" w:rsidR="00B927DC" w:rsidRPr="00EF2577" w:rsidRDefault="00B927DC" w:rsidP="00304069">
            <w:pPr>
              <w:jc w:val="center"/>
              <w:rPr>
                <w:rFonts w:ascii="Palatino Linotype" w:hAnsi="Palatino Linotype"/>
              </w:rPr>
            </w:pPr>
            <w:r w:rsidRPr="00EF2577">
              <w:rPr>
                <w:rFonts w:ascii="Palatino Linotype" w:hAnsi="Palatino Linotype" w:cs="Arial"/>
                <w:color w:val="000000"/>
              </w:rPr>
              <w:t>(-3.29 – 0.83)</w:t>
            </w:r>
          </w:p>
        </w:tc>
        <w:tc>
          <w:tcPr>
            <w:tcW w:w="753" w:type="pct"/>
            <w:vAlign w:val="center"/>
          </w:tcPr>
          <w:p w14:paraId="560ACCEC" w14:textId="77777777" w:rsidR="00B927DC" w:rsidRPr="00EF2577" w:rsidRDefault="00B927DC" w:rsidP="00304069">
            <w:pPr>
              <w:jc w:val="center"/>
              <w:rPr>
                <w:rFonts w:ascii="Palatino Linotype" w:hAnsi="Palatino Linotype"/>
              </w:rPr>
            </w:pPr>
            <w:r w:rsidRPr="00EF2577">
              <w:rPr>
                <w:rFonts w:ascii="Palatino Linotype" w:hAnsi="Palatino Linotype" w:cs="Arial"/>
                <w:color w:val="000000"/>
              </w:rPr>
              <w:t>0.95</w:t>
            </w:r>
          </w:p>
        </w:tc>
        <w:tc>
          <w:tcPr>
            <w:tcW w:w="752" w:type="pct"/>
            <w:vAlign w:val="center"/>
          </w:tcPr>
          <w:p w14:paraId="6AB73CF1" w14:textId="464852AD"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4.58</w:t>
            </w:r>
          </w:p>
        </w:tc>
        <w:tc>
          <w:tcPr>
            <w:tcW w:w="753" w:type="pct"/>
            <w:vAlign w:val="center"/>
          </w:tcPr>
          <w:p w14:paraId="0921842A" w14:textId="5F989ED9" w:rsidR="00B927DC" w:rsidRPr="00EF2577" w:rsidRDefault="00B927DC" w:rsidP="000452FD">
            <w:pPr>
              <w:jc w:val="center"/>
              <w:rPr>
                <w:rFonts w:ascii="Palatino Linotype" w:hAnsi="Palatino Linotype" w:cs="Arial"/>
                <w:color w:val="000000"/>
              </w:rPr>
            </w:pPr>
            <w:r w:rsidRPr="00EF2577">
              <w:rPr>
                <w:rFonts w:ascii="Palatino Linotype" w:hAnsi="Palatino Linotype" w:cs="Arial"/>
                <w:color w:val="000000"/>
              </w:rPr>
              <w:t>119</w:t>
            </w:r>
          </w:p>
        </w:tc>
        <w:tc>
          <w:tcPr>
            <w:tcW w:w="749" w:type="pct"/>
            <w:vAlign w:val="center"/>
          </w:tcPr>
          <w:p w14:paraId="6E3DF77F" w14:textId="54BC4465" w:rsidR="00B927DC" w:rsidRPr="00EF2577" w:rsidRDefault="00B927DC" w:rsidP="00D95263">
            <w:pPr>
              <w:jc w:val="center"/>
              <w:rPr>
                <w:rFonts w:ascii="Palatino Linotype" w:hAnsi="Palatino Linotype" w:cs="Arial"/>
                <w:color w:val="000000"/>
              </w:rPr>
            </w:pPr>
            <w:r w:rsidRPr="00EF2577">
              <w:rPr>
                <w:rFonts w:ascii="Palatino Linotype" w:hAnsi="Palatino Linotype" w:cs="Arial"/>
                <w:color w:val="000000"/>
              </w:rPr>
              <w:t>.000</w:t>
            </w:r>
          </w:p>
        </w:tc>
      </w:tr>
    </w:tbl>
    <w:p w14:paraId="5E5A2669" w14:textId="133D92E3" w:rsidR="00385460" w:rsidRPr="00D95263" w:rsidRDefault="00D95263" w:rsidP="00D95263">
      <w:pPr>
        <w:rPr>
          <w:rFonts w:ascii="Palatino Linotype" w:hAnsi="Palatino Linotype"/>
        </w:rPr>
      </w:pPr>
      <w:r w:rsidRPr="00EF2577">
        <w:rPr>
          <w:rFonts w:ascii="Palatino Linotype" w:hAnsi="Palatino Linotype"/>
        </w:rPr>
        <w:t>*Equal variances not assumed</w:t>
      </w:r>
    </w:p>
    <w:p w14:paraId="5736C301" w14:textId="77777777" w:rsidR="00385460" w:rsidRDefault="00385460">
      <w:pPr>
        <w:rPr>
          <w:rFonts w:ascii="Times New Roman" w:hAnsi="Times New Roman" w:cs="Times New Roman"/>
        </w:rPr>
      </w:pPr>
      <w:r>
        <w:rPr>
          <w:rFonts w:ascii="Times New Roman" w:hAnsi="Times New Roman" w:cs="Times New Roman"/>
        </w:rPr>
        <w:br w:type="page"/>
      </w:r>
    </w:p>
    <w:p w14:paraId="6EDD7232" w14:textId="0658D998" w:rsidR="00033E40" w:rsidRPr="005E3DD2" w:rsidRDefault="00385460" w:rsidP="00EF4CAF">
      <w:pPr>
        <w:spacing w:line="480" w:lineRule="auto"/>
        <w:rPr>
          <w:rFonts w:ascii="Times New Roman" w:hAnsi="Times New Roman" w:cs="Times New Roman"/>
        </w:rPr>
      </w:pPr>
      <w:r>
        <w:rPr>
          <w:rFonts w:ascii="Times New Roman" w:hAnsi="Times New Roman" w:cs="Times New Roman"/>
        </w:rPr>
        <w:t>Table 3</w:t>
      </w:r>
      <w:r w:rsidR="00033E40" w:rsidRPr="008A4E9D">
        <w:rPr>
          <w:rFonts w:ascii="Times New Roman" w:hAnsi="Times New Roman" w:cs="Times New Roman"/>
        </w:rPr>
        <w:t xml:space="preserve">: Linear </w:t>
      </w:r>
      <w:r w:rsidR="00D6388B">
        <w:rPr>
          <w:rFonts w:ascii="Times New Roman" w:hAnsi="Times New Roman" w:cs="Times New Roman"/>
        </w:rPr>
        <w:t>r</w:t>
      </w:r>
      <w:r w:rsidR="00D6388B" w:rsidRPr="008A4E9D">
        <w:rPr>
          <w:rFonts w:ascii="Times New Roman" w:hAnsi="Times New Roman" w:cs="Times New Roman"/>
        </w:rPr>
        <w:t xml:space="preserve">egression </w:t>
      </w:r>
      <w:r w:rsidR="00D6388B">
        <w:rPr>
          <w:rFonts w:ascii="Times New Roman" w:hAnsi="Times New Roman" w:cs="Times New Roman"/>
        </w:rPr>
        <w:t xml:space="preserve">models </w:t>
      </w:r>
      <w:r w:rsidR="00033E40" w:rsidRPr="008A4E9D">
        <w:rPr>
          <w:rFonts w:ascii="Times New Roman" w:hAnsi="Times New Roman" w:cs="Times New Roman"/>
        </w:rPr>
        <w:t xml:space="preserve">predicting word-level reading accuracy and spelling at T3 &amp; T5 and reading comprehension at T5, </w:t>
      </w:r>
      <w:r w:rsidR="00033E40" w:rsidRPr="008A4E9D">
        <w:rPr>
          <w:rFonts w:ascii="Times New Roman" w:hAnsi="Times New Roman" w:cs="Times New Roman"/>
          <w:i/>
        </w:rPr>
        <w:t xml:space="preserve">in </w:t>
      </w:r>
      <w:r>
        <w:rPr>
          <w:rFonts w:ascii="Times New Roman" w:hAnsi="Times New Roman" w:cs="Times New Roman"/>
          <w:i/>
        </w:rPr>
        <w:t xml:space="preserve">the </w:t>
      </w:r>
      <w:r w:rsidR="00033E40" w:rsidRPr="008A4E9D">
        <w:rPr>
          <w:rFonts w:ascii="Times New Roman" w:hAnsi="Times New Roman" w:cs="Times New Roman"/>
          <w:i/>
        </w:rPr>
        <w:t xml:space="preserve">whole sample: </w:t>
      </w:r>
      <w:r w:rsidR="00033E40" w:rsidRPr="008A4E9D">
        <w:rPr>
          <w:rFonts w:ascii="Times New Roman" w:hAnsi="Times New Roman" w:cs="Times New Roman"/>
        </w:rPr>
        <w:t xml:space="preserve">prediction from SSD and LI status at T1 and family risk of dyslexia. </w:t>
      </w:r>
    </w:p>
    <w:tbl>
      <w:tblPr>
        <w:tblStyle w:val="TableGrid"/>
        <w:tblW w:w="5000" w:type="pct"/>
        <w:tblLook w:val="04A0" w:firstRow="1" w:lastRow="0" w:firstColumn="1" w:lastColumn="0" w:noHBand="0" w:noVBand="1"/>
      </w:tblPr>
      <w:tblGrid>
        <w:gridCol w:w="1669"/>
        <w:gridCol w:w="991"/>
        <w:gridCol w:w="1055"/>
        <w:gridCol w:w="991"/>
        <w:gridCol w:w="1055"/>
        <w:gridCol w:w="991"/>
        <w:gridCol w:w="1055"/>
        <w:gridCol w:w="992"/>
        <w:gridCol w:w="1055"/>
        <w:gridCol w:w="992"/>
        <w:gridCol w:w="1055"/>
        <w:gridCol w:w="992"/>
        <w:gridCol w:w="1055"/>
      </w:tblGrid>
      <w:tr w:rsidR="00DC14CF" w14:paraId="6D3736DA" w14:textId="77777777" w:rsidTr="00D6327F">
        <w:tc>
          <w:tcPr>
            <w:tcW w:w="609" w:type="pct"/>
          </w:tcPr>
          <w:p w14:paraId="4072DD5A" w14:textId="77777777" w:rsidR="00033E40" w:rsidRDefault="00033E40" w:rsidP="008A4E9D">
            <w:pPr>
              <w:spacing w:line="480" w:lineRule="auto"/>
            </w:pPr>
          </w:p>
        </w:tc>
        <w:tc>
          <w:tcPr>
            <w:tcW w:w="732" w:type="pct"/>
            <w:gridSpan w:val="2"/>
          </w:tcPr>
          <w:p w14:paraId="26F65F00" w14:textId="77777777" w:rsidR="009D1C23" w:rsidRDefault="00033E40" w:rsidP="009D1C23">
            <w:pPr>
              <w:spacing w:line="480" w:lineRule="auto"/>
              <w:rPr>
                <w:b/>
              </w:rPr>
            </w:pPr>
            <w:r>
              <w:rPr>
                <w:b/>
              </w:rPr>
              <w:t>Phoneme Awareness</w:t>
            </w:r>
            <w:r w:rsidR="009D1C23">
              <w:rPr>
                <w:b/>
              </w:rPr>
              <w:t xml:space="preserve"> </w:t>
            </w:r>
            <w:r w:rsidRPr="00660DD2">
              <w:rPr>
                <w:b/>
              </w:rPr>
              <w:t>T3</w:t>
            </w:r>
            <w:r w:rsidR="00BF476F">
              <w:rPr>
                <w:b/>
              </w:rPr>
              <w:t xml:space="preserve"> </w:t>
            </w:r>
          </w:p>
          <w:p w14:paraId="274D96C1" w14:textId="54A73E0B" w:rsidR="00033E40" w:rsidRDefault="00BF476F" w:rsidP="009D1C23">
            <w:pPr>
              <w:spacing w:line="480" w:lineRule="auto"/>
            </w:pPr>
            <w:r>
              <w:rPr>
                <w:b/>
              </w:rPr>
              <w:t>(N =224)</w:t>
            </w:r>
          </w:p>
        </w:tc>
        <w:tc>
          <w:tcPr>
            <w:tcW w:w="732" w:type="pct"/>
            <w:gridSpan w:val="2"/>
          </w:tcPr>
          <w:p w14:paraId="0BAA4077" w14:textId="77777777" w:rsidR="009D1C23" w:rsidRDefault="00033E40" w:rsidP="009D1C23">
            <w:pPr>
              <w:spacing w:line="480" w:lineRule="auto"/>
              <w:rPr>
                <w:b/>
              </w:rPr>
            </w:pPr>
            <w:r w:rsidRPr="00660DD2">
              <w:rPr>
                <w:b/>
              </w:rPr>
              <w:t>Word Reading T3</w:t>
            </w:r>
            <w:r w:rsidR="00BF476F">
              <w:rPr>
                <w:b/>
              </w:rPr>
              <w:t xml:space="preserve"> </w:t>
            </w:r>
          </w:p>
          <w:p w14:paraId="36062A33" w14:textId="1D77D692" w:rsidR="00033E40" w:rsidRDefault="00BF476F" w:rsidP="009D1C23">
            <w:pPr>
              <w:spacing w:line="480" w:lineRule="auto"/>
            </w:pPr>
            <w:r>
              <w:rPr>
                <w:b/>
              </w:rPr>
              <w:t>(N =222</w:t>
            </w:r>
            <w:r w:rsidRPr="00BF476F">
              <w:rPr>
                <w:b/>
              </w:rPr>
              <w:t>)</w:t>
            </w:r>
          </w:p>
        </w:tc>
        <w:tc>
          <w:tcPr>
            <w:tcW w:w="732" w:type="pct"/>
            <w:gridSpan w:val="2"/>
            <w:tcBorders>
              <w:right w:val="double" w:sz="4" w:space="0" w:color="auto"/>
            </w:tcBorders>
          </w:tcPr>
          <w:p w14:paraId="49A684A6" w14:textId="77777777" w:rsidR="009D1C23" w:rsidRDefault="00033E40" w:rsidP="009D1C23">
            <w:pPr>
              <w:spacing w:line="480" w:lineRule="auto"/>
              <w:rPr>
                <w:b/>
              </w:rPr>
            </w:pPr>
            <w:r>
              <w:rPr>
                <w:b/>
              </w:rPr>
              <w:t>Spelling</w:t>
            </w:r>
            <w:r w:rsidR="009D1C23">
              <w:rPr>
                <w:b/>
              </w:rPr>
              <w:t xml:space="preserve"> </w:t>
            </w:r>
            <w:r w:rsidRPr="00660DD2">
              <w:rPr>
                <w:b/>
              </w:rPr>
              <w:t>T3</w:t>
            </w:r>
            <w:r w:rsidR="00BF476F">
              <w:rPr>
                <w:b/>
              </w:rPr>
              <w:t xml:space="preserve"> </w:t>
            </w:r>
          </w:p>
          <w:p w14:paraId="47C3C2B8" w14:textId="143BA0BC" w:rsidR="00033E40" w:rsidRDefault="00BF476F" w:rsidP="009D1C23">
            <w:pPr>
              <w:spacing w:line="480" w:lineRule="auto"/>
            </w:pPr>
            <w:r w:rsidRPr="00BF476F">
              <w:rPr>
                <w:b/>
              </w:rPr>
              <w:t>(N =224)</w:t>
            </w:r>
          </w:p>
        </w:tc>
        <w:tc>
          <w:tcPr>
            <w:tcW w:w="732" w:type="pct"/>
            <w:gridSpan w:val="2"/>
            <w:tcBorders>
              <w:left w:val="double" w:sz="4" w:space="0" w:color="auto"/>
            </w:tcBorders>
          </w:tcPr>
          <w:p w14:paraId="7A4E2307" w14:textId="77777777" w:rsidR="009D1C23" w:rsidRDefault="00033E40" w:rsidP="008A4E9D">
            <w:pPr>
              <w:spacing w:line="480" w:lineRule="auto"/>
              <w:rPr>
                <w:b/>
              </w:rPr>
            </w:pPr>
            <w:r w:rsidRPr="00660DD2">
              <w:rPr>
                <w:b/>
              </w:rPr>
              <w:t>Word Reading T5</w:t>
            </w:r>
            <w:r w:rsidR="00BF476F">
              <w:rPr>
                <w:b/>
              </w:rPr>
              <w:t xml:space="preserve"> </w:t>
            </w:r>
          </w:p>
          <w:p w14:paraId="3C11F36C" w14:textId="22A2CB77" w:rsidR="00033E40" w:rsidRDefault="00BF476F" w:rsidP="008A4E9D">
            <w:pPr>
              <w:spacing w:line="480" w:lineRule="auto"/>
            </w:pPr>
            <w:r>
              <w:rPr>
                <w:b/>
              </w:rPr>
              <w:t>(N =218</w:t>
            </w:r>
            <w:r w:rsidRPr="00BF476F">
              <w:rPr>
                <w:b/>
              </w:rPr>
              <w:t>)</w:t>
            </w:r>
          </w:p>
        </w:tc>
        <w:tc>
          <w:tcPr>
            <w:tcW w:w="732" w:type="pct"/>
            <w:gridSpan w:val="2"/>
          </w:tcPr>
          <w:p w14:paraId="51877607" w14:textId="77777777" w:rsidR="009D1C23" w:rsidRDefault="00033E40" w:rsidP="009D1C23">
            <w:pPr>
              <w:spacing w:line="480" w:lineRule="auto"/>
              <w:rPr>
                <w:b/>
              </w:rPr>
            </w:pPr>
            <w:r>
              <w:rPr>
                <w:b/>
              </w:rPr>
              <w:t>Spelling</w:t>
            </w:r>
            <w:r w:rsidR="009D1C23">
              <w:rPr>
                <w:b/>
              </w:rPr>
              <w:t xml:space="preserve"> </w:t>
            </w:r>
            <w:r w:rsidRPr="00660DD2">
              <w:rPr>
                <w:b/>
              </w:rPr>
              <w:t>T</w:t>
            </w:r>
            <w:r>
              <w:rPr>
                <w:b/>
              </w:rPr>
              <w:t>5</w:t>
            </w:r>
            <w:r w:rsidR="009D1C23">
              <w:rPr>
                <w:b/>
              </w:rPr>
              <w:t xml:space="preserve">    </w:t>
            </w:r>
          </w:p>
          <w:p w14:paraId="798530B0" w14:textId="53A08E7F" w:rsidR="00033E40" w:rsidRDefault="00BF476F" w:rsidP="009D1C23">
            <w:pPr>
              <w:spacing w:line="480" w:lineRule="auto"/>
            </w:pPr>
            <w:r>
              <w:rPr>
                <w:b/>
              </w:rPr>
              <w:t>(N =219</w:t>
            </w:r>
            <w:r w:rsidRPr="00BF476F">
              <w:rPr>
                <w:b/>
              </w:rPr>
              <w:t>)</w:t>
            </w:r>
          </w:p>
        </w:tc>
        <w:tc>
          <w:tcPr>
            <w:tcW w:w="731" w:type="pct"/>
            <w:gridSpan w:val="2"/>
          </w:tcPr>
          <w:p w14:paraId="5AF11172" w14:textId="7F6AD3E1" w:rsidR="00033E40" w:rsidRPr="00BF476F" w:rsidRDefault="00033E40" w:rsidP="009D1C23">
            <w:pPr>
              <w:spacing w:line="480" w:lineRule="auto"/>
            </w:pPr>
            <w:r w:rsidRPr="00660DD2">
              <w:rPr>
                <w:b/>
              </w:rPr>
              <w:t>Reading</w:t>
            </w:r>
            <w:r>
              <w:rPr>
                <w:b/>
              </w:rPr>
              <w:t xml:space="preserve"> Comprehension</w:t>
            </w:r>
            <w:r w:rsidRPr="00660DD2">
              <w:rPr>
                <w:b/>
              </w:rPr>
              <w:t xml:space="preserve"> </w:t>
            </w:r>
            <w:r w:rsidR="009D1C23">
              <w:rPr>
                <w:b/>
              </w:rPr>
              <w:t>T</w:t>
            </w:r>
            <w:r>
              <w:rPr>
                <w:b/>
              </w:rPr>
              <w:t>5</w:t>
            </w:r>
            <w:r w:rsidR="009D1C23">
              <w:rPr>
                <w:b/>
              </w:rPr>
              <w:t xml:space="preserve"> </w:t>
            </w:r>
            <w:r w:rsidR="00BF476F">
              <w:rPr>
                <w:b/>
              </w:rPr>
              <w:t>(N =212</w:t>
            </w:r>
            <w:r w:rsidR="00BF476F" w:rsidRPr="00BF476F">
              <w:rPr>
                <w:b/>
              </w:rPr>
              <w:t>)</w:t>
            </w:r>
          </w:p>
        </w:tc>
      </w:tr>
      <w:tr w:rsidR="00934DE6" w14:paraId="26F913BB" w14:textId="77777777" w:rsidTr="00D6327F">
        <w:tc>
          <w:tcPr>
            <w:tcW w:w="609" w:type="pct"/>
          </w:tcPr>
          <w:p w14:paraId="7A402D5F" w14:textId="54C7C6DB" w:rsidR="00033E40" w:rsidRPr="00AC677F" w:rsidRDefault="00033E40" w:rsidP="00AC677F">
            <w:pPr>
              <w:spacing w:line="480" w:lineRule="auto"/>
            </w:pPr>
          </w:p>
        </w:tc>
        <w:tc>
          <w:tcPr>
            <w:tcW w:w="366" w:type="pct"/>
          </w:tcPr>
          <w:p w14:paraId="0B19902C" w14:textId="77777777" w:rsidR="00033E40" w:rsidRPr="00AC677F" w:rsidRDefault="00033E40" w:rsidP="00AC677F">
            <w:pPr>
              <w:spacing w:line="480" w:lineRule="auto"/>
            </w:pPr>
            <w:r w:rsidRPr="00AC677F">
              <w:t xml:space="preserve">Stand. </w:t>
            </w:r>
          </w:p>
          <w:p w14:paraId="6EBCA8CB" w14:textId="77777777" w:rsidR="00033E40" w:rsidRPr="00AC677F" w:rsidRDefault="00033E40" w:rsidP="00AC677F">
            <w:pPr>
              <w:spacing w:line="480" w:lineRule="auto"/>
            </w:pPr>
            <w:r w:rsidRPr="00AC677F">
              <w:t>beta</w:t>
            </w:r>
          </w:p>
        </w:tc>
        <w:tc>
          <w:tcPr>
            <w:tcW w:w="366" w:type="pct"/>
          </w:tcPr>
          <w:p w14:paraId="56A47885" w14:textId="054CA0F5" w:rsidR="00033E40" w:rsidRPr="00AC677F" w:rsidRDefault="00113070" w:rsidP="00AC677F">
            <w:pPr>
              <w:spacing w:line="480" w:lineRule="auto"/>
              <w:rPr>
                <w:vertAlign w:val="superscript"/>
              </w:rPr>
            </w:pPr>
            <w:r>
              <w:t xml:space="preserve">Total </w:t>
            </w:r>
            <w:r w:rsidR="00033E40" w:rsidRPr="00AC677F">
              <w:t>R</w:t>
            </w:r>
            <w:r w:rsidR="00033E40" w:rsidRPr="00AC677F">
              <w:rPr>
                <w:vertAlign w:val="superscript"/>
              </w:rPr>
              <w:t xml:space="preserve">2 </w:t>
            </w:r>
          </w:p>
          <w:p w14:paraId="7EB05B0F" w14:textId="031A49F0" w:rsidR="00033E40" w:rsidRPr="00AC677F" w:rsidRDefault="00033E40" w:rsidP="00D54ADB">
            <w:pPr>
              <w:spacing w:line="480" w:lineRule="auto"/>
            </w:pPr>
            <w:r w:rsidRPr="00AC677F">
              <w:t xml:space="preserve">= </w:t>
            </w:r>
            <w:r w:rsidR="00D54ADB">
              <w:t>11.3</w:t>
            </w:r>
            <w:r w:rsidRPr="00AC677F">
              <w:t>%</w:t>
            </w:r>
          </w:p>
        </w:tc>
        <w:tc>
          <w:tcPr>
            <w:tcW w:w="366" w:type="pct"/>
          </w:tcPr>
          <w:p w14:paraId="4EA238FF" w14:textId="77777777" w:rsidR="00033E40" w:rsidRPr="00AC677F" w:rsidRDefault="00033E40" w:rsidP="00AC677F">
            <w:pPr>
              <w:spacing w:line="480" w:lineRule="auto"/>
            </w:pPr>
            <w:r w:rsidRPr="00AC677F">
              <w:t xml:space="preserve">Stand. </w:t>
            </w:r>
          </w:p>
          <w:p w14:paraId="407173DD" w14:textId="77777777" w:rsidR="00033E40" w:rsidRPr="00AC677F" w:rsidRDefault="00033E40" w:rsidP="00AC677F">
            <w:pPr>
              <w:spacing w:line="480" w:lineRule="auto"/>
            </w:pPr>
            <w:r w:rsidRPr="00AC677F">
              <w:t>beta</w:t>
            </w:r>
          </w:p>
        </w:tc>
        <w:tc>
          <w:tcPr>
            <w:tcW w:w="366" w:type="pct"/>
          </w:tcPr>
          <w:p w14:paraId="5B76CE55" w14:textId="67C7933F" w:rsidR="00033E40" w:rsidRPr="00AC677F" w:rsidRDefault="00113070" w:rsidP="00AC677F">
            <w:pPr>
              <w:spacing w:line="480" w:lineRule="auto"/>
              <w:rPr>
                <w:vertAlign w:val="superscript"/>
              </w:rPr>
            </w:pPr>
            <w:r>
              <w:t xml:space="preserve">Total </w:t>
            </w:r>
            <w:r w:rsidR="00033E40" w:rsidRPr="00AC677F">
              <w:t>R</w:t>
            </w:r>
            <w:r w:rsidR="00033E40" w:rsidRPr="00AC677F">
              <w:rPr>
                <w:vertAlign w:val="superscript"/>
              </w:rPr>
              <w:t xml:space="preserve">2 </w:t>
            </w:r>
          </w:p>
          <w:p w14:paraId="77D6860A" w14:textId="6F0506F3" w:rsidR="00033E40" w:rsidRPr="00AC677F" w:rsidRDefault="00033E40" w:rsidP="00F720CC">
            <w:pPr>
              <w:spacing w:line="480" w:lineRule="auto"/>
            </w:pPr>
            <w:r w:rsidRPr="00AC677F">
              <w:t xml:space="preserve">= </w:t>
            </w:r>
            <w:r w:rsidR="00F720CC">
              <w:t>16.7</w:t>
            </w:r>
            <w:r w:rsidRPr="00AC677F">
              <w:t>%</w:t>
            </w:r>
          </w:p>
        </w:tc>
        <w:tc>
          <w:tcPr>
            <w:tcW w:w="366" w:type="pct"/>
          </w:tcPr>
          <w:p w14:paraId="7BE134CD" w14:textId="77777777" w:rsidR="00033E40" w:rsidRPr="00AC677F" w:rsidRDefault="00033E40" w:rsidP="00AC677F">
            <w:pPr>
              <w:spacing w:line="480" w:lineRule="auto"/>
            </w:pPr>
            <w:r w:rsidRPr="00AC677F">
              <w:t xml:space="preserve">Stand. </w:t>
            </w:r>
          </w:p>
          <w:p w14:paraId="09B39064" w14:textId="77777777" w:rsidR="00033E40" w:rsidRPr="00AC677F" w:rsidRDefault="00033E40" w:rsidP="00AC677F">
            <w:pPr>
              <w:spacing w:line="480" w:lineRule="auto"/>
            </w:pPr>
            <w:r w:rsidRPr="00AC677F">
              <w:t>beta</w:t>
            </w:r>
          </w:p>
        </w:tc>
        <w:tc>
          <w:tcPr>
            <w:tcW w:w="366" w:type="pct"/>
            <w:tcBorders>
              <w:right w:val="double" w:sz="4" w:space="0" w:color="auto"/>
            </w:tcBorders>
          </w:tcPr>
          <w:p w14:paraId="48B6FFCE" w14:textId="6E68B339" w:rsidR="00033E40" w:rsidRPr="00AC677F" w:rsidRDefault="00113070" w:rsidP="00AC677F">
            <w:pPr>
              <w:spacing w:line="480" w:lineRule="auto"/>
              <w:rPr>
                <w:vertAlign w:val="superscript"/>
              </w:rPr>
            </w:pPr>
            <w:r>
              <w:t xml:space="preserve">Total </w:t>
            </w:r>
            <w:r w:rsidR="00033E40" w:rsidRPr="00AC677F">
              <w:t>R</w:t>
            </w:r>
            <w:r w:rsidR="00033E40" w:rsidRPr="00AC677F">
              <w:rPr>
                <w:vertAlign w:val="superscript"/>
              </w:rPr>
              <w:t xml:space="preserve">2 </w:t>
            </w:r>
          </w:p>
          <w:p w14:paraId="2F805382" w14:textId="3E5EAB65" w:rsidR="00033E40" w:rsidRPr="00AC677F" w:rsidRDefault="00033E40" w:rsidP="00AC677F">
            <w:pPr>
              <w:spacing w:line="480" w:lineRule="auto"/>
            </w:pPr>
            <w:r w:rsidRPr="00AC677F">
              <w:t xml:space="preserve">= </w:t>
            </w:r>
            <w:r w:rsidR="00F720CC">
              <w:t>20.1</w:t>
            </w:r>
            <w:r w:rsidRPr="00AC677F">
              <w:t>%</w:t>
            </w:r>
          </w:p>
        </w:tc>
        <w:tc>
          <w:tcPr>
            <w:tcW w:w="366" w:type="pct"/>
            <w:tcBorders>
              <w:left w:val="double" w:sz="4" w:space="0" w:color="auto"/>
            </w:tcBorders>
          </w:tcPr>
          <w:p w14:paraId="69107B9D" w14:textId="77777777" w:rsidR="00033E40" w:rsidRPr="00AC677F" w:rsidRDefault="00033E40" w:rsidP="00AC677F">
            <w:pPr>
              <w:spacing w:line="480" w:lineRule="auto"/>
            </w:pPr>
            <w:r w:rsidRPr="00AC677F">
              <w:t xml:space="preserve">Stand. </w:t>
            </w:r>
          </w:p>
          <w:p w14:paraId="38632AA0" w14:textId="77777777" w:rsidR="00033E40" w:rsidRPr="00AC677F" w:rsidRDefault="00033E40" w:rsidP="00AC677F">
            <w:pPr>
              <w:spacing w:line="480" w:lineRule="auto"/>
            </w:pPr>
            <w:r w:rsidRPr="00AC677F">
              <w:t>beta</w:t>
            </w:r>
          </w:p>
        </w:tc>
        <w:tc>
          <w:tcPr>
            <w:tcW w:w="366" w:type="pct"/>
          </w:tcPr>
          <w:p w14:paraId="4F6707E0" w14:textId="41B07BA8" w:rsidR="00033E40" w:rsidRPr="00AC677F" w:rsidRDefault="00113070" w:rsidP="00AC677F">
            <w:pPr>
              <w:spacing w:line="480" w:lineRule="auto"/>
              <w:rPr>
                <w:vertAlign w:val="superscript"/>
              </w:rPr>
            </w:pPr>
            <w:r>
              <w:t xml:space="preserve">Total </w:t>
            </w:r>
            <w:r w:rsidR="00033E40" w:rsidRPr="00AC677F">
              <w:t>R</w:t>
            </w:r>
            <w:r w:rsidR="00033E40" w:rsidRPr="00AC677F">
              <w:rPr>
                <w:vertAlign w:val="superscript"/>
              </w:rPr>
              <w:t xml:space="preserve">2 </w:t>
            </w:r>
          </w:p>
          <w:p w14:paraId="3EA60EB7" w14:textId="0317E48C" w:rsidR="00033E40" w:rsidRPr="00AC677F" w:rsidRDefault="00DD2EE6" w:rsidP="00AC677F">
            <w:pPr>
              <w:spacing w:line="480" w:lineRule="auto"/>
            </w:pPr>
            <w:r>
              <w:t>= 10</w:t>
            </w:r>
            <w:r w:rsidR="00033E40" w:rsidRPr="00AC677F">
              <w:t>.</w:t>
            </w:r>
            <w:r>
              <w:t>1</w:t>
            </w:r>
            <w:r w:rsidR="00033E40" w:rsidRPr="00AC677F">
              <w:t>%</w:t>
            </w:r>
          </w:p>
        </w:tc>
        <w:tc>
          <w:tcPr>
            <w:tcW w:w="366" w:type="pct"/>
          </w:tcPr>
          <w:p w14:paraId="038F635E" w14:textId="77777777" w:rsidR="00033E40" w:rsidRPr="00AC677F" w:rsidRDefault="00033E40" w:rsidP="00AC677F">
            <w:pPr>
              <w:spacing w:line="480" w:lineRule="auto"/>
            </w:pPr>
            <w:r w:rsidRPr="00AC677F">
              <w:t xml:space="preserve">Stand. </w:t>
            </w:r>
          </w:p>
          <w:p w14:paraId="2EE3BB4E" w14:textId="77777777" w:rsidR="00033E40" w:rsidRPr="00AC677F" w:rsidRDefault="00033E40" w:rsidP="00AC677F">
            <w:pPr>
              <w:spacing w:line="480" w:lineRule="auto"/>
            </w:pPr>
            <w:r w:rsidRPr="00AC677F">
              <w:t>beta</w:t>
            </w:r>
          </w:p>
        </w:tc>
        <w:tc>
          <w:tcPr>
            <w:tcW w:w="366" w:type="pct"/>
          </w:tcPr>
          <w:p w14:paraId="719574FA" w14:textId="2A84AFE1" w:rsidR="00033E40" w:rsidRPr="00AC677F" w:rsidRDefault="00113070" w:rsidP="00AC677F">
            <w:pPr>
              <w:spacing w:line="480" w:lineRule="auto"/>
              <w:rPr>
                <w:vertAlign w:val="superscript"/>
              </w:rPr>
            </w:pPr>
            <w:r>
              <w:t xml:space="preserve">Total </w:t>
            </w:r>
            <w:r w:rsidR="00033E40" w:rsidRPr="00AC677F">
              <w:t>R</w:t>
            </w:r>
            <w:r w:rsidR="00033E40" w:rsidRPr="00AC677F">
              <w:rPr>
                <w:vertAlign w:val="superscript"/>
              </w:rPr>
              <w:t xml:space="preserve">2 </w:t>
            </w:r>
          </w:p>
          <w:p w14:paraId="0DB58C44" w14:textId="7C227E4A" w:rsidR="00033E40" w:rsidRPr="00AC677F" w:rsidRDefault="00033E40" w:rsidP="00AC677F">
            <w:pPr>
              <w:spacing w:line="480" w:lineRule="auto"/>
            </w:pPr>
            <w:r w:rsidRPr="00AC677F">
              <w:t xml:space="preserve">= </w:t>
            </w:r>
            <w:r w:rsidR="00CF70E3">
              <w:t>8.4</w:t>
            </w:r>
            <w:r w:rsidRPr="00AC677F">
              <w:t>%</w:t>
            </w:r>
          </w:p>
        </w:tc>
        <w:tc>
          <w:tcPr>
            <w:tcW w:w="366" w:type="pct"/>
          </w:tcPr>
          <w:p w14:paraId="08D2C07B" w14:textId="77777777" w:rsidR="00033E40" w:rsidRPr="00AC677F" w:rsidRDefault="00033E40" w:rsidP="00AC677F">
            <w:pPr>
              <w:spacing w:line="480" w:lineRule="auto"/>
            </w:pPr>
            <w:r w:rsidRPr="00AC677F">
              <w:t xml:space="preserve">Stand. </w:t>
            </w:r>
          </w:p>
          <w:p w14:paraId="182EF5DE" w14:textId="77777777" w:rsidR="00033E40" w:rsidRPr="00AC677F" w:rsidRDefault="00033E40" w:rsidP="00AC677F">
            <w:pPr>
              <w:spacing w:line="480" w:lineRule="auto"/>
            </w:pPr>
            <w:r w:rsidRPr="00AC677F">
              <w:t>beta</w:t>
            </w:r>
          </w:p>
        </w:tc>
        <w:tc>
          <w:tcPr>
            <w:tcW w:w="365" w:type="pct"/>
          </w:tcPr>
          <w:p w14:paraId="5C9B0E8D" w14:textId="3F5C0808" w:rsidR="00033E40" w:rsidRPr="00AC677F" w:rsidRDefault="00113070" w:rsidP="00AC677F">
            <w:pPr>
              <w:spacing w:line="480" w:lineRule="auto"/>
              <w:rPr>
                <w:vertAlign w:val="superscript"/>
              </w:rPr>
            </w:pPr>
            <w:r>
              <w:t xml:space="preserve">Total </w:t>
            </w:r>
            <w:r w:rsidR="00033E40" w:rsidRPr="00AC677F">
              <w:t>R</w:t>
            </w:r>
            <w:r w:rsidR="00033E40" w:rsidRPr="00AC677F">
              <w:rPr>
                <w:vertAlign w:val="superscript"/>
              </w:rPr>
              <w:t xml:space="preserve">2  </w:t>
            </w:r>
          </w:p>
          <w:p w14:paraId="438A2D4F" w14:textId="6B9DCD83" w:rsidR="00033E40" w:rsidRPr="00AC677F" w:rsidRDefault="00CF70E3" w:rsidP="00AC677F">
            <w:pPr>
              <w:spacing w:line="480" w:lineRule="auto"/>
            </w:pPr>
            <w:r>
              <w:t>= 17.3</w:t>
            </w:r>
            <w:r w:rsidR="00033E40" w:rsidRPr="00AC677F">
              <w:t>%</w:t>
            </w:r>
          </w:p>
        </w:tc>
      </w:tr>
      <w:tr w:rsidR="00934DE6" w14:paraId="56E5DF18" w14:textId="77777777" w:rsidTr="00D6327F">
        <w:tc>
          <w:tcPr>
            <w:tcW w:w="609" w:type="pct"/>
          </w:tcPr>
          <w:p w14:paraId="3C76B338" w14:textId="77777777" w:rsidR="00033E40" w:rsidRPr="008A4E9D" w:rsidRDefault="00033E40" w:rsidP="008A4E9D">
            <w:pPr>
              <w:spacing w:line="480" w:lineRule="auto"/>
            </w:pPr>
          </w:p>
        </w:tc>
        <w:tc>
          <w:tcPr>
            <w:tcW w:w="366" w:type="pct"/>
          </w:tcPr>
          <w:p w14:paraId="30C62D5B" w14:textId="77777777" w:rsidR="00033E40" w:rsidRPr="00AC677F" w:rsidRDefault="00033E40" w:rsidP="008A4E9D">
            <w:pPr>
              <w:spacing w:line="480" w:lineRule="auto"/>
            </w:pPr>
          </w:p>
        </w:tc>
        <w:tc>
          <w:tcPr>
            <w:tcW w:w="366" w:type="pct"/>
          </w:tcPr>
          <w:p w14:paraId="3DC6D6DF" w14:textId="3392AD60" w:rsidR="00033E40" w:rsidRPr="008A4E9D" w:rsidRDefault="00113070" w:rsidP="008A4E9D">
            <w:pPr>
              <w:spacing w:line="480" w:lineRule="auto"/>
              <w:rPr>
                <w:vertAlign w:val="superscript"/>
              </w:rPr>
            </w:pPr>
            <w:r>
              <w:t>Unique</w:t>
            </w:r>
            <w:r w:rsidRPr="00113070">
              <w:t>R</w:t>
            </w:r>
            <w:r w:rsidRPr="00113070">
              <w:rPr>
                <w:vertAlign w:val="superscript"/>
              </w:rPr>
              <w:t xml:space="preserve">2 </w:t>
            </w:r>
          </w:p>
        </w:tc>
        <w:tc>
          <w:tcPr>
            <w:tcW w:w="366" w:type="pct"/>
          </w:tcPr>
          <w:p w14:paraId="102E088C" w14:textId="77777777" w:rsidR="00033E40" w:rsidRPr="00D6388B" w:rsidRDefault="00033E40" w:rsidP="008A4E9D">
            <w:pPr>
              <w:spacing w:line="480" w:lineRule="auto"/>
            </w:pPr>
          </w:p>
        </w:tc>
        <w:tc>
          <w:tcPr>
            <w:tcW w:w="366" w:type="pct"/>
          </w:tcPr>
          <w:p w14:paraId="510AAD0A" w14:textId="7397FF98" w:rsidR="00033E40" w:rsidRPr="00D6388B" w:rsidRDefault="00113070" w:rsidP="008A4E9D">
            <w:pPr>
              <w:spacing w:line="480" w:lineRule="auto"/>
            </w:pPr>
            <w:r w:rsidRPr="00113070">
              <w:t>UniqueR</w:t>
            </w:r>
            <w:r w:rsidRPr="00113070">
              <w:rPr>
                <w:vertAlign w:val="superscript"/>
              </w:rPr>
              <w:t>2</w:t>
            </w:r>
          </w:p>
        </w:tc>
        <w:tc>
          <w:tcPr>
            <w:tcW w:w="366" w:type="pct"/>
          </w:tcPr>
          <w:p w14:paraId="219D2BBB" w14:textId="77777777" w:rsidR="00033E40" w:rsidRPr="00D6388B" w:rsidRDefault="00033E40" w:rsidP="008A4E9D">
            <w:pPr>
              <w:spacing w:line="480" w:lineRule="auto"/>
            </w:pPr>
          </w:p>
        </w:tc>
        <w:tc>
          <w:tcPr>
            <w:tcW w:w="366" w:type="pct"/>
            <w:tcBorders>
              <w:right w:val="double" w:sz="4" w:space="0" w:color="auto"/>
            </w:tcBorders>
          </w:tcPr>
          <w:p w14:paraId="25A36945" w14:textId="1B31FA74" w:rsidR="00033E40" w:rsidRPr="002C2DEE" w:rsidRDefault="00113070" w:rsidP="008A4E9D">
            <w:pPr>
              <w:spacing w:line="480" w:lineRule="auto"/>
            </w:pPr>
            <w:r w:rsidRPr="00113070">
              <w:t>UniqueR</w:t>
            </w:r>
            <w:r w:rsidRPr="00113070">
              <w:rPr>
                <w:vertAlign w:val="superscript"/>
              </w:rPr>
              <w:t>2</w:t>
            </w:r>
          </w:p>
        </w:tc>
        <w:tc>
          <w:tcPr>
            <w:tcW w:w="366" w:type="pct"/>
            <w:tcBorders>
              <w:left w:val="double" w:sz="4" w:space="0" w:color="auto"/>
            </w:tcBorders>
          </w:tcPr>
          <w:p w14:paraId="090A48B9" w14:textId="77777777" w:rsidR="00033E40" w:rsidRPr="002C2DEE" w:rsidRDefault="00033E40" w:rsidP="008A4E9D">
            <w:pPr>
              <w:spacing w:line="480" w:lineRule="auto"/>
            </w:pPr>
          </w:p>
        </w:tc>
        <w:tc>
          <w:tcPr>
            <w:tcW w:w="366" w:type="pct"/>
          </w:tcPr>
          <w:p w14:paraId="6A948DB6" w14:textId="0F9FA42D" w:rsidR="00033E40" w:rsidRPr="002C2DEE" w:rsidRDefault="00113070" w:rsidP="008A4E9D">
            <w:pPr>
              <w:spacing w:line="480" w:lineRule="auto"/>
            </w:pPr>
            <w:r w:rsidRPr="00113070">
              <w:t>UniqueR</w:t>
            </w:r>
            <w:r w:rsidRPr="00113070">
              <w:rPr>
                <w:vertAlign w:val="superscript"/>
              </w:rPr>
              <w:t>2</w:t>
            </w:r>
          </w:p>
        </w:tc>
        <w:tc>
          <w:tcPr>
            <w:tcW w:w="366" w:type="pct"/>
          </w:tcPr>
          <w:p w14:paraId="600D7B46" w14:textId="77777777" w:rsidR="00033E40" w:rsidRPr="002C2DEE" w:rsidRDefault="00033E40" w:rsidP="008A4E9D">
            <w:pPr>
              <w:spacing w:line="480" w:lineRule="auto"/>
            </w:pPr>
          </w:p>
        </w:tc>
        <w:tc>
          <w:tcPr>
            <w:tcW w:w="366" w:type="pct"/>
          </w:tcPr>
          <w:p w14:paraId="003F0573" w14:textId="43B33531" w:rsidR="00033E40" w:rsidRPr="002C2DEE" w:rsidRDefault="00113070" w:rsidP="008A4E9D">
            <w:pPr>
              <w:spacing w:line="480" w:lineRule="auto"/>
            </w:pPr>
            <w:r w:rsidRPr="00113070">
              <w:t>UniqueR</w:t>
            </w:r>
            <w:r w:rsidRPr="00113070">
              <w:rPr>
                <w:vertAlign w:val="superscript"/>
              </w:rPr>
              <w:t>2</w:t>
            </w:r>
          </w:p>
        </w:tc>
        <w:tc>
          <w:tcPr>
            <w:tcW w:w="366" w:type="pct"/>
          </w:tcPr>
          <w:p w14:paraId="0CC0B82A" w14:textId="77777777" w:rsidR="00033E40" w:rsidRPr="002C2DEE" w:rsidRDefault="00033E40" w:rsidP="008A4E9D">
            <w:pPr>
              <w:spacing w:line="480" w:lineRule="auto"/>
            </w:pPr>
          </w:p>
        </w:tc>
        <w:tc>
          <w:tcPr>
            <w:tcW w:w="365" w:type="pct"/>
          </w:tcPr>
          <w:p w14:paraId="5865DD41" w14:textId="7481BBD2" w:rsidR="00033E40" w:rsidRPr="002C2DEE" w:rsidRDefault="00113070" w:rsidP="008A4E9D">
            <w:pPr>
              <w:spacing w:line="480" w:lineRule="auto"/>
            </w:pPr>
            <w:r w:rsidRPr="00113070">
              <w:t>UniqueR</w:t>
            </w:r>
            <w:r w:rsidRPr="00113070">
              <w:rPr>
                <w:vertAlign w:val="superscript"/>
              </w:rPr>
              <w:t>2</w:t>
            </w:r>
          </w:p>
        </w:tc>
      </w:tr>
      <w:tr w:rsidR="00934DE6" w14:paraId="7CC89832" w14:textId="77777777" w:rsidTr="00D6327F">
        <w:tc>
          <w:tcPr>
            <w:tcW w:w="609" w:type="pct"/>
          </w:tcPr>
          <w:p w14:paraId="4BAC7A21" w14:textId="77777777" w:rsidR="00033E40" w:rsidRPr="008A4E9D" w:rsidRDefault="00033E40" w:rsidP="008A4E9D">
            <w:pPr>
              <w:spacing w:line="480" w:lineRule="auto"/>
            </w:pPr>
            <w:r w:rsidRPr="008A4E9D">
              <w:t>SSD at T1</w:t>
            </w:r>
          </w:p>
        </w:tc>
        <w:tc>
          <w:tcPr>
            <w:tcW w:w="366" w:type="pct"/>
          </w:tcPr>
          <w:p w14:paraId="4E83E444" w14:textId="6A0441AF" w:rsidR="00113070" w:rsidRDefault="00033E40" w:rsidP="008A4E9D">
            <w:pPr>
              <w:spacing w:line="480" w:lineRule="auto"/>
            </w:pPr>
            <w:r w:rsidRPr="008A4E9D">
              <w:t>-.2</w:t>
            </w:r>
            <w:r w:rsidR="00D54ADB">
              <w:t>6</w:t>
            </w:r>
            <w:r w:rsidR="00974578">
              <w:t>***</w:t>
            </w:r>
          </w:p>
          <w:p w14:paraId="5A7FA87B" w14:textId="16F40422" w:rsidR="00033E40" w:rsidRPr="008A4E9D" w:rsidRDefault="00033E40" w:rsidP="008A4E9D">
            <w:pPr>
              <w:spacing w:line="480" w:lineRule="auto"/>
            </w:pPr>
          </w:p>
        </w:tc>
        <w:tc>
          <w:tcPr>
            <w:tcW w:w="366" w:type="pct"/>
          </w:tcPr>
          <w:p w14:paraId="6E6F5BC2" w14:textId="2CA18CD1" w:rsidR="00033E40" w:rsidRPr="008A4E9D" w:rsidRDefault="00C47452" w:rsidP="008A4E9D">
            <w:pPr>
              <w:spacing w:line="480" w:lineRule="auto"/>
            </w:pPr>
            <w:r>
              <w:t>5.</w:t>
            </w:r>
            <w:r w:rsidR="00D54ADB">
              <w:t>8</w:t>
            </w:r>
            <w:r w:rsidR="00033E40" w:rsidRPr="008A4E9D">
              <w:t>%</w:t>
            </w:r>
          </w:p>
        </w:tc>
        <w:tc>
          <w:tcPr>
            <w:tcW w:w="366" w:type="pct"/>
          </w:tcPr>
          <w:p w14:paraId="0AFBDF58" w14:textId="6F4FFD23" w:rsidR="00033E40" w:rsidRDefault="00F720CC" w:rsidP="008A4E9D">
            <w:pPr>
              <w:spacing w:line="480" w:lineRule="auto"/>
            </w:pPr>
            <w:r>
              <w:t>-.11</w:t>
            </w:r>
          </w:p>
          <w:p w14:paraId="412022F4" w14:textId="43867C48" w:rsidR="00113070" w:rsidRPr="00AC677F" w:rsidRDefault="00113070" w:rsidP="008A4E9D">
            <w:pPr>
              <w:spacing w:line="480" w:lineRule="auto"/>
            </w:pPr>
          </w:p>
        </w:tc>
        <w:tc>
          <w:tcPr>
            <w:tcW w:w="366" w:type="pct"/>
          </w:tcPr>
          <w:p w14:paraId="08E9BFB0" w14:textId="2A069143" w:rsidR="00033E40" w:rsidRPr="00D6388B" w:rsidRDefault="00F720CC" w:rsidP="008A4E9D">
            <w:pPr>
              <w:spacing w:line="480" w:lineRule="auto"/>
            </w:pPr>
            <w:r>
              <w:t>0.9</w:t>
            </w:r>
            <w:r w:rsidR="00033E40" w:rsidRPr="00D6388B">
              <w:t>%</w:t>
            </w:r>
          </w:p>
        </w:tc>
        <w:tc>
          <w:tcPr>
            <w:tcW w:w="366" w:type="pct"/>
          </w:tcPr>
          <w:p w14:paraId="18368C4D" w14:textId="63F5476B" w:rsidR="00113070" w:rsidRDefault="00F720CC" w:rsidP="008A4E9D">
            <w:pPr>
              <w:spacing w:line="480" w:lineRule="auto"/>
            </w:pPr>
            <w:r>
              <w:t>-.20</w:t>
            </w:r>
            <w:r w:rsidR="00974578">
              <w:t>**</w:t>
            </w:r>
          </w:p>
          <w:p w14:paraId="0A6B7CA3" w14:textId="687967CE" w:rsidR="00033E40" w:rsidRPr="008A4E9D" w:rsidRDefault="00033E40" w:rsidP="008A4E9D">
            <w:pPr>
              <w:spacing w:line="480" w:lineRule="auto"/>
            </w:pPr>
          </w:p>
        </w:tc>
        <w:tc>
          <w:tcPr>
            <w:tcW w:w="366" w:type="pct"/>
            <w:tcBorders>
              <w:right w:val="double" w:sz="4" w:space="0" w:color="auto"/>
            </w:tcBorders>
          </w:tcPr>
          <w:p w14:paraId="58992772" w14:textId="0D3B8299" w:rsidR="00033E40" w:rsidRPr="008A4E9D" w:rsidRDefault="00F720CC" w:rsidP="008A4E9D">
            <w:pPr>
              <w:spacing w:line="480" w:lineRule="auto"/>
            </w:pPr>
            <w:r>
              <w:t>3.4</w:t>
            </w:r>
            <w:r w:rsidR="00033E40" w:rsidRPr="008A4E9D">
              <w:t>%</w:t>
            </w:r>
          </w:p>
        </w:tc>
        <w:tc>
          <w:tcPr>
            <w:tcW w:w="366" w:type="pct"/>
            <w:tcBorders>
              <w:left w:val="double" w:sz="4" w:space="0" w:color="auto"/>
            </w:tcBorders>
          </w:tcPr>
          <w:p w14:paraId="3F272ACA" w14:textId="63E676BE" w:rsidR="00033E40" w:rsidRDefault="00033E40" w:rsidP="008A4E9D">
            <w:pPr>
              <w:spacing w:line="480" w:lineRule="auto"/>
            </w:pPr>
            <w:r w:rsidRPr="008A4E9D">
              <w:t>-.1</w:t>
            </w:r>
            <w:r w:rsidR="00DD2EE6">
              <w:t>5</w:t>
            </w:r>
            <w:r w:rsidR="00974578">
              <w:t>*</w:t>
            </w:r>
          </w:p>
          <w:p w14:paraId="068B1D07" w14:textId="49DDFF46" w:rsidR="00934DE6" w:rsidRPr="008A4E9D" w:rsidRDefault="00934DE6" w:rsidP="008A4E9D">
            <w:pPr>
              <w:spacing w:line="480" w:lineRule="auto"/>
            </w:pPr>
          </w:p>
        </w:tc>
        <w:tc>
          <w:tcPr>
            <w:tcW w:w="366" w:type="pct"/>
          </w:tcPr>
          <w:p w14:paraId="21E55C81" w14:textId="24903FCA" w:rsidR="00033E40" w:rsidRPr="008A4E9D" w:rsidRDefault="00DD2EE6" w:rsidP="008A4E9D">
            <w:pPr>
              <w:spacing w:line="480" w:lineRule="auto"/>
            </w:pPr>
            <w:r>
              <w:t>1.9</w:t>
            </w:r>
            <w:r w:rsidR="00033E40" w:rsidRPr="008A4E9D">
              <w:t>%</w:t>
            </w:r>
          </w:p>
        </w:tc>
        <w:tc>
          <w:tcPr>
            <w:tcW w:w="366" w:type="pct"/>
          </w:tcPr>
          <w:p w14:paraId="6445ADC2" w14:textId="10C32FBC" w:rsidR="00033E40" w:rsidRDefault="00CF70E3" w:rsidP="008A4E9D">
            <w:pPr>
              <w:spacing w:line="480" w:lineRule="auto"/>
            </w:pPr>
            <w:r>
              <w:t>-.07</w:t>
            </w:r>
          </w:p>
          <w:p w14:paraId="771A74DC" w14:textId="501C89BB" w:rsidR="00934DE6" w:rsidRPr="00AC677F" w:rsidRDefault="00934DE6" w:rsidP="008A4E9D">
            <w:pPr>
              <w:spacing w:line="480" w:lineRule="auto"/>
            </w:pPr>
          </w:p>
        </w:tc>
        <w:tc>
          <w:tcPr>
            <w:tcW w:w="366" w:type="pct"/>
          </w:tcPr>
          <w:p w14:paraId="4D021E5F" w14:textId="74613D3D" w:rsidR="00033E40" w:rsidRPr="00D6388B" w:rsidRDefault="00CF70E3" w:rsidP="008A4E9D">
            <w:pPr>
              <w:spacing w:line="480" w:lineRule="auto"/>
            </w:pPr>
            <w:r>
              <w:t>0.4</w:t>
            </w:r>
            <w:r w:rsidR="00934DE6">
              <w:t>%</w:t>
            </w:r>
          </w:p>
        </w:tc>
        <w:tc>
          <w:tcPr>
            <w:tcW w:w="366" w:type="pct"/>
          </w:tcPr>
          <w:p w14:paraId="017B2BB6" w14:textId="77777777" w:rsidR="00033E40" w:rsidRDefault="00033E40" w:rsidP="008A4E9D">
            <w:pPr>
              <w:spacing w:line="480" w:lineRule="auto"/>
            </w:pPr>
            <w:r w:rsidRPr="00D6388B">
              <w:t>-.10</w:t>
            </w:r>
          </w:p>
          <w:p w14:paraId="6554057D" w14:textId="14EB47CD" w:rsidR="00DC14CF" w:rsidRPr="00D6388B" w:rsidRDefault="00DC14CF" w:rsidP="008A4E9D">
            <w:pPr>
              <w:spacing w:line="480" w:lineRule="auto"/>
            </w:pPr>
          </w:p>
        </w:tc>
        <w:tc>
          <w:tcPr>
            <w:tcW w:w="365" w:type="pct"/>
          </w:tcPr>
          <w:p w14:paraId="63638A96" w14:textId="06173DF0" w:rsidR="00033E40" w:rsidRPr="00D6388B" w:rsidRDefault="00CF70E3" w:rsidP="008A4E9D">
            <w:pPr>
              <w:spacing w:line="480" w:lineRule="auto"/>
            </w:pPr>
            <w:r>
              <w:t>0.8</w:t>
            </w:r>
            <w:r w:rsidR="00033E40" w:rsidRPr="00D6388B">
              <w:t>%</w:t>
            </w:r>
          </w:p>
        </w:tc>
      </w:tr>
      <w:tr w:rsidR="00934DE6" w14:paraId="572AF6CC" w14:textId="77777777" w:rsidTr="00D6327F">
        <w:tc>
          <w:tcPr>
            <w:tcW w:w="609" w:type="pct"/>
          </w:tcPr>
          <w:p w14:paraId="3683B219" w14:textId="77777777" w:rsidR="00033E40" w:rsidRPr="008A4E9D" w:rsidRDefault="00033E40" w:rsidP="008A4E9D">
            <w:pPr>
              <w:spacing w:line="480" w:lineRule="auto"/>
            </w:pPr>
            <w:r w:rsidRPr="008A4E9D">
              <w:t>LI at T1</w:t>
            </w:r>
          </w:p>
        </w:tc>
        <w:tc>
          <w:tcPr>
            <w:tcW w:w="366" w:type="pct"/>
          </w:tcPr>
          <w:p w14:paraId="10EC1020" w14:textId="4058B9EE" w:rsidR="00113070" w:rsidRDefault="00033E40" w:rsidP="008A4E9D">
            <w:pPr>
              <w:spacing w:line="480" w:lineRule="auto"/>
            </w:pPr>
            <w:r w:rsidRPr="008A4E9D">
              <w:t>-.</w:t>
            </w:r>
            <w:r w:rsidR="008A4E9D">
              <w:t>24</w:t>
            </w:r>
            <w:r w:rsidR="00974578">
              <w:t>***</w:t>
            </w:r>
          </w:p>
          <w:p w14:paraId="395C4EA7" w14:textId="084ED3CD" w:rsidR="00033E40" w:rsidRPr="008A4E9D" w:rsidRDefault="00033E40" w:rsidP="008A4E9D">
            <w:pPr>
              <w:spacing w:line="480" w:lineRule="auto"/>
            </w:pPr>
          </w:p>
        </w:tc>
        <w:tc>
          <w:tcPr>
            <w:tcW w:w="366" w:type="pct"/>
          </w:tcPr>
          <w:p w14:paraId="254233D0" w14:textId="4CEFB234" w:rsidR="00033E40" w:rsidRPr="008A4E9D" w:rsidRDefault="008A4E9D" w:rsidP="008A4E9D">
            <w:pPr>
              <w:spacing w:line="480" w:lineRule="auto"/>
            </w:pPr>
            <w:r>
              <w:t>4.9</w:t>
            </w:r>
            <w:r w:rsidR="00033E40" w:rsidRPr="008A4E9D">
              <w:t>%</w:t>
            </w:r>
          </w:p>
        </w:tc>
        <w:tc>
          <w:tcPr>
            <w:tcW w:w="366" w:type="pct"/>
          </w:tcPr>
          <w:p w14:paraId="7DE079F5" w14:textId="3BB9DA37" w:rsidR="00113070" w:rsidRDefault="00F720CC" w:rsidP="008A4E9D">
            <w:pPr>
              <w:spacing w:line="480" w:lineRule="auto"/>
            </w:pPr>
            <w:r>
              <w:t>-.31</w:t>
            </w:r>
            <w:r w:rsidR="00974578">
              <w:t>***</w:t>
            </w:r>
          </w:p>
          <w:p w14:paraId="77CA6F8D" w14:textId="123B922A" w:rsidR="00033E40" w:rsidRPr="008A4E9D" w:rsidRDefault="00033E40" w:rsidP="00F720CC">
            <w:pPr>
              <w:spacing w:line="480" w:lineRule="auto"/>
            </w:pPr>
          </w:p>
        </w:tc>
        <w:tc>
          <w:tcPr>
            <w:tcW w:w="366" w:type="pct"/>
          </w:tcPr>
          <w:p w14:paraId="2C266EE2" w14:textId="33341C36" w:rsidR="00033E40" w:rsidRPr="008A4E9D" w:rsidRDefault="00F720CC" w:rsidP="008A4E9D">
            <w:pPr>
              <w:spacing w:line="480" w:lineRule="auto"/>
            </w:pPr>
            <w:r>
              <w:t>8.5</w:t>
            </w:r>
            <w:r w:rsidR="00033E40" w:rsidRPr="008A4E9D">
              <w:t>%</w:t>
            </w:r>
          </w:p>
        </w:tc>
        <w:tc>
          <w:tcPr>
            <w:tcW w:w="366" w:type="pct"/>
          </w:tcPr>
          <w:p w14:paraId="676D6B47" w14:textId="53C1D319" w:rsidR="00113070" w:rsidRDefault="00033E40" w:rsidP="008A4E9D">
            <w:pPr>
              <w:spacing w:line="480" w:lineRule="auto"/>
            </w:pPr>
            <w:r w:rsidRPr="008A4E9D">
              <w:t>-.3</w:t>
            </w:r>
            <w:r w:rsidR="00F720CC">
              <w:t>2</w:t>
            </w:r>
            <w:r w:rsidR="00974578">
              <w:t>***</w:t>
            </w:r>
          </w:p>
          <w:p w14:paraId="597894EA" w14:textId="7B24438A" w:rsidR="00033E40" w:rsidRPr="008A4E9D" w:rsidRDefault="00033E40" w:rsidP="008A4E9D">
            <w:pPr>
              <w:spacing w:line="480" w:lineRule="auto"/>
            </w:pPr>
          </w:p>
        </w:tc>
        <w:tc>
          <w:tcPr>
            <w:tcW w:w="366" w:type="pct"/>
            <w:tcBorders>
              <w:right w:val="double" w:sz="4" w:space="0" w:color="auto"/>
            </w:tcBorders>
          </w:tcPr>
          <w:p w14:paraId="01F5B36C" w14:textId="7C7D2340" w:rsidR="00033E40" w:rsidRPr="008A4E9D" w:rsidRDefault="00F720CC" w:rsidP="008A4E9D">
            <w:pPr>
              <w:spacing w:line="480" w:lineRule="auto"/>
            </w:pPr>
            <w:r>
              <w:t>8.8</w:t>
            </w:r>
            <w:r w:rsidR="00033E40" w:rsidRPr="008A4E9D">
              <w:t>%</w:t>
            </w:r>
          </w:p>
        </w:tc>
        <w:tc>
          <w:tcPr>
            <w:tcW w:w="366" w:type="pct"/>
            <w:tcBorders>
              <w:left w:val="double" w:sz="4" w:space="0" w:color="auto"/>
            </w:tcBorders>
          </w:tcPr>
          <w:p w14:paraId="2EB7AA13" w14:textId="1B665308" w:rsidR="00934DE6" w:rsidRDefault="00DD2EE6" w:rsidP="008A4E9D">
            <w:pPr>
              <w:spacing w:line="480" w:lineRule="auto"/>
            </w:pPr>
            <w:r>
              <w:t>-.16</w:t>
            </w:r>
            <w:r w:rsidR="00974578">
              <w:t>*</w:t>
            </w:r>
          </w:p>
          <w:p w14:paraId="49F0E49D" w14:textId="524BF172" w:rsidR="00033E40" w:rsidRPr="008A4E9D" w:rsidRDefault="00033E40" w:rsidP="008A4E9D">
            <w:pPr>
              <w:spacing w:line="480" w:lineRule="auto"/>
            </w:pPr>
          </w:p>
        </w:tc>
        <w:tc>
          <w:tcPr>
            <w:tcW w:w="366" w:type="pct"/>
          </w:tcPr>
          <w:p w14:paraId="397F4596" w14:textId="0039BB85" w:rsidR="00033E40" w:rsidRPr="008A4E9D" w:rsidRDefault="00DD2EE6" w:rsidP="008A4E9D">
            <w:pPr>
              <w:spacing w:line="480" w:lineRule="auto"/>
            </w:pPr>
            <w:r>
              <w:t>2.2</w:t>
            </w:r>
            <w:r w:rsidR="00033E40" w:rsidRPr="008A4E9D">
              <w:t>%</w:t>
            </w:r>
          </w:p>
        </w:tc>
        <w:tc>
          <w:tcPr>
            <w:tcW w:w="366" w:type="pct"/>
          </w:tcPr>
          <w:p w14:paraId="4D215068" w14:textId="7E73B188" w:rsidR="00934DE6" w:rsidRDefault="00033E40" w:rsidP="008A4E9D">
            <w:pPr>
              <w:spacing w:line="480" w:lineRule="auto"/>
            </w:pPr>
            <w:r w:rsidRPr="008A4E9D">
              <w:t>-.2</w:t>
            </w:r>
            <w:r w:rsidR="00CF70E3">
              <w:t>0</w:t>
            </w:r>
            <w:r w:rsidR="00974578">
              <w:t>**</w:t>
            </w:r>
          </w:p>
          <w:p w14:paraId="629D6135" w14:textId="5060C2D0" w:rsidR="00033E40" w:rsidRPr="008A4E9D" w:rsidRDefault="00033E40" w:rsidP="008A4E9D">
            <w:pPr>
              <w:spacing w:line="480" w:lineRule="auto"/>
            </w:pPr>
          </w:p>
        </w:tc>
        <w:tc>
          <w:tcPr>
            <w:tcW w:w="366" w:type="pct"/>
          </w:tcPr>
          <w:p w14:paraId="4AA726AA" w14:textId="547995A8" w:rsidR="00033E40" w:rsidRPr="008A4E9D" w:rsidRDefault="00CF70E3" w:rsidP="008A4E9D">
            <w:pPr>
              <w:spacing w:line="480" w:lineRule="auto"/>
            </w:pPr>
            <w:r>
              <w:t>3.4</w:t>
            </w:r>
            <w:r w:rsidR="00033E40" w:rsidRPr="008A4E9D">
              <w:t>%</w:t>
            </w:r>
          </w:p>
        </w:tc>
        <w:tc>
          <w:tcPr>
            <w:tcW w:w="366" w:type="pct"/>
          </w:tcPr>
          <w:p w14:paraId="0C23E5CD" w14:textId="1036AAF1" w:rsidR="00DC14CF" w:rsidRDefault="00CF70E3" w:rsidP="008A4E9D">
            <w:pPr>
              <w:spacing w:line="480" w:lineRule="auto"/>
            </w:pPr>
            <w:r>
              <w:t>.34</w:t>
            </w:r>
            <w:r w:rsidR="00974578">
              <w:t>***</w:t>
            </w:r>
          </w:p>
          <w:p w14:paraId="09831DA1" w14:textId="3F9C9C3C" w:rsidR="00033E40" w:rsidRPr="008A4E9D" w:rsidRDefault="00033E40" w:rsidP="008A4E9D">
            <w:pPr>
              <w:spacing w:line="480" w:lineRule="auto"/>
            </w:pPr>
          </w:p>
        </w:tc>
        <w:tc>
          <w:tcPr>
            <w:tcW w:w="365" w:type="pct"/>
          </w:tcPr>
          <w:p w14:paraId="0614631D" w14:textId="5D204660" w:rsidR="00033E40" w:rsidRPr="008A4E9D" w:rsidRDefault="00CF70E3" w:rsidP="008A4E9D">
            <w:pPr>
              <w:spacing w:line="480" w:lineRule="auto"/>
            </w:pPr>
            <w:r>
              <w:t>10.3</w:t>
            </w:r>
            <w:r w:rsidR="00033E40" w:rsidRPr="008A4E9D">
              <w:t>%</w:t>
            </w:r>
          </w:p>
        </w:tc>
      </w:tr>
      <w:tr w:rsidR="00934DE6" w14:paraId="279B6369" w14:textId="77777777" w:rsidTr="00D6327F">
        <w:tc>
          <w:tcPr>
            <w:tcW w:w="609" w:type="pct"/>
          </w:tcPr>
          <w:p w14:paraId="264AD0D8" w14:textId="77777777" w:rsidR="00033E40" w:rsidRPr="008A4E9D" w:rsidRDefault="00033E40" w:rsidP="008A4E9D">
            <w:pPr>
              <w:spacing w:line="480" w:lineRule="auto"/>
            </w:pPr>
            <w:r w:rsidRPr="008A4E9D">
              <w:t>Family-risk</w:t>
            </w:r>
          </w:p>
        </w:tc>
        <w:tc>
          <w:tcPr>
            <w:tcW w:w="366" w:type="pct"/>
          </w:tcPr>
          <w:p w14:paraId="7E1AD8C4" w14:textId="3D9D5EC2" w:rsidR="00113070" w:rsidRDefault="008A4E9D" w:rsidP="008A4E9D">
            <w:pPr>
              <w:spacing w:line="480" w:lineRule="auto"/>
            </w:pPr>
            <w:r>
              <w:t>-.09</w:t>
            </w:r>
            <w:r w:rsidR="00BD23A0" w:rsidRPr="00AC677F">
              <w:t xml:space="preserve"> </w:t>
            </w:r>
          </w:p>
          <w:p w14:paraId="2A40919C" w14:textId="07EA4860" w:rsidR="00033E40" w:rsidRPr="008A4E9D" w:rsidRDefault="00033E40" w:rsidP="008A4E9D">
            <w:pPr>
              <w:spacing w:line="480" w:lineRule="auto"/>
            </w:pPr>
          </w:p>
        </w:tc>
        <w:tc>
          <w:tcPr>
            <w:tcW w:w="366" w:type="pct"/>
          </w:tcPr>
          <w:p w14:paraId="0A1ED801" w14:textId="4B4432D2" w:rsidR="00033E40" w:rsidRPr="00AC677F" w:rsidRDefault="008A4E9D" w:rsidP="008A4E9D">
            <w:pPr>
              <w:spacing w:line="480" w:lineRule="auto"/>
            </w:pPr>
            <w:r>
              <w:t>0.9</w:t>
            </w:r>
            <w:r w:rsidR="00033E40" w:rsidRPr="00AC677F">
              <w:t>%</w:t>
            </w:r>
          </w:p>
        </w:tc>
        <w:tc>
          <w:tcPr>
            <w:tcW w:w="366" w:type="pct"/>
          </w:tcPr>
          <w:p w14:paraId="2AD4BE0C" w14:textId="26E1B3C2" w:rsidR="00113070" w:rsidRDefault="00F720CC" w:rsidP="008A4E9D">
            <w:pPr>
              <w:spacing w:line="480" w:lineRule="auto"/>
            </w:pPr>
            <w:r>
              <w:t>-.18</w:t>
            </w:r>
            <w:r w:rsidR="00974578">
              <w:t>**</w:t>
            </w:r>
          </w:p>
          <w:p w14:paraId="5C515908" w14:textId="59B18504" w:rsidR="00033E40" w:rsidRPr="008A4E9D" w:rsidRDefault="00033E40" w:rsidP="008A4E9D">
            <w:pPr>
              <w:spacing w:line="480" w:lineRule="auto"/>
            </w:pPr>
          </w:p>
        </w:tc>
        <w:tc>
          <w:tcPr>
            <w:tcW w:w="366" w:type="pct"/>
          </w:tcPr>
          <w:p w14:paraId="37D16A5D" w14:textId="19E5B36B" w:rsidR="00033E40" w:rsidRPr="008A4E9D" w:rsidRDefault="00033E40" w:rsidP="008A4E9D">
            <w:pPr>
              <w:spacing w:line="480" w:lineRule="auto"/>
            </w:pPr>
            <w:r w:rsidRPr="008A4E9D">
              <w:t>3.</w:t>
            </w:r>
            <w:r w:rsidR="00F720CC">
              <w:t>3</w:t>
            </w:r>
            <w:r w:rsidRPr="008A4E9D">
              <w:t>%</w:t>
            </w:r>
          </w:p>
        </w:tc>
        <w:tc>
          <w:tcPr>
            <w:tcW w:w="366" w:type="pct"/>
          </w:tcPr>
          <w:p w14:paraId="43E3475F" w14:textId="77777777" w:rsidR="00113070" w:rsidRDefault="00033E40" w:rsidP="008A4E9D">
            <w:pPr>
              <w:spacing w:line="480" w:lineRule="auto"/>
            </w:pPr>
            <w:r w:rsidRPr="008A4E9D">
              <w:t>-.1</w:t>
            </w:r>
            <w:r w:rsidR="005E3DD2">
              <w:t>1</w:t>
            </w:r>
            <w:r w:rsidRPr="008A4E9D">
              <w:t xml:space="preserve"> </w:t>
            </w:r>
          </w:p>
          <w:p w14:paraId="77EA3F2F" w14:textId="1F506ED2" w:rsidR="00033E40" w:rsidRPr="008A4E9D" w:rsidRDefault="00033E40" w:rsidP="008A4E9D">
            <w:pPr>
              <w:spacing w:line="480" w:lineRule="auto"/>
            </w:pPr>
          </w:p>
        </w:tc>
        <w:tc>
          <w:tcPr>
            <w:tcW w:w="366" w:type="pct"/>
            <w:tcBorders>
              <w:right w:val="double" w:sz="4" w:space="0" w:color="auto"/>
            </w:tcBorders>
          </w:tcPr>
          <w:p w14:paraId="7086E043" w14:textId="099B3810" w:rsidR="00033E40" w:rsidRPr="008A4E9D" w:rsidRDefault="00033E40" w:rsidP="008A4E9D">
            <w:pPr>
              <w:spacing w:line="480" w:lineRule="auto"/>
            </w:pPr>
            <w:r w:rsidRPr="008A4E9D">
              <w:t>1.</w:t>
            </w:r>
            <w:r w:rsidR="00F720CC">
              <w:t>1</w:t>
            </w:r>
            <w:r w:rsidRPr="008A4E9D">
              <w:t>%</w:t>
            </w:r>
          </w:p>
        </w:tc>
        <w:tc>
          <w:tcPr>
            <w:tcW w:w="366" w:type="pct"/>
            <w:tcBorders>
              <w:left w:val="double" w:sz="4" w:space="0" w:color="auto"/>
            </w:tcBorders>
          </w:tcPr>
          <w:p w14:paraId="0567E6FB" w14:textId="3F8C24FC" w:rsidR="00934DE6" w:rsidRDefault="00033E40" w:rsidP="008A4E9D">
            <w:pPr>
              <w:spacing w:line="480" w:lineRule="auto"/>
            </w:pPr>
            <w:r w:rsidRPr="008A4E9D">
              <w:t>-.20</w:t>
            </w:r>
            <w:r w:rsidR="00974578">
              <w:t>**</w:t>
            </w:r>
          </w:p>
          <w:p w14:paraId="015663A7" w14:textId="6F4458DA" w:rsidR="00033E40" w:rsidRPr="008A4E9D" w:rsidRDefault="00033E40" w:rsidP="008A4E9D">
            <w:pPr>
              <w:spacing w:line="480" w:lineRule="auto"/>
            </w:pPr>
          </w:p>
        </w:tc>
        <w:tc>
          <w:tcPr>
            <w:tcW w:w="366" w:type="pct"/>
          </w:tcPr>
          <w:p w14:paraId="6A39B423" w14:textId="68B2BB20" w:rsidR="00033E40" w:rsidRPr="008A4E9D" w:rsidRDefault="00DD2EE6" w:rsidP="008A4E9D">
            <w:pPr>
              <w:spacing w:line="480" w:lineRule="auto"/>
            </w:pPr>
            <w:r>
              <w:t>3.8</w:t>
            </w:r>
            <w:r w:rsidR="00033E40" w:rsidRPr="008A4E9D">
              <w:t>%</w:t>
            </w:r>
          </w:p>
        </w:tc>
        <w:tc>
          <w:tcPr>
            <w:tcW w:w="366" w:type="pct"/>
          </w:tcPr>
          <w:p w14:paraId="250341C2" w14:textId="376EB461" w:rsidR="00934DE6" w:rsidRDefault="00033E40" w:rsidP="008A4E9D">
            <w:pPr>
              <w:spacing w:line="480" w:lineRule="auto"/>
            </w:pPr>
            <w:r w:rsidRPr="008A4E9D">
              <w:t>.1</w:t>
            </w:r>
            <w:r w:rsidR="005E3DD2">
              <w:t>8</w:t>
            </w:r>
            <w:r w:rsidR="00974578">
              <w:t>**</w:t>
            </w:r>
          </w:p>
          <w:p w14:paraId="42C0A4F1" w14:textId="78A4D8FB" w:rsidR="00033E40" w:rsidRPr="008A4E9D" w:rsidRDefault="00033E40" w:rsidP="008A4E9D">
            <w:pPr>
              <w:spacing w:line="480" w:lineRule="auto"/>
            </w:pPr>
          </w:p>
        </w:tc>
        <w:tc>
          <w:tcPr>
            <w:tcW w:w="366" w:type="pct"/>
          </w:tcPr>
          <w:p w14:paraId="73848B03" w14:textId="5E5F276C" w:rsidR="00033E40" w:rsidRPr="008A4E9D" w:rsidRDefault="00033E40" w:rsidP="008A4E9D">
            <w:pPr>
              <w:spacing w:line="480" w:lineRule="auto"/>
            </w:pPr>
            <w:r w:rsidRPr="008A4E9D">
              <w:t>3.</w:t>
            </w:r>
            <w:r w:rsidR="00CF70E3">
              <w:t>2</w:t>
            </w:r>
            <w:r w:rsidRPr="008A4E9D">
              <w:t>%</w:t>
            </w:r>
          </w:p>
        </w:tc>
        <w:tc>
          <w:tcPr>
            <w:tcW w:w="366" w:type="pct"/>
          </w:tcPr>
          <w:p w14:paraId="2BDD0820" w14:textId="2D0ABE63" w:rsidR="00DC14CF" w:rsidRDefault="00033E40" w:rsidP="008A4E9D">
            <w:pPr>
              <w:spacing w:line="480" w:lineRule="auto"/>
            </w:pPr>
            <w:r w:rsidRPr="008A4E9D">
              <w:t>-.16</w:t>
            </w:r>
            <w:r w:rsidR="00974578">
              <w:t>*</w:t>
            </w:r>
          </w:p>
          <w:p w14:paraId="3ED5EDA6" w14:textId="06BBD83E" w:rsidR="00033E40" w:rsidRPr="008A4E9D" w:rsidRDefault="00033E40" w:rsidP="008A4E9D">
            <w:pPr>
              <w:spacing w:line="480" w:lineRule="auto"/>
            </w:pPr>
          </w:p>
        </w:tc>
        <w:tc>
          <w:tcPr>
            <w:tcW w:w="365" w:type="pct"/>
          </w:tcPr>
          <w:p w14:paraId="300AC103" w14:textId="2AF72049" w:rsidR="00033E40" w:rsidRPr="008A4E9D" w:rsidRDefault="00033E40" w:rsidP="008A4E9D">
            <w:pPr>
              <w:spacing w:line="480" w:lineRule="auto"/>
            </w:pPr>
            <w:r w:rsidRPr="008A4E9D">
              <w:t>2.</w:t>
            </w:r>
            <w:r w:rsidR="00CF70E3">
              <w:t>5</w:t>
            </w:r>
            <w:r w:rsidRPr="008A4E9D">
              <w:t>%</w:t>
            </w:r>
          </w:p>
        </w:tc>
      </w:tr>
    </w:tbl>
    <w:p w14:paraId="5B5EF052" w14:textId="0E478B4D" w:rsidR="00354F5A" w:rsidRDefault="000D3E53" w:rsidP="000D3E53">
      <w:r>
        <w:t>*p&lt;.05, **p&lt;.01, ***p&lt;.001.</w:t>
      </w:r>
      <w:r w:rsidR="00354F5A">
        <w:br w:type="page"/>
      </w:r>
    </w:p>
    <w:p w14:paraId="1D6469DE" w14:textId="77777777" w:rsidR="005E3DD2" w:rsidRDefault="005E3DD2" w:rsidP="00AC677F">
      <w:pPr>
        <w:spacing w:line="480" w:lineRule="auto"/>
        <w:sectPr w:rsidR="005E3DD2" w:rsidSect="0008258B">
          <w:pgSz w:w="16838" w:h="11906" w:orient="landscape"/>
          <w:pgMar w:top="1440" w:right="1440" w:bottom="1440" w:left="1440" w:header="709" w:footer="709" w:gutter="0"/>
          <w:cols w:space="708"/>
          <w:docGrid w:linePitch="360"/>
        </w:sectPr>
      </w:pPr>
    </w:p>
    <w:p w14:paraId="7133D4DB" w14:textId="13EB75D7" w:rsidR="00597D22" w:rsidRPr="002252A2" w:rsidRDefault="00385460" w:rsidP="001E0A22">
      <w:pPr>
        <w:spacing w:line="480" w:lineRule="auto"/>
      </w:pPr>
      <w:r>
        <w:t>Table 4</w:t>
      </w:r>
      <w:r w:rsidR="006C1758">
        <w:t xml:space="preserve">: </w:t>
      </w:r>
      <w:r w:rsidR="00947F11">
        <w:t>Point Biserial</w:t>
      </w:r>
      <w:r w:rsidR="00597D22">
        <w:t xml:space="preserve"> (</w:t>
      </w:r>
      <w:r w:rsidR="00597D22" w:rsidRPr="002252A2">
        <w:t>nature and persistence of SSD</w:t>
      </w:r>
      <w:r w:rsidR="00597D22">
        <w:t>)</w:t>
      </w:r>
      <w:r w:rsidR="00597D22" w:rsidRPr="002252A2">
        <w:t xml:space="preserve"> and </w:t>
      </w:r>
      <w:r w:rsidR="00597D22">
        <w:t xml:space="preserve">Pearson (severity of SSD) correlations with measures </w:t>
      </w:r>
      <w:r w:rsidR="00597D22" w:rsidRPr="002252A2">
        <w:t xml:space="preserve">literacy skills </w:t>
      </w:r>
      <w:r w:rsidR="00597D22" w:rsidRPr="002252A2">
        <w:rPr>
          <w:i/>
        </w:rPr>
        <w:t xml:space="preserve">in </w:t>
      </w:r>
      <w:r w:rsidR="00597D22">
        <w:rPr>
          <w:i/>
        </w:rPr>
        <w:t xml:space="preserve">the </w:t>
      </w:r>
      <w:r w:rsidR="00597D22" w:rsidRPr="002252A2">
        <w:rPr>
          <w:i/>
        </w:rPr>
        <w:t>SSD sample only</w:t>
      </w:r>
      <w:r w:rsidR="00597D22" w:rsidRPr="002252A2">
        <w:t xml:space="preserve">  </w:t>
      </w:r>
    </w:p>
    <w:tbl>
      <w:tblPr>
        <w:tblStyle w:val="TableGrid"/>
        <w:tblW w:w="0" w:type="auto"/>
        <w:tblLook w:val="04A0" w:firstRow="1" w:lastRow="0" w:firstColumn="1" w:lastColumn="0" w:noHBand="0" w:noVBand="1"/>
      </w:tblPr>
      <w:tblGrid>
        <w:gridCol w:w="3080"/>
        <w:gridCol w:w="1990"/>
        <w:gridCol w:w="1842"/>
        <w:gridCol w:w="1842"/>
      </w:tblGrid>
      <w:tr w:rsidR="00597D22" w:rsidRPr="002252A2" w14:paraId="52DE91A1" w14:textId="77777777" w:rsidTr="00D54ADB">
        <w:tc>
          <w:tcPr>
            <w:tcW w:w="3080" w:type="dxa"/>
          </w:tcPr>
          <w:p w14:paraId="6C79DC6D" w14:textId="77777777" w:rsidR="00597D22" w:rsidRPr="002252A2" w:rsidRDefault="00597D22" w:rsidP="00D54ADB">
            <w:pPr>
              <w:spacing w:after="160" w:line="259" w:lineRule="auto"/>
            </w:pPr>
          </w:p>
        </w:tc>
        <w:tc>
          <w:tcPr>
            <w:tcW w:w="1990" w:type="dxa"/>
          </w:tcPr>
          <w:p w14:paraId="1A0A4001" w14:textId="77777777" w:rsidR="00597D22" w:rsidRPr="002252A2" w:rsidRDefault="00597D22" w:rsidP="00D54ADB">
            <w:pPr>
              <w:spacing w:after="160" w:line="259" w:lineRule="auto"/>
            </w:pPr>
            <w:r w:rsidRPr="002252A2">
              <w:t>Severity</w:t>
            </w:r>
          </w:p>
        </w:tc>
        <w:tc>
          <w:tcPr>
            <w:tcW w:w="1842" w:type="dxa"/>
          </w:tcPr>
          <w:p w14:paraId="16462A53" w14:textId="77777777" w:rsidR="00597D22" w:rsidRPr="002252A2" w:rsidRDefault="00597D22" w:rsidP="00D54ADB">
            <w:pPr>
              <w:spacing w:after="160" w:line="259" w:lineRule="auto"/>
            </w:pPr>
            <w:r w:rsidRPr="002252A2">
              <w:t>Disordered speech errors</w:t>
            </w:r>
          </w:p>
        </w:tc>
        <w:tc>
          <w:tcPr>
            <w:tcW w:w="1842" w:type="dxa"/>
          </w:tcPr>
          <w:p w14:paraId="1CD28254" w14:textId="77777777" w:rsidR="00597D22" w:rsidRPr="002252A2" w:rsidRDefault="00597D22" w:rsidP="00D54ADB">
            <w:pPr>
              <w:spacing w:after="160" w:line="259" w:lineRule="auto"/>
            </w:pPr>
            <w:r w:rsidRPr="002252A2">
              <w:t>Persistence</w:t>
            </w:r>
          </w:p>
        </w:tc>
      </w:tr>
      <w:tr w:rsidR="00597D22" w:rsidRPr="002252A2" w14:paraId="2BA24020" w14:textId="77777777" w:rsidTr="00D54ADB">
        <w:tc>
          <w:tcPr>
            <w:tcW w:w="3080" w:type="dxa"/>
          </w:tcPr>
          <w:p w14:paraId="3F85A169" w14:textId="77777777" w:rsidR="00597D22" w:rsidRPr="002252A2" w:rsidRDefault="00597D22" w:rsidP="00D54ADB">
            <w:pPr>
              <w:spacing w:after="160" w:line="259" w:lineRule="auto"/>
            </w:pPr>
            <w:r w:rsidRPr="002252A2">
              <w:t>Phoneme Awareness T3</w:t>
            </w:r>
          </w:p>
        </w:tc>
        <w:tc>
          <w:tcPr>
            <w:tcW w:w="1990" w:type="dxa"/>
          </w:tcPr>
          <w:p w14:paraId="048DFD68" w14:textId="6B153DB8" w:rsidR="00597D22" w:rsidRPr="002252A2" w:rsidRDefault="00947F11" w:rsidP="00F5479F">
            <w:pPr>
              <w:spacing w:after="160" w:line="259" w:lineRule="auto"/>
            </w:pPr>
            <w:r>
              <w:t>.09</w:t>
            </w:r>
          </w:p>
        </w:tc>
        <w:tc>
          <w:tcPr>
            <w:tcW w:w="1842" w:type="dxa"/>
          </w:tcPr>
          <w:p w14:paraId="563F4477" w14:textId="28EDB408" w:rsidR="00597D22" w:rsidRPr="002252A2" w:rsidRDefault="00947F11" w:rsidP="00F5479F">
            <w:pPr>
              <w:spacing w:after="160" w:line="259" w:lineRule="auto"/>
            </w:pPr>
            <w:r>
              <w:t>-.06</w:t>
            </w:r>
          </w:p>
        </w:tc>
        <w:tc>
          <w:tcPr>
            <w:tcW w:w="1842" w:type="dxa"/>
          </w:tcPr>
          <w:p w14:paraId="54326039" w14:textId="6DD7CBFE" w:rsidR="00597D22" w:rsidRPr="002252A2" w:rsidRDefault="00947F11" w:rsidP="00D54ADB">
            <w:pPr>
              <w:spacing w:after="160" w:line="259" w:lineRule="auto"/>
            </w:pPr>
            <w:r>
              <w:t>-</w:t>
            </w:r>
            <w:r w:rsidR="00F5479F">
              <w:t>.40</w:t>
            </w:r>
            <w:r>
              <w:t>*</w:t>
            </w:r>
          </w:p>
        </w:tc>
      </w:tr>
      <w:tr w:rsidR="00597D22" w:rsidRPr="002252A2" w14:paraId="6082CF22" w14:textId="77777777" w:rsidTr="00D54ADB">
        <w:tc>
          <w:tcPr>
            <w:tcW w:w="3080" w:type="dxa"/>
          </w:tcPr>
          <w:p w14:paraId="0A82E82A" w14:textId="77777777" w:rsidR="00597D22" w:rsidRPr="002252A2" w:rsidRDefault="00597D22" w:rsidP="00D54ADB">
            <w:pPr>
              <w:spacing w:after="160" w:line="259" w:lineRule="auto"/>
            </w:pPr>
            <w:r w:rsidRPr="002252A2">
              <w:t>Word Reading T3</w:t>
            </w:r>
          </w:p>
        </w:tc>
        <w:tc>
          <w:tcPr>
            <w:tcW w:w="1990" w:type="dxa"/>
          </w:tcPr>
          <w:p w14:paraId="5B11533F" w14:textId="3F48CD40" w:rsidR="00597D22" w:rsidRPr="002252A2" w:rsidRDefault="00F5479F" w:rsidP="00D54ADB">
            <w:pPr>
              <w:spacing w:after="160" w:line="259" w:lineRule="auto"/>
            </w:pPr>
            <w:r>
              <w:t>-.02</w:t>
            </w:r>
          </w:p>
        </w:tc>
        <w:tc>
          <w:tcPr>
            <w:tcW w:w="1842" w:type="dxa"/>
          </w:tcPr>
          <w:p w14:paraId="42B3765F" w14:textId="66D24CA4" w:rsidR="00597D22" w:rsidRPr="002252A2" w:rsidRDefault="00F62A84" w:rsidP="00D54ADB">
            <w:pPr>
              <w:spacing w:after="160" w:line="259" w:lineRule="auto"/>
            </w:pPr>
            <w:r>
              <w:t>-.28</w:t>
            </w:r>
            <w:r w:rsidR="00947F11">
              <w:t>*</w:t>
            </w:r>
          </w:p>
        </w:tc>
        <w:tc>
          <w:tcPr>
            <w:tcW w:w="1842" w:type="dxa"/>
          </w:tcPr>
          <w:p w14:paraId="79D0F639" w14:textId="1359A417" w:rsidR="00597D22" w:rsidRPr="002252A2" w:rsidRDefault="00F5479F" w:rsidP="00D54ADB">
            <w:pPr>
              <w:spacing w:after="160" w:line="259" w:lineRule="auto"/>
            </w:pPr>
            <w:r>
              <w:t>-.45</w:t>
            </w:r>
            <w:r w:rsidR="00947F11">
              <w:t>*</w:t>
            </w:r>
          </w:p>
        </w:tc>
      </w:tr>
      <w:tr w:rsidR="00597D22" w:rsidRPr="002252A2" w14:paraId="0E2DA045" w14:textId="77777777" w:rsidTr="00D54ADB">
        <w:tc>
          <w:tcPr>
            <w:tcW w:w="3080" w:type="dxa"/>
          </w:tcPr>
          <w:p w14:paraId="155130E2" w14:textId="77777777" w:rsidR="00597D22" w:rsidRPr="002252A2" w:rsidRDefault="00597D22" w:rsidP="00D54ADB">
            <w:pPr>
              <w:spacing w:after="160" w:line="259" w:lineRule="auto"/>
            </w:pPr>
            <w:r w:rsidRPr="002252A2">
              <w:t>Spelling T3</w:t>
            </w:r>
          </w:p>
        </w:tc>
        <w:tc>
          <w:tcPr>
            <w:tcW w:w="1990" w:type="dxa"/>
          </w:tcPr>
          <w:p w14:paraId="66CD064C" w14:textId="26AFAC89" w:rsidR="00597D22" w:rsidRPr="002252A2" w:rsidRDefault="00F5479F" w:rsidP="00D54ADB">
            <w:pPr>
              <w:spacing w:after="160" w:line="259" w:lineRule="auto"/>
            </w:pPr>
            <w:r>
              <w:t>.10</w:t>
            </w:r>
          </w:p>
        </w:tc>
        <w:tc>
          <w:tcPr>
            <w:tcW w:w="1842" w:type="dxa"/>
          </w:tcPr>
          <w:p w14:paraId="6277744A" w14:textId="6E33D2D7" w:rsidR="00597D22" w:rsidRPr="002252A2" w:rsidRDefault="00F5479F" w:rsidP="00D54ADB">
            <w:pPr>
              <w:spacing w:after="160" w:line="259" w:lineRule="auto"/>
            </w:pPr>
            <w:r>
              <w:t>-.18</w:t>
            </w:r>
          </w:p>
        </w:tc>
        <w:tc>
          <w:tcPr>
            <w:tcW w:w="1842" w:type="dxa"/>
          </w:tcPr>
          <w:p w14:paraId="1BB51D31" w14:textId="12AA3EC9" w:rsidR="00597D22" w:rsidRPr="002252A2" w:rsidRDefault="00F5479F" w:rsidP="00D54ADB">
            <w:pPr>
              <w:spacing w:after="160" w:line="259" w:lineRule="auto"/>
            </w:pPr>
            <w:r>
              <w:t>-.26</w:t>
            </w:r>
            <w:r w:rsidR="00F97315">
              <w:t xml:space="preserve">  (p =.051)</w:t>
            </w:r>
          </w:p>
        </w:tc>
      </w:tr>
      <w:tr w:rsidR="00597D22" w:rsidRPr="002252A2" w14:paraId="059E2FC5" w14:textId="77777777" w:rsidTr="00D54ADB">
        <w:tc>
          <w:tcPr>
            <w:tcW w:w="3080" w:type="dxa"/>
          </w:tcPr>
          <w:p w14:paraId="076A24C7" w14:textId="77777777" w:rsidR="00597D22" w:rsidRPr="002252A2" w:rsidRDefault="00597D22" w:rsidP="00D54ADB">
            <w:pPr>
              <w:spacing w:after="160" w:line="259" w:lineRule="auto"/>
            </w:pPr>
            <w:r w:rsidRPr="002252A2">
              <w:t>Word Reading T5</w:t>
            </w:r>
          </w:p>
        </w:tc>
        <w:tc>
          <w:tcPr>
            <w:tcW w:w="1990" w:type="dxa"/>
          </w:tcPr>
          <w:p w14:paraId="0E119221" w14:textId="4DFC7938" w:rsidR="00597D22" w:rsidRPr="002252A2" w:rsidRDefault="00947F11" w:rsidP="00F5479F">
            <w:pPr>
              <w:spacing w:after="160" w:line="259" w:lineRule="auto"/>
            </w:pPr>
            <w:r>
              <w:t>.0</w:t>
            </w:r>
            <w:r w:rsidR="00F5479F">
              <w:t>1</w:t>
            </w:r>
          </w:p>
        </w:tc>
        <w:tc>
          <w:tcPr>
            <w:tcW w:w="1842" w:type="dxa"/>
          </w:tcPr>
          <w:p w14:paraId="531FB96E" w14:textId="69C32B9D" w:rsidR="00597D22" w:rsidRPr="002252A2" w:rsidRDefault="00947F11" w:rsidP="00F5479F">
            <w:pPr>
              <w:spacing w:after="160" w:line="259" w:lineRule="auto"/>
            </w:pPr>
            <w:r>
              <w:t>-.17</w:t>
            </w:r>
          </w:p>
        </w:tc>
        <w:tc>
          <w:tcPr>
            <w:tcW w:w="1842" w:type="dxa"/>
          </w:tcPr>
          <w:p w14:paraId="031988B5" w14:textId="7F6D10CE" w:rsidR="00597D22" w:rsidRPr="002252A2" w:rsidRDefault="00F97315" w:rsidP="00F5479F">
            <w:pPr>
              <w:spacing w:after="160" w:line="259" w:lineRule="auto"/>
            </w:pPr>
            <w:r>
              <w:t>-.18</w:t>
            </w:r>
          </w:p>
        </w:tc>
      </w:tr>
      <w:tr w:rsidR="00597D22" w:rsidRPr="002252A2" w14:paraId="33F662D3" w14:textId="77777777" w:rsidTr="00D54ADB">
        <w:tc>
          <w:tcPr>
            <w:tcW w:w="3080" w:type="dxa"/>
          </w:tcPr>
          <w:p w14:paraId="209B4BE6" w14:textId="77777777" w:rsidR="00597D22" w:rsidRPr="002252A2" w:rsidRDefault="00597D22" w:rsidP="00D54ADB">
            <w:pPr>
              <w:spacing w:after="160" w:line="259" w:lineRule="auto"/>
            </w:pPr>
            <w:r w:rsidRPr="002252A2">
              <w:t>Spelling T5</w:t>
            </w:r>
          </w:p>
        </w:tc>
        <w:tc>
          <w:tcPr>
            <w:tcW w:w="1990" w:type="dxa"/>
          </w:tcPr>
          <w:p w14:paraId="00BB6AEE" w14:textId="7D9B4F09" w:rsidR="00597D22" w:rsidRPr="002252A2" w:rsidRDefault="00F5479F" w:rsidP="00D54ADB">
            <w:pPr>
              <w:spacing w:after="160" w:line="259" w:lineRule="auto"/>
            </w:pPr>
            <w:r>
              <w:t>.04</w:t>
            </w:r>
          </w:p>
        </w:tc>
        <w:tc>
          <w:tcPr>
            <w:tcW w:w="1842" w:type="dxa"/>
          </w:tcPr>
          <w:p w14:paraId="3101D705" w14:textId="4942761E" w:rsidR="00597D22" w:rsidRPr="002252A2" w:rsidRDefault="00F5479F" w:rsidP="00D54ADB">
            <w:pPr>
              <w:spacing w:after="160" w:line="259" w:lineRule="auto"/>
            </w:pPr>
            <w:r>
              <w:t>-.15</w:t>
            </w:r>
          </w:p>
        </w:tc>
        <w:tc>
          <w:tcPr>
            <w:tcW w:w="1842" w:type="dxa"/>
          </w:tcPr>
          <w:p w14:paraId="2EA2BB40" w14:textId="219C7BD0" w:rsidR="00597D22" w:rsidRPr="002252A2" w:rsidRDefault="00F5479F" w:rsidP="00D54ADB">
            <w:pPr>
              <w:spacing w:after="160" w:line="259" w:lineRule="auto"/>
            </w:pPr>
            <w:r>
              <w:t>-.24</w:t>
            </w:r>
          </w:p>
        </w:tc>
      </w:tr>
      <w:tr w:rsidR="00597D22" w:rsidRPr="002252A2" w14:paraId="603BC851" w14:textId="77777777" w:rsidTr="00D54ADB">
        <w:tc>
          <w:tcPr>
            <w:tcW w:w="3080" w:type="dxa"/>
          </w:tcPr>
          <w:p w14:paraId="0E3A0F4F" w14:textId="77777777" w:rsidR="00597D22" w:rsidRPr="002252A2" w:rsidRDefault="00597D22" w:rsidP="00D54ADB">
            <w:pPr>
              <w:spacing w:after="160" w:line="259" w:lineRule="auto"/>
            </w:pPr>
            <w:r w:rsidRPr="002252A2">
              <w:t>Reading Comprehension T5</w:t>
            </w:r>
          </w:p>
        </w:tc>
        <w:tc>
          <w:tcPr>
            <w:tcW w:w="1990" w:type="dxa"/>
          </w:tcPr>
          <w:p w14:paraId="646A12F1" w14:textId="2DA13D59" w:rsidR="00597D22" w:rsidRPr="002252A2" w:rsidRDefault="00F5479F" w:rsidP="00D54ADB">
            <w:pPr>
              <w:spacing w:after="160" w:line="259" w:lineRule="auto"/>
            </w:pPr>
            <w:r>
              <w:t>.16</w:t>
            </w:r>
          </w:p>
        </w:tc>
        <w:tc>
          <w:tcPr>
            <w:tcW w:w="1842" w:type="dxa"/>
          </w:tcPr>
          <w:p w14:paraId="54658373" w14:textId="2CD315DB" w:rsidR="00597D22" w:rsidRPr="002252A2" w:rsidRDefault="00F5479F" w:rsidP="00D54ADB">
            <w:pPr>
              <w:spacing w:after="160" w:line="259" w:lineRule="auto"/>
            </w:pPr>
            <w:r>
              <w:t>-.27</w:t>
            </w:r>
            <w:r w:rsidR="00F62A84">
              <w:t xml:space="preserve"> (p = .059)</w:t>
            </w:r>
          </w:p>
        </w:tc>
        <w:tc>
          <w:tcPr>
            <w:tcW w:w="1842" w:type="dxa"/>
          </w:tcPr>
          <w:p w14:paraId="5570B77B" w14:textId="798AEC0E" w:rsidR="00597D22" w:rsidRPr="002252A2" w:rsidRDefault="00F5479F" w:rsidP="00D54ADB">
            <w:pPr>
              <w:spacing w:after="160" w:line="259" w:lineRule="auto"/>
            </w:pPr>
            <w:r>
              <w:t>-.01</w:t>
            </w:r>
          </w:p>
        </w:tc>
      </w:tr>
    </w:tbl>
    <w:p w14:paraId="7080B512" w14:textId="77777777" w:rsidR="00597D22" w:rsidRDefault="00597D22" w:rsidP="00597D22"/>
    <w:p w14:paraId="25259BA8" w14:textId="3F1D0538" w:rsidR="00660DD2" w:rsidRPr="005E781D" w:rsidRDefault="00597D22" w:rsidP="00FC0E09">
      <w:pPr>
        <w:spacing w:line="480" w:lineRule="auto"/>
        <w:rPr>
          <w:rFonts w:ascii="Palatino Linotype" w:hAnsi="Palatino Linotype"/>
        </w:rPr>
      </w:pPr>
      <w:bookmarkStart w:id="1" w:name="_GoBack"/>
      <w:bookmarkEnd w:id="1"/>
      <w:r>
        <w:rPr>
          <w:rFonts w:ascii="Palatino Linotype" w:hAnsi="Palatino Linotype"/>
        </w:rPr>
        <w:br w:type="page"/>
      </w:r>
      <w:r w:rsidR="004B5A00">
        <w:rPr>
          <w:rFonts w:ascii="Palatino Linotype" w:hAnsi="Palatino Linotype"/>
        </w:rPr>
        <w:t>F</w:t>
      </w:r>
      <w:r w:rsidR="007F5335">
        <w:rPr>
          <w:rFonts w:ascii="Palatino Linotype" w:hAnsi="Palatino Linotype"/>
        </w:rPr>
        <w:t xml:space="preserve">igure </w:t>
      </w:r>
      <w:r w:rsidR="000A213F">
        <w:rPr>
          <w:rFonts w:ascii="Palatino Linotype" w:hAnsi="Palatino Linotype"/>
        </w:rPr>
        <w:t>1</w:t>
      </w:r>
      <w:r w:rsidR="007F5335">
        <w:rPr>
          <w:rFonts w:ascii="Palatino Linotype" w:hAnsi="Palatino Linotype"/>
        </w:rPr>
        <w:t>: Mean scores</w:t>
      </w:r>
      <w:r w:rsidR="000C1677">
        <w:rPr>
          <w:rFonts w:ascii="Palatino Linotype" w:hAnsi="Palatino Linotype"/>
        </w:rPr>
        <w:t xml:space="preserve"> for</w:t>
      </w:r>
      <w:r w:rsidR="007F5335">
        <w:rPr>
          <w:rFonts w:ascii="Palatino Linotype" w:hAnsi="Palatino Linotype"/>
        </w:rPr>
        <w:t xml:space="preserve"> literacy outcome measures at </w:t>
      </w:r>
      <w:r w:rsidR="00BA53A7">
        <w:rPr>
          <w:rFonts w:ascii="Palatino Linotype" w:hAnsi="Palatino Linotype"/>
        </w:rPr>
        <w:t>age</w:t>
      </w:r>
      <w:r w:rsidR="007F5335">
        <w:rPr>
          <w:rFonts w:ascii="Palatino Linotype" w:hAnsi="Palatino Linotype"/>
        </w:rPr>
        <w:t xml:space="preserve"> 8 for SSD </w:t>
      </w:r>
      <w:r w:rsidR="00BA53A7">
        <w:rPr>
          <w:rFonts w:ascii="Palatino Linotype" w:hAnsi="Palatino Linotype"/>
        </w:rPr>
        <w:t>according to subgroup</w:t>
      </w:r>
      <w:r w:rsidR="000D3E53">
        <w:rPr>
          <w:rFonts w:ascii="Palatino Linotype" w:hAnsi="Palatino Linotype"/>
        </w:rPr>
        <w:t xml:space="preserve">. </w:t>
      </w:r>
      <w:r w:rsidR="007F5335">
        <w:rPr>
          <w:rFonts w:ascii="Palatino Linotype" w:hAnsi="Palatino Linotype"/>
        </w:rPr>
        <w:t>Scores are z-scores, referenced to the TD group mean</w:t>
      </w:r>
      <w:r w:rsidR="00BA53A7">
        <w:rPr>
          <w:rFonts w:ascii="Palatino Linotype" w:hAnsi="Palatino Linotype"/>
        </w:rPr>
        <w:t>, with 95% CIs</w:t>
      </w:r>
      <w:r w:rsidR="007F5335">
        <w:rPr>
          <w:rFonts w:ascii="Palatino Linotype" w:hAnsi="Palatino Linotype"/>
        </w:rPr>
        <w:t xml:space="preserve">. </w:t>
      </w:r>
      <w:r w:rsidR="00A82E67">
        <w:rPr>
          <w:rFonts w:ascii="Palatino Linotype" w:hAnsi="Palatino Linotype"/>
        </w:rPr>
        <w:t xml:space="preserve"> </w:t>
      </w:r>
    </w:p>
    <w:p w14:paraId="2ED138F3" w14:textId="5AFD65B0" w:rsidR="00840994" w:rsidRDefault="003B3489" w:rsidP="00FC0E09">
      <w:pPr>
        <w:spacing w:line="480" w:lineRule="auto"/>
        <w:rPr>
          <w:rFonts w:ascii="Palatino Linotype" w:hAnsi="Palatino Linotype"/>
        </w:rPr>
      </w:pPr>
      <w:r>
        <w:rPr>
          <w:noProof/>
          <w:lang w:eastAsia="en-GB"/>
        </w:rPr>
        <w:drawing>
          <wp:inline distT="0" distB="0" distL="0" distR="0" wp14:anchorId="75EF22B4" wp14:editId="08F1DDFC">
            <wp:extent cx="6153150" cy="4676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828F9B" w14:textId="77777777" w:rsidR="00181C32" w:rsidRDefault="00181C32" w:rsidP="00FC0E09">
      <w:pPr>
        <w:spacing w:line="480" w:lineRule="auto"/>
        <w:rPr>
          <w:rFonts w:ascii="Palatino Linotype" w:hAnsi="Palatino Linotype"/>
        </w:rPr>
      </w:pPr>
    </w:p>
    <w:p w14:paraId="727F3CE1" w14:textId="77777777" w:rsidR="009D1C23" w:rsidRDefault="009D1C23" w:rsidP="009D1C23">
      <w:pPr>
        <w:rPr>
          <w:rFonts w:ascii="Palatino Linotype" w:hAnsi="Palatino Linotype"/>
        </w:rPr>
      </w:pPr>
    </w:p>
    <w:p w14:paraId="164F8930" w14:textId="77777777" w:rsidR="009D1C23" w:rsidRDefault="009D1C23" w:rsidP="009D1C23">
      <w:pPr>
        <w:rPr>
          <w:rFonts w:ascii="Palatino Linotype" w:hAnsi="Palatino Linotype"/>
        </w:rPr>
      </w:pPr>
    </w:p>
    <w:p w14:paraId="044EBD40" w14:textId="77777777" w:rsidR="009D1C23" w:rsidRDefault="009D1C23" w:rsidP="009D1C23">
      <w:pPr>
        <w:rPr>
          <w:rFonts w:ascii="Palatino Linotype" w:hAnsi="Palatino Linotype"/>
        </w:rPr>
      </w:pPr>
    </w:p>
    <w:p w14:paraId="5BBEE650" w14:textId="77777777" w:rsidR="009D1C23" w:rsidRDefault="009D1C23" w:rsidP="009D1C23">
      <w:pPr>
        <w:rPr>
          <w:rFonts w:ascii="Palatino Linotype" w:hAnsi="Palatino Linotype"/>
        </w:rPr>
      </w:pPr>
    </w:p>
    <w:p w14:paraId="45966F64" w14:textId="77777777" w:rsidR="009D1C23" w:rsidRDefault="009D1C23" w:rsidP="009D1C23">
      <w:pPr>
        <w:rPr>
          <w:rFonts w:ascii="Palatino Linotype" w:hAnsi="Palatino Linotype"/>
        </w:rPr>
      </w:pPr>
    </w:p>
    <w:p w14:paraId="373C317C" w14:textId="77777777" w:rsidR="009D1C23" w:rsidRDefault="009D1C23" w:rsidP="009D1C23">
      <w:pPr>
        <w:rPr>
          <w:rFonts w:ascii="Palatino Linotype" w:hAnsi="Palatino Linotype"/>
        </w:rPr>
      </w:pPr>
    </w:p>
    <w:p w14:paraId="1B4339F1" w14:textId="77777777" w:rsidR="009D1C23" w:rsidRDefault="009D1C23" w:rsidP="009D1C23">
      <w:pPr>
        <w:rPr>
          <w:rFonts w:ascii="Palatino Linotype" w:hAnsi="Palatino Linotype"/>
        </w:rPr>
      </w:pPr>
    </w:p>
    <w:p w14:paraId="4B0B67F2" w14:textId="77777777" w:rsidR="009D1C23" w:rsidRDefault="009D1C23" w:rsidP="009D1C23">
      <w:pPr>
        <w:rPr>
          <w:rFonts w:ascii="Palatino Linotype" w:hAnsi="Palatino Linotype"/>
        </w:rPr>
      </w:pPr>
    </w:p>
    <w:p w14:paraId="2198B294" w14:textId="23F7BFA1" w:rsidR="00684DA9" w:rsidRPr="009D1C23" w:rsidRDefault="00684DA9" w:rsidP="009D1C23">
      <w:pPr>
        <w:rPr>
          <w:rFonts w:ascii="Palatino Linotype" w:hAnsi="Palatino Linotype"/>
        </w:rPr>
      </w:pPr>
      <w:r w:rsidRPr="00F26B76">
        <w:rPr>
          <w:rFonts w:ascii="Palatino Linotype" w:hAnsi="Palatino Linotype" w:cs="Times New Roman"/>
          <w:b/>
          <w:color w:val="0D0D0D"/>
          <w:shd w:val="clear" w:color="auto" w:fill="FFFFFF"/>
        </w:rPr>
        <w:t>References</w:t>
      </w:r>
    </w:p>
    <w:p w14:paraId="7A0798BA"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 xml:space="preserve">Bird, J, Bishop, D.V. &amp; Freeman, N.H. (1995). Phonological awareness and literacy development in children with expressive phonological impairments. </w:t>
      </w:r>
      <w:r w:rsidRPr="00F26B76">
        <w:rPr>
          <w:rFonts w:ascii="Palatino Linotype" w:hAnsi="Palatino Linotype" w:cs="Times New Roman"/>
          <w:i/>
          <w:iCs/>
          <w:color w:val="0D0D0D"/>
          <w:shd w:val="clear" w:color="auto" w:fill="FFFFFF"/>
        </w:rPr>
        <w:t>Journal of Speech and Hearing Research</w:t>
      </w:r>
      <w:r w:rsidRPr="00F26B76">
        <w:rPr>
          <w:rFonts w:ascii="Palatino Linotype" w:hAnsi="Palatino Linotype" w:cs="Times New Roman"/>
          <w:color w:val="0D0D0D"/>
          <w:shd w:val="clear" w:color="auto" w:fill="FFFFFF"/>
        </w:rPr>
        <w:t xml:space="preserve">, 38, 446-62. </w:t>
      </w:r>
    </w:p>
    <w:p w14:paraId="107B03EB"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Bishop, D. V., &amp; Adams, C. (1990). A prospective study of the relationship between specific language impairment, phonological disorders and reading retardation.</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Journal of Child Psychology and Psychiatry, 31</w:t>
      </w:r>
      <w:r w:rsidRPr="00F26B76">
        <w:rPr>
          <w:rFonts w:ascii="Palatino Linotype" w:hAnsi="Palatino Linotype" w:cs="Times New Roman"/>
          <w:color w:val="0D0D0D"/>
          <w:shd w:val="clear" w:color="auto" w:fill="FFFFFF"/>
        </w:rPr>
        <w:t>(7), 1027–1050.</w:t>
      </w:r>
    </w:p>
    <w:p w14:paraId="5A521B05"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Bishop, D. V. M., &amp; Hayiou-Thomas, M. E. (2008). Heritability of specific language impairment depends on diagnostic criteria.</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Genes, Brain, and Behavior</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7</w:t>
      </w:r>
      <w:r w:rsidRPr="00F26B76">
        <w:rPr>
          <w:rFonts w:ascii="Palatino Linotype" w:hAnsi="Palatino Linotype" w:cs="Times New Roman"/>
          <w:color w:val="0D0D0D"/>
          <w:shd w:val="clear" w:color="auto" w:fill="FFFFFF"/>
        </w:rPr>
        <w:t>(3), 365–372.</w:t>
      </w:r>
    </w:p>
    <w:p w14:paraId="25E73084"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Carroll, J. M., Mundy, I. R., &amp; Cunningham, A. J. (2014). The roles of family history of dyslexia, language, speech production and phonological processing in predicting literacy progress.</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Developmental Science</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17</w:t>
      </w:r>
      <w:r w:rsidRPr="00F26B76">
        <w:rPr>
          <w:rFonts w:ascii="Palatino Linotype" w:hAnsi="Palatino Linotype" w:cs="Times New Roman"/>
          <w:color w:val="0D0D0D"/>
          <w:shd w:val="clear" w:color="auto" w:fill="FFFFFF"/>
        </w:rPr>
        <w:t>(5), 727–742.</w:t>
      </w:r>
    </w:p>
    <w:p w14:paraId="313D10F8"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 xml:space="preserve">DeThorne, L. S., Hart, S. A., Petrill, S. A., Deater-Deckard, K., Thompson, L. A., Schatschneider, C., &amp; Davison, M. D. (2006). Children’s history of speech-language difficulties: genetic influences and associations with reading-related measures. </w:t>
      </w:r>
      <w:r w:rsidRPr="00F26B76">
        <w:rPr>
          <w:rFonts w:ascii="Palatino Linotype" w:hAnsi="Palatino Linotype" w:cs="Times New Roman"/>
          <w:i/>
          <w:iCs/>
          <w:color w:val="0D0D0D"/>
          <w:shd w:val="clear" w:color="auto" w:fill="FFFFFF"/>
        </w:rPr>
        <w:t>Journal of Speech, Language, and Hearing Research</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49</w:t>
      </w:r>
      <w:r w:rsidRPr="00F26B76">
        <w:rPr>
          <w:rFonts w:ascii="Palatino Linotype" w:hAnsi="Palatino Linotype" w:cs="Times New Roman"/>
          <w:color w:val="0D0D0D"/>
          <w:shd w:val="clear" w:color="auto" w:fill="FFFFFF"/>
        </w:rPr>
        <w:t>(6), 1280–1293.</w:t>
      </w:r>
    </w:p>
    <w:p w14:paraId="0EC0CBD8"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Dilnot, J., Hamilton, L., Maughan, B., &amp; Snowling, M. J. (2016). Child and environmental risk factors predicting readiness for learning in children at high risk of dyslexia.</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Development and Psychopathology</w:t>
      </w:r>
      <w:r w:rsidRPr="00F26B76">
        <w:rPr>
          <w:rFonts w:ascii="Palatino Linotype" w:hAnsi="Palatino Linotype" w:cs="Times New Roman"/>
          <w:color w:val="0D0D0D"/>
          <w:shd w:val="clear" w:color="auto" w:fill="FFFFFF"/>
        </w:rPr>
        <w:t>, 1–10.</w:t>
      </w:r>
    </w:p>
    <w:p w14:paraId="1558D777" w14:textId="56E880F9" w:rsidR="00684DA9" w:rsidRPr="00972242" w:rsidRDefault="00684DA9" w:rsidP="00684DA9">
      <w:pPr>
        <w:spacing w:after="120" w:line="480" w:lineRule="auto"/>
        <w:ind w:hanging="720"/>
        <w:rPr>
          <w:rFonts w:ascii="Palatino Linotype" w:hAnsi="Palatino Linotype" w:cs="Times New Roman"/>
          <w:shd w:val="clear" w:color="auto" w:fill="FFFFFF"/>
        </w:rPr>
      </w:pPr>
      <w:r w:rsidRPr="00F26B76">
        <w:rPr>
          <w:rFonts w:ascii="Palatino Linotype" w:hAnsi="Palatino Linotype" w:cs="Times New Roman"/>
          <w:color w:val="0D0D0D"/>
          <w:shd w:val="clear" w:color="auto" w:fill="FFFFFF"/>
        </w:rPr>
        <w:t xml:space="preserve">Dodd, B. (1995). </w:t>
      </w:r>
      <w:r w:rsidRPr="00F26B76">
        <w:rPr>
          <w:rFonts w:ascii="Palatino Linotype" w:hAnsi="Palatino Linotype" w:cs="Times New Roman"/>
          <w:i/>
          <w:iCs/>
          <w:color w:val="0D0D0D"/>
          <w:shd w:val="clear" w:color="auto" w:fill="FFFFFF"/>
        </w:rPr>
        <w:t>Differential Diagnosis and Treatment of Children with Speech Disorder</w:t>
      </w:r>
      <w:r w:rsidRPr="00F26B76">
        <w:rPr>
          <w:rFonts w:ascii="Palatino Linotype" w:hAnsi="Palatino Linotype" w:cs="Times New Roman"/>
          <w:color w:val="0D0D0D"/>
          <w:shd w:val="clear" w:color="auto" w:fill="FFFFFF"/>
        </w:rPr>
        <w:t xml:space="preserve">, </w:t>
      </w:r>
      <w:r w:rsidR="00972242" w:rsidRPr="00972242">
        <w:rPr>
          <w:rFonts w:ascii="Palatino Linotype" w:hAnsi="Palatino Linotype"/>
          <w:shd w:val="clear" w:color="auto" w:fill="FFFFFF"/>
        </w:rPr>
        <w:t>London, UK: Whurr Publishers</w:t>
      </w:r>
      <w:r w:rsidRPr="00972242">
        <w:rPr>
          <w:rFonts w:ascii="Palatino Linotype" w:hAnsi="Palatino Linotype" w:cs="Times New Roman"/>
          <w:shd w:val="clear" w:color="auto" w:fill="FFFFFF"/>
        </w:rPr>
        <w:t>.</w:t>
      </w:r>
    </w:p>
    <w:p w14:paraId="52F3AB76" w14:textId="77777777" w:rsidR="002E5EDB" w:rsidRDefault="00684DA9" w:rsidP="002E5EDB">
      <w:pPr>
        <w:spacing w:after="120" w:line="480" w:lineRule="auto"/>
        <w:ind w:hanging="720"/>
        <w:rPr>
          <w:rFonts w:ascii="Palatino Linotype" w:hAnsi="Palatino Linotype" w:cs="Times New Roman"/>
        </w:rPr>
      </w:pPr>
      <w:r w:rsidRPr="00F26B76">
        <w:rPr>
          <w:rFonts w:ascii="Palatino Linotype" w:hAnsi="Palatino Linotype" w:cs="Times New Roman"/>
          <w:lang w:val="fr-FR"/>
        </w:rPr>
        <w:t xml:space="preserve">Dodd, B., Hua, Z., Crosbie, S., Holm, A., &amp; Ozanne, A. (2002). </w:t>
      </w:r>
      <w:r w:rsidRPr="00F26B76">
        <w:rPr>
          <w:rFonts w:ascii="Palatino Linotype" w:hAnsi="Palatino Linotype" w:cs="Times New Roman"/>
          <w:i/>
          <w:iCs/>
        </w:rPr>
        <w:t>Diagnostic Evaluation of Articulation and Phonology (DEAP)</w:t>
      </w:r>
      <w:r w:rsidRPr="00F26B76">
        <w:rPr>
          <w:rFonts w:ascii="Palatino Linotype" w:hAnsi="Palatino Linotype" w:cs="Times New Roman"/>
        </w:rPr>
        <w:t>. London: Harcourt Assessment</w:t>
      </w:r>
      <w:r w:rsidR="002E5EDB">
        <w:rPr>
          <w:rFonts w:ascii="Palatino Linotype" w:hAnsi="Palatino Linotype" w:cs="Times New Roman"/>
        </w:rPr>
        <w:t>.</w:t>
      </w:r>
    </w:p>
    <w:p w14:paraId="41E61460" w14:textId="532CA403" w:rsidR="00C0651C" w:rsidRPr="002E5EDB" w:rsidRDefault="00C0651C" w:rsidP="002E5EDB">
      <w:pPr>
        <w:spacing w:after="120" w:line="480" w:lineRule="auto"/>
        <w:ind w:hanging="720"/>
        <w:rPr>
          <w:rFonts w:ascii="Palatino Linotype" w:hAnsi="Palatino Linotype" w:cs="Times New Roman"/>
        </w:rPr>
      </w:pPr>
      <w:r w:rsidRPr="00EF2577">
        <w:rPr>
          <w:rFonts w:ascii="Palatino Linotype" w:hAnsi="Palatino Linotype" w:cs="Arial"/>
          <w:color w:val="0D0D0D"/>
          <w:shd w:val="clear" w:color="auto" w:fill="FFFFFF"/>
        </w:rPr>
        <w:t>Eadie, P., Morgan, A., Ukoumunne, O. C., Ttofari Eecen, K., Wake, M., &amp; Reilly, S. (2015). Speech sound disorder at 4 years: prevalence, comorbidities, and predictors in a community cohort of children.</w:t>
      </w:r>
      <w:r w:rsidRPr="00EF2577">
        <w:rPr>
          <w:rStyle w:val="apple-converted-space"/>
          <w:rFonts w:ascii="Palatino Linotype" w:hAnsi="Palatino Linotype" w:cs="Arial"/>
          <w:color w:val="0D0D0D"/>
          <w:shd w:val="clear" w:color="auto" w:fill="FFFFFF"/>
        </w:rPr>
        <w:t> </w:t>
      </w:r>
      <w:r w:rsidRPr="00EF2577">
        <w:rPr>
          <w:rFonts w:ascii="Palatino Linotype" w:hAnsi="Palatino Linotype" w:cs="Arial"/>
          <w:i/>
          <w:iCs/>
          <w:color w:val="0D0D0D"/>
          <w:shd w:val="clear" w:color="auto" w:fill="FFFFFF"/>
        </w:rPr>
        <w:t>Developmental Medicine and Child Neurology</w:t>
      </w:r>
      <w:r w:rsidRPr="00EF2577">
        <w:rPr>
          <w:rFonts w:ascii="Palatino Linotype" w:hAnsi="Palatino Linotype" w:cs="Arial"/>
          <w:color w:val="0D0D0D"/>
          <w:shd w:val="clear" w:color="auto" w:fill="FFFFFF"/>
        </w:rPr>
        <w:t>,</w:t>
      </w:r>
      <w:r w:rsidR="002E5EDB" w:rsidRPr="00EF2577">
        <w:rPr>
          <w:rFonts w:ascii="Palatino Linotype" w:hAnsi="Palatino Linotype" w:cs="Arial"/>
          <w:color w:val="0D0D0D"/>
          <w:shd w:val="clear" w:color="auto" w:fill="FFFFFF"/>
        </w:rPr>
        <w:t xml:space="preserve"> </w:t>
      </w:r>
      <w:r w:rsidRPr="00EF2577">
        <w:rPr>
          <w:rFonts w:ascii="Palatino Linotype" w:hAnsi="Palatino Linotype" w:cs="Arial"/>
          <w:i/>
          <w:iCs/>
          <w:color w:val="0D0D0D"/>
          <w:shd w:val="clear" w:color="auto" w:fill="FFFFFF"/>
        </w:rPr>
        <w:t>57</w:t>
      </w:r>
      <w:r w:rsidRPr="00EF2577">
        <w:rPr>
          <w:rFonts w:ascii="Palatino Linotype" w:hAnsi="Palatino Linotype" w:cs="Arial"/>
          <w:color w:val="0D0D0D"/>
          <w:shd w:val="clear" w:color="auto" w:fill="FFFFFF"/>
        </w:rPr>
        <w:t>, 578–584.</w:t>
      </w:r>
    </w:p>
    <w:p w14:paraId="434F415F"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rPr>
        <w:t>Foster, H. (2007). Single Word Reading Test 6-16: GL Assessment Limited</w:t>
      </w:r>
    </w:p>
    <w:p w14:paraId="528BA1F7"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Holm, A., Farrier, F., &amp; Dodd, B. (2008). Phonological awareness, reading accuracy and spelling ability of children with inconsistent phonological disorder.</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International Journal of Language &amp; Communication Disorders</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43</w:t>
      </w:r>
      <w:r w:rsidRPr="00F26B76">
        <w:rPr>
          <w:rFonts w:ascii="Palatino Linotype" w:hAnsi="Palatino Linotype" w:cs="Times New Roman"/>
          <w:color w:val="0D0D0D"/>
          <w:shd w:val="clear" w:color="auto" w:fill="FFFFFF"/>
        </w:rPr>
        <w:t>(3), 300–322.</w:t>
      </w:r>
    </w:p>
    <w:p w14:paraId="3FEFCD64" w14:textId="1A5640FC" w:rsidR="000308BF" w:rsidRDefault="00684DA9" w:rsidP="000308BF">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Hayiou-Thomas, M. E., Harlaar, N., Dale, P. S., &amp; Plomin, R. (2010). Preschool speech, language skills, and reading at 7, 9, and 10 years: etiology of the relationship.</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Journal of Speech, Language, and Hearing Research</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53</w:t>
      </w:r>
      <w:r w:rsidRPr="00F26B76">
        <w:rPr>
          <w:rFonts w:ascii="Palatino Linotype" w:hAnsi="Palatino Linotype" w:cs="Times New Roman"/>
          <w:color w:val="0D0D0D"/>
          <w:shd w:val="clear" w:color="auto" w:fill="FFFFFF"/>
        </w:rPr>
        <w:t>, 311–332.</w:t>
      </w:r>
    </w:p>
    <w:p w14:paraId="6B43D9E7" w14:textId="7A07B79E" w:rsidR="00684DA9" w:rsidRPr="00F26B76" w:rsidRDefault="00684DA9" w:rsidP="000308BF">
      <w:pPr>
        <w:spacing w:after="120" w:line="480" w:lineRule="auto"/>
        <w:ind w:hanging="720"/>
        <w:rPr>
          <w:rStyle w:val="apple-converted-space"/>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Hulme, C., Nash, H. M., Gooch, D., Lervåg, A., &amp; Snowling, M. J. (2015). The Foundations of Literacy Development in Children at Familial Risk of Dyslexia.</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Psychological Science</w:t>
      </w:r>
      <w:r w:rsidR="00794BFB">
        <w:rPr>
          <w:rStyle w:val="apple-converted-space"/>
          <w:rFonts w:ascii="Palatino Linotype" w:hAnsi="Palatino Linotype" w:cs="Times New Roman"/>
          <w:color w:val="0D0D0D"/>
          <w:shd w:val="clear" w:color="auto" w:fill="FFFFFF"/>
        </w:rPr>
        <w:t xml:space="preserve">, </w:t>
      </w:r>
      <w:r w:rsidR="00794BFB" w:rsidRPr="00794BFB">
        <w:rPr>
          <w:rStyle w:val="apple-converted-space"/>
          <w:rFonts w:ascii="Palatino Linotype" w:hAnsi="Palatino Linotype" w:cs="Times New Roman"/>
          <w:color w:val="0D0D0D"/>
          <w:shd w:val="clear" w:color="auto" w:fill="FFFFFF"/>
        </w:rPr>
        <w:t xml:space="preserve">26, 1877–1886.  </w:t>
      </w:r>
    </w:p>
    <w:p w14:paraId="250B5D51" w14:textId="151C31D2" w:rsidR="00684DA9" w:rsidRPr="00F26B76" w:rsidRDefault="00684DA9" w:rsidP="00684DA9">
      <w:pPr>
        <w:spacing w:after="120" w:line="480" w:lineRule="auto"/>
        <w:ind w:hanging="720"/>
        <w:rPr>
          <w:rFonts w:ascii="Palatino Linotype" w:hAnsi="Palatino Linotype" w:cs="Times New Roman"/>
          <w:color w:val="0D0D0D"/>
        </w:rPr>
      </w:pPr>
      <w:r w:rsidRPr="00F26B76">
        <w:rPr>
          <w:rFonts w:ascii="Palatino Linotype" w:hAnsi="Palatino Linotype" w:cs="Times New Roman"/>
          <w:color w:val="0D0D0D"/>
          <w:shd w:val="clear" w:color="auto" w:fill="FFFFFF"/>
        </w:rPr>
        <w:t>Leitão, S., Hogben, J., &amp; Fletcher, J. (1997). Prediction of literacy difficulties in speech impaired subjects.</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 xml:space="preserve">The Australian Communication Quarterly, </w:t>
      </w:r>
      <w:r w:rsidRPr="00F26B76">
        <w:rPr>
          <w:rFonts w:ascii="Palatino Linotype" w:hAnsi="Palatino Linotype" w:cs="Times New Roman"/>
          <w:color w:val="0D0D0D"/>
          <w:shd w:val="clear" w:color="auto" w:fill="FFFFFF"/>
        </w:rPr>
        <w:t>32–34.</w:t>
      </w:r>
    </w:p>
    <w:p w14:paraId="4007C391"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Leitao, S., &amp; Fletcher, J. (2004). Literacy outcomes for students with speech impairment: long-term follow-up.</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International Journal of Language &amp; Communication,</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39</w:t>
      </w:r>
      <w:r w:rsidRPr="00F26B76">
        <w:rPr>
          <w:rFonts w:ascii="Palatino Linotype" w:hAnsi="Palatino Linotype" w:cs="Times New Roman"/>
          <w:color w:val="0D0D0D"/>
          <w:shd w:val="clear" w:color="auto" w:fill="FFFFFF"/>
        </w:rPr>
        <w:t>(2), 245–256.</w:t>
      </w:r>
    </w:p>
    <w:p w14:paraId="04E67509"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 xml:space="preserve">Lewis, B. A., Freebairn, L. A., &amp; Taylor, G. H. (2000). Expressive Phonology Disorders. </w:t>
      </w:r>
      <w:r w:rsidRPr="00F26B76">
        <w:rPr>
          <w:rFonts w:ascii="Palatino Linotype" w:hAnsi="Palatino Linotype" w:cs="Times New Roman"/>
          <w:i/>
          <w:color w:val="0D0D0D"/>
          <w:shd w:val="clear" w:color="auto" w:fill="FFFFFF"/>
        </w:rPr>
        <w:t>Journal of Learning Disabilities,</w:t>
      </w:r>
      <w:r w:rsidRPr="00F26B76">
        <w:rPr>
          <w:rFonts w:ascii="Palatino Linotype" w:hAnsi="Palatino Linotype" w:cs="Times New Roman"/>
          <w:color w:val="0D0D0D"/>
          <w:shd w:val="clear" w:color="auto" w:fill="FFFFFF"/>
        </w:rPr>
        <w:t xml:space="preserve"> 33, 433-444.</w:t>
      </w:r>
    </w:p>
    <w:p w14:paraId="18248834"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 xml:space="preserve">Lewis, B. A., Avrich, A. A., Freebairn, L. A., Hansen, A. J., Sucheston, L. E., Kuo, I., … Stein, C. M. (2011). Literacy Outcomes of Children With Early Childhood Speech Sound Disorders: Impact of Endophenotypes. </w:t>
      </w:r>
      <w:r w:rsidRPr="00F26B76">
        <w:rPr>
          <w:rFonts w:ascii="Palatino Linotype" w:hAnsi="Palatino Linotype" w:cs="Times New Roman"/>
          <w:i/>
          <w:iCs/>
          <w:color w:val="0D0D0D"/>
          <w:shd w:val="clear" w:color="auto" w:fill="FFFFFF"/>
        </w:rPr>
        <w:t>Journal of Speech, Language, and Hearing Research</w:t>
      </w:r>
      <w:r w:rsidRPr="00F26B76">
        <w:rPr>
          <w:rFonts w:ascii="Palatino Linotype" w:hAnsi="Palatino Linotype" w:cs="Times New Roman"/>
          <w:color w:val="0D0D0D"/>
          <w:shd w:val="clear" w:color="auto" w:fill="FFFFFF"/>
        </w:rPr>
        <w:t>, 54, 1628-1643</w:t>
      </w:r>
    </w:p>
    <w:p w14:paraId="4C89F3A1" w14:textId="5B3D0752"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 xml:space="preserve">Nathan, L., Stackhouse, J., Goulandris, N., &amp; Snowling, M.J.S (2004). The Development of Early Literacy Skills Among Children With Speech Difficulties: A Test of the </w:t>
      </w:r>
      <w:r w:rsidR="006E70FD">
        <w:rPr>
          <w:rFonts w:ascii="Palatino Linotype" w:hAnsi="Palatino Linotype" w:cs="Times New Roman"/>
          <w:color w:val="0D0D0D"/>
          <w:shd w:val="clear" w:color="auto" w:fill="FFFFFF"/>
        </w:rPr>
        <w:t>‘</w:t>
      </w:r>
      <w:r w:rsidRPr="00F26B76">
        <w:rPr>
          <w:rFonts w:ascii="Palatino Linotype" w:hAnsi="Palatino Linotype" w:cs="Times New Roman"/>
          <w:color w:val="0D0D0D"/>
          <w:shd w:val="clear" w:color="auto" w:fill="FFFFFF"/>
        </w:rPr>
        <w:t>Critical Age Hypothesis.</w:t>
      </w:r>
      <w:r w:rsidR="006E70FD">
        <w:rPr>
          <w:rFonts w:ascii="Palatino Linotype" w:hAnsi="Palatino Linotype" w:cs="Times New Roman"/>
          <w:color w:val="0D0D0D"/>
          <w:shd w:val="clear" w:color="auto" w:fill="FFFFFF"/>
        </w:rPr>
        <w:t>’</w:t>
      </w:r>
      <w:r w:rsidRPr="00F26B76">
        <w:rPr>
          <w:rFonts w:ascii="Palatino Linotype" w:hAnsi="Palatino Linotype" w:cs="Times New Roman"/>
          <w:color w:val="0D0D0D"/>
          <w:shd w:val="clear" w:color="auto" w:fill="FFFFFF"/>
        </w:rPr>
        <w:t xml:space="preserve"> </w:t>
      </w:r>
      <w:r w:rsidRPr="00F26B76">
        <w:rPr>
          <w:rFonts w:ascii="Palatino Linotype" w:hAnsi="Palatino Linotype" w:cs="Times New Roman"/>
          <w:i/>
          <w:iCs/>
          <w:color w:val="0D0D0D"/>
          <w:shd w:val="clear" w:color="auto" w:fill="FFFFFF"/>
        </w:rPr>
        <w:t>Journal of Speech, Language, and Hearing Research</w:t>
      </w:r>
      <w:r w:rsidRPr="00F26B76">
        <w:rPr>
          <w:rFonts w:ascii="Palatino Linotype" w:hAnsi="Palatino Linotype" w:cs="Times New Roman"/>
          <w:color w:val="0D0D0D"/>
          <w:shd w:val="clear" w:color="auto" w:fill="FFFFFF"/>
        </w:rPr>
        <w:t>, 47, 377-91.</w:t>
      </w:r>
    </w:p>
    <w:p w14:paraId="63543EEE" w14:textId="302EE4E3"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rPr>
        <w:t xml:space="preserve">Nash, H. M., Hulme, C., Gooch, D., &amp; Snowling, M. J. (2013). Preschool language profiles of children at family risk of dyslexia: continuities with specific language impairment. </w:t>
      </w:r>
      <w:r w:rsidRPr="00F26B76">
        <w:rPr>
          <w:rFonts w:ascii="Palatino Linotype" w:hAnsi="Palatino Linotype" w:cs="Times New Roman"/>
          <w:i/>
          <w:iCs/>
        </w:rPr>
        <w:t xml:space="preserve">Journal of Child Psychology and Psychiatry, </w:t>
      </w:r>
      <w:r w:rsidRPr="00F26B76">
        <w:rPr>
          <w:rFonts w:ascii="Palatino Linotype" w:hAnsi="Palatino Linotype" w:cs="Times New Roman"/>
        </w:rPr>
        <w:t xml:space="preserve">, </w:t>
      </w:r>
      <w:r w:rsidRPr="00F26B76">
        <w:rPr>
          <w:rFonts w:ascii="Palatino Linotype" w:hAnsi="Palatino Linotype" w:cs="Times New Roman"/>
          <w:i/>
          <w:iCs/>
        </w:rPr>
        <w:t>54</w:t>
      </w:r>
      <w:r w:rsidRPr="00F26B76">
        <w:rPr>
          <w:rFonts w:ascii="Palatino Linotype" w:hAnsi="Palatino Linotype" w:cs="Times New Roman"/>
        </w:rPr>
        <w:t>, 958–968.</w:t>
      </w:r>
    </w:p>
    <w:p w14:paraId="31FF0954"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Pennington, B. F., &amp; Bishop, D. V. M. (2009). Relations among speech, language, and reading disorders.</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Annual Review of Psychology</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60</w:t>
      </w:r>
      <w:r w:rsidRPr="00F26B76">
        <w:rPr>
          <w:rFonts w:ascii="Palatino Linotype" w:hAnsi="Palatino Linotype" w:cs="Times New Roman"/>
          <w:color w:val="0D0D0D"/>
          <w:shd w:val="clear" w:color="auto" w:fill="FFFFFF"/>
        </w:rPr>
        <w:t>, 283–306.</w:t>
      </w:r>
    </w:p>
    <w:p w14:paraId="20159F54" w14:textId="34191941" w:rsidR="00684DA9" w:rsidRPr="00055442" w:rsidRDefault="00684DA9" w:rsidP="00684DA9">
      <w:pPr>
        <w:pStyle w:val="NormalWeb"/>
        <w:shd w:val="clear" w:color="auto" w:fill="FFFFFF"/>
        <w:spacing w:before="0" w:beforeAutospacing="0" w:after="120" w:afterAutospacing="0" w:line="480" w:lineRule="auto"/>
        <w:ind w:hanging="720"/>
        <w:rPr>
          <w:rFonts w:ascii="Palatino Linotype" w:hAnsi="Palatino Linotype"/>
          <w:color w:val="0D0D0D"/>
          <w:sz w:val="22"/>
          <w:szCs w:val="22"/>
        </w:rPr>
      </w:pPr>
      <w:r w:rsidRPr="00F26B76">
        <w:rPr>
          <w:rFonts w:ascii="Palatino Linotype" w:hAnsi="Palatino Linotype"/>
          <w:color w:val="0D0D0D"/>
          <w:sz w:val="22"/>
          <w:szCs w:val="22"/>
        </w:rPr>
        <w:t>Peterson, R. L., Pennington, B. F., &amp; Shriberg, L. D. (2009). What Influences Literacy Outcome in Children With Speech Sound Disorder?</w:t>
      </w:r>
      <w:r w:rsidRPr="00F26B76">
        <w:rPr>
          <w:rStyle w:val="apple-converted-space"/>
          <w:rFonts w:ascii="Palatino Linotype" w:hAnsi="Palatino Linotype"/>
          <w:color w:val="0D0D0D"/>
          <w:sz w:val="22"/>
          <w:szCs w:val="22"/>
        </w:rPr>
        <w:t> </w:t>
      </w:r>
      <w:r w:rsidRPr="00F26B76">
        <w:rPr>
          <w:rFonts w:ascii="Palatino Linotype" w:hAnsi="Palatino Linotype"/>
          <w:i/>
          <w:iCs/>
          <w:color w:val="0D0D0D"/>
          <w:sz w:val="22"/>
          <w:szCs w:val="22"/>
        </w:rPr>
        <w:t>Journal of Speech, Language, and Hearing Research</w:t>
      </w:r>
      <w:r w:rsidRPr="00C81B88">
        <w:rPr>
          <w:rFonts w:ascii="Palatino Linotype" w:hAnsi="Palatino Linotype"/>
          <w:color w:val="0D0D0D"/>
          <w:sz w:val="22"/>
          <w:szCs w:val="22"/>
        </w:rPr>
        <w:t>,</w:t>
      </w:r>
      <w:r w:rsidRPr="00C81B88">
        <w:rPr>
          <w:rStyle w:val="apple-converted-space"/>
          <w:rFonts w:ascii="Palatino Linotype" w:hAnsi="Palatino Linotype"/>
          <w:color w:val="0D0D0D"/>
          <w:sz w:val="22"/>
          <w:szCs w:val="22"/>
        </w:rPr>
        <w:t> </w:t>
      </w:r>
      <w:r w:rsidRPr="00C81B88">
        <w:rPr>
          <w:rFonts w:ascii="Palatino Linotype" w:hAnsi="Palatino Linotype"/>
          <w:i/>
          <w:iCs/>
          <w:color w:val="0D0D0D"/>
          <w:sz w:val="22"/>
          <w:szCs w:val="22"/>
        </w:rPr>
        <w:t>52</w:t>
      </w:r>
      <w:r w:rsidRPr="00C81B88">
        <w:rPr>
          <w:rFonts w:ascii="Palatino Linotype" w:hAnsi="Palatino Linotype"/>
          <w:color w:val="0D0D0D"/>
          <w:sz w:val="22"/>
          <w:szCs w:val="22"/>
        </w:rPr>
        <w:t>, 1175–1188.</w:t>
      </w:r>
    </w:p>
    <w:p w14:paraId="12FB16DE" w14:textId="33FB6077" w:rsidR="00DB0342" w:rsidRPr="003473C7" w:rsidRDefault="00DB0342" w:rsidP="00684DA9">
      <w:pPr>
        <w:pStyle w:val="NormalWeb"/>
        <w:shd w:val="clear" w:color="auto" w:fill="FFFFFF"/>
        <w:spacing w:before="0" w:beforeAutospacing="0" w:after="120" w:afterAutospacing="0" w:line="480" w:lineRule="auto"/>
        <w:ind w:hanging="720"/>
        <w:rPr>
          <w:rFonts w:ascii="Palatino Linotype" w:hAnsi="Palatino Linotype"/>
          <w:color w:val="0D0D0D"/>
          <w:sz w:val="22"/>
          <w:szCs w:val="22"/>
        </w:rPr>
      </w:pPr>
      <w:r w:rsidRPr="00EF2577">
        <w:rPr>
          <w:rFonts w:ascii="Palatino Linotype" w:hAnsi="Palatino Linotype" w:cs="Arial"/>
          <w:color w:val="0D0D0D"/>
          <w:sz w:val="22"/>
          <w:szCs w:val="22"/>
          <w:shd w:val="clear" w:color="auto" w:fill="FFFFFF"/>
        </w:rPr>
        <w:t>Preston, J. L., Hull, M., &amp; Edwards, M. L. (2013). Preschool speech error patterns predict articulation and phonological awareness outcomes in children with histories of speech sound disorders.</w:t>
      </w:r>
      <w:r w:rsidRPr="00EF2577">
        <w:rPr>
          <w:rStyle w:val="apple-converted-space"/>
          <w:rFonts w:ascii="Palatino Linotype" w:hAnsi="Palatino Linotype" w:cs="Arial"/>
          <w:color w:val="0D0D0D"/>
          <w:sz w:val="22"/>
          <w:szCs w:val="22"/>
          <w:shd w:val="clear" w:color="auto" w:fill="FFFFFF"/>
        </w:rPr>
        <w:t> </w:t>
      </w:r>
      <w:r w:rsidRPr="00EF2577">
        <w:rPr>
          <w:rFonts w:ascii="Palatino Linotype" w:hAnsi="Palatino Linotype" w:cs="Arial"/>
          <w:i/>
          <w:iCs/>
          <w:color w:val="0D0D0D"/>
          <w:sz w:val="22"/>
          <w:szCs w:val="22"/>
          <w:shd w:val="clear" w:color="auto" w:fill="FFFFFF"/>
        </w:rPr>
        <w:t>American Journal</w:t>
      </w:r>
      <w:r w:rsidR="002E5EDB" w:rsidRPr="00EF2577">
        <w:rPr>
          <w:rFonts w:ascii="Palatino Linotype" w:hAnsi="Palatino Linotype" w:cs="Arial"/>
          <w:i/>
          <w:iCs/>
          <w:color w:val="0D0D0D"/>
          <w:sz w:val="22"/>
          <w:szCs w:val="22"/>
          <w:shd w:val="clear" w:color="auto" w:fill="FFFFFF"/>
        </w:rPr>
        <w:t xml:space="preserve"> of Speech-Language Pathology </w:t>
      </w:r>
      <w:r w:rsidRPr="00EF2577">
        <w:rPr>
          <w:rFonts w:ascii="Palatino Linotype" w:hAnsi="Palatino Linotype" w:cs="Arial"/>
          <w:color w:val="0D0D0D"/>
          <w:sz w:val="22"/>
          <w:szCs w:val="22"/>
          <w:shd w:val="clear" w:color="auto" w:fill="FFFFFF"/>
        </w:rPr>
        <w:t>,</w:t>
      </w:r>
      <w:r w:rsidRPr="00EF2577">
        <w:rPr>
          <w:rStyle w:val="apple-converted-space"/>
          <w:rFonts w:ascii="Palatino Linotype" w:hAnsi="Palatino Linotype" w:cs="Arial"/>
          <w:color w:val="0D0D0D"/>
          <w:sz w:val="22"/>
          <w:szCs w:val="22"/>
          <w:shd w:val="clear" w:color="auto" w:fill="FFFFFF"/>
        </w:rPr>
        <w:t> </w:t>
      </w:r>
      <w:r w:rsidRPr="00EF2577">
        <w:rPr>
          <w:rFonts w:ascii="Palatino Linotype" w:hAnsi="Palatino Linotype" w:cs="Arial"/>
          <w:i/>
          <w:iCs/>
          <w:color w:val="0D0D0D"/>
          <w:sz w:val="22"/>
          <w:szCs w:val="22"/>
          <w:shd w:val="clear" w:color="auto" w:fill="FFFFFF"/>
        </w:rPr>
        <w:t>22</w:t>
      </w:r>
      <w:r w:rsidRPr="00EF2577">
        <w:rPr>
          <w:rFonts w:ascii="Palatino Linotype" w:hAnsi="Palatino Linotype" w:cs="Arial"/>
          <w:color w:val="0D0D0D"/>
          <w:sz w:val="22"/>
          <w:szCs w:val="22"/>
          <w:shd w:val="clear" w:color="auto" w:fill="FFFFFF"/>
        </w:rPr>
        <w:t>, 173–184.</w:t>
      </w:r>
    </w:p>
    <w:p w14:paraId="788E1BC0" w14:textId="36A10E9D" w:rsidR="00684DA9" w:rsidRPr="00F26B76" w:rsidRDefault="00684DA9" w:rsidP="00684DA9">
      <w:pPr>
        <w:pStyle w:val="NormalWeb"/>
        <w:shd w:val="clear" w:color="auto" w:fill="FFFFFF"/>
        <w:spacing w:before="0" w:beforeAutospacing="0" w:after="120" w:afterAutospacing="0" w:line="480" w:lineRule="auto"/>
        <w:ind w:hanging="720"/>
        <w:rPr>
          <w:rFonts w:ascii="Palatino Linotype" w:hAnsi="Palatino Linotype"/>
          <w:color w:val="0D0D0D"/>
          <w:sz w:val="22"/>
          <w:szCs w:val="22"/>
        </w:rPr>
      </w:pPr>
      <w:r w:rsidRPr="00F26B76">
        <w:rPr>
          <w:rFonts w:ascii="Palatino Linotype" w:hAnsi="Palatino Linotype"/>
          <w:sz w:val="22"/>
          <w:szCs w:val="22"/>
        </w:rPr>
        <w:t xml:space="preserve">Puolakanaho, A., Ahonen, T., Aro, M., Eklund, K., Leppanen, P.H.T.,... &amp; Lyytinen, H. (2007). Very early phonological and language skills: Estimating individual risk of reading disability. </w:t>
      </w:r>
      <w:r w:rsidRPr="000D3E53">
        <w:rPr>
          <w:rFonts w:ascii="Palatino Linotype" w:hAnsi="Palatino Linotype"/>
          <w:i/>
          <w:sz w:val="22"/>
          <w:szCs w:val="22"/>
        </w:rPr>
        <w:t>Journal of Child Psychology and Psychiatry, 48,</w:t>
      </w:r>
      <w:r w:rsidRPr="00F26B76">
        <w:rPr>
          <w:rFonts w:ascii="Palatino Linotype" w:hAnsi="Palatino Linotype"/>
          <w:sz w:val="22"/>
          <w:szCs w:val="22"/>
        </w:rPr>
        <w:t xml:space="preserve"> 923–931.</w:t>
      </w:r>
    </w:p>
    <w:p w14:paraId="7ECB8477" w14:textId="77777777" w:rsidR="00684DA9" w:rsidRPr="00F26B76" w:rsidRDefault="00684DA9" w:rsidP="00684DA9">
      <w:pPr>
        <w:spacing w:after="120" w:line="480" w:lineRule="auto"/>
        <w:ind w:hanging="720"/>
        <w:rPr>
          <w:rFonts w:ascii="Palatino Linotype" w:hAnsi="Palatino Linotype" w:cs="Times New Roman"/>
          <w:i/>
          <w:iCs/>
          <w:color w:val="0D0D0D"/>
          <w:shd w:val="clear" w:color="auto" w:fill="FFFFFF"/>
        </w:rPr>
      </w:pPr>
      <w:r w:rsidRPr="00F26B76">
        <w:rPr>
          <w:rFonts w:ascii="Palatino Linotype" w:hAnsi="Palatino Linotype" w:cs="Times New Roman"/>
          <w:color w:val="0D0D0D"/>
          <w:shd w:val="clear" w:color="auto" w:fill="FFFFFF"/>
        </w:rPr>
        <w:t>Raitano, N. A., Pennington, B. F., Tunick, R. A., Boada, R., &amp; Shriberg, L. D. (2004) Pre-literacy skills of subgroups of children with speech sound disorders.</w:t>
      </w:r>
      <w:r w:rsidRPr="00F26B76">
        <w:rPr>
          <w:rFonts w:ascii="Palatino Linotype" w:hAnsi="Palatino Linotype" w:cs="Times New Roman"/>
          <w:i/>
          <w:iCs/>
          <w:color w:val="0D0D0D"/>
          <w:shd w:val="clear" w:color="auto" w:fill="FFFFFF"/>
        </w:rPr>
        <w:t xml:space="preserve"> Journal of Child Psychology and Psychiatry, 45, 821-35.</w:t>
      </w:r>
    </w:p>
    <w:p w14:paraId="60A5C2D6"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rPr>
        <w:t>Rice, M., &amp; Wexler, K. (2001). Rice/Wexler test of early grammatical impairment. New York: Psychological Corporation</w:t>
      </w:r>
    </w:p>
    <w:p w14:paraId="2A562185" w14:textId="2B98706B"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Shriberg, L. D., Tomblin, J. B., &amp; McSweeny, J. L. (1999). Prevalence of speech delay in 6-year-old children and comorbidity with language impairment.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Journal of Speech, Language, and Hearing Research</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42</w:t>
      </w:r>
      <w:r w:rsidRPr="00F26B76">
        <w:rPr>
          <w:rFonts w:ascii="Palatino Linotype" w:hAnsi="Palatino Linotype" w:cs="Times New Roman"/>
          <w:color w:val="0D0D0D"/>
          <w:shd w:val="clear" w:color="auto" w:fill="FFFFFF"/>
        </w:rPr>
        <w:t>, 1461–1481.</w:t>
      </w:r>
    </w:p>
    <w:p w14:paraId="4550BAD1"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Snowling, M., Dawes, P., Nash, H., &amp; Hulme, C. (2012). Validity of a Protocol for Adult Self-Report of Dyslexia and Related Difficulties.</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Dyslexia</w:t>
      </w:r>
      <w:r w:rsidRPr="00F26B76">
        <w:rPr>
          <w:rStyle w:val="apple-converted-space"/>
          <w:rFonts w:ascii="Palatino Linotype" w:hAnsi="Palatino Linotype" w:cs="Times New Roman"/>
          <w:i/>
          <w:iCs/>
          <w:color w:val="0D0D0D"/>
          <w:shd w:val="clear" w:color="auto" w:fill="FFFFFF"/>
        </w:rPr>
        <w:t> </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18</w:t>
      </w:r>
      <w:r w:rsidRPr="00F26B76">
        <w:rPr>
          <w:rFonts w:ascii="Palatino Linotype" w:hAnsi="Palatino Linotype" w:cs="Times New Roman"/>
          <w:color w:val="0D0D0D"/>
          <w:shd w:val="clear" w:color="auto" w:fill="FFFFFF"/>
        </w:rPr>
        <w:t>(1), 1–15.</w:t>
      </w:r>
    </w:p>
    <w:p w14:paraId="451BB30D" w14:textId="112DDD5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Snowling, M. J., Duff, F. J., Nash, H. M., &amp; Hulme, C. (2015). Language profiles and literacy outcomes of children with resolving, emerging, or persisting language impairments.</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Journal of Child Psychology and Psychiatry</w:t>
      </w:r>
      <w:r w:rsidR="00A65B53">
        <w:rPr>
          <w:rFonts w:ascii="Palatino Linotype" w:hAnsi="Palatino Linotype" w:cs="Times New Roman"/>
          <w:i/>
          <w:iCs/>
          <w:color w:val="0D0D0D"/>
          <w:shd w:val="clear" w:color="auto" w:fill="FFFFFF"/>
        </w:rPr>
        <w:t>,</w:t>
      </w:r>
    </w:p>
    <w:p w14:paraId="52B0CC5E" w14:textId="77777777"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rPr>
        <w:t xml:space="preserve">Snowling, M. J., Stothard, S. E., Clarke, P., Bowyer-Crane, C., Harrington, A., Truelove, E., &amp; Hulme, C. (2009). </w:t>
      </w:r>
      <w:r w:rsidRPr="00F26B76">
        <w:rPr>
          <w:rFonts w:ascii="Palatino Linotype" w:hAnsi="Palatino Linotype" w:cs="Times New Roman"/>
          <w:i/>
          <w:iCs/>
        </w:rPr>
        <w:t>York Assessment of Reading for Comprehension</w:t>
      </w:r>
      <w:r w:rsidRPr="00F26B76">
        <w:rPr>
          <w:rFonts w:ascii="Palatino Linotype" w:hAnsi="Palatino Linotype" w:cs="Times New Roman"/>
        </w:rPr>
        <w:t xml:space="preserve">. </w:t>
      </w:r>
      <w:r w:rsidRPr="00F26B76">
        <w:rPr>
          <w:rFonts w:ascii="Palatino Linotype" w:hAnsi="Palatino Linotype" w:cs="Times New Roman"/>
          <w:i/>
          <w:iCs/>
        </w:rPr>
        <w:t>GL Assessment.</w:t>
      </w:r>
    </w:p>
    <w:p w14:paraId="1CE4436F" w14:textId="3F5B011B" w:rsidR="00684DA9" w:rsidRPr="00F26B76" w:rsidRDefault="00684DA9" w:rsidP="00684DA9">
      <w:pPr>
        <w:spacing w:after="120" w:line="480" w:lineRule="auto"/>
        <w:ind w:hanging="720"/>
        <w:rPr>
          <w:rFonts w:ascii="Palatino Linotype" w:hAnsi="Palatino Linotype" w:cs="Times New Roman"/>
          <w:color w:val="0D0D0D"/>
          <w:shd w:val="clear" w:color="auto" w:fill="FFFFFF"/>
        </w:rPr>
      </w:pPr>
      <w:r w:rsidRPr="00F26B76">
        <w:rPr>
          <w:rFonts w:ascii="Palatino Linotype" w:hAnsi="Palatino Linotype" w:cs="Times New Roman"/>
          <w:color w:val="0D0D0D"/>
          <w:shd w:val="clear" w:color="auto" w:fill="FFFFFF"/>
        </w:rPr>
        <w:t xml:space="preserve">Stein, C. M., Schick, J. H., Taylor, </w:t>
      </w:r>
      <w:r w:rsidR="000A213F">
        <w:rPr>
          <w:rFonts w:ascii="Palatino Linotype" w:hAnsi="Palatino Linotype" w:cs="Times New Roman"/>
          <w:color w:val="0D0D0D"/>
          <w:shd w:val="clear" w:color="auto" w:fill="FFFFFF"/>
        </w:rPr>
        <w:t>G.</w:t>
      </w:r>
      <w:r w:rsidRPr="00F26B76">
        <w:rPr>
          <w:rFonts w:ascii="Palatino Linotype" w:hAnsi="Palatino Linotype" w:cs="Times New Roman"/>
          <w:color w:val="0D0D0D"/>
          <w:shd w:val="clear" w:color="auto" w:fill="FFFFFF"/>
        </w:rPr>
        <w:t>H., Shriberg, L. D., Millard, C., Kundtz-Kluge, A., … Iyengar, S. K. (2004). Pleiotropic effects of a chromosome 3 locus on speech-sound disorder and reading.</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American Journal of Human Genetics</w:t>
      </w:r>
      <w:r w:rsidRPr="00F26B76">
        <w:rPr>
          <w:rFonts w:ascii="Palatino Linotype" w:hAnsi="Palatino Linotype" w:cs="Times New Roman"/>
          <w:color w:val="0D0D0D"/>
          <w:shd w:val="clear" w:color="auto" w:fill="FFFFFF"/>
        </w:rPr>
        <w:t>,</w:t>
      </w:r>
      <w:r w:rsidRPr="00F26B76">
        <w:rPr>
          <w:rStyle w:val="apple-converted-space"/>
          <w:rFonts w:ascii="Palatino Linotype" w:hAnsi="Palatino Linotype" w:cs="Times New Roman"/>
          <w:color w:val="0D0D0D"/>
          <w:shd w:val="clear" w:color="auto" w:fill="FFFFFF"/>
        </w:rPr>
        <w:t> </w:t>
      </w:r>
      <w:r w:rsidRPr="00F26B76">
        <w:rPr>
          <w:rFonts w:ascii="Palatino Linotype" w:hAnsi="Palatino Linotype" w:cs="Times New Roman"/>
          <w:i/>
          <w:iCs/>
          <w:color w:val="0D0D0D"/>
          <w:shd w:val="clear" w:color="auto" w:fill="FFFFFF"/>
        </w:rPr>
        <w:t>74</w:t>
      </w:r>
      <w:r w:rsidRPr="00F26B76">
        <w:rPr>
          <w:rFonts w:ascii="Palatino Linotype" w:hAnsi="Palatino Linotype" w:cs="Times New Roman"/>
          <w:color w:val="0D0D0D"/>
          <w:shd w:val="clear" w:color="auto" w:fill="FFFFFF"/>
        </w:rPr>
        <w:t>(2), 283–297.</w:t>
      </w:r>
    </w:p>
    <w:p w14:paraId="7BFBC9F2" w14:textId="77777777" w:rsidR="00684DA9" w:rsidRDefault="00684DA9" w:rsidP="00684DA9">
      <w:pPr>
        <w:spacing w:after="120" w:line="480" w:lineRule="auto"/>
        <w:ind w:hanging="720"/>
        <w:rPr>
          <w:rFonts w:ascii="Palatino Linotype" w:hAnsi="Palatino Linotype" w:cs="Times New Roman"/>
        </w:rPr>
      </w:pPr>
      <w:r w:rsidRPr="00F26B76">
        <w:rPr>
          <w:rFonts w:ascii="Palatino Linotype" w:hAnsi="Palatino Linotype" w:cs="Times New Roman"/>
        </w:rPr>
        <w:t>Torgesen, J. K., Wagner, R. K., &amp; Rashotte, C. A. (1999). Test of Word Reading Efficiency. Austin, TX: Pro-Ed.</w:t>
      </w:r>
    </w:p>
    <w:p w14:paraId="2DD1BE82" w14:textId="0AF51996" w:rsidR="00981BA9" w:rsidRPr="003473C7" w:rsidRDefault="00981BA9" w:rsidP="00684DA9">
      <w:pPr>
        <w:spacing w:after="120" w:line="480" w:lineRule="auto"/>
        <w:ind w:hanging="720"/>
        <w:rPr>
          <w:rFonts w:ascii="Palatino Linotype" w:hAnsi="Palatino Linotype" w:cs="Times New Roman"/>
        </w:rPr>
      </w:pPr>
      <w:r w:rsidRPr="002E5EDB">
        <w:rPr>
          <w:rFonts w:ascii="Palatino Linotype" w:hAnsi="Palatino Linotype" w:cs="Arial"/>
          <w:color w:val="0D0D0D"/>
          <w:shd w:val="clear" w:color="auto" w:fill="FFFFFF"/>
        </w:rPr>
        <w:t>Treiman, R., Pennington, B. F., Shriberg, L. D., &amp; Boada, R. (2008). Which children benefit from letter names in learning letter sounds?</w:t>
      </w:r>
      <w:r w:rsidRPr="002E5EDB">
        <w:rPr>
          <w:rStyle w:val="apple-converted-space"/>
          <w:rFonts w:ascii="Palatino Linotype" w:hAnsi="Palatino Linotype" w:cs="Arial"/>
          <w:color w:val="0D0D0D"/>
          <w:shd w:val="clear" w:color="auto" w:fill="FFFFFF"/>
        </w:rPr>
        <w:t> </w:t>
      </w:r>
      <w:r w:rsidRPr="002E5EDB">
        <w:rPr>
          <w:rFonts w:ascii="Palatino Linotype" w:hAnsi="Palatino Linotype" w:cs="Arial"/>
          <w:i/>
          <w:iCs/>
          <w:color w:val="0D0D0D"/>
          <w:shd w:val="clear" w:color="auto" w:fill="FFFFFF"/>
        </w:rPr>
        <w:t>Cognition</w:t>
      </w:r>
      <w:r w:rsidRPr="002E5EDB">
        <w:rPr>
          <w:rFonts w:ascii="Palatino Linotype" w:hAnsi="Palatino Linotype" w:cs="Arial"/>
          <w:color w:val="0D0D0D"/>
          <w:shd w:val="clear" w:color="auto" w:fill="FFFFFF"/>
        </w:rPr>
        <w:t>,</w:t>
      </w:r>
      <w:r w:rsidRPr="002E5EDB">
        <w:rPr>
          <w:rStyle w:val="apple-converted-space"/>
          <w:rFonts w:ascii="Palatino Linotype" w:hAnsi="Palatino Linotype" w:cs="Arial"/>
          <w:color w:val="0D0D0D"/>
          <w:shd w:val="clear" w:color="auto" w:fill="FFFFFF"/>
        </w:rPr>
        <w:t> </w:t>
      </w:r>
      <w:r w:rsidRPr="002E5EDB">
        <w:rPr>
          <w:rFonts w:ascii="Palatino Linotype" w:hAnsi="Palatino Linotype" w:cs="Arial"/>
          <w:i/>
          <w:iCs/>
          <w:color w:val="0D0D0D"/>
          <w:shd w:val="clear" w:color="auto" w:fill="FFFFFF"/>
        </w:rPr>
        <w:t>106</w:t>
      </w:r>
      <w:r w:rsidRPr="002E5EDB">
        <w:rPr>
          <w:rFonts w:ascii="Palatino Linotype" w:hAnsi="Palatino Linotype" w:cs="Arial"/>
          <w:color w:val="0D0D0D"/>
          <w:shd w:val="clear" w:color="auto" w:fill="FFFFFF"/>
        </w:rPr>
        <w:t>, 1322–1338.</w:t>
      </w:r>
    </w:p>
    <w:p w14:paraId="6EC4FCDD" w14:textId="5FC197F5" w:rsidR="008335DF" w:rsidRPr="00EF2577" w:rsidRDefault="008335DF" w:rsidP="00684DA9">
      <w:pPr>
        <w:spacing w:after="120" w:line="480" w:lineRule="auto"/>
        <w:ind w:hanging="720"/>
        <w:rPr>
          <w:rFonts w:ascii="Palatino Linotype" w:hAnsi="Palatino Linotype" w:cs="Times New Roman"/>
          <w:color w:val="0D0D0D"/>
          <w:shd w:val="clear" w:color="auto" w:fill="FFFFFF"/>
        </w:rPr>
      </w:pPr>
      <w:r w:rsidRPr="00EF2577">
        <w:rPr>
          <w:rFonts w:ascii="Palatino Linotype" w:hAnsi="Palatino Linotype" w:cs="Times New Roman"/>
        </w:rPr>
        <w:t>Wechsler, D. (1999). Wechsler Abbreivated Scale of</w:t>
      </w:r>
      <w:r w:rsidR="002E5EDB" w:rsidRPr="00EF2577">
        <w:rPr>
          <w:rFonts w:ascii="Palatino Linotype" w:hAnsi="Palatino Linotype" w:cs="Times New Roman"/>
        </w:rPr>
        <w:t xml:space="preserve"> Intelligence. San Antonio</w:t>
      </w:r>
      <w:r w:rsidRPr="00EF2577">
        <w:rPr>
          <w:rFonts w:ascii="Palatino Linotype" w:hAnsi="Palatino Linotype" w:cs="Times New Roman"/>
        </w:rPr>
        <w:t xml:space="preserve">, TX: Psychological Corporation. </w:t>
      </w:r>
    </w:p>
    <w:p w14:paraId="057F33D7" w14:textId="77777777" w:rsidR="00684DA9" w:rsidRPr="00EF2577" w:rsidRDefault="00684DA9" w:rsidP="00684DA9">
      <w:pPr>
        <w:spacing w:after="120" w:line="480" w:lineRule="auto"/>
        <w:ind w:hanging="720"/>
        <w:rPr>
          <w:rFonts w:ascii="Palatino Linotype" w:hAnsi="Palatino Linotype" w:cs="Times New Roman"/>
          <w:shd w:val="clear" w:color="auto" w:fill="FFFFFF"/>
        </w:rPr>
      </w:pPr>
      <w:r w:rsidRPr="00EF2577">
        <w:rPr>
          <w:rFonts w:ascii="Palatino Linotype" w:hAnsi="Palatino Linotype" w:cs="Times New Roman"/>
        </w:rPr>
        <w:t xml:space="preserve">Wechsler, D. (2003). </w:t>
      </w:r>
      <w:r w:rsidRPr="00EF2577">
        <w:rPr>
          <w:rFonts w:ascii="Palatino Linotype" w:hAnsi="Palatino Linotype" w:cs="Times New Roman"/>
          <w:i/>
        </w:rPr>
        <w:t>Wechsler intelligence scale for children–third edition.</w:t>
      </w:r>
      <w:r w:rsidRPr="00EF2577">
        <w:rPr>
          <w:rFonts w:ascii="Palatino Linotype" w:hAnsi="Palatino Linotype" w:cs="Times New Roman"/>
        </w:rPr>
        <w:t xml:space="preserve"> San Antonio, TX: Harcourt Assessment.</w:t>
      </w:r>
    </w:p>
    <w:p w14:paraId="7BF47A5F" w14:textId="77777777" w:rsidR="00684DA9" w:rsidRPr="00EF2577" w:rsidRDefault="00684DA9" w:rsidP="00684DA9">
      <w:pPr>
        <w:spacing w:after="120" w:line="480" w:lineRule="auto"/>
        <w:ind w:hanging="720"/>
        <w:rPr>
          <w:rFonts w:ascii="Palatino Linotype" w:eastAsia="Times New Roman" w:hAnsi="Palatino Linotype" w:cs="Times New Roman"/>
          <w:lang w:eastAsia="en-GB"/>
        </w:rPr>
      </w:pPr>
      <w:r w:rsidRPr="00EF2577">
        <w:rPr>
          <w:rFonts w:ascii="Palatino Linotype" w:eastAsia="Times New Roman" w:hAnsi="Palatino Linotype" w:cs="Times New Roman"/>
          <w:lang w:eastAsia="en-GB"/>
        </w:rPr>
        <w:t xml:space="preserve">Wechsler, D. (2005). </w:t>
      </w:r>
      <w:r w:rsidRPr="00EF2577">
        <w:rPr>
          <w:rFonts w:ascii="Palatino Linotype" w:eastAsia="Times New Roman" w:hAnsi="Palatino Linotype" w:cs="Times New Roman"/>
          <w:i/>
          <w:lang w:eastAsia="en-GB"/>
        </w:rPr>
        <w:t>Wechsler Individual Achievement Test 2nd Edition (WIAT II).</w:t>
      </w:r>
      <w:r w:rsidRPr="00EF2577">
        <w:rPr>
          <w:rFonts w:ascii="Palatino Linotype" w:eastAsia="Times New Roman" w:hAnsi="Palatino Linotype" w:cs="Times New Roman"/>
          <w:lang w:eastAsia="en-GB"/>
        </w:rPr>
        <w:t xml:space="preserve"> London: The Psychological Corp.</w:t>
      </w:r>
    </w:p>
    <w:p w14:paraId="3D1BB9D1" w14:textId="0D3930E3" w:rsidR="008335DF" w:rsidRPr="00EF2577" w:rsidRDefault="008335DF" w:rsidP="00684DA9">
      <w:pPr>
        <w:spacing w:after="120" w:line="480" w:lineRule="auto"/>
        <w:ind w:hanging="720"/>
        <w:rPr>
          <w:rFonts w:ascii="Palatino Linotype" w:eastAsia="Times New Roman" w:hAnsi="Palatino Linotype" w:cs="Times New Roman"/>
          <w:lang w:eastAsia="en-GB"/>
        </w:rPr>
      </w:pPr>
      <w:r w:rsidRPr="00EF2577">
        <w:rPr>
          <w:rFonts w:ascii="Palatino Linotype" w:eastAsia="Times New Roman" w:hAnsi="Palatino Linotype" w:cs="Times New Roman"/>
          <w:lang w:eastAsia="en-GB"/>
        </w:rPr>
        <w:t>Wilki</w:t>
      </w:r>
      <w:r w:rsidR="004C25BD" w:rsidRPr="00EF2577">
        <w:rPr>
          <w:rFonts w:ascii="Palatino Linotype" w:eastAsia="Times New Roman" w:hAnsi="Palatino Linotype" w:cs="Times New Roman"/>
          <w:lang w:eastAsia="en-GB"/>
        </w:rPr>
        <w:t>n</w:t>
      </w:r>
      <w:r w:rsidRPr="00EF2577">
        <w:rPr>
          <w:rFonts w:ascii="Palatino Linotype" w:eastAsia="Times New Roman" w:hAnsi="Palatino Linotype" w:cs="Times New Roman"/>
          <w:lang w:eastAsia="en-GB"/>
        </w:rPr>
        <w:t xml:space="preserve">son, G.S. &amp; Roberston, G.J. (2006). Wide Range Achievement Test 4. Lutz,FL: Psychological Assessment Resources. </w:t>
      </w:r>
    </w:p>
    <w:p w14:paraId="4E947007" w14:textId="77777777" w:rsidR="00EF4CAF" w:rsidRPr="00EF2577" w:rsidRDefault="00684DA9" w:rsidP="00EF4CAF">
      <w:pPr>
        <w:spacing w:after="120" w:line="480" w:lineRule="auto"/>
        <w:ind w:hanging="720"/>
        <w:rPr>
          <w:rFonts w:ascii="Palatino Linotype" w:hAnsi="Palatino Linotype" w:cs="Times New Roman"/>
        </w:rPr>
      </w:pPr>
      <w:r w:rsidRPr="00EF2577">
        <w:rPr>
          <w:rFonts w:ascii="Palatino Linotype" w:hAnsi="Palatino Linotype" w:cs="Times New Roman"/>
        </w:rPr>
        <w:t xml:space="preserve">Wiig, E. H., Secord, W., &amp; Semel, E. (2006). </w:t>
      </w:r>
      <w:r w:rsidRPr="00EF2577">
        <w:rPr>
          <w:rFonts w:ascii="Palatino Linotype" w:hAnsi="Palatino Linotype" w:cs="Times New Roman"/>
          <w:i/>
          <w:iCs/>
        </w:rPr>
        <w:t>Clinical Evaluation of Language Fundamentals - Preschool Second UK Edition</w:t>
      </w:r>
      <w:r w:rsidRPr="00EF2577">
        <w:rPr>
          <w:rFonts w:ascii="Palatino Linotype" w:hAnsi="Palatino Linotype" w:cs="Times New Roman"/>
        </w:rPr>
        <w:t>. London: Harcourt Assessment.</w:t>
      </w:r>
    </w:p>
    <w:p w14:paraId="347A6424" w14:textId="5034669F" w:rsidR="00BC7C4A" w:rsidRPr="00EF4CAF" w:rsidRDefault="00EF4CAF" w:rsidP="00EF4CAF">
      <w:pPr>
        <w:spacing w:after="120" w:line="480" w:lineRule="auto"/>
        <w:ind w:hanging="720"/>
        <w:rPr>
          <w:rFonts w:ascii="Palatino Linotype" w:hAnsi="Palatino Linotype" w:cs="Times New Roman"/>
        </w:rPr>
      </w:pPr>
      <w:r w:rsidRPr="00EF2577">
        <w:rPr>
          <w:rFonts w:ascii="Palatino Linotype" w:hAnsi="Palatino Linotype" w:cs="Times New Roman"/>
          <w:color w:val="0D0D0D"/>
          <w:shd w:val="clear" w:color="auto" w:fill="FFFFFF"/>
        </w:rPr>
        <w:t>Z</w:t>
      </w:r>
      <w:r w:rsidR="00684DA9" w:rsidRPr="00EF2577">
        <w:rPr>
          <w:rFonts w:ascii="Palatino Linotype" w:hAnsi="Palatino Linotype" w:cs="Times New Roman"/>
          <w:color w:val="0D0D0D"/>
          <w:shd w:val="clear" w:color="auto" w:fill="FFFFFF"/>
        </w:rPr>
        <w:t>hang, X., &amp; Bruce Tomblin, J. (2000). The Association of Intervention Receipt With Speech-Language Profiles and Social-Demographic Variables.</w:t>
      </w:r>
      <w:r w:rsidR="00684DA9" w:rsidRPr="00EF2577">
        <w:rPr>
          <w:rStyle w:val="apple-converted-space"/>
          <w:rFonts w:ascii="Palatino Linotype" w:hAnsi="Palatino Linotype" w:cs="Times New Roman"/>
          <w:color w:val="0D0D0D"/>
          <w:shd w:val="clear" w:color="auto" w:fill="FFFFFF"/>
        </w:rPr>
        <w:t> </w:t>
      </w:r>
      <w:r w:rsidR="00684DA9" w:rsidRPr="00EF2577">
        <w:rPr>
          <w:rFonts w:ascii="Palatino Linotype" w:hAnsi="Palatino Linotype" w:cs="Times New Roman"/>
          <w:i/>
          <w:iCs/>
          <w:color w:val="0D0D0D"/>
          <w:shd w:val="clear" w:color="auto" w:fill="FFFFFF"/>
        </w:rPr>
        <w:t>American Journal of Speech-Language Pathology</w:t>
      </w:r>
      <w:r w:rsidR="00684DA9" w:rsidRPr="00EF2577">
        <w:rPr>
          <w:rFonts w:ascii="Palatino Linotype" w:hAnsi="Palatino Linotype" w:cs="Times New Roman"/>
          <w:color w:val="0D0D0D"/>
          <w:shd w:val="clear" w:color="auto" w:fill="FFFFFF"/>
        </w:rPr>
        <w:t>,</w:t>
      </w:r>
      <w:r w:rsidR="00684DA9" w:rsidRPr="00EF2577">
        <w:rPr>
          <w:rStyle w:val="apple-converted-space"/>
          <w:rFonts w:ascii="Palatino Linotype" w:hAnsi="Palatino Linotype" w:cs="Times New Roman"/>
          <w:color w:val="0D0D0D"/>
          <w:shd w:val="clear" w:color="auto" w:fill="FFFFFF"/>
        </w:rPr>
        <w:t> </w:t>
      </w:r>
      <w:r w:rsidR="00684DA9" w:rsidRPr="00EF2577">
        <w:rPr>
          <w:rFonts w:ascii="Palatino Linotype" w:hAnsi="Palatino Linotype" w:cs="Times New Roman"/>
          <w:i/>
          <w:iCs/>
          <w:color w:val="0D0D0D"/>
          <w:shd w:val="clear" w:color="auto" w:fill="FFFFFF"/>
        </w:rPr>
        <w:t>9</w:t>
      </w:r>
      <w:r w:rsidR="00684DA9" w:rsidRPr="00EF2577">
        <w:rPr>
          <w:rFonts w:ascii="Palatino Linotype" w:hAnsi="Palatino Linotype" w:cs="Times New Roman"/>
          <w:color w:val="0D0D0D"/>
          <w:shd w:val="clear" w:color="auto" w:fill="FFFFFF"/>
        </w:rPr>
        <w:t>, 345–357.</w:t>
      </w:r>
    </w:p>
    <w:sectPr w:rsidR="00BC7C4A" w:rsidRPr="00EF4CAF" w:rsidSect="00EF4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CF41F" w14:textId="77777777" w:rsidR="00F36A10" w:rsidRDefault="00F36A10" w:rsidP="008A3123">
      <w:pPr>
        <w:spacing w:after="0" w:line="240" w:lineRule="auto"/>
      </w:pPr>
      <w:r>
        <w:separator/>
      </w:r>
    </w:p>
  </w:endnote>
  <w:endnote w:type="continuationSeparator" w:id="0">
    <w:p w14:paraId="3F4DEC9F" w14:textId="77777777" w:rsidR="00F36A10" w:rsidRDefault="00F36A10" w:rsidP="008A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dvOTf9433e2d">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59533" w14:textId="77777777" w:rsidR="00F36A10" w:rsidRDefault="00F36A10" w:rsidP="008A3123">
      <w:pPr>
        <w:spacing w:after="0" w:line="240" w:lineRule="auto"/>
      </w:pPr>
      <w:r>
        <w:separator/>
      </w:r>
    </w:p>
  </w:footnote>
  <w:footnote w:type="continuationSeparator" w:id="0">
    <w:p w14:paraId="7AE1B50D" w14:textId="77777777" w:rsidR="00F36A10" w:rsidRDefault="00F36A10" w:rsidP="008A31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C0F"/>
    <w:multiLevelType w:val="hybridMultilevel"/>
    <w:tmpl w:val="C768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316E7"/>
    <w:multiLevelType w:val="multilevel"/>
    <w:tmpl w:val="85FE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9B14F9"/>
    <w:multiLevelType w:val="hybridMultilevel"/>
    <w:tmpl w:val="E6BA2422"/>
    <w:lvl w:ilvl="0" w:tplc="E3165C2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BB6E41"/>
    <w:multiLevelType w:val="hybridMultilevel"/>
    <w:tmpl w:val="246A45AE"/>
    <w:lvl w:ilvl="0" w:tplc="9F5053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9A6526"/>
    <w:multiLevelType w:val="hybridMultilevel"/>
    <w:tmpl w:val="D61C8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C671D"/>
    <w:multiLevelType w:val="hybridMultilevel"/>
    <w:tmpl w:val="A07E74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493545"/>
    <w:multiLevelType w:val="hybridMultilevel"/>
    <w:tmpl w:val="BCFCB5CC"/>
    <w:lvl w:ilvl="0" w:tplc="2F5AD68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F80661"/>
    <w:multiLevelType w:val="hybridMultilevel"/>
    <w:tmpl w:val="9A86AC08"/>
    <w:lvl w:ilvl="0" w:tplc="8F0088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C66EA"/>
    <w:multiLevelType w:val="hybridMultilevel"/>
    <w:tmpl w:val="D772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8F3566"/>
    <w:multiLevelType w:val="hybridMultilevel"/>
    <w:tmpl w:val="D772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080749"/>
    <w:multiLevelType w:val="hybridMultilevel"/>
    <w:tmpl w:val="D9DA0F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202D54"/>
    <w:multiLevelType w:val="hybridMultilevel"/>
    <w:tmpl w:val="37FC27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937027B"/>
    <w:multiLevelType w:val="hybridMultilevel"/>
    <w:tmpl w:val="ED46421A"/>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7AAC7756"/>
    <w:multiLevelType w:val="hybridMultilevel"/>
    <w:tmpl w:val="D460F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8"/>
  </w:num>
  <w:num w:numId="4">
    <w:abstractNumId w:val="6"/>
  </w:num>
  <w:num w:numId="5">
    <w:abstractNumId w:val="4"/>
  </w:num>
  <w:num w:numId="6">
    <w:abstractNumId w:val="9"/>
  </w:num>
  <w:num w:numId="7">
    <w:abstractNumId w:val="1"/>
  </w:num>
  <w:num w:numId="8">
    <w:abstractNumId w:val="5"/>
  </w:num>
  <w:num w:numId="9">
    <w:abstractNumId w:val="3"/>
  </w:num>
  <w:num w:numId="10">
    <w:abstractNumId w:val="10"/>
  </w:num>
  <w:num w:numId="11">
    <w:abstractNumId w:val="13"/>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B3F"/>
    <w:rsid w:val="000015EF"/>
    <w:rsid w:val="00004572"/>
    <w:rsid w:val="000134F5"/>
    <w:rsid w:val="00020DB9"/>
    <w:rsid w:val="0002105B"/>
    <w:rsid w:val="000221A2"/>
    <w:rsid w:val="00023701"/>
    <w:rsid w:val="00024D79"/>
    <w:rsid w:val="00026C9B"/>
    <w:rsid w:val="000308BF"/>
    <w:rsid w:val="00033E40"/>
    <w:rsid w:val="00042ADA"/>
    <w:rsid w:val="00044543"/>
    <w:rsid w:val="000452FD"/>
    <w:rsid w:val="00046868"/>
    <w:rsid w:val="00055442"/>
    <w:rsid w:val="00055E41"/>
    <w:rsid w:val="00057C7F"/>
    <w:rsid w:val="0006003E"/>
    <w:rsid w:val="00060767"/>
    <w:rsid w:val="000616CC"/>
    <w:rsid w:val="00062BED"/>
    <w:rsid w:val="00066266"/>
    <w:rsid w:val="00066BE8"/>
    <w:rsid w:val="00072C9E"/>
    <w:rsid w:val="0008258B"/>
    <w:rsid w:val="00085EE6"/>
    <w:rsid w:val="00086FEC"/>
    <w:rsid w:val="00090451"/>
    <w:rsid w:val="000A004E"/>
    <w:rsid w:val="000A0468"/>
    <w:rsid w:val="000A213F"/>
    <w:rsid w:val="000A2CBF"/>
    <w:rsid w:val="000B1B7C"/>
    <w:rsid w:val="000B26CC"/>
    <w:rsid w:val="000C1677"/>
    <w:rsid w:val="000C397D"/>
    <w:rsid w:val="000D2159"/>
    <w:rsid w:val="000D24AB"/>
    <w:rsid w:val="000D3E53"/>
    <w:rsid w:val="000E35CA"/>
    <w:rsid w:val="000F013C"/>
    <w:rsid w:val="000F3944"/>
    <w:rsid w:val="000F576F"/>
    <w:rsid w:val="0011178D"/>
    <w:rsid w:val="00113070"/>
    <w:rsid w:val="0011323D"/>
    <w:rsid w:val="00116849"/>
    <w:rsid w:val="001174EF"/>
    <w:rsid w:val="00117724"/>
    <w:rsid w:val="00120E59"/>
    <w:rsid w:val="00125318"/>
    <w:rsid w:val="0012582D"/>
    <w:rsid w:val="00133055"/>
    <w:rsid w:val="001347C7"/>
    <w:rsid w:val="00144911"/>
    <w:rsid w:val="00153C58"/>
    <w:rsid w:val="00154739"/>
    <w:rsid w:val="00160EC3"/>
    <w:rsid w:val="00170D54"/>
    <w:rsid w:val="00174104"/>
    <w:rsid w:val="001746E1"/>
    <w:rsid w:val="00181C32"/>
    <w:rsid w:val="00184EE7"/>
    <w:rsid w:val="0019289F"/>
    <w:rsid w:val="001964DC"/>
    <w:rsid w:val="00196AEF"/>
    <w:rsid w:val="001A4990"/>
    <w:rsid w:val="001A64B0"/>
    <w:rsid w:val="001B49F2"/>
    <w:rsid w:val="001B6F5D"/>
    <w:rsid w:val="001C781F"/>
    <w:rsid w:val="001D0C27"/>
    <w:rsid w:val="001D19DD"/>
    <w:rsid w:val="001D3626"/>
    <w:rsid w:val="001D74EB"/>
    <w:rsid w:val="001E0A22"/>
    <w:rsid w:val="001E1679"/>
    <w:rsid w:val="001E1A2A"/>
    <w:rsid w:val="001F049E"/>
    <w:rsid w:val="001F0D81"/>
    <w:rsid w:val="001F2ABA"/>
    <w:rsid w:val="001F2CC0"/>
    <w:rsid w:val="001F4B27"/>
    <w:rsid w:val="001F67EB"/>
    <w:rsid w:val="001F7C38"/>
    <w:rsid w:val="001F7FA0"/>
    <w:rsid w:val="00210742"/>
    <w:rsid w:val="00212F2C"/>
    <w:rsid w:val="00214CFE"/>
    <w:rsid w:val="002249B5"/>
    <w:rsid w:val="00230114"/>
    <w:rsid w:val="00244711"/>
    <w:rsid w:val="00244A23"/>
    <w:rsid w:val="00261531"/>
    <w:rsid w:val="00262402"/>
    <w:rsid w:val="0026456B"/>
    <w:rsid w:val="0026465F"/>
    <w:rsid w:val="00273FC4"/>
    <w:rsid w:val="0027539E"/>
    <w:rsid w:val="00277DAE"/>
    <w:rsid w:val="00280023"/>
    <w:rsid w:val="00290493"/>
    <w:rsid w:val="002926AC"/>
    <w:rsid w:val="002A3F6E"/>
    <w:rsid w:val="002C2DEE"/>
    <w:rsid w:val="002C3561"/>
    <w:rsid w:val="002C3791"/>
    <w:rsid w:val="002C6FF4"/>
    <w:rsid w:val="002C7E6D"/>
    <w:rsid w:val="002E2900"/>
    <w:rsid w:val="002E5063"/>
    <w:rsid w:val="002E5EDB"/>
    <w:rsid w:val="002F5215"/>
    <w:rsid w:val="002F53E0"/>
    <w:rsid w:val="002F7637"/>
    <w:rsid w:val="00304069"/>
    <w:rsid w:val="003059A1"/>
    <w:rsid w:val="00311D87"/>
    <w:rsid w:val="003157F1"/>
    <w:rsid w:val="003217BE"/>
    <w:rsid w:val="00322007"/>
    <w:rsid w:val="00322337"/>
    <w:rsid w:val="0034306C"/>
    <w:rsid w:val="003473C7"/>
    <w:rsid w:val="00354F5A"/>
    <w:rsid w:val="00357E28"/>
    <w:rsid w:val="00363ADB"/>
    <w:rsid w:val="00365E1A"/>
    <w:rsid w:val="00376531"/>
    <w:rsid w:val="003840DB"/>
    <w:rsid w:val="00385460"/>
    <w:rsid w:val="00386E7D"/>
    <w:rsid w:val="0039031E"/>
    <w:rsid w:val="003A15F4"/>
    <w:rsid w:val="003B3489"/>
    <w:rsid w:val="003B42A1"/>
    <w:rsid w:val="003C37B7"/>
    <w:rsid w:val="003C38ED"/>
    <w:rsid w:val="003C63ED"/>
    <w:rsid w:val="003D0B0F"/>
    <w:rsid w:val="003D5843"/>
    <w:rsid w:val="003D6110"/>
    <w:rsid w:val="003E1567"/>
    <w:rsid w:val="003F03B1"/>
    <w:rsid w:val="003F6C2E"/>
    <w:rsid w:val="00415A6D"/>
    <w:rsid w:val="0042026A"/>
    <w:rsid w:val="00420DC2"/>
    <w:rsid w:val="00424A16"/>
    <w:rsid w:val="00437E8D"/>
    <w:rsid w:val="00452BCB"/>
    <w:rsid w:val="0045564E"/>
    <w:rsid w:val="004561E3"/>
    <w:rsid w:val="00470863"/>
    <w:rsid w:val="00475ED0"/>
    <w:rsid w:val="004809F6"/>
    <w:rsid w:val="00485AC3"/>
    <w:rsid w:val="00486FA6"/>
    <w:rsid w:val="004954A2"/>
    <w:rsid w:val="004958FA"/>
    <w:rsid w:val="0049668B"/>
    <w:rsid w:val="004B54AF"/>
    <w:rsid w:val="004B5A00"/>
    <w:rsid w:val="004C25BD"/>
    <w:rsid w:val="004D33C9"/>
    <w:rsid w:val="004E3E19"/>
    <w:rsid w:val="004E6DAF"/>
    <w:rsid w:val="004F0917"/>
    <w:rsid w:val="00507B1F"/>
    <w:rsid w:val="00514055"/>
    <w:rsid w:val="0052095D"/>
    <w:rsid w:val="00524895"/>
    <w:rsid w:val="00526FF9"/>
    <w:rsid w:val="00536EB9"/>
    <w:rsid w:val="005435E9"/>
    <w:rsid w:val="00553523"/>
    <w:rsid w:val="00557718"/>
    <w:rsid w:val="00565ABB"/>
    <w:rsid w:val="005667DF"/>
    <w:rsid w:val="005673C1"/>
    <w:rsid w:val="00570FB5"/>
    <w:rsid w:val="005757D3"/>
    <w:rsid w:val="00577261"/>
    <w:rsid w:val="00580717"/>
    <w:rsid w:val="00580B44"/>
    <w:rsid w:val="00581921"/>
    <w:rsid w:val="0058734F"/>
    <w:rsid w:val="0059156B"/>
    <w:rsid w:val="005938B8"/>
    <w:rsid w:val="00596006"/>
    <w:rsid w:val="00597D22"/>
    <w:rsid w:val="005A349C"/>
    <w:rsid w:val="005A447B"/>
    <w:rsid w:val="005A7841"/>
    <w:rsid w:val="005B0E65"/>
    <w:rsid w:val="005B5005"/>
    <w:rsid w:val="005B7C92"/>
    <w:rsid w:val="005C50A1"/>
    <w:rsid w:val="005C7AD0"/>
    <w:rsid w:val="005D52A4"/>
    <w:rsid w:val="005D6365"/>
    <w:rsid w:val="005E3DD2"/>
    <w:rsid w:val="005E781D"/>
    <w:rsid w:val="005F0D6C"/>
    <w:rsid w:val="005F2CFC"/>
    <w:rsid w:val="005F44B7"/>
    <w:rsid w:val="005F705C"/>
    <w:rsid w:val="005F74D8"/>
    <w:rsid w:val="00604DD6"/>
    <w:rsid w:val="00611F99"/>
    <w:rsid w:val="0061484F"/>
    <w:rsid w:val="006204F4"/>
    <w:rsid w:val="0062052C"/>
    <w:rsid w:val="00624E3E"/>
    <w:rsid w:val="0062778A"/>
    <w:rsid w:val="006348BF"/>
    <w:rsid w:val="00634B11"/>
    <w:rsid w:val="00636633"/>
    <w:rsid w:val="006434B6"/>
    <w:rsid w:val="0065681E"/>
    <w:rsid w:val="00660DD2"/>
    <w:rsid w:val="00666BDC"/>
    <w:rsid w:val="00670455"/>
    <w:rsid w:val="00673930"/>
    <w:rsid w:val="00684DA9"/>
    <w:rsid w:val="00694DB3"/>
    <w:rsid w:val="00695789"/>
    <w:rsid w:val="006A6B9D"/>
    <w:rsid w:val="006A77A9"/>
    <w:rsid w:val="006B20AE"/>
    <w:rsid w:val="006B5DE7"/>
    <w:rsid w:val="006B7E3D"/>
    <w:rsid w:val="006C1758"/>
    <w:rsid w:val="006C2E55"/>
    <w:rsid w:val="006C7075"/>
    <w:rsid w:val="006D0CC5"/>
    <w:rsid w:val="006D518A"/>
    <w:rsid w:val="006D6510"/>
    <w:rsid w:val="006E1F74"/>
    <w:rsid w:val="006E70FD"/>
    <w:rsid w:val="006F59C7"/>
    <w:rsid w:val="00700FC8"/>
    <w:rsid w:val="007048BB"/>
    <w:rsid w:val="00705CB3"/>
    <w:rsid w:val="007104DB"/>
    <w:rsid w:val="007107E2"/>
    <w:rsid w:val="00710A83"/>
    <w:rsid w:val="00711269"/>
    <w:rsid w:val="00711C91"/>
    <w:rsid w:val="0071532E"/>
    <w:rsid w:val="00722818"/>
    <w:rsid w:val="007269C1"/>
    <w:rsid w:val="00733AC6"/>
    <w:rsid w:val="00735AC6"/>
    <w:rsid w:val="00735F67"/>
    <w:rsid w:val="00735FD8"/>
    <w:rsid w:val="00737CA2"/>
    <w:rsid w:val="00742F3F"/>
    <w:rsid w:val="00744B40"/>
    <w:rsid w:val="00763016"/>
    <w:rsid w:val="007656C5"/>
    <w:rsid w:val="00767F15"/>
    <w:rsid w:val="00775C74"/>
    <w:rsid w:val="00776201"/>
    <w:rsid w:val="0078330A"/>
    <w:rsid w:val="00783D0D"/>
    <w:rsid w:val="00784388"/>
    <w:rsid w:val="00785F85"/>
    <w:rsid w:val="007877D9"/>
    <w:rsid w:val="00794BFB"/>
    <w:rsid w:val="00795341"/>
    <w:rsid w:val="007B5128"/>
    <w:rsid w:val="007C00E8"/>
    <w:rsid w:val="007C0CEB"/>
    <w:rsid w:val="007C2A3E"/>
    <w:rsid w:val="007D4935"/>
    <w:rsid w:val="007E54F4"/>
    <w:rsid w:val="007F369F"/>
    <w:rsid w:val="007F4712"/>
    <w:rsid w:val="007F4DBD"/>
    <w:rsid w:val="007F5335"/>
    <w:rsid w:val="00803C09"/>
    <w:rsid w:val="008178C1"/>
    <w:rsid w:val="008205F7"/>
    <w:rsid w:val="0082159F"/>
    <w:rsid w:val="008222C0"/>
    <w:rsid w:val="00822513"/>
    <w:rsid w:val="008335DF"/>
    <w:rsid w:val="00833908"/>
    <w:rsid w:val="00834B43"/>
    <w:rsid w:val="00837E6F"/>
    <w:rsid w:val="00840994"/>
    <w:rsid w:val="00842F19"/>
    <w:rsid w:val="00844BD8"/>
    <w:rsid w:val="00844E5F"/>
    <w:rsid w:val="00851941"/>
    <w:rsid w:val="0085381E"/>
    <w:rsid w:val="00855E58"/>
    <w:rsid w:val="00867730"/>
    <w:rsid w:val="00867788"/>
    <w:rsid w:val="00867C36"/>
    <w:rsid w:val="008713A4"/>
    <w:rsid w:val="008730D6"/>
    <w:rsid w:val="00875DBE"/>
    <w:rsid w:val="0088597F"/>
    <w:rsid w:val="00885DBA"/>
    <w:rsid w:val="00885E8B"/>
    <w:rsid w:val="008A3123"/>
    <w:rsid w:val="008A4E9D"/>
    <w:rsid w:val="008B0F27"/>
    <w:rsid w:val="008B42B3"/>
    <w:rsid w:val="008B7417"/>
    <w:rsid w:val="008C0D1E"/>
    <w:rsid w:val="008C25B5"/>
    <w:rsid w:val="008D31A3"/>
    <w:rsid w:val="008D5187"/>
    <w:rsid w:val="008D73AC"/>
    <w:rsid w:val="008E77A7"/>
    <w:rsid w:val="008F6B79"/>
    <w:rsid w:val="009119BC"/>
    <w:rsid w:val="00912AC3"/>
    <w:rsid w:val="009149C3"/>
    <w:rsid w:val="00922954"/>
    <w:rsid w:val="00923D26"/>
    <w:rsid w:val="009241B1"/>
    <w:rsid w:val="00926CD1"/>
    <w:rsid w:val="009307E8"/>
    <w:rsid w:val="00934DE6"/>
    <w:rsid w:val="00947950"/>
    <w:rsid w:val="00947F11"/>
    <w:rsid w:val="0095103A"/>
    <w:rsid w:val="00954DD8"/>
    <w:rsid w:val="0095550F"/>
    <w:rsid w:val="009574BB"/>
    <w:rsid w:val="00965D1E"/>
    <w:rsid w:val="009701BC"/>
    <w:rsid w:val="00970C2B"/>
    <w:rsid w:val="00972242"/>
    <w:rsid w:val="0097387E"/>
    <w:rsid w:val="00974578"/>
    <w:rsid w:val="00980E3C"/>
    <w:rsid w:val="00981BA9"/>
    <w:rsid w:val="009826A4"/>
    <w:rsid w:val="00982B69"/>
    <w:rsid w:val="00991618"/>
    <w:rsid w:val="00991BBA"/>
    <w:rsid w:val="0099318F"/>
    <w:rsid w:val="00995C33"/>
    <w:rsid w:val="009A2C95"/>
    <w:rsid w:val="009B0FA3"/>
    <w:rsid w:val="009B340D"/>
    <w:rsid w:val="009B495F"/>
    <w:rsid w:val="009B700D"/>
    <w:rsid w:val="009C05EB"/>
    <w:rsid w:val="009C0AC9"/>
    <w:rsid w:val="009C23BA"/>
    <w:rsid w:val="009C4103"/>
    <w:rsid w:val="009D1C23"/>
    <w:rsid w:val="009D37FC"/>
    <w:rsid w:val="009E04CF"/>
    <w:rsid w:val="009E148B"/>
    <w:rsid w:val="009E2478"/>
    <w:rsid w:val="009E3083"/>
    <w:rsid w:val="009E3703"/>
    <w:rsid w:val="009E3E34"/>
    <w:rsid w:val="009F3221"/>
    <w:rsid w:val="009F6768"/>
    <w:rsid w:val="00A02FD3"/>
    <w:rsid w:val="00A10156"/>
    <w:rsid w:val="00A17ED3"/>
    <w:rsid w:val="00A25F0C"/>
    <w:rsid w:val="00A4170A"/>
    <w:rsid w:val="00A41AA1"/>
    <w:rsid w:val="00A44CAC"/>
    <w:rsid w:val="00A52700"/>
    <w:rsid w:val="00A52E30"/>
    <w:rsid w:val="00A57C45"/>
    <w:rsid w:val="00A60D05"/>
    <w:rsid w:val="00A63DEA"/>
    <w:rsid w:val="00A65281"/>
    <w:rsid w:val="00A65B53"/>
    <w:rsid w:val="00A75AB9"/>
    <w:rsid w:val="00A80F70"/>
    <w:rsid w:val="00A82361"/>
    <w:rsid w:val="00A82469"/>
    <w:rsid w:val="00A82E67"/>
    <w:rsid w:val="00A83972"/>
    <w:rsid w:val="00A85E9D"/>
    <w:rsid w:val="00A95A09"/>
    <w:rsid w:val="00A95F29"/>
    <w:rsid w:val="00A96A17"/>
    <w:rsid w:val="00A97797"/>
    <w:rsid w:val="00AC47FF"/>
    <w:rsid w:val="00AC677F"/>
    <w:rsid w:val="00AD20CE"/>
    <w:rsid w:val="00AD598D"/>
    <w:rsid w:val="00AE735F"/>
    <w:rsid w:val="00B03498"/>
    <w:rsid w:val="00B037A6"/>
    <w:rsid w:val="00B046E8"/>
    <w:rsid w:val="00B04E58"/>
    <w:rsid w:val="00B201DF"/>
    <w:rsid w:val="00B20C75"/>
    <w:rsid w:val="00B315A6"/>
    <w:rsid w:val="00B3306D"/>
    <w:rsid w:val="00B51CDA"/>
    <w:rsid w:val="00B549D3"/>
    <w:rsid w:val="00B65149"/>
    <w:rsid w:val="00B65E9F"/>
    <w:rsid w:val="00B749C7"/>
    <w:rsid w:val="00B768ED"/>
    <w:rsid w:val="00B77165"/>
    <w:rsid w:val="00B8193C"/>
    <w:rsid w:val="00B927DC"/>
    <w:rsid w:val="00B941D7"/>
    <w:rsid w:val="00B96483"/>
    <w:rsid w:val="00BA53A7"/>
    <w:rsid w:val="00BB1E75"/>
    <w:rsid w:val="00BB385E"/>
    <w:rsid w:val="00BB4821"/>
    <w:rsid w:val="00BC139C"/>
    <w:rsid w:val="00BC5152"/>
    <w:rsid w:val="00BC7C4A"/>
    <w:rsid w:val="00BD23A0"/>
    <w:rsid w:val="00BD3494"/>
    <w:rsid w:val="00BD44C2"/>
    <w:rsid w:val="00BD6931"/>
    <w:rsid w:val="00BE722F"/>
    <w:rsid w:val="00BF0F5D"/>
    <w:rsid w:val="00BF476F"/>
    <w:rsid w:val="00C0403D"/>
    <w:rsid w:val="00C0651C"/>
    <w:rsid w:val="00C113D5"/>
    <w:rsid w:val="00C227CB"/>
    <w:rsid w:val="00C25C01"/>
    <w:rsid w:val="00C323C4"/>
    <w:rsid w:val="00C34148"/>
    <w:rsid w:val="00C4514F"/>
    <w:rsid w:val="00C4725D"/>
    <w:rsid w:val="00C47452"/>
    <w:rsid w:val="00C51180"/>
    <w:rsid w:val="00C518F6"/>
    <w:rsid w:val="00C53D0B"/>
    <w:rsid w:val="00C5448D"/>
    <w:rsid w:val="00C577B9"/>
    <w:rsid w:val="00C66ABB"/>
    <w:rsid w:val="00C72722"/>
    <w:rsid w:val="00C81B88"/>
    <w:rsid w:val="00C85BF8"/>
    <w:rsid w:val="00C93055"/>
    <w:rsid w:val="00C93B86"/>
    <w:rsid w:val="00C962A8"/>
    <w:rsid w:val="00CA7732"/>
    <w:rsid w:val="00CB09A3"/>
    <w:rsid w:val="00CC042C"/>
    <w:rsid w:val="00CC2457"/>
    <w:rsid w:val="00CD18B9"/>
    <w:rsid w:val="00CD2337"/>
    <w:rsid w:val="00CD2614"/>
    <w:rsid w:val="00CD311D"/>
    <w:rsid w:val="00CD51DF"/>
    <w:rsid w:val="00CF3860"/>
    <w:rsid w:val="00CF4706"/>
    <w:rsid w:val="00CF70E3"/>
    <w:rsid w:val="00D0141A"/>
    <w:rsid w:val="00D03292"/>
    <w:rsid w:val="00D059FF"/>
    <w:rsid w:val="00D0640C"/>
    <w:rsid w:val="00D06611"/>
    <w:rsid w:val="00D06718"/>
    <w:rsid w:val="00D076E8"/>
    <w:rsid w:val="00D10ECE"/>
    <w:rsid w:val="00D2123D"/>
    <w:rsid w:val="00D22083"/>
    <w:rsid w:val="00D256F5"/>
    <w:rsid w:val="00D33EAF"/>
    <w:rsid w:val="00D43261"/>
    <w:rsid w:val="00D43E9A"/>
    <w:rsid w:val="00D475FC"/>
    <w:rsid w:val="00D4793D"/>
    <w:rsid w:val="00D51163"/>
    <w:rsid w:val="00D54ADB"/>
    <w:rsid w:val="00D5623A"/>
    <w:rsid w:val="00D600C2"/>
    <w:rsid w:val="00D62F56"/>
    <w:rsid w:val="00D6327F"/>
    <w:rsid w:val="00D6388B"/>
    <w:rsid w:val="00D7243D"/>
    <w:rsid w:val="00D747ED"/>
    <w:rsid w:val="00D80A6E"/>
    <w:rsid w:val="00D85A68"/>
    <w:rsid w:val="00D90702"/>
    <w:rsid w:val="00D95263"/>
    <w:rsid w:val="00DA150C"/>
    <w:rsid w:val="00DA6C9E"/>
    <w:rsid w:val="00DB0342"/>
    <w:rsid w:val="00DB2804"/>
    <w:rsid w:val="00DB6275"/>
    <w:rsid w:val="00DB6CBF"/>
    <w:rsid w:val="00DC1291"/>
    <w:rsid w:val="00DC14CF"/>
    <w:rsid w:val="00DC2B13"/>
    <w:rsid w:val="00DD0AC5"/>
    <w:rsid w:val="00DD0B68"/>
    <w:rsid w:val="00DD2EE6"/>
    <w:rsid w:val="00DD5AB5"/>
    <w:rsid w:val="00DF4805"/>
    <w:rsid w:val="00DF5B03"/>
    <w:rsid w:val="00DF70DE"/>
    <w:rsid w:val="00E06B19"/>
    <w:rsid w:val="00E10E19"/>
    <w:rsid w:val="00E111A2"/>
    <w:rsid w:val="00E23D94"/>
    <w:rsid w:val="00E25E49"/>
    <w:rsid w:val="00E33D31"/>
    <w:rsid w:val="00E35D35"/>
    <w:rsid w:val="00E6242E"/>
    <w:rsid w:val="00E80714"/>
    <w:rsid w:val="00E82FD1"/>
    <w:rsid w:val="00E836E5"/>
    <w:rsid w:val="00E94FDD"/>
    <w:rsid w:val="00EA0DBC"/>
    <w:rsid w:val="00EA7279"/>
    <w:rsid w:val="00EC3AAB"/>
    <w:rsid w:val="00EC3CEF"/>
    <w:rsid w:val="00EC7E33"/>
    <w:rsid w:val="00ED1915"/>
    <w:rsid w:val="00ED778C"/>
    <w:rsid w:val="00EE7B19"/>
    <w:rsid w:val="00EF2577"/>
    <w:rsid w:val="00EF4CAF"/>
    <w:rsid w:val="00F04300"/>
    <w:rsid w:val="00F05F15"/>
    <w:rsid w:val="00F12F16"/>
    <w:rsid w:val="00F30263"/>
    <w:rsid w:val="00F35B4D"/>
    <w:rsid w:val="00F36A10"/>
    <w:rsid w:val="00F37C9A"/>
    <w:rsid w:val="00F5479F"/>
    <w:rsid w:val="00F61D56"/>
    <w:rsid w:val="00F62A84"/>
    <w:rsid w:val="00F64CD1"/>
    <w:rsid w:val="00F67AB9"/>
    <w:rsid w:val="00F720CC"/>
    <w:rsid w:val="00F72B13"/>
    <w:rsid w:val="00F77BD3"/>
    <w:rsid w:val="00F81F46"/>
    <w:rsid w:val="00F823E9"/>
    <w:rsid w:val="00F83146"/>
    <w:rsid w:val="00F91C87"/>
    <w:rsid w:val="00F9605C"/>
    <w:rsid w:val="00F97315"/>
    <w:rsid w:val="00FA18F6"/>
    <w:rsid w:val="00FB5199"/>
    <w:rsid w:val="00FB5D14"/>
    <w:rsid w:val="00FB60A6"/>
    <w:rsid w:val="00FC0E09"/>
    <w:rsid w:val="00FC0E36"/>
    <w:rsid w:val="00FC1D98"/>
    <w:rsid w:val="00FD218E"/>
    <w:rsid w:val="00FE5916"/>
    <w:rsid w:val="00FE5B58"/>
    <w:rsid w:val="00FE770F"/>
    <w:rsid w:val="00FF0B3F"/>
    <w:rsid w:val="00FF1309"/>
    <w:rsid w:val="00FF3D86"/>
    <w:rsid w:val="00FF3E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72495"/>
  <w15:docId w15:val="{2089B378-0F4B-420E-A7B4-916D21A9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3F"/>
    <w:pPr>
      <w:spacing w:after="0" w:line="240" w:lineRule="auto"/>
      <w:ind w:left="720"/>
    </w:pPr>
    <w:rPr>
      <w:rFonts w:ascii="Calibri" w:hAnsi="Calibri" w:cs="Times New Roman"/>
      <w:lang w:eastAsia="en-GB"/>
    </w:rPr>
  </w:style>
  <w:style w:type="character" w:styleId="CommentReference">
    <w:name w:val="annotation reference"/>
    <w:basedOn w:val="DefaultParagraphFont"/>
    <w:uiPriority w:val="99"/>
    <w:semiHidden/>
    <w:unhideWhenUsed/>
    <w:rsid w:val="004954A2"/>
    <w:rPr>
      <w:sz w:val="16"/>
      <w:szCs w:val="16"/>
    </w:rPr>
  </w:style>
  <w:style w:type="paragraph" w:styleId="CommentText">
    <w:name w:val="annotation text"/>
    <w:basedOn w:val="Normal"/>
    <w:link w:val="CommentTextChar"/>
    <w:uiPriority w:val="99"/>
    <w:semiHidden/>
    <w:unhideWhenUsed/>
    <w:rsid w:val="004954A2"/>
    <w:pPr>
      <w:spacing w:line="240" w:lineRule="auto"/>
    </w:pPr>
    <w:rPr>
      <w:sz w:val="20"/>
      <w:szCs w:val="20"/>
    </w:rPr>
  </w:style>
  <w:style w:type="character" w:customStyle="1" w:styleId="CommentTextChar">
    <w:name w:val="Comment Text Char"/>
    <w:basedOn w:val="DefaultParagraphFont"/>
    <w:link w:val="CommentText"/>
    <w:uiPriority w:val="99"/>
    <w:semiHidden/>
    <w:rsid w:val="004954A2"/>
    <w:rPr>
      <w:sz w:val="20"/>
      <w:szCs w:val="20"/>
    </w:rPr>
  </w:style>
  <w:style w:type="paragraph" w:styleId="BalloonText">
    <w:name w:val="Balloon Text"/>
    <w:basedOn w:val="Normal"/>
    <w:link w:val="BalloonTextChar"/>
    <w:uiPriority w:val="99"/>
    <w:semiHidden/>
    <w:unhideWhenUsed/>
    <w:rsid w:val="00495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4A2"/>
    <w:rPr>
      <w:rFonts w:ascii="Tahoma" w:hAnsi="Tahoma" w:cs="Tahoma"/>
      <w:sz w:val="16"/>
      <w:szCs w:val="16"/>
    </w:rPr>
  </w:style>
  <w:style w:type="table" w:styleId="TableGrid">
    <w:name w:val="Table Grid"/>
    <w:basedOn w:val="TableNormal"/>
    <w:uiPriority w:val="39"/>
    <w:rsid w:val="00415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D19DD"/>
    <w:rPr>
      <w:b/>
      <w:bCs/>
    </w:rPr>
  </w:style>
  <w:style w:type="character" w:customStyle="1" w:styleId="CommentSubjectChar">
    <w:name w:val="Comment Subject Char"/>
    <w:basedOn w:val="CommentTextChar"/>
    <w:link w:val="CommentSubject"/>
    <w:uiPriority w:val="99"/>
    <w:semiHidden/>
    <w:rsid w:val="001D19DD"/>
    <w:rPr>
      <w:b/>
      <w:bCs/>
      <w:sz w:val="20"/>
      <w:szCs w:val="20"/>
    </w:rPr>
  </w:style>
  <w:style w:type="paragraph" w:styleId="NormalWeb">
    <w:name w:val="Normal (Web)"/>
    <w:basedOn w:val="Normal"/>
    <w:uiPriority w:val="99"/>
    <w:unhideWhenUsed/>
    <w:rsid w:val="00F77B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77BD3"/>
  </w:style>
  <w:style w:type="paragraph" w:styleId="Revision">
    <w:name w:val="Revision"/>
    <w:hidden/>
    <w:uiPriority w:val="99"/>
    <w:semiHidden/>
    <w:rsid w:val="002C2DEE"/>
    <w:pPr>
      <w:spacing w:after="0" w:line="240" w:lineRule="auto"/>
    </w:pPr>
  </w:style>
  <w:style w:type="paragraph" w:styleId="Header">
    <w:name w:val="header"/>
    <w:basedOn w:val="Normal"/>
    <w:link w:val="HeaderChar"/>
    <w:uiPriority w:val="99"/>
    <w:unhideWhenUsed/>
    <w:rsid w:val="008A3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23"/>
  </w:style>
  <w:style w:type="paragraph" w:styleId="Footer">
    <w:name w:val="footer"/>
    <w:basedOn w:val="Normal"/>
    <w:link w:val="FooterChar"/>
    <w:uiPriority w:val="99"/>
    <w:unhideWhenUsed/>
    <w:rsid w:val="008A3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23"/>
  </w:style>
  <w:style w:type="character" w:styleId="Hyperlink">
    <w:name w:val="Hyperlink"/>
    <w:basedOn w:val="DefaultParagraphFont"/>
    <w:uiPriority w:val="99"/>
    <w:unhideWhenUsed/>
    <w:rsid w:val="00524895"/>
    <w:rPr>
      <w:color w:val="0000FF" w:themeColor="hyperlink"/>
      <w:u w:val="single"/>
    </w:rPr>
  </w:style>
  <w:style w:type="paragraph" w:customStyle="1" w:styleId="pagecontents">
    <w:name w:val="pagecontents"/>
    <w:basedOn w:val="Normal"/>
    <w:rsid w:val="00EF25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er1">
    <w:name w:val="Footer1"/>
    <w:basedOn w:val="DefaultParagraphFont"/>
    <w:rsid w:val="00EF2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3928">
      <w:bodyDiv w:val="1"/>
      <w:marLeft w:val="0"/>
      <w:marRight w:val="0"/>
      <w:marTop w:val="0"/>
      <w:marBottom w:val="0"/>
      <w:divBdr>
        <w:top w:val="none" w:sz="0" w:space="0" w:color="auto"/>
        <w:left w:val="none" w:sz="0" w:space="0" w:color="auto"/>
        <w:bottom w:val="none" w:sz="0" w:space="0" w:color="auto"/>
        <w:right w:val="none" w:sz="0" w:space="0" w:color="auto"/>
      </w:divBdr>
      <w:divsChild>
        <w:div w:id="311447541">
          <w:marLeft w:val="0"/>
          <w:marRight w:val="0"/>
          <w:marTop w:val="0"/>
          <w:marBottom w:val="0"/>
          <w:divBdr>
            <w:top w:val="none" w:sz="0" w:space="0" w:color="auto"/>
            <w:left w:val="none" w:sz="0" w:space="0" w:color="auto"/>
            <w:bottom w:val="none" w:sz="0" w:space="0" w:color="auto"/>
            <w:right w:val="none" w:sz="0" w:space="0" w:color="auto"/>
          </w:divBdr>
          <w:divsChild>
            <w:div w:id="618340445">
              <w:marLeft w:val="0"/>
              <w:marRight w:val="0"/>
              <w:marTop w:val="0"/>
              <w:marBottom w:val="0"/>
              <w:divBdr>
                <w:top w:val="none" w:sz="0" w:space="0" w:color="auto"/>
                <w:left w:val="none" w:sz="0" w:space="0" w:color="auto"/>
                <w:bottom w:val="none" w:sz="0" w:space="0" w:color="auto"/>
                <w:right w:val="none" w:sz="0" w:space="0" w:color="auto"/>
              </w:divBdr>
              <w:divsChild>
                <w:div w:id="11229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47015">
      <w:bodyDiv w:val="1"/>
      <w:marLeft w:val="0"/>
      <w:marRight w:val="0"/>
      <w:marTop w:val="0"/>
      <w:marBottom w:val="0"/>
      <w:divBdr>
        <w:top w:val="none" w:sz="0" w:space="0" w:color="auto"/>
        <w:left w:val="none" w:sz="0" w:space="0" w:color="auto"/>
        <w:bottom w:val="none" w:sz="0" w:space="0" w:color="auto"/>
        <w:right w:val="none" w:sz="0" w:space="0" w:color="auto"/>
      </w:divBdr>
      <w:divsChild>
        <w:div w:id="629820072">
          <w:marLeft w:val="0"/>
          <w:marRight w:val="0"/>
          <w:marTop w:val="0"/>
          <w:marBottom w:val="0"/>
          <w:divBdr>
            <w:top w:val="none" w:sz="0" w:space="0" w:color="auto"/>
            <w:left w:val="none" w:sz="0" w:space="0" w:color="auto"/>
            <w:bottom w:val="none" w:sz="0" w:space="0" w:color="auto"/>
            <w:right w:val="none" w:sz="0" w:space="0" w:color="auto"/>
          </w:divBdr>
        </w:div>
      </w:divsChild>
    </w:div>
    <w:div w:id="1378118343">
      <w:bodyDiv w:val="1"/>
      <w:marLeft w:val="0"/>
      <w:marRight w:val="0"/>
      <w:marTop w:val="0"/>
      <w:marBottom w:val="0"/>
      <w:divBdr>
        <w:top w:val="none" w:sz="0" w:space="0" w:color="auto"/>
        <w:left w:val="none" w:sz="0" w:space="0" w:color="auto"/>
        <w:bottom w:val="none" w:sz="0" w:space="0" w:color="auto"/>
        <w:right w:val="none" w:sz="0" w:space="0" w:color="auto"/>
      </w:divBdr>
    </w:div>
    <w:div w:id="141894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hayiou-thomas@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tx>
            <c:strRef>
              <c:f>'SSD groups '!$A$2</c:f>
              <c:strCache>
                <c:ptCount val="1"/>
                <c:pt idx="0">
                  <c:v>SSD</c:v>
                </c:pt>
              </c:strCache>
            </c:strRef>
          </c:tx>
          <c:spPr>
            <a:solidFill>
              <a:schemeClr val="dk1">
                <a:tint val="88500"/>
              </a:schemeClr>
            </a:solidFill>
            <a:ln>
              <a:noFill/>
            </a:ln>
            <a:effectLst/>
          </c:spPr>
          <c:invertIfNegative val="0"/>
          <c:errBars>
            <c:errBarType val="both"/>
            <c:errValType val="cust"/>
            <c:noEndCap val="0"/>
            <c:plus>
              <c:numRef>
                <c:f>'SSD groups '!$W$2:$AB$2</c:f>
                <c:numCache>
                  <c:formatCode>General</c:formatCode>
                  <c:ptCount val="6"/>
                  <c:pt idx="0">
                    <c:v>0.29293020607874043</c:v>
                  </c:pt>
                  <c:pt idx="1">
                    <c:v>0.29033212986738716</c:v>
                  </c:pt>
                  <c:pt idx="2">
                    <c:v>0.32472199865166718</c:v>
                  </c:pt>
                  <c:pt idx="3">
                    <c:v>0.33816271291840166</c:v>
                  </c:pt>
                  <c:pt idx="4">
                    <c:v>0.50025957449608105</c:v>
                  </c:pt>
                  <c:pt idx="5">
                    <c:v>0.30844360781186569</c:v>
                  </c:pt>
                </c:numCache>
              </c:numRef>
            </c:plus>
            <c:minus>
              <c:numRef>
                <c:f>'SSD groups '!$W$2:$AB$2</c:f>
                <c:numCache>
                  <c:formatCode>General</c:formatCode>
                  <c:ptCount val="6"/>
                  <c:pt idx="0">
                    <c:v>0.29293020607874043</c:v>
                  </c:pt>
                  <c:pt idx="1">
                    <c:v>0.29033212986738716</c:v>
                  </c:pt>
                  <c:pt idx="2">
                    <c:v>0.32472199865166718</c:v>
                  </c:pt>
                  <c:pt idx="3">
                    <c:v>0.33816271291840166</c:v>
                  </c:pt>
                  <c:pt idx="4">
                    <c:v>0.50025957449608105</c:v>
                  </c:pt>
                  <c:pt idx="5">
                    <c:v>0.30844360781186569</c:v>
                  </c:pt>
                </c:numCache>
              </c:numRef>
            </c:minus>
            <c:spPr>
              <a:solidFill>
                <a:schemeClr val="tx1"/>
              </a:solidFill>
              <a:ln w="9525" cap="flat" cmpd="sng" algn="ctr">
                <a:solidFill>
                  <a:schemeClr val="tx1">
                    <a:shade val="95000"/>
                    <a:satMod val="105000"/>
                  </a:schemeClr>
                </a:solidFill>
                <a:prstDash val="solid"/>
                <a:round/>
              </a:ln>
              <a:effectLst/>
            </c:spPr>
          </c:errBars>
          <c:cat>
            <c:strRef>
              <c:f>'SSD groups '!$B$1:$G$1</c:f>
              <c:strCache>
                <c:ptCount val="6"/>
                <c:pt idx="0">
                  <c:v>Phoneme Awareness t3</c:v>
                </c:pt>
                <c:pt idx="1">
                  <c:v>Word Reading t3</c:v>
                </c:pt>
                <c:pt idx="2">
                  <c:v>Spelling t3</c:v>
                </c:pt>
                <c:pt idx="3">
                  <c:v>Word Reading t5</c:v>
                </c:pt>
                <c:pt idx="4">
                  <c:v>Spelling t5</c:v>
                </c:pt>
                <c:pt idx="5">
                  <c:v>Reading Comprehension t5</c:v>
                </c:pt>
              </c:strCache>
            </c:strRef>
          </c:cat>
          <c:val>
            <c:numRef>
              <c:f>'SSD groups '!$B$2:$G$2</c:f>
              <c:numCache>
                <c:formatCode>General</c:formatCode>
                <c:ptCount val="6"/>
                <c:pt idx="0">
                  <c:v>-0.3226</c:v>
                </c:pt>
                <c:pt idx="1">
                  <c:v>-0.26889999999999997</c:v>
                </c:pt>
                <c:pt idx="2">
                  <c:v>-0.63829999999999998</c:v>
                </c:pt>
                <c:pt idx="3">
                  <c:v>-0.1797</c:v>
                </c:pt>
                <c:pt idx="4">
                  <c:v>-0.1653</c:v>
                </c:pt>
                <c:pt idx="5">
                  <c:v>-0.25729999999999997</c:v>
                </c:pt>
              </c:numCache>
            </c:numRef>
          </c:val>
        </c:ser>
        <c:ser>
          <c:idx val="1"/>
          <c:order val="1"/>
          <c:tx>
            <c:strRef>
              <c:f>'SSD groups '!$A$3</c:f>
              <c:strCache>
                <c:ptCount val="1"/>
                <c:pt idx="0">
                  <c:v>FR_SSD</c:v>
                </c:pt>
              </c:strCache>
            </c:strRef>
          </c:tx>
          <c:spPr>
            <a:solidFill>
              <a:schemeClr val="dk1">
                <a:tint val="55000"/>
              </a:schemeClr>
            </a:solidFill>
            <a:ln>
              <a:noFill/>
            </a:ln>
            <a:effectLst/>
          </c:spPr>
          <c:invertIfNegative val="0"/>
          <c:errBars>
            <c:errBarType val="both"/>
            <c:errValType val="cust"/>
            <c:noEndCap val="0"/>
            <c:plus>
              <c:numRef>
                <c:f>'SSD groups '!$W$2:$AB$2</c:f>
                <c:numCache>
                  <c:formatCode>General</c:formatCode>
                  <c:ptCount val="6"/>
                  <c:pt idx="0">
                    <c:v>0.29293020607874043</c:v>
                  </c:pt>
                  <c:pt idx="1">
                    <c:v>0.29033212986738716</c:v>
                  </c:pt>
                  <c:pt idx="2">
                    <c:v>0.32472199865166718</c:v>
                  </c:pt>
                  <c:pt idx="3">
                    <c:v>0.33816271291840166</c:v>
                  </c:pt>
                  <c:pt idx="4">
                    <c:v>0.50025957449608105</c:v>
                  </c:pt>
                  <c:pt idx="5">
                    <c:v>0.30844360781186569</c:v>
                  </c:pt>
                </c:numCache>
              </c:numRef>
            </c:plus>
            <c:minus>
              <c:numRef>
                <c:f>'SSD groups '!$W$2:$AB$2</c:f>
                <c:numCache>
                  <c:formatCode>General</c:formatCode>
                  <c:ptCount val="6"/>
                  <c:pt idx="0">
                    <c:v>0.29293020607874043</c:v>
                  </c:pt>
                  <c:pt idx="1">
                    <c:v>0.29033212986738716</c:v>
                  </c:pt>
                  <c:pt idx="2">
                    <c:v>0.32472199865166718</c:v>
                  </c:pt>
                  <c:pt idx="3">
                    <c:v>0.33816271291840166</c:v>
                  </c:pt>
                  <c:pt idx="4">
                    <c:v>0.50025957449608105</c:v>
                  </c:pt>
                  <c:pt idx="5">
                    <c:v>0.30844360781186569</c:v>
                  </c:pt>
                </c:numCache>
              </c:numRef>
            </c:minus>
            <c:spPr>
              <a:solidFill>
                <a:schemeClr val="tx1"/>
              </a:solidFill>
              <a:ln w="9525" cap="flat" cmpd="sng" algn="ctr">
                <a:solidFill>
                  <a:schemeClr val="tx1">
                    <a:shade val="95000"/>
                    <a:satMod val="105000"/>
                  </a:schemeClr>
                </a:solidFill>
                <a:prstDash val="solid"/>
                <a:round/>
              </a:ln>
              <a:effectLst/>
            </c:spPr>
          </c:errBars>
          <c:cat>
            <c:strRef>
              <c:f>'SSD groups '!$B$1:$G$1</c:f>
              <c:strCache>
                <c:ptCount val="6"/>
                <c:pt idx="0">
                  <c:v>Phoneme Awareness t3</c:v>
                </c:pt>
                <c:pt idx="1">
                  <c:v>Word Reading t3</c:v>
                </c:pt>
                <c:pt idx="2">
                  <c:v>Spelling t3</c:v>
                </c:pt>
                <c:pt idx="3">
                  <c:v>Word Reading t5</c:v>
                </c:pt>
                <c:pt idx="4">
                  <c:v>Spelling t5</c:v>
                </c:pt>
                <c:pt idx="5">
                  <c:v>Reading Comprehension t5</c:v>
                </c:pt>
              </c:strCache>
            </c:strRef>
          </c:cat>
          <c:val>
            <c:numRef>
              <c:f>'SSD groups '!$B$3:$G$3</c:f>
              <c:numCache>
                <c:formatCode>General</c:formatCode>
                <c:ptCount val="6"/>
                <c:pt idx="0">
                  <c:v>-0.81130000000000002</c:v>
                </c:pt>
                <c:pt idx="1">
                  <c:v>-0.47560000000000002</c:v>
                </c:pt>
                <c:pt idx="2">
                  <c:v>-0.6129</c:v>
                </c:pt>
                <c:pt idx="3">
                  <c:v>-0.6099</c:v>
                </c:pt>
                <c:pt idx="4">
                  <c:v>-0.44579999999999997</c:v>
                </c:pt>
                <c:pt idx="5">
                  <c:v>-0.73860000000000003</c:v>
                </c:pt>
              </c:numCache>
            </c:numRef>
          </c:val>
        </c:ser>
        <c:ser>
          <c:idx val="2"/>
          <c:order val="2"/>
          <c:tx>
            <c:strRef>
              <c:f>'SSD groups '!$A$4</c:f>
              <c:strCache>
                <c:ptCount val="1"/>
                <c:pt idx="0">
                  <c:v>SSD_LI</c:v>
                </c:pt>
              </c:strCache>
            </c:strRef>
          </c:tx>
          <c:spPr>
            <a:solidFill>
              <a:schemeClr val="dk1">
                <a:tint val="75000"/>
              </a:schemeClr>
            </a:solidFill>
            <a:ln>
              <a:noFill/>
            </a:ln>
            <a:effectLst/>
          </c:spPr>
          <c:invertIfNegative val="0"/>
          <c:errBars>
            <c:errBarType val="both"/>
            <c:errValType val="cust"/>
            <c:noEndCap val="0"/>
            <c:plus>
              <c:numRef>
                <c:f>'SSD groups '!$W$3:$AB$3</c:f>
                <c:numCache>
                  <c:formatCode>General</c:formatCode>
                  <c:ptCount val="6"/>
                  <c:pt idx="0">
                    <c:v>0.29267244079345772</c:v>
                  </c:pt>
                  <c:pt idx="1">
                    <c:v>0.2030944903416704</c:v>
                  </c:pt>
                  <c:pt idx="2">
                    <c:v>0.26616814343300255</c:v>
                  </c:pt>
                  <c:pt idx="3">
                    <c:v>0.29793481464671334</c:v>
                  </c:pt>
                  <c:pt idx="4">
                    <c:v>0.24501976136047243</c:v>
                  </c:pt>
                  <c:pt idx="5">
                    <c:v>0.25567012185068255</c:v>
                  </c:pt>
                </c:numCache>
              </c:numRef>
            </c:plus>
            <c:minus>
              <c:numRef>
                <c:f>'SSD groups '!$W$3:$AB$3</c:f>
                <c:numCache>
                  <c:formatCode>General</c:formatCode>
                  <c:ptCount val="6"/>
                  <c:pt idx="0">
                    <c:v>0.29267244079345772</c:v>
                  </c:pt>
                  <c:pt idx="1">
                    <c:v>0.2030944903416704</c:v>
                  </c:pt>
                  <c:pt idx="2">
                    <c:v>0.26616814343300255</c:v>
                  </c:pt>
                  <c:pt idx="3">
                    <c:v>0.29793481464671334</c:v>
                  </c:pt>
                  <c:pt idx="4">
                    <c:v>0.24501976136047243</c:v>
                  </c:pt>
                  <c:pt idx="5">
                    <c:v>0.25567012185068255</c:v>
                  </c:pt>
                </c:numCache>
              </c:numRef>
            </c:minus>
            <c:spPr>
              <a:solidFill>
                <a:schemeClr val="tx1"/>
              </a:solidFill>
              <a:ln w="9525" cap="flat" cmpd="sng" algn="ctr">
                <a:solidFill>
                  <a:schemeClr val="tx1">
                    <a:shade val="95000"/>
                    <a:satMod val="105000"/>
                  </a:schemeClr>
                </a:solidFill>
                <a:prstDash val="solid"/>
                <a:round/>
              </a:ln>
              <a:effectLst/>
            </c:spPr>
          </c:errBars>
          <c:cat>
            <c:strRef>
              <c:f>'SSD groups '!$B$1:$G$1</c:f>
              <c:strCache>
                <c:ptCount val="6"/>
                <c:pt idx="0">
                  <c:v>Phoneme Awareness t3</c:v>
                </c:pt>
                <c:pt idx="1">
                  <c:v>Word Reading t3</c:v>
                </c:pt>
                <c:pt idx="2">
                  <c:v>Spelling t3</c:v>
                </c:pt>
                <c:pt idx="3">
                  <c:v>Word Reading t5</c:v>
                </c:pt>
                <c:pt idx="4">
                  <c:v>Spelling t5</c:v>
                </c:pt>
                <c:pt idx="5">
                  <c:v>Reading Comprehension t5</c:v>
                </c:pt>
              </c:strCache>
            </c:strRef>
          </c:cat>
          <c:val>
            <c:numRef>
              <c:f>'SSD groups '!$B$4:$G$4</c:f>
              <c:numCache>
                <c:formatCode>General</c:formatCode>
                <c:ptCount val="6"/>
                <c:pt idx="0">
                  <c:v>-1.5139</c:v>
                </c:pt>
                <c:pt idx="1">
                  <c:v>-1.1214999999999999</c:v>
                </c:pt>
                <c:pt idx="2">
                  <c:v>-1.3163</c:v>
                </c:pt>
                <c:pt idx="3">
                  <c:v>-0.87009999999999998</c:v>
                </c:pt>
                <c:pt idx="4">
                  <c:v>-0.77690000000000003</c:v>
                </c:pt>
                <c:pt idx="5">
                  <c:v>-0.94599999999999995</c:v>
                </c:pt>
              </c:numCache>
            </c:numRef>
          </c:val>
        </c:ser>
        <c:ser>
          <c:idx val="3"/>
          <c:order val="3"/>
          <c:tx>
            <c:strRef>
              <c:f>'SSD groups '!$A$5</c:f>
              <c:strCache>
                <c:ptCount val="1"/>
                <c:pt idx="0">
                  <c:v>FRLI_SSD</c:v>
                </c:pt>
              </c:strCache>
            </c:strRef>
          </c:tx>
          <c:spPr>
            <a:solidFill>
              <a:schemeClr val="dk1">
                <a:tint val="98500"/>
              </a:schemeClr>
            </a:solidFill>
            <a:ln>
              <a:noFill/>
            </a:ln>
            <a:effectLst/>
          </c:spPr>
          <c:invertIfNegative val="0"/>
          <c:errBars>
            <c:errBarType val="both"/>
            <c:errValType val="cust"/>
            <c:noEndCap val="0"/>
            <c:plus>
              <c:numRef>
                <c:f>'SSD groups '!$W$4:$AB$4</c:f>
                <c:numCache>
                  <c:formatCode>General</c:formatCode>
                  <c:ptCount val="6"/>
                  <c:pt idx="0">
                    <c:v>0.36219882054842012</c:v>
                  </c:pt>
                  <c:pt idx="1">
                    <c:v>0.22039857228817675</c:v>
                  </c:pt>
                  <c:pt idx="2">
                    <c:v>0.24052001176617299</c:v>
                  </c:pt>
                  <c:pt idx="3">
                    <c:v>0.34965035450670812</c:v>
                  </c:pt>
                  <c:pt idx="4">
                    <c:v>0.4205362776978937</c:v>
                  </c:pt>
                  <c:pt idx="5">
                    <c:v>0.19183661110434577</c:v>
                  </c:pt>
                </c:numCache>
              </c:numRef>
            </c:plus>
            <c:minus>
              <c:numRef>
                <c:f>'SSD groups '!$W$4:$AB$4</c:f>
                <c:numCache>
                  <c:formatCode>General</c:formatCode>
                  <c:ptCount val="6"/>
                  <c:pt idx="0">
                    <c:v>0.36219882054842012</c:v>
                  </c:pt>
                  <c:pt idx="1">
                    <c:v>0.22039857228817675</c:v>
                  </c:pt>
                  <c:pt idx="2">
                    <c:v>0.24052001176617299</c:v>
                  </c:pt>
                  <c:pt idx="3">
                    <c:v>0.34965035450670812</c:v>
                  </c:pt>
                  <c:pt idx="4">
                    <c:v>0.4205362776978937</c:v>
                  </c:pt>
                  <c:pt idx="5">
                    <c:v>0.19183661110434577</c:v>
                  </c:pt>
                </c:numCache>
              </c:numRef>
            </c:minus>
            <c:spPr>
              <a:solidFill>
                <a:schemeClr val="tx1"/>
              </a:solidFill>
              <a:ln w="9525" cap="flat" cmpd="sng" algn="ctr">
                <a:solidFill>
                  <a:schemeClr val="tx1">
                    <a:shade val="95000"/>
                    <a:satMod val="105000"/>
                  </a:schemeClr>
                </a:solidFill>
                <a:prstDash val="solid"/>
                <a:round/>
              </a:ln>
              <a:effectLst/>
            </c:spPr>
          </c:errBars>
          <c:cat>
            <c:strRef>
              <c:f>'SSD groups '!$B$1:$G$1</c:f>
              <c:strCache>
                <c:ptCount val="6"/>
                <c:pt idx="0">
                  <c:v>Phoneme Awareness t3</c:v>
                </c:pt>
                <c:pt idx="1">
                  <c:v>Word Reading t3</c:v>
                </c:pt>
                <c:pt idx="2">
                  <c:v>Spelling t3</c:v>
                </c:pt>
                <c:pt idx="3">
                  <c:v>Word Reading t5</c:v>
                </c:pt>
                <c:pt idx="4">
                  <c:v>Spelling t5</c:v>
                </c:pt>
                <c:pt idx="5">
                  <c:v>Reading Comprehension t5</c:v>
                </c:pt>
              </c:strCache>
            </c:strRef>
          </c:cat>
          <c:val>
            <c:numRef>
              <c:f>'SSD groups '!$B$5:$G$5</c:f>
              <c:numCache>
                <c:formatCode>General</c:formatCode>
                <c:ptCount val="6"/>
                <c:pt idx="0">
                  <c:v>-1.4758</c:v>
                </c:pt>
                <c:pt idx="1">
                  <c:v>-1.3898999999999999</c:v>
                </c:pt>
                <c:pt idx="2">
                  <c:v>-1.6854</c:v>
                </c:pt>
                <c:pt idx="3">
                  <c:v>-1.52</c:v>
                </c:pt>
                <c:pt idx="4">
                  <c:v>-1.2690999999999999</c:v>
                </c:pt>
                <c:pt idx="5">
                  <c:v>-1.3340000000000001</c:v>
                </c:pt>
              </c:numCache>
            </c:numRef>
          </c:val>
        </c:ser>
        <c:dLbls>
          <c:showLegendKey val="0"/>
          <c:showVal val="0"/>
          <c:showCatName val="0"/>
          <c:showSerName val="0"/>
          <c:showPercent val="0"/>
          <c:showBubbleSize val="0"/>
        </c:dLbls>
        <c:gapWidth val="150"/>
        <c:axId val="168207024"/>
        <c:axId val="20599048"/>
      </c:barChart>
      <c:catAx>
        <c:axId val="168207024"/>
        <c:scaling>
          <c:orientation val="minMax"/>
        </c:scaling>
        <c:delete val="0"/>
        <c:axPos val="b"/>
        <c:numFmt formatCode="General" sourceLinked="0"/>
        <c:majorTickMark val="out"/>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20599048"/>
        <c:crosses val="autoZero"/>
        <c:auto val="1"/>
        <c:lblAlgn val="ctr"/>
        <c:lblOffset val="100"/>
        <c:noMultiLvlLbl val="0"/>
      </c:catAx>
      <c:valAx>
        <c:axId val="20599048"/>
        <c:scaling>
          <c:orientation val="minMax"/>
          <c:min val="-2"/>
        </c:scaling>
        <c:delete val="0"/>
        <c:axPos val="l"/>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68207024"/>
        <c:crosses val="autoZero"/>
        <c:crossBetween val="between"/>
      </c:valAx>
      <c:spPr>
        <a:solidFill>
          <a:schemeClr val="bg1"/>
        </a:solidFill>
        <a:ln>
          <a:noFill/>
        </a:ln>
        <a:effectLst/>
      </c:spPr>
    </c:plotArea>
    <c:legend>
      <c:legendPos val="r"/>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F35A-FD38-45B6-A437-5DACB0FC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3A022B7C.dotm</Template>
  <TotalTime>8</TotalTime>
  <Pages>32</Pages>
  <Words>7355</Words>
  <Characters>41927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Hayiou-Thomas</dc:creator>
  <cp:lastModifiedBy>Emma Hayiou-Thomas</cp:lastModifiedBy>
  <cp:revision>4</cp:revision>
  <cp:lastPrinted>2016-05-29T14:33:00Z</cp:lastPrinted>
  <dcterms:created xsi:type="dcterms:W3CDTF">2016-09-13T12:16:00Z</dcterms:created>
  <dcterms:modified xsi:type="dcterms:W3CDTF">2016-09-13T12:24:00Z</dcterms:modified>
</cp:coreProperties>
</file>