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E9B46" w14:textId="77777777" w:rsidR="005E4913" w:rsidRDefault="005E4913" w:rsidP="005E4913">
      <w:pPr>
        <w:spacing w:after="0" w:line="240" w:lineRule="auto"/>
        <w:jc w:val="center"/>
        <w:rPr>
          <w:rFonts w:ascii="Garamond" w:hAnsi="Garamond"/>
          <w:b/>
          <w:sz w:val="48"/>
          <w:szCs w:val="48"/>
          <w:lang w:val="en-GB"/>
        </w:rPr>
      </w:pPr>
      <w:bookmarkStart w:id="0" w:name="_GoBack"/>
      <w:bookmarkEnd w:id="0"/>
    </w:p>
    <w:p w14:paraId="5FB76BC0" w14:textId="19C08AAC" w:rsidR="005E4913" w:rsidRDefault="005E4913" w:rsidP="005E4913">
      <w:pPr>
        <w:spacing w:after="0" w:line="240" w:lineRule="auto"/>
        <w:jc w:val="center"/>
        <w:rPr>
          <w:rFonts w:ascii="Garamond" w:hAnsi="Garamond"/>
          <w:b/>
          <w:sz w:val="48"/>
          <w:szCs w:val="48"/>
          <w:lang w:val="en-GB"/>
        </w:rPr>
      </w:pPr>
    </w:p>
    <w:p w14:paraId="1AAD7BBF" w14:textId="77777777" w:rsidR="005E4913" w:rsidRDefault="005E4913" w:rsidP="005E4913">
      <w:pPr>
        <w:spacing w:after="0" w:line="240" w:lineRule="auto"/>
        <w:jc w:val="center"/>
        <w:rPr>
          <w:rFonts w:ascii="Garamond" w:hAnsi="Garamond"/>
          <w:b/>
          <w:sz w:val="48"/>
          <w:szCs w:val="48"/>
          <w:lang w:val="en-GB"/>
        </w:rPr>
      </w:pPr>
    </w:p>
    <w:p w14:paraId="00AAC248" w14:textId="77777777" w:rsidR="00574D72" w:rsidRDefault="00574D72" w:rsidP="005E4913">
      <w:pPr>
        <w:spacing w:after="0" w:line="240" w:lineRule="auto"/>
        <w:jc w:val="center"/>
        <w:rPr>
          <w:rFonts w:ascii="Garamond" w:hAnsi="Garamond"/>
          <w:b/>
          <w:sz w:val="48"/>
          <w:szCs w:val="48"/>
          <w:lang w:val="en-GB"/>
        </w:rPr>
      </w:pPr>
      <w:r>
        <w:rPr>
          <w:rFonts w:ascii="Garamond" w:hAnsi="Garamond"/>
          <w:b/>
          <w:sz w:val="48"/>
          <w:szCs w:val="48"/>
          <w:lang w:val="en-GB"/>
        </w:rPr>
        <w:t xml:space="preserve">Smoking for </w:t>
      </w:r>
      <w:r w:rsidR="00585142">
        <w:rPr>
          <w:rFonts w:ascii="Garamond" w:hAnsi="Garamond"/>
          <w:b/>
          <w:sz w:val="48"/>
          <w:szCs w:val="48"/>
          <w:lang w:val="en-GB"/>
        </w:rPr>
        <w:t>the poor</w:t>
      </w:r>
      <w:r>
        <w:rPr>
          <w:rFonts w:ascii="Garamond" w:hAnsi="Garamond"/>
          <w:b/>
          <w:sz w:val="48"/>
          <w:szCs w:val="48"/>
          <w:lang w:val="en-GB"/>
        </w:rPr>
        <w:t xml:space="preserve"> and vaping for the rich? </w:t>
      </w:r>
    </w:p>
    <w:p w14:paraId="31EBE93F" w14:textId="5405777E" w:rsidR="00D55458" w:rsidRDefault="009E1625" w:rsidP="005E4913">
      <w:pPr>
        <w:spacing w:after="0" w:line="240" w:lineRule="auto"/>
        <w:jc w:val="center"/>
        <w:rPr>
          <w:rFonts w:ascii="Garamond" w:hAnsi="Garamond"/>
          <w:b/>
          <w:sz w:val="48"/>
          <w:szCs w:val="48"/>
          <w:lang w:val="en-GB"/>
        </w:rPr>
      </w:pPr>
      <w:r>
        <w:rPr>
          <w:rFonts w:ascii="Garamond" w:hAnsi="Garamond"/>
          <w:b/>
          <w:sz w:val="48"/>
          <w:szCs w:val="48"/>
          <w:lang w:val="en-GB"/>
        </w:rPr>
        <w:t xml:space="preserve">Distributional concerns </w:t>
      </w:r>
      <w:r w:rsidR="009D05F6">
        <w:rPr>
          <w:rFonts w:ascii="Garamond" w:hAnsi="Garamond"/>
          <w:b/>
          <w:sz w:val="48"/>
          <w:szCs w:val="48"/>
          <w:lang w:val="en-GB"/>
        </w:rPr>
        <w:t>for</w:t>
      </w:r>
      <w:r>
        <w:rPr>
          <w:rFonts w:ascii="Garamond" w:hAnsi="Garamond"/>
          <w:b/>
          <w:sz w:val="48"/>
          <w:szCs w:val="48"/>
          <w:lang w:val="en-GB"/>
        </w:rPr>
        <w:t xml:space="preserve"> </w:t>
      </w:r>
      <w:r w:rsidR="0006074A">
        <w:rPr>
          <w:rFonts w:ascii="Garamond" w:hAnsi="Garamond"/>
          <w:b/>
          <w:sz w:val="48"/>
          <w:szCs w:val="48"/>
          <w:lang w:val="en-GB"/>
        </w:rPr>
        <w:t>n</w:t>
      </w:r>
      <w:r w:rsidR="008C01CF">
        <w:rPr>
          <w:rFonts w:ascii="Garamond" w:hAnsi="Garamond"/>
          <w:b/>
          <w:sz w:val="48"/>
          <w:szCs w:val="48"/>
          <w:lang w:val="en-GB"/>
        </w:rPr>
        <w:t>ovel nicotine delivery systems</w:t>
      </w:r>
    </w:p>
    <w:p w14:paraId="7888FA26" w14:textId="77777777" w:rsidR="005E4913" w:rsidRDefault="005E4913" w:rsidP="005E4913">
      <w:pPr>
        <w:spacing w:after="0" w:line="240" w:lineRule="auto"/>
        <w:jc w:val="center"/>
        <w:rPr>
          <w:rFonts w:ascii="Garamond" w:hAnsi="Garamond"/>
          <w:b/>
          <w:sz w:val="48"/>
          <w:szCs w:val="48"/>
          <w:lang w:val="en-GB"/>
        </w:rPr>
      </w:pPr>
    </w:p>
    <w:p w14:paraId="39F17EEA" w14:textId="77777777" w:rsidR="005E4913" w:rsidRPr="00905090" w:rsidRDefault="005E4913" w:rsidP="005E4913">
      <w:pPr>
        <w:spacing w:after="0" w:line="240" w:lineRule="auto"/>
        <w:jc w:val="center"/>
        <w:rPr>
          <w:rFonts w:ascii="Garamond" w:hAnsi="Garamond"/>
          <w:b/>
          <w:sz w:val="28"/>
          <w:szCs w:val="28"/>
          <w:lang w:val="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3887"/>
      </w:tblGrid>
      <w:tr w:rsidR="00D55458" w:rsidRPr="00C262AC" w14:paraId="6442B704" w14:textId="77777777" w:rsidTr="00925706">
        <w:trPr>
          <w:jc w:val="center"/>
        </w:trPr>
        <w:tc>
          <w:tcPr>
            <w:tcW w:w="0" w:type="auto"/>
          </w:tcPr>
          <w:p w14:paraId="425FEC5B" w14:textId="449A6030" w:rsidR="00D55458" w:rsidRPr="00C262AC" w:rsidRDefault="00D55458" w:rsidP="00925706">
            <w:pPr>
              <w:jc w:val="center"/>
              <w:rPr>
                <w:rFonts w:ascii="Garamond" w:hAnsi="Garamond"/>
                <w:b/>
                <w:sz w:val="28"/>
                <w:szCs w:val="28"/>
                <w:lang w:val="en-GB"/>
              </w:rPr>
            </w:pPr>
            <w:r>
              <w:rPr>
                <w:rFonts w:ascii="Garamond" w:hAnsi="Garamond"/>
                <w:b/>
                <w:sz w:val="28"/>
                <w:szCs w:val="28"/>
                <w:lang w:val="en-GB"/>
              </w:rPr>
              <w:t>Vincenzo Carrieri</w:t>
            </w:r>
            <w:r w:rsidR="00FC40A0" w:rsidRPr="00FC40A0">
              <w:rPr>
                <w:rFonts w:ascii="Garamond" w:hAnsi="Garamond"/>
                <w:b/>
                <w:sz w:val="28"/>
                <w:szCs w:val="28"/>
                <w:vertAlign w:val="superscript"/>
                <w:lang w:val="en-GB"/>
              </w:rPr>
              <w:t>*</w:t>
            </w:r>
          </w:p>
        </w:tc>
        <w:tc>
          <w:tcPr>
            <w:tcW w:w="0" w:type="auto"/>
          </w:tcPr>
          <w:p w14:paraId="74FB358F" w14:textId="1E035CA1" w:rsidR="00D55458" w:rsidRPr="00C262AC" w:rsidRDefault="00D55458" w:rsidP="00925706">
            <w:pPr>
              <w:jc w:val="center"/>
              <w:rPr>
                <w:rFonts w:ascii="Garamond" w:hAnsi="Garamond"/>
                <w:b/>
                <w:sz w:val="28"/>
                <w:szCs w:val="28"/>
                <w:lang w:val="en-GB"/>
              </w:rPr>
            </w:pPr>
            <w:r w:rsidRPr="00C262AC">
              <w:rPr>
                <w:rFonts w:ascii="Garamond" w:hAnsi="Garamond"/>
                <w:b/>
                <w:sz w:val="28"/>
                <w:szCs w:val="28"/>
                <w:lang w:val="en-GB"/>
              </w:rPr>
              <w:t>Andrew M. Jones</w:t>
            </w:r>
            <w:r w:rsidR="00A575FA" w:rsidRPr="00A575FA">
              <w:rPr>
                <w:rFonts w:ascii="Garamond" w:hAnsi="Garamond"/>
                <w:b/>
                <w:sz w:val="28"/>
                <w:szCs w:val="28"/>
                <w:vertAlign w:val="superscript"/>
                <w:lang w:val="en-GB"/>
              </w:rPr>
              <w:t>‡</w:t>
            </w:r>
          </w:p>
        </w:tc>
      </w:tr>
      <w:tr w:rsidR="00D55458" w:rsidRPr="00C262AC" w14:paraId="4237EA5D" w14:textId="77777777" w:rsidTr="00925706">
        <w:trPr>
          <w:jc w:val="center"/>
        </w:trPr>
        <w:tc>
          <w:tcPr>
            <w:tcW w:w="0" w:type="auto"/>
          </w:tcPr>
          <w:p w14:paraId="6E740F42" w14:textId="12650A7A" w:rsidR="00D55458" w:rsidRPr="00C262AC" w:rsidRDefault="00D55458" w:rsidP="00925706">
            <w:pPr>
              <w:jc w:val="center"/>
              <w:rPr>
                <w:rFonts w:ascii="Garamond" w:hAnsi="Garamond"/>
                <w:b/>
                <w:sz w:val="20"/>
                <w:szCs w:val="20"/>
                <w:lang w:val="en-GB"/>
              </w:rPr>
            </w:pPr>
            <w:proofErr w:type="spellStart"/>
            <w:r w:rsidRPr="00C262AC">
              <w:rPr>
                <w:rFonts w:ascii="Garamond" w:hAnsi="Garamond"/>
                <w:b/>
                <w:sz w:val="20"/>
                <w:szCs w:val="20"/>
                <w:lang w:val="en-GB"/>
              </w:rPr>
              <w:t>Università</w:t>
            </w:r>
            <w:proofErr w:type="spellEnd"/>
            <w:r w:rsidRPr="00C262AC">
              <w:rPr>
                <w:rFonts w:ascii="Garamond" w:hAnsi="Garamond"/>
                <w:b/>
                <w:sz w:val="20"/>
                <w:szCs w:val="20"/>
                <w:lang w:val="en-GB"/>
              </w:rPr>
              <w:t xml:space="preserve"> di Salerno</w:t>
            </w:r>
            <w:r w:rsidR="00A575FA">
              <w:rPr>
                <w:rFonts w:ascii="Garamond" w:hAnsi="Garamond"/>
                <w:b/>
                <w:sz w:val="20"/>
                <w:szCs w:val="20"/>
                <w:lang w:val="en-GB"/>
              </w:rPr>
              <w:t xml:space="preserve">, </w:t>
            </w:r>
            <w:proofErr w:type="spellStart"/>
            <w:r w:rsidR="00A575FA">
              <w:rPr>
                <w:rFonts w:ascii="Garamond" w:hAnsi="Garamond"/>
                <w:b/>
                <w:sz w:val="20"/>
                <w:szCs w:val="20"/>
                <w:lang w:val="en-GB"/>
              </w:rPr>
              <w:t>Fisciano</w:t>
            </w:r>
            <w:proofErr w:type="spellEnd"/>
            <w:r w:rsidR="00A575FA">
              <w:rPr>
                <w:rFonts w:ascii="Garamond" w:hAnsi="Garamond"/>
                <w:b/>
                <w:sz w:val="20"/>
                <w:szCs w:val="20"/>
                <w:lang w:val="en-GB"/>
              </w:rPr>
              <w:t xml:space="preserve"> (SA), Italy</w:t>
            </w:r>
          </w:p>
          <w:p w14:paraId="70C5ECA5" w14:textId="77777777" w:rsidR="00D55458" w:rsidRDefault="00D55458" w:rsidP="00925706">
            <w:pPr>
              <w:jc w:val="center"/>
              <w:rPr>
                <w:rFonts w:ascii="Garamond" w:hAnsi="Garamond"/>
                <w:b/>
                <w:sz w:val="20"/>
                <w:szCs w:val="20"/>
                <w:lang w:val="en-GB"/>
              </w:rPr>
            </w:pPr>
            <w:r w:rsidRPr="00C262AC">
              <w:rPr>
                <w:rFonts w:ascii="Garamond" w:hAnsi="Garamond"/>
                <w:b/>
                <w:sz w:val="20"/>
                <w:szCs w:val="20"/>
                <w:lang w:val="en-GB"/>
              </w:rPr>
              <w:t>HEDG, University of York</w:t>
            </w:r>
            <w:r w:rsidR="00A575FA">
              <w:rPr>
                <w:rFonts w:ascii="Garamond" w:hAnsi="Garamond"/>
                <w:b/>
                <w:sz w:val="20"/>
                <w:szCs w:val="20"/>
                <w:lang w:val="en-GB"/>
              </w:rPr>
              <w:t>, York, UK</w:t>
            </w:r>
          </w:p>
          <w:p w14:paraId="757A4C03" w14:textId="3B822D48" w:rsidR="000C02E9" w:rsidRPr="00C262AC" w:rsidRDefault="000C02E9" w:rsidP="00925706">
            <w:pPr>
              <w:jc w:val="center"/>
              <w:rPr>
                <w:rFonts w:ascii="Garamond" w:hAnsi="Garamond"/>
                <w:b/>
                <w:sz w:val="20"/>
                <w:szCs w:val="20"/>
                <w:lang w:val="en-GB"/>
              </w:rPr>
            </w:pPr>
            <w:r>
              <w:rPr>
                <w:rFonts w:ascii="Garamond" w:hAnsi="Garamond"/>
                <w:b/>
                <w:sz w:val="20"/>
                <w:szCs w:val="20"/>
                <w:lang w:val="en-GB"/>
              </w:rPr>
              <w:t>RWI Research Network, Essen, Germany</w:t>
            </w:r>
          </w:p>
        </w:tc>
        <w:tc>
          <w:tcPr>
            <w:tcW w:w="0" w:type="auto"/>
          </w:tcPr>
          <w:p w14:paraId="6FC304CD" w14:textId="0CE71DFC" w:rsidR="00D55458" w:rsidRPr="00C262AC" w:rsidRDefault="00D55458" w:rsidP="00925706">
            <w:pPr>
              <w:jc w:val="center"/>
              <w:rPr>
                <w:rFonts w:ascii="Garamond" w:hAnsi="Garamond"/>
                <w:b/>
                <w:sz w:val="20"/>
                <w:szCs w:val="20"/>
                <w:lang w:val="en-GB"/>
              </w:rPr>
            </w:pPr>
            <w:r w:rsidRPr="00C262AC">
              <w:rPr>
                <w:rFonts w:ascii="Garamond" w:hAnsi="Garamond"/>
                <w:b/>
                <w:sz w:val="20"/>
                <w:szCs w:val="20"/>
                <w:lang w:val="en-GB"/>
              </w:rPr>
              <w:t>University of York</w:t>
            </w:r>
            <w:r w:rsidR="00A575FA">
              <w:rPr>
                <w:rFonts w:ascii="Garamond" w:hAnsi="Garamond"/>
                <w:b/>
                <w:sz w:val="20"/>
                <w:szCs w:val="20"/>
                <w:lang w:val="en-GB"/>
              </w:rPr>
              <w:t>, York, UK</w:t>
            </w:r>
          </w:p>
          <w:p w14:paraId="279C141A" w14:textId="1B3D0F3E" w:rsidR="00D55458" w:rsidRDefault="00D55458" w:rsidP="00925706">
            <w:pPr>
              <w:jc w:val="center"/>
              <w:rPr>
                <w:rFonts w:ascii="Garamond" w:hAnsi="Garamond"/>
                <w:b/>
                <w:sz w:val="20"/>
                <w:szCs w:val="20"/>
                <w:lang w:val="en-GB"/>
              </w:rPr>
            </w:pPr>
            <w:r w:rsidRPr="00C262AC">
              <w:rPr>
                <w:rFonts w:ascii="Garamond" w:hAnsi="Garamond"/>
                <w:b/>
                <w:sz w:val="20"/>
                <w:szCs w:val="20"/>
                <w:lang w:val="en-GB"/>
              </w:rPr>
              <w:t>Monash University</w:t>
            </w:r>
            <w:r w:rsidR="009D05F6">
              <w:rPr>
                <w:rFonts w:ascii="Garamond" w:hAnsi="Garamond"/>
                <w:b/>
                <w:sz w:val="20"/>
                <w:szCs w:val="20"/>
                <w:lang w:val="en-GB"/>
              </w:rPr>
              <w:t>,</w:t>
            </w:r>
            <w:r w:rsidR="00A575FA">
              <w:rPr>
                <w:rFonts w:ascii="Garamond" w:hAnsi="Garamond"/>
                <w:b/>
                <w:sz w:val="20"/>
                <w:szCs w:val="20"/>
                <w:lang w:val="en-GB"/>
              </w:rPr>
              <w:t xml:space="preserve"> Clayton, VIC, Australia</w:t>
            </w:r>
          </w:p>
          <w:p w14:paraId="29BBE504" w14:textId="237A184F" w:rsidR="00D55458" w:rsidRPr="00C262AC" w:rsidRDefault="00D55458" w:rsidP="00925706">
            <w:pPr>
              <w:jc w:val="center"/>
              <w:rPr>
                <w:rFonts w:ascii="Garamond" w:hAnsi="Garamond"/>
                <w:b/>
                <w:sz w:val="20"/>
                <w:szCs w:val="20"/>
                <w:lang w:val="en-GB"/>
              </w:rPr>
            </w:pPr>
            <w:r>
              <w:rPr>
                <w:rFonts w:ascii="Garamond" w:hAnsi="Garamond"/>
                <w:b/>
                <w:sz w:val="20"/>
                <w:szCs w:val="20"/>
                <w:lang w:val="en-GB"/>
              </w:rPr>
              <w:t>University of Bergen</w:t>
            </w:r>
            <w:r w:rsidR="00A575FA">
              <w:rPr>
                <w:rFonts w:ascii="Garamond" w:hAnsi="Garamond"/>
                <w:b/>
                <w:sz w:val="20"/>
                <w:szCs w:val="20"/>
                <w:lang w:val="en-GB"/>
              </w:rPr>
              <w:t>, Bergen, Norway</w:t>
            </w:r>
          </w:p>
          <w:p w14:paraId="284D8D71" w14:textId="77777777" w:rsidR="00D55458" w:rsidRPr="00C262AC" w:rsidRDefault="00D55458" w:rsidP="00925706">
            <w:pPr>
              <w:jc w:val="center"/>
              <w:rPr>
                <w:rFonts w:ascii="Garamond" w:hAnsi="Garamond"/>
                <w:b/>
                <w:sz w:val="20"/>
                <w:szCs w:val="20"/>
                <w:lang w:val="en-GB"/>
              </w:rPr>
            </w:pPr>
          </w:p>
        </w:tc>
      </w:tr>
    </w:tbl>
    <w:p w14:paraId="7626C21B" w14:textId="77777777" w:rsidR="00D55458" w:rsidRPr="00905090" w:rsidRDefault="00D55458" w:rsidP="00D55458">
      <w:pPr>
        <w:rPr>
          <w:rFonts w:ascii="Garamond" w:hAnsi="Garamond"/>
          <w:b/>
          <w:lang w:val="en-GB"/>
        </w:rPr>
      </w:pPr>
    </w:p>
    <w:p w14:paraId="47F17B39" w14:textId="77777777" w:rsidR="00D55458" w:rsidRDefault="00D55458" w:rsidP="00D55458">
      <w:pPr>
        <w:jc w:val="center"/>
        <w:rPr>
          <w:rFonts w:ascii="Garamond" w:hAnsi="Garamond"/>
          <w:b/>
          <w:lang w:val="en-GB"/>
        </w:rPr>
      </w:pPr>
      <w:r w:rsidRPr="00905090">
        <w:rPr>
          <w:rFonts w:ascii="Garamond" w:hAnsi="Garamond"/>
          <w:b/>
          <w:lang w:val="en-GB"/>
        </w:rPr>
        <w:t>Abstract</w:t>
      </w:r>
    </w:p>
    <w:p w14:paraId="16110576" w14:textId="08793917" w:rsidR="00944C67" w:rsidRDefault="00202F0C" w:rsidP="00944C67">
      <w:pPr>
        <w:jc w:val="both"/>
        <w:rPr>
          <w:rFonts w:ascii="Garamond" w:hAnsi="Garamond"/>
          <w:lang w:val="en-GB"/>
        </w:rPr>
      </w:pPr>
      <w:r>
        <w:rPr>
          <w:rFonts w:ascii="Garamond" w:hAnsi="Garamond"/>
          <w:lang w:val="en-GB"/>
        </w:rPr>
        <w:t>We compare</w:t>
      </w:r>
      <w:r w:rsidR="00AA15A0">
        <w:rPr>
          <w:rFonts w:ascii="Garamond" w:hAnsi="Garamond"/>
          <w:lang w:val="en-GB"/>
        </w:rPr>
        <w:t xml:space="preserve"> </w:t>
      </w:r>
      <w:r w:rsidR="00766CD7">
        <w:rPr>
          <w:rFonts w:ascii="Garamond" w:hAnsi="Garamond"/>
          <w:lang w:val="en-GB"/>
        </w:rPr>
        <w:t xml:space="preserve">income-related inequalities in </w:t>
      </w:r>
      <w:r w:rsidR="001F7BC2">
        <w:rPr>
          <w:rFonts w:ascii="Garamond" w:hAnsi="Garamond"/>
          <w:lang w:val="en-GB"/>
        </w:rPr>
        <w:t xml:space="preserve">the use of </w:t>
      </w:r>
      <w:r w:rsidR="00766CD7">
        <w:rPr>
          <w:rFonts w:ascii="Garamond" w:hAnsi="Garamond"/>
          <w:lang w:val="en-GB"/>
        </w:rPr>
        <w:t xml:space="preserve">traditional </w:t>
      </w:r>
      <w:r w:rsidR="008C01CF">
        <w:rPr>
          <w:rFonts w:ascii="Garamond" w:hAnsi="Garamond"/>
          <w:lang w:val="en-GB"/>
        </w:rPr>
        <w:t xml:space="preserve">smoking </w:t>
      </w:r>
      <w:r w:rsidR="006450EE" w:rsidRPr="00725B34">
        <w:rPr>
          <w:rFonts w:ascii="Garamond" w:hAnsi="Garamond"/>
          <w:lang w:val="en-GB"/>
        </w:rPr>
        <w:t>and of</w:t>
      </w:r>
      <w:r w:rsidR="001F7BC2">
        <w:rPr>
          <w:rFonts w:ascii="Garamond" w:hAnsi="Garamond"/>
          <w:lang w:val="en-GB"/>
        </w:rPr>
        <w:t xml:space="preserve"> </w:t>
      </w:r>
      <w:r w:rsidR="00DF4A8D">
        <w:rPr>
          <w:rFonts w:ascii="Garamond" w:hAnsi="Garamond"/>
          <w:lang w:val="en-GB"/>
        </w:rPr>
        <w:t>n</w:t>
      </w:r>
      <w:r w:rsidR="008C01CF">
        <w:rPr>
          <w:rFonts w:ascii="Garamond" w:hAnsi="Garamond"/>
          <w:lang w:val="en-GB"/>
        </w:rPr>
        <w:t>ovel</w:t>
      </w:r>
      <w:r w:rsidR="00DF4A8D">
        <w:rPr>
          <w:rFonts w:ascii="Garamond" w:hAnsi="Garamond"/>
          <w:lang w:val="en-GB"/>
        </w:rPr>
        <w:t xml:space="preserve"> </w:t>
      </w:r>
      <w:r w:rsidR="008C01CF">
        <w:rPr>
          <w:rFonts w:ascii="Garamond" w:hAnsi="Garamond"/>
          <w:lang w:val="en-GB"/>
        </w:rPr>
        <w:t>nicotine delivery systems</w:t>
      </w:r>
      <w:r w:rsidR="0000512C">
        <w:rPr>
          <w:rFonts w:ascii="Garamond" w:hAnsi="Garamond"/>
          <w:lang w:val="en-GB"/>
        </w:rPr>
        <w:t xml:space="preserve"> (NDS), such as </w:t>
      </w:r>
      <w:r w:rsidR="001F7BC2">
        <w:rPr>
          <w:rFonts w:ascii="Garamond" w:hAnsi="Garamond"/>
          <w:lang w:val="en-GB"/>
        </w:rPr>
        <w:t xml:space="preserve">e-cigarettes </w:t>
      </w:r>
      <w:r w:rsidR="00766CD7">
        <w:rPr>
          <w:rFonts w:ascii="Garamond" w:hAnsi="Garamond"/>
          <w:lang w:val="en-GB"/>
        </w:rPr>
        <w:t>and</w:t>
      </w:r>
      <w:r w:rsidR="0006074A">
        <w:rPr>
          <w:rFonts w:ascii="Garamond" w:hAnsi="Garamond"/>
          <w:lang w:val="en-GB"/>
        </w:rPr>
        <w:t xml:space="preserve"> other </w:t>
      </w:r>
      <w:r w:rsidR="008C01CF">
        <w:rPr>
          <w:rFonts w:ascii="Garamond" w:hAnsi="Garamond"/>
          <w:lang w:val="en-GB"/>
        </w:rPr>
        <w:t>smokeless products</w:t>
      </w:r>
      <w:r w:rsidR="0000512C">
        <w:rPr>
          <w:rFonts w:ascii="Garamond" w:hAnsi="Garamond"/>
          <w:lang w:val="en-GB"/>
        </w:rPr>
        <w:t>,</w:t>
      </w:r>
      <w:r w:rsidR="00DF4A8D">
        <w:rPr>
          <w:rFonts w:ascii="Garamond" w:hAnsi="Garamond"/>
          <w:lang w:val="en-GB"/>
        </w:rPr>
        <w:t xml:space="preserve"> </w:t>
      </w:r>
      <w:r w:rsidR="0006074A">
        <w:rPr>
          <w:rFonts w:ascii="Garamond" w:hAnsi="Garamond"/>
          <w:lang w:val="en-GB"/>
        </w:rPr>
        <w:t xml:space="preserve">and </w:t>
      </w:r>
      <w:r>
        <w:rPr>
          <w:rFonts w:ascii="Garamond" w:hAnsi="Garamond"/>
          <w:lang w:val="en-GB"/>
        </w:rPr>
        <w:t xml:space="preserve">we </w:t>
      </w:r>
      <w:r w:rsidR="00630212">
        <w:rPr>
          <w:rFonts w:ascii="Garamond" w:hAnsi="Garamond"/>
          <w:lang w:val="en-GB"/>
        </w:rPr>
        <w:t>apply a regression-</w:t>
      </w:r>
      <w:r w:rsidR="006450EE">
        <w:rPr>
          <w:rFonts w:ascii="Garamond" w:hAnsi="Garamond"/>
          <w:lang w:val="en-GB"/>
        </w:rPr>
        <w:t xml:space="preserve">based </w:t>
      </w:r>
      <w:r w:rsidR="00630212">
        <w:rPr>
          <w:rFonts w:ascii="Garamond" w:hAnsi="Garamond"/>
          <w:lang w:val="en-GB"/>
        </w:rPr>
        <w:t xml:space="preserve">decomposition method for </w:t>
      </w:r>
      <w:r w:rsidR="001B000B">
        <w:rPr>
          <w:rFonts w:ascii="Garamond" w:hAnsi="Garamond"/>
          <w:lang w:val="en-GB"/>
        </w:rPr>
        <w:t>ra</w:t>
      </w:r>
      <w:r w:rsidR="00630212">
        <w:rPr>
          <w:rFonts w:ascii="Garamond" w:hAnsi="Garamond"/>
          <w:lang w:val="en-GB"/>
        </w:rPr>
        <w:t>nk-dependent inequality measures</w:t>
      </w:r>
      <w:r w:rsidR="001F7BC2">
        <w:rPr>
          <w:rFonts w:ascii="Garamond" w:hAnsi="Garamond"/>
          <w:lang w:val="en-GB"/>
        </w:rPr>
        <w:t xml:space="preserve"> </w:t>
      </w:r>
      <w:r w:rsidR="00630212">
        <w:rPr>
          <w:rFonts w:ascii="Garamond" w:hAnsi="Garamond"/>
          <w:lang w:val="en-GB"/>
        </w:rPr>
        <w:t xml:space="preserve">to estimate the source of inequalities in the </w:t>
      </w:r>
      <w:r w:rsidR="008C01CF">
        <w:rPr>
          <w:rFonts w:ascii="Garamond" w:hAnsi="Garamond"/>
          <w:lang w:val="en-GB"/>
        </w:rPr>
        <w:t>use of NDS</w:t>
      </w:r>
      <w:r w:rsidR="00630212">
        <w:rPr>
          <w:rFonts w:ascii="Garamond" w:hAnsi="Garamond"/>
          <w:lang w:val="en-GB"/>
        </w:rPr>
        <w:t xml:space="preserve">. Using </w:t>
      </w:r>
      <w:r w:rsidR="001F7BC2">
        <w:rPr>
          <w:rFonts w:ascii="Garamond" w:hAnsi="Garamond"/>
          <w:lang w:val="en-GB"/>
        </w:rPr>
        <w:t>data from the 2013 wave o</w:t>
      </w:r>
      <w:r w:rsidR="0006074A">
        <w:rPr>
          <w:rFonts w:ascii="Garamond" w:hAnsi="Garamond"/>
          <w:lang w:val="en-GB"/>
        </w:rPr>
        <w:t>f the Health Survey for England, w</w:t>
      </w:r>
      <w:r w:rsidR="00944C67">
        <w:rPr>
          <w:rFonts w:ascii="Garamond" w:hAnsi="Garamond"/>
          <w:lang w:val="en-GB"/>
        </w:rPr>
        <w:t xml:space="preserve">e find that </w:t>
      </w:r>
      <w:r w:rsidR="008C01CF">
        <w:rPr>
          <w:rFonts w:ascii="Garamond" w:hAnsi="Garamond"/>
          <w:lang w:val="en-GB"/>
        </w:rPr>
        <w:t>pro-poor inequality is greater for traditional smoking than for smoking and the smokeless products combined</w:t>
      </w:r>
      <w:r w:rsidR="00E12234">
        <w:rPr>
          <w:rFonts w:ascii="Garamond" w:hAnsi="Garamond"/>
          <w:lang w:val="en-GB"/>
        </w:rPr>
        <w:t xml:space="preserve">. Significant pro-rich inequalities are found in e-cig and </w:t>
      </w:r>
      <w:r w:rsidR="008C01CF">
        <w:rPr>
          <w:rFonts w:ascii="Garamond" w:hAnsi="Garamond"/>
          <w:lang w:val="en-GB"/>
        </w:rPr>
        <w:t xml:space="preserve">other </w:t>
      </w:r>
      <w:r w:rsidR="00E12234">
        <w:rPr>
          <w:rFonts w:ascii="Garamond" w:hAnsi="Garamond"/>
          <w:lang w:val="en-GB"/>
        </w:rPr>
        <w:t>ND</w:t>
      </w:r>
      <w:r w:rsidR="008C01CF">
        <w:rPr>
          <w:rFonts w:ascii="Garamond" w:hAnsi="Garamond"/>
          <w:lang w:val="en-GB"/>
        </w:rPr>
        <w:t>S</w:t>
      </w:r>
      <w:r w:rsidR="00E12234">
        <w:rPr>
          <w:rFonts w:ascii="Garamond" w:hAnsi="Garamond"/>
          <w:lang w:val="en-GB"/>
        </w:rPr>
        <w:t xml:space="preserve"> consumption due to higher take-up among </w:t>
      </w:r>
      <w:r w:rsidR="00630212">
        <w:rPr>
          <w:rFonts w:ascii="Garamond" w:hAnsi="Garamond"/>
          <w:lang w:val="en-GB"/>
        </w:rPr>
        <w:t xml:space="preserve">richer, </w:t>
      </w:r>
      <w:r w:rsidR="00E12234">
        <w:rPr>
          <w:rFonts w:ascii="Garamond" w:hAnsi="Garamond"/>
          <w:lang w:val="en-GB"/>
        </w:rPr>
        <w:t xml:space="preserve">younger and </w:t>
      </w:r>
      <w:r w:rsidR="00C85C33">
        <w:rPr>
          <w:rFonts w:ascii="Garamond" w:hAnsi="Garamond"/>
          <w:lang w:val="en-GB"/>
        </w:rPr>
        <w:t>better-educated</w:t>
      </w:r>
      <w:r w:rsidR="00E12234">
        <w:rPr>
          <w:rFonts w:ascii="Garamond" w:hAnsi="Garamond"/>
          <w:lang w:val="en-GB"/>
        </w:rPr>
        <w:t xml:space="preserve"> smokers. </w:t>
      </w:r>
      <w:r w:rsidR="001B000B">
        <w:rPr>
          <w:rFonts w:ascii="Garamond" w:hAnsi="Garamond"/>
          <w:lang w:val="en-GB"/>
        </w:rPr>
        <w:t xml:space="preserve">These patterns </w:t>
      </w:r>
      <w:r w:rsidR="00BB0F02">
        <w:rPr>
          <w:rFonts w:ascii="Garamond" w:hAnsi="Garamond"/>
          <w:lang w:val="en-GB"/>
        </w:rPr>
        <w:t xml:space="preserve">might lead to a long-run equilibrium with </w:t>
      </w:r>
      <w:r w:rsidR="008C01CF">
        <w:rPr>
          <w:rFonts w:ascii="Garamond" w:hAnsi="Garamond"/>
          <w:lang w:val="en-GB"/>
        </w:rPr>
        <w:t xml:space="preserve">both </w:t>
      </w:r>
      <w:r w:rsidR="00BB0F02">
        <w:rPr>
          <w:rFonts w:ascii="Garamond" w:hAnsi="Garamond"/>
          <w:lang w:val="en-GB"/>
        </w:rPr>
        <w:t xml:space="preserve">higher average health </w:t>
      </w:r>
      <w:r w:rsidR="00BB0F02" w:rsidRPr="00BB0F02">
        <w:rPr>
          <w:rFonts w:ascii="Garamond" w:hAnsi="Garamond"/>
          <w:i/>
          <w:lang w:val="en-GB"/>
        </w:rPr>
        <w:t>and</w:t>
      </w:r>
      <w:r w:rsidR="00BB0F02">
        <w:rPr>
          <w:rFonts w:ascii="Garamond" w:hAnsi="Garamond"/>
          <w:lang w:val="en-GB"/>
        </w:rPr>
        <w:t xml:space="preserve"> higher</w:t>
      </w:r>
      <w:r w:rsidR="001B000B">
        <w:rPr>
          <w:rFonts w:ascii="Garamond" w:hAnsi="Garamond"/>
          <w:lang w:val="en-GB"/>
        </w:rPr>
        <w:t xml:space="preserve"> </w:t>
      </w:r>
      <w:r w:rsidR="006450EE">
        <w:rPr>
          <w:rFonts w:ascii="Garamond" w:hAnsi="Garamond"/>
          <w:lang w:val="en-GB"/>
        </w:rPr>
        <w:t xml:space="preserve">socioeconomic </w:t>
      </w:r>
      <w:r w:rsidR="001B000B">
        <w:rPr>
          <w:rFonts w:ascii="Garamond" w:hAnsi="Garamond"/>
          <w:lang w:val="en-GB"/>
        </w:rPr>
        <w:t>health inequalities.</w:t>
      </w:r>
    </w:p>
    <w:p w14:paraId="260B4BD9" w14:textId="77777777" w:rsidR="00D55458" w:rsidRPr="00905090" w:rsidRDefault="00D55458" w:rsidP="00D55458">
      <w:pPr>
        <w:jc w:val="both"/>
        <w:rPr>
          <w:rFonts w:ascii="Garamond" w:hAnsi="Garamond"/>
          <w:b/>
          <w:lang w:val="en-GB"/>
        </w:rPr>
      </w:pPr>
    </w:p>
    <w:p w14:paraId="1A697E5B" w14:textId="307069EC" w:rsidR="00D55458" w:rsidRPr="00905090" w:rsidRDefault="00D55458" w:rsidP="00D55458">
      <w:pPr>
        <w:jc w:val="both"/>
        <w:rPr>
          <w:rFonts w:ascii="Garamond" w:hAnsi="Garamond"/>
          <w:lang w:val="en-GB"/>
        </w:rPr>
      </w:pPr>
      <w:r w:rsidRPr="00905090">
        <w:rPr>
          <w:rFonts w:ascii="Garamond" w:hAnsi="Garamond"/>
          <w:b/>
          <w:lang w:val="en-GB"/>
        </w:rPr>
        <w:t>Keywords</w:t>
      </w:r>
      <w:r>
        <w:rPr>
          <w:rFonts w:ascii="Garamond" w:hAnsi="Garamond"/>
          <w:lang w:val="en-GB"/>
        </w:rPr>
        <w:t>: smoking</w:t>
      </w:r>
      <w:r w:rsidRPr="00905090">
        <w:rPr>
          <w:rFonts w:ascii="Garamond" w:hAnsi="Garamond"/>
          <w:lang w:val="en-GB"/>
        </w:rPr>
        <w:t xml:space="preserve">; </w:t>
      </w:r>
      <w:r>
        <w:rPr>
          <w:rFonts w:ascii="Garamond" w:hAnsi="Garamond"/>
          <w:lang w:val="en-GB"/>
        </w:rPr>
        <w:t xml:space="preserve">income-related </w:t>
      </w:r>
      <w:r w:rsidRPr="00905090">
        <w:rPr>
          <w:rFonts w:ascii="Garamond" w:hAnsi="Garamond"/>
          <w:lang w:val="en-GB"/>
        </w:rPr>
        <w:t>health inequalities;</w:t>
      </w:r>
      <w:r>
        <w:rPr>
          <w:rFonts w:ascii="Garamond" w:hAnsi="Garamond"/>
          <w:lang w:val="en-GB"/>
        </w:rPr>
        <w:t xml:space="preserve"> electronic-cigarettes</w:t>
      </w:r>
      <w:r w:rsidRPr="00905090">
        <w:rPr>
          <w:rFonts w:ascii="Garamond" w:hAnsi="Garamond"/>
          <w:lang w:val="en-GB"/>
        </w:rPr>
        <w:t>.</w:t>
      </w:r>
    </w:p>
    <w:p w14:paraId="5C211737" w14:textId="3E5EBAFB" w:rsidR="00574D72" w:rsidRDefault="00D55458" w:rsidP="00D55458">
      <w:pPr>
        <w:jc w:val="both"/>
        <w:rPr>
          <w:rFonts w:ascii="Garamond" w:hAnsi="Garamond"/>
          <w:b/>
          <w:lang w:val="en-GB"/>
        </w:rPr>
      </w:pPr>
      <w:r w:rsidRPr="00905090">
        <w:rPr>
          <w:rFonts w:ascii="Garamond" w:hAnsi="Garamond"/>
          <w:b/>
          <w:lang w:val="en-GB"/>
        </w:rPr>
        <w:t>JEL codes:</w:t>
      </w:r>
      <w:r w:rsidR="00B045B4">
        <w:rPr>
          <w:rFonts w:ascii="Garamond" w:hAnsi="Garamond"/>
          <w:b/>
          <w:lang w:val="en-GB"/>
        </w:rPr>
        <w:t xml:space="preserve"> </w:t>
      </w:r>
      <w:r w:rsidR="00B045B4" w:rsidRPr="00B045B4">
        <w:rPr>
          <w:rFonts w:ascii="Garamond" w:hAnsi="Garamond"/>
          <w:lang w:val="en-GB"/>
        </w:rPr>
        <w:t>I12;I14.</w:t>
      </w:r>
    </w:p>
    <w:p w14:paraId="676F80CC" w14:textId="24BEA1CD" w:rsidR="00574D72" w:rsidRDefault="00FC40A0" w:rsidP="005E4913">
      <w:pPr>
        <w:rPr>
          <w:rFonts w:ascii="Garamond" w:hAnsi="Garamond"/>
          <w:b/>
          <w:lang w:val="en-GB"/>
        </w:rPr>
      </w:pPr>
      <w:r w:rsidRPr="00FC40A0">
        <w:rPr>
          <w:rFonts w:ascii="Garamond" w:hAnsi="Garamond"/>
          <w:b/>
          <w:noProof/>
          <w:sz w:val="48"/>
          <w:szCs w:val="48"/>
          <w:lang w:val="it-IT" w:eastAsia="it-IT"/>
        </w:rPr>
        <mc:AlternateContent>
          <mc:Choice Requires="wps">
            <w:drawing>
              <wp:anchor distT="0" distB="0" distL="114300" distR="114300" simplePos="0" relativeHeight="251659264" behindDoc="0" locked="0" layoutInCell="1" allowOverlap="1" wp14:anchorId="1FA7CB00" wp14:editId="1AD4546A">
                <wp:simplePos x="0" y="0"/>
                <wp:positionH relativeFrom="column">
                  <wp:posOffset>31024</wp:posOffset>
                </wp:positionH>
                <wp:positionV relativeFrom="paragraph">
                  <wp:posOffset>1858826</wp:posOffset>
                </wp:positionV>
                <wp:extent cx="6428015" cy="6477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015" cy="647700"/>
                        </a:xfrm>
                        <a:prstGeom prst="rect">
                          <a:avLst/>
                        </a:prstGeom>
                        <a:noFill/>
                        <a:ln w="9525">
                          <a:noFill/>
                          <a:miter lim="800000"/>
                          <a:headEnd/>
                          <a:tailEnd/>
                        </a:ln>
                      </wps:spPr>
                      <wps:txbx>
                        <w:txbxContent>
                          <w:p w14:paraId="50E4B6CD" w14:textId="7E00CB21" w:rsidR="00D94F83" w:rsidRPr="00FC40A0" w:rsidRDefault="00D94F83" w:rsidP="00FC40A0">
                            <w:pPr>
                              <w:pBdr>
                                <w:top w:val="single" w:sz="4" w:space="1" w:color="auto"/>
                              </w:pBdr>
                              <w:spacing w:after="0" w:line="240" w:lineRule="auto"/>
                              <w:rPr>
                                <w:rFonts w:ascii="Garamond" w:hAnsi="Garamond"/>
                                <w:sz w:val="20"/>
                                <w:szCs w:val="20"/>
                              </w:rPr>
                            </w:pPr>
                            <w:r w:rsidRPr="00FC40A0">
                              <w:rPr>
                                <w:rFonts w:ascii="Garamond" w:hAnsi="Garamond"/>
                                <w:sz w:val="20"/>
                                <w:szCs w:val="20"/>
                              </w:rPr>
                              <w:t>*</w:t>
                            </w:r>
                            <w:r>
                              <w:rPr>
                                <w:rFonts w:ascii="Garamond" w:hAnsi="Garamond"/>
                                <w:sz w:val="20"/>
                                <w:szCs w:val="20"/>
                              </w:rPr>
                              <w:t xml:space="preserve"> </w:t>
                            </w:r>
                            <w:r w:rsidRPr="00FC40A0">
                              <w:rPr>
                                <w:rFonts w:ascii="Garamond" w:hAnsi="Garamond"/>
                                <w:sz w:val="20"/>
                                <w:szCs w:val="20"/>
                              </w:rPr>
                              <w:t xml:space="preserve">Corresponding Author: </w:t>
                            </w:r>
                            <w:proofErr w:type="spellStart"/>
                            <w:r>
                              <w:rPr>
                                <w:rFonts w:ascii="Garamond" w:hAnsi="Garamond"/>
                                <w:sz w:val="20"/>
                                <w:szCs w:val="20"/>
                              </w:rPr>
                              <w:t>Dipartimento</w:t>
                            </w:r>
                            <w:proofErr w:type="spellEnd"/>
                            <w:r>
                              <w:rPr>
                                <w:rFonts w:ascii="Garamond" w:hAnsi="Garamond"/>
                                <w:sz w:val="20"/>
                                <w:szCs w:val="20"/>
                              </w:rPr>
                              <w:t xml:space="preserve"> di </w:t>
                            </w:r>
                            <w:proofErr w:type="spellStart"/>
                            <w:r>
                              <w:rPr>
                                <w:rFonts w:ascii="Garamond" w:hAnsi="Garamond"/>
                                <w:sz w:val="20"/>
                                <w:szCs w:val="20"/>
                              </w:rPr>
                              <w:t>Scienze</w:t>
                            </w:r>
                            <w:proofErr w:type="spellEnd"/>
                            <w:r>
                              <w:rPr>
                                <w:rFonts w:ascii="Garamond" w:hAnsi="Garamond"/>
                                <w:sz w:val="20"/>
                                <w:szCs w:val="20"/>
                              </w:rPr>
                              <w:t xml:space="preserve"> </w:t>
                            </w:r>
                            <w:proofErr w:type="spellStart"/>
                            <w:r>
                              <w:rPr>
                                <w:rFonts w:ascii="Garamond" w:hAnsi="Garamond"/>
                                <w:sz w:val="20"/>
                                <w:szCs w:val="20"/>
                              </w:rPr>
                              <w:t>Economiche</w:t>
                            </w:r>
                            <w:proofErr w:type="spellEnd"/>
                            <w:r>
                              <w:rPr>
                                <w:rFonts w:ascii="Garamond" w:hAnsi="Garamond"/>
                                <w:sz w:val="20"/>
                                <w:szCs w:val="20"/>
                              </w:rPr>
                              <w:t xml:space="preserve"> e </w:t>
                            </w:r>
                            <w:proofErr w:type="spellStart"/>
                            <w:r>
                              <w:rPr>
                                <w:rFonts w:ascii="Garamond" w:hAnsi="Garamond"/>
                                <w:sz w:val="20"/>
                                <w:szCs w:val="20"/>
                              </w:rPr>
                              <w:t>Statistiche</w:t>
                            </w:r>
                            <w:proofErr w:type="spellEnd"/>
                            <w:r w:rsidRPr="00FC40A0">
                              <w:rPr>
                                <w:rFonts w:ascii="Garamond" w:hAnsi="Garamond"/>
                                <w:sz w:val="20"/>
                                <w:szCs w:val="20"/>
                              </w:rPr>
                              <w:t xml:space="preserve">, </w:t>
                            </w:r>
                            <w:proofErr w:type="spellStart"/>
                            <w:r>
                              <w:rPr>
                                <w:rFonts w:ascii="Garamond" w:hAnsi="Garamond"/>
                                <w:sz w:val="20"/>
                                <w:szCs w:val="20"/>
                              </w:rPr>
                              <w:t>Università</w:t>
                            </w:r>
                            <w:proofErr w:type="spellEnd"/>
                            <w:r>
                              <w:rPr>
                                <w:rFonts w:ascii="Garamond" w:hAnsi="Garamond"/>
                                <w:sz w:val="20"/>
                                <w:szCs w:val="20"/>
                              </w:rPr>
                              <w:t xml:space="preserve"> </w:t>
                            </w:r>
                            <w:proofErr w:type="spellStart"/>
                            <w:r>
                              <w:rPr>
                                <w:rFonts w:ascii="Garamond" w:hAnsi="Garamond"/>
                                <w:sz w:val="20"/>
                                <w:szCs w:val="20"/>
                              </w:rPr>
                              <w:t>degli</w:t>
                            </w:r>
                            <w:proofErr w:type="spellEnd"/>
                            <w:r>
                              <w:rPr>
                                <w:rFonts w:ascii="Garamond" w:hAnsi="Garamond"/>
                                <w:sz w:val="20"/>
                                <w:szCs w:val="20"/>
                              </w:rPr>
                              <w:t xml:space="preserve"> </w:t>
                            </w:r>
                            <w:proofErr w:type="spellStart"/>
                            <w:r>
                              <w:rPr>
                                <w:rFonts w:ascii="Garamond" w:hAnsi="Garamond"/>
                                <w:sz w:val="20"/>
                                <w:szCs w:val="20"/>
                              </w:rPr>
                              <w:t>Studi</w:t>
                            </w:r>
                            <w:proofErr w:type="spellEnd"/>
                            <w:r>
                              <w:rPr>
                                <w:rFonts w:ascii="Garamond" w:hAnsi="Garamond"/>
                                <w:sz w:val="20"/>
                                <w:szCs w:val="20"/>
                              </w:rPr>
                              <w:t xml:space="preserve"> di Salerno. </w:t>
                            </w:r>
                            <w:r w:rsidRPr="00FC40A0">
                              <w:rPr>
                                <w:rFonts w:ascii="Garamond" w:hAnsi="Garamond"/>
                                <w:sz w:val="20"/>
                                <w:szCs w:val="20"/>
                              </w:rPr>
                              <w:t xml:space="preserve">Via Giovanni Paolo II, 84084 </w:t>
                            </w:r>
                            <w:proofErr w:type="spellStart"/>
                            <w:r w:rsidRPr="00FC40A0">
                              <w:rPr>
                                <w:rFonts w:ascii="Garamond" w:hAnsi="Garamond"/>
                                <w:sz w:val="20"/>
                                <w:szCs w:val="20"/>
                              </w:rPr>
                              <w:t>Fisciano</w:t>
                            </w:r>
                            <w:proofErr w:type="spellEnd"/>
                            <w:r w:rsidRPr="00FC40A0">
                              <w:rPr>
                                <w:rFonts w:ascii="Garamond" w:hAnsi="Garamond"/>
                                <w:sz w:val="20"/>
                                <w:szCs w:val="20"/>
                              </w:rPr>
                              <w:t xml:space="preserve"> (SA), Italy. E-mail: </w:t>
                            </w:r>
                            <w:hyperlink r:id="rId9" w:history="1">
                              <w:r w:rsidRPr="00FC40A0">
                                <w:rPr>
                                  <w:rStyle w:val="Collegamentoipertestuale"/>
                                  <w:rFonts w:ascii="Garamond" w:hAnsi="Garamond"/>
                                  <w:sz w:val="20"/>
                                  <w:szCs w:val="20"/>
                                </w:rPr>
                                <w:t>vcarrieri@unisa.it</w:t>
                              </w:r>
                            </w:hyperlink>
                            <w:r w:rsidRPr="00FC40A0">
                              <w:rPr>
                                <w:rFonts w:ascii="Garamond" w:hAnsi="Garamond"/>
                                <w:sz w:val="16"/>
                                <w:szCs w:val="16"/>
                              </w:rPr>
                              <w:t xml:space="preserve">     </w:t>
                            </w:r>
                          </w:p>
                          <w:p w14:paraId="2D884114" w14:textId="033BBE9F" w:rsidR="00D94F83" w:rsidRDefault="00D94F83">
                            <w:pPr>
                              <w:rPr>
                                <w:rFonts w:ascii="Garamond" w:hAnsi="Garamond"/>
                                <w:sz w:val="20"/>
                                <w:szCs w:val="20"/>
                                <w:lang w:val="en-GB"/>
                              </w:rPr>
                            </w:pPr>
                            <w:r w:rsidRPr="00A575FA">
                              <w:rPr>
                                <w:rFonts w:ascii="Garamond" w:hAnsi="Garamond"/>
                                <w:b/>
                                <w:sz w:val="20"/>
                                <w:szCs w:val="20"/>
                                <w:lang w:val="en-GB"/>
                              </w:rPr>
                              <w:t>‡</w:t>
                            </w:r>
                            <w:r>
                              <w:rPr>
                                <w:rFonts w:ascii="Garamond" w:hAnsi="Garamond"/>
                                <w:b/>
                                <w:sz w:val="20"/>
                                <w:szCs w:val="20"/>
                                <w:lang w:val="en-GB"/>
                              </w:rPr>
                              <w:t xml:space="preserve"> </w:t>
                            </w:r>
                            <w:r w:rsidRPr="00A575FA">
                              <w:rPr>
                                <w:rFonts w:ascii="Garamond" w:hAnsi="Garamond"/>
                                <w:sz w:val="20"/>
                                <w:szCs w:val="20"/>
                                <w:lang w:val="en-GB"/>
                              </w:rPr>
                              <w:t>Department of Economics and Related Studies, University of York</w:t>
                            </w:r>
                            <w:r>
                              <w:rPr>
                                <w:rFonts w:ascii="Garamond" w:hAnsi="Garamond"/>
                                <w:sz w:val="20"/>
                                <w:szCs w:val="20"/>
                                <w:lang w:val="en-GB"/>
                              </w:rPr>
                              <w:t>, York, UK</w:t>
                            </w:r>
                            <w:r w:rsidRPr="00A575FA">
                              <w:rPr>
                                <w:rFonts w:ascii="Garamond" w:hAnsi="Garamond"/>
                                <w:sz w:val="20"/>
                                <w:szCs w:val="20"/>
                                <w:lang w:val="en-GB"/>
                              </w:rPr>
                              <w:t xml:space="preserve">. E-mail: </w:t>
                            </w:r>
                            <w:hyperlink r:id="rId10" w:history="1">
                              <w:r w:rsidRPr="003D5B8F">
                                <w:rPr>
                                  <w:rStyle w:val="Collegamentoipertestuale"/>
                                  <w:rFonts w:ascii="Garamond" w:hAnsi="Garamond"/>
                                  <w:sz w:val="20"/>
                                  <w:szCs w:val="20"/>
                                  <w:lang w:val="en-GB"/>
                                </w:rPr>
                                <w:t>andrew.jones@york.ac.uk</w:t>
                              </w:r>
                            </w:hyperlink>
                          </w:p>
                          <w:p w14:paraId="75564852" w14:textId="77777777" w:rsidR="00D94F83" w:rsidRPr="00A575FA" w:rsidRDefault="00D94F8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5pt;margin-top:146.35pt;width:506.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" filled="f" stroked="f">
                <v:textbox>
                  <w:txbxContent>
                    <w:p w14:paraId="50E4B6CD" w14:textId="7E00CB21" w:rsidR="00D94F83" w:rsidRPr="00FC40A0" w:rsidRDefault="00D94F83" w:rsidP="00FC40A0">
                      <w:pPr>
                        <w:pBdr>
                          <w:top w:val="single" w:sz="4" w:space="1" w:color="auto"/>
                        </w:pBdr>
                        <w:spacing w:after="0" w:line="240" w:lineRule="auto"/>
                        <w:rPr>
                          <w:rFonts w:ascii="Garamond" w:hAnsi="Garamond"/>
                          <w:sz w:val="20"/>
                          <w:szCs w:val="20"/>
                        </w:rPr>
                      </w:pPr>
                      <w:r w:rsidRPr="00FC40A0">
                        <w:rPr>
                          <w:rFonts w:ascii="Garamond" w:hAnsi="Garamond"/>
                          <w:sz w:val="20"/>
                          <w:szCs w:val="20"/>
                        </w:rPr>
                        <w:t>*</w:t>
                      </w:r>
                      <w:r>
                        <w:rPr>
                          <w:rFonts w:ascii="Garamond" w:hAnsi="Garamond"/>
                          <w:sz w:val="20"/>
                          <w:szCs w:val="20"/>
                        </w:rPr>
                        <w:t xml:space="preserve"> </w:t>
                      </w:r>
                      <w:r w:rsidRPr="00FC40A0">
                        <w:rPr>
                          <w:rFonts w:ascii="Garamond" w:hAnsi="Garamond"/>
                          <w:sz w:val="20"/>
                          <w:szCs w:val="20"/>
                        </w:rPr>
                        <w:t xml:space="preserve">Corresponding Author: </w:t>
                      </w:r>
                      <w:proofErr w:type="spellStart"/>
                      <w:r>
                        <w:rPr>
                          <w:rFonts w:ascii="Garamond" w:hAnsi="Garamond"/>
                          <w:sz w:val="20"/>
                          <w:szCs w:val="20"/>
                        </w:rPr>
                        <w:t>Dipartimento</w:t>
                      </w:r>
                      <w:proofErr w:type="spellEnd"/>
                      <w:r>
                        <w:rPr>
                          <w:rFonts w:ascii="Garamond" w:hAnsi="Garamond"/>
                          <w:sz w:val="20"/>
                          <w:szCs w:val="20"/>
                        </w:rPr>
                        <w:t xml:space="preserve"> di </w:t>
                      </w:r>
                      <w:proofErr w:type="spellStart"/>
                      <w:r>
                        <w:rPr>
                          <w:rFonts w:ascii="Garamond" w:hAnsi="Garamond"/>
                          <w:sz w:val="20"/>
                          <w:szCs w:val="20"/>
                        </w:rPr>
                        <w:t>Scienze</w:t>
                      </w:r>
                      <w:proofErr w:type="spellEnd"/>
                      <w:r>
                        <w:rPr>
                          <w:rFonts w:ascii="Garamond" w:hAnsi="Garamond"/>
                          <w:sz w:val="20"/>
                          <w:szCs w:val="20"/>
                        </w:rPr>
                        <w:t xml:space="preserve"> </w:t>
                      </w:r>
                      <w:proofErr w:type="spellStart"/>
                      <w:r>
                        <w:rPr>
                          <w:rFonts w:ascii="Garamond" w:hAnsi="Garamond"/>
                          <w:sz w:val="20"/>
                          <w:szCs w:val="20"/>
                        </w:rPr>
                        <w:t>Economiche</w:t>
                      </w:r>
                      <w:proofErr w:type="spellEnd"/>
                      <w:r>
                        <w:rPr>
                          <w:rFonts w:ascii="Garamond" w:hAnsi="Garamond"/>
                          <w:sz w:val="20"/>
                          <w:szCs w:val="20"/>
                        </w:rPr>
                        <w:t xml:space="preserve"> e </w:t>
                      </w:r>
                      <w:proofErr w:type="spellStart"/>
                      <w:r>
                        <w:rPr>
                          <w:rFonts w:ascii="Garamond" w:hAnsi="Garamond"/>
                          <w:sz w:val="20"/>
                          <w:szCs w:val="20"/>
                        </w:rPr>
                        <w:t>Statistiche</w:t>
                      </w:r>
                      <w:proofErr w:type="spellEnd"/>
                      <w:r w:rsidRPr="00FC40A0">
                        <w:rPr>
                          <w:rFonts w:ascii="Garamond" w:hAnsi="Garamond"/>
                          <w:sz w:val="20"/>
                          <w:szCs w:val="20"/>
                        </w:rPr>
                        <w:t xml:space="preserve">, </w:t>
                      </w:r>
                      <w:proofErr w:type="spellStart"/>
                      <w:r>
                        <w:rPr>
                          <w:rFonts w:ascii="Garamond" w:hAnsi="Garamond"/>
                          <w:sz w:val="20"/>
                          <w:szCs w:val="20"/>
                        </w:rPr>
                        <w:t>Università</w:t>
                      </w:r>
                      <w:proofErr w:type="spellEnd"/>
                      <w:r>
                        <w:rPr>
                          <w:rFonts w:ascii="Garamond" w:hAnsi="Garamond"/>
                          <w:sz w:val="20"/>
                          <w:szCs w:val="20"/>
                        </w:rPr>
                        <w:t xml:space="preserve"> </w:t>
                      </w:r>
                      <w:proofErr w:type="spellStart"/>
                      <w:r>
                        <w:rPr>
                          <w:rFonts w:ascii="Garamond" w:hAnsi="Garamond"/>
                          <w:sz w:val="20"/>
                          <w:szCs w:val="20"/>
                        </w:rPr>
                        <w:t>degli</w:t>
                      </w:r>
                      <w:proofErr w:type="spellEnd"/>
                      <w:r>
                        <w:rPr>
                          <w:rFonts w:ascii="Garamond" w:hAnsi="Garamond"/>
                          <w:sz w:val="20"/>
                          <w:szCs w:val="20"/>
                        </w:rPr>
                        <w:t xml:space="preserve"> </w:t>
                      </w:r>
                      <w:proofErr w:type="spellStart"/>
                      <w:r>
                        <w:rPr>
                          <w:rFonts w:ascii="Garamond" w:hAnsi="Garamond"/>
                          <w:sz w:val="20"/>
                          <w:szCs w:val="20"/>
                        </w:rPr>
                        <w:t>Studi</w:t>
                      </w:r>
                      <w:proofErr w:type="spellEnd"/>
                      <w:r>
                        <w:rPr>
                          <w:rFonts w:ascii="Garamond" w:hAnsi="Garamond"/>
                          <w:sz w:val="20"/>
                          <w:szCs w:val="20"/>
                        </w:rPr>
                        <w:t xml:space="preserve"> di Salerno. </w:t>
                      </w:r>
                      <w:r w:rsidRPr="00FC40A0">
                        <w:rPr>
                          <w:rFonts w:ascii="Garamond" w:hAnsi="Garamond"/>
                          <w:sz w:val="20"/>
                          <w:szCs w:val="20"/>
                        </w:rPr>
                        <w:t xml:space="preserve">Via Giovanni Paolo II, 84084 </w:t>
                      </w:r>
                      <w:proofErr w:type="spellStart"/>
                      <w:r w:rsidRPr="00FC40A0">
                        <w:rPr>
                          <w:rFonts w:ascii="Garamond" w:hAnsi="Garamond"/>
                          <w:sz w:val="20"/>
                          <w:szCs w:val="20"/>
                        </w:rPr>
                        <w:t>Fisciano</w:t>
                      </w:r>
                      <w:proofErr w:type="spellEnd"/>
                      <w:r w:rsidRPr="00FC40A0">
                        <w:rPr>
                          <w:rFonts w:ascii="Garamond" w:hAnsi="Garamond"/>
                          <w:sz w:val="20"/>
                          <w:szCs w:val="20"/>
                        </w:rPr>
                        <w:t xml:space="preserve"> (SA), Italy. E-mail: </w:t>
                      </w:r>
                      <w:hyperlink r:id="rId11" w:history="1">
                        <w:r w:rsidRPr="00FC40A0">
                          <w:rPr>
                            <w:rStyle w:val="Collegamentoipertestuale"/>
                            <w:rFonts w:ascii="Garamond" w:hAnsi="Garamond"/>
                            <w:sz w:val="20"/>
                            <w:szCs w:val="20"/>
                          </w:rPr>
                          <w:t>vcarrieri@unisa.it</w:t>
                        </w:r>
                      </w:hyperlink>
                      <w:r w:rsidRPr="00FC40A0">
                        <w:rPr>
                          <w:rFonts w:ascii="Garamond" w:hAnsi="Garamond"/>
                          <w:sz w:val="16"/>
                          <w:szCs w:val="16"/>
                        </w:rPr>
                        <w:t xml:space="preserve">     </w:t>
                      </w:r>
                    </w:p>
                    <w:p w14:paraId="2D884114" w14:textId="033BBE9F" w:rsidR="00D94F83" w:rsidRDefault="00D94F83">
                      <w:pPr>
                        <w:rPr>
                          <w:rFonts w:ascii="Garamond" w:hAnsi="Garamond"/>
                          <w:sz w:val="20"/>
                          <w:szCs w:val="20"/>
                          <w:lang w:val="en-GB"/>
                        </w:rPr>
                      </w:pPr>
                      <w:r w:rsidRPr="00A575FA">
                        <w:rPr>
                          <w:rFonts w:ascii="Garamond" w:hAnsi="Garamond"/>
                          <w:b/>
                          <w:sz w:val="20"/>
                          <w:szCs w:val="20"/>
                          <w:lang w:val="en-GB"/>
                        </w:rPr>
                        <w:t>‡</w:t>
                      </w:r>
                      <w:r>
                        <w:rPr>
                          <w:rFonts w:ascii="Garamond" w:hAnsi="Garamond"/>
                          <w:b/>
                          <w:sz w:val="20"/>
                          <w:szCs w:val="20"/>
                          <w:lang w:val="en-GB"/>
                        </w:rPr>
                        <w:t xml:space="preserve"> </w:t>
                      </w:r>
                      <w:r w:rsidRPr="00A575FA">
                        <w:rPr>
                          <w:rFonts w:ascii="Garamond" w:hAnsi="Garamond"/>
                          <w:sz w:val="20"/>
                          <w:szCs w:val="20"/>
                          <w:lang w:val="en-GB"/>
                        </w:rPr>
                        <w:t>Department of Economics and Related Studies, University of York</w:t>
                      </w:r>
                      <w:r>
                        <w:rPr>
                          <w:rFonts w:ascii="Garamond" w:hAnsi="Garamond"/>
                          <w:sz w:val="20"/>
                          <w:szCs w:val="20"/>
                          <w:lang w:val="en-GB"/>
                        </w:rPr>
                        <w:t>, York, UK</w:t>
                      </w:r>
                      <w:r w:rsidRPr="00A575FA">
                        <w:rPr>
                          <w:rFonts w:ascii="Garamond" w:hAnsi="Garamond"/>
                          <w:sz w:val="20"/>
                          <w:szCs w:val="20"/>
                          <w:lang w:val="en-GB"/>
                        </w:rPr>
                        <w:t xml:space="preserve">. E-mail: </w:t>
                      </w:r>
                      <w:hyperlink r:id="rId12" w:history="1">
                        <w:r w:rsidRPr="003D5B8F">
                          <w:rPr>
                            <w:rStyle w:val="Collegamentoipertestuale"/>
                            <w:rFonts w:ascii="Garamond" w:hAnsi="Garamond"/>
                            <w:sz w:val="20"/>
                            <w:szCs w:val="20"/>
                            <w:lang w:val="en-GB"/>
                          </w:rPr>
                          <w:t>andrew.jones@york.ac.uk</w:t>
                        </w:r>
                      </w:hyperlink>
                    </w:p>
                    <w:p w14:paraId="75564852" w14:textId="77777777" w:rsidR="00D94F83" w:rsidRPr="00A575FA" w:rsidRDefault="00D94F83">
                      <w:pPr>
                        <w:rPr>
                          <w:sz w:val="20"/>
                          <w:szCs w:val="20"/>
                        </w:rPr>
                      </w:pPr>
                    </w:p>
                  </w:txbxContent>
                </v:textbox>
              </v:shape>
            </w:pict>
          </mc:Fallback>
        </mc:AlternateContent>
      </w:r>
      <w:r w:rsidR="005E4913">
        <w:rPr>
          <w:rFonts w:ascii="Garamond" w:hAnsi="Garamond"/>
          <w:b/>
          <w:lang w:val="en-GB"/>
        </w:rPr>
        <w:br w:type="page"/>
      </w:r>
    </w:p>
    <w:p w14:paraId="07DE9408" w14:textId="5F9DB8BA" w:rsidR="00574D72" w:rsidRPr="00425D9A" w:rsidRDefault="00574D72" w:rsidP="00425D9A">
      <w:pPr>
        <w:pStyle w:val="Paragrafoelenco"/>
        <w:numPr>
          <w:ilvl w:val="0"/>
          <w:numId w:val="1"/>
        </w:numPr>
        <w:ind w:left="714" w:hanging="357"/>
        <w:jc w:val="both"/>
        <w:rPr>
          <w:rFonts w:ascii="Garamond" w:hAnsi="Garamond"/>
          <w:lang w:val="en-GB"/>
        </w:rPr>
      </w:pPr>
      <w:r>
        <w:rPr>
          <w:rFonts w:ascii="Garamond" w:hAnsi="Garamond"/>
          <w:b/>
          <w:lang w:val="en-GB"/>
        </w:rPr>
        <w:lastRenderedPageBreak/>
        <w:t>Introduction</w:t>
      </w:r>
    </w:p>
    <w:p w14:paraId="00E1BE2B" w14:textId="112C5AFA" w:rsidR="00E521B0" w:rsidRDefault="009E1625" w:rsidP="00925E79">
      <w:pPr>
        <w:jc w:val="both"/>
        <w:rPr>
          <w:rFonts w:ascii="Garamond" w:hAnsi="Garamond"/>
          <w:lang w:val="en-GB"/>
        </w:rPr>
      </w:pPr>
      <w:r>
        <w:rPr>
          <w:rFonts w:ascii="Garamond" w:hAnsi="Garamond"/>
          <w:lang w:val="en-GB"/>
        </w:rPr>
        <w:t>Electroni</w:t>
      </w:r>
      <w:r w:rsidR="006450EE">
        <w:rPr>
          <w:rFonts w:ascii="Garamond" w:hAnsi="Garamond"/>
          <w:lang w:val="en-GB"/>
        </w:rPr>
        <w:t>c</w:t>
      </w:r>
      <w:r>
        <w:rPr>
          <w:rFonts w:ascii="Garamond" w:hAnsi="Garamond"/>
          <w:lang w:val="en-GB"/>
        </w:rPr>
        <w:t xml:space="preserve"> cigarettes (e-cigs)</w:t>
      </w:r>
      <w:r w:rsidR="0006074A">
        <w:rPr>
          <w:rFonts w:ascii="Garamond" w:hAnsi="Garamond"/>
          <w:lang w:val="en-GB"/>
        </w:rPr>
        <w:t xml:space="preserve"> and other </w:t>
      </w:r>
      <w:r w:rsidR="008C01CF">
        <w:rPr>
          <w:rFonts w:ascii="Garamond" w:hAnsi="Garamond"/>
          <w:lang w:val="en-GB"/>
        </w:rPr>
        <w:t xml:space="preserve">novel </w:t>
      </w:r>
      <w:r w:rsidR="0006074A">
        <w:rPr>
          <w:rFonts w:ascii="Garamond" w:hAnsi="Garamond"/>
          <w:lang w:val="en-GB"/>
        </w:rPr>
        <w:t xml:space="preserve">nicotine delivery </w:t>
      </w:r>
      <w:r w:rsidR="008C01CF">
        <w:rPr>
          <w:rFonts w:ascii="Garamond" w:hAnsi="Garamond"/>
          <w:lang w:val="en-GB"/>
        </w:rPr>
        <w:t>systems</w:t>
      </w:r>
      <w:r w:rsidR="0006074A">
        <w:rPr>
          <w:rFonts w:ascii="Garamond" w:hAnsi="Garamond"/>
          <w:lang w:val="en-GB"/>
        </w:rPr>
        <w:t xml:space="preserve"> (ND</w:t>
      </w:r>
      <w:r w:rsidR="008C01CF">
        <w:rPr>
          <w:rFonts w:ascii="Garamond" w:hAnsi="Garamond"/>
          <w:lang w:val="en-GB"/>
        </w:rPr>
        <w:t>S</w:t>
      </w:r>
      <w:r w:rsidR="0006074A">
        <w:rPr>
          <w:rFonts w:ascii="Garamond" w:hAnsi="Garamond"/>
          <w:lang w:val="en-GB"/>
        </w:rPr>
        <w:t xml:space="preserve">) </w:t>
      </w:r>
      <w:r>
        <w:rPr>
          <w:rFonts w:ascii="Garamond" w:hAnsi="Garamond"/>
          <w:lang w:val="en-GB"/>
        </w:rPr>
        <w:t>represen</w:t>
      </w:r>
      <w:r w:rsidR="006450EE">
        <w:rPr>
          <w:rFonts w:ascii="Garamond" w:hAnsi="Garamond"/>
          <w:lang w:val="en-GB"/>
        </w:rPr>
        <w:t xml:space="preserve">t </w:t>
      </w:r>
      <w:r w:rsidR="008C01CF">
        <w:rPr>
          <w:rFonts w:ascii="Garamond" w:hAnsi="Garamond"/>
          <w:lang w:val="en-GB"/>
        </w:rPr>
        <w:t xml:space="preserve">one of </w:t>
      </w:r>
      <w:r>
        <w:rPr>
          <w:rFonts w:ascii="Garamond" w:hAnsi="Garamond"/>
          <w:lang w:val="en-GB"/>
        </w:rPr>
        <w:t xml:space="preserve">the most important </w:t>
      </w:r>
      <w:r w:rsidR="00160836">
        <w:rPr>
          <w:rFonts w:ascii="Garamond" w:hAnsi="Garamond"/>
          <w:lang w:val="en-GB"/>
        </w:rPr>
        <w:t>innovation</w:t>
      </w:r>
      <w:r w:rsidR="0006074A">
        <w:rPr>
          <w:rFonts w:ascii="Garamond" w:hAnsi="Garamond"/>
          <w:lang w:val="en-GB"/>
        </w:rPr>
        <w:t>s</w:t>
      </w:r>
      <w:r>
        <w:rPr>
          <w:rFonts w:ascii="Garamond" w:hAnsi="Garamond"/>
          <w:lang w:val="en-GB"/>
        </w:rPr>
        <w:t xml:space="preserve"> in </w:t>
      </w:r>
      <w:r w:rsidR="00D20823">
        <w:rPr>
          <w:rFonts w:ascii="Garamond" w:hAnsi="Garamond"/>
          <w:lang w:val="en-GB"/>
        </w:rPr>
        <w:t xml:space="preserve">the </w:t>
      </w:r>
      <w:r w:rsidR="008C01CF">
        <w:rPr>
          <w:rFonts w:ascii="Garamond" w:hAnsi="Garamond"/>
          <w:lang w:val="en-GB"/>
        </w:rPr>
        <w:t>tobacco</w:t>
      </w:r>
      <w:r>
        <w:rPr>
          <w:rFonts w:ascii="Garamond" w:hAnsi="Garamond"/>
          <w:lang w:val="en-GB"/>
        </w:rPr>
        <w:t xml:space="preserve"> market. E-cigs</w:t>
      </w:r>
      <w:r w:rsidR="007F4029">
        <w:rPr>
          <w:rFonts w:ascii="Garamond" w:hAnsi="Garamond"/>
          <w:lang w:val="en-GB"/>
        </w:rPr>
        <w:t xml:space="preserve"> </w:t>
      </w:r>
      <w:r w:rsidRPr="009E1625">
        <w:rPr>
          <w:rFonts w:ascii="Garamond" w:hAnsi="Garamond"/>
          <w:lang w:val="en-GB"/>
        </w:rPr>
        <w:t>are battery</w:t>
      </w:r>
      <w:r w:rsidR="00C00C36">
        <w:rPr>
          <w:rFonts w:ascii="Garamond" w:hAnsi="Garamond"/>
          <w:lang w:val="en-GB"/>
        </w:rPr>
        <w:t>-</w:t>
      </w:r>
      <w:r w:rsidRPr="009E1625">
        <w:rPr>
          <w:rFonts w:ascii="Garamond" w:hAnsi="Garamond"/>
          <w:lang w:val="en-GB"/>
        </w:rPr>
        <w:t>operated devices t</w:t>
      </w:r>
      <w:r>
        <w:rPr>
          <w:rFonts w:ascii="Garamond" w:hAnsi="Garamond"/>
          <w:lang w:val="en-GB"/>
        </w:rPr>
        <w:t xml:space="preserve">hat aim to simulate combustible </w:t>
      </w:r>
      <w:r w:rsidRPr="009E1625">
        <w:rPr>
          <w:rFonts w:ascii="Garamond" w:hAnsi="Garamond"/>
          <w:lang w:val="en-GB"/>
        </w:rPr>
        <w:t>cigarettes</w:t>
      </w:r>
      <w:r w:rsidR="007F4029">
        <w:rPr>
          <w:rFonts w:ascii="Garamond" w:hAnsi="Garamond"/>
          <w:lang w:val="en-GB"/>
        </w:rPr>
        <w:t>, while other ND</w:t>
      </w:r>
      <w:r w:rsidR="008C01CF">
        <w:rPr>
          <w:rFonts w:ascii="Garamond" w:hAnsi="Garamond"/>
          <w:lang w:val="en-GB"/>
        </w:rPr>
        <w:t>S</w:t>
      </w:r>
      <w:r w:rsidR="007F4029" w:rsidRPr="009E1625">
        <w:rPr>
          <w:rFonts w:ascii="Garamond" w:hAnsi="Garamond"/>
          <w:lang w:val="en-GB"/>
        </w:rPr>
        <w:t xml:space="preserve"> </w:t>
      </w:r>
      <w:r w:rsidR="007F4029">
        <w:rPr>
          <w:rFonts w:ascii="Garamond" w:hAnsi="Garamond"/>
          <w:lang w:val="en-GB"/>
        </w:rPr>
        <w:t xml:space="preserve">encompasses </w:t>
      </w:r>
      <w:r w:rsidR="007F4029" w:rsidRPr="007F4029">
        <w:rPr>
          <w:rFonts w:ascii="Garamond" w:hAnsi="Garamond"/>
          <w:lang w:val="en-GB"/>
        </w:rPr>
        <w:t>alternative methods to administer nicotine to the brain without the harms of combustion</w:t>
      </w:r>
      <w:r w:rsidR="007F4029">
        <w:rPr>
          <w:rFonts w:ascii="Garamond" w:hAnsi="Garamond"/>
          <w:lang w:val="en-GB"/>
        </w:rPr>
        <w:t xml:space="preserve"> (i.e. chewing gum, nicotine patch</w:t>
      </w:r>
      <w:r w:rsidR="00A43F5D">
        <w:rPr>
          <w:rFonts w:ascii="Garamond" w:hAnsi="Garamond"/>
          <w:lang w:val="en-GB"/>
        </w:rPr>
        <w:t>e</w:t>
      </w:r>
      <w:r w:rsidR="006450EE">
        <w:rPr>
          <w:rFonts w:ascii="Garamond" w:hAnsi="Garamond"/>
          <w:lang w:val="en-GB"/>
        </w:rPr>
        <w:t>s</w:t>
      </w:r>
      <w:r w:rsidR="007F4029">
        <w:rPr>
          <w:rFonts w:ascii="Garamond" w:hAnsi="Garamond"/>
          <w:lang w:val="en-GB"/>
        </w:rPr>
        <w:t>). E-cigs are the</w:t>
      </w:r>
      <w:r w:rsidR="00EC0018">
        <w:rPr>
          <w:rFonts w:ascii="Garamond" w:hAnsi="Garamond"/>
          <w:lang w:val="en-GB"/>
        </w:rPr>
        <w:t xml:space="preserve"> newest and the most </w:t>
      </w:r>
      <w:r w:rsidR="007F4029">
        <w:rPr>
          <w:rFonts w:ascii="Garamond" w:hAnsi="Garamond"/>
          <w:lang w:val="en-GB"/>
        </w:rPr>
        <w:t xml:space="preserve">used </w:t>
      </w:r>
      <w:r w:rsidR="00630212">
        <w:rPr>
          <w:rFonts w:ascii="Garamond" w:hAnsi="Garamond"/>
          <w:lang w:val="en-GB"/>
        </w:rPr>
        <w:t xml:space="preserve">nicotine delivery </w:t>
      </w:r>
      <w:r w:rsidR="008C01CF">
        <w:rPr>
          <w:rFonts w:ascii="Garamond" w:hAnsi="Garamond"/>
          <w:lang w:val="en-GB"/>
        </w:rPr>
        <w:t>system</w:t>
      </w:r>
      <w:r w:rsidR="007F4029">
        <w:rPr>
          <w:rFonts w:ascii="Garamond" w:hAnsi="Garamond"/>
          <w:lang w:val="en-GB"/>
        </w:rPr>
        <w:t xml:space="preserve">. They don’t </w:t>
      </w:r>
      <w:r w:rsidRPr="009E1625">
        <w:rPr>
          <w:rFonts w:ascii="Garamond" w:hAnsi="Garamond"/>
          <w:lang w:val="en-GB"/>
        </w:rPr>
        <w:t xml:space="preserve">contain tobacco but </w:t>
      </w:r>
      <w:r>
        <w:rPr>
          <w:rFonts w:ascii="Garamond" w:hAnsi="Garamond"/>
          <w:lang w:val="en-GB"/>
        </w:rPr>
        <w:t xml:space="preserve">operate by heating nicotine and </w:t>
      </w:r>
      <w:r w:rsidRPr="009E1625">
        <w:rPr>
          <w:rFonts w:ascii="Garamond" w:hAnsi="Garamond"/>
          <w:lang w:val="en-GB"/>
        </w:rPr>
        <w:t>other chemicals into a vapour that is inhaled</w:t>
      </w:r>
      <w:r w:rsidR="00E521B0">
        <w:rPr>
          <w:rFonts w:ascii="Garamond" w:hAnsi="Garamond"/>
          <w:lang w:val="en-GB"/>
        </w:rPr>
        <w:t>.</w:t>
      </w:r>
      <w:r>
        <w:rPr>
          <w:rStyle w:val="Rimandonotaapidipagina"/>
          <w:rFonts w:ascii="Garamond" w:hAnsi="Garamond"/>
          <w:lang w:val="en-GB"/>
        </w:rPr>
        <w:footnoteReference w:id="1"/>
      </w:r>
      <w:r w:rsidR="00E521B0" w:rsidRPr="00E521B0">
        <w:t xml:space="preserve"> </w:t>
      </w:r>
      <w:r w:rsidR="00E521B0" w:rsidRPr="00E521B0">
        <w:rPr>
          <w:rFonts w:ascii="Garamond" w:hAnsi="Garamond"/>
          <w:lang w:val="en-GB"/>
        </w:rPr>
        <w:t>Since their introduction to the market in 2004, global usage of e-cigarettes has risen exponentially</w:t>
      </w:r>
      <w:r w:rsidR="00E521B0">
        <w:rPr>
          <w:rFonts w:ascii="Garamond" w:hAnsi="Garamond"/>
          <w:lang w:val="en-GB"/>
        </w:rPr>
        <w:t xml:space="preserve"> </w:t>
      </w:r>
      <w:r w:rsidR="00E521B0" w:rsidRPr="00375C26">
        <w:rPr>
          <w:rFonts w:ascii="Garamond" w:hAnsi="Garamond"/>
          <w:lang w:val="en-GB"/>
        </w:rPr>
        <w:t>(</w:t>
      </w:r>
      <w:r w:rsidR="00925E79" w:rsidRPr="00375C26">
        <w:rPr>
          <w:rFonts w:ascii="Garamond" w:hAnsi="Garamond"/>
          <w:lang w:val="en-GB"/>
        </w:rPr>
        <w:t xml:space="preserve">Cobb </w:t>
      </w:r>
      <w:r w:rsidR="00925E79" w:rsidRPr="00367747">
        <w:rPr>
          <w:rFonts w:ascii="Garamond" w:hAnsi="Garamond"/>
          <w:i/>
          <w:lang w:val="en-GB"/>
        </w:rPr>
        <w:t>et al</w:t>
      </w:r>
      <w:r w:rsidR="00925E79" w:rsidRPr="00375C26">
        <w:rPr>
          <w:rFonts w:ascii="Garamond" w:hAnsi="Garamond"/>
          <w:lang w:val="en-GB"/>
        </w:rPr>
        <w:t xml:space="preserve">., 2010; </w:t>
      </w:r>
      <w:r w:rsidR="00E521B0" w:rsidRPr="00375C26">
        <w:rPr>
          <w:rFonts w:ascii="Garamond" w:hAnsi="Garamond"/>
          <w:lang w:val="en-GB"/>
        </w:rPr>
        <w:t xml:space="preserve">Rom </w:t>
      </w:r>
      <w:r w:rsidR="00E521B0" w:rsidRPr="00367747">
        <w:rPr>
          <w:rFonts w:ascii="Garamond" w:hAnsi="Garamond"/>
          <w:i/>
          <w:lang w:val="en-GB"/>
        </w:rPr>
        <w:t>et al</w:t>
      </w:r>
      <w:r w:rsidR="00E521B0" w:rsidRPr="00375C26">
        <w:rPr>
          <w:rFonts w:ascii="Garamond" w:hAnsi="Garamond"/>
          <w:lang w:val="en-GB"/>
        </w:rPr>
        <w:t>., 2014)</w:t>
      </w:r>
      <w:r w:rsidR="00375C26" w:rsidRPr="00375C26">
        <w:rPr>
          <w:rStyle w:val="Rimandonotaapidipagina"/>
          <w:rFonts w:ascii="Garamond" w:hAnsi="Garamond"/>
          <w:lang w:val="en-GB"/>
        </w:rPr>
        <w:footnoteReference w:id="2"/>
      </w:r>
      <w:r w:rsidR="00925E79" w:rsidRPr="00375C26">
        <w:rPr>
          <w:rFonts w:ascii="Garamond" w:hAnsi="Garamond"/>
          <w:lang w:val="en-GB"/>
        </w:rPr>
        <w:t xml:space="preserve">. </w:t>
      </w:r>
    </w:p>
    <w:p w14:paraId="6F492121" w14:textId="40C4A318" w:rsidR="00292F9B" w:rsidRDefault="00160836" w:rsidP="00144B52">
      <w:pPr>
        <w:jc w:val="both"/>
        <w:rPr>
          <w:rFonts w:ascii="Garamond" w:hAnsi="Garamond"/>
          <w:lang w:val="en-GB"/>
        </w:rPr>
      </w:pPr>
      <w:r>
        <w:rPr>
          <w:rFonts w:ascii="Garamond" w:hAnsi="Garamond"/>
          <w:lang w:val="en-GB"/>
        </w:rPr>
        <w:t xml:space="preserve">The reasons </w:t>
      </w:r>
      <w:r w:rsidR="006450EE">
        <w:rPr>
          <w:rFonts w:ascii="Garamond" w:hAnsi="Garamond"/>
          <w:lang w:val="en-GB"/>
        </w:rPr>
        <w:t>for</w:t>
      </w:r>
      <w:r>
        <w:rPr>
          <w:rFonts w:ascii="Garamond" w:hAnsi="Garamond"/>
          <w:lang w:val="en-GB"/>
        </w:rPr>
        <w:t xml:space="preserve"> increasing prevalence </w:t>
      </w:r>
      <w:r w:rsidR="00630212">
        <w:rPr>
          <w:rFonts w:ascii="Garamond" w:hAnsi="Garamond"/>
          <w:lang w:val="en-GB"/>
        </w:rPr>
        <w:t xml:space="preserve">are </w:t>
      </w:r>
      <w:r w:rsidR="008E11E9">
        <w:rPr>
          <w:rFonts w:ascii="Garamond" w:hAnsi="Garamond"/>
          <w:lang w:val="en-GB"/>
        </w:rPr>
        <w:t>that these new methods</w:t>
      </w:r>
      <w:r>
        <w:rPr>
          <w:rFonts w:ascii="Garamond" w:hAnsi="Garamond"/>
          <w:lang w:val="en-GB"/>
        </w:rPr>
        <w:t xml:space="preserve"> are </w:t>
      </w:r>
      <w:r w:rsidR="00144B52">
        <w:rPr>
          <w:rFonts w:ascii="Garamond" w:hAnsi="Garamond"/>
          <w:lang w:val="en-GB"/>
        </w:rPr>
        <w:t xml:space="preserve">perceived </w:t>
      </w:r>
      <w:r w:rsidRPr="00160836">
        <w:rPr>
          <w:rFonts w:ascii="Garamond" w:hAnsi="Garamond"/>
          <w:lang w:val="en-GB"/>
        </w:rPr>
        <w:t>as healthier, cheaper, and more socially acceptable than conventional cigarettes</w:t>
      </w:r>
      <w:r>
        <w:rPr>
          <w:rFonts w:ascii="Garamond" w:hAnsi="Garamond"/>
          <w:lang w:val="en-GB"/>
        </w:rPr>
        <w:t xml:space="preserve"> (Rom </w:t>
      </w:r>
      <w:r w:rsidRPr="00367747">
        <w:rPr>
          <w:rFonts w:ascii="Garamond" w:hAnsi="Garamond"/>
          <w:i/>
          <w:lang w:val="en-GB"/>
        </w:rPr>
        <w:t>et a</w:t>
      </w:r>
      <w:r w:rsidR="00266C32" w:rsidRPr="00367747">
        <w:rPr>
          <w:rFonts w:ascii="Garamond" w:hAnsi="Garamond"/>
          <w:i/>
          <w:lang w:val="en-GB"/>
        </w:rPr>
        <w:t>l</w:t>
      </w:r>
      <w:r>
        <w:rPr>
          <w:rFonts w:ascii="Garamond" w:hAnsi="Garamond"/>
          <w:lang w:val="en-GB"/>
        </w:rPr>
        <w:t>., 2014)</w:t>
      </w:r>
      <w:r w:rsidR="00144B52">
        <w:rPr>
          <w:rFonts w:ascii="Garamond" w:hAnsi="Garamond"/>
          <w:lang w:val="en-GB"/>
        </w:rPr>
        <w:t xml:space="preserve">. However, the primary objective of users is essentially that of quitting smoking (Pepper and Brewer, 2013). Both the health benefits and the ability to help quitting smoking are the </w:t>
      </w:r>
      <w:r w:rsidR="00A4785F">
        <w:rPr>
          <w:rFonts w:ascii="Garamond" w:hAnsi="Garamond"/>
          <w:lang w:val="en-GB"/>
        </w:rPr>
        <w:t xml:space="preserve">two </w:t>
      </w:r>
      <w:r w:rsidR="00144B52">
        <w:rPr>
          <w:rFonts w:ascii="Garamond" w:hAnsi="Garamond"/>
          <w:lang w:val="en-GB"/>
        </w:rPr>
        <w:t xml:space="preserve">most </w:t>
      </w:r>
      <w:r w:rsidR="00E93DD6">
        <w:rPr>
          <w:rFonts w:ascii="Garamond" w:hAnsi="Garamond"/>
          <w:lang w:val="en-GB"/>
        </w:rPr>
        <w:t>explored</w:t>
      </w:r>
      <w:r w:rsidR="00144B52">
        <w:rPr>
          <w:rFonts w:ascii="Garamond" w:hAnsi="Garamond"/>
          <w:lang w:val="en-GB"/>
        </w:rPr>
        <w:t xml:space="preserve"> issues</w:t>
      </w:r>
      <w:r w:rsidR="00C63E4F">
        <w:rPr>
          <w:rFonts w:ascii="Garamond" w:hAnsi="Garamond"/>
          <w:lang w:val="en-GB"/>
        </w:rPr>
        <w:t xml:space="preserve"> in the empirical </w:t>
      </w:r>
      <w:r w:rsidR="006450EE">
        <w:rPr>
          <w:rFonts w:ascii="Garamond" w:hAnsi="Garamond"/>
          <w:lang w:val="en-GB"/>
        </w:rPr>
        <w:t>literature</w:t>
      </w:r>
      <w:r w:rsidR="008A76A6">
        <w:rPr>
          <w:rFonts w:ascii="Garamond" w:hAnsi="Garamond"/>
          <w:lang w:val="en-GB"/>
        </w:rPr>
        <w:t xml:space="preserve">. Despite some side effects and some </w:t>
      </w:r>
      <w:r w:rsidR="00630212">
        <w:rPr>
          <w:rFonts w:ascii="Garamond" w:hAnsi="Garamond"/>
          <w:lang w:val="en-GB"/>
        </w:rPr>
        <w:t>debate</w:t>
      </w:r>
      <w:r w:rsidR="008A76A6">
        <w:rPr>
          <w:rFonts w:ascii="Garamond" w:hAnsi="Garamond"/>
          <w:lang w:val="en-GB"/>
        </w:rPr>
        <w:t xml:space="preserve"> on the</w:t>
      </w:r>
      <w:r w:rsidR="006450EE">
        <w:rPr>
          <w:rFonts w:ascii="Garamond" w:hAnsi="Garamond"/>
          <w:lang w:val="en-GB"/>
        </w:rPr>
        <w:t>ir</w:t>
      </w:r>
      <w:r w:rsidR="008A76A6">
        <w:rPr>
          <w:rFonts w:ascii="Garamond" w:hAnsi="Garamond"/>
          <w:lang w:val="en-GB"/>
        </w:rPr>
        <w:t xml:space="preserve"> </w:t>
      </w:r>
      <w:r w:rsidR="006450EE">
        <w:rPr>
          <w:rFonts w:ascii="Garamond" w:hAnsi="Garamond"/>
          <w:lang w:val="en-GB"/>
        </w:rPr>
        <w:t>effectiveness</w:t>
      </w:r>
      <w:r w:rsidR="008A76A6">
        <w:rPr>
          <w:rFonts w:ascii="Garamond" w:hAnsi="Garamond"/>
          <w:lang w:val="en-GB"/>
        </w:rPr>
        <w:t xml:space="preserve"> to </w:t>
      </w:r>
      <w:r w:rsidR="006450EE">
        <w:rPr>
          <w:rFonts w:ascii="Garamond" w:hAnsi="Garamond"/>
          <w:lang w:val="en-GB"/>
        </w:rPr>
        <w:t>aid</w:t>
      </w:r>
      <w:r w:rsidR="008A76A6">
        <w:rPr>
          <w:rFonts w:ascii="Garamond" w:hAnsi="Garamond"/>
          <w:lang w:val="en-GB"/>
        </w:rPr>
        <w:t xml:space="preserve"> quitting</w:t>
      </w:r>
      <w:r w:rsidR="008A76A6">
        <w:rPr>
          <w:rStyle w:val="Rimandonotaapidipagina"/>
          <w:rFonts w:ascii="Garamond" w:hAnsi="Garamond"/>
          <w:lang w:val="en-GB"/>
        </w:rPr>
        <w:footnoteReference w:id="3"/>
      </w:r>
      <w:r w:rsidR="008A76A6">
        <w:rPr>
          <w:rFonts w:ascii="Garamond" w:hAnsi="Garamond"/>
          <w:lang w:val="en-GB"/>
        </w:rPr>
        <w:t>, e-cigs are generally evaluated as</w:t>
      </w:r>
      <w:r w:rsidR="007D2A6F">
        <w:rPr>
          <w:rFonts w:ascii="Garamond" w:hAnsi="Garamond"/>
          <w:lang w:val="en-GB"/>
        </w:rPr>
        <w:t xml:space="preserve"> much safer than smoking</w:t>
      </w:r>
      <w:r w:rsidR="008A76A6">
        <w:rPr>
          <w:rFonts w:ascii="Garamond" w:hAnsi="Garamond"/>
          <w:lang w:val="en-GB"/>
        </w:rPr>
        <w:t xml:space="preserve"> and a valid aid for quitting</w:t>
      </w:r>
      <w:r w:rsidR="00A4785F">
        <w:rPr>
          <w:rFonts w:ascii="Garamond" w:hAnsi="Garamond"/>
          <w:lang w:val="en-GB"/>
        </w:rPr>
        <w:t xml:space="preserve"> </w:t>
      </w:r>
      <w:r w:rsidR="008A76A6">
        <w:rPr>
          <w:rFonts w:ascii="Garamond" w:hAnsi="Garamond"/>
          <w:lang w:val="en-GB"/>
        </w:rPr>
        <w:t xml:space="preserve">(Public Health England, 2015). As a consequence, </w:t>
      </w:r>
      <w:r w:rsidR="00C63E4F">
        <w:rPr>
          <w:rFonts w:ascii="Garamond" w:hAnsi="Garamond"/>
          <w:lang w:val="en-GB"/>
        </w:rPr>
        <w:t xml:space="preserve">in 2015, </w:t>
      </w:r>
      <w:r w:rsidR="00E93DD6">
        <w:rPr>
          <w:rFonts w:ascii="Garamond" w:hAnsi="Garamond"/>
          <w:lang w:val="en-GB"/>
        </w:rPr>
        <w:t>t</w:t>
      </w:r>
      <w:r w:rsidR="008A76A6" w:rsidRPr="008A76A6">
        <w:rPr>
          <w:rFonts w:ascii="Garamond" w:hAnsi="Garamond"/>
          <w:lang w:val="en-GB"/>
        </w:rPr>
        <w:t>he UK's Royal College of Physicians</w:t>
      </w:r>
      <w:r w:rsidR="008A76A6">
        <w:rPr>
          <w:rFonts w:ascii="Garamond" w:hAnsi="Garamond"/>
          <w:lang w:val="en-GB"/>
        </w:rPr>
        <w:t xml:space="preserve"> recommend</w:t>
      </w:r>
      <w:r w:rsidR="006450EE">
        <w:rPr>
          <w:rFonts w:ascii="Garamond" w:hAnsi="Garamond"/>
          <w:lang w:val="en-GB"/>
        </w:rPr>
        <w:t>ed</w:t>
      </w:r>
      <w:r w:rsidR="008A76A6">
        <w:rPr>
          <w:rFonts w:ascii="Garamond" w:hAnsi="Garamond"/>
          <w:lang w:val="en-GB"/>
        </w:rPr>
        <w:t xml:space="preserve"> t</w:t>
      </w:r>
      <w:r w:rsidR="006450EE">
        <w:rPr>
          <w:rFonts w:ascii="Garamond" w:hAnsi="Garamond"/>
          <w:lang w:val="en-GB"/>
        </w:rPr>
        <w:t>hat</w:t>
      </w:r>
      <w:r w:rsidR="008A76A6">
        <w:rPr>
          <w:rFonts w:ascii="Garamond" w:hAnsi="Garamond"/>
          <w:lang w:val="en-GB"/>
        </w:rPr>
        <w:t xml:space="preserve"> e-cigs </w:t>
      </w:r>
      <w:r w:rsidR="006450EE">
        <w:rPr>
          <w:rFonts w:ascii="Garamond" w:hAnsi="Garamond"/>
          <w:lang w:val="en-GB"/>
        </w:rPr>
        <w:t xml:space="preserve">should be offered </w:t>
      </w:r>
      <w:r w:rsidR="008A76A6">
        <w:rPr>
          <w:rFonts w:ascii="Garamond" w:hAnsi="Garamond"/>
          <w:lang w:val="en-GB"/>
        </w:rPr>
        <w:t>to smokers and that “w</w:t>
      </w:r>
      <w:r w:rsidR="008A76A6" w:rsidRPr="008A76A6">
        <w:rPr>
          <w:rFonts w:ascii="Garamond" w:hAnsi="Garamond"/>
          <w:lang w:val="en-GB"/>
        </w:rPr>
        <w:t>ith the right checks and measures, vaping could improve the lives of millions of people</w:t>
      </w:r>
      <w:r w:rsidR="008A76A6">
        <w:rPr>
          <w:rFonts w:ascii="Garamond" w:hAnsi="Garamond"/>
          <w:lang w:val="en-GB"/>
        </w:rPr>
        <w:t>” (Public Health England, 2015).</w:t>
      </w:r>
    </w:p>
    <w:p w14:paraId="6388E0F4" w14:textId="674B2852" w:rsidR="00794ED8" w:rsidRDefault="00C17377" w:rsidP="007D2A6F">
      <w:pPr>
        <w:jc w:val="both"/>
        <w:rPr>
          <w:rFonts w:ascii="Garamond" w:hAnsi="Garamond"/>
          <w:lang w:val="en-GB"/>
        </w:rPr>
      </w:pPr>
      <w:r>
        <w:rPr>
          <w:rFonts w:ascii="Garamond" w:hAnsi="Garamond"/>
          <w:lang w:val="en-GB"/>
        </w:rPr>
        <w:t>T</w:t>
      </w:r>
      <w:r w:rsidR="007C121C">
        <w:rPr>
          <w:rFonts w:ascii="Garamond" w:hAnsi="Garamond"/>
          <w:lang w:val="en-GB"/>
        </w:rPr>
        <w:t xml:space="preserve">he distributional consequences of </w:t>
      </w:r>
      <w:r w:rsidR="00E32A84">
        <w:rPr>
          <w:rFonts w:ascii="Garamond" w:hAnsi="Garamond"/>
          <w:lang w:val="en-GB"/>
        </w:rPr>
        <w:t>the</w:t>
      </w:r>
      <w:r w:rsidR="00EC0018">
        <w:rPr>
          <w:rFonts w:ascii="Garamond" w:hAnsi="Garamond"/>
          <w:lang w:val="en-GB"/>
        </w:rPr>
        <w:t xml:space="preserve">se </w:t>
      </w:r>
      <w:r w:rsidR="00EA4EB9">
        <w:rPr>
          <w:rFonts w:ascii="Garamond" w:hAnsi="Garamond"/>
          <w:lang w:val="en-GB"/>
        </w:rPr>
        <w:t>new smokeless products</w:t>
      </w:r>
      <w:r w:rsidR="00425D9A">
        <w:rPr>
          <w:rFonts w:ascii="Garamond" w:hAnsi="Garamond"/>
          <w:lang w:val="en-GB"/>
        </w:rPr>
        <w:t xml:space="preserve">, and, </w:t>
      </w:r>
      <w:r w:rsidR="00E93DD6">
        <w:rPr>
          <w:rFonts w:ascii="Garamond" w:hAnsi="Garamond"/>
          <w:lang w:val="en-GB"/>
        </w:rPr>
        <w:t xml:space="preserve">in particular, </w:t>
      </w:r>
      <w:r w:rsidR="00794ED8">
        <w:rPr>
          <w:rFonts w:ascii="Garamond" w:hAnsi="Garamond"/>
          <w:lang w:val="en-GB"/>
        </w:rPr>
        <w:t xml:space="preserve">whether </w:t>
      </w:r>
      <w:r w:rsidR="00EC0018">
        <w:rPr>
          <w:rFonts w:ascii="Garamond" w:hAnsi="Garamond"/>
          <w:lang w:val="en-GB"/>
        </w:rPr>
        <w:t>their</w:t>
      </w:r>
      <w:r w:rsidR="00794ED8">
        <w:rPr>
          <w:rFonts w:ascii="Garamond" w:hAnsi="Garamond"/>
          <w:lang w:val="en-GB"/>
        </w:rPr>
        <w:t xml:space="preserve"> </w:t>
      </w:r>
      <w:r w:rsidR="00870081">
        <w:rPr>
          <w:rFonts w:ascii="Garamond" w:hAnsi="Garamond"/>
          <w:lang w:val="en-GB"/>
        </w:rPr>
        <w:t>take-up</w:t>
      </w:r>
      <w:r w:rsidR="00794ED8">
        <w:rPr>
          <w:rFonts w:ascii="Garamond" w:hAnsi="Garamond"/>
          <w:lang w:val="en-GB"/>
        </w:rPr>
        <w:t xml:space="preserve"> </w:t>
      </w:r>
      <w:r w:rsidR="00C00C36">
        <w:rPr>
          <w:rFonts w:ascii="Garamond" w:hAnsi="Garamond"/>
          <w:lang w:val="en-GB"/>
        </w:rPr>
        <w:t xml:space="preserve">varies </w:t>
      </w:r>
      <w:r w:rsidR="00794ED8">
        <w:rPr>
          <w:rFonts w:ascii="Garamond" w:hAnsi="Garamond"/>
          <w:lang w:val="en-GB"/>
        </w:rPr>
        <w:t>systematically across socio-economic groups</w:t>
      </w:r>
      <w:r>
        <w:rPr>
          <w:rFonts w:ascii="Garamond" w:hAnsi="Garamond"/>
          <w:lang w:val="en-GB"/>
        </w:rPr>
        <w:t xml:space="preserve"> remains to be clarified</w:t>
      </w:r>
      <w:r w:rsidR="00794ED8">
        <w:rPr>
          <w:rFonts w:ascii="Garamond" w:hAnsi="Garamond"/>
          <w:lang w:val="en-GB"/>
        </w:rPr>
        <w:t>. This is relevant in order to properly assess the desirability of any health promotion activity (as</w:t>
      </w:r>
      <w:r w:rsidR="008E11E9">
        <w:rPr>
          <w:rFonts w:ascii="Garamond" w:hAnsi="Garamond"/>
          <w:lang w:val="en-GB"/>
        </w:rPr>
        <w:t xml:space="preserve"> e-cigs and</w:t>
      </w:r>
      <w:r w:rsidR="00794ED8">
        <w:rPr>
          <w:rFonts w:ascii="Garamond" w:hAnsi="Garamond"/>
          <w:lang w:val="en-GB"/>
        </w:rPr>
        <w:t xml:space="preserve"> </w:t>
      </w:r>
      <w:r w:rsidR="008C01CF">
        <w:rPr>
          <w:rFonts w:ascii="Garamond" w:hAnsi="Garamond"/>
          <w:lang w:val="en-GB"/>
        </w:rPr>
        <w:t xml:space="preserve">other </w:t>
      </w:r>
      <w:r w:rsidR="00EC0018">
        <w:rPr>
          <w:rFonts w:ascii="Garamond" w:hAnsi="Garamond"/>
          <w:lang w:val="en-GB"/>
        </w:rPr>
        <w:t>ND</w:t>
      </w:r>
      <w:r w:rsidR="008C01CF">
        <w:rPr>
          <w:rFonts w:ascii="Garamond" w:hAnsi="Garamond"/>
          <w:lang w:val="en-GB"/>
        </w:rPr>
        <w:t>S</w:t>
      </w:r>
      <w:r w:rsidR="00794ED8">
        <w:rPr>
          <w:rFonts w:ascii="Garamond" w:hAnsi="Garamond"/>
          <w:lang w:val="en-GB"/>
        </w:rPr>
        <w:t xml:space="preserve"> might be considered) and to identify welfare</w:t>
      </w:r>
      <w:r>
        <w:rPr>
          <w:rFonts w:ascii="Garamond" w:hAnsi="Garamond"/>
          <w:lang w:val="en-GB"/>
        </w:rPr>
        <w:t>-</w:t>
      </w:r>
      <w:r w:rsidR="00794ED8">
        <w:rPr>
          <w:rFonts w:ascii="Garamond" w:hAnsi="Garamond"/>
          <w:lang w:val="en-GB"/>
        </w:rPr>
        <w:t>improving interventions. Importantly, Contoyannis and Forster (1999</w:t>
      </w:r>
      <w:r w:rsidR="00E32A84">
        <w:rPr>
          <w:rFonts w:ascii="Garamond" w:hAnsi="Garamond"/>
          <w:lang w:val="en-GB"/>
        </w:rPr>
        <w:t>a; 1999b</w:t>
      </w:r>
      <w:r w:rsidR="00794ED8">
        <w:rPr>
          <w:rFonts w:ascii="Garamond" w:hAnsi="Garamond"/>
          <w:lang w:val="en-GB"/>
        </w:rPr>
        <w:t>) show that when responsiveness to health promotion polic</w:t>
      </w:r>
      <w:r w:rsidR="00725B34">
        <w:rPr>
          <w:rFonts w:ascii="Garamond" w:hAnsi="Garamond"/>
          <w:lang w:val="en-GB"/>
        </w:rPr>
        <w:t>ie</w:t>
      </w:r>
      <w:r>
        <w:rPr>
          <w:rFonts w:ascii="Garamond" w:hAnsi="Garamond"/>
          <w:lang w:val="en-GB"/>
        </w:rPr>
        <w:t>s</w:t>
      </w:r>
      <w:r w:rsidR="00794ED8">
        <w:rPr>
          <w:rFonts w:ascii="Garamond" w:hAnsi="Garamond"/>
          <w:lang w:val="en-GB"/>
        </w:rPr>
        <w:t xml:space="preserve"> var</w:t>
      </w:r>
      <w:r w:rsidR="008C01CF">
        <w:rPr>
          <w:rFonts w:ascii="Garamond" w:hAnsi="Garamond"/>
          <w:lang w:val="en-GB"/>
        </w:rPr>
        <w:t>ies</w:t>
      </w:r>
      <w:r w:rsidR="00794ED8">
        <w:rPr>
          <w:rFonts w:ascii="Garamond" w:hAnsi="Garamond"/>
          <w:lang w:val="en-GB"/>
        </w:rPr>
        <w:t xml:space="preserve"> across socio-economic groups, i.e. a higher take-up rate among </w:t>
      </w:r>
      <w:r>
        <w:rPr>
          <w:rFonts w:ascii="Garamond" w:hAnsi="Garamond"/>
          <w:lang w:val="en-GB"/>
        </w:rPr>
        <w:t xml:space="preserve">the </w:t>
      </w:r>
      <w:r w:rsidR="00794ED8">
        <w:rPr>
          <w:rFonts w:ascii="Garamond" w:hAnsi="Garamond"/>
          <w:lang w:val="en-GB"/>
        </w:rPr>
        <w:t xml:space="preserve">better off, a striking </w:t>
      </w:r>
      <w:r w:rsidR="00E32A84">
        <w:rPr>
          <w:rFonts w:ascii="Garamond" w:hAnsi="Garamond"/>
          <w:lang w:val="en-GB"/>
        </w:rPr>
        <w:t xml:space="preserve">conflict between efficiency and equity may arise: </w:t>
      </w:r>
      <w:r w:rsidR="00794ED8">
        <w:rPr>
          <w:rFonts w:ascii="Garamond" w:hAnsi="Garamond"/>
          <w:lang w:val="en-GB"/>
        </w:rPr>
        <w:t xml:space="preserve">average population </w:t>
      </w:r>
      <w:r w:rsidR="00E32A84">
        <w:rPr>
          <w:rFonts w:ascii="Garamond" w:hAnsi="Garamond"/>
          <w:lang w:val="en-GB"/>
        </w:rPr>
        <w:t xml:space="preserve">health </w:t>
      </w:r>
      <w:r w:rsidR="00E32A84" w:rsidRPr="00870081">
        <w:rPr>
          <w:rFonts w:ascii="Garamond" w:hAnsi="Garamond"/>
          <w:i/>
          <w:lang w:val="en-GB"/>
        </w:rPr>
        <w:t>and</w:t>
      </w:r>
      <w:r w:rsidR="00E32A84">
        <w:rPr>
          <w:rFonts w:ascii="Garamond" w:hAnsi="Garamond"/>
          <w:lang w:val="en-GB"/>
        </w:rPr>
        <w:t xml:space="preserve"> inequalities in health </w:t>
      </w:r>
      <w:r>
        <w:rPr>
          <w:rFonts w:ascii="Garamond" w:hAnsi="Garamond"/>
          <w:lang w:val="en-GB"/>
        </w:rPr>
        <w:t xml:space="preserve">may both </w:t>
      </w:r>
      <w:r w:rsidR="00E32A84">
        <w:rPr>
          <w:rFonts w:ascii="Garamond" w:hAnsi="Garamond"/>
          <w:lang w:val="en-GB"/>
        </w:rPr>
        <w:t>increase.</w:t>
      </w:r>
    </w:p>
    <w:p w14:paraId="152AE0A9" w14:textId="219FF7E4" w:rsidR="00766CD7" w:rsidRDefault="007D2A6F" w:rsidP="001F1C6B">
      <w:pPr>
        <w:jc w:val="both"/>
        <w:rPr>
          <w:rFonts w:ascii="Garamond" w:hAnsi="Garamond"/>
          <w:lang w:val="en-GB"/>
        </w:rPr>
      </w:pPr>
      <w:r>
        <w:rPr>
          <w:rFonts w:ascii="Garamond" w:hAnsi="Garamond"/>
          <w:lang w:val="en-GB"/>
        </w:rPr>
        <w:t>Thi</w:t>
      </w:r>
      <w:r w:rsidR="00E32A84">
        <w:rPr>
          <w:rFonts w:ascii="Garamond" w:hAnsi="Garamond"/>
          <w:lang w:val="en-GB"/>
        </w:rPr>
        <w:t xml:space="preserve">s paper fills this gap </w:t>
      </w:r>
      <w:r w:rsidR="00D20823">
        <w:rPr>
          <w:rFonts w:ascii="Garamond" w:hAnsi="Garamond"/>
          <w:lang w:val="en-GB"/>
        </w:rPr>
        <w:t xml:space="preserve">using fresh data on e-cig </w:t>
      </w:r>
      <w:r w:rsidR="00EC0018">
        <w:rPr>
          <w:rFonts w:ascii="Garamond" w:hAnsi="Garamond"/>
          <w:lang w:val="en-GB"/>
        </w:rPr>
        <w:t xml:space="preserve">and </w:t>
      </w:r>
      <w:r w:rsidR="008C01CF">
        <w:rPr>
          <w:rFonts w:ascii="Garamond" w:hAnsi="Garamond"/>
          <w:lang w:val="en-GB"/>
        </w:rPr>
        <w:t xml:space="preserve">other </w:t>
      </w:r>
      <w:r w:rsidR="00EC0018">
        <w:rPr>
          <w:rFonts w:ascii="Garamond" w:hAnsi="Garamond"/>
          <w:lang w:val="en-GB"/>
        </w:rPr>
        <w:t>ND</w:t>
      </w:r>
      <w:r w:rsidR="008C01CF">
        <w:rPr>
          <w:rFonts w:ascii="Garamond" w:hAnsi="Garamond"/>
          <w:lang w:val="en-GB"/>
        </w:rPr>
        <w:t>S</w:t>
      </w:r>
      <w:r w:rsidR="00EC0018">
        <w:rPr>
          <w:rFonts w:ascii="Garamond" w:hAnsi="Garamond"/>
          <w:lang w:val="en-GB"/>
        </w:rPr>
        <w:t xml:space="preserve"> consumption</w:t>
      </w:r>
      <w:r w:rsidR="00D20823">
        <w:rPr>
          <w:rFonts w:ascii="Garamond" w:hAnsi="Garamond"/>
          <w:lang w:val="en-GB"/>
        </w:rPr>
        <w:t xml:space="preserve"> from the latest wave of the Health Survey for England (2013). Our analysis follows three steps. </w:t>
      </w:r>
      <w:r w:rsidR="00E32A84">
        <w:rPr>
          <w:rFonts w:ascii="Garamond" w:hAnsi="Garamond"/>
          <w:lang w:val="en-GB"/>
        </w:rPr>
        <w:t>First, we analyse whether e-cig</w:t>
      </w:r>
      <w:r w:rsidR="00EC0018">
        <w:rPr>
          <w:rFonts w:ascii="Garamond" w:hAnsi="Garamond"/>
          <w:lang w:val="en-GB"/>
        </w:rPr>
        <w:t xml:space="preserve"> and </w:t>
      </w:r>
      <w:r w:rsidR="008C01CF">
        <w:rPr>
          <w:rFonts w:ascii="Garamond" w:hAnsi="Garamond"/>
          <w:lang w:val="en-GB"/>
        </w:rPr>
        <w:t xml:space="preserve">other </w:t>
      </w:r>
      <w:r w:rsidR="00EC0018">
        <w:rPr>
          <w:rFonts w:ascii="Garamond" w:hAnsi="Garamond"/>
          <w:lang w:val="en-GB"/>
        </w:rPr>
        <w:t>ND</w:t>
      </w:r>
      <w:r w:rsidR="008C01CF">
        <w:rPr>
          <w:rFonts w:ascii="Garamond" w:hAnsi="Garamond"/>
          <w:lang w:val="en-GB"/>
        </w:rPr>
        <w:t>S</w:t>
      </w:r>
      <w:r w:rsidR="00E32A84">
        <w:rPr>
          <w:rFonts w:ascii="Garamond" w:hAnsi="Garamond"/>
          <w:lang w:val="en-GB"/>
        </w:rPr>
        <w:t xml:space="preserve"> re-shape the income-related inequalities in smoking, comparing the level of inequalities</w:t>
      </w:r>
      <w:r w:rsidR="00D20823">
        <w:rPr>
          <w:rFonts w:ascii="Garamond" w:hAnsi="Garamond"/>
          <w:lang w:val="en-GB"/>
        </w:rPr>
        <w:t xml:space="preserve"> </w:t>
      </w:r>
      <w:r w:rsidR="00E32A84">
        <w:rPr>
          <w:rFonts w:ascii="Garamond" w:hAnsi="Garamond"/>
          <w:lang w:val="en-GB"/>
        </w:rPr>
        <w:t xml:space="preserve">in traditional smoking with the inequalities in </w:t>
      </w:r>
      <w:r w:rsidR="00504CB4">
        <w:rPr>
          <w:rFonts w:ascii="Garamond" w:hAnsi="Garamond"/>
          <w:lang w:val="en-GB"/>
        </w:rPr>
        <w:t xml:space="preserve">smoking </w:t>
      </w:r>
      <w:r w:rsidR="008C01CF">
        <w:rPr>
          <w:rFonts w:ascii="Garamond" w:hAnsi="Garamond"/>
          <w:lang w:val="en-GB"/>
        </w:rPr>
        <w:t>and NDS combined</w:t>
      </w:r>
      <w:r w:rsidR="00E32A84">
        <w:rPr>
          <w:rFonts w:ascii="Garamond" w:hAnsi="Garamond"/>
          <w:lang w:val="en-GB"/>
        </w:rPr>
        <w:t xml:space="preserve">. Secondly, we estimate the level of income-related inequalities in </w:t>
      </w:r>
      <w:r w:rsidR="008C01CF">
        <w:rPr>
          <w:rFonts w:ascii="Garamond" w:hAnsi="Garamond"/>
          <w:lang w:val="en-GB"/>
        </w:rPr>
        <w:t>NDS</w:t>
      </w:r>
      <w:r w:rsidR="00E32A84">
        <w:rPr>
          <w:rFonts w:ascii="Garamond" w:hAnsi="Garamond"/>
          <w:lang w:val="en-GB"/>
        </w:rPr>
        <w:t xml:space="preserve"> take-up. Finally, we investigate the </w:t>
      </w:r>
      <w:r w:rsidR="00870081">
        <w:rPr>
          <w:rFonts w:ascii="Garamond" w:hAnsi="Garamond"/>
          <w:lang w:val="en-GB"/>
        </w:rPr>
        <w:t>sources</w:t>
      </w:r>
      <w:r w:rsidR="00E32A84">
        <w:rPr>
          <w:rFonts w:ascii="Garamond" w:hAnsi="Garamond"/>
          <w:lang w:val="en-GB"/>
        </w:rPr>
        <w:t xml:space="preserve"> of </w:t>
      </w:r>
      <w:r w:rsidR="001F1C6B">
        <w:rPr>
          <w:rFonts w:ascii="Garamond" w:hAnsi="Garamond"/>
          <w:lang w:val="en-GB"/>
        </w:rPr>
        <w:t xml:space="preserve">income-related </w:t>
      </w:r>
      <w:r w:rsidR="00E32A84">
        <w:rPr>
          <w:rFonts w:ascii="Garamond" w:hAnsi="Garamond"/>
          <w:lang w:val="en-GB"/>
        </w:rPr>
        <w:t xml:space="preserve">inequalities in </w:t>
      </w:r>
      <w:r w:rsidR="008C01CF">
        <w:rPr>
          <w:rFonts w:ascii="Garamond" w:hAnsi="Garamond"/>
          <w:lang w:val="en-GB"/>
        </w:rPr>
        <w:t>NDS</w:t>
      </w:r>
      <w:r w:rsidR="00E32A84">
        <w:rPr>
          <w:rFonts w:ascii="Garamond" w:hAnsi="Garamond"/>
          <w:lang w:val="en-GB"/>
        </w:rPr>
        <w:t xml:space="preserve"> take-up rate </w:t>
      </w:r>
      <w:r w:rsidR="00D20823">
        <w:rPr>
          <w:rFonts w:ascii="Garamond" w:hAnsi="Garamond"/>
          <w:lang w:val="en-GB"/>
        </w:rPr>
        <w:t xml:space="preserve">using a </w:t>
      </w:r>
      <w:r w:rsidR="00630212">
        <w:rPr>
          <w:rFonts w:ascii="Garamond" w:hAnsi="Garamond"/>
          <w:lang w:val="en-GB"/>
        </w:rPr>
        <w:t>regression-</w:t>
      </w:r>
      <w:r w:rsidR="00C17377">
        <w:rPr>
          <w:rFonts w:ascii="Garamond" w:hAnsi="Garamond"/>
          <w:lang w:val="en-GB"/>
        </w:rPr>
        <w:t>b</w:t>
      </w:r>
      <w:r w:rsidR="00725B34">
        <w:rPr>
          <w:rFonts w:ascii="Garamond" w:hAnsi="Garamond"/>
          <w:lang w:val="en-GB"/>
        </w:rPr>
        <w:t>a</w:t>
      </w:r>
      <w:r w:rsidR="00C17377">
        <w:rPr>
          <w:rFonts w:ascii="Garamond" w:hAnsi="Garamond"/>
          <w:lang w:val="en-GB"/>
        </w:rPr>
        <w:t xml:space="preserve">sed </w:t>
      </w:r>
      <w:r w:rsidR="00D20823">
        <w:rPr>
          <w:rFonts w:ascii="Garamond" w:hAnsi="Garamond"/>
          <w:lang w:val="en-GB"/>
        </w:rPr>
        <w:t>decomposition method for rank-dependent inequality measures</w:t>
      </w:r>
      <w:r w:rsidR="001F1C6B">
        <w:rPr>
          <w:rFonts w:ascii="Garamond" w:hAnsi="Garamond"/>
          <w:lang w:val="en-GB"/>
        </w:rPr>
        <w:t>, and assessing the contribution of income, education and demographics to inequality</w:t>
      </w:r>
      <w:r w:rsidR="00D20823">
        <w:rPr>
          <w:rFonts w:ascii="Garamond" w:hAnsi="Garamond"/>
          <w:lang w:val="en-GB"/>
        </w:rPr>
        <w:t>.</w:t>
      </w:r>
    </w:p>
    <w:p w14:paraId="0619C617" w14:textId="07C13292" w:rsidR="007C121C" w:rsidRDefault="00D20823" w:rsidP="007C121C">
      <w:pPr>
        <w:jc w:val="both"/>
        <w:rPr>
          <w:rFonts w:ascii="Garamond" w:hAnsi="Garamond"/>
          <w:lang w:val="en-GB"/>
        </w:rPr>
      </w:pPr>
      <w:r>
        <w:rPr>
          <w:rFonts w:ascii="Garamond" w:hAnsi="Garamond"/>
          <w:lang w:val="en-GB"/>
        </w:rPr>
        <w:t>The paper is organized as follows</w:t>
      </w:r>
      <w:r w:rsidR="00C17377">
        <w:rPr>
          <w:rFonts w:ascii="Garamond" w:hAnsi="Garamond"/>
          <w:lang w:val="en-GB"/>
        </w:rPr>
        <w:t>: the</w:t>
      </w:r>
      <w:r>
        <w:rPr>
          <w:rFonts w:ascii="Garamond" w:hAnsi="Garamond"/>
          <w:lang w:val="en-GB"/>
        </w:rPr>
        <w:t xml:space="preserve"> </w:t>
      </w:r>
      <w:r w:rsidR="00C17377">
        <w:rPr>
          <w:rFonts w:ascii="Garamond" w:hAnsi="Garamond"/>
          <w:lang w:val="en-GB"/>
        </w:rPr>
        <w:t>n</w:t>
      </w:r>
      <w:r>
        <w:rPr>
          <w:rFonts w:ascii="Garamond" w:hAnsi="Garamond"/>
          <w:lang w:val="en-GB"/>
        </w:rPr>
        <w:t xml:space="preserve">ext section presents the data </w:t>
      </w:r>
      <w:r w:rsidR="005E5513">
        <w:rPr>
          <w:rFonts w:ascii="Garamond" w:hAnsi="Garamond"/>
          <w:lang w:val="en-GB"/>
        </w:rPr>
        <w:t xml:space="preserve">and </w:t>
      </w:r>
      <w:r>
        <w:rPr>
          <w:rFonts w:ascii="Garamond" w:hAnsi="Garamond"/>
          <w:lang w:val="en-GB"/>
        </w:rPr>
        <w:t>the methods</w:t>
      </w:r>
      <w:r w:rsidR="00C17377">
        <w:rPr>
          <w:rFonts w:ascii="Garamond" w:hAnsi="Garamond"/>
          <w:lang w:val="en-GB"/>
        </w:rPr>
        <w:t>;</w:t>
      </w:r>
      <w:r w:rsidR="005E5513">
        <w:rPr>
          <w:rFonts w:ascii="Garamond" w:hAnsi="Garamond"/>
          <w:lang w:val="en-GB"/>
        </w:rPr>
        <w:t xml:space="preserve"> Section 3</w:t>
      </w:r>
      <w:r>
        <w:rPr>
          <w:rFonts w:ascii="Garamond" w:hAnsi="Garamond"/>
          <w:lang w:val="en-GB"/>
        </w:rPr>
        <w:t xml:space="preserve"> presents the results</w:t>
      </w:r>
      <w:r w:rsidR="00C17377">
        <w:rPr>
          <w:rFonts w:ascii="Garamond" w:hAnsi="Garamond"/>
          <w:lang w:val="en-GB"/>
        </w:rPr>
        <w:t>; and the final</w:t>
      </w:r>
      <w:r>
        <w:rPr>
          <w:rFonts w:ascii="Garamond" w:hAnsi="Garamond"/>
          <w:lang w:val="en-GB"/>
        </w:rPr>
        <w:t xml:space="preserve"> section discusses the implication of our findings and concludes.</w:t>
      </w:r>
    </w:p>
    <w:p w14:paraId="25D10406" w14:textId="77777777" w:rsidR="00925E79" w:rsidRDefault="00925E79" w:rsidP="00E521B0">
      <w:pPr>
        <w:jc w:val="both"/>
        <w:rPr>
          <w:rFonts w:ascii="Garamond" w:hAnsi="Garamond"/>
          <w:lang w:val="en-GB"/>
        </w:rPr>
      </w:pPr>
    </w:p>
    <w:p w14:paraId="5E941F56" w14:textId="77777777" w:rsidR="00925E79" w:rsidRPr="00870081" w:rsidRDefault="00925E79" w:rsidP="00925E79">
      <w:pPr>
        <w:pStyle w:val="Paragrafoelenco"/>
        <w:numPr>
          <w:ilvl w:val="0"/>
          <w:numId w:val="1"/>
        </w:numPr>
        <w:jc w:val="both"/>
        <w:rPr>
          <w:rFonts w:ascii="Garamond" w:hAnsi="Garamond"/>
          <w:lang w:val="en-GB"/>
        </w:rPr>
      </w:pPr>
      <w:r>
        <w:rPr>
          <w:rFonts w:ascii="Garamond" w:hAnsi="Garamond"/>
          <w:b/>
          <w:lang w:val="en-GB"/>
        </w:rPr>
        <w:lastRenderedPageBreak/>
        <w:t>Data</w:t>
      </w:r>
      <w:r w:rsidR="00DF4A8D">
        <w:rPr>
          <w:rFonts w:ascii="Garamond" w:hAnsi="Garamond"/>
          <w:b/>
          <w:lang w:val="en-GB"/>
        </w:rPr>
        <w:t xml:space="preserve"> and Empirical M</w:t>
      </w:r>
      <w:r w:rsidR="001B000B">
        <w:rPr>
          <w:rFonts w:ascii="Garamond" w:hAnsi="Garamond"/>
          <w:b/>
          <w:lang w:val="en-GB"/>
        </w:rPr>
        <w:t>ethodology</w:t>
      </w:r>
    </w:p>
    <w:p w14:paraId="7383192E" w14:textId="6D09C758" w:rsidR="00AA15A0" w:rsidRDefault="00AA15A0" w:rsidP="00870081">
      <w:pPr>
        <w:jc w:val="both"/>
        <w:rPr>
          <w:rFonts w:ascii="Garamond" w:hAnsi="Garamond"/>
          <w:lang w:val="en-GB"/>
        </w:rPr>
      </w:pPr>
      <w:r>
        <w:rPr>
          <w:rFonts w:ascii="Garamond" w:hAnsi="Garamond"/>
          <w:lang w:val="en-GB"/>
        </w:rPr>
        <w:t xml:space="preserve">We use </w:t>
      </w:r>
      <w:r w:rsidR="00051AED">
        <w:rPr>
          <w:rFonts w:ascii="Garamond" w:hAnsi="Garamond"/>
          <w:lang w:val="en-GB"/>
        </w:rPr>
        <w:t>a sample of 10</w:t>
      </w:r>
      <w:r w:rsidR="00C17377">
        <w:rPr>
          <w:rFonts w:ascii="Garamond" w:hAnsi="Garamond"/>
          <w:lang w:val="en-GB"/>
        </w:rPr>
        <w:t>,</w:t>
      </w:r>
      <w:r w:rsidR="001B000B">
        <w:rPr>
          <w:rFonts w:ascii="Garamond" w:hAnsi="Garamond"/>
          <w:lang w:val="en-GB"/>
        </w:rPr>
        <w:t>980 individuals</w:t>
      </w:r>
      <w:r w:rsidR="00051AED">
        <w:rPr>
          <w:rFonts w:ascii="Garamond" w:hAnsi="Garamond"/>
          <w:lang w:val="en-GB"/>
        </w:rPr>
        <w:t xml:space="preserve"> (</w:t>
      </w:r>
      <w:r w:rsidR="00C17377">
        <w:rPr>
          <w:rFonts w:ascii="Garamond" w:hAnsi="Garamond"/>
          <w:lang w:val="en-GB"/>
        </w:rPr>
        <w:t>including</w:t>
      </w:r>
      <w:r w:rsidR="00051AED">
        <w:rPr>
          <w:rFonts w:ascii="Garamond" w:hAnsi="Garamond"/>
          <w:lang w:val="en-GB"/>
        </w:rPr>
        <w:t xml:space="preserve"> 1</w:t>
      </w:r>
      <w:r w:rsidR="00C17377">
        <w:rPr>
          <w:rFonts w:ascii="Garamond" w:hAnsi="Garamond"/>
          <w:lang w:val="en-GB"/>
        </w:rPr>
        <w:t>,</w:t>
      </w:r>
      <w:r w:rsidR="00BB0F02">
        <w:rPr>
          <w:rFonts w:ascii="Garamond" w:hAnsi="Garamond"/>
          <w:lang w:val="en-GB"/>
        </w:rPr>
        <w:t xml:space="preserve">697 </w:t>
      </w:r>
      <w:r w:rsidR="00C17377">
        <w:rPr>
          <w:rFonts w:ascii="Garamond" w:hAnsi="Garamond"/>
          <w:lang w:val="en-GB"/>
        </w:rPr>
        <w:t xml:space="preserve">current </w:t>
      </w:r>
      <w:r w:rsidR="00BB0F02">
        <w:rPr>
          <w:rFonts w:ascii="Garamond" w:hAnsi="Garamond"/>
          <w:lang w:val="en-GB"/>
        </w:rPr>
        <w:t>smokers)</w:t>
      </w:r>
      <w:r w:rsidR="001B000B">
        <w:rPr>
          <w:rFonts w:ascii="Garamond" w:hAnsi="Garamond"/>
          <w:lang w:val="en-GB"/>
        </w:rPr>
        <w:t xml:space="preserve"> from </w:t>
      </w:r>
      <w:r>
        <w:rPr>
          <w:rFonts w:ascii="Garamond" w:hAnsi="Garamond"/>
          <w:lang w:val="en-GB"/>
        </w:rPr>
        <w:t xml:space="preserve">the latest wave (2013) of </w:t>
      </w:r>
      <w:r w:rsidR="00870081" w:rsidRPr="00905090">
        <w:rPr>
          <w:rFonts w:ascii="Garamond" w:hAnsi="Garamond"/>
          <w:lang w:val="en-GB"/>
        </w:rPr>
        <w:t>the Health Survey for England (HSE)</w:t>
      </w:r>
      <w:r w:rsidR="001B000B">
        <w:rPr>
          <w:rFonts w:ascii="Garamond" w:hAnsi="Garamond"/>
          <w:lang w:val="en-GB"/>
        </w:rPr>
        <w:t>, which contains</w:t>
      </w:r>
      <w:r>
        <w:rPr>
          <w:rFonts w:ascii="Garamond" w:hAnsi="Garamond"/>
          <w:lang w:val="en-GB"/>
        </w:rPr>
        <w:t xml:space="preserve"> information on </w:t>
      </w:r>
      <w:r w:rsidR="00DF4A8D">
        <w:rPr>
          <w:rFonts w:ascii="Garamond" w:hAnsi="Garamond"/>
          <w:lang w:val="en-GB"/>
        </w:rPr>
        <w:t xml:space="preserve">traditional smoking, </w:t>
      </w:r>
      <w:r>
        <w:rPr>
          <w:rFonts w:ascii="Garamond" w:hAnsi="Garamond"/>
          <w:lang w:val="en-GB"/>
        </w:rPr>
        <w:t xml:space="preserve">the use of e-cigs and other nicotine delivery </w:t>
      </w:r>
      <w:r w:rsidR="008C01CF">
        <w:rPr>
          <w:rFonts w:ascii="Garamond" w:hAnsi="Garamond"/>
          <w:lang w:val="en-GB"/>
        </w:rPr>
        <w:t>systems</w:t>
      </w:r>
      <w:r w:rsidR="00875CE0">
        <w:rPr>
          <w:rFonts w:ascii="Garamond" w:hAnsi="Garamond"/>
          <w:lang w:val="en-GB"/>
        </w:rPr>
        <w:t xml:space="preserve"> (ND</w:t>
      </w:r>
      <w:r w:rsidR="008C01CF">
        <w:rPr>
          <w:rFonts w:ascii="Garamond" w:hAnsi="Garamond"/>
          <w:lang w:val="en-GB"/>
        </w:rPr>
        <w:t>S</w:t>
      </w:r>
      <w:r w:rsidR="00875CE0">
        <w:rPr>
          <w:rFonts w:ascii="Garamond" w:hAnsi="Garamond"/>
          <w:lang w:val="en-GB"/>
        </w:rPr>
        <w:t>)</w:t>
      </w:r>
      <w:r>
        <w:rPr>
          <w:rFonts w:ascii="Garamond" w:hAnsi="Garamond"/>
          <w:lang w:val="en-GB"/>
        </w:rPr>
        <w:t xml:space="preserve"> </w:t>
      </w:r>
      <w:r w:rsidR="001B000B">
        <w:rPr>
          <w:rFonts w:ascii="Garamond" w:hAnsi="Garamond"/>
          <w:lang w:val="en-GB"/>
        </w:rPr>
        <w:t>along with information on</w:t>
      </w:r>
      <w:r w:rsidR="001B000B" w:rsidRPr="00905090">
        <w:rPr>
          <w:rFonts w:ascii="Garamond" w:hAnsi="Garamond"/>
          <w:lang w:val="en-GB"/>
        </w:rPr>
        <w:t xml:space="preserve"> demographic</w:t>
      </w:r>
      <w:r w:rsidR="001B000B">
        <w:rPr>
          <w:rFonts w:ascii="Garamond" w:hAnsi="Garamond"/>
          <w:lang w:val="en-GB"/>
        </w:rPr>
        <w:t>s and</w:t>
      </w:r>
      <w:r w:rsidR="001B000B" w:rsidRPr="00905090">
        <w:rPr>
          <w:rFonts w:ascii="Garamond" w:hAnsi="Garamond"/>
          <w:lang w:val="en-GB"/>
        </w:rPr>
        <w:t xml:space="preserve"> </w:t>
      </w:r>
      <w:r w:rsidR="001B000B">
        <w:rPr>
          <w:rFonts w:ascii="Garamond" w:hAnsi="Garamond"/>
          <w:lang w:val="en-GB"/>
        </w:rPr>
        <w:t>socio-economic variables.</w:t>
      </w:r>
      <w:r>
        <w:rPr>
          <w:rFonts w:ascii="Garamond" w:hAnsi="Garamond"/>
          <w:lang w:val="en-GB"/>
        </w:rPr>
        <w:t xml:space="preserve"> </w:t>
      </w:r>
    </w:p>
    <w:p w14:paraId="0769EBFB" w14:textId="5D971430" w:rsidR="00875CE0" w:rsidRDefault="001B000B" w:rsidP="00870081">
      <w:pPr>
        <w:jc w:val="both"/>
        <w:rPr>
          <w:rFonts w:ascii="Garamond" w:hAnsi="Garamond"/>
          <w:lang w:val="en-GB"/>
        </w:rPr>
      </w:pPr>
      <w:r>
        <w:rPr>
          <w:rFonts w:ascii="Garamond" w:hAnsi="Garamond"/>
          <w:lang w:val="en-GB"/>
        </w:rPr>
        <w:t>The main variable</w:t>
      </w:r>
      <w:r w:rsidR="008C01CF">
        <w:rPr>
          <w:rFonts w:ascii="Garamond" w:hAnsi="Garamond"/>
          <w:lang w:val="en-GB"/>
        </w:rPr>
        <w:t>s</w:t>
      </w:r>
      <w:r>
        <w:rPr>
          <w:rFonts w:ascii="Garamond" w:hAnsi="Garamond"/>
          <w:lang w:val="en-GB"/>
        </w:rPr>
        <w:t xml:space="preserve"> we use </w:t>
      </w:r>
      <w:r w:rsidRPr="001B000B">
        <w:rPr>
          <w:rFonts w:ascii="Garamond" w:hAnsi="Garamond"/>
          <w:lang w:val="en-GB"/>
        </w:rPr>
        <w:t xml:space="preserve">ask </w:t>
      </w:r>
      <w:r>
        <w:rPr>
          <w:rFonts w:ascii="Garamond" w:hAnsi="Garamond"/>
          <w:lang w:val="en-GB"/>
        </w:rPr>
        <w:t>individu</w:t>
      </w:r>
      <w:r w:rsidR="00875CE0">
        <w:rPr>
          <w:rFonts w:ascii="Garamond" w:hAnsi="Garamond"/>
          <w:lang w:val="en-GB"/>
        </w:rPr>
        <w:t>als to report whether they current</w:t>
      </w:r>
      <w:r w:rsidR="00EC0018">
        <w:rPr>
          <w:rFonts w:ascii="Garamond" w:hAnsi="Garamond"/>
          <w:lang w:val="en-GB"/>
        </w:rPr>
        <w:t>ly</w:t>
      </w:r>
      <w:r w:rsidR="00875CE0">
        <w:rPr>
          <w:rFonts w:ascii="Garamond" w:hAnsi="Garamond"/>
          <w:lang w:val="en-GB"/>
        </w:rPr>
        <w:t xml:space="preserve"> or ever used e</w:t>
      </w:r>
      <w:r w:rsidR="00AA15A0">
        <w:rPr>
          <w:rFonts w:ascii="Garamond" w:hAnsi="Garamond"/>
          <w:lang w:val="en-GB"/>
        </w:rPr>
        <w:t>-cig</w:t>
      </w:r>
      <w:r w:rsidR="00266C32">
        <w:rPr>
          <w:rFonts w:ascii="Garamond" w:hAnsi="Garamond"/>
          <w:lang w:val="en-GB"/>
        </w:rPr>
        <w:t>s</w:t>
      </w:r>
      <w:r w:rsidR="00AA15A0">
        <w:rPr>
          <w:rFonts w:ascii="Garamond" w:hAnsi="Garamond"/>
          <w:lang w:val="en-GB"/>
        </w:rPr>
        <w:t xml:space="preserve"> </w:t>
      </w:r>
      <w:r w:rsidR="00875CE0">
        <w:rPr>
          <w:rFonts w:ascii="Garamond" w:hAnsi="Garamond"/>
          <w:lang w:val="en-GB"/>
        </w:rPr>
        <w:t>or other ND</w:t>
      </w:r>
      <w:r w:rsidR="008C01CF">
        <w:rPr>
          <w:rFonts w:ascii="Garamond" w:hAnsi="Garamond"/>
          <w:lang w:val="en-GB"/>
        </w:rPr>
        <w:t>S</w:t>
      </w:r>
      <w:r w:rsidR="00875CE0">
        <w:rPr>
          <w:rFonts w:ascii="Garamond" w:hAnsi="Garamond"/>
          <w:lang w:val="en-GB"/>
        </w:rPr>
        <w:t>,</w:t>
      </w:r>
      <w:r w:rsidR="00E2289F">
        <w:rPr>
          <w:rFonts w:ascii="Garamond" w:hAnsi="Garamond"/>
          <w:lang w:val="en-GB"/>
        </w:rPr>
        <w:t xml:space="preserve"> and </w:t>
      </w:r>
      <w:r w:rsidR="008C01CF">
        <w:rPr>
          <w:rFonts w:ascii="Garamond" w:hAnsi="Garamond"/>
          <w:lang w:val="en-GB"/>
        </w:rPr>
        <w:t xml:space="preserve">to report </w:t>
      </w:r>
      <w:r w:rsidR="00E2289F">
        <w:rPr>
          <w:rFonts w:ascii="Garamond" w:hAnsi="Garamond"/>
          <w:lang w:val="en-GB"/>
        </w:rPr>
        <w:t>their</w:t>
      </w:r>
      <w:r w:rsidR="00630212">
        <w:rPr>
          <w:rFonts w:ascii="Garamond" w:hAnsi="Garamond"/>
          <w:lang w:val="en-GB"/>
        </w:rPr>
        <w:t xml:space="preserve"> current</w:t>
      </w:r>
      <w:r w:rsidR="0013355C">
        <w:rPr>
          <w:rFonts w:ascii="Garamond" w:hAnsi="Garamond"/>
          <w:lang w:val="en-GB"/>
        </w:rPr>
        <w:t xml:space="preserve"> smoking status (</w:t>
      </w:r>
      <w:r w:rsidR="00C00C36">
        <w:rPr>
          <w:rFonts w:ascii="Garamond" w:hAnsi="Garamond"/>
          <w:lang w:val="en-GB"/>
        </w:rPr>
        <w:t>n</w:t>
      </w:r>
      <w:r w:rsidR="0013355C">
        <w:rPr>
          <w:rFonts w:ascii="Garamond" w:hAnsi="Garamond"/>
          <w:lang w:val="en-GB"/>
        </w:rPr>
        <w:t>ever/</w:t>
      </w:r>
      <w:r w:rsidR="00C00C36">
        <w:rPr>
          <w:rFonts w:ascii="Garamond" w:hAnsi="Garamond"/>
          <w:lang w:val="en-GB"/>
        </w:rPr>
        <w:t>e</w:t>
      </w:r>
      <w:r w:rsidR="0013355C">
        <w:rPr>
          <w:rFonts w:ascii="Garamond" w:hAnsi="Garamond"/>
          <w:lang w:val="en-GB"/>
        </w:rPr>
        <w:t>x-regular smoker/</w:t>
      </w:r>
      <w:r w:rsidR="00C00C36">
        <w:rPr>
          <w:rFonts w:ascii="Garamond" w:hAnsi="Garamond"/>
          <w:lang w:val="en-GB"/>
        </w:rPr>
        <w:t>e</w:t>
      </w:r>
      <w:r w:rsidR="0013355C">
        <w:rPr>
          <w:rFonts w:ascii="Garamond" w:hAnsi="Garamond"/>
          <w:lang w:val="en-GB"/>
        </w:rPr>
        <w:t>x-occasional smoker/</w:t>
      </w:r>
      <w:r w:rsidR="00C00C36">
        <w:rPr>
          <w:rFonts w:ascii="Garamond" w:hAnsi="Garamond"/>
          <w:lang w:val="en-GB"/>
        </w:rPr>
        <w:t>c</w:t>
      </w:r>
      <w:r w:rsidR="0013355C">
        <w:rPr>
          <w:rFonts w:ascii="Garamond" w:hAnsi="Garamond"/>
          <w:lang w:val="en-GB"/>
        </w:rPr>
        <w:t>urrent smoker).</w:t>
      </w:r>
      <w:r w:rsidR="008E1EEC">
        <w:rPr>
          <w:rFonts w:ascii="Garamond" w:hAnsi="Garamond"/>
          <w:lang w:val="en-GB"/>
        </w:rPr>
        <w:t xml:space="preserve"> </w:t>
      </w:r>
      <w:r w:rsidR="008C01CF">
        <w:rPr>
          <w:rFonts w:ascii="Garamond" w:hAnsi="Garamond"/>
          <w:lang w:val="en-GB"/>
        </w:rPr>
        <w:t>From these w</w:t>
      </w:r>
      <w:r w:rsidR="00824483">
        <w:rPr>
          <w:rFonts w:ascii="Garamond" w:hAnsi="Garamond"/>
          <w:lang w:val="en-GB"/>
        </w:rPr>
        <w:t>e define two</w:t>
      </w:r>
      <w:r w:rsidR="00875CE0">
        <w:rPr>
          <w:rFonts w:ascii="Garamond" w:hAnsi="Garamond"/>
          <w:lang w:val="en-GB"/>
        </w:rPr>
        <w:t xml:space="preserve"> dummy variable</w:t>
      </w:r>
      <w:r w:rsidR="00C17377">
        <w:rPr>
          <w:rFonts w:ascii="Garamond" w:hAnsi="Garamond"/>
          <w:lang w:val="en-GB"/>
        </w:rPr>
        <w:t>s:</w:t>
      </w:r>
      <w:r w:rsidR="00875CE0">
        <w:rPr>
          <w:rFonts w:ascii="Garamond" w:hAnsi="Garamond"/>
          <w:lang w:val="en-GB"/>
        </w:rPr>
        <w:t xml:space="preserve"> </w:t>
      </w:r>
      <w:r w:rsidR="008C01CF">
        <w:rPr>
          <w:rFonts w:ascii="Garamond" w:hAnsi="Garamond"/>
          <w:lang w:val="en-GB"/>
        </w:rPr>
        <w:t>the first to indicate current smokers the second to indicate current smokers combined with users of NDS</w:t>
      </w:r>
      <w:r w:rsidR="00875CE0">
        <w:rPr>
          <w:rFonts w:ascii="Garamond" w:hAnsi="Garamond"/>
          <w:lang w:val="en-GB"/>
        </w:rPr>
        <w:t xml:space="preserve">. </w:t>
      </w:r>
    </w:p>
    <w:p w14:paraId="058EAFD0" w14:textId="3881C3A1" w:rsidR="00824483" w:rsidRDefault="00675910" w:rsidP="008C4ADB">
      <w:pPr>
        <w:jc w:val="both"/>
        <w:rPr>
          <w:rFonts w:ascii="Garamond" w:hAnsi="Garamond"/>
          <w:lang w:val="en-GB"/>
        </w:rPr>
      </w:pPr>
      <w:r>
        <w:rPr>
          <w:rFonts w:ascii="Garamond" w:hAnsi="Garamond"/>
          <w:lang w:val="en-GB"/>
        </w:rPr>
        <w:t xml:space="preserve">With the aim of </w:t>
      </w:r>
      <w:r w:rsidR="002B3797">
        <w:rPr>
          <w:rFonts w:ascii="Garamond" w:hAnsi="Garamond"/>
          <w:lang w:val="en-GB"/>
        </w:rPr>
        <w:t>estimating</w:t>
      </w:r>
      <w:r>
        <w:rPr>
          <w:rFonts w:ascii="Garamond" w:hAnsi="Garamond"/>
          <w:lang w:val="en-GB"/>
        </w:rPr>
        <w:t xml:space="preserve"> </w:t>
      </w:r>
      <w:r w:rsidR="008C4ADB">
        <w:rPr>
          <w:rFonts w:ascii="Garamond" w:hAnsi="Garamond"/>
          <w:lang w:val="en-GB"/>
        </w:rPr>
        <w:t>and comparing</w:t>
      </w:r>
      <w:r w:rsidR="002B3797">
        <w:rPr>
          <w:rFonts w:ascii="Garamond" w:hAnsi="Garamond"/>
          <w:lang w:val="en-GB"/>
        </w:rPr>
        <w:t xml:space="preserve"> </w:t>
      </w:r>
      <w:r w:rsidR="008B3016">
        <w:rPr>
          <w:rFonts w:ascii="Garamond" w:hAnsi="Garamond"/>
          <w:lang w:val="en-GB"/>
        </w:rPr>
        <w:t xml:space="preserve">income-related </w:t>
      </w:r>
      <w:r>
        <w:rPr>
          <w:rFonts w:ascii="Garamond" w:hAnsi="Garamond"/>
          <w:lang w:val="en-GB"/>
        </w:rPr>
        <w:t xml:space="preserve">inequalities </w:t>
      </w:r>
      <w:r w:rsidR="008C4ADB">
        <w:rPr>
          <w:rFonts w:ascii="Garamond" w:hAnsi="Garamond"/>
          <w:lang w:val="en-GB"/>
        </w:rPr>
        <w:t>in</w:t>
      </w:r>
      <w:r>
        <w:rPr>
          <w:rFonts w:ascii="Garamond" w:hAnsi="Garamond"/>
          <w:lang w:val="en-GB"/>
        </w:rPr>
        <w:t xml:space="preserve"> traditional smoking </w:t>
      </w:r>
      <w:r w:rsidR="008C4ADB" w:rsidRPr="008C4ADB">
        <w:rPr>
          <w:rFonts w:ascii="Garamond" w:hAnsi="Garamond"/>
          <w:i/>
          <w:iCs/>
          <w:lang w:val="en-GB"/>
        </w:rPr>
        <w:t>vs</w:t>
      </w:r>
      <w:r w:rsidR="00504CB4">
        <w:rPr>
          <w:rFonts w:ascii="Garamond" w:hAnsi="Garamond"/>
          <w:lang w:val="en-GB"/>
        </w:rPr>
        <w:t xml:space="preserve"> both traditional </w:t>
      </w:r>
      <w:r w:rsidR="008C01CF">
        <w:rPr>
          <w:rFonts w:ascii="Garamond" w:hAnsi="Garamond"/>
          <w:lang w:val="en-GB"/>
        </w:rPr>
        <w:t xml:space="preserve">smoking </w:t>
      </w:r>
      <w:r w:rsidR="00504CB4">
        <w:rPr>
          <w:rFonts w:ascii="Garamond" w:hAnsi="Garamond"/>
          <w:lang w:val="en-GB"/>
        </w:rPr>
        <w:t xml:space="preserve">and </w:t>
      </w:r>
      <w:r w:rsidR="008C01CF">
        <w:rPr>
          <w:rFonts w:ascii="Garamond" w:hAnsi="Garamond"/>
          <w:lang w:val="en-GB"/>
        </w:rPr>
        <w:t>use of the new smokeless products</w:t>
      </w:r>
      <w:r>
        <w:rPr>
          <w:rFonts w:ascii="Garamond" w:hAnsi="Garamond"/>
          <w:lang w:val="en-GB"/>
        </w:rPr>
        <w:t xml:space="preserve">, we </w:t>
      </w:r>
      <w:r w:rsidR="00C00C36">
        <w:rPr>
          <w:rFonts w:ascii="Garamond" w:hAnsi="Garamond"/>
          <w:lang w:val="en-GB"/>
        </w:rPr>
        <w:t>use the</w:t>
      </w:r>
      <w:r w:rsidR="00824483">
        <w:rPr>
          <w:rFonts w:ascii="Garamond" w:hAnsi="Garamond"/>
          <w:lang w:val="en-GB"/>
        </w:rPr>
        <w:t xml:space="preserve"> Erreygers (2009) index</w:t>
      </w:r>
      <w:r>
        <w:rPr>
          <w:rFonts w:ascii="Garamond" w:hAnsi="Garamond"/>
          <w:lang w:val="en-GB"/>
        </w:rPr>
        <w:t xml:space="preserve"> for both outcomes.</w:t>
      </w:r>
      <w:r w:rsidR="00824483">
        <w:rPr>
          <w:rFonts w:ascii="Garamond" w:hAnsi="Garamond"/>
          <w:lang w:val="en-GB"/>
        </w:rPr>
        <w:t xml:space="preserve"> </w:t>
      </w:r>
      <w:r w:rsidR="00C17377">
        <w:rPr>
          <w:rFonts w:ascii="Garamond" w:hAnsi="Garamond"/>
          <w:lang w:val="en-GB"/>
        </w:rPr>
        <w:t xml:space="preserve">The </w:t>
      </w:r>
      <w:r w:rsidR="00824483">
        <w:rPr>
          <w:rFonts w:ascii="Garamond" w:hAnsi="Garamond"/>
          <w:lang w:val="en-GB"/>
        </w:rPr>
        <w:t>Erreyger</w:t>
      </w:r>
      <w:r w:rsidR="00C00C36">
        <w:rPr>
          <w:rFonts w:ascii="Garamond" w:hAnsi="Garamond"/>
          <w:lang w:val="en-GB"/>
        </w:rPr>
        <w:t>s</w:t>
      </w:r>
      <w:r>
        <w:rPr>
          <w:rFonts w:ascii="Garamond" w:hAnsi="Garamond"/>
          <w:lang w:val="en-GB"/>
        </w:rPr>
        <w:t xml:space="preserve"> index</w:t>
      </w:r>
      <w:r w:rsidR="00824483">
        <w:rPr>
          <w:rFonts w:ascii="Garamond" w:hAnsi="Garamond"/>
          <w:lang w:val="en-GB"/>
        </w:rPr>
        <w:t xml:space="preserve"> is a rank-dependent inequality measure for bounded dependent variables </w:t>
      </w:r>
      <w:r w:rsidR="00B10BB8">
        <w:rPr>
          <w:rFonts w:ascii="Garamond" w:hAnsi="Garamond"/>
          <w:lang w:val="en-GB"/>
        </w:rPr>
        <w:t xml:space="preserve">that can be conveniently </w:t>
      </w:r>
      <w:r w:rsidR="00824483">
        <w:rPr>
          <w:rFonts w:ascii="Garamond" w:hAnsi="Garamond"/>
          <w:lang w:val="en-GB"/>
        </w:rPr>
        <w:t>calculated as follows</w:t>
      </w:r>
      <w:r>
        <w:rPr>
          <w:rStyle w:val="Rimandonotaapidipagina"/>
          <w:rFonts w:ascii="Garamond" w:hAnsi="Garamond"/>
          <w:lang w:val="en-GB"/>
        </w:rPr>
        <w:footnoteReference w:id="4"/>
      </w:r>
      <w:r w:rsidR="00824483">
        <w:rPr>
          <w:rFonts w:ascii="Garamond" w:hAnsi="Garamond"/>
          <w:lang w:val="en-GB"/>
        </w:rPr>
        <w:t>:</w:t>
      </w:r>
    </w:p>
    <w:p w14:paraId="4DFB77CF" w14:textId="77777777" w:rsidR="00824483" w:rsidRDefault="00824483" w:rsidP="00725B34">
      <w:pPr>
        <w:jc w:val="right"/>
        <w:rPr>
          <w:rFonts w:ascii="Garamond" w:hAnsi="Garamond"/>
          <w:lang w:val="en-GB"/>
        </w:rPr>
      </w:pPr>
      <m:oMath>
        <m:r>
          <w:rPr>
            <w:rFonts w:ascii="Cambria Math" w:hAnsi="Cambria Math"/>
          </w:rPr>
          <m:t>EI</m:t>
        </m:r>
        <m:d>
          <m:dPr>
            <m:ctrlPr>
              <w:rPr>
                <w:rFonts w:ascii="Cambria Math" w:hAnsi="Cambria Math" w:cs="Times New Roman"/>
                <w:i/>
                <w:sz w:val="24"/>
                <w:szCs w:val="24"/>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rPr>
          <m:t>=</m:t>
        </m:r>
        <m:f>
          <m:fPr>
            <m:ctrlPr>
              <w:rPr>
                <w:rFonts w:ascii="Cambria Math" w:hAnsi="Cambria Math" w:cs="Times New Roman"/>
                <w:i/>
                <w:sz w:val="24"/>
                <w:szCs w:val="24"/>
              </w:rPr>
            </m:ctrlPr>
          </m:fPr>
          <m:num>
            <m:r>
              <w:rPr>
                <w:rFonts w:ascii="Cambria Math" w:hAnsi="Cambria Math"/>
              </w:rPr>
              <m:t>8</m:t>
            </m:r>
          </m:num>
          <m:den>
            <m:r>
              <w:rPr>
                <w:rFonts w:ascii="Cambria Math" w:hAnsi="Cambria Math"/>
              </w:rPr>
              <m:t>b-a</m:t>
            </m:r>
          </m:den>
        </m:f>
        <m:r>
          <w:rPr>
            <w:rFonts w:ascii="Cambria Math" w:hAnsi="Cambria Math"/>
          </w:rPr>
          <m:t>cov</m:t>
        </m:r>
        <m:d>
          <m:dPr>
            <m:ctrlPr>
              <w:rPr>
                <w:rFonts w:ascii="Cambria Math" w:hAnsi="Cambria Math" w:cs="Times New Roman"/>
                <w:i/>
                <w:sz w:val="24"/>
                <w:szCs w:val="24"/>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d>
      </m:oMath>
      <w:r>
        <w:rPr>
          <w:rFonts w:ascii="Garamond" w:hAnsi="Garamond"/>
          <w:sz w:val="24"/>
          <w:szCs w:val="24"/>
        </w:rPr>
        <w:t xml:space="preserve"> </w:t>
      </w:r>
      <w:r w:rsidR="00C17377">
        <w:rPr>
          <w:rFonts w:ascii="Garamond" w:hAnsi="Garamond"/>
          <w:sz w:val="24"/>
          <w:szCs w:val="24"/>
        </w:rPr>
        <w:t xml:space="preserve">                                                          </w:t>
      </w:r>
      <w:r>
        <w:rPr>
          <w:rFonts w:ascii="Garamond" w:hAnsi="Garamond"/>
          <w:sz w:val="24"/>
          <w:szCs w:val="24"/>
        </w:rPr>
        <w:t>(1)</w:t>
      </w:r>
    </w:p>
    <w:p w14:paraId="43301159" w14:textId="050FB5F4" w:rsidR="00875CE0" w:rsidRDefault="00824483" w:rsidP="002B3797">
      <w:pPr>
        <w:jc w:val="both"/>
        <w:rPr>
          <w:rFonts w:ascii="Garamond" w:hAnsi="Garamond"/>
          <w:lang w:val="en-GB"/>
        </w:rPr>
      </w:pPr>
      <w:r>
        <w:rPr>
          <w:rFonts w:ascii="Garamond" w:hAnsi="Garamond"/>
          <w:lang w:val="en-GB"/>
        </w:rPr>
        <w:t xml:space="preserve">Where </w:t>
      </w:r>
      <m:oMath>
        <m:r>
          <w:rPr>
            <w:rFonts w:ascii="Cambria Math" w:hAnsi="Cambria Math"/>
          </w:rPr>
          <m:t xml:space="preserve">b </m:t>
        </m:r>
      </m:oMath>
      <w:r w:rsidR="00B10BB8">
        <w:rPr>
          <w:rFonts w:ascii="Garamond" w:hAnsi="Garamond"/>
        </w:rPr>
        <w:t xml:space="preserve">and </w:t>
      </w:r>
      <m:oMath>
        <m:r>
          <w:rPr>
            <w:rFonts w:ascii="Cambria Math" w:hAnsi="Cambria Math"/>
          </w:rPr>
          <m:t>a</m:t>
        </m:r>
      </m:oMath>
      <w:r w:rsidR="00B10BB8">
        <w:rPr>
          <w:rFonts w:ascii="Garamond" w:hAnsi="Garamond"/>
        </w:rPr>
        <w:t xml:space="preserve"> are </w:t>
      </w:r>
      <w:r w:rsidR="00C17377">
        <w:rPr>
          <w:rFonts w:ascii="Garamond" w:hAnsi="Garamond"/>
        </w:rPr>
        <w:t xml:space="preserve">the </w:t>
      </w:r>
      <w:r w:rsidR="00B10BB8">
        <w:rPr>
          <w:rFonts w:ascii="Garamond" w:hAnsi="Garamond"/>
        </w:rPr>
        <w:t xml:space="preserve">upper and lower bounds of the </w:t>
      </w:r>
      <w:r w:rsidR="009353B3">
        <w:rPr>
          <w:rFonts w:ascii="Garamond" w:hAnsi="Garamond"/>
        </w:rPr>
        <w:t>dependent</w:t>
      </w:r>
      <w:r w:rsidR="00B10BB8">
        <w:rPr>
          <w:rFonts w:ascii="Garamond" w:hAnsi="Garamond"/>
        </w:rPr>
        <w:t xml:space="preserve"> variable (1 and 0 in our case),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B10BB8">
        <w:rPr>
          <w:rFonts w:ascii="Garamond" w:hAnsi="Garamond"/>
        </w:rPr>
        <w:t xml:space="preserve"> </w:t>
      </w:r>
      <w:r w:rsidR="00B10BB8" w:rsidRPr="00675910">
        <w:rPr>
          <w:rFonts w:ascii="Garamond" w:hAnsi="Garamond"/>
          <w:lang w:val="en-GB"/>
        </w:rPr>
        <w:t xml:space="preserve">indicates the individual take-up of </w:t>
      </w:r>
      <w:r w:rsidR="007A62C2">
        <w:rPr>
          <w:rFonts w:ascii="Garamond" w:hAnsi="Garamond"/>
          <w:lang w:val="en-GB"/>
        </w:rPr>
        <w:t>nicotine products</w:t>
      </w:r>
      <w:r w:rsidR="00266C32">
        <w:rPr>
          <w:rFonts w:ascii="Garamond" w:hAnsi="Garamond"/>
          <w:lang w:val="en-GB"/>
        </w:rPr>
        <w:t xml:space="preserve"> (</w:t>
      </w:r>
      <w:r w:rsidR="00B10BB8" w:rsidRPr="00675910">
        <w:rPr>
          <w:rFonts w:ascii="Garamond" w:hAnsi="Garamond"/>
          <w:lang w:val="en-GB"/>
        </w:rPr>
        <w:t xml:space="preserve">traditional </w:t>
      </w:r>
      <w:r w:rsidR="00266C32">
        <w:rPr>
          <w:rFonts w:ascii="Garamond" w:hAnsi="Garamond"/>
          <w:lang w:val="en-GB"/>
        </w:rPr>
        <w:t xml:space="preserve">smoking </w:t>
      </w:r>
      <w:r w:rsidR="00B10BB8" w:rsidRPr="00675910">
        <w:rPr>
          <w:rFonts w:ascii="Garamond" w:hAnsi="Garamond"/>
          <w:lang w:val="en-GB"/>
        </w:rPr>
        <w:t xml:space="preserve">or </w:t>
      </w:r>
      <w:r w:rsidR="00266C32">
        <w:rPr>
          <w:rFonts w:ascii="Garamond" w:hAnsi="Garamond"/>
          <w:lang w:val="en-GB"/>
        </w:rPr>
        <w:t xml:space="preserve">both traditional smoking and </w:t>
      </w:r>
      <w:r w:rsidR="007A62C2">
        <w:rPr>
          <w:rFonts w:ascii="Garamond" w:hAnsi="Garamond"/>
          <w:lang w:val="en-GB"/>
        </w:rPr>
        <w:t>NDS</w:t>
      </w:r>
      <w:r w:rsidR="00266C32">
        <w:rPr>
          <w:rFonts w:ascii="Garamond" w:hAnsi="Garamond"/>
          <w:lang w:val="en-GB"/>
        </w:rPr>
        <w:t>)</w:t>
      </w:r>
      <w:r w:rsidR="00675910">
        <w:rPr>
          <w:rFonts w:ascii="Garamond" w:hAnsi="Garamond"/>
          <w:lang w:val="en-GB"/>
        </w:rPr>
        <w:t xml:space="preserve"> while </w:t>
      </w:r>
      <m:oMath>
        <m:sSub>
          <m:sSubPr>
            <m:ctrlPr>
              <w:rPr>
                <w:rFonts w:ascii="Cambria Math" w:hAnsi="Cambria Math"/>
                <w:lang w:val="en-GB"/>
              </w:rPr>
            </m:ctrlPr>
          </m:sSubPr>
          <m:e>
            <m:r>
              <m:rPr>
                <m:sty m:val="p"/>
              </m:rPr>
              <w:rPr>
                <w:rFonts w:ascii="Cambria Math" w:hAnsi="Cambria Math"/>
                <w:lang w:val="en-GB"/>
              </w:rPr>
              <m:t>R</m:t>
            </m:r>
          </m:e>
          <m:sub>
            <m:r>
              <m:rPr>
                <m:sty m:val="p"/>
              </m:rPr>
              <w:rPr>
                <w:rFonts w:ascii="Cambria Math" w:hAnsi="Cambria Math"/>
                <w:lang w:val="en-GB"/>
              </w:rPr>
              <m:t>i</m:t>
            </m:r>
          </m:sub>
        </m:sSub>
        <m:r>
          <m:rPr>
            <m:sty m:val="p"/>
          </m:rPr>
          <w:rPr>
            <w:rFonts w:ascii="Cambria Math" w:hAnsi="Cambria Math"/>
            <w:lang w:val="en-GB"/>
          </w:rPr>
          <m:t xml:space="preserve"> </m:t>
        </m:r>
      </m:oMath>
      <w:r w:rsidR="007A62C2">
        <w:rPr>
          <w:rFonts w:ascii="Garamond" w:hAnsi="Garamond"/>
          <w:lang w:val="en-GB"/>
        </w:rPr>
        <w:t xml:space="preserve">is a monotonically increasing function of income measuring the </w:t>
      </w:r>
      <w:r w:rsidR="00B10BB8" w:rsidRPr="00675910">
        <w:rPr>
          <w:rFonts w:ascii="Garamond" w:hAnsi="Garamond"/>
          <w:lang w:val="en-GB"/>
        </w:rPr>
        <w:t>individual’</w:t>
      </w:r>
      <w:r w:rsidR="007A62C2">
        <w:rPr>
          <w:rFonts w:ascii="Garamond" w:hAnsi="Garamond"/>
          <w:lang w:val="en-GB"/>
        </w:rPr>
        <w:t>s</w:t>
      </w:r>
      <w:r w:rsidR="00B10BB8" w:rsidRPr="00675910">
        <w:rPr>
          <w:rFonts w:ascii="Garamond" w:hAnsi="Garamond"/>
          <w:lang w:val="en-GB"/>
        </w:rPr>
        <w:t xml:space="preserve"> </w:t>
      </w:r>
      <w:r w:rsidR="00C17377">
        <w:rPr>
          <w:rFonts w:ascii="Garamond" w:hAnsi="Garamond"/>
          <w:lang w:val="en-GB"/>
        </w:rPr>
        <w:t xml:space="preserve">relative </w:t>
      </w:r>
      <w:r w:rsidR="007A62C2">
        <w:rPr>
          <w:rFonts w:ascii="Garamond" w:hAnsi="Garamond"/>
          <w:lang w:val="en-GB"/>
        </w:rPr>
        <w:t>position</w:t>
      </w:r>
      <w:r w:rsidR="00B10BB8" w:rsidRPr="00675910">
        <w:rPr>
          <w:rFonts w:ascii="Garamond" w:hAnsi="Garamond"/>
          <w:lang w:val="en-GB"/>
        </w:rPr>
        <w:t xml:space="preserve"> in</w:t>
      </w:r>
      <w:r w:rsidR="00675910" w:rsidRPr="00675910">
        <w:rPr>
          <w:rFonts w:ascii="Garamond" w:hAnsi="Garamond"/>
          <w:lang w:val="en-GB"/>
        </w:rPr>
        <w:t xml:space="preserve"> </w:t>
      </w:r>
      <w:r w:rsidR="00B10BB8" w:rsidRPr="00675910">
        <w:rPr>
          <w:rFonts w:ascii="Garamond" w:hAnsi="Garamond"/>
          <w:lang w:val="en-GB"/>
        </w:rPr>
        <w:t>the income distribution</w:t>
      </w:r>
      <w:r w:rsidR="007A62C2">
        <w:rPr>
          <w:rFonts w:ascii="Garamond" w:hAnsi="Garamond"/>
          <w:lang w:val="en-GB"/>
        </w:rPr>
        <w:t>, bounded between 0 (poorest) and 1 (richest)</w:t>
      </w:r>
      <w:r w:rsidR="00B10BB8" w:rsidRPr="00675910">
        <w:rPr>
          <w:rFonts w:ascii="Garamond" w:hAnsi="Garamond"/>
          <w:lang w:val="en-GB"/>
        </w:rPr>
        <w:t>.</w:t>
      </w:r>
      <w:r w:rsidR="003655B6">
        <w:rPr>
          <w:rFonts w:ascii="Garamond" w:hAnsi="Garamond"/>
          <w:lang w:val="en-GB"/>
        </w:rPr>
        <w:t xml:space="preserve"> </w:t>
      </w:r>
      <w:r w:rsidR="00C17377">
        <w:rPr>
          <w:rFonts w:ascii="Garamond" w:hAnsi="Garamond"/>
          <w:lang w:val="en-GB"/>
        </w:rPr>
        <w:t xml:space="preserve">The </w:t>
      </w:r>
      <w:proofErr w:type="spellStart"/>
      <w:r w:rsidR="009B237F">
        <w:rPr>
          <w:rFonts w:ascii="Garamond" w:hAnsi="Garamond"/>
          <w:lang w:val="en-GB"/>
        </w:rPr>
        <w:t>Erreygers</w:t>
      </w:r>
      <w:proofErr w:type="spellEnd"/>
      <w:r w:rsidR="009B237F">
        <w:rPr>
          <w:rFonts w:ascii="Garamond" w:hAnsi="Garamond"/>
          <w:lang w:val="en-GB"/>
        </w:rPr>
        <w:t xml:space="preserve"> index varies from µ-1 to 1+µ, where µ is the mean of variable whose inequality is being investigated. Positive (negative) values of the index indicate </w:t>
      </w:r>
      <w:r w:rsidR="007A62C2">
        <w:rPr>
          <w:rFonts w:ascii="Garamond" w:hAnsi="Garamond"/>
          <w:lang w:val="en-GB"/>
        </w:rPr>
        <w:t xml:space="preserve">that levels of </w:t>
      </w:r>
      <m:oMath>
        <m:r>
          <w:rPr>
            <w:rFonts w:ascii="Cambria Math" w:hAnsi="Cambria Math"/>
          </w:rPr>
          <m:t>S</m:t>
        </m:r>
      </m:oMath>
      <w:r w:rsidR="007A62C2">
        <w:rPr>
          <w:rFonts w:ascii="Garamond" w:hAnsi="Garamond"/>
          <w:lang w:val="en-GB"/>
        </w:rPr>
        <w:t xml:space="preserve"> are more concentrated among those with higher (lower) rank in the income distribution. This is generally termed </w:t>
      </w:r>
      <w:r w:rsidR="009B237F">
        <w:rPr>
          <w:rFonts w:ascii="Garamond" w:hAnsi="Garamond"/>
          <w:lang w:val="en-GB"/>
        </w:rPr>
        <w:t>pro-rich (pro-poor) inequalit</w:t>
      </w:r>
      <w:r w:rsidR="007A62C2">
        <w:rPr>
          <w:rFonts w:ascii="Garamond" w:hAnsi="Garamond"/>
          <w:lang w:val="en-GB"/>
        </w:rPr>
        <w:t>y</w:t>
      </w:r>
      <w:r w:rsidR="009B237F">
        <w:rPr>
          <w:rFonts w:ascii="Garamond" w:hAnsi="Garamond"/>
          <w:lang w:val="en-GB"/>
        </w:rPr>
        <w:t xml:space="preserve">. </w:t>
      </w:r>
      <w:r w:rsidR="002B3797">
        <w:rPr>
          <w:rFonts w:ascii="Garamond" w:hAnsi="Garamond"/>
          <w:lang w:val="en-GB"/>
        </w:rPr>
        <w:t>As a</w:t>
      </w:r>
      <w:r w:rsidR="00675910">
        <w:rPr>
          <w:rFonts w:ascii="Garamond" w:hAnsi="Garamond"/>
          <w:lang w:val="en-GB"/>
        </w:rPr>
        <w:t xml:space="preserve"> measure income, we use </w:t>
      </w:r>
      <w:proofErr w:type="spellStart"/>
      <w:r w:rsidR="00675910">
        <w:rPr>
          <w:rFonts w:ascii="Garamond" w:hAnsi="Garamond"/>
          <w:lang w:val="en-GB"/>
        </w:rPr>
        <w:t>e</w:t>
      </w:r>
      <w:r w:rsidR="00875CE0" w:rsidRPr="00905090">
        <w:rPr>
          <w:rFonts w:ascii="Garamond" w:hAnsi="Garamond"/>
          <w:lang w:val="en-GB"/>
        </w:rPr>
        <w:t>quivalised</w:t>
      </w:r>
      <w:proofErr w:type="spellEnd"/>
      <w:r w:rsidR="00875CE0" w:rsidRPr="00905090">
        <w:rPr>
          <w:rFonts w:ascii="Garamond" w:hAnsi="Garamond"/>
          <w:lang w:val="en-GB"/>
        </w:rPr>
        <w:t xml:space="preserve"> </w:t>
      </w:r>
      <w:r w:rsidR="00875CE0">
        <w:rPr>
          <w:rFonts w:ascii="Garamond" w:hAnsi="Garamond"/>
          <w:lang w:val="en-GB"/>
        </w:rPr>
        <w:t xml:space="preserve">household </w:t>
      </w:r>
      <w:r w:rsidR="00875CE0" w:rsidRPr="00905090">
        <w:rPr>
          <w:rFonts w:ascii="Garamond" w:hAnsi="Garamond"/>
          <w:lang w:val="en-GB"/>
        </w:rPr>
        <w:t>income</w:t>
      </w:r>
      <w:r w:rsidR="00875CE0">
        <w:rPr>
          <w:rFonts w:ascii="Garamond" w:hAnsi="Garamond"/>
          <w:lang w:val="en-GB"/>
        </w:rPr>
        <w:t xml:space="preserve"> </w:t>
      </w:r>
      <w:r w:rsidR="00675910">
        <w:rPr>
          <w:rFonts w:ascii="Garamond" w:hAnsi="Garamond"/>
          <w:lang w:val="en-GB"/>
        </w:rPr>
        <w:t xml:space="preserve">including </w:t>
      </w:r>
      <w:r w:rsidR="00875CE0" w:rsidRPr="00905090">
        <w:rPr>
          <w:rFonts w:ascii="Garamond" w:hAnsi="Garamond"/>
          <w:lang w:val="en-GB"/>
        </w:rPr>
        <w:t xml:space="preserve">total income of a household from all sources, after tax and other deductions, divided by the number of household members converted into </w:t>
      </w:r>
      <w:proofErr w:type="spellStart"/>
      <w:r w:rsidR="00875CE0" w:rsidRPr="00905090">
        <w:rPr>
          <w:rFonts w:ascii="Garamond" w:hAnsi="Garamond"/>
          <w:lang w:val="en-GB"/>
        </w:rPr>
        <w:t>equivalised</w:t>
      </w:r>
      <w:proofErr w:type="spellEnd"/>
      <w:r w:rsidR="00875CE0" w:rsidRPr="00905090">
        <w:rPr>
          <w:rFonts w:ascii="Garamond" w:hAnsi="Garamond"/>
          <w:lang w:val="en-GB"/>
        </w:rPr>
        <w:t xml:space="preserve"> adults.</w:t>
      </w:r>
      <w:r w:rsidR="00875CE0">
        <w:rPr>
          <w:rFonts w:ascii="Garamond" w:hAnsi="Garamond"/>
          <w:lang w:val="en-GB"/>
        </w:rPr>
        <w:t xml:space="preserve"> </w:t>
      </w:r>
    </w:p>
    <w:p w14:paraId="2616524F" w14:textId="242D8683" w:rsidR="00E175E0" w:rsidRPr="008B3016" w:rsidRDefault="008F00CE" w:rsidP="008B3016">
      <w:pPr>
        <w:jc w:val="both"/>
        <w:rPr>
          <w:rFonts w:ascii="Garamond" w:hAnsi="Garamond"/>
          <w:lang w:val="en-GB"/>
        </w:rPr>
      </w:pPr>
      <w:r>
        <w:rPr>
          <w:rFonts w:ascii="Garamond" w:hAnsi="Garamond"/>
          <w:lang w:val="en-GB"/>
        </w:rPr>
        <w:t>To measure income-related inequalities</w:t>
      </w:r>
      <w:r w:rsidR="005C7A3D">
        <w:rPr>
          <w:rFonts w:ascii="Garamond" w:hAnsi="Garamond"/>
          <w:lang w:val="en-GB"/>
        </w:rPr>
        <w:t xml:space="preserve"> in </w:t>
      </w:r>
      <w:r w:rsidR="00D94F83">
        <w:rPr>
          <w:rFonts w:ascii="Garamond" w:hAnsi="Garamond"/>
          <w:lang w:val="en-GB"/>
        </w:rPr>
        <w:t>the use of new smokeless products</w:t>
      </w:r>
      <w:r w:rsidR="00AC0CA0">
        <w:rPr>
          <w:rFonts w:ascii="Garamond" w:hAnsi="Garamond"/>
          <w:lang w:val="en-GB"/>
        </w:rPr>
        <w:t xml:space="preserve">, we calculate the EI defined </w:t>
      </w:r>
      <w:r w:rsidR="00EC0018">
        <w:rPr>
          <w:rFonts w:ascii="Garamond" w:hAnsi="Garamond"/>
          <w:lang w:val="en-GB"/>
        </w:rPr>
        <w:t>in (1)</w:t>
      </w:r>
      <w:r w:rsidR="005C7A3D">
        <w:rPr>
          <w:rFonts w:ascii="Garamond" w:hAnsi="Garamond"/>
          <w:lang w:val="en-GB"/>
        </w:rPr>
        <w:t xml:space="preserve"> using e-cig and </w:t>
      </w:r>
      <w:r w:rsidR="00D94F83">
        <w:rPr>
          <w:rFonts w:ascii="Garamond" w:hAnsi="Garamond"/>
          <w:lang w:val="en-GB"/>
        </w:rPr>
        <w:t xml:space="preserve">other </w:t>
      </w:r>
      <w:r w:rsidR="005C7A3D">
        <w:rPr>
          <w:rFonts w:ascii="Garamond" w:hAnsi="Garamond"/>
          <w:lang w:val="en-GB"/>
        </w:rPr>
        <w:t>ND</w:t>
      </w:r>
      <w:r w:rsidR="00D94F83">
        <w:rPr>
          <w:rFonts w:ascii="Garamond" w:hAnsi="Garamond"/>
          <w:lang w:val="en-GB"/>
        </w:rPr>
        <w:t>S</w:t>
      </w:r>
      <w:r w:rsidR="005C7A3D">
        <w:rPr>
          <w:rFonts w:ascii="Garamond" w:hAnsi="Garamond"/>
          <w:lang w:val="en-GB"/>
        </w:rPr>
        <w:t xml:space="preserve"> take-up as dependent variable. </w:t>
      </w:r>
      <w:r w:rsidR="009353B3">
        <w:rPr>
          <w:rFonts w:ascii="Garamond" w:hAnsi="Garamond"/>
          <w:lang w:val="en-GB"/>
        </w:rPr>
        <w:t>As</w:t>
      </w:r>
      <w:r w:rsidR="00630212">
        <w:rPr>
          <w:rFonts w:ascii="Garamond" w:hAnsi="Garamond"/>
          <w:lang w:val="en-GB"/>
        </w:rPr>
        <w:t xml:space="preserve"> e-cig</w:t>
      </w:r>
      <w:r w:rsidR="009353B3">
        <w:rPr>
          <w:rFonts w:ascii="Garamond" w:hAnsi="Garamond"/>
          <w:lang w:val="en-GB"/>
        </w:rPr>
        <w:t>s</w:t>
      </w:r>
      <w:r w:rsidR="00630212">
        <w:rPr>
          <w:rFonts w:ascii="Garamond" w:hAnsi="Garamond"/>
          <w:lang w:val="en-GB"/>
        </w:rPr>
        <w:t xml:space="preserve"> and </w:t>
      </w:r>
      <w:r w:rsidR="00D94F83">
        <w:rPr>
          <w:rFonts w:ascii="Garamond" w:hAnsi="Garamond"/>
          <w:lang w:val="en-GB"/>
        </w:rPr>
        <w:t xml:space="preserve">other </w:t>
      </w:r>
      <w:r w:rsidR="00630212">
        <w:rPr>
          <w:rFonts w:ascii="Garamond" w:hAnsi="Garamond"/>
          <w:lang w:val="en-GB"/>
        </w:rPr>
        <w:t>ND</w:t>
      </w:r>
      <w:r w:rsidR="00D94F83">
        <w:rPr>
          <w:rFonts w:ascii="Garamond" w:hAnsi="Garamond"/>
          <w:lang w:val="en-GB"/>
        </w:rPr>
        <w:t>S</w:t>
      </w:r>
      <w:r w:rsidR="009353B3">
        <w:rPr>
          <w:rFonts w:ascii="Garamond" w:hAnsi="Garamond"/>
          <w:lang w:val="en-GB"/>
        </w:rPr>
        <w:t xml:space="preserve"> are</w:t>
      </w:r>
      <w:r w:rsidR="00630212">
        <w:rPr>
          <w:rFonts w:ascii="Garamond" w:hAnsi="Garamond"/>
          <w:lang w:val="en-GB"/>
        </w:rPr>
        <w:t xml:space="preserve"> used as smok</w:t>
      </w:r>
      <w:r w:rsidR="00266C32">
        <w:rPr>
          <w:rFonts w:ascii="Garamond" w:hAnsi="Garamond"/>
          <w:lang w:val="en-GB"/>
        </w:rPr>
        <w:t>ing</w:t>
      </w:r>
      <w:r w:rsidR="00630212">
        <w:rPr>
          <w:rFonts w:ascii="Garamond" w:hAnsi="Garamond"/>
          <w:lang w:val="en-GB"/>
        </w:rPr>
        <w:t xml:space="preserve"> cessation method</w:t>
      </w:r>
      <w:r w:rsidR="00E2289F">
        <w:rPr>
          <w:rFonts w:ascii="Garamond" w:hAnsi="Garamond"/>
          <w:lang w:val="en-GB"/>
        </w:rPr>
        <w:t>s,</w:t>
      </w:r>
      <w:r w:rsidR="00630212">
        <w:rPr>
          <w:rFonts w:ascii="Garamond" w:hAnsi="Garamond"/>
          <w:lang w:val="en-GB"/>
        </w:rPr>
        <w:t xml:space="preserve"> we restrict the attentio</w:t>
      </w:r>
      <w:r w:rsidR="009353B3">
        <w:rPr>
          <w:rFonts w:ascii="Garamond" w:hAnsi="Garamond"/>
          <w:lang w:val="en-GB"/>
        </w:rPr>
        <w:t>n to</w:t>
      </w:r>
      <w:r w:rsidR="00630212">
        <w:rPr>
          <w:rFonts w:ascii="Garamond" w:hAnsi="Garamond"/>
          <w:lang w:val="en-GB"/>
        </w:rPr>
        <w:t xml:space="preserve"> </w:t>
      </w:r>
      <w:r w:rsidR="00EC0018">
        <w:rPr>
          <w:rFonts w:ascii="Garamond" w:hAnsi="Garamond"/>
          <w:lang w:val="en-GB"/>
        </w:rPr>
        <w:t xml:space="preserve">the subsample of </w:t>
      </w:r>
      <w:r w:rsidR="009353B3">
        <w:rPr>
          <w:rFonts w:ascii="Garamond" w:hAnsi="Garamond"/>
          <w:lang w:val="en-GB"/>
        </w:rPr>
        <w:t>current</w:t>
      </w:r>
      <w:r w:rsidR="005C7A3D">
        <w:rPr>
          <w:rFonts w:ascii="Garamond" w:hAnsi="Garamond"/>
          <w:lang w:val="en-GB"/>
        </w:rPr>
        <w:t xml:space="preserve"> </w:t>
      </w:r>
      <w:r w:rsidR="00EC0018">
        <w:rPr>
          <w:rFonts w:ascii="Garamond" w:hAnsi="Garamond"/>
          <w:lang w:val="en-GB"/>
        </w:rPr>
        <w:t>smokers (1,697</w:t>
      </w:r>
      <w:r w:rsidR="005C7A3D">
        <w:rPr>
          <w:rFonts w:ascii="Garamond" w:hAnsi="Garamond"/>
          <w:lang w:val="en-GB"/>
        </w:rPr>
        <w:t xml:space="preserve"> observations</w:t>
      </w:r>
      <w:r w:rsidR="00EC0018">
        <w:rPr>
          <w:rFonts w:ascii="Garamond" w:hAnsi="Garamond"/>
          <w:lang w:val="en-GB"/>
        </w:rPr>
        <w:t>)</w:t>
      </w:r>
      <w:r w:rsidR="00E175E0">
        <w:rPr>
          <w:rFonts w:ascii="Garamond" w:hAnsi="Garamond"/>
          <w:lang w:val="en-GB"/>
        </w:rPr>
        <w:t xml:space="preserve">. </w:t>
      </w:r>
      <w:r w:rsidR="00E2289F">
        <w:rPr>
          <w:rFonts w:ascii="Garamond" w:hAnsi="Garamond"/>
          <w:lang w:val="en-GB"/>
        </w:rPr>
        <w:t xml:space="preserve">We consider </w:t>
      </w:r>
      <w:r w:rsidR="009353B3">
        <w:rPr>
          <w:rFonts w:ascii="Garamond" w:hAnsi="Garamond"/>
          <w:lang w:val="en-GB"/>
        </w:rPr>
        <w:t>current</w:t>
      </w:r>
      <w:r w:rsidR="00E2289F">
        <w:rPr>
          <w:rFonts w:ascii="Garamond" w:hAnsi="Garamond"/>
          <w:lang w:val="en-GB"/>
        </w:rPr>
        <w:t xml:space="preserve"> (instead of ex</w:t>
      </w:r>
      <w:r w:rsidR="009353B3">
        <w:rPr>
          <w:rFonts w:ascii="Garamond" w:hAnsi="Garamond"/>
          <w:lang w:val="en-GB"/>
        </w:rPr>
        <w:t>-</w:t>
      </w:r>
      <w:r w:rsidR="00E2289F">
        <w:rPr>
          <w:rFonts w:ascii="Garamond" w:hAnsi="Garamond"/>
          <w:lang w:val="en-GB"/>
        </w:rPr>
        <w:t xml:space="preserve">) smokers, in order to evaluate potential consequences of these methods on the expected long-run smoking (and health) gradient across income. </w:t>
      </w:r>
      <w:r w:rsidR="002B3797">
        <w:rPr>
          <w:rFonts w:ascii="Garamond" w:hAnsi="Garamond"/>
          <w:lang w:val="en-GB"/>
        </w:rPr>
        <w:t>Lastly, f</w:t>
      </w:r>
      <w:r w:rsidR="008B3016" w:rsidRPr="008B3016">
        <w:rPr>
          <w:rFonts w:ascii="Garamond" w:hAnsi="Garamond"/>
          <w:lang w:val="en-GB"/>
        </w:rPr>
        <w:t xml:space="preserve">or the purpose of </w:t>
      </w:r>
      <w:r w:rsidR="00F23A32">
        <w:rPr>
          <w:rFonts w:ascii="Garamond" w:hAnsi="Garamond"/>
          <w:lang w:val="en-GB"/>
        </w:rPr>
        <w:t>investigating the main sources of inequality in the new smok</w:t>
      </w:r>
      <w:r w:rsidR="00A36912">
        <w:rPr>
          <w:rFonts w:ascii="Garamond" w:hAnsi="Garamond"/>
          <w:lang w:val="en-GB"/>
        </w:rPr>
        <w:t>eless products</w:t>
      </w:r>
      <w:r w:rsidR="00F23A32">
        <w:rPr>
          <w:rFonts w:ascii="Garamond" w:hAnsi="Garamond"/>
          <w:lang w:val="en-GB"/>
        </w:rPr>
        <w:t xml:space="preserve">, take-up of e-cig and </w:t>
      </w:r>
      <w:r w:rsidR="00D94F83">
        <w:rPr>
          <w:rFonts w:ascii="Garamond" w:hAnsi="Garamond"/>
          <w:lang w:val="en-GB"/>
        </w:rPr>
        <w:t xml:space="preserve">other </w:t>
      </w:r>
      <w:r w:rsidR="00F23A32">
        <w:rPr>
          <w:rFonts w:ascii="Garamond" w:hAnsi="Garamond"/>
          <w:lang w:val="en-GB"/>
        </w:rPr>
        <w:t>ND</w:t>
      </w:r>
      <w:r w:rsidR="00D94F83">
        <w:rPr>
          <w:rFonts w:ascii="Garamond" w:hAnsi="Garamond"/>
          <w:lang w:val="en-GB"/>
        </w:rPr>
        <w:t>S</w:t>
      </w:r>
      <w:r w:rsidR="00F23A32">
        <w:rPr>
          <w:rFonts w:ascii="Garamond" w:hAnsi="Garamond"/>
          <w:lang w:val="en-GB"/>
        </w:rPr>
        <w:t xml:space="preserve"> (</w:t>
      </w:r>
      <m:oMath>
        <m:sSub>
          <m:sSubPr>
            <m:ctrlPr>
              <w:rPr>
                <w:rFonts w:ascii="Cambria Math" w:hAnsi="Cambria Math"/>
                <w:i/>
              </w:rPr>
            </m:ctrlPr>
          </m:sSubPr>
          <m:e>
            <m:r>
              <w:rPr>
                <w:rFonts w:ascii="Cambria Math" w:hAnsi="Cambria Math"/>
              </w:rPr>
              <m:t>NDS</m:t>
            </m:r>
          </m:e>
          <m:sub>
            <m:r>
              <w:rPr>
                <w:rFonts w:ascii="Cambria Math" w:hAnsi="Cambria Math"/>
              </w:rPr>
              <m:t>i</m:t>
            </m:r>
          </m:sub>
        </m:sSub>
      </m:oMath>
      <w:r w:rsidR="00840A4C">
        <w:rPr>
          <w:rFonts w:ascii="Garamond" w:hAnsi="Garamond"/>
          <w:lang w:val="en-GB"/>
        </w:rPr>
        <w:t>) is</w:t>
      </w:r>
      <w:r w:rsidR="00F23A32" w:rsidRPr="008B3016">
        <w:rPr>
          <w:rFonts w:ascii="Garamond" w:hAnsi="Garamond"/>
          <w:lang w:val="en-GB"/>
        </w:rPr>
        <w:t xml:space="preserve"> modelled as follows</w:t>
      </w:r>
      <w:r w:rsidR="008B3016" w:rsidRPr="008B3016">
        <w:rPr>
          <w:rFonts w:ascii="Garamond" w:hAnsi="Garamond"/>
          <w:lang w:val="en-GB"/>
        </w:rPr>
        <w:t xml:space="preserve">: </w:t>
      </w:r>
      <w:r w:rsidR="008B3016" w:rsidRPr="008B3016">
        <w:rPr>
          <w:rFonts w:ascii="Garamond" w:hAnsi="Garamond"/>
          <w:lang w:val="en-GB"/>
        </w:rPr>
        <w:tab/>
      </w:r>
    </w:p>
    <w:p w14:paraId="2A1F3647" w14:textId="018E1547" w:rsidR="009353B3" w:rsidRPr="00236EF2" w:rsidRDefault="004F1E22" w:rsidP="00236EF2">
      <w:pPr>
        <w:jc w:val="right"/>
        <w:rPr>
          <w:rFonts w:ascii="Garamond" w:hAnsi="Garamond"/>
          <w:i/>
          <w:sz w:val="24"/>
          <w:szCs w:val="24"/>
        </w:rPr>
      </w:pPr>
      <m:oMath>
        <m:sSub>
          <m:sSubPr>
            <m:ctrlPr>
              <w:rPr>
                <w:rFonts w:ascii="Cambria Math" w:hAnsi="Cambria Math"/>
                <w:i/>
                <w:sz w:val="24"/>
                <w:szCs w:val="24"/>
              </w:rPr>
            </m:ctrlPr>
          </m:sSubPr>
          <m:e>
            <m:r>
              <w:rPr>
                <w:rFonts w:ascii="Cambria Math" w:hAnsi="Cambria Math"/>
                <w:sz w:val="24"/>
                <w:szCs w:val="24"/>
              </w:rPr>
              <m:t>NDS</m:t>
            </m:r>
          </m:e>
          <m:sub>
            <m:r>
              <w:rPr>
                <w:rFonts w:ascii="Cambria Math" w:hAnsi="Cambria Math"/>
                <w:sz w:val="24"/>
                <w:szCs w:val="24"/>
              </w:rPr>
              <m:t>i</m:t>
            </m:r>
          </m:sub>
        </m:sSub>
        <m:r>
          <w:rPr>
            <w:rFonts w:ascii="Cambria Math" w:hAnsi="Cambria Math"/>
            <w:sz w:val="24"/>
            <w:szCs w:val="24"/>
          </w:rPr>
          <m:t>=α+</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inc</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inc</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edu</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edu</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dem</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m:t>
            </m:r>
          </m:sub>
          <m:sup>
            <m:r>
              <w:rPr>
                <w:rFonts w:ascii="Cambria Math" w:hAnsi="Cambria Math"/>
                <w:sz w:val="24"/>
                <w:szCs w:val="24"/>
              </w:rPr>
              <m:t>dem</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r>
          <w:rPr>
            <w:rFonts w:ascii="Cambria Math" w:hAnsi="Cambria Math"/>
            <w:sz w:val="24"/>
            <w:szCs w:val="24"/>
          </w:rPr>
          <m:t xml:space="preserve">                                                   </m:t>
        </m:r>
      </m:oMath>
      <w:r w:rsidR="00236EF2" w:rsidRPr="00236EF2">
        <w:rPr>
          <w:rFonts w:ascii="Garamond" w:hAnsi="Garamond"/>
          <w:sz w:val="24"/>
          <w:szCs w:val="24"/>
        </w:rPr>
        <w:t>(2)</w:t>
      </w:r>
    </w:p>
    <w:p w14:paraId="0A720010" w14:textId="4D0550C3" w:rsidR="00E175E0" w:rsidRDefault="00E175E0" w:rsidP="00E175E0">
      <w:pPr>
        <w:jc w:val="both"/>
        <w:rPr>
          <w:rFonts w:ascii="Garamond" w:hAnsi="Garamond"/>
        </w:rPr>
      </w:pPr>
      <w:r w:rsidRPr="00E175E0">
        <w:rPr>
          <w:rFonts w:ascii="Garamond" w:hAnsi="Garamond"/>
          <w:lang w:val="en-GB"/>
        </w:rPr>
        <w:t>Where</w:t>
      </w:r>
      <w:r w:rsidR="00F23A32">
        <w:rPr>
          <w:rFonts w:ascii="Garamond" w:hAnsi="Garamond"/>
          <w:lang w:val="en-GB"/>
        </w:rPr>
        <w:t xml:space="preserve"> </w:t>
      </w:r>
      <m:oMath>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inc</m:t>
            </m:r>
          </m:sup>
        </m:sSup>
      </m:oMath>
      <w:r w:rsidR="00F23A32" w:rsidRPr="008B3016">
        <w:rPr>
          <w:rFonts w:ascii="Garamond" w:hAnsi="Garamond"/>
          <w:lang w:val="en-GB"/>
        </w:rPr>
        <w:t xml:space="preserve">, </w:t>
      </w:r>
      <m:oMath>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edu</m:t>
            </m:r>
          </m:sup>
        </m:sSup>
      </m:oMath>
      <w:r w:rsidR="00F23A32">
        <w:rPr>
          <w:rFonts w:ascii="Garamond" w:hAnsi="Garamond"/>
          <w:lang w:val="en-GB"/>
        </w:rPr>
        <w:t xml:space="preserve">, </w:t>
      </w:r>
      <m:oMath>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dem</m:t>
            </m:r>
          </m:sup>
        </m:sSup>
      </m:oMath>
      <w:r w:rsidRPr="00E175E0">
        <w:rPr>
          <w:rFonts w:ascii="Garamond" w:hAnsi="Garamond"/>
          <w:lang w:val="en-GB"/>
        </w:rPr>
        <w:t xml:space="preserve"> </w:t>
      </w:r>
      <w:r w:rsidR="00F23A32">
        <w:rPr>
          <w:rFonts w:ascii="Garamond" w:hAnsi="Garamond"/>
          <w:lang w:val="en-GB"/>
        </w:rPr>
        <w:t>represent</w:t>
      </w:r>
      <w:r w:rsidR="00840A4C">
        <w:rPr>
          <w:rFonts w:ascii="Garamond" w:hAnsi="Garamond"/>
          <w:lang w:val="en-GB"/>
        </w:rPr>
        <w:t xml:space="preserve"> income and </w:t>
      </w:r>
      <w:r w:rsidR="00F23A32">
        <w:rPr>
          <w:rFonts w:ascii="Garamond" w:hAnsi="Garamond"/>
          <w:lang w:val="en-GB"/>
        </w:rPr>
        <w:t xml:space="preserve">the set of </w:t>
      </w:r>
      <w:r w:rsidR="00840A4C">
        <w:rPr>
          <w:rFonts w:ascii="Garamond" w:hAnsi="Garamond"/>
          <w:lang w:val="en-GB"/>
        </w:rPr>
        <w:t>education and demographic variables, while</w:t>
      </w:r>
      <w:r w:rsidR="00F23A32">
        <w:rPr>
          <w:rFonts w:ascii="Garamond" w:hAnsi="Garamond"/>
          <w:lang w:val="en-GB"/>
        </w:rPr>
        <w:t xml:space="preserve"> </w:t>
      </w:r>
      <w:r>
        <w:rPr>
          <w:rFonts w:ascii="Garamond" w:hAnsi="Garamond"/>
          <w:lang w:val="en-GB"/>
        </w:rPr>
        <w:t xml:space="preserve"> </w:t>
      </w:r>
      <m:oMath>
        <m:sSub>
          <m:sSubPr>
            <m:ctrlPr>
              <w:rPr>
                <w:rFonts w:ascii="Cambria Math" w:hAnsi="Cambria Math"/>
                <w:i/>
              </w:rPr>
            </m:ctrlPr>
          </m:sSubPr>
          <m:e>
            <m:r>
              <w:rPr>
                <w:rFonts w:ascii="Cambria Math" w:hAnsi="Cambria Math"/>
              </w:rPr>
              <m:t>β</m:t>
            </m:r>
          </m:e>
          <m:sub>
            <m:r>
              <w:rPr>
                <w:rFonts w:ascii="Cambria Math" w:hAnsi="Cambria Math"/>
              </w:rPr>
              <m:t>inc</m:t>
            </m:r>
          </m:sub>
        </m:sSub>
        <m:r>
          <w:rPr>
            <w:rFonts w:ascii="Cambria Math" w:hAnsi="Cambria Math"/>
            <w:lang w:val="en-GB"/>
          </w:rPr>
          <m:t xml:space="preserve">, </m:t>
        </m:r>
        <m:sSub>
          <m:sSubPr>
            <m:ctrlPr>
              <w:rPr>
                <w:rFonts w:ascii="Cambria Math" w:hAnsi="Cambria Math"/>
                <w:i/>
              </w:rPr>
            </m:ctrlPr>
          </m:sSubPr>
          <m:e>
            <m:r>
              <w:rPr>
                <w:rFonts w:ascii="Cambria Math" w:hAnsi="Cambria Math"/>
              </w:rPr>
              <m:t>β</m:t>
            </m:r>
          </m:e>
          <m:sub>
            <m:r>
              <w:rPr>
                <w:rFonts w:ascii="Cambria Math" w:hAnsi="Cambria Math"/>
              </w:rPr>
              <m:t xml:space="preserve">edu, </m:t>
            </m:r>
          </m:sub>
        </m:sSub>
        <m:sSub>
          <m:sSubPr>
            <m:ctrlPr>
              <w:rPr>
                <w:rFonts w:ascii="Cambria Math" w:hAnsi="Cambria Math"/>
                <w:i/>
              </w:rPr>
            </m:ctrlPr>
          </m:sSubPr>
          <m:e>
            <m:r>
              <w:rPr>
                <w:rFonts w:ascii="Cambria Math" w:hAnsi="Cambria Math"/>
              </w:rPr>
              <m:t>β</m:t>
            </m:r>
          </m:e>
          <m:sub>
            <m:r>
              <w:rPr>
                <w:rFonts w:ascii="Cambria Math" w:hAnsi="Cambria Math"/>
              </w:rPr>
              <m:t>dem</m:t>
            </m:r>
          </m:sub>
        </m:sSub>
      </m:oMath>
      <w:r w:rsidR="00F23A32" w:rsidRPr="00E175E0">
        <w:rPr>
          <w:rFonts w:ascii="Garamond" w:hAnsi="Garamond"/>
          <w:lang w:val="en-GB"/>
        </w:rPr>
        <w:t xml:space="preserve"> </w:t>
      </w:r>
      <w:r w:rsidR="00F23A32">
        <w:rPr>
          <w:rFonts w:ascii="Garamond" w:hAnsi="Garamond"/>
          <w:lang w:val="en-GB"/>
        </w:rPr>
        <w:t>the corresponding coefficients</w:t>
      </w:r>
      <w:r w:rsidR="009353B3">
        <w:rPr>
          <w:rFonts w:ascii="Garamond" w:hAnsi="Garamond"/>
          <w:lang w:val="en-GB"/>
        </w:rPr>
        <w:t>,</w:t>
      </w:r>
      <w:r w:rsidR="00F23A32">
        <w:rPr>
          <w:rFonts w:ascii="Garamond" w:hAnsi="Garamond"/>
          <w:lang w:val="en-GB"/>
        </w:rPr>
        <w:t xml:space="preserve"> </w:t>
      </w:r>
      <w:r w:rsidR="00840A4C">
        <w:rPr>
          <w:rFonts w:ascii="Garamond" w:hAnsi="Garamond"/>
          <w:lang w:val="en-GB"/>
        </w:rPr>
        <w:t>and</w:t>
      </w:r>
      <w:r w:rsidRPr="00E175E0">
        <w:rPr>
          <w:rFonts w:ascii="Garamond" w:hAnsi="Garamond"/>
          <w:lang w:val="en-GB"/>
        </w:rPr>
        <w:t xml:space="preserve"> </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i</m:t>
            </m:r>
          </m:sub>
        </m:sSub>
      </m:oMath>
      <w:r w:rsidRPr="00E175E0">
        <w:rPr>
          <w:rFonts w:ascii="Garamond" w:hAnsi="Garamond"/>
          <w:lang w:val="en-GB"/>
        </w:rPr>
        <w:t xml:space="preserve"> is the error term. The </w:t>
      </w:r>
      <w:r w:rsidR="00840A4C">
        <w:rPr>
          <w:rFonts w:ascii="Garamond" w:hAnsi="Garamond"/>
        </w:rPr>
        <w:t>set of demographic variables</w:t>
      </w:r>
      <w:r>
        <w:rPr>
          <w:rFonts w:ascii="Garamond" w:hAnsi="Garamond"/>
        </w:rPr>
        <w:t xml:space="preserve"> include </w:t>
      </w:r>
      <w:r w:rsidRPr="00F14482">
        <w:rPr>
          <w:rFonts w:ascii="Garamond" w:hAnsi="Garamond"/>
        </w:rPr>
        <w:t>six age group variables (11-18, 18-34, 35-44, 45-64, 65-74, 75+)</w:t>
      </w:r>
      <w:r>
        <w:rPr>
          <w:rFonts w:ascii="Garamond" w:hAnsi="Garamond"/>
        </w:rPr>
        <w:t xml:space="preserve">, for each gender, while the set of education variables include one dummy for each of the </w:t>
      </w:r>
      <w:r w:rsidRPr="00F14482">
        <w:rPr>
          <w:rFonts w:ascii="Garamond" w:hAnsi="Garamond"/>
        </w:rPr>
        <w:t xml:space="preserve">following categories: </w:t>
      </w:r>
      <w:r w:rsidR="009353B3">
        <w:rPr>
          <w:rFonts w:ascii="Garamond" w:hAnsi="Garamond"/>
        </w:rPr>
        <w:t>d</w:t>
      </w:r>
      <w:r w:rsidRPr="00F14482">
        <w:rPr>
          <w:rFonts w:ascii="Garamond" w:hAnsi="Garamond"/>
        </w:rPr>
        <w:t xml:space="preserve">egree or </w:t>
      </w:r>
      <w:r w:rsidR="009353B3">
        <w:rPr>
          <w:rFonts w:ascii="Garamond" w:hAnsi="Garamond"/>
        </w:rPr>
        <w:t>n</w:t>
      </w:r>
      <w:r w:rsidRPr="00F14482">
        <w:rPr>
          <w:rFonts w:ascii="Garamond" w:hAnsi="Garamond"/>
        </w:rPr>
        <w:t>ational vocation</w:t>
      </w:r>
      <w:r w:rsidR="00D94F83">
        <w:rPr>
          <w:rFonts w:ascii="Garamond" w:hAnsi="Garamond"/>
        </w:rPr>
        <w:t>al</w:t>
      </w:r>
      <w:r w:rsidRPr="00F14482">
        <w:rPr>
          <w:rFonts w:ascii="Garamond" w:hAnsi="Garamond"/>
        </w:rPr>
        <w:t xml:space="preserve"> qualification (NVQ) 4 or 5; </w:t>
      </w:r>
      <w:r w:rsidR="009353B3">
        <w:rPr>
          <w:rFonts w:ascii="Garamond" w:hAnsi="Garamond"/>
        </w:rPr>
        <w:t>h</w:t>
      </w:r>
      <w:r w:rsidRPr="00F14482">
        <w:rPr>
          <w:rFonts w:ascii="Garamond" w:hAnsi="Garamond"/>
        </w:rPr>
        <w:t xml:space="preserve">igher education below degree; NVQ 3 or General Certificate of Education (GCE) Advanced Level; NVQ 2 or GCE </w:t>
      </w:r>
      <w:r w:rsidR="009353B3">
        <w:rPr>
          <w:rFonts w:ascii="Garamond" w:hAnsi="Garamond"/>
        </w:rPr>
        <w:t>O</w:t>
      </w:r>
      <w:r w:rsidRPr="00F14482">
        <w:rPr>
          <w:rFonts w:ascii="Garamond" w:hAnsi="Garamond"/>
        </w:rPr>
        <w:t xml:space="preserve">rdinary </w:t>
      </w:r>
      <w:r w:rsidR="009353B3">
        <w:rPr>
          <w:rFonts w:ascii="Garamond" w:hAnsi="Garamond"/>
        </w:rPr>
        <w:t>L</w:t>
      </w:r>
      <w:r w:rsidRPr="00F14482">
        <w:rPr>
          <w:rFonts w:ascii="Garamond" w:hAnsi="Garamond"/>
        </w:rPr>
        <w:t xml:space="preserve">evel; NVQ1 or Certificate of Secondary Education (CSE); Other </w:t>
      </w:r>
      <w:r w:rsidRPr="00F14482">
        <w:rPr>
          <w:rFonts w:ascii="Garamond" w:hAnsi="Garamond"/>
        </w:rPr>
        <w:lastRenderedPageBreak/>
        <w:t xml:space="preserve">qualifications from outside England; </w:t>
      </w:r>
      <w:r w:rsidR="009353B3">
        <w:rPr>
          <w:rFonts w:ascii="Garamond" w:hAnsi="Garamond"/>
        </w:rPr>
        <w:t>n</w:t>
      </w:r>
      <w:r w:rsidRPr="00F14482">
        <w:rPr>
          <w:rFonts w:ascii="Garamond" w:hAnsi="Garamond"/>
        </w:rPr>
        <w:t>o qualification. Omitted categories in our analysis are males, aged 11-18 and with no qualification</w:t>
      </w:r>
      <w:r>
        <w:rPr>
          <w:rFonts w:ascii="Garamond" w:hAnsi="Garamond"/>
        </w:rPr>
        <w:t xml:space="preserve">. </w:t>
      </w:r>
    </w:p>
    <w:p w14:paraId="5279171D" w14:textId="77777777" w:rsidR="008B3016" w:rsidRDefault="002B3797" w:rsidP="00E175E0">
      <w:pPr>
        <w:jc w:val="both"/>
        <w:rPr>
          <w:rFonts w:ascii="Garamond" w:hAnsi="Garamond"/>
          <w:lang w:val="en-GB"/>
        </w:rPr>
      </w:pPr>
      <w:r>
        <w:rPr>
          <w:rFonts w:ascii="Garamond" w:hAnsi="Garamond"/>
          <w:lang w:val="en-GB"/>
        </w:rPr>
        <w:t>A</w:t>
      </w:r>
      <w:r w:rsidR="00E175E0">
        <w:rPr>
          <w:rFonts w:ascii="Garamond" w:hAnsi="Garamond"/>
          <w:lang w:val="en-GB"/>
        </w:rPr>
        <w:t xml:space="preserve">ssuming linearity </w:t>
      </w:r>
      <w:r w:rsidR="008E11E9">
        <w:rPr>
          <w:rFonts w:ascii="Garamond" w:hAnsi="Garamond"/>
          <w:lang w:val="en-GB"/>
        </w:rPr>
        <w:t>of</w:t>
      </w:r>
      <w:r w:rsidR="004954D2">
        <w:rPr>
          <w:rFonts w:ascii="Garamond" w:hAnsi="Garamond"/>
          <w:lang w:val="en-GB"/>
        </w:rPr>
        <w:t xml:space="preserve"> (2) and recalling that</w:t>
      </w:r>
      <w:r w:rsidR="00E175E0">
        <w:rPr>
          <w:rFonts w:ascii="Garamond" w:hAnsi="Garamond"/>
          <w:lang w:val="en-GB"/>
        </w:rPr>
        <w:t xml:space="preserve"> </w:t>
      </w:r>
      <w:r w:rsidR="004954D2">
        <w:rPr>
          <w:rFonts w:ascii="Garamond" w:hAnsi="Garamond"/>
          <w:lang w:val="en-GB"/>
        </w:rPr>
        <w:t>our dependent variable is bo</w:t>
      </w:r>
      <w:r w:rsidR="00840A4C">
        <w:rPr>
          <w:rFonts w:ascii="Garamond" w:hAnsi="Garamond"/>
          <w:lang w:val="en-GB"/>
        </w:rPr>
        <w:t>u</w:t>
      </w:r>
      <w:r w:rsidR="004954D2">
        <w:rPr>
          <w:rFonts w:ascii="Garamond" w:hAnsi="Garamond"/>
          <w:lang w:val="en-GB"/>
        </w:rPr>
        <w:t xml:space="preserve">nded between 0 and 1, </w:t>
      </w:r>
      <w:r w:rsidR="009353B3">
        <w:rPr>
          <w:rFonts w:ascii="Garamond" w:hAnsi="Garamond"/>
          <w:lang w:val="en-GB"/>
        </w:rPr>
        <w:t xml:space="preserve">the </w:t>
      </w:r>
      <w:r w:rsidR="00E175E0">
        <w:rPr>
          <w:rFonts w:ascii="Garamond" w:hAnsi="Garamond"/>
          <w:lang w:val="en-GB"/>
        </w:rPr>
        <w:t xml:space="preserve">Erreygers index </w:t>
      </w:r>
      <w:r w:rsidR="008E11E9">
        <w:rPr>
          <w:rFonts w:ascii="Garamond" w:hAnsi="Garamond"/>
          <w:lang w:val="en-GB"/>
        </w:rPr>
        <w:t>can be</w:t>
      </w:r>
      <w:r w:rsidR="00E175E0">
        <w:rPr>
          <w:rFonts w:ascii="Garamond" w:hAnsi="Garamond"/>
          <w:lang w:val="en-GB"/>
        </w:rPr>
        <w:t xml:space="preserve"> decomposed as follows: </w:t>
      </w:r>
    </w:p>
    <w:p w14:paraId="0A78A14F" w14:textId="13580C4F" w:rsidR="005C42E8" w:rsidRPr="00A36912" w:rsidRDefault="009724CE" w:rsidP="00236EF2">
      <w:pPr>
        <w:jc w:val="right"/>
        <w:rPr>
          <w:rFonts w:ascii="Garamond" w:hAnsi="Garamond"/>
        </w:rPr>
      </w:pPr>
      <m:oMath>
        <m:r>
          <w:rPr>
            <w:rFonts w:ascii="Cambria Math" w:hAnsi="Cambria Math"/>
          </w:rPr>
          <m:t>EI</m:t>
        </m:r>
        <m:d>
          <m:dPr>
            <m:ctrlPr>
              <w:rPr>
                <w:rFonts w:ascii="Cambria Math" w:hAnsi="Cambria Math"/>
                <w:i/>
              </w:rPr>
            </m:ctrlPr>
          </m:dPr>
          <m:e>
            <m:sSub>
              <m:sSubPr>
                <m:ctrlPr>
                  <w:rPr>
                    <w:rFonts w:ascii="Cambria Math" w:hAnsi="Cambria Math"/>
                    <w:i/>
                  </w:rPr>
                </m:ctrlPr>
              </m:sSubPr>
              <m:e>
                <m:r>
                  <w:rPr>
                    <w:rFonts w:ascii="Cambria Math" w:hAnsi="Cambria Math"/>
                  </w:rPr>
                  <m:t>NDS</m:t>
                </m:r>
              </m:e>
              <m:sub>
                <m:r>
                  <w:rPr>
                    <w:rFonts w:ascii="Cambria Math" w:hAnsi="Cambria Math"/>
                  </w:rPr>
                  <m:t>i</m:t>
                </m:r>
              </m:sub>
            </m:sSub>
          </m:e>
        </m:d>
        <m:r>
          <w:rPr>
            <w:rFonts w:ascii="Cambria Math" w:hAnsi="Cambria Math"/>
          </w:rPr>
          <m:t xml:space="preserve">=4*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inc</m:t>
                </m:r>
              </m:sub>
            </m:sSub>
            <m:r>
              <w:rPr>
                <w:rFonts w:ascii="Cambria Math" w:hAnsi="Cambria Math"/>
              </w:rPr>
              <m:t>*G</m:t>
            </m:r>
            <m:sSub>
              <m:sSubPr>
                <m:ctrlPr>
                  <w:rPr>
                    <w:rFonts w:ascii="Cambria Math" w:hAnsi="Cambria Math"/>
                    <w:i/>
                  </w:rPr>
                </m:ctrlPr>
              </m:sSubPr>
              <m:e>
                <m:r>
                  <w:rPr>
                    <w:rFonts w:ascii="Cambria Math" w:hAnsi="Cambria Math"/>
                  </w:rPr>
                  <m:t>CI</m:t>
                </m:r>
                <m:d>
                  <m:dPr>
                    <m:ctrlPr>
                      <w:rPr>
                        <w:rFonts w:ascii="Cambria Math" w:hAnsi="Cambria Math"/>
                        <w:i/>
                      </w:rPr>
                    </m:ctrlPr>
                  </m:dPr>
                  <m:e>
                    <m:r>
                      <w:rPr>
                        <w:rFonts w:ascii="Cambria Math" w:hAnsi="Cambria Math"/>
                      </w:rPr>
                      <m:t>x</m:t>
                    </m:r>
                  </m:e>
                </m:d>
              </m:e>
              <m:sub>
                <m:r>
                  <w:rPr>
                    <w:rFonts w:ascii="Cambria Math" w:hAnsi="Cambria Math"/>
                  </w:rPr>
                  <m:t>inc</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edu</m:t>
                </m:r>
              </m:sub>
            </m:sSub>
            <m:r>
              <w:rPr>
                <w:rFonts w:ascii="Cambria Math" w:hAnsi="Cambria Math"/>
              </w:rPr>
              <m:t>*G</m:t>
            </m:r>
            <m:sSub>
              <m:sSubPr>
                <m:ctrlPr>
                  <w:rPr>
                    <w:rFonts w:ascii="Cambria Math" w:hAnsi="Cambria Math"/>
                    <w:i/>
                  </w:rPr>
                </m:ctrlPr>
              </m:sSubPr>
              <m:e>
                <m:r>
                  <w:rPr>
                    <w:rFonts w:ascii="Cambria Math" w:hAnsi="Cambria Math"/>
                  </w:rPr>
                  <m:t>CI</m:t>
                </m:r>
                <m:d>
                  <m:dPr>
                    <m:ctrlPr>
                      <w:rPr>
                        <w:rFonts w:ascii="Cambria Math" w:hAnsi="Cambria Math"/>
                        <w:i/>
                      </w:rPr>
                    </m:ctrlPr>
                  </m:dPr>
                  <m:e>
                    <m:r>
                      <w:rPr>
                        <w:rFonts w:ascii="Cambria Math" w:hAnsi="Cambria Math"/>
                      </w:rPr>
                      <m:t>x</m:t>
                    </m:r>
                  </m:e>
                </m:d>
              </m:e>
              <m:sub>
                <m:r>
                  <w:rPr>
                    <w:rFonts w:ascii="Cambria Math" w:hAnsi="Cambria Math"/>
                  </w:rPr>
                  <m:t>edu</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dem</m:t>
                </m:r>
              </m:sub>
            </m:sSub>
            <m:r>
              <w:rPr>
                <w:rFonts w:ascii="Cambria Math" w:hAnsi="Cambria Math"/>
              </w:rPr>
              <m:t>*G</m:t>
            </m:r>
            <m:sSub>
              <m:sSubPr>
                <m:ctrlPr>
                  <w:rPr>
                    <w:rFonts w:ascii="Cambria Math" w:hAnsi="Cambria Math"/>
                    <w:i/>
                  </w:rPr>
                </m:ctrlPr>
              </m:sSubPr>
              <m:e>
                <m:r>
                  <w:rPr>
                    <w:rFonts w:ascii="Cambria Math" w:hAnsi="Cambria Math"/>
                  </w:rPr>
                  <m:t>CI</m:t>
                </m:r>
                <m:d>
                  <m:dPr>
                    <m:ctrlPr>
                      <w:rPr>
                        <w:rFonts w:ascii="Cambria Math" w:hAnsi="Cambria Math"/>
                        <w:i/>
                      </w:rPr>
                    </m:ctrlPr>
                  </m:dPr>
                  <m:e>
                    <m:r>
                      <w:rPr>
                        <w:rFonts w:ascii="Cambria Math" w:hAnsi="Cambria Math"/>
                      </w:rPr>
                      <m:t>x</m:t>
                    </m:r>
                  </m:e>
                </m:d>
              </m:e>
              <m:sub>
                <m:r>
                  <w:rPr>
                    <w:rFonts w:ascii="Cambria Math" w:hAnsi="Cambria Math"/>
                  </w:rPr>
                  <m:t>dem</m:t>
                </m:r>
              </m:sub>
            </m:sSub>
            <m:r>
              <w:rPr>
                <w:rFonts w:ascii="Cambria Math" w:hAnsi="Cambria Math"/>
              </w:rPr>
              <m:t>+GCI</m:t>
            </m:r>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i</m:t>
                    </m:r>
                  </m:sub>
                </m:sSub>
              </m:e>
            </m:d>
          </m:e>
        </m:d>
        <m:r>
          <w:rPr>
            <w:rFonts w:ascii="Cambria Math" w:hAnsi="Cambria Math"/>
          </w:rPr>
          <m:t xml:space="preserve"> </m:t>
        </m:r>
        <m:r>
          <w:rPr>
            <w:rFonts w:ascii="Cambria Math" w:hAnsi="Cambria Math"/>
          </w:rPr>
          <m:t xml:space="preserve"> </m:t>
        </m:r>
      </m:oMath>
      <w:r w:rsidR="00A36912">
        <w:rPr>
          <w:rFonts w:ascii="Garamond" w:hAnsi="Garamond"/>
        </w:rPr>
        <w:t>(3)</w:t>
      </w:r>
    </w:p>
    <w:p w14:paraId="50D10B25" w14:textId="5784E174" w:rsidR="001F1C6B" w:rsidRDefault="002B3797" w:rsidP="002C7E1C">
      <w:pPr>
        <w:jc w:val="both"/>
        <w:rPr>
          <w:rFonts w:ascii="Garamond" w:hAnsi="Garamond"/>
        </w:rPr>
      </w:pPr>
      <w:r>
        <w:rPr>
          <w:rFonts w:ascii="Garamond" w:hAnsi="Garamond"/>
        </w:rPr>
        <w:t xml:space="preserve">Equation (3) </w:t>
      </w:r>
      <w:r w:rsidR="008C4ADB">
        <w:rPr>
          <w:rFonts w:ascii="Garamond" w:hAnsi="Garamond"/>
        </w:rPr>
        <w:t>indicates that</w:t>
      </w:r>
      <w:r>
        <w:rPr>
          <w:rFonts w:ascii="Garamond" w:hAnsi="Garamond"/>
        </w:rPr>
        <w:t xml:space="preserve"> the contribution of income, education and demographics to overall income-rel</w:t>
      </w:r>
      <w:r w:rsidR="008E11E9">
        <w:rPr>
          <w:rFonts w:ascii="Garamond" w:hAnsi="Garamond"/>
        </w:rPr>
        <w:t xml:space="preserve">ated inequalities in </w:t>
      </w:r>
      <m:oMath>
        <m:sSub>
          <m:sSubPr>
            <m:ctrlPr>
              <w:rPr>
                <w:rFonts w:ascii="Cambria Math" w:hAnsi="Cambria Math"/>
                <w:i/>
              </w:rPr>
            </m:ctrlPr>
          </m:sSubPr>
          <m:e>
            <m:r>
              <w:rPr>
                <w:rFonts w:ascii="Cambria Math" w:hAnsi="Cambria Math"/>
              </w:rPr>
              <m:t>NDS</m:t>
            </m:r>
          </m:e>
          <m:sub>
            <m:r>
              <w:rPr>
                <w:rFonts w:ascii="Cambria Math" w:hAnsi="Cambria Math"/>
              </w:rPr>
              <m:t>i</m:t>
            </m:r>
          </m:sub>
        </m:sSub>
      </m:oMath>
      <w:r>
        <w:rPr>
          <w:rFonts w:ascii="Garamond" w:hAnsi="Garamond"/>
        </w:rPr>
        <w:t xml:space="preserve"> </w:t>
      </w:r>
      <w:r w:rsidR="008C4ADB">
        <w:rPr>
          <w:rFonts w:ascii="Garamond" w:hAnsi="Garamond"/>
        </w:rPr>
        <w:t xml:space="preserve">depends </w:t>
      </w:r>
      <w:r w:rsidR="001F1C6B">
        <w:rPr>
          <w:rFonts w:ascii="Garamond" w:hAnsi="Garamond"/>
        </w:rPr>
        <w:t>on</w:t>
      </w:r>
      <w:r w:rsidR="008C4ADB">
        <w:rPr>
          <w:rFonts w:ascii="Garamond" w:hAnsi="Garamond"/>
        </w:rPr>
        <w:t xml:space="preserve">: </w:t>
      </w:r>
      <w:proofErr w:type="spellStart"/>
      <w:r w:rsidR="008C4ADB">
        <w:rPr>
          <w:rFonts w:ascii="Garamond" w:hAnsi="Garamond"/>
        </w:rPr>
        <w:t>i</w:t>
      </w:r>
      <w:proofErr w:type="spellEnd"/>
      <w:r w:rsidR="008C4ADB">
        <w:rPr>
          <w:rFonts w:ascii="Garamond" w:hAnsi="Garamond"/>
        </w:rPr>
        <w:t>)</w:t>
      </w:r>
      <w:r w:rsidR="001F1C6B">
        <w:rPr>
          <w:rFonts w:ascii="Garamond" w:hAnsi="Garamond"/>
        </w:rPr>
        <w:t xml:space="preserve"> the effect of </w:t>
      </w:r>
      <w:r>
        <w:rPr>
          <w:rFonts w:ascii="Garamond" w:hAnsi="Garamond"/>
        </w:rPr>
        <w:t>each set of</w:t>
      </w:r>
      <w:r w:rsidR="001F1C6B">
        <w:rPr>
          <w:rFonts w:ascii="Garamond" w:hAnsi="Garamond"/>
        </w:rPr>
        <w:t xml:space="preserve"> variable</w:t>
      </w:r>
      <w:r>
        <w:rPr>
          <w:rFonts w:ascii="Garamond" w:hAnsi="Garamond"/>
        </w:rPr>
        <w:t>s (</w:t>
      </w:r>
      <m:oMath>
        <m:r>
          <w:rPr>
            <w:rFonts w:ascii="Cambria Math" w:hAnsi="Cambria Math"/>
          </w:rPr>
          <m:t>β</m:t>
        </m:r>
      </m:oMath>
      <w:r>
        <w:rPr>
          <w:rFonts w:ascii="Garamond" w:hAnsi="Garamond"/>
        </w:rPr>
        <w:t>)</w:t>
      </w:r>
      <w:r w:rsidR="001F1C6B">
        <w:rPr>
          <w:rFonts w:ascii="Garamond" w:hAnsi="Garamond"/>
        </w:rPr>
        <w:t xml:space="preserve"> on </w:t>
      </w:r>
      <m:oMath>
        <m:sSub>
          <m:sSubPr>
            <m:ctrlPr>
              <w:rPr>
                <w:rFonts w:ascii="Cambria Math" w:hAnsi="Cambria Math"/>
                <w:i/>
              </w:rPr>
            </m:ctrlPr>
          </m:sSubPr>
          <m:e>
            <m:r>
              <w:rPr>
                <w:rFonts w:ascii="Cambria Math" w:hAnsi="Cambria Math"/>
              </w:rPr>
              <m:t>NDS</m:t>
            </m:r>
          </m:e>
          <m:sub>
            <m:r>
              <w:rPr>
                <w:rFonts w:ascii="Cambria Math" w:hAnsi="Cambria Math"/>
              </w:rPr>
              <m:t>i</m:t>
            </m:r>
          </m:sub>
        </m:sSub>
      </m:oMath>
      <w:r w:rsidR="008E11E9">
        <w:rPr>
          <w:rFonts w:ascii="Garamond" w:hAnsi="Garamond"/>
        </w:rPr>
        <w:t xml:space="preserve"> </w:t>
      </w:r>
      <w:r>
        <w:rPr>
          <w:rFonts w:ascii="Garamond" w:hAnsi="Garamond"/>
        </w:rPr>
        <w:t>taken from OLS estimates of equation</w:t>
      </w:r>
      <w:r w:rsidR="001F1C6B">
        <w:rPr>
          <w:rFonts w:ascii="Garamond" w:hAnsi="Garamond"/>
        </w:rPr>
        <w:t xml:space="preserve"> (2) and </w:t>
      </w:r>
      <w:r w:rsidR="008C4ADB">
        <w:rPr>
          <w:rFonts w:ascii="Garamond" w:hAnsi="Garamond"/>
        </w:rPr>
        <w:t xml:space="preserve">ii) </w:t>
      </w:r>
      <w:r w:rsidR="001F1C6B">
        <w:rPr>
          <w:rFonts w:ascii="Garamond" w:hAnsi="Garamond"/>
        </w:rPr>
        <w:t xml:space="preserve">the generalized concentration index </w:t>
      </w:r>
      <w:r w:rsidR="00504CB4">
        <w:rPr>
          <w:rFonts w:ascii="Garamond" w:hAnsi="Garamond"/>
        </w:rPr>
        <w:t xml:space="preserve"> (</w:t>
      </w:r>
      <m:oMath>
        <m:r>
          <w:rPr>
            <w:rFonts w:ascii="Cambria Math" w:hAnsi="Cambria Math"/>
          </w:rPr>
          <m:t>GCI</m:t>
        </m:r>
        <m:d>
          <m:dPr>
            <m:ctrlPr>
              <w:rPr>
                <w:rFonts w:ascii="Cambria Math" w:hAnsi="Cambria Math"/>
                <w:i/>
              </w:rPr>
            </m:ctrlPr>
          </m:dPr>
          <m:e>
            <m:r>
              <w:rPr>
                <w:rFonts w:ascii="Cambria Math" w:hAnsi="Cambria Math"/>
              </w:rPr>
              <m:t>x</m:t>
            </m:r>
          </m:e>
        </m:d>
      </m:oMath>
      <w:r w:rsidR="00504CB4">
        <w:rPr>
          <w:rFonts w:ascii="Garamond" w:hAnsi="Garamond"/>
        </w:rPr>
        <w:t xml:space="preserve">) </w:t>
      </w:r>
      <w:r w:rsidR="001F1C6B">
        <w:rPr>
          <w:rFonts w:ascii="Garamond" w:hAnsi="Garamond"/>
        </w:rPr>
        <w:t xml:space="preserve">of </w:t>
      </w:r>
      <w:r w:rsidR="008C4ADB">
        <w:rPr>
          <w:rFonts w:ascii="Garamond" w:hAnsi="Garamond"/>
        </w:rPr>
        <w:t>each set of</w:t>
      </w:r>
      <w:r w:rsidR="001F1C6B">
        <w:rPr>
          <w:rFonts w:ascii="Garamond" w:hAnsi="Garamond"/>
        </w:rPr>
        <w:t xml:space="preserve"> variable</w:t>
      </w:r>
      <w:r w:rsidR="008C4ADB">
        <w:rPr>
          <w:rFonts w:ascii="Garamond" w:hAnsi="Garamond"/>
        </w:rPr>
        <w:t>s</w:t>
      </w:r>
      <w:r w:rsidR="001F1C6B">
        <w:rPr>
          <w:rFonts w:ascii="Garamond" w:hAnsi="Garamond"/>
        </w:rPr>
        <w:t xml:space="preserve"> </w:t>
      </w:r>
      <w:r w:rsidR="00504CB4">
        <w:rPr>
          <w:rFonts w:ascii="Garamond" w:hAnsi="Garamond"/>
        </w:rPr>
        <w:t>with respect to income</w:t>
      </w:r>
      <w:r w:rsidR="00716F1E">
        <w:rPr>
          <w:rFonts w:ascii="Garamond" w:hAnsi="Garamond"/>
        </w:rPr>
        <w:t xml:space="preserve"> </w:t>
      </w:r>
      <w:r w:rsidR="00504CB4">
        <w:rPr>
          <w:rFonts w:ascii="Garamond" w:hAnsi="Garamond"/>
        </w:rPr>
        <w:t xml:space="preserve">(given by the concentration index </w:t>
      </w:r>
      <m:oMath>
        <m:r>
          <w:rPr>
            <w:rFonts w:ascii="Cambria Math" w:hAnsi="Cambria Math"/>
          </w:rPr>
          <m:t>CI</m:t>
        </m:r>
        <m:d>
          <m:dPr>
            <m:ctrlPr>
              <w:rPr>
                <w:rFonts w:ascii="Cambria Math" w:hAnsi="Cambria Math"/>
                <w:i/>
              </w:rPr>
            </m:ctrlPr>
          </m:dPr>
          <m:e>
            <m:r>
              <w:rPr>
                <w:rFonts w:ascii="Cambria Math" w:hAnsi="Cambria Math"/>
              </w:rPr>
              <m:t>x</m:t>
            </m:r>
          </m:e>
        </m:d>
      </m:oMath>
      <w:r w:rsidR="001F1C6B">
        <w:rPr>
          <w:rFonts w:ascii="Garamond" w:hAnsi="Garamond"/>
        </w:rPr>
        <w:t xml:space="preserve"> multipl</w:t>
      </w:r>
      <w:r w:rsidR="009353B3">
        <w:rPr>
          <w:rFonts w:ascii="Garamond" w:hAnsi="Garamond"/>
        </w:rPr>
        <w:t>i</w:t>
      </w:r>
      <w:r w:rsidR="001F1C6B">
        <w:rPr>
          <w:rFonts w:ascii="Garamond" w:hAnsi="Garamond"/>
        </w:rPr>
        <w:t xml:space="preserve">ed by </w:t>
      </w:r>
      <w:r w:rsidR="002C7E1C">
        <w:rPr>
          <w:rFonts w:ascii="Garamond" w:hAnsi="Garamond"/>
        </w:rPr>
        <w:t>the</w:t>
      </w:r>
      <w:r w:rsidR="00504CB4">
        <w:rPr>
          <w:rFonts w:ascii="Garamond" w:hAnsi="Garamond"/>
        </w:rPr>
        <w:t xml:space="preserve"> mean of the variable</w:t>
      </w:r>
      <w:r w:rsidR="001F1C6B">
        <w:rPr>
          <w:rFonts w:ascii="Garamond" w:hAnsi="Garamond"/>
        </w:rPr>
        <w:t>)</w:t>
      </w:r>
      <w:r>
        <w:rPr>
          <w:rFonts w:ascii="Garamond" w:hAnsi="Garamond"/>
        </w:rPr>
        <w:t>.</w:t>
      </w:r>
      <w:r w:rsidR="008C4ADB">
        <w:rPr>
          <w:rFonts w:ascii="Garamond" w:hAnsi="Garamond"/>
        </w:rPr>
        <w:t xml:space="preserve"> </w:t>
      </w:r>
      <w:r w:rsidRPr="002B3797">
        <w:rPr>
          <w:rFonts w:ascii="Garamond" w:hAnsi="Garamond"/>
        </w:rPr>
        <w:t xml:space="preserve">The last term of equation </w:t>
      </w:r>
      <w:r>
        <w:rPr>
          <w:rFonts w:ascii="Garamond" w:hAnsi="Garamond"/>
        </w:rPr>
        <w:t>(</w:t>
      </w:r>
      <w:r w:rsidRPr="002B3797">
        <w:rPr>
          <w:rFonts w:ascii="Garamond" w:hAnsi="Garamond"/>
        </w:rPr>
        <w:t>3</w:t>
      </w:r>
      <w:r>
        <w:rPr>
          <w:rFonts w:ascii="Garamond" w:hAnsi="Garamond"/>
        </w:rPr>
        <w:t>)</w:t>
      </w:r>
      <w:r w:rsidRPr="002B3797">
        <w:rPr>
          <w:rFonts w:ascii="Garamond" w:hAnsi="Garamond"/>
        </w:rPr>
        <w:t xml:space="preserve"> is the generalized concentration index for</w:t>
      </w:r>
      <w:r>
        <w:rPr>
          <w:rFonts w:ascii="Garamond" w:hAnsi="Garamond"/>
        </w:rPr>
        <w:t xml:space="preserv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Pr="002B3797">
        <w:rPr>
          <w:rFonts w:ascii="Garamond" w:hAnsi="Garamond"/>
        </w:rPr>
        <w:t xml:space="preserve"> and reflects </w:t>
      </w:r>
      <w:r w:rsidR="009353B3">
        <w:rPr>
          <w:rFonts w:ascii="Garamond" w:hAnsi="Garamond"/>
        </w:rPr>
        <w:t xml:space="preserve">the </w:t>
      </w:r>
      <w:r>
        <w:rPr>
          <w:rFonts w:ascii="Garamond" w:hAnsi="Garamond"/>
        </w:rPr>
        <w:t>unexplained part of inequalities in e-cig</w:t>
      </w:r>
      <w:r w:rsidR="00504CB4">
        <w:rPr>
          <w:rFonts w:ascii="Garamond" w:hAnsi="Garamond"/>
        </w:rPr>
        <w:t xml:space="preserve"> and </w:t>
      </w:r>
      <w:r w:rsidR="00D94F83">
        <w:rPr>
          <w:rFonts w:ascii="Garamond" w:hAnsi="Garamond"/>
        </w:rPr>
        <w:t xml:space="preserve">other </w:t>
      </w:r>
      <w:r w:rsidR="00504CB4">
        <w:rPr>
          <w:rFonts w:ascii="Garamond" w:hAnsi="Garamond"/>
        </w:rPr>
        <w:t>ND</w:t>
      </w:r>
      <w:r w:rsidR="00D94F83">
        <w:rPr>
          <w:rFonts w:ascii="Garamond" w:hAnsi="Garamond"/>
        </w:rPr>
        <w:t>S</w:t>
      </w:r>
      <w:r>
        <w:rPr>
          <w:rFonts w:ascii="Garamond" w:hAnsi="Garamond"/>
        </w:rPr>
        <w:t xml:space="preserve"> take-up.</w:t>
      </w:r>
      <w:r w:rsidR="001F1C6B">
        <w:rPr>
          <w:rFonts w:ascii="Garamond" w:hAnsi="Garamond"/>
        </w:rPr>
        <w:t xml:space="preserve"> </w:t>
      </w:r>
    </w:p>
    <w:p w14:paraId="6CC12260" w14:textId="77777777" w:rsidR="00DF4A8D" w:rsidRPr="008E1EEC" w:rsidRDefault="00DF4A8D" w:rsidP="00870081">
      <w:pPr>
        <w:jc w:val="both"/>
        <w:rPr>
          <w:rFonts w:ascii="Garamond" w:hAnsi="Garamond"/>
        </w:rPr>
      </w:pPr>
    </w:p>
    <w:p w14:paraId="48509BBC" w14:textId="77777777" w:rsidR="002C6E26" w:rsidRDefault="00925E79" w:rsidP="002C6E26">
      <w:pPr>
        <w:pStyle w:val="Paragrafoelenco"/>
        <w:numPr>
          <w:ilvl w:val="0"/>
          <w:numId w:val="1"/>
        </w:numPr>
        <w:jc w:val="both"/>
        <w:rPr>
          <w:rFonts w:ascii="Garamond" w:hAnsi="Garamond"/>
          <w:b/>
          <w:lang w:val="en-GB"/>
        </w:rPr>
      </w:pPr>
      <w:r w:rsidRPr="00925E79">
        <w:rPr>
          <w:rFonts w:ascii="Garamond" w:hAnsi="Garamond"/>
          <w:b/>
          <w:lang w:val="en-GB"/>
        </w:rPr>
        <w:t>Results</w:t>
      </w:r>
    </w:p>
    <w:p w14:paraId="69554F20" w14:textId="782A2800" w:rsidR="00B66A50" w:rsidRDefault="009B237F" w:rsidP="00725B34">
      <w:pPr>
        <w:jc w:val="both"/>
        <w:rPr>
          <w:rFonts w:ascii="Garamond" w:hAnsi="Garamond"/>
          <w:b/>
          <w:sz w:val="24"/>
          <w:szCs w:val="24"/>
        </w:rPr>
      </w:pPr>
      <w:r>
        <w:rPr>
          <w:rFonts w:ascii="Garamond" w:hAnsi="Garamond"/>
          <w:lang w:val="en-GB"/>
        </w:rPr>
        <w:t>C</w:t>
      </w:r>
      <w:r w:rsidR="00A22703">
        <w:rPr>
          <w:rFonts w:ascii="Garamond" w:hAnsi="Garamond"/>
          <w:lang w:val="en-GB"/>
        </w:rPr>
        <w:t>olumn 1</w:t>
      </w:r>
      <w:r w:rsidR="00D52E5E">
        <w:rPr>
          <w:rFonts w:ascii="Garamond" w:hAnsi="Garamond"/>
          <w:lang w:val="en-GB"/>
        </w:rPr>
        <w:t xml:space="preserve"> of </w:t>
      </w:r>
      <w:r w:rsidR="007D39ED">
        <w:rPr>
          <w:rFonts w:ascii="Garamond" w:hAnsi="Garamond"/>
          <w:lang w:val="en-GB"/>
        </w:rPr>
        <w:t>T</w:t>
      </w:r>
      <w:r w:rsidR="00D52E5E">
        <w:rPr>
          <w:rFonts w:ascii="Garamond" w:hAnsi="Garamond"/>
          <w:lang w:val="en-GB"/>
        </w:rPr>
        <w:t>able 1</w:t>
      </w:r>
      <w:r w:rsidR="00A22703">
        <w:rPr>
          <w:rFonts w:ascii="Garamond" w:hAnsi="Garamond"/>
          <w:lang w:val="en-GB"/>
        </w:rPr>
        <w:t xml:space="preserve"> shows that traditional smoking </w:t>
      </w:r>
      <w:r w:rsidR="00EC3234">
        <w:rPr>
          <w:rFonts w:ascii="Garamond" w:hAnsi="Garamond"/>
          <w:lang w:val="en-GB"/>
        </w:rPr>
        <w:t>take-up is</w:t>
      </w:r>
      <w:r w:rsidR="00A22703">
        <w:rPr>
          <w:rFonts w:ascii="Garamond" w:hAnsi="Garamond"/>
          <w:lang w:val="en-GB"/>
        </w:rPr>
        <w:t xml:space="preserve"> </w:t>
      </w:r>
      <w:r w:rsidR="007D39ED">
        <w:rPr>
          <w:rFonts w:ascii="Garamond" w:hAnsi="Garamond"/>
          <w:lang w:val="en-GB"/>
        </w:rPr>
        <w:t>more</w:t>
      </w:r>
      <w:r w:rsidR="00A22703">
        <w:rPr>
          <w:rFonts w:ascii="Garamond" w:hAnsi="Garamond"/>
          <w:lang w:val="en-GB"/>
        </w:rPr>
        <w:t xml:space="preserve"> concentrated among poorer individuals. </w:t>
      </w:r>
      <w:r w:rsidR="00D94F83">
        <w:rPr>
          <w:rFonts w:ascii="Garamond" w:hAnsi="Garamond"/>
          <w:lang w:val="en-GB"/>
        </w:rPr>
        <w:t>The e</w:t>
      </w:r>
      <w:r>
        <w:rPr>
          <w:rFonts w:ascii="Garamond" w:hAnsi="Garamond"/>
          <w:lang w:val="en-GB"/>
        </w:rPr>
        <w:t xml:space="preserve">stimated </w:t>
      </w:r>
      <w:r w:rsidR="00511F87">
        <w:rPr>
          <w:rFonts w:ascii="Garamond" w:hAnsi="Garamond"/>
          <w:lang w:val="en-GB"/>
        </w:rPr>
        <w:t>EI</w:t>
      </w:r>
      <w:r>
        <w:rPr>
          <w:rFonts w:ascii="Garamond" w:hAnsi="Garamond"/>
          <w:lang w:val="en-GB"/>
        </w:rPr>
        <w:t xml:space="preserve"> </w:t>
      </w:r>
      <w:r w:rsidR="00D94F83">
        <w:rPr>
          <w:rFonts w:ascii="Garamond" w:hAnsi="Garamond"/>
          <w:lang w:val="en-GB"/>
        </w:rPr>
        <w:t xml:space="preserve">of -0.063 </w:t>
      </w:r>
      <w:r>
        <w:rPr>
          <w:rFonts w:ascii="Garamond" w:hAnsi="Garamond"/>
          <w:lang w:val="en-GB"/>
        </w:rPr>
        <w:t xml:space="preserve">is significantly pro-poor and very close to the </w:t>
      </w:r>
      <w:r w:rsidR="00EC3234">
        <w:rPr>
          <w:rFonts w:ascii="Garamond" w:hAnsi="Garamond"/>
          <w:lang w:val="en-GB"/>
        </w:rPr>
        <w:t>theoretical lower bound</w:t>
      </w:r>
      <w:r w:rsidR="00AE3D23">
        <w:rPr>
          <w:rFonts w:ascii="Garamond" w:hAnsi="Garamond"/>
          <w:lang w:val="en-GB"/>
        </w:rPr>
        <w:t xml:space="preserve"> (0.1545-1= -0.846). Column 2 shows that pro-poor inequalities are reduced by around 15% when</w:t>
      </w:r>
      <w:r w:rsidR="00730431">
        <w:rPr>
          <w:rFonts w:ascii="Garamond" w:hAnsi="Garamond"/>
          <w:lang w:val="en-GB"/>
        </w:rPr>
        <w:t xml:space="preserve"> traditional </w:t>
      </w:r>
      <w:r w:rsidR="00D94F83">
        <w:rPr>
          <w:rFonts w:ascii="Garamond" w:hAnsi="Garamond"/>
          <w:lang w:val="en-GB"/>
        </w:rPr>
        <w:t>smoking and NDS</w:t>
      </w:r>
      <w:r w:rsidR="00AE3D23">
        <w:rPr>
          <w:rFonts w:ascii="Garamond" w:hAnsi="Garamond"/>
          <w:lang w:val="en-GB"/>
        </w:rPr>
        <w:t xml:space="preserve"> are co</w:t>
      </w:r>
      <w:r w:rsidR="00D94F83">
        <w:rPr>
          <w:rFonts w:ascii="Garamond" w:hAnsi="Garamond"/>
          <w:lang w:val="en-GB"/>
        </w:rPr>
        <w:t>mbined</w:t>
      </w:r>
      <w:r w:rsidR="00947B44">
        <w:rPr>
          <w:rFonts w:ascii="Garamond" w:hAnsi="Garamond"/>
          <w:lang w:val="en-GB"/>
        </w:rPr>
        <w:t xml:space="preserve"> (-0.063 </w:t>
      </w:r>
      <w:r w:rsidR="00947B44" w:rsidRPr="00947B44">
        <w:rPr>
          <w:rFonts w:ascii="Garamond" w:hAnsi="Garamond"/>
          <w:i/>
          <w:lang w:val="en-GB"/>
        </w:rPr>
        <w:t>vs</w:t>
      </w:r>
      <w:r w:rsidR="00947B44">
        <w:rPr>
          <w:rFonts w:ascii="Garamond" w:hAnsi="Garamond"/>
          <w:lang w:val="en-GB"/>
        </w:rPr>
        <w:t xml:space="preserve"> -0.054)</w:t>
      </w:r>
      <w:r w:rsidR="00AE3D23">
        <w:rPr>
          <w:rFonts w:ascii="Garamond" w:hAnsi="Garamond"/>
          <w:lang w:val="en-GB"/>
        </w:rPr>
        <w:t xml:space="preserve">. This suggests that a </w:t>
      </w:r>
      <w:r w:rsidR="00947B44">
        <w:rPr>
          <w:rFonts w:ascii="Garamond" w:hAnsi="Garamond"/>
          <w:lang w:val="en-GB"/>
        </w:rPr>
        <w:t xml:space="preserve">considerable </w:t>
      </w:r>
      <w:r w:rsidR="00AE3D23">
        <w:rPr>
          <w:rFonts w:ascii="Garamond" w:hAnsi="Garamond"/>
          <w:lang w:val="en-GB"/>
        </w:rPr>
        <w:t xml:space="preserve">share of </w:t>
      </w:r>
      <w:r w:rsidR="00D94F83">
        <w:rPr>
          <w:rFonts w:ascii="Garamond" w:hAnsi="Garamond"/>
          <w:lang w:val="en-GB"/>
        </w:rPr>
        <w:t>users</w:t>
      </w:r>
      <w:r w:rsidR="00947B44">
        <w:rPr>
          <w:rFonts w:ascii="Garamond" w:hAnsi="Garamond"/>
          <w:lang w:val="en-GB"/>
        </w:rPr>
        <w:t xml:space="preserve"> in the upper tails of the income distribution</w:t>
      </w:r>
      <w:r w:rsidR="00AE3D23">
        <w:rPr>
          <w:rFonts w:ascii="Garamond" w:hAnsi="Garamond"/>
          <w:lang w:val="en-GB"/>
        </w:rPr>
        <w:t xml:space="preserve"> </w:t>
      </w:r>
      <w:r w:rsidR="00947B44">
        <w:rPr>
          <w:rFonts w:ascii="Garamond" w:hAnsi="Garamond"/>
          <w:lang w:val="en-GB"/>
        </w:rPr>
        <w:t>consume</w:t>
      </w:r>
      <w:r w:rsidR="0029204D">
        <w:rPr>
          <w:rFonts w:ascii="Garamond" w:hAnsi="Garamond"/>
          <w:lang w:val="en-GB"/>
        </w:rPr>
        <w:t xml:space="preserve"> e-cig </w:t>
      </w:r>
      <w:r w:rsidR="00D94F83">
        <w:rPr>
          <w:rFonts w:ascii="Garamond" w:hAnsi="Garamond"/>
          <w:lang w:val="en-GB"/>
        </w:rPr>
        <w:t>or</w:t>
      </w:r>
      <w:r w:rsidR="0029204D">
        <w:rPr>
          <w:rFonts w:ascii="Garamond" w:hAnsi="Garamond"/>
          <w:lang w:val="en-GB"/>
        </w:rPr>
        <w:t xml:space="preserve"> </w:t>
      </w:r>
      <w:r w:rsidR="00D94F83">
        <w:rPr>
          <w:rFonts w:ascii="Garamond" w:hAnsi="Garamond"/>
          <w:lang w:val="en-GB"/>
        </w:rPr>
        <w:t xml:space="preserve">other </w:t>
      </w:r>
      <w:r w:rsidR="0029204D">
        <w:rPr>
          <w:rFonts w:ascii="Garamond" w:hAnsi="Garamond"/>
          <w:lang w:val="en-GB"/>
        </w:rPr>
        <w:t>ND</w:t>
      </w:r>
      <w:r w:rsidR="00D94F83">
        <w:rPr>
          <w:rFonts w:ascii="Garamond" w:hAnsi="Garamond"/>
          <w:lang w:val="en-GB"/>
        </w:rPr>
        <w:t>S</w:t>
      </w:r>
      <w:r w:rsidR="0029204D">
        <w:rPr>
          <w:rFonts w:ascii="Garamond" w:hAnsi="Garamond"/>
          <w:lang w:val="en-GB"/>
        </w:rPr>
        <w:t>. This patte</w:t>
      </w:r>
      <w:r w:rsidR="00D52E5E">
        <w:rPr>
          <w:rFonts w:ascii="Garamond" w:hAnsi="Garamond"/>
          <w:lang w:val="en-GB"/>
        </w:rPr>
        <w:t>rn is</w:t>
      </w:r>
      <w:r w:rsidR="00D94F83">
        <w:rPr>
          <w:rFonts w:ascii="Garamond" w:hAnsi="Garamond"/>
          <w:lang w:val="en-GB"/>
        </w:rPr>
        <w:t xml:space="preserve"> confirmed</w:t>
      </w:r>
      <w:r w:rsidR="00D52E5E">
        <w:rPr>
          <w:rFonts w:ascii="Garamond" w:hAnsi="Garamond"/>
          <w:lang w:val="en-GB"/>
        </w:rPr>
        <w:t xml:space="preserve"> in C</w:t>
      </w:r>
      <w:r w:rsidR="0029204D">
        <w:rPr>
          <w:rFonts w:ascii="Garamond" w:hAnsi="Garamond"/>
          <w:lang w:val="en-GB"/>
        </w:rPr>
        <w:t xml:space="preserve">olumn 3 </w:t>
      </w:r>
      <w:r w:rsidR="00D52E5E">
        <w:rPr>
          <w:rFonts w:ascii="Garamond" w:hAnsi="Garamond"/>
          <w:lang w:val="en-GB"/>
        </w:rPr>
        <w:t xml:space="preserve">of </w:t>
      </w:r>
      <w:r w:rsidR="007D39ED">
        <w:rPr>
          <w:rFonts w:ascii="Garamond" w:hAnsi="Garamond"/>
          <w:lang w:val="en-GB"/>
        </w:rPr>
        <w:t>T</w:t>
      </w:r>
      <w:r w:rsidR="00D52E5E">
        <w:rPr>
          <w:rFonts w:ascii="Garamond" w:hAnsi="Garamond"/>
          <w:lang w:val="en-GB"/>
        </w:rPr>
        <w:t xml:space="preserve">able 1 </w:t>
      </w:r>
      <w:r w:rsidR="0029204D">
        <w:rPr>
          <w:rFonts w:ascii="Garamond" w:hAnsi="Garamond"/>
          <w:lang w:val="en-GB"/>
        </w:rPr>
        <w:t xml:space="preserve">where </w:t>
      </w:r>
      <w:r w:rsidR="00947B44">
        <w:rPr>
          <w:rFonts w:ascii="Garamond" w:hAnsi="Garamond"/>
          <w:lang w:val="en-GB"/>
        </w:rPr>
        <w:t xml:space="preserve">EI of </w:t>
      </w:r>
      <w:r w:rsidR="0029204D">
        <w:rPr>
          <w:rFonts w:ascii="Garamond" w:hAnsi="Garamond"/>
          <w:lang w:val="en-GB"/>
        </w:rPr>
        <w:t xml:space="preserve">the use of </w:t>
      </w:r>
      <w:r w:rsidR="00D94F83">
        <w:rPr>
          <w:rFonts w:ascii="Garamond" w:hAnsi="Garamond"/>
          <w:lang w:val="en-GB"/>
        </w:rPr>
        <w:t>NDS</w:t>
      </w:r>
      <w:r w:rsidR="0029204D">
        <w:rPr>
          <w:rFonts w:ascii="Garamond" w:hAnsi="Garamond"/>
          <w:lang w:val="en-GB"/>
        </w:rPr>
        <w:t xml:space="preserve"> </w:t>
      </w:r>
      <w:r w:rsidR="00D94F83">
        <w:rPr>
          <w:rFonts w:ascii="Garamond" w:hAnsi="Garamond"/>
          <w:lang w:val="en-GB"/>
        </w:rPr>
        <w:t>for</w:t>
      </w:r>
      <w:r w:rsidR="00947B44">
        <w:rPr>
          <w:rFonts w:ascii="Garamond" w:hAnsi="Garamond"/>
          <w:lang w:val="en-GB"/>
        </w:rPr>
        <w:t xml:space="preserve"> the sample of </w:t>
      </w:r>
      <w:r w:rsidR="00D94F83">
        <w:rPr>
          <w:rFonts w:ascii="Garamond" w:hAnsi="Garamond"/>
          <w:lang w:val="en-GB"/>
        </w:rPr>
        <w:t xml:space="preserve">current </w:t>
      </w:r>
      <w:r w:rsidR="00947B44">
        <w:rPr>
          <w:rFonts w:ascii="Garamond" w:hAnsi="Garamond"/>
          <w:lang w:val="en-GB"/>
        </w:rPr>
        <w:t xml:space="preserve">smokers </w:t>
      </w:r>
      <w:r w:rsidR="0029204D">
        <w:rPr>
          <w:rFonts w:ascii="Garamond" w:hAnsi="Garamond"/>
          <w:lang w:val="en-GB"/>
        </w:rPr>
        <w:t>is reported</w:t>
      </w:r>
      <w:r w:rsidR="00947B44">
        <w:rPr>
          <w:rFonts w:ascii="Garamond" w:hAnsi="Garamond"/>
          <w:lang w:val="en-GB"/>
        </w:rPr>
        <w:t xml:space="preserve">. Column 3 shows significant take-up rates of e-cig and </w:t>
      </w:r>
      <w:r w:rsidR="00D94F83">
        <w:rPr>
          <w:rFonts w:ascii="Garamond" w:hAnsi="Garamond"/>
          <w:lang w:val="en-GB"/>
        </w:rPr>
        <w:t xml:space="preserve">other </w:t>
      </w:r>
      <w:r w:rsidR="00947B44">
        <w:rPr>
          <w:rFonts w:ascii="Garamond" w:hAnsi="Garamond"/>
          <w:lang w:val="en-GB"/>
        </w:rPr>
        <w:t>ND</w:t>
      </w:r>
      <w:r w:rsidR="00D94F83">
        <w:rPr>
          <w:rFonts w:ascii="Garamond" w:hAnsi="Garamond"/>
          <w:lang w:val="en-GB"/>
        </w:rPr>
        <w:t>S</w:t>
      </w:r>
      <w:r w:rsidR="00947B44">
        <w:rPr>
          <w:rFonts w:ascii="Garamond" w:hAnsi="Garamond"/>
          <w:lang w:val="en-GB"/>
        </w:rPr>
        <w:t xml:space="preserve"> (around 54% of </w:t>
      </w:r>
      <w:r w:rsidR="007D39ED">
        <w:rPr>
          <w:rFonts w:ascii="Garamond" w:hAnsi="Garamond"/>
          <w:lang w:val="en-GB"/>
        </w:rPr>
        <w:t>current</w:t>
      </w:r>
      <w:r w:rsidR="00947B44">
        <w:rPr>
          <w:rFonts w:ascii="Garamond" w:hAnsi="Garamond"/>
          <w:lang w:val="en-GB"/>
        </w:rPr>
        <w:t xml:space="preserve"> smokers </w:t>
      </w:r>
      <w:r w:rsidR="007D39ED">
        <w:rPr>
          <w:rFonts w:ascii="Garamond" w:hAnsi="Garamond"/>
          <w:lang w:val="en-GB"/>
        </w:rPr>
        <w:t>are</w:t>
      </w:r>
      <w:r w:rsidR="00947B44">
        <w:rPr>
          <w:rFonts w:ascii="Garamond" w:hAnsi="Garamond"/>
          <w:lang w:val="en-GB"/>
        </w:rPr>
        <w:t xml:space="preserve"> current or past user</w:t>
      </w:r>
      <w:r w:rsidR="007D39ED">
        <w:rPr>
          <w:rFonts w:ascii="Garamond" w:hAnsi="Garamond"/>
          <w:lang w:val="en-GB"/>
        </w:rPr>
        <w:t>s</w:t>
      </w:r>
      <w:r w:rsidR="00947B44">
        <w:rPr>
          <w:rFonts w:ascii="Garamond" w:hAnsi="Garamond"/>
          <w:lang w:val="en-GB"/>
        </w:rPr>
        <w:t xml:space="preserve"> of </w:t>
      </w:r>
      <w:r w:rsidR="00D94F83">
        <w:rPr>
          <w:rFonts w:ascii="Garamond" w:hAnsi="Garamond"/>
          <w:lang w:val="en-GB"/>
        </w:rPr>
        <w:t>NDS</w:t>
      </w:r>
      <w:r w:rsidR="00947B44">
        <w:rPr>
          <w:rFonts w:ascii="Garamond" w:hAnsi="Garamond"/>
          <w:lang w:val="en-GB"/>
        </w:rPr>
        <w:t xml:space="preserve">) and high pro-rich inequalities in the use of these new </w:t>
      </w:r>
      <w:r w:rsidR="00D94F83">
        <w:rPr>
          <w:rFonts w:ascii="Garamond" w:hAnsi="Garamond"/>
          <w:lang w:val="en-GB"/>
        </w:rPr>
        <w:t xml:space="preserve">smokeless products </w:t>
      </w:r>
      <w:r w:rsidR="00947B44">
        <w:rPr>
          <w:rFonts w:ascii="Garamond" w:hAnsi="Garamond"/>
          <w:lang w:val="en-GB"/>
        </w:rPr>
        <w:t>among current smokers</w:t>
      </w:r>
      <w:r w:rsidR="00CB6AE2">
        <w:rPr>
          <w:rStyle w:val="Rimandonotaapidipagina"/>
          <w:rFonts w:ascii="Garamond" w:hAnsi="Garamond"/>
          <w:lang w:val="en-GB"/>
        </w:rPr>
        <w:footnoteReference w:id="5"/>
      </w:r>
      <w:r w:rsidR="00947B44">
        <w:rPr>
          <w:rFonts w:ascii="Garamond" w:hAnsi="Garamond"/>
          <w:lang w:val="en-GB"/>
        </w:rPr>
        <w:t xml:space="preserve">. </w:t>
      </w:r>
    </w:p>
    <w:p w14:paraId="33950DE4" w14:textId="06A40F93" w:rsidR="00B66A50" w:rsidRPr="002C1353" w:rsidRDefault="00B66A50" w:rsidP="002C1353">
      <w:pPr>
        <w:rPr>
          <w:rFonts w:ascii="Garamond" w:hAnsi="Garamond"/>
          <w:b/>
          <w:lang w:val="en-GB"/>
        </w:rPr>
      </w:pPr>
      <w:r w:rsidRPr="00EC3234">
        <w:rPr>
          <w:rFonts w:ascii="Garamond" w:hAnsi="Garamond"/>
          <w:b/>
          <w:lang w:val="en-GB"/>
        </w:rPr>
        <w:t>Table 1. Estimates of income-related inequalities</w:t>
      </w:r>
      <w:r>
        <w:rPr>
          <w:rFonts w:ascii="Garamond" w:hAnsi="Garamond"/>
          <w:b/>
          <w:lang w:val="en-GB"/>
        </w:rPr>
        <w:t xml:space="preserve">: </w:t>
      </w:r>
      <w:r w:rsidR="002C1353">
        <w:rPr>
          <w:rFonts w:ascii="Garamond" w:hAnsi="Garamond"/>
          <w:b/>
          <w:lang w:val="en-GB"/>
        </w:rPr>
        <w:t>Traditional vs New methods</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1447"/>
        <w:gridCol w:w="1261"/>
        <w:gridCol w:w="1077"/>
        <w:gridCol w:w="1077"/>
      </w:tblGrid>
      <w:tr w:rsidR="00B66A50" w14:paraId="0F2F404D" w14:textId="77777777" w:rsidTr="00533266">
        <w:tc>
          <w:tcPr>
            <w:tcW w:w="1261" w:type="dxa"/>
            <w:tcBorders>
              <w:bottom w:val="single" w:sz="4" w:space="0" w:color="auto"/>
            </w:tcBorders>
          </w:tcPr>
          <w:p w14:paraId="7842A1DE" w14:textId="77777777" w:rsidR="00B66A50" w:rsidRDefault="00B66A50" w:rsidP="00B66A50">
            <w:pPr>
              <w:pStyle w:val="Paragrafoelenco"/>
              <w:ind w:left="0"/>
              <w:jc w:val="center"/>
              <w:rPr>
                <w:rFonts w:ascii="Garamond" w:hAnsi="Garamond"/>
                <w:b/>
                <w:lang w:val="en-GB"/>
              </w:rPr>
            </w:pPr>
          </w:p>
        </w:tc>
        <w:tc>
          <w:tcPr>
            <w:tcW w:w="1261" w:type="dxa"/>
            <w:tcBorders>
              <w:bottom w:val="single" w:sz="4" w:space="0" w:color="auto"/>
            </w:tcBorders>
          </w:tcPr>
          <w:p w14:paraId="2F48AAC6" w14:textId="77777777" w:rsidR="00B66A50" w:rsidRPr="0035573F" w:rsidRDefault="00B66A50" w:rsidP="00B66A50">
            <w:pPr>
              <w:pStyle w:val="Paragrafoelenco"/>
              <w:ind w:left="0"/>
              <w:jc w:val="center"/>
              <w:rPr>
                <w:rFonts w:ascii="Garamond" w:hAnsi="Garamond"/>
                <w:b/>
                <w:lang w:val="en-GB"/>
              </w:rPr>
            </w:pPr>
            <w:r w:rsidRPr="0035573F">
              <w:rPr>
                <w:rFonts w:ascii="Garamond" w:hAnsi="Garamond"/>
                <w:b/>
                <w:lang w:val="en-GB"/>
              </w:rPr>
              <w:t>Traditional smoking</w:t>
            </w:r>
          </w:p>
        </w:tc>
        <w:tc>
          <w:tcPr>
            <w:tcW w:w="1077" w:type="dxa"/>
            <w:tcBorders>
              <w:bottom w:val="single" w:sz="4" w:space="0" w:color="auto"/>
            </w:tcBorders>
          </w:tcPr>
          <w:p w14:paraId="11CC41C7" w14:textId="77777777" w:rsidR="00B66A50" w:rsidRPr="0035573F" w:rsidRDefault="00B66A50" w:rsidP="00B66A50">
            <w:pPr>
              <w:pStyle w:val="Paragrafoelenco"/>
              <w:ind w:left="0"/>
              <w:jc w:val="center"/>
              <w:rPr>
                <w:rFonts w:ascii="Garamond" w:hAnsi="Garamond"/>
                <w:b/>
                <w:lang w:val="en-GB"/>
              </w:rPr>
            </w:pPr>
            <w:r w:rsidRPr="0035573F">
              <w:rPr>
                <w:rFonts w:ascii="Garamond" w:hAnsi="Garamond"/>
                <w:b/>
                <w:lang w:val="en-GB"/>
              </w:rPr>
              <w:t>All methods</w:t>
            </w:r>
          </w:p>
        </w:tc>
        <w:tc>
          <w:tcPr>
            <w:tcW w:w="1077" w:type="dxa"/>
            <w:tcBorders>
              <w:bottom w:val="single" w:sz="4" w:space="0" w:color="auto"/>
            </w:tcBorders>
          </w:tcPr>
          <w:p w14:paraId="64042C95" w14:textId="4B8781FF" w:rsidR="00B66A50" w:rsidRPr="0035573F" w:rsidRDefault="00B66A50" w:rsidP="00B66A50">
            <w:pPr>
              <w:pStyle w:val="Paragrafoelenco"/>
              <w:ind w:left="0"/>
              <w:jc w:val="center"/>
              <w:rPr>
                <w:rFonts w:ascii="Garamond" w:hAnsi="Garamond"/>
                <w:b/>
                <w:lang w:val="en-GB"/>
              </w:rPr>
            </w:pPr>
            <w:r>
              <w:rPr>
                <w:rFonts w:ascii="Garamond" w:hAnsi="Garamond"/>
                <w:b/>
                <w:lang w:val="en-GB"/>
              </w:rPr>
              <w:t>E-cig and</w:t>
            </w:r>
            <w:r w:rsidR="00D94F83">
              <w:rPr>
                <w:rFonts w:ascii="Garamond" w:hAnsi="Garamond"/>
                <w:b/>
                <w:lang w:val="en-GB"/>
              </w:rPr>
              <w:t xml:space="preserve"> other</w:t>
            </w:r>
            <w:r>
              <w:rPr>
                <w:rFonts w:ascii="Garamond" w:hAnsi="Garamond"/>
                <w:b/>
                <w:lang w:val="en-GB"/>
              </w:rPr>
              <w:t xml:space="preserve"> ND</w:t>
            </w:r>
            <w:r w:rsidR="00D94F83">
              <w:rPr>
                <w:rFonts w:ascii="Garamond" w:hAnsi="Garamond"/>
                <w:b/>
                <w:lang w:val="en-GB"/>
              </w:rPr>
              <w:t>S</w:t>
            </w:r>
          </w:p>
        </w:tc>
      </w:tr>
      <w:tr w:rsidR="00B66A50" w14:paraId="5471D1B8" w14:textId="77777777" w:rsidTr="00533266">
        <w:tc>
          <w:tcPr>
            <w:tcW w:w="1261" w:type="dxa"/>
            <w:tcBorders>
              <w:top w:val="single" w:sz="4" w:space="0" w:color="auto"/>
              <w:bottom w:val="nil"/>
            </w:tcBorders>
          </w:tcPr>
          <w:p w14:paraId="22C27A3B" w14:textId="77777777" w:rsidR="00B66A50" w:rsidRDefault="00B66A50" w:rsidP="00B66A50">
            <w:pPr>
              <w:pStyle w:val="Paragrafoelenco"/>
              <w:ind w:left="0"/>
              <w:jc w:val="center"/>
              <w:rPr>
                <w:rFonts w:ascii="Garamond" w:hAnsi="Garamond"/>
                <w:b/>
                <w:lang w:val="en-GB"/>
              </w:rPr>
            </w:pPr>
            <w:r>
              <w:rPr>
                <w:rFonts w:ascii="Garamond" w:hAnsi="Garamond"/>
                <w:b/>
                <w:lang w:val="en-GB"/>
              </w:rPr>
              <w:t>Take-up rate</w:t>
            </w:r>
          </w:p>
        </w:tc>
        <w:tc>
          <w:tcPr>
            <w:tcW w:w="1261" w:type="dxa"/>
            <w:tcBorders>
              <w:top w:val="single" w:sz="4" w:space="0" w:color="auto"/>
              <w:bottom w:val="nil"/>
            </w:tcBorders>
          </w:tcPr>
          <w:p w14:paraId="19D7DC03" w14:textId="77777777" w:rsidR="00B66A50" w:rsidRPr="0035573F" w:rsidRDefault="00B66A50" w:rsidP="00B66A50">
            <w:pPr>
              <w:pStyle w:val="Paragrafoelenco"/>
              <w:ind w:left="0"/>
              <w:jc w:val="center"/>
              <w:rPr>
                <w:rFonts w:ascii="Garamond" w:hAnsi="Garamond"/>
                <w:lang w:val="en-GB"/>
              </w:rPr>
            </w:pPr>
            <w:r>
              <w:rPr>
                <w:rFonts w:ascii="Garamond" w:hAnsi="Garamond"/>
                <w:lang w:val="en-GB"/>
              </w:rPr>
              <w:t>15.45%</w:t>
            </w:r>
          </w:p>
        </w:tc>
        <w:tc>
          <w:tcPr>
            <w:tcW w:w="1077" w:type="dxa"/>
            <w:tcBorders>
              <w:top w:val="single" w:sz="4" w:space="0" w:color="auto"/>
              <w:bottom w:val="nil"/>
            </w:tcBorders>
          </w:tcPr>
          <w:p w14:paraId="092029DF" w14:textId="77777777" w:rsidR="00B66A50" w:rsidRPr="0035573F" w:rsidRDefault="00B66A50" w:rsidP="00B66A50">
            <w:pPr>
              <w:pStyle w:val="Paragrafoelenco"/>
              <w:ind w:left="0"/>
              <w:jc w:val="center"/>
              <w:rPr>
                <w:rFonts w:ascii="Garamond" w:hAnsi="Garamond"/>
                <w:lang w:val="en-GB"/>
              </w:rPr>
            </w:pPr>
            <w:r>
              <w:rPr>
                <w:rFonts w:ascii="Garamond" w:hAnsi="Garamond"/>
                <w:lang w:val="en-GB"/>
              </w:rPr>
              <w:t>20.39%</w:t>
            </w:r>
          </w:p>
        </w:tc>
        <w:tc>
          <w:tcPr>
            <w:tcW w:w="1077" w:type="dxa"/>
            <w:tcBorders>
              <w:top w:val="single" w:sz="4" w:space="0" w:color="auto"/>
              <w:bottom w:val="nil"/>
            </w:tcBorders>
          </w:tcPr>
          <w:p w14:paraId="31F30E21" w14:textId="77777777" w:rsidR="00B66A50" w:rsidRPr="0035573F" w:rsidRDefault="00B66A50" w:rsidP="00B66A50">
            <w:pPr>
              <w:pStyle w:val="Paragrafoelenco"/>
              <w:ind w:left="0"/>
              <w:jc w:val="center"/>
              <w:rPr>
                <w:rFonts w:ascii="Garamond" w:hAnsi="Garamond"/>
                <w:lang w:val="en-GB"/>
              </w:rPr>
            </w:pPr>
            <w:r>
              <w:rPr>
                <w:rFonts w:ascii="Garamond" w:hAnsi="Garamond"/>
                <w:lang w:val="en-GB"/>
              </w:rPr>
              <w:t>53.8%</w:t>
            </w:r>
          </w:p>
        </w:tc>
      </w:tr>
      <w:tr w:rsidR="00B66A50" w14:paraId="30D78563" w14:textId="77777777" w:rsidTr="00533266">
        <w:tc>
          <w:tcPr>
            <w:tcW w:w="1261" w:type="dxa"/>
            <w:tcBorders>
              <w:top w:val="single" w:sz="4" w:space="0" w:color="auto"/>
              <w:bottom w:val="nil"/>
            </w:tcBorders>
          </w:tcPr>
          <w:p w14:paraId="2D874F7E" w14:textId="77777777" w:rsidR="00B66A50" w:rsidRPr="004954D2" w:rsidRDefault="00B66A50" w:rsidP="00B66A50">
            <w:pPr>
              <w:pStyle w:val="Paragrafoelenco"/>
              <w:ind w:left="0"/>
              <w:jc w:val="center"/>
              <w:rPr>
                <w:rFonts w:ascii="Garamond" w:hAnsi="Garamond"/>
                <w:b/>
                <w:lang w:val="en-GB"/>
              </w:rPr>
            </w:pPr>
            <w:r>
              <w:rPr>
                <w:rFonts w:ascii="Garamond" w:hAnsi="Garamond"/>
                <w:b/>
                <w:lang w:val="en-GB"/>
              </w:rPr>
              <w:t>EI</w:t>
            </w:r>
          </w:p>
        </w:tc>
        <w:tc>
          <w:tcPr>
            <w:tcW w:w="1261" w:type="dxa"/>
            <w:tcBorders>
              <w:top w:val="single" w:sz="4" w:space="0" w:color="auto"/>
              <w:bottom w:val="nil"/>
            </w:tcBorders>
          </w:tcPr>
          <w:p w14:paraId="3B0171D6" w14:textId="77777777" w:rsidR="00B66A50" w:rsidRPr="0035573F" w:rsidRDefault="00B66A50" w:rsidP="00B66A50">
            <w:pPr>
              <w:pStyle w:val="Paragrafoelenco"/>
              <w:ind w:left="0"/>
              <w:jc w:val="center"/>
              <w:rPr>
                <w:rFonts w:ascii="Garamond" w:hAnsi="Garamond"/>
                <w:lang w:val="en-GB"/>
              </w:rPr>
            </w:pPr>
            <w:r w:rsidRPr="0035573F">
              <w:rPr>
                <w:rFonts w:ascii="Garamond" w:hAnsi="Garamond"/>
                <w:lang w:val="en-GB"/>
              </w:rPr>
              <w:t>-0.063</w:t>
            </w:r>
            <w:r w:rsidRPr="0035573F">
              <w:rPr>
                <w:rFonts w:ascii="Garamond" w:hAnsi="Garamond"/>
                <w:vertAlign w:val="superscript"/>
                <w:lang w:val="en-GB"/>
              </w:rPr>
              <w:t>***</w:t>
            </w:r>
          </w:p>
        </w:tc>
        <w:tc>
          <w:tcPr>
            <w:tcW w:w="1077" w:type="dxa"/>
            <w:tcBorders>
              <w:top w:val="single" w:sz="4" w:space="0" w:color="auto"/>
              <w:bottom w:val="nil"/>
            </w:tcBorders>
          </w:tcPr>
          <w:p w14:paraId="4178E925" w14:textId="77777777" w:rsidR="00B66A50" w:rsidRPr="0035573F" w:rsidRDefault="00B66A50" w:rsidP="00B66A50">
            <w:pPr>
              <w:pStyle w:val="Paragrafoelenco"/>
              <w:ind w:left="0"/>
              <w:jc w:val="center"/>
              <w:rPr>
                <w:rFonts w:ascii="Garamond" w:hAnsi="Garamond"/>
                <w:lang w:val="en-GB"/>
              </w:rPr>
            </w:pPr>
            <w:r w:rsidRPr="0035573F">
              <w:rPr>
                <w:rFonts w:ascii="Garamond" w:hAnsi="Garamond"/>
                <w:lang w:val="en-GB"/>
              </w:rPr>
              <w:t>-0.054</w:t>
            </w:r>
            <w:r w:rsidRPr="0035573F">
              <w:rPr>
                <w:rFonts w:ascii="Garamond" w:hAnsi="Garamond"/>
                <w:vertAlign w:val="superscript"/>
                <w:lang w:val="en-GB"/>
              </w:rPr>
              <w:t>***</w:t>
            </w:r>
          </w:p>
        </w:tc>
        <w:tc>
          <w:tcPr>
            <w:tcW w:w="1077" w:type="dxa"/>
            <w:tcBorders>
              <w:top w:val="single" w:sz="4" w:space="0" w:color="auto"/>
              <w:bottom w:val="nil"/>
            </w:tcBorders>
          </w:tcPr>
          <w:p w14:paraId="56951871" w14:textId="77777777" w:rsidR="00B66A50" w:rsidRPr="0035573F" w:rsidRDefault="00B66A50" w:rsidP="00B66A50">
            <w:pPr>
              <w:pStyle w:val="Paragrafoelenco"/>
              <w:ind w:left="0"/>
              <w:jc w:val="center"/>
              <w:rPr>
                <w:rFonts w:ascii="Garamond" w:hAnsi="Garamond"/>
                <w:lang w:val="en-GB"/>
              </w:rPr>
            </w:pPr>
            <w:r w:rsidRPr="0035573F">
              <w:rPr>
                <w:rFonts w:ascii="Garamond" w:hAnsi="Garamond"/>
                <w:lang w:val="en-GB"/>
              </w:rPr>
              <w:t>0.074</w:t>
            </w:r>
            <w:r w:rsidRPr="0035573F">
              <w:rPr>
                <w:rFonts w:ascii="Garamond" w:hAnsi="Garamond"/>
                <w:vertAlign w:val="superscript"/>
                <w:lang w:val="en-GB"/>
              </w:rPr>
              <w:t>**</w:t>
            </w:r>
          </w:p>
        </w:tc>
      </w:tr>
      <w:tr w:rsidR="00B66A50" w14:paraId="4E756678" w14:textId="77777777" w:rsidTr="00533266">
        <w:tc>
          <w:tcPr>
            <w:tcW w:w="1261" w:type="dxa"/>
            <w:tcBorders>
              <w:top w:val="nil"/>
              <w:bottom w:val="single" w:sz="4" w:space="0" w:color="auto"/>
            </w:tcBorders>
          </w:tcPr>
          <w:p w14:paraId="5724F4BD" w14:textId="77777777" w:rsidR="00B66A50" w:rsidRPr="001455E9" w:rsidRDefault="00B66A50" w:rsidP="00B66A50">
            <w:pPr>
              <w:pStyle w:val="Paragrafoelenco"/>
              <w:ind w:left="0"/>
              <w:jc w:val="center"/>
              <w:rPr>
                <w:rFonts w:ascii="Garamond" w:hAnsi="Garamond"/>
                <w:b/>
                <w:i/>
                <w:lang w:val="en-GB"/>
              </w:rPr>
            </w:pPr>
            <w:r w:rsidRPr="001455E9">
              <w:rPr>
                <w:rFonts w:ascii="Garamond" w:hAnsi="Garamond"/>
                <w:b/>
                <w:i/>
                <w:lang w:val="en-GB"/>
              </w:rPr>
              <w:t>Std. Error</w:t>
            </w:r>
          </w:p>
        </w:tc>
        <w:tc>
          <w:tcPr>
            <w:tcW w:w="1261" w:type="dxa"/>
            <w:tcBorders>
              <w:top w:val="nil"/>
              <w:bottom w:val="single" w:sz="4" w:space="0" w:color="auto"/>
            </w:tcBorders>
          </w:tcPr>
          <w:p w14:paraId="3FCDE554" w14:textId="77777777" w:rsidR="00B66A50" w:rsidRPr="004954D2" w:rsidRDefault="00B66A50" w:rsidP="00B66A50">
            <w:pPr>
              <w:pStyle w:val="Paragrafoelenco"/>
              <w:ind w:left="0"/>
              <w:jc w:val="center"/>
              <w:rPr>
                <w:rFonts w:ascii="Garamond" w:hAnsi="Garamond"/>
                <w:i/>
                <w:lang w:val="en-GB"/>
              </w:rPr>
            </w:pPr>
            <w:r w:rsidRPr="004954D2">
              <w:rPr>
                <w:rFonts w:ascii="Garamond" w:hAnsi="Garamond"/>
                <w:i/>
                <w:lang w:val="en-GB"/>
              </w:rPr>
              <w:t>0.008</w:t>
            </w:r>
          </w:p>
        </w:tc>
        <w:tc>
          <w:tcPr>
            <w:tcW w:w="1077" w:type="dxa"/>
            <w:tcBorders>
              <w:top w:val="nil"/>
              <w:bottom w:val="single" w:sz="4" w:space="0" w:color="auto"/>
            </w:tcBorders>
          </w:tcPr>
          <w:p w14:paraId="58E3AC38" w14:textId="77777777" w:rsidR="00B66A50" w:rsidRPr="001455E9" w:rsidRDefault="00B66A50" w:rsidP="00B66A50">
            <w:pPr>
              <w:pStyle w:val="Paragrafoelenco"/>
              <w:ind w:left="0"/>
              <w:jc w:val="center"/>
              <w:rPr>
                <w:rFonts w:ascii="Garamond" w:hAnsi="Garamond"/>
                <w:i/>
                <w:lang w:val="en-GB"/>
              </w:rPr>
            </w:pPr>
            <w:r w:rsidRPr="001455E9">
              <w:rPr>
                <w:rFonts w:ascii="Garamond" w:hAnsi="Garamond"/>
                <w:i/>
                <w:lang w:val="en-GB"/>
              </w:rPr>
              <w:t>0.008</w:t>
            </w:r>
          </w:p>
        </w:tc>
        <w:tc>
          <w:tcPr>
            <w:tcW w:w="1077" w:type="dxa"/>
            <w:tcBorders>
              <w:top w:val="nil"/>
              <w:bottom w:val="single" w:sz="4" w:space="0" w:color="auto"/>
            </w:tcBorders>
          </w:tcPr>
          <w:p w14:paraId="3152BEFB" w14:textId="77777777" w:rsidR="00B66A50" w:rsidRPr="001455E9" w:rsidRDefault="00B66A50" w:rsidP="00B66A50">
            <w:pPr>
              <w:pStyle w:val="Paragrafoelenco"/>
              <w:ind w:left="0"/>
              <w:jc w:val="center"/>
              <w:rPr>
                <w:rFonts w:ascii="Garamond" w:hAnsi="Garamond"/>
                <w:i/>
                <w:lang w:val="en-GB"/>
              </w:rPr>
            </w:pPr>
            <w:r>
              <w:rPr>
                <w:rFonts w:ascii="Garamond" w:hAnsi="Garamond"/>
                <w:i/>
                <w:lang w:val="en-GB"/>
              </w:rPr>
              <w:t>0.028</w:t>
            </w:r>
          </w:p>
        </w:tc>
      </w:tr>
      <w:tr w:rsidR="00B66A50" w14:paraId="27C870B9" w14:textId="77777777" w:rsidTr="00533266">
        <w:tc>
          <w:tcPr>
            <w:tcW w:w="1261" w:type="dxa"/>
            <w:tcBorders>
              <w:top w:val="single" w:sz="4" w:space="0" w:color="auto"/>
              <w:bottom w:val="single" w:sz="4" w:space="0" w:color="auto"/>
            </w:tcBorders>
          </w:tcPr>
          <w:p w14:paraId="08E8E7C8" w14:textId="77777777" w:rsidR="00B66A50" w:rsidRPr="001455E9" w:rsidRDefault="00B66A50" w:rsidP="00B66A50">
            <w:pPr>
              <w:pStyle w:val="Paragrafoelenco"/>
              <w:ind w:left="0"/>
              <w:jc w:val="center"/>
              <w:rPr>
                <w:rFonts w:ascii="Garamond" w:hAnsi="Garamond"/>
                <w:b/>
                <w:lang w:val="en-GB"/>
              </w:rPr>
            </w:pPr>
            <w:r w:rsidRPr="001455E9">
              <w:rPr>
                <w:rFonts w:ascii="Garamond" w:hAnsi="Garamond"/>
                <w:b/>
                <w:lang w:val="en-GB"/>
              </w:rPr>
              <w:t>Observations</w:t>
            </w:r>
          </w:p>
        </w:tc>
        <w:tc>
          <w:tcPr>
            <w:tcW w:w="1261" w:type="dxa"/>
            <w:tcBorders>
              <w:top w:val="single" w:sz="4" w:space="0" w:color="auto"/>
              <w:bottom w:val="single" w:sz="4" w:space="0" w:color="auto"/>
            </w:tcBorders>
          </w:tcPr>
          <w:p w14:paraId="6A10A37E" w14:textId="77777777" w:rsidR="00B66A50" w:rsidRPr="001455E9" w:rsidRDefault="00B66A50" w:rsidP="00B66A50">
            <w:pPr>
              <w:pStyle w:val="Paragrafoelenco"/>
              <w:ind w:left="0"/>
              <w:jc w:val="center"/>
              <w:rPr>
                <w:rFonts w:ascii="Garamond" w:hAnsi="Garamond"/>
                <w:lang w:val="en-GB"/>
              </w:rPr>
            </w:pPr>
            <w:r>
              <w:rPr>
                <w:rFonts w:ascii="Garamond" w:hAnsi="Garamond"/>
                <w:lang w:val="en-GB"/>
              </w:rPr>
              <w:t>10,98</w:t>
            </w:r>
            <w:r w:rsidRPr="001455E9">
              <w:rPr>
                <w:rFonts w:ascii="Garamond" w:hAnsi="Garamond"/>
                <w:lang w:val="en-GB"/>
              </w:rPr>
              <w:t>0</w:t>
            </w:r>
          </w:p>
        </w:tc>
        <w:tc>
          <w:tcPr>
            <w:tcW w:w="1077" w:type="dxa"/>
            <w:tcBorders>
              <w:top w:val="single" w:sz="4" w:space="0" w:color="auto"/>
              <w:bottom w:val="single" w:sz="4" w:space="0" w:color="auto"/>
            </w:tcBorders>
          </w:tcPr>
          <w:p w14:paraId="1B5D0FB0" w14:textId="77777777" w:rsidR="00B66A50" w:rsidRPr="001455E9" w:rsidRDefault="00B66A50" w:rsidP="00B66A50">
            <w:pPr>
              <w:pStyle w:val="Paragrafoelenco"/>
              <w:ind w:left="0"/>
              <w:jc w:val="center"/>
              <w:rPr>
                <w:rFonts w:ascii="Garamond" w:hAnsi="Garamond"/>
                <w:i/>
                <w:lang w:val="en-GB"/>
              </w:rPr>
            </w:pPr>
            <w:r>
              <w:rPr>
                <w:rFonts w:ascii="Garamond" w:hAnsi="Garamond"/>
                <w:lang w:val="en-GB"/>
              </w:rPr>
              <w:t>10,98</w:t>
            </w:r>
            <w:r w:rsidRPr="001455E9">
              <w:rPr>
                <w:rFonts w:ascii="Garamond" w:hAnsi="Garamond"/>
                <w:lang w:val="en-GB"/>
              </w:rPr>
              <w:t>0</w:t>
            </w:r>
          </w:p>
        </w:tc>
        <w:tc>
          <w:tcPr>
            <w:tcW w:w="1077" w:type="dxa"/>
            <w:tcBorders>
              <w:top w:val="single" w:sz="4" w:space="0" w:color="auto"/>
              <w:bottom w:val="single" w:sz="4" w:space="0" w:color="auto"/>
            </w:tcBorders>
          </w:tcPr>
          <w:p w14:paraId="5C2F9087" w14:textId="77777777" w:rsidR="00B66A50" w:rsidRPr="001455E9" w:rsidRDefault="00B66A50" w:rsidP="00B66A50">
            <w:pPr>
              <w:pStyle w:val="Paragrafoelenco"/>
              <w:ind w:left="0"/>
              <w:jc w:val="center"/>
              <w:rPr>
                <w:rFonts w:ascii="Garamond" w:hAnsi="Garamond"/>
                <w:lang w:val="en-GB"/>
              </w:rPr>
            </w:pPr>
            <w:r w:rsidRPr="001455E9">
              <w:rPr>
                <w:rFonts w:ascii="Garamond" w:hAnsi="Garamond"/>
                <w:lang w:val="en-GB"/>
              </w:rPr>
              <w:t>1</w:t>
            </w:r>
            <w:r>
              <w:rPr>
                <w:rFonts w:ascii="Garamond" w:hAnsi="Garamond"/>
                <w:lang w:val="en-GB"/>
              </w:rPr>
              <w:t>,</w:t>
            </w:r>
            <w:r w:rsidRPr="001455E9">
              <w:rPr>
                <w:rFonts w:ascii="Garamond" w:hAnsi="Garamond"/>
                <w:lang w:val="en-GB"/>
              </w:rPr>
              <w:t>697</w:t>
            </w:r>
          </w:p>
        </w:tc>
      </w:tr>
    </w:tbl>
    <w:p w14:paraId="7347440C" w14:textId="6FCBCC33" w:rsidR="00B66A50" w:rsidRPr="00EC3234" w:rsidRDefault="00533266" w:rsidP="00B66A50">
      <w:pPr>
        <w:rPr>
          <w:rFonts w:ascii="Garamond" w:hAnsi="Garamond"/>
          <w:sz w:val="16"/>
          <w:szCs w:val="16"/>
        </w:rPr>
      </w:pPr>
      <w:r>
        <w:rPr>
          <w:rFonts w:ascii="Garamond" w:hAnsi="Garamond"/>
          <w:b/>
          <w:sz w:val="16"/>
          <w:szCs w:val="16"/>
          <w:vertAlign w:val="superscript"/>
          <w:lang w:val="en-GB"/>
        </w:rPr>
        <w:t>*** ,</w:t>
      </w:r>
      <w:r w:rsidR="00B66A50" w:rsidRPr="00EC3234">
        <w:rPr>
          <w:rFonts w:ascii="Garamond" w:hAnsi="Garamond"/>
          <w:b/>
          <w:sz w:val="16"/>
          <w:szCs w:val="16"/>
          <w:vertAlign w:val="superscript"/>
          <w:lang w:val="en-GB"/>
        </w:rPr>
        <w:t>**</w:t>
      </w:r>
      <w:r w:rsidR="00B66A50" w:rsidRPr="00EC3234">
        <w:rPr>
          <w:rFonts w:ascii="Garamond" w:hAnsi="Garamond"/>
          <w:b/>
          <w:vertAlign w:val="superscript"/>
          <w:lang w:val="en-GB"/>
        </w:rPr>
        <w:t xml:space="preserve"> </w:t>
      </w:r>
      <w:r>
        <w:rPr>
          <w:rFonts w:ascii="Garamond" w:hAnsi="Garamond"/>
          <w:sz w:val="16"/>
          <w:szCs w:val="16"/>
        </w:rPr>
        <w:t xml:space="preserve">indicate significance at 1% and 5%, </w:t>
      </w:r>
      <w:r w:rsidR="00B66A50" w:rsidRPr="00EC3234">
        <w:rPr>
          <w:rFonts w:ascii="Garamond" w:hAnsi="Garamond"/>
          <w:sz w:val="16"/>
          <w:szCs w:val="16"/>
        </w:rPr>
        <w:t>respectively</w:t>
      </w:r>
      <w:r>
        <w:rPr>
          <w:rFonts w:ascii="Garamond" w:hAnsi="Garamond"/>
          <w:sz w:val="16"/>
          <w:szCs w:val="16"/>
        </w:rPr>
        <w:t>.</w:t>
      </w:r>
    </w:p>
    <w:p w14:paraId="5F39C9F5" w14:textId="46C404BE" w:rsidR="00375C26" w:rsidRDefault="00730431" w:rsidP="002C1353">
      <w:pPr>
        <w:jc w:val="both"/>
        <w:rPr>
          <w:rFonts w:ascii="Garamond" w:hAnsi="Garamond"/>
          <w:b/>
          <w:lang w:val="en-GB"/>
        </w:rPr>
      </w:pPr>
      <w:r>
        <w:rPr>
          <w:rFonts w:ascii="Garamond" w:hAnsi="Garamond"/>
          <w:lang w:val="en-GB"/>
        </w:rPr>
        <w:t xml:space="preserve">Table 2 shows the main </w:t>
      </w:r>
      <w:r w:rsidR="00B66A50">
        <w:rPr>
          <w:rFonts w:ascii="Garamond" w:hAnsi="Garamond"/>
          <w:lang w:val="en-GB"/>
        </w:rPr>
        <w:t>contributors to</w:t>
      </w:r>
      <w:r>
        <w:rPr>
          <w:rFonts w:ascii="Garamond" w:hAnsi="Garamond"/>
          <w:lang w:val="en-GB"/>
        </w:rPr>
        <w:t xml:space="preserve"> inequalities in e-cig and ND</w:t>
      </w:r>
      <w:r w:rsidR="00D94F83">
        <w:rPr>
          <w:rFonts w:ascii="Garamond" w:hAnsi="Garamond"/>
          <w:lang w:val="en-GB"/>
        </w:rPr>
        <w:t>S</w:t>
      </w:r>
      <w:r>
        <w:rPr>
          <w:rFonts w:ascii="Garamond" w:hAnsi="Garamond"/>
          <w:lang w:val="en-GB"/>
        </w:rPr>
        <w:t xml:space="preserve"> take-up based on the decomposition </w:t>
      </w:r>
      <w:r w:rsidR="00781DB6">
        <w:rPr>
          <w:rFonts w:ascii="Garamond" w:hAnsi="Garamond"/>
          <w:lang w:val="en-GB"/>
        </w:rPr>
        <w:t xml:space="preserve">shown </w:t>
      </w:r>
      <w:r>
        <w:rPr>
          <w:rFonts w:ascii="Garamond" w:hAnsi="Garamond"/>
          <w:lang w:val="en-GB"/>
        </w:rPr>
        <w:t xml:space="preserve">in equation (3). </w:t>
      </w:r>
      <w:r w:rsidR="00781DB6">
        <w:rPr>
          <w:rFonts w:ascii="Garamond" w:hAnsi="Garamond"/>
          <w:lang w:val="en-GB"/>
        </w:rPr>
        <w:t xml:space="preserve">Income itself </w:t>
      </w:r>
      <w:r w:rsidR="00B66A50">
        <w:rPr>
          <w:rFonts w:ascii="Garamond" w:hAnsi="Garamond"/>
          <w:lang w:val="en-GB"/>
        </w:rPr>
        <w:t>contributes</w:t>
      </w:r>
      <w:r w:rsidR="00781DB6">
        <w:rPr>
          <w:rFonts w:ascii="Garamond" w:hAnsi="Garamond"/>
          <w:lang w:val="en-GB"/>
        </w:rPr>
        <w:t xml:space="preserve"> 30% of the total income-</w:t>
      </w:r>
      <w:r w:rsidR="00B66A50">
        <w:rPr>
          <w:rFonts w:ascii="Garamond" w:hAnsi="Garamond"/>
          <w:lang w:val="en-GB"/>
        </w:rPr>
        <w:t>related i</w:t>
      </w:r>
      <w:r w:rsidR="00781DB6">
        <w:rPr>
          <w:rFonts w:ascii="Garamond" w:hAnsi="Garamond"/>
          <w:lang w:val="en-GB"/>
        </w:rPr>
        <w:t>nequalities. This is due to a positive relationship with e-cig and</w:t>
      </w:r>
      <w:r w:rsidR="00D94F83">
        <w:rPr>
          <w:rFonts w:ascii="Garamond" w:hAnsi="Garamond"/>
          <w:lang w:val="en-GB"/>
        </w:rPr>
        <w:t xml:space="preserve"> other</w:t>
      </w:r>
      <w:r w:rsidR="00781DB6">
        <w:rPr>
          <w:rFonts w:ascii="Garamond" w:hAnsi="Garamond"/>
          <w:lang w:val="en-GB"/>
        </w:rPr>
        <w:t xml:space="preserve"> ND</w:t>
      </w:r>
      <w:r w:rsidR="00D94F83">
        <w:rPr>
          <w:rFonts w:ascii="Garamond" w:hAnsi="Garamond"/>
          <w:lang w:val="en-GB"/>
        </w:rPr>
        <w:t>S</w:t>
      </w:r>
      <w:r w:rsidR="00781DB6">
        <w:rPr>
          <w:rFonts w:ascii="Garamond" w:hAnsi="Garamond"/>
          <w:lang w:val="en-GB"/>
        </w:rPr>
        <w:t xml:space="preserve"> take-up (positive β) and </w:t>
      </w:r>
      <w:r w:rsidR="00266C32">
        <w:rPr>
          <w:rFonts w:ascii="Garamond" w:hAnsi="Garamond"/>
          <w:lang w:val="en-GB"/>
        </w:rPr>
        <w:t>the</w:t>
      </w:r>
      <w:r w:rsidR="00781DB6">
        <w:rPr>
          <w:rFonts w:ascii="Garamond" w:hAnsi="Garamond"/>
          <w:lang w:val="en-GB"/>
        </w:rPr>
        <w:t xml:space="preserve"> positive </w:t>
      </w:r>
      <w:r w:rsidR="00266C32">
        <w:rPr>
          <w:rFonts w:ascii="Garamond" w:hAnsi="Garamond"/>
          <w:lang w:val="en-GB"/>
        </w:rPr>
        <w:t xml:space="preserve">generalised </w:t>
      </w:r>
      <w:r w:rsidR="00781DB6">
        <w:rPr>
          <w:rFonts w:ascii="Garamond" w:hAnsi="Garamond"/>
          <w:lang w:val="en-GB"/>
        </w:rPr>
        <w:t>concentration index</w:t>
      </w:r>
      <w:r w:rsidR="00266C32">
        <w:rPr>
          <w:rFonts w:ascii="Garamond" w:hAnsi="Garamond"/>
          <w:lang w:val="en-GB"/>
        </w:rPr>
        <w:t xml:space="preserve"> for </w:t>
      </w:r>
      <w:r w:rsidR="00C85C33">
        <w:rPr>
          <w:rFonts w:ascii="Garamond" w:hAnsi="Garamond"/>
          <w:lang w:val="en-GB"/>
        </w:rPr>
        <w:t>income</w:t>
      </w:r>
      <w:r w:rsidR="00781DB6">
        <w:rPr>
          <w:rFonts w:ascii="Garamond" w:hAnsi="Garamond"/>
          <w:lang w:val="en-GB"/>
        </w:rPr>
        <w:t>. Education is the second leading c</w:t>
      </w:r>
      <w:r w:rsidR="00B66A50">
        <w:rPr>
          <w:rFonts w:ascii="Garamond" w:hAnsi="Garamond"/>
          <w:lang w:val="en-GB"/>
        </w:rPr>
        <w:t>ontributor</w:t>
      </w:r>
      <w:r w:rsidR="00781DB6">
        <w:rPr>
          <w:rFonts w:ascii="Garamond" w:hAnsi="Garamond"/>
          <w:lang w:val="en-GB"/>
        </w:rPr>
        <w:t xml:space="preserve"> </w:t>
      </w:r>
      <w:r w:rsidR="00B66A50">
        <w:rPr>
          <w:rFonts w:ascii="Garamond" w:hAnsi="Garamond"/>
          <w:lang w:val="en-GB"/>
        </w:rPr>
        <w:t>to</w:t>
      </w:r>
      <w:r w:rsidR="00781DB6">
        <w:rPr>
          <w:rFonts w:ascii="Garamond" w:hAnsi="Garamond"/>
          <w:lang w:val="en-GB"/>
        </w:rPr>
        <w:t xml:space="preserve"> inequality. More educated individuals (</w:t>
      </w:r>
      <w:r w:rsidR="00B66A50">
        <w:rPr>
          <w:rFonts w:ascii="Garamond" w:hAnsi="Garamond"/>
          <w:lang w:val="en-GB"/>
        </w:rPr>
        <w:t>d</w:t>
      </w:r>
      <w:r w:rsidR="00781DB6">
        <w:rPr>
          <w:rFonts w:ascii="Garamond" w:hAnsi="Garamond"/>
          <w:lang w:val="en-GB"/>
        </w:rPr>
        <w:t>eg</w:t>
      </w:r>
      <w:r w:rsidR="00511F87">
        <w:rPr>
          <w:rFonts w:ascii="Garamond" w:hAnsi="Garamond"/>
          <w:lang w:val="en-GB"/>
        </w:rPr>
        <w:t xml:space="preserve">ree, </w:t>
      </w:r>
      <w:r w:rsidR="00781DB6">
        <w:rPr>
          <w:rFonts w:ascii="Garamond" w:hAnsi="Garamond"/>
          <w:lang w:val="en-GB"/>
        </w:rPr>
        <w:t>higher education</w:t>
      </w:r>
      <w:r w:rsidR="00511F87">
        <w:rPr>
          <w:rFonts w:ascii="Garamond" w:hAnsi="Garamond"/>
          <w:lang w:val="en-GB"/>
        </w:rPr>
        <w:t xml:space="preserve"> or NVQ3</w:t>
      </w:r>
      <w:r w:rsidR="00781DB6">
        <w:rPr>
          <w:rFonts w:ascii="Garamond" w:hAnsi="Garamond"/>
          <w:lang w:val="en-GB"/>
        </w:rPr>
        <w:t>) have a higher take-up rate</w:t>
      </w:r>
      <w:r w:rsidR="00511F87">
        <w:rPr>
          <w:rFonts w:ascii="Garamond" w:hAnsi="Garamond"/>
          <w:lang w:val="en-GB"/>
        </w:rPr>
        <w:t xml:space="preserve"> (positive β) and a larger share of income (positive GCI). The total contribution of these </w:t>
      </w:r>
      <w:r w:rsidR="003D0CD3">
        <w:rPr>
          <w:rFonts w:ascii="Garamond" w:hAnsi="Garamond"/>
          <w:lang w:val="en-GB"/>
        </w:rPr>
        <w:t xml:space="preserve">education </w:t>
      </w:r>
      <w:r w:rsidR="00511F87">
        <w:rPr>
          <w:rFonts w:ascii="Garamond" w:hAnsi="Garamond"/>
          <w:lang w:val="en-GB"/>
        </w:rPr>
        <w:t xml:space="preserve">variables is equal to around 17%. </w:t>
      </w:r>
      <w:r w:rsidR="00781DB6">
        <w:rPr>
          <w:rFonts w:ascii="Garamond" w:hAnsi="Garamond"/>
          <w:lang w:val="en-GB"/>
        </w:rPr>
        <w:t xml:space="preserve"> Demographics also display a positive </w:t>
      </w:r>
      <w:r w:rsidR="00781DB6">
        <w:rPr>
          <w:rFonts w:ascii="Garamond" w:hAnsi="Garamond"/>
          <w:lang w:val="en-GB"/>
        </w:rPr>
        <w:lastRenderedPageBreak/>
        <w:t xml:space="preserve">contribution due to a lower take-up rate among </w:t>
      </w:r>
      <w:r w:rsidR="00511F87">
        <w:rPr>
          <w:rFonts w:ascii="Garamond" w:hAnsi="Garamond"/>
          <w:lang w:val="en-GB"/>
        </w:rPr>
        <w:t xml:space="preserve">older </w:t>
      </w:r>
      <w:r w:rsidR="00781DB6">
        <w:rPr>
          <w:rFonts w:ascii="Garamond" w:hAnsi="Garamond"/>
          <w:lang w:val="en-GB"/>
        </w:rPr>
        <w:t>men and women</w:t>
      </w:r>
      <w:r w:rsidR="00A43F5D">
        <w:rPr>
          <w:rFonts w:ascii="Garamond" w:hAnsi="Garamond"/>
          <w:lang w:val="en-GB"/>
        </w:rPr>
        <w:t xml:space="preserve"> (75+) (</w:t>
      </w:r>
      <w:r w:rsidR="00781DB6">
        <w:rPr>
          <w:rFonts w:ascii="Garamond" w:hAnsi="Garamond"/>
          <w:lang w:val="en-GB"/>
        </w:rPr>
        <w:t xml:space="preserve">negative β) and </w:t>
      </w:r>
      <w:r w:rsidR="00511F87">
        <w:rPr>
          <w:rFonts w:ascii="Garamond" w:hAnsi="Garamond"/>
          <w:lang w:val="en-GB"/>
        </w:rPr>
        <w:t xml:space="preserve">a </w:t>
      </w:r>
      <w:r w:rsidR="00781DB6">
        <w:rPr>
          <w:rFonts w:ascii="Garamond" w:hAnsi="Garamond"/>
          <w:lang w:val="en-GB"/>
        </w:rPr>
        <w:t>low</w:t>
      </w:r>
      <w:r w:rsidR="00511F87">
        <w:rPr>
          <w:rFonts w:ascii="Garamond" w:hAnsi="Garamond"/>
          <w:lang w:val="en-GB"/>
        </w:rPr>
        <w:t>er</w:t>
      </w:r>
      <w:r w:rsidR="00781DB6">
        <w:rPr>
          <w:rFonts w:ascii="Garamond" w:hAnsi="Garamond"/>
          <w:lang w:val="en-GB"/>
        </w:rPr>
        <w:t xml:space="preserve"> concentration of income among these groups (negative GCI). </w:t>
      </w:r>
      <w:r w:rsidR="00511F87">
        <w:rPr>
          <w:rFonts w:ascii="Garamond" w:hAnsi="Garamond"/>
          <w:lang w:val="en-GB"/>
        </w:rPr>
        <w:t>These variable</w:t>
      </w:r>
      <w:r w:rsidR="00B66A50">
        <w:rPr>
          <w:rFonts w:ascii="Garamond" w:hAnsi="Garamond"/>
          <w:lang w:val="en-GB"/>
        </w:rPr>
        <w:t>s</w:t>
      </w:r>
      <w:r w:rsidR="00511F87">
        <w:rPr>
          <w:rFonts w:ascii="Garamond" w:hAnsi="Garamond"/>
          <w:lang w:val="en-GB"/>
        </w:rPr>
        <w:t xml:space="preserve"> </w:t>
      </w:r>
      <w:r w:rsidR="00B66A50">
        <w:rPr>
          <w:rFonts w:ascii="Garamond" w:hAnsi="Garamond"/>
          <w:lang w:val="en-GB"/>
        </w:rPr>
        <w:t>account for</w:t>
      </w:r>
      <w:r w:rsidR="00511F87">
        <w:rPr>
          <w:rFonts w:ascii="Garamond" w:hAnsi="Garamond"/>
          <w:lang w:val="en-GB"/>
        </w:rPr>
        <w:t xml:space="preserve"> around 5.5% of the total inequalities.</w:t>
      </w:r>
    </w:p>
    <w:p w14:paraId="5FED16BB" w14:textId="0DC932BA" w:rsidR="00B66A50" w:rsidRPr="002C1353" w:rsidRDefault="00B66A50" w:rsidP="002C1353">
      <w:pPr>
        <w:jc w:val="both"/>
        <w:rPr>
          <w:rFonts w:ascii="Garamond" w:hAnsi="Garamond"/>
          <w:lang w:val="en-GB"/>
        </w:rPr>
      </w:pPr>
      <w:r w:rsidRPr="00EC3234">
        <w:rPr>
          <w:rFonts w:ascii="Garamond" w:hAnsi="Garamond"/>
          <w:b/>
          <w:lang w:val="en-GB"/>
        </w:rPr>
        <w:t xml:space="preserve">Table 2. Decomposition of income-related inequalities in E-cig and </w:t>
      </w:r>
      <w:r w:rsidR="00D94F83">
        <w:rPr>
          <w:rFonts w:ascii="Garamond" w:hAnsi="Garamond"/>
          <w:b/>
          <w:lang w:val="en-GB"/>
        </w:rPr>
        <w:t xml:space="preserve">other </w:t>
      </w:r>
      <w:r w:rsidRPr="00EC3234">
        <w:rPr>
          <w:rFonts w:ascii="Garamond" w:hAnsi="Garamond"/>
          <w:b/>
          <w:lang w:val="en-GB"/>
        </w:rPr>
        <w:t>ND</w:t>
      </w:r>
      <w:r w:rsidR="00D94F83">
        <w:rPr>
          <w:rFonts w:ascii="Garamond" w:hAnsi="Garamond"/>
          <w:b/>
          <w:lang w:val="en-GB"/>
        </w:rPr>
        <w:t>S</w:t>
      </w:r>
      <w:r w:rsidRPr="00EC3234">
        <w:rPr>
          <w:rFonts w:ascii="Garamond" w:hAnsi="Garamond"/>
          <w:b/>
          <w:lang w:val="en-GB"/>
        </w:rPr>
        <w:t xml:space="preserve"> </w:t>
      </w:r>
    </w:p>
    <w:tbl>
      <w:tblPr>
        <w:tblW w:w="3663" w:type="pct"/>
        <w:tblCellMar>
          <w:left w:w="70" w:type="dxa"/>
          <w:right w:w="70" w:type="dxa"/>
        </w:tblCellMar>
        <w:tblLook w:val="04A0" w:firstRow="1" w:lastRow="0" w:firstColumn="1" w:lastColumn="0" w:noHBand="0" w:noVBand="1"/>
      </w:tblPr>
      <w:tblGrid>
        <w:gridCol w:w="2189"/>
        <w:gridCol w:w="1145"/>
        <w:gridCol w:w="1145"/>
        <w:gridCol w:w="1342"/>
        <w:gridCol w:w="1342"/>
      </w:tblGrid>
      <w:tr w:rsidR="00B66A50" w:rsidRPr="00646F36" w14:paraId="7230554C" w14:textId="77777777" w:rsidTr="00B045B4">
        <w:trPr>
          <w:cantSplit/>
          <w:trHeight w:val="20"/>
        </w:trPr>
        <w:tc>
          <w:tcPr>
            <w:tcW w:w="1528" w:type="pct"/>
            <w:tcBorders>
              <w:top w:val="single" w:sz="4" w:space="0" w:color="auto"/>
              <w:left w:val="nil"/>
              <w:bottom w:val="single" w:sz="4" w:space="0" w:color="auto"/>
              <w:right w:val="nil"/>
            </w:tcBorders>
            <w:shd w:val="clear" w:color="auto" w:fill="auto"/>
            <w:noWrap/>
            <w:vAlign w:val="bottom"/>
            <w:hideMark/>
          </w:tcPr>
          <w:p w14:paraId="258DF29B" w14:textId="77777777" w:rsidR="00B66A50" w:rsidRPr="00504CB4" w:rsidRDefault="00B66A50" w:rsidP="00B66A50">
            <w:pPr>
              <w:spacing w:after="0" w:line="240" w:lineRule="auto"/>
              <w:jc w:val="center"/>
              <w:rPr>
                <w:rFonts w:ascii="Garamond" w:eastAsia="Times New Roman" w:hAnsi="Garamond" w:cs="Times New Roman"/>
                <w:b/>
                <w:color w:val="000000"/>
                <w:lang w:eastAsia="it-IT"/>
              </w:rPr>
            </w:pPr>
            <w:r w:rsidRPr="00504CB4">
              <w:rPr>
                <w:rFonts w:ascii="Garamond" w:eastAsia="Times New Roman" w:hAnsi="Garamond" w:cs="Times New Roman"/>
                <w:b/>
                <w:color w:val="000000"/>
                <w:lang w:eastAsia="it-IT"/>
              </w:rPr>
              <w:t>Variables</w:t>
            </w:r>
          </w:p>
        </w:tc>
        <w:tc>
          <w:tcPr>
            <w:tcW w:w="799" w:type="pct"/>
            <w:tcBorders>
              <w:top w:val="single" w:sz="4" w:space="0" w:color="auto"/>
              <w:left w:val="nil"/>
              <w:bottom w:val="single" w:sz="4" w:space="0" w:color="auto"/>
              <w:right w:val="nil"/>
            </w:tcBorders>
            <w:shd w:val="clear" w:color="auto" w:fill="auto"/>
            <w:noWrap/>
            <w:vAlign w:val="bottom"/>
            <w:hideMark/>
          </w:tcPr>
          <w:p w14:paraId="51A0E2A6" w14:textId="36AF5668" w:rsidR="00B66A50" w:rsidRPr="00BC22E8" w:rsidRDefault="00375C26" w:rsidP="00B66A50">
            <w:pPr>
              <w:spacing w:after="0" w:line="240" w:lineRule="auto"/>
              <w:jc w:val="center"/>
              <w:rPr>
                <w:rFonts w:ascii="Garamond" w:eastAsia="Times New Roman" w:hAnsi="Garamond" w:cs="Times New Roman"/>
                <w:b/>
                <w:color w:val="000000"/>
                <w:lang w:eastAsia="it-IT"/>
              </w:rPr>
            </w:pPr>
            <w:r>
              <w:rPr>
                <w:rFonts w:ascii="Garamond" w:eastAsia="Times New Roman" w:hAnsi="Garamond" w:cs="Times New Roman"/>
                <w:b/>
                <w:color w:val="000000"/>
                <w:lang w:eastAsia="it-IT"/>
              </w:rPr>
              <w:t>Β</w:t>
            </w:r>
          </w:p>
        </w:tc>
        <w:tc>
          <w:tcPr>
            <w:tcW w:w="799" w:type="pct"/>
            <w:tcBorders>
              <w:top w:val="single" w:sz="4" w:space="0" w:color="auto"/>
              <w:left w:val="nil"/>
              <w:bottom w:val="single" w:sz="4" w:space="0" w:color="auto"/>
              <w:right w:val="nil"/>
            </w:tcBorders>
            <w:shd w:val="clear" w:color="auto" w:fill="auto"/>
            <w:noWrap/>
            <w:vAlign w:val="bottom"/>
            <w:hideMark/>
          </w:tcPr>
          <w:p w14:paraId="2423D8F1" w14:textId="77777777" w:rsidR="00B66A50" w:rsidRPr="00BC22E8" w:rsidRDefault="00B66A50" w:rsidP="00B66A50">
            <w:pPr>
              <w:spacing w:after="0" w:line="240" w:lineRule="auto"/>
              <w:jc w:val="center"/>
              <w:rPr>
                <w:rFonts w:ascii="Garamond" w:eastAsia="Times New Roman" w:hAnsi="Garamond" w:cs="Times New Roman"/>
                <w:b/>
                <w:color w:val="000000"/>
                <w:lang w:eastAsia="it-IT"/>
              </w:rPr>
            </w:pPr>
            <w:r>
              <w:rPr>
                <w:rFonts w:ascii="Garamond" w:eastAsia="Times New Roman" w:hAnsi="Garamond" w:cs="Times New Roman"/>
                <w:b/>
                <w:color w:val="000000"/>
                <w:lang w:eastAsia="it-IT"/>
              </w:rPr>
              <w:t>GCI</w:t>
            </w:r>
          </w:p>
        </w:tc>
        <w:tc>
          <w:tcPr>
            <w:tcW w:w="937" w:type="pct"/>
            <w:tcBorders>
              <w:top w:val="single" w:sz="4" w:space="0" w:color="auto"/>
              <w:left w:val="nil"/>
              <w:bottom w:val="single" w:sz="4" w:space="0" w:color="auto"/>
              <w:right w:val="nil"/>
            </w:tcBorders>
          </w:tcPr>
          <w:p w14:paraId="0E4658D7" w14:textId="77777777" w:rsidR="00B66A50" w:rsidRDefault="00B66A50" w:rsidP="00B66A50">
            <w:pPr>
              <w:spacing w:after="0" w:line="240" w:lineRule="auto"/>
              <w:jc w:val="center"/>
              <w:rPr>
                <w:rFonts w:ascii="Garamond" w:eastAsia="Times New Roman" w:hAnsi="Garamond" w:cs="Times New Roman"/>
                <w:b/>
                <w:color w:val="000000"/>
                <w:lang w:eastAsia="it-IT"/>
              </w:rPr>
            </w:pPr>
            <w:r>
              <w:rPr>
                <w:rFonts w:ascii="Garamond" w:eastAsia="Times New Roman" w:hAnsi="Garamond" w:cs="Times New Roman"/>
                <w:b/>
                <w:color w:val="000000"/>
                <w:lang w:eastAsia="it-IT"/>
              </w:rPr>
              <w:t>Contribution</w:t>
            </w:r>
          </w:p>
        </w:tc>
        <w:tc>
          <w:tcPr>
            <w:tcW w:w="937" w:type="pct"/>
            <w:tcBorders>
              <w:top w:val="single" w:sz="4" w:space="0" w:color="auto"/>
              <w:left w:val="nil"/>
              <w:bottom w:val="single" w:sz="4" w:space="0" w:color="auto"/>
              <w:right w:val="nil"/>
            </w:tcBorders>
          </w:tcPr>
          <w:p w14:paraId="3BCAE7ED" w14:textId="77777777" w:rsidR="00B66A50" w:rsidRDefault="00B66A50" w:rsidP="00B66A50">
            <w:pPr>
              <w:spacing w:after="0" w:line="240" w:lineRule="auto"/>
              <w:jc w:val="center"/>
              <w:rPr>
                <w:rFonts w:ascii="Garamond" w:eastAsia="Times New Roman" w:hAnsi="Garamond" w:cs="Times New Roman"/>
                <w:b/>
                <w:color w:val="000000"/>
                <w:lang w:eastAsia="it-IT"/>
              </w:rPr>
            </w:pPr>
            <w:r>
              <w:rPr>
                <w:rFonts w:ascii="Garamond" w:eastAsia="Times New Roman" w:hAnsi="Garamond" w:cs="Times New Roman"/>
                <w:b/>
                <w:color w:val="000000"/>
                <w:lang w:eastAsia="it-IT"/>
              </w:rPr>
              <w:t>% Contr.</w:t>
            </w:r>
          </w:p>
        </w:tc>
      </w:tr>
      <w:tr w:rsidR="00B66A50" w:rsidRPr="00646F36" w14:paraId="0D7DD88A" w14:textId="77777777" w:rsidTr="00B045B4">
        <w:trPr>
          <w:cantSplit/>
          <w:trHeight w:val="20"/>
        </w:trPr>
        <w:tc>
          <w:tcPr>
            <w:tcW w:w="1528" w:type="pct"/>
            <w:tcBorders>
              <w:top w:val="single" w:sz="4" w:space="0" w:color="auto"/>
              <w:left w:val="nil"/>
              <w:bottom w:val="nil"/>
              <w:right w:val="nil"/>
            </w:tcBorders>
            <w:shd w:val="clear" w:color="auto" w:fill="auto"/>
            <w:hideMark/>
          </w:tcPr>
          <w:p w14:paraId="43453B85" w14:textId="714A320F"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Income</w:t>
            </w:r>
          </w:p>
        </w:tc>
        <w:tc>
          <w:tcPr>
            <w:tcW w:w="799" w:type="pct"/>
            <w:tcBorders>
              <w:top w:val="single" w:sz="4" w:space="0" w:color="auto"/>
              <w:left w:val="nil"/>
              <w:bottom w:val="nil"/>
              <w:right w:val="nil"/>
            </w:tcBorders>
            <w:shd w:val="clear" w:color="auto" w:fill="auto"/>
            <w:noWrap/>
            <w:vAlign w:val="bottom"/>
          </w:tcPr>
          <w:p w14:paraId="52094158"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0.000</w:t>
            </w:r>
          </w:p>
        </w:tc>
        <w:tc>
          <w:tcPr>
            <w:tcW w:w="799" w:type="pct"/>
            <w:tcBorders>
              <w:top w:val="single" w:sz="4" w:space="0" w:color="auto"/>
              <w:left w:val="nil"/>
              <w:bottom w:val="nil"/>
              <w:right w:val="nil"/>
            </w:tcBorders>
            <w:shd w:val="clear" w:color="auto" w:fill="auto"/>
            <w:noWrap/>
            <w:vAlign w:val="bottom"/>
          </w:tcPr>
          <w:p w14:paraId="481CB99D"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11960.05</w:t>
            </w:r>
          </w:p>
        </w:tc>
        <w:tc>
          <w:tcPr>
            <w:tcW w:w="937" w:type="pct"/>
            <w:tcBorders>
              <w:top w:val="single" w:sz="4" w:space="0" w:color="auto"/>
              <w:left w:val="nil"/>
              <w:bottom w:val="nil"/>
              <w:right w:val="nil"/>
            </w:tcBorders>
            <w:vAlign w:val="bottom"/>
          </w:tcPr>
          <w:p w14:paraId="1109A46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0.022</w:t>
            </w:r>
          </w:p>
        </w:tc>
        <w:tc>
          <w:tcPr>
            <w:tcW w:w="937" w:type="pct"/>
            <w:tcBorders>
              <w:top w:val="single" w:sz="4" w:space="0" w:color="auto"/>
              <w:left w:val="nil"/>
              <w:bottom w:val="nil"/>
              <w:right w:val="nil"/>
            </w:tcBorders>
            <w:vAlign w:val="bottom"/>
          </w:tcPr>
          <w:p w14:paraId="39F52AF5"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29.27</w:t>
            </w:r>
          </w:p>
        </w:tc>
      </w:tr>
      <w:tr w:rsidR="00B66A50" w:rsidRPr="00646F36" w14:paraId="6CCD2B13" w14:textId="77777777" w:rsidTr="00B045B4">
        <w:trPr>
          <w:cantSplit/>
          <w:trHeight w:val="20"/>
        </w:trPr>
        <w:tc>
          <w:tcPr>
            <w:tcW w:w="1528" w:type="pct"/>
            <w:tcBorders>
              <w:top w:val="nil"/>
              <w:left w:val="nil"/>
              <w:bottom w:val="nil"/>
              <w:right w:val="nil"/>
            </w:tcBorders>
            <w:shd w:val="clear" w:color="auto" w:fill="auto"/>
            <w:noWrap/>
            <w:vAlign w:val="bottom"/>
            <w:hideMark/>
          </w:tcPr>
          <w:p w14:paraId="2FE8F050"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(18-34)</w:t>
            </w:r>
          </w:p>
        </w:tc>
        <w:tc>
          <w:tcPr>
            <w:tcW w:w="799" w:type="pct"/>
            <w:tcBorders>
              <w:top w:val="nil"/>
              <w:left w:val="nil"/>
              <w:bottom w:val="nil"/>
              <w:right w:val="nil"/>
            </w:tcBorders>
            <w:shd w:val="clear" w:color="auto" w:fill="auto"/>
            <w:noWrap/>
            <w:vAlign w:val="bottom"/>
          </w:tcPr>
          <w:p w14:paraId="16580029"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-0.031</w:t>
            </w:r>
          </w:p>
        </w:tc>
        <w:tc>
          <w:tcPr>
            <w:tcW w:w="799" w:type="pct"/>
            <w:tcBorders>
              <w:top w:val="nil"/>
              <w:left w:val="nil"/>
              <w:bottom w:val="nil"/>
              <w:right w:val="nil"/>
            </w:tcBorders>
            <w:shd w:val="clear" w:color="auto" w:fill="auto"/>
            <w:noWrap/>
            <w:vAlign w:val="bottom"/>
          </w:tcPr>
          <w:p w14:paraId="490AE93B"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42A2491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66DAA3DC"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-0.11</w:t>
            </w:r>
          </w:p>
        </w:tc>
      </w:tr>
      <w:tr w:rsidR="00B66A50" w:rsidRPr="00646F36" w14:paraId="07661A09" w14:textId="77777777" w:rsidTr="00B045B4">
        <w:trPr>
          <w:cantSplit/>
          <w:trHeight w:val="20"/>
        </w:trPr>
        <w:tc>
          <w:tcPr>
            <w:tcW w:w="1528" w:type="pct"/>
            <w:tcBorders>
              <w:top w:val="nil"/>
              <w:left w:val="nil"/>
              <w:bottom w:val="nil"/>
              <w:right w:val="nil"/>
            </w:tcBorders>
            <w:shd w:val="clear" w:color="auto" w:fill="auto"/>
            <w:noWrap/>
            <w:vAlign w:val="bottom"/>
            <w:hideMark/>
          </w:tcPr>
          <w:p w14:paraId="15FA7749"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(35-44)</w:t>
            </w:r>
          </w:p>
        </w:tc>
        <w:tc>
          <w:tcPr>
            <w:tcW w:w="799" w:type="pct"/>
            <w:tcBorders>
              <w:top w:val="nil"/>
              <w:left w:val="nil"/>
              <w:bottom w:val="nil"/>
              <w:right w:val="nil"/>
            </w:tcBorders>
            <w:shd w:val="clear" w:color="auto" w:fill="auto"/>
            <w:noWrap/>
            <w:vAlign w:val="bottom"/>
          </w:tcPr>
          <w:p w14:paraId="44BED6E7"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-0.095</w:t>
            </w:r>
          </w:p>
        </w:tc>
        <w:tc>
          <w:tcPr>
            <w:tcW w:w="799" w:type="pct"/>
            <w:tcBorders>
              <w:top w:val="nil"/>
              <w:left w:val="nil"/>
              <w:bottom w:val="nil"/>
              <w:right w:val="nil"/>
            </w:tcBorders>
            <w:shd w:val="clear" w:color="auto" w:fill="auto"/>
            <w:noWrap/>
            <w:vAlign w:val="bottom"/>
          </w:tcPr>
          <w:p w14:paraId="68473C4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0.005</w:t>
            </w:r>
          </w:p>
        </w:tc>
        <w:tc>
          <w:tcPr>
            <w:tcW w:w="937" w:type="pct"/>
            <w:tcBorders>
              <w:top w:val="nil"/>
              <w:left w:val="nil"/>
              <w:bottom w:val="nil"/>
              <w:right w:val="nil"/>
            </w:tcBorders>
            <w:vAlign w:val="bottom"/>
          </w:tcPr>
          <w:p w14:paraId="0FE039E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2819F8AF"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-2.34</w:t>
            </w:r>
          </w:p>
        </w:tc>
      </w:tr>
      <w:tr w:rsidR="00B66A50" w:rsidRPr="00646F36" w14:paraId="66A391F7" w14:textId="77777777" w:rsidTr="00B045B4">
        <w:trPr>
          <w:cantSplit/>
          <w:trHeight w:val="20"/>
        </w:trPr>
        <w:tc>
          <w:tcPr>
            <w:tcW w:w="1528" w:type="pct"/>
            <w:tcBorders>
              <w:top w:val="nil"/>
              <w:left w:val="nil"/>
              <w:bottom w:val="nil"/>
              <w:right w:val="nil"/>
            </w:tcBorders>
            <w:shd w:val="clear" w:color="auto" w:fill="auto"/>
            <w:hideMark/>
          </w:tcPr>
          <w:p w14:paraId="7301712E"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(45-64)</w:t>
            </w:r>
          </w:p>
        </w:tc>
        <w:tc>
          <w:tcPr>
            <w:tcW w:w="799" w:type="pct"/>
            <w:tcBorders>
              <w:top w:val="nil"/>
              <w:left w:val="nil"/>
              <w:bottom w:val="nil"/>
              <w:right w:val="nil"/>
            </w:tcBorders>
            <w:shd w:val="clear" w:color="auto" w:fill="auto"/>
            <w:noWrap/>
            <w:vAlign w:val="bottom"/>
          </w:tcPr>
          <w:p w14:paraId="195FEE78"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799" w:type="pct"/>
            <w:tcBorders>
              <w:top w:val="nil"/>
              <w:left w:val="nil"/>
              <w:bottom w:val="nil"/>
              <w:right w:val="nil"/>
            </w:tcBorders>
            <w:shd w:val="clear" w:color="auto" w:fill="auto"/>
            <w:noWrap/>
            <w:vAlign w:val="bottom"/>
          </w:tcPr>
          <w:p w14:paraId="104C35B5"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0.008</w:t>
            </w:r>
          </w:p>
        </w:tc>
        <w:tc>
          <w:tcPr>
            <w:tcW w:w="937" w:type="pct"/>
            <w:tcBorders>
              <w:top w:val="nil"/>
              <w:left w:val="nil"/>
              <w:bottom w:val="nil"/>
              <w:right w:val="nil"/>
            </w:tcBorders>
            <w:vAlign w:val="bottom"/>
          </w:tcPr>
          <w:p w14:paraId="56B51880"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7C79C5BB"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-0.09</w:t>
            </w:r>
          </w:p>
        </w:tc>
      </w:tr>
      <w:tr w:rsidR="00B66A50" w:rsidRPr="00646F36" w14:paraId="58435FB5" w14:textId="77777777" w:rsidTr="00B045B4">
        <w:trPr>
          <w:cantSplit/>
          <w:trHeight w:val="20"/>
        </w:trPr>
        <w:tc>
          <w:tcPr>
            <w:tcW w:w="1528" w:type="pct"/>
            <w:tcBorders>
              <w:top w:val="nil"/>
              <w:left w:val="nil"/>
              <w:bottom w:val="nil"/>
              <w:right w:val="nil"/>
            </w:tcBorders>
            <w:shd w:val="clear" w:color="auto" w:fill="auto"/>
            <w:hideMark/>
          </w:tcPr>
          <w:p w14:paraId="2C239476"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(65-74)</w:t>
            </w:r>
          </w:p>
        </w:tc>
        <w:tc>
          <w:tcPr>
            <w:tcW w:w="799" w:type="pct"/>
            <w:tcBorders>
              <w:top w:val="nil"/>
              <w:left w:val="nil"/>
              <w:bottom w:val="nil"/>
              <w:right w:val="nil"/>
            </w:tcBorders>
            <w:shd w:val="clear" w:color="auto" w:fill="auto"/>
            <w:noWrap/>
            <w:vAlign w:val="bottom"/>
          </w:tcPr>
          <w:p w14:paraId="6C0343A3"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-0.019</w:t>
            </w:r>
          </w:p>
        </w:tc>
        <w:tc>
          <w:tcPr>
            <w:tcW w:w="799" w:type="pct"/>
            <w:tcBorders>
              <w:top w:val="nil"/>
              <w:left w:val="nil"/>
              <w:bottom w:val="nil"/>
              <w:right w:val="nil"/>
            </w:tcBorders>
            <w:shd w:val="clear" w:color="auto" w:fill="auto"/>
            <w:noWrap/>
            <w:vAlign w:val="bottom"/>
          </w:tcPr>
          <w:p w14:paraId="5446BD13"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38D05B4B"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2C4B1A79"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-0.06</w:t>
            </w:r>
          </w:p>
        </w:tc>
      </w:tr>
      <w:tr w:rsidR="00B66A50" w:rsidRPr="00646F36" w14:paraId="4B5D6421" w14:textId="77777777" w:rsidTr="00B045B4">
        <w:trPr>
          <w:cantSplit/>
          <w:trHeight w:val="20"/>
        </w:trPr>
        <w:tc>
          <w:tcPr>
            <w:tcW w:w="1528" w:type="pct"/>
            <w:tcBorders>
              <w:top w:val="nil"/>
              <w:left w:val="nil"/>
              <w:bottom w:val="nil"/>
              <w:right w:val="nil"/>
            </w:tcBorders>
            <w:shd w:val="clear" w:color="auto" w:fill="auto"/>
            <w:noWrap/>
            <w:vAlign w:val="bottom"/>
            <w:hideMark/>
          </w:tcPr>
          <w:p w14:paraId="2BBB9519"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(75+)</w:t>
            </w:r>
          </w:p>
        </w:tc>
        <w:tc>
          <w:tcPr>
            <w:tcW w:w="799" w:type="pct"/>
            <w:tcBorders>
              <w:top w:val="nil"/>
              <w:left w:val="nil"/>
              <w:bottom w:val="nil"/>
              <w:right w:val="nil"/>
            </w:tcBorders>
            <w:shd w:val="clear" w:color="auto" w:fill="auto"/>
            <w:noWrap/>
            <w:vAlign w:val="bottom"/>
          </w:tcPr>
          <w:p w14:paraId="56539A9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-0.197</w:t>
            </w:r>
          </w:p>
        </w:tc>
        <w:tc>
          <w:tcPr>
            <w:tcW w:w="799" w:type="pct"/>
            <w:tcBorders>
              <w:top w:val="nil"/>
              <w:left w:val="nil"/>
              <w:bottom w:val="nil"/>
              <w:right w:val="nil"/>
            </w:tcBorders>
            <w:shd w:val="clear" w:color="auto" w:fill="auto"/>
            <w:noWrap/>
            <w:vAlign w:val="bottom"/>
          </w:tcPr>
          <w:p w14:paraId="605EDA7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-0.003</w:t>
            </w:r>
          </w:p>
        </w:tc>
        <w:tc>
          <w:tcPr>
            <w:tcW w:w="937" w:type="pct"/>
            <w:tcBorders>
              <w:top w:val="nil"/>
              <w:left w:val="nil"/>
              <w:bottom w:val="nil"/>
              <w:right w:val="nil"/>
            </w:tcBorders>
            <w:vAlign w:val="bottom"/>
          </w:tcPr>
          <w:p w14:paraId="31EFDCE0"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59F94874"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3.364</w:t>
            </w:r>
          </w:p>
        </w:tc>
      </w:tr>
      <w:tr w:rsidR="00B66A50" w:rsidRPr="00646F36" w14:paraId="54C11BF0" w14:textId="77777777" w:rsidTr="00B045B4">
        <w:trPr>
          <w:cantSplit/>
          <w:trHeight w:val="20"/>
        </w:trPr>
        <w:tc>
          <w:tcPr>
            <w:tcW w:w="1528" w:type="pct"/>
            <w:tcBorders>
              <w:top w:val="nil"/>
              <w:left w:val="nil"/>
              <w:bottom w:val="nil"/>
              <w:right w:val="nil"/>
            </w:tcBorders>
            <w:shd w:val="clear" w:color="auto" w:fill="auto"/>
            <w:noWrap/>
            <w:vAlign w:val="bottom"/>
            <w:hideMark/>
          </w:tcPr>
          <w:p w14:paraId="58D72598"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(11-18)</w:t>
            </w:r>
          </w:p>
        </w:tc>
        <w:tc>
          <w:tcPr>
            <w:tcW w:w="799" w:type="pct"/>
            <w:tcBorders>
              <w:top w:val="nil"/>
              <w:left w:val="nil"/>
              <w:bottom w:val="nil"/>
              <w:right w:val="nil"/>
            </w:tcBorders>
            <w:shd w:val="clear" w:color="auto" w:fill="auto"/>
            <w:noWrap/>
            <w:vAlign w:val="bottom"/>
          </w:tcPr>
          <w:p w14:paraId="50CA2FBB"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-0.094</w:t>
            </w:r>
          </w:p>
        </w:tc>
        <w:tc>
          <w:tcPr>
            <w:tcW w:w="799" w:type="pct"/>
            <w:tcBorders>
              <w:top w:val="nil"/>
              <w:left w:val="nil"/>
              <w:bottom w:val="nil"/>
              <w:right w:val="nil"/>
            </w:tcBorders>
            <w:shd w:val="clear" w:color="auto" w:fill="auto"/>
            <w:noWrap/>
            <w:vAlign w:val="bottom"/>
          </w:tcPr>
          <w:p w14:paraId="7795E7E8"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4CEE9A5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78A45E43"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-0.95</w:t>
            </w:r>
          </w:p>
        </w:tc>
      </w:tr>
      <w:tr w:rsidR="00B66A50" w:rsidRPr="00646F36" w14:paraId="1D54B53D" w14:textId="77777777" w:rsidTr="00B045B4">
        <w:trPr>
          <w:cantSplit/>
          <w:trHeight w:val="20"/>
        </w:trPr>
        <w:tc>
          <w:tcPr>
            <w:tcW w:w="1528" w:type="pct"/>
            <w:tcBorders>
              <w:top w:val="nil"/>
              <w:left w:val="nil"/>
              <w:bottom w:val="nil"/>
              <w:right w:val="nil"/>
            </w:tcBorders>
            <w:shd w:val="clear" w:color="auto" w:fill="auto"/>
            <w:hideMark/>
          </w:tcPr>
          <w:p w14:paraId="0F5999BC"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(18-34)</w:t>
            </w:r>
          </w:p>
        </w:tc>
        <w:tc>
          <w:tcPr>
            <w:tcW w:w="799" w:type="pct"/>
            <w:tcBorders>
              <w:top w:val="nil"/>
              <w:left w:val="nil"/>
              <w:bottom w:val="nil"/>
              <w:right w:val="nil"/>
            </w:tcBorders>
            <w:shd w:val="clear" w:color="auto" w:fill="auto"/>
            <w:noWrap/>
            <w:vAlign w:val="bottom"/>
          </w:tcPr>
          <w:p w14:paraId="7B6B8913"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-0.017</w:t>
            </w:r>
          </w:p>
        </w:tc>
        <w:tc>
          <w:tcPr>
            <w:tcW w:w="799" w:type="pct"/>
            <w:tcBorders>
              <w:top w:val="nil"/>
              <w:left w:val="nil"/>
              <w:bottom w:val="nil"/>
              <w:right w:val="nil"/>
            </w:tcBorders>
            <w:shd w:val="clear" w:color="auto" w:fill="auto"/>
            <w:noWrap/>
            <w:vAlign w:val="bottom"/>
          </w:tcPr>
          <w:p w14:paraId="67769E8D"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-0.009</w:t>
            </w:r>
          </w:p>
        </w:tc>
        <w:tc>
          <w:tcPr>
            <w:tcW w:w="937" w:type="pct"/>
            <w:tcBorders>
              <w:top w:val="nil"/>
              <w:left w:val="nil"/>
              <w:bottom w:val="nil"/>
              <w:right w:val="nil"/>
            </w:tcBorders>
            <w:vAlign w:val="bottom"/>
          </w:tcPr>
          <w:p w14:paraId="4CAD82C7"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377EFA4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0.84</w:t>
            </w:r>
          </w:p>
        </w:tc>
      </w:tr>
      <w:tr w:rsidR="00B66A50" w:rsidRPr="00646F36" w14:paraId="72D92061" w14:textId="77777777" w:rsidTr="00B045B4">
        <w:trPr>
          <w:cantSplit/>
          <w:trHeight w:val="20"/>
        </w:trPr>
        <w:tc>
          <w:tcPr>
            <w:tcW w:w="1528" w:type="pct"/>
            <w:tcBorders>
              <w:top w:val="nil"/>
              <w:left w:val="nil"/>
              <w:bottom w:val="nil"/>
              <w:right w:val="nil"/>
            </w:tcBorders>
            <w:shd w:val="clear" w:color="auto" w:fill="auto"/>
            <w:hideMark/>
          </w:tcPr>
          <w:p w14:paraId="55B99C28"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(35-44)</w:t>
            </w:r>
          </w:p>
        </w:tc>
        <w:tc>
          <w:tcPr>
            <w:tcW w:w="799" w:type="pct"/>
            <w:tcBorders>
              <w:top w:val="nil"/>
              <w:left w:val="nil"/>
              <w:bottom w:val="nil"/>
              <w:right w:val="nil"/>
            </w:tcBorders>
            <w:shd w:val="clear" w:color="auto" w:fill="auto"/>
            <w:noWrap/>
            <w:vAlign w:val="bottom"/>
          </w:tcPr>
          <w:p w14:paraId="4CA890CF"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0.022</w:t>
            </w:r>
          </w:p>
        </w:tc>
        <w:tc>
          <w:tcPr>
            <w:tcW w:w="799" w:type="pct"/>
            <w:tcBorders>
              <w:top w:val="nil"/>
              <w:left w:val="nil"/>
              <w:bottom w:val="nil"/>
              <w:right w:val="nil"/>
            </w:tcBorders>
            <w:shd w:val="clear" w:color="auto" w:fill="auto"/>
            <w:noWrap/>
            <w:vAlign w:val="bottom"/>
          </w:tcPr>
          <w:p w14:paraId="79C82CB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0.003</w:t>
            </w:r>
          </w:p>
        </w:tc>
        <w:tc>
          <w:tcPr>
            <w:tcW w:w="937" w:type="pct"/>
            <w:tcBorders>
              <w:top w:val="nil"/>
              <w:left w:val="nil"/>
              <w:bottom w:val="nil"/>
              <w:right w:val="nil"/>
            </w:tcBorders>
            <w:vAlign w:val="bottom"/>
          </w:tcPr>
          <w:p w14:paraId="0F684851"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2EAB0B31"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0.37</w:t>
            </w:r>
          </w:p>
        </w:tc>
      </w:tr>
      <w:tr w:rsidR="00B66A50" w:rsidRPr="00646F36" w14:paraId="01CBFE1E" w14:textId="77777777" w:rsidTr="00B045B4">
        <w:trPr>
          <w:cantSplit/>
          <w:trHeight w:val="20"/>
        </w:trPr>
        <w:tc>
          <w:tcPr>
            <w:tcW w:w="1528" w:type="pct"/>
            <w:tcBorders>
              <w:top w:val="nil"/>
              <w:left w:val="nil"/>
              <w:bottom w:val="nil"/>
              <w:right w:val="nil"/>
            </w:tcBorders>
            <w:shd w:val="clear" w:color="auto" w:fill="auto"/>
            <w:hideMark/>
          </w:tcPr>
          <w:p w14:paraId="0EBC1151"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(45-64)</w:t>
            </w:r>
          </w:p>
        </w:tc>
        <w:tc>
          <w:tcPr>
            <w:tcW w:w="799" w:type="pct"/>
            <w:tcBorders>
              <w:top w:val="nil"/>
              <w:left w:val="nil"/>
              <w:bottom w:val="nil"/>
              <w:right w:val="nil"/>
            </w:tcBorders>
            <w:shd w:val="clear" w:color="auto" w:fill="auto"/>
            <w:noWrap/>
            <w:vAlign w:val="bottom"/>
          </w:tcPr>
          <w:p w14:paraId="5FF10F70"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0.094</w:t>
            </w:r>
          </w:p>
        </w:tc>
        <w:tc>
          <w:tcPr>
            <w:tcW w:w="799" w:type="pct"/>
            <w:tcBorders>
              <w:top w:val="nil"/>
              <w:left w:val="nil"/>
              <w:bottom w:val="nil"/>
              <w:right w:val="nil"/>
            </w:tcBorders>
            <w:shd w:val="clear" w:color="auto" w:fill="auto"/>
            <w:noWrap/>
            <w:vAlign w:val="bottom"/>
          </w:tcPr>
          <w:p w14:paraId="3DEA32AD"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0.003</w:t>
            </w:r>
          </w:p>
        </w:tc>
        <w:tc>
          <w:tcPr>
            <w:tcW w:w="937" w:type="pct"/>
            <w:tcBorders>
              <w:top w:val="nil"/>
              <w:left w:val="nil"/>
              <w:bottom w:val="nil"/>
              <w:right w:val="nil"/>
            </w:tcBorders>
            <w:vAlign w:val="bottom"/>
          </w:tcPr>
          <w:p w14:paraId="5CA6DB68"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083C0657"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1.27</w:t>
            </w:r>
          </w:p>
        </w:tc>
      </w:tr>
      <w:tr w:rsidR="00B66A50" w:rsidRPr="00646F36" w14:paraId="2BCB2D09" w14:textId="77777777" w:rsidTr="00B045B4">
        <w:trPr>
          <w:cantSplit/>
          <w:trHeight w:val="20"/>
        </w:trPr>
        <w:tc>
          <w:tcPr>
            <w:tcW w:w="1528" w:type="pct"/>
            <w:tcBorders>
              <w:top w:val="nil"/>
              <w:left w:val="nil"/>
              <w:bottom w:val="nil"/>
              <w:right w:val="nil"/>
            </w:tcBorders>
            <w:shd w:val="clear" w:color="auto" w:fill="auto"/>
            <w:hideMark/>
          </w:tcPr>
          <w:p w14:paraId="09E07575"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(65-74)</w:t>
            </w:r>
          </w:p>
        </w:tc>
        <w:tc>
          <w:tcPr>
            <w:tcW w:w="799" w:type="pct"/>
            <w:tcBorders>
              <w:top w:val="nil"/>
              <w:left w:val="nil"/>
              <w:bottom w:val="nil"/>
              <w:right w:val="nil"/>
            </w:tcBorders>
            <w:shd w:val="clear" w:color="auto" w:fill="auto"/>
            <w:noWrap/>
            <w:vAlign w:val="bottom"/>
          </w:tcPr>
          <w:p w14:paraId="0306B199"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0.161</w:t>
            </w:r>
          </w:p>
        </w:tc>
        <w:tc>
          <w:tcPr>
            <w:tcW w:w="799" w:type="pct"/>
            <w:tcBorders>
              <w:top w:val="nil"/>
              <w:left w:val="nil"/>
              <w:bottom w:val="nil"/>
              <w:right w:val="nil"/>
            </w:tcBorders>
            <w:shd w:val="clear" w:color="auto" w:fill="auto"/>
            <w:noWrap/>
            <w:vAlign w:val="bottom"/>
          </w:tcPr>
          <w:p w14:paraId="32D7E582"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-0.004</w:t>
            </w:r>
          </w:p>
        </w:tc>
        <w:tc>
          <w:tcPr>
            <w:tcW w:w="937" w:type="pct"/>
            <w:tcBorders>
              <w:top w:val="nil"/>
              <w:left w:val="nil"/>
              <w:bottom w:val="nil"/>
              <w:right w:val="nil"/>
            </w:tcBorders>
            <w:vAlign w:val="bottom"/>
          </w:tcPr>
          <w:p w14:paraId="1F8C79E3"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-0.003</w:t>
            </w:r>
          </w:p>
        </w:tc>
        <w:tc>
          <w:tcPr>
            <w:tcW w:w="937" w:type="pct"/>
            <w:tcBorders>
              <w:top w:val="nil"/>
              <w:left w:val="nil"/>
              <w:bottom w:val="nil"/>
              <w:right w:val="nil"/>
            </w:tcBorders>
            <w:vAlign w:val="bottom"/>
          </w:tcPr>
          <w:p w14:paraId="6B2CABE4"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-3.64</w:t>
            </w:r>
          </w:p>
        </w:tc>
      </w:tr>
      <w:tr w:rsidR="00B66A50" w:rsidRPr="00646F36" w14:paraId="52E69103" w14:textId="77777777" w:rsidTr="00B045B4">
        <w:trPr>
          <w:cantSplit/>
          <w:trHeight w:val="20"/>
        </w:trPr>
        <w:tc>
          <w:tcPr>
            <w:tcW w:w="1528" w:type="pct"/>
            <w:tcBorders>
              <w:top w:val="nil"/>
              <w:left w:val="nil"/>
              <w:bottom w:val="nil"/>
              <w:right w:val="nil"/>
            </w:tcBorders>
            <w:shd w:val="clear" w:color="auto" w:fill="auto"/>
            <w:hideMark/>
          </w:tcPr>
          <w:p w14:paraId="2C8B78A1"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(75+)</w:t>
            </w:r>
          </w:p>
        </w:tc>
        <w:tc>
          <w:tcPr>
            <w:tcW w:w="799" w:type="pct"/>
            <w:tcBorders>
              <w:top w:val="nil"/>
              <w:left w:val="nil"/>
              <w:bottom w:val="nil"/>
              <w:right w:val="nil"/>
            </w:tcBorders>
            <w:shd w:val="clear" w:color="auto" w:fill="auto"/>
            <w:noWrap/>
            <w:vAlign w:val="bottom"/>
          </w:tcPr>
          <w:p w14:paraId="7D9F8177"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-0.106</w:t>
            </w:r>
          </w:p>
        </w:tc>
        <w:tc>
          <w:tcPr>
            <w:tcW w:w="799" w:type="pct"/>
            <w:tcBorders>
              <w:top w:val="nil"/>
              <w:left w:val="nil"/>
              <w:bottom w:val="nil"/>
              <w:right w:val="nil"/>
            </w:tcBorders>
            <w:shd w:val="clear" w:color="auto" w:fill="auto"/>
            <w:noWrap/>
            <w:vAlign w:val="bottom"/>
          </w:tcPr>
          <w:p w14:paraId="6B36AF49"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-0.004</w:t>
            </w:r>
          </w:p>
        </w:tc>
        <w:tc>
          <w:tcPr>
            <w:tcW w:w="937" w:type="pct"/>
            <w:tcBorders>
              <w:top w:val="nil"/>
              <w:left w:val="nil"/>
              <w:bottom w:val="nil"/>
              <w:right w:val="nil"/>
            </w:tcBorders>
            <w:vAlign w:val="bottom"/>
          </w:tcPr>
          <w:p w14:paraId="2BEF6381"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19C91991"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2.28</w:t>
            </w:r>
          </w:p>
        </w:tc>
      </w:tr>
      <w:tr w:rsidR="00B66A50" w:rsidRPr="00646F36" w14:paraId="3EC0041C" w14:textId="77777777" w:rsidTr="00B045B4">
        <w:trPr>
          <w:cantSplit/>
          <w:trHeight w:val="20"/>
        </w:trPr>
        <w:tc>
          <w:tcPr>
            <w:tcW w:w="1528" w:type="pct"/>
            <w:tcBorders>
              <w:top w:val="nil"/>
              <w:left w:val="nil"/>
              <w:bottom w:val="nil"/>
              <w:right w:val="nil"/>
            </w:tcBorders>
            <w:shd w:val="clear" w:color="auto" w:fill="auto"/>
            <w:hideMark/>
          </w:tcPr>
          <w:p w14:paraId="725608E9"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Degree- NVQ 4,5</w:t>
            </w:r>
          </w:p>
        </w:tc>
        <w:tc>
          <w:tcPr>
            <w:tcW w:w="799" w:type="pct"/>
            <w:tcBorders>
              <w:top w:val="nil"/>
              <w:left w:val="nil"/>
              <w:bottom w:val="nil"/>
              <w:right w:val="nil"/>
            </w:tcBorders>
            <w:shd w:val="clear" w:color="auto" w:fill="auto"/>
            <w:noWrap/>
            <w:vAlign w:val="bottom"/>
          </w:tcPr>
          <w:p w14:paraId="69A0D744"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0.008</w:t>
            </w:r>
          </w:p>
        </w:tc>
        <w:tc>
          <w:tcPr>
            <w:tcW w:w="799" w:type="pct"/>
            <w:tcBorders>
              <w:top w:val="nil"/>
              <w:left w:val="nil"/>
              <w:bottom w:val="nil"/>
              <w:right w:val="nil"/>
            </w:tcBorders>
            <w:shd w:val="clear" w:color="auto" w:fill="auto"/>
            <w:noWrap/>
            <w:vAlign w:val="bottom"/>
          </w:tcPr>
          <w:p w14:paraId="5A6F390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0.054</w:t>
            </w:r>
          </w:p>
        </w:tc>
        <w:tc>
          <w:tcPr>
            <w:tcW w:w="937" w:type="pct"/>
            <w:tcBorders>
              <w:top w:val="nil"/>
              <w:left w:val="nil"/>
              <w:bottom w:val="nil"/>
              <w:right w:val="nil"/>
            </w:tcBorders>
            <w:vAlign w:val="bottom"/>
          </w:tcPr>
          <w:p w14:paraId="77EB758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1F09319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2.32</w:t>
            </w:r>
          </w:p>
        </w:tc>
      </w:tr>
      <w:tr w:rsidR="00B66A50" w:rsidRPr="00646F36" w14:paraId="4FC47117" w14:textId="77777777" w:rsidTr="00B045B4">
        <w:trPr>
          <w:cantSplit/>
          <w:trHeight w:val="20"/>
        </w:trPr>
        <w:tc>
          <w:tcPr>
            <w:tcW w:w="1528" w:type="pct"/>
            <w:tcBorders>
              <w:top w:val="nil"/>
              <w:left w:val="nil"/>
              <w:bottom w:val="nil"/>
              <w:right w:val="nil"/>
            </w:tcBorders>
            <w:shd w:val="clear" w:color="auto" w:fill="auto"/>
            <w:hideMark/>
          </w:tcPr>
          <w:p w14:paraId="676A7DFC"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Higher Education</w:t>
            </w:r>
          </w:p>
        </w:tc>
        <w:tc>
          <w:tcPr>
            <w:tcW w:w="799" w:type="pct"/>
            <w:tcBorders>
              <w:top w:val="nil"/>
              <w:left w:val="nil"/>
              <w:bottom w:val="nil"/>
              <w:right w:val="nil"/>
            </w:tcBorders>
            <w:shd w:val="clear" w:color="auto" w:fill="auto"/>
            <w:noWrap/>
            <w:vAlign w:val="bottom"/>
          </w:tcPr>
          <w:p w14:paraId="7B702840"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0.140</w:t>
            </w:r>
          </w:p>
        </w:tc>
        <w:tc>
          <w:tcPr>
            <w:tcW w:w="799" w:type="pct"/>
            <w:tcBorders>
              <w:top w:val="nil"/>
              <w:left w:val="nil"/>
              <w:bottom w:val="nil"/>
              <w:right w:val="nil"/>
            </w:tcBorders>
            <w:shd w:val="clear" w:color="auto" w:fill="auto"/>
            <w:noWrap/>
            <w:vAlign w:val="bottom"/>
          </w:tcPr>
          <w:p w14:paraId="18C51B2F"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0.015</w:t>
            </w:r>
          </w:p>
        </w:tc>
        <w:tc>
          <w:tcPr>
            <w:tcW w:w="937" w:type="pct"/>
            <w:tcBorders>
              <w:top w:val="nil"/>
              <w:left w:val="nil"/>
              <w:bottom w:val="nil"/>
              <w:right w:val="nil"/>
            </w:tcBorders>
            <w:vAlign w:val="bottom"/>
          </w:tcPr>
          <w:p w14:paraId="5CB09E55"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0.008</w:t>
            </w:r>
          </w:p>
        </w:tc>
        <w:tc>
          <w:tcPr>
            <w:tcW w:w="937" w:type="pct"/>
            <w:tcBorders>
              <w:top w:val="nil"/>
              <w:left w:val="nil"/>
              <w:bottom w:val="nil"/>
              <w:right w:val="nil"/>
            </w:tcBorders>
            <w:vAlign w:val="bottom"/>
          </w:tcPr>
          <w:p w14:paraId="7EB70EEC"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11.41</w:t>
            </w:r>
          </w:p>
        </w:tc>
      </w:tr>
      <w:tr w:rsidR="00B66A50" w:rsidRPr="00646F36" w14:paraId="133717B9" w14:textId="77777777" w:rsidTr="00B045B4">
        <w:trPr>
          <w:cantSplit/>
          <w:trHeight w:val="20"/>
        </w:trPr>
        <w:tc>
          <w:tcPr>
            <w:tcW w:w="1528" w:type="pct"/>
            <w:tcBorders>
              <w:top w:val="nil"/>
              <w:left w:val="nil"/>
              <w:bottom w:val="nil"/>
              <w:right w:val="nil"/>
            </w:tcBorders>
            <w:shd w:val="clear" w:color="auto" w:fill="auto"/>
            <w:noWrap/>
            <w:vAlign w:val="bottom"/>
            <w:hideMark/>
          </w:tcPr>
          <w:p w14:paraId="3E3354D9"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3- GCE A</w:t>
            </w:r>
          </w:p>
        </w:tc>
        <w:tc>
          <w:tcPr>
            <w:tcW w:w="799" w:type="pct"/>
            <w:tcBorders>
              <w:top w:val="nil"/>
              <w:left w:val="nil"/>
              <w:bottom w:val="nil"/>
              <w:right w:val="nil"/>
            </w:tcBorders>
            <w:shd w:val="clear" w:color="auto" w:fill="auto"/>
            <w:noWrap/>
            <w:vAlign w:val="bottom"/>
          </w:tcPr>
          <w:p w14:paraId="524AEC56"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0.041</w:t>
            </w:r>
          </w:p>
        </w:tc>
        <w:tc>
          <w:tcPr>
            <w:tcW w:w="799" w:type="pct"/>
            <w:tcBorders>
              <w:top w:val="nil"/>
              <w:left w:val="nil"/>
              <w:bottom w:val="nil"/>
              <w:right w:val="nil"/>
            </w:tcBorders>
            <w:shd w:val="clear" w:color="auto" w:fill="auto"/>
            <w:noWrap/>
            <w:vAlign w:val="bottom"/>
          </w:tcPr>
          <w:p w14:paraId="1F59817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0.014</w:t>
            </w:r>
          </w:p>
        </w:tc>
        <w:tc>
          <w:tcPr>
            <w:tcW w:w="937" w:type="pct"/>
            <w:tcBorders>
              <w:top w:val="nil"/>
              <w:left w:val="nil"/>
              <w:bottom w:val="nil"/>
              <w:right w:val="nil"/>
            </w:tcBorders>
            <w:vAlign w:val="bottom"/>
          </w:tcPr>
          <w:p w14:paraId="47C8DDD1"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7FF2731D"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2.98</w:t>
            </w:r>
          </w:p>
        </w:tc>
      </w:tr>
      <w:tr w:rsidR="00B66A50" w:rsidRPr="00646F36" w14:paraId="7D83612C" w14:textId="77777777" w:rsidTr="00B045B4">
        <w:trPr>
          <w:cantSplit/>
          <w:trHeight w:val="20"/>
        </w:trPr>
        <w:tc>
          <w:tcPr>
            <w:tcW w:w="1528" w:type="pct"/>
            <w:tcBorders>
              <w:top w:val="nil"/>
              <w:left w:val="nil"/>
              <w:bottom w:val="nil"/>
              <w:right w:val="nil"/>
            </w:tcBorders>
            <w:shd w:val="clear" w:color="auto" w:fill="auto"/>
            <w:hideMark/>
          </w:tcPr>
          <w:p w14:paraId="4395D52C"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2 – GCE 0</w:t>
            </w:r>
          </w:p>
        </w:tc>
        <w:tc>
          <w:tcPr>
            <w:tcW w:w="799" w:type="pct"/>
            <w:tcBorders>
              <w:top w:val="nil"/>
              <w:left w:val="nil"/>
              <w:bottom w:val="nil"/>
              <w:right w:val="nil"/>
            </w:tcBorders>
            <w:shd w:val="clear" w:color="auto" w:fill="auto"/>
            <w:noWrap/>
            <w:vAlign w:val="bottom"/>
          </w:tcPr>
          <w:p w14:paraId="661FBEF7"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0.021</w:t>
            </w:r>
          </w:p>
        </w:tc>
        <w:tc>
          <w:tcPr>
            <w:tcW w:w="799" w:type="pct"/>
            <w:tcBorders>
              <w:top w:val="nil"/>
              <w:left w:val="nil"/>
              <w:bottom w:val="nil"/>
              <w:right w:val="nil"/>
            </w:tcBorders>
            <w:shd w:val="clear" w:color="auto" w:fill="auto"/>
            <w:noWrap/>
            <w:vAlign w:val="bottom"/>
          </w:tcPr>
          <w:p w14:paraId="6AEDFC98"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-0.012</w:t>
            </w:r>
          </w:p>
        </w:tc>
        <w:tc>
          <w:tcPr>
            <w:tcW w:w="937" w:type="pct"/>
            <w:tcBorders>
              <w:top w:val="nil"/>
              <w:left w:val="nil"/>
              <w:bottom w:val="nil"/>
              <w:right w:val="nil"/>
            </w:tcBorders>
            <w:vAlign w:val="bottom"/>
          </w:tcPr>
          <w:p w14:paraId="47003E84"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-0.001</w:t>
            </w:r>
          </w:p>
        </w:tc>
        <w:tc>
          <w:tcPr>
            <w:tcW w:w="937" w:type="pct"/>
            <w:tcBorders>
              <w:top w:val="nil"/>
              <w:left w:val="nil"/>
              <w:bottom w:val="nil"/>
              <w:right w:val="nil"/>
            </w:tcBorders>
            <w:vAlign w:val="bottom"/>
          </w:tcPr>
          <w:p w14:paraId="6F6B2BFC"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-1.32</w:t>
            </w:r>
          </w:p>
        </w:tc>
      </w:tr>
      <w:tr w:rsidR="00B66A50" w:rsidRPr="00646F36" w14:paraId="7A5D46EE" w14:textId="77777777" w:rsidTr="00B045B4">
        <w:trPr>
          <w:cantSplit/>
          <w:trHeight w:val="20"/>
        </w:trPr>
        <w:tc>
          <w:tcPr>
            <w:tcW w:w="1528" w:type="pct"/>
            <w:tcBorders>
              <w:top w:val="nil"/>
              <w:left w:val="nil"/>
              <w:bottom w:val="nil"/>
              <w:right w:val="nil"/>
            </w:tcBorders>
            <w:shd w:val="clear" w:color="auto" w:fill="auto"/>
            <w:hideMark/>
          </w:tcPr>
          <w:p w14:paraId="3433D44A"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NVQ1 – CSE</w:t>
            </w:r>
          </w:p>
        </w:tc>
        <w:tc>
          <w:tcPr>
            <w:tcW w:w="799" w:type="pct"/>
            <w:tcBorders>
              <w:top w:val="nil"/>
              <w:left w:val="nil"/>
              <w:bottom w:val="nil"/>
              <w:right w:val="nil"/>
            </w:tcBorders>
            <w:shd w:val="clear" w:color="auto" w:fill="auto"/>
            <w:noWrap/>
            <w:vAlign w:val="bottom"/>
          </w:tcPr>
          <w:p w14:paraId="4363E5BC"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0.047</w:t>
            </w:r>
          </w:p>
        </w:tc>
        <w:tc>
          <w:tcPr>
            <w:tcW w:w="799" w:type="pct"/>
            <w:tcBorders>
              <w:top w:val="nil"/>
              <w:left w:val="nil"/>
              <w:bottom w:val="nil"/>
              <w:right w:val="nil"/>
            </w:tcBorders>
            <w:shd w:val="clear" w:color="auto" w:fill="auto"/>
            <w:noWrap/>
            <w:vAlign w:val="bottom"/>
          </w:tcPr>
          <w:p w14:paraId="6A7148BE"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-0.009</w:t>
            </w:r>
          </w:p>
        </w:tc>
        <w:tc>
          <w:tcPr>
            <w:tcW w:w="937" w:type="pct"/>
            <w:tcBorders>
              <w:top w:val="nil"/>
              <w:left w:val="nil"/>
              <w:bottom w:val="nil"/>
              <w:right w:val="nil"/>
            </w:tcBorders>
            <w:vAlign w:val="bottom"/>
          </w:tcPr>
          <w:p w14:paraId="17008CFF"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-0.002</w:t>
            </w:r>
          </w:p>
        </w:tc>
        <w:tc>
          <w:tcPr>
            <w:tcW w:w="937" w:type="pct"/>
            <w:tcBorders>
              <w:top w:val="nil"/>
              <w:left w:val="nil"/>
              <w:bottom w:val="nil"/>
              <w:right w:val="nil"/>
            </w:tcBorders>
            <w:vAlign w:val="bottom"/>
          </w:tcPr>
          <w:p w14:paraId="0B2DE2AA"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-2.30</w:t>
            </w:r>
          </w:p>
        </w:tc>
      </w:tr>
      <w:tr w:rsidR="00B66A50" w:rsidRPr="00646F36" w14:paraId="5BEA6B39" w14:textId="77777777" w:rsidTr="00B045B4">
        <w:trPr>
          <w:cantSplit/>
          <w:trHeight w:val="20"/>
        </w:trPr>
        <w:tc>
          <w:tcPr>
            <w:tcW w:w="1528" w:type="pct"/>
            <w:tcBorders>
              <w:top w:val="nil"/>
              <w:left w:val="nil"/>
              <w:bottom w:val="nil"/>
              <w:right w:val="nil"/>
            </w:tcBorders>
            <w:shd w:val="clear" w:color="auto" w:fill="auto"/>
            <w:hideMark/>
          </w:tcPr>
          <w:p w14:paraId="67771AFC" w14:textId="77777777" w:rsidR="00B66A50" w:rsidRPr="00BC22E8" w:rsidRDefault="00B66A50" w:rsidP="00B66A50">
            <w:pPr>
              <w:spacing w:after="0" w:line="240" w:lineRule="auto"/>
              <w:jc w:val="center"/>
              <w:rPr>
                <w:rFonts w:ascii="Garamond" w:eastAsia="Times New Roman" w:hAnsi="Garamond" w:cs="Times New Roman"/>
                <w:color w:val="000000"/>
                <w:sz w:val="20"/>
                <w:szCs w:val="20"/>
                <w:lang w:eastAsia="it-IT"/>
              </w:rPr>
            </w:pPr>
            <w:r w:rsidRPr="00BC22E8">
              <w:rPr>
                <w:rFonts w:ascii="Garamond" w:eastAsia="Times New Roman" w:hAnsi="Garamond" w:cs="Times New Roman"/>
                <w:color w:val="000000"/>
                <w:sz w:val="20"/>
                <w:szCs w:val="20"/>
                <w:lang w:eastAsia="it-IT"/>
              </w:rPr>
              <w:t>Other Qualifications</w:t>
            </w:r>
          </w:p>
        </w:tc>
        <w:tc>
          <w:tcPr>
            <w:tcW w:w="799" w:type="pct"/>
            <w:tcBorders>
              <w:top w:val="nil"/>
              <w:left w:val="nil"/>
              <w:bottom w:val="nil"/>
              <w:right w:val="nil"/>
            </w:tcBorders>
            <w:shd w:val="clear" w:color="auto" w:fill="auto"/>
            <w:noWrap/>
            <w:vAlign w:val="bottom"/>
          </w:tcPr>
          <w:p w14:paraId="5F531F92"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0.069</w:t>
            </w:r>
          </w:p>
        </w:tc>
        <w:tc>
          <w:tcPr>
            <w:tcW w:w="799" w:type="pct"/>
            <w:tcBorders>
              <w:top w:val="nil"/>
              <w:left w:val="nil"/>
              <w:bottom w:val="nil"/>
              <w:right w:val="nil"/>
            </w:tcBorders>
            <w:shd w:val="clear" w:color="auto" w:fill="auto"/>
            <w:noWrap/>
            <w:vAlign w:val="bottom"/>
          </w:tcPr>
          <w:p w14:paraId="12EEFEB5"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75AE10FC"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0.000</w:t>
            </w:r>
          </w:p>
        </w:tc>
        <w:tc>
          <w:tcPr>
            <w:tcW w:w="937" w:type="pct"/>
            <w:tcBorders>
              <w:top w:val="nil"/>
              <w:left w:val="nil"/>
              <w:bottom w:val="nil"/>
              <w:right w:val="nil"/>
            </w:tcBorders>
            <w:vAlign w:val="bottom"/>
          </w:tcPr>
          <w:p w14:paraId="31CE8C55" w14:textId="77777777" w:rsidR="00B66A50" w:rsidRPr="00555CCE" w:rsidRDefault="00B66A50" w:rsidP="00B66A50">
            <w:pPr>
              <w:spacing w:after="0" w:line="240" w:lineRule="auto"/>
              <w:jc w:val="center"/>
              <w:rPr>
                <w:rFonts w:ascii="Garamond" w:eastAsia="Times New Roman" w:hAnsi="Garamond" w:cs="Times New Roman"/>
                <w:color w:val="000000"/>
                <w:lang w:eastAsia="it-IT"/>
              </w:rPr>
            </w:pPr>
            <w:r w:rsidRPr="00555CCE">
              <w:rPr>
                <w:rFonts w:ascii="Garamond" w:eastAsia="Times New Roman" w:hAnsi="Garamond" w:cs="Times New Roman"/>
                <w:color w:val="000000"/>
                <w:lang w:eastAsia="it-IT"/>
              </w:rPr>
              <w:t>-0.10</w:t>
            </w:r>
          </w:p>
        </w:tc>
      </w:tr>
      <w:tr w:rsidR="00B66A50" w:rsidRPr="00646F36" w14:paraId="486AACC5" w14:textId="77777777" w:rsidTr="00B045B4">
        <w:trPr>
          <w:cantSplit/>
          <w:trHeight w:val="20"/>
        </w:trPr>
        <w:tc>
          <w:tcPr>
            <w:tcW w:w="1528" w:type="pct"/>
            <w:tcBorders>
              <w:top w:val="single" w:sz="4" w:space="0" w:color="auto"/>
              <w:left w:val="nil"/>
              <w:bottom w:val="single" w:sz="4" w:space="0" w:color="auto"/>
              <w:right w:val="nil"/>
            </w:tcBorders>
            <w:shd w:val="clear" w:color="auto" w:fill="auto"/>
            <w:noWrap/>
            <w:vAlign w:val="bottom"/>
            <w:hideMark/>
          </w:tcPr>
          <w:p w14:paraId="4B205B73" w14:textId="77777777" w:rsidR="00B66A50" w:rsidRPr="00293819" w:rsidRDefault="00B66A50" w:rsidP="00B66A50">
            <w:pPr>
              <w:spacing w:after="0" w:line="240" w:lineRule="auto"/>
              <w:rPr>
                <w:rFonts w:ascii="Garamond" w:eastAsia="Times New Roman" w:hAnsi="Garamond" w:cs="Times New Roman"/>
                <w:b/>
                <w:color w:val="000000"/>
                <w:lang w:eastAsia="it-IT"/>
              </w:rPr>
            </w:pPr>
            <w:r w:rsidRPr="00293819">
              <w:rPr>
                <w:rFonts w:ascii="Garamond" w:eastAsia="Times New Roman" w:hAnsi="Garamond" w:cs="Times New Roman"/>
                <w:b/>
                <w:color w:val="000000"/>
                <w:lang w:eastAsia="it-IT"/>
              </w:rPr>
              <w:t>Total</w:t>
            </w:r>
          </w:p>
        </w:tc>
        <w:tc>
          <w:tcPr>
            <w:tcW w:w="799" w:type="pct"/>
            <w:tcBorders>
              <w:top w:val="single" w:sz="4" w:space="0" w:color="auto"/>
              <w:left w:val="nil"/>
              <w:bottom w:val="single" w:sz="4" w:space="0" w:color="auto"/>
              <w:right w:val="nil"/>
            </w:tcBorders>
            <w:shd w:val="clear" w:color="auto" w:fill="auto"/>
            <w:noWrap/>
            <w:vAlign w:val="bottom"/>
          </w:tcPr>
          <w:p w14:paraId="33611A47" w14:textId="77777777" w:rsidR="00B66A50" w:rsidRPr="00646F36" w:rsidRDefault="00B66A50" w:rsidP="00B66A50">
            <w:pPr>
              <w:spacing w:after="0" w:line="240" w:lineRule="auto"/>
              <w:jc w:val="both"/>
              <w:rPr>
                <w:rFonts w:ascii="Garamond" w:eastAsia="Times New Roman" w:hAnsi="Garamond" w:cs="Times New Roman"/>
                <w:color w:val="000000"/>
                <w:lang w:eastAsia="it-IT"/>
              </w:rPr>
            </w:pPr>
          </w:p>
        </w:tc>
        <w:tc>
          <w:tcPr>
            <w:tcW w:w="799" w:type="pct"/>
            <w:tcBorders>
              <w:top w:val="single" w:sz="4" w:space="0" w:color="auto"/>
              <w:left w:val="nil"/>
              <w:bottom w:val="single" w:sz="4" w:space="0" w:color="auto"/>
              <w:right w:val="nil"/>
            </w:tcBorders>
            <w:shd w:val="clear" w:color="auto" w:fill="auto"/>
            <w:noWrap/>
            <w:vAlign w:val="bottom"/>
          </w:tcPr>
          <w:p w14:paraId="2F39E4EB" w14:textId="77777777" w:rsidR="00B66A50" w:rsidRPr="00646F36" w:rsidRDefault="00B66A50" w:rsidP="00B66A50">
            <w:pPr>
              <w:spacing w:after="0" w:line="240" w:lineRule="auto"/>
              <w:jc w:val="both"/>
              <w:rPr>
                <w:rFonts w:ascii="Garamond" w:eastAsia="Times New Roman" w:hAnsi="Garamond" w:cs="Times New Roman"/>
                <w:color w:val="000000"/>
                <w:lang w:eastAsia="it-IT"/>
              </w:rPr>
            </w:pPr>
          </w:p>
        </w:tc>
        <w:tc>
          <w:tcPr>
            <w:tcW w:w="937" w:type="pct"/>
            <w:tcBorders>
              <w:top w:val="single" w:sz="4" w:space="0" w:color="auto"/>
              <w:left w:val="nil"/>
              <w:bottom w:val="single" w:sz="4" w:space="0" w:color="auto"/>
              <w:right w:val="nil"/>
            </w:tcBorders>
          </w:tcPr>
          <w:p w14:paraId="5B0FDE04"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0.032</w:t>
            </w:r>
          </w:p>
        </w:tc>
        <w:tc>
          <w:tcPr>
            <w:tcW w:w="937" w:type="pct"/>
            <w:tcBorders>
              <w:top w:val="single" w:sz="4" w:space="0" w:color="auto"/>
              <w:left w:val="nil"/>
              <w:bottom w:val="single" w:sz="4" w:space="0" w:color="auto"/>
              <w:right w:val="nil"/>
            </w:tcBorders>
          </w:tcPr>
          <w:p w14:paraId="0AC526B5" w14:textId="77777777" w:rsidR="00B66A50" w:rsidRPr="00646F36"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43.17</w:t>
            </w:r>
          </w:p>
        </w:tc>
      </w:tr>
      <w:tr w:rsidR="00B66A50" w:rsidRPr="00646F36" w14:paraId="335F4ECB" w14:textId="77777777" w:rsidTr="00B045B4">
        <w:trPr>
          <w:cantSplit/>
          <w:trHeight w:val="20"/>
        </w:trPr>
        <w:tc>
          <w:tcPr>
            <w:tcW w:w="1528" w:type="pct"/>
            <w:tcBorders>
              <w:top w:val="single" w:sz="4" w:space="0" w:color="auto"/>
              <w:left w:val="nil"/>
              <w:bottom w:val="single" w:sz="4" w:space="0" w:color="auto"/>
              <w:right w:val="nil"/>
            </w:tcBorders>
            <w:shd w:val="clear" w:color="auto" w:fill="auto"/>
            <w:noWrap/>
            <w:vAlign w:val="bottom"/>
          </w:tcPr>
          <w:p w14:paraId="3F72D231" w14:textId="77777777" w:rsidR="00B66A50" w:rsidRPr="00293819" w:rsidRDefault="00B66A50" w:rsidP="00B66A50">
            <w:pPr>
              <w:spacing w:after="0" w:line="240" w:lineRule="auto"/>
              <w:rPr>
                <w:rFonts w:ascii="Garamond" w:eastAsia="Times New Roman" w:hAnsi="Garamond" w:cs="Times New Roman"/>
                <w:b/>
                <w:color w:val="000000"/>
                <w:lang w:eastAsia="it-IT"/>
              </w:rPr>
            </w:pPr>
            <w:r w:rsidRPr="00293819">
              <w:rPr>
                <w:rFonts w:ascii="Garamond" w:eastAsia="Times New Roman" w:hAnsi="Garamond" w:cs="Times New Roman"/>
                <w:b/>
                <w:color w:val="000000"/>
                <w:lang w:eastAsia="it-IT"/>
              </w:rPr>
              <w:t>Residuals</w:t>
            </w:r>
          </w:p>
        </w:tc>
        <w:tc>
          <w:tcPr>
            <w:tcW w:w="799" w:type="pct"/>
            <w:tcBorders>
              <w:top w:val="single" w:sz="4" w:space="0" w:color="auto"/>
              <w:left w:val="nil"/>
              <w:bottom w:val="single" w:sz="4" w:space="0" w:color="auto"/>
              <w:right w:val="nil"/>
            </w:tcBorders>
            <w:shd w:val="clear" w:color="auto" w:fill="auto"/>
            <w:noWrap/>
            <w:vAlign w:val="bottom"/>
          </w:tcPr>
          <w:p w14:paraId="32F6665C" w14:textId="77777777" w:rsidR="00B66A50" w:rsidRPr="00646F36" w:rsidRDefault="00B66A50" w:rsidP="00B66A50">
            <w:pPr>
              <w:spacing w:after="0" w:line="240" w:lineRule="auto"/>
              <w:jc w:val="both"/>
              <w:rPr>
                <w:rFonts w:ascii="Garamond" w:eastAsia="Times New Roman" w:hAnsi="Garamond" w:cs="Times New Roman"/>
                <w:color w:val="000000"/>
                <w:lang w:eastAsia="it-IT"/>
              </w:rPr>
            </w:pPr>
          </w:p>
        </w:tc>
        <w:tc>
          <w:tcPr>
            <w:tcW w:w="799" w:type="pct"/>
            <w:tcBorders>
              <w:top w:val="single" w:sz="4" w:space="0" w:color="auto"/>
              <w:left w:val="nil"/>
              <w:bottom w:val="single" w:sz="4" w:space="0" w:color="auto"/>
              <w:right w:val="nil"/>
            </w:tcBorders>
            <w:shd w:val="clear" w:color="auto" w:fill="auto"/>
            <w:noWrap/>
            <w:vAlign w:val="bottom"/>
          </w:tcPr>
          <w:p w14:paraId="31C1B8FB" w14:textId="77777777" w:rsidR="00B66A50" w:rsidRPr="00646F36" w:rsidRDefault="00B66A50" w:rsidP="00B66A50">
            <w:pPr>
              <w:spacing w:after="0" w:line="240" w:lineRule="auto"/>
              <w:jc w:val="both"/>
              <w:rPr>
                <w:rFonts w:ascii="Garamond" w:eastAsia="Times New Roman" w:hAnsi="Garamond" w:cs="Times New Roman"/>
                <w:color w:val="000000"/>
                <w:lang w:eastAsia="it-IT"/>
              </w:rPr>
            </w:pPr>
          </w:p>
        </w:tc>
        <w:tc>
          <w:tcPr>
            <w:tcW w:w="937" w:type="pct"/>
            <w:tcBorders>
              <w:top w:val="single" w:sz="4" w:space="0" w:color="auto"/>
              <w:left w:val="nil"/>
              <w:bottom w:val="single" w:sz="4" w:space="0" w:color="auto"/>
              <w:right w:val="nil"/>
            </w:tcBorders>
          </w:tcPr>
          <w:p w14:paraId="6FE23BB0" w14:textId="77777777" w:rsidR="00B66A50" w:rsidRPr="00BC22E8"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0.042</w:t>
            </w:r>
          </w:p>
        </w:tc>
        <w:tc>
          <w:tcPr>
            <w:tcW w:w="937" w:type="pct"/>
            <w:tcBorders>
              <w:top w:val="single" w:sz="4" w:space="0" w:color="auto"/>
              <w:left w:val="nil"/>
              <w:bottom w:val="single" w:sz="4" w:space="0" w:color="auto"/>
              <w:right w:val="nil"/>
            </w:tcBorders>
          </w:tcPr>
          <w:p w14:paraId="5518CC37" w14:textId="77777777" w:rsidR="00B66A50" w:rsidRPr="00BC22E8"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56.83</w:t>
            </w:r>
          </w:p>
        </w:tc>
      </w:tr>
      <w:tr w:rsidR="00B66A50" w:rsidRPr="00646F36" w14:paraId="6381EF5B" w14:textId="77777777" w:rsidTr="00B045B4">
        <w:trPr>
          <w:cantSplit/>
          <w:trHeight w:val="20"/>
        </w:trPr>
        <w:tc>
          <w:tcPr>
            <w:tcW w:w="1528" w:type="pct"/>
            <w:tcBorders>
              <w:top w:val="single" w:sz="4" w:space="0" w:color="auto"/>
              <w:left w:val="nil"/>
              <w:bottom w:val="single" w:sz="4" w:space="0" w:color="auto"/>
              <w:right w:val="nil"/>
            </w:tcBorders>
            <w:shd w:val="clear" w:color="auto" w:fill="auto"/>
            <w:noWrap/>
            <w:vAlign w:val="bottom"/>
          </w:tcPr>
          <w:p w14:paraId="6A5EA267" w14:textId="77777777" w:rsidR="00B66A50" w:rsidRPr="00293819" w:rsidRDefault="00B66A50" w:rsidP="00B66A50">
            <w:pPr>
              <w:spacing w:after="0" w:line="240" w:lineRule="auto"/>
              <w:rPr>
                <w:rFonts w:ascii="Garamond" w:eastAsia="Times New Roman" w:hAnsi="Garamond" w:cs="Times New Roman"/>
                <w:b/>
                <w:color w:val="000000"/>
                <w:lang w:eastAsia="it-IT"/>
              </w:rPr>
            </w:pPr>
            <w:r w:rsidRPr="00293819">
              <w:rPr>
                <w:rFonts w:ascii="Garamond" w:eastAsia="Times New Roman" w:hAnsi="Garamond" w:cs="Times New Roman"/>
                <w:b/>
                <w:color w:val="000000"/>
                <w:lang w:eastAsia="it-IT"/>
              </w:rPr>
              <w:t>Erreygers Index</w:t>
            </w:r>
          </w:p>
        </w:tc>
        <w:tc>
          <w:tcPr>
            <w:tcW w:w="799" w:type="pct"/>
            <w:tcBorders>
              <w:top w:val="single" w:sz="4" w:space="0" w:color="auto"/>
              <w:left w:val="nil"/>
              <w:bottom w:val="single" w:sz="4" w:space="0" w:color="auto"/>
              <w:right w:val="nil"/>
            </w:tcBorders>
            <w:shd w:val="clear" w:color="auto" w:fill="auto"/>
            <w:noWrap/>
            <w:vAlign w:val="bottom"/>
          </w:tcPr>
          <w:p w14:paraId="4B892F65" w14:textId="77777777" w:rsidR="00B66A50" w:rsidRPr="00BC22E8" w:rsidRDefault="00B66A50" w:rsidP="00B66A50">
            <w:pPr>
              <w:spacing w:after="0" w:line="240" w:lineRule="auto"/>
              <w:jc w:val="both"/>
              <w:rPr>
                <w:rFonts w:ascii="Garamond" w:eastAsia="Times New Roman" w:hAnsi="Garamond" w:cs="Times New Roman"/>
                <w:color w:val="000000"/>
                <w:lang w:eastAsia="it-IT"/>
              </w:rPr>
            </w:pPr>
          </w:p>
        </w:tc>
        <w:tc>
          <w:tcPr>
            <w:tcW w:w="799" w:type="pct"/>
            <w:tcBorders>
              <w:top w:val="single" w:sz="4" w:space="0" w:color="auto"/>
              <w:left w:val="nil"/>
              <w:bottom w:val="single" w:sz="4" w:space="0" w:color="auto"/>
              <w:right w:val="nil"/>
            </w:tcBorders>
            <w:shd w:val="clear" w:color="auto" w:fill="auto"/>
            <w:noWrap/>
            <w:vAlign w:val="bottom"/>
          </w:tcPr>
          <w:p w14:paraId="68EC17B2" w14:textId="77777777" w:rsidR="00B66A50" w:rsidRPr="00BC22E8" w:rsidRDefault="00B66A50" w:rsidP="00B66A50">
            <w:pPr>
              <w:spacing w:after="0" w:line="240" w:lineRule="auto"/>
              <w:jc w:val="both"/>
              <w:rPr>
                <w:rFonts w:ascii="Garamond" w:eastAsia="Times New Roman" w:hAnsi="Garamond" w:cs="Times New Roman"/>
                <w:color w:val="000000"/>
                <w:lang w:eastAsia="it-IT"/>
              </w:rPr>
            </w:pPr>
          </w:p>
        </w:tc>
        <w:tc>
          <w:tcPr>
            <w:tcW w:w="937" w:type="pct"/>
            <w:tcBorders>
              <w:top w:val="single" w:sz="4" w:space="0" w:color="auto"/>
              <w:left w:val="nil"/>
              <w:bottom w:val="single" w:sz="4" w:space="0" w:color="auto"/>
              <w:right w:val="nil"/>
            </w:tcBorders>
          </w:tcPr>
          <w:p w14:paraId="4455F7FB" w14:textId="77777777" w:rsidR="00B66A50" w:rsidRPr="00BC22E8"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0.074</w:t>
            </w:r>
          </w:p>
        </w:tc>
        <w:tc>
          <w:tcPr>
            <w:tcW w:w="937" w:type="pct"/>
            <w:tcBorders>
              <w:top w:val="single" w:sz="4" w:space="0" w:color="auto"/>
              <w:left w:val="nil"/>
              <w:bottom w:val="single" w:sz="4" w:space="0" w:color="auto"/>
              <w:right w:val="nil"/>
            </w:tcBorders>
          </w:tcPr>
          <w:p w14:paraId="31173CBD" w14:textId="77777777" w:rsidR="00B66A50" w:rsidRPr="00BC22E8"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100%</w:t>
            </w:r>
          </w:p>
        </w:tc>
      </w:tr>
      <w:tr w:rsidR="00B66A50" w:rsidRPr="00646F36" w14:paraId="7008B9E6" w14:textId="77777777" w:rsidTr="00B045B4">
        <w:trPr>
          <w:cantSplit/>
          <w:trHeight w:val="20"/>
        </w:trPr>
        <w:tc>
          <w:tcPr>
            <w:tcW w:w="1528" w:type="pct"/>
            <w:tcBorders>
              <w:top w:val="single" w:sz="4" w:space="0" w:color="auto"/>
              <w:left w:val="nil"/>
              <w:bottom w:val="single" w:sz="4" w:space="0" w:color="auto"/>
              <w:right w:val="nil"/>
            </w:tcBorders>
            <w:shd w:val="clear" w:color="auto" w:fill="auto"/>
            <w:noWrap/>
            <w:vAlign w:val="bottom"/>
          </w:tcPr>
          <w:p w14:paraId="0AC867F4" w14:textId="77777777" w:rsidR="00B66A50" w:rsidRPr="00293819" w:rsidRDefault="00B66A50" w:rsidP="00B66A50">
            <w:pPr>
              <w:spacing w:after="0" w:line="240" w:lineRule="auto"/>
              <w:rPr>
                <w:rFonts w:ascii="Garamond" w:eastAsia="Times New Roman" w:hAnsi="Garamond" w:cs="Times New Roman"/>
                <w:b/>
                <w:color w:val="000000"/>
                <w:lang w:eastAsia="it-IT"/>
              </w:rPr>
            </w:pPr>
            <w:r w:rsidRPr="00293819">
              <w:rPr>
                <w:rFonts w:ascii="Garamond" w:eastAsia="Times New Roman" w:hAnsi="Garamond" w:cs="Times New Roman"/>
                <w:b/>
                <w:color w:val="000000"/>
                <w:lang w:eastAsia="it-IT"/>
              </w:rPr>
              <w:t>Observations</w:t>
            </w:r>
          </w:p>
        </w:tc>
        <w:tc>
          <w:tcPr>
            <w:tcW w:w="799" w:type="pct"/>
            <w:tcBorders>
              <w:top w:val="single" w:sz="4" w:space="0" w:color="auto"/>
              <w:left w:val="nil"/>
              <w:bottom w:val="single" w:sz="4" w:space="0" w:color="auto"/>
              <w:right w:val="nil"/>
            </w:tcBorders>
            <w:shd w:val="clear" w:color="auto" w:fill="auto"/>
            <w:noWrap/>
            <w:vAlign w:val="bottom"/>
          </w:tcPr>
          <w:p w14:paraId="4548B2B7" w14:textId="77777777" w:rsidR="00B66A50" w:rsidRPr="00BC22E8" w:rsidRDefault="00B66A50" w:rsidP="00B66A50">
            <w:pPr>
              <w:spacing w:after="0" w:line="240" w:lineRule="auto"/>
              <w:jc w:val="both"/>
              <w:rPr>
                <w:rFonts w:ascii="Garamond" w:eastAsia="Times New Roman" w:hAnsi="Garamond" w:cs="Times New Roman"/>
                <w:color w:val="000000"/>
                <w:lang w:eastAsia="it-IT"/>
              </w:rPr>
            </w:pPr>
          </w:p>
        </w:tc>
        <w:tc>
          <w:tcPr>
            <w:tcW w:w="799" w:type="pct"/>
            <w:tcBorders>
              <w:top w:val="single" w:sz="4" w:space="0" w:color="auto"/>
              <w:left w:val="nil"/>
              <w:bottom w:val="single" w:sz="4" w:space="0" w:color="auto"/>
              <w:right w:val="nil"/>
            </w:tcBorders>
            <w:shd w:val="clear" w:color="auto" w:fill="auto"/>
            <w:noWrap/>
            <w:vAlign w:val="bottom"/>
          </w:tcPr>
          <w:p w14:paraId="10FCDD5E" w14:textId="77777777" w:rsidR="00B66A50" w:rsidRPr="00BC22E8" w:rsidRDefault="00B66A50" w:rsidP="00B66A50">
            <w:pPr>
              <w:spacing w:after="0" w:line="240" w:lineRule="auto"/>
              <w:jc w:val="both"/>
              <w:rPr>
                <w:rFonts w:ascii="Garamond" w:eastAsia="Times New Roman" w:hAnsi="Garamond" w:cs="Times New Roman"/>
                <w:color w:val="000000"/>
                <w:lang w:eastAsia="it-IT"/>
              </w:rPr>
            </w:pPr>
          </w:p>
        </w:tc>
        <w:tc>
          <w:tcPr>
            <w:tcW w:w="937" w:type="pct"/>
            <w:tcBorders>
              <w:top w:val="single" w:sz="4" w:space="0" w:color="auto"/>
              <w:left w:val="nil"/>
              <w:bottom w:val="single" w:sz="4" w:space="0" w:color="auto"/>
              <w:right w:val="nil"/>
            </w:tcBorders>
          </w:tcPr>
          <w:p w14:paraId="4FC50C2E" w14:textId="77777777" w:rsidR="00B66A50" w:rsidRDefault="00B66A50" w:rsidP="00B66A50">
            <w:pPr>
              <w:spacing w:after="0" w:line="240" w:lineRule="auto"/>
              <w:jc w:val="center"/>
              <w:rPr>
                <w:rFonts w:ascii="Garamond" w:eastAsia="Times New Roman" w:hAnsi="Garamond" w:cs="Times New Roman"/>
                <w:color w:val="000000"/>
                <w:lang w:eastAsia="it-IT"/>
              </w:rPr>
            </w:pPr>
          </w:p>
        </w:tc>
        <w:tc>
          <w:tcPr>
            <w:tcW w:w="937" w:type="pct"/>
            <w:tcBorders>
              <w:top w:val="single" w:sz="4" w:space="0" w:color="auto"/>
              <w:left w:val="nil"/>
              <w:bottom w:val="single" w:sz="4" w:space="0" w:color="auto"/>
              <w:right w:val="nil"/>
            </w:tcBorders>
          </w:tcPr>
          <w:p w14:paraId="557120EB" w14:textId="55C598D5" w:rsidR="00B66A50" w:rsidRDefault="00B66A50" w:rsidP="00B66A5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r w:rsidR="00293819">
              <w:rPr>
                <w:rFonts w:ascii="Garamond" w:eastAsia="Times New Roman" w:hAnsi="Garamond" w:cs="Times New Roman"/>
                <w:color w:val="000000"/>
                <w:lang w:eastAsia="it-IT"/>
              </w:rPr>
              <w:t>,</w:t>
            </w:r>
            <w:r>
              <w:rPr>
                <w:rFonts w:ascii="Garamond" w:eastAsia="Times New Roman" w:hAnsi="Garamond" w:cs="Times New Roman"/>
                <w:color w:val="000000"/>
                <w:lang w:eastAsia="it-IT"/>
              </w:rPr>
              <w:t>697</w:t>
            </w:r>
          </w:p>
        </w:tc>
      </w:tr>
    </w:tbl>
    <w:p w14:paraId="3BD9F68B" w14:textId="77777777" w:rsidR="00DF4A8D" w:rsidRDefault="00DF4A8D" w:rsidP="00372EAF">
      <w:pPr>
        <w:jc w:val="both"/>
        <w:rPr>
          <w:rFonts w:ascii="Garamond" w:hAnsi="Garamond"/>
          <w:b/>
          <w:lang w:val="en-GB"/>
        </w:rPr>
      </w:pPr>
    </w:p>
    <w:p w14:paraId="33D3F94E" w14:textId="77777777" w:rsidR="00925E79" w:rsidRDefault="00925E79" w:rsidP="00925E79">
      <w:pPr>
        <w:pStyle w:val="Paragrafoelenco"/>
        <w:numPr>
          <w:ilvl w:val="0"/>
          <w:numId w:val="1"/>
        </w:numPr>
        <w:jc w:val="both"/>
        <w:rPr>
          <w:rFonts w:ascii="Garamond" w:hAnsi="Garamond"/>
          <w:b/>
          <w:lang w:val="en-GB"/>
        </w:rPr>
      </w:pPr>
      <w:r w:rsidRPr="00925E79">
        <w:rPr>
          <w:rFonts w:ascii="Garamond" w:hAnsi="Garamond"/>
          <w:b/>
          <w:lang w:val="en-GB"/>
        </w:rPr>
        <w:t>Conclusions</w:t>
      </w:r>
    </w:p>
    <w:p w14:paraId="660FF1C3" w14:textId="65E93DC5" w:rsidR="00511F87" w:rsidRDefault="002A7F76" w:rsidP="00511F87">
      <w:pPr>
        <w:jc w:val="both"/>
        <w:rPr>
          <w:rFonts w:ascii="Garamond" w:hAnsi="Garamond"/>
          <w:lang w:val="en-GB"/>
        </w:rPr>
      </w:pPr>
      <w:r>
        <w:rPr>
          <w:rFonts w:ascii="Garamond" w:hAnsi="Garamond"/>
          <w:lang w:val="en-GB"/>
        </w:rPr>
        <w:t xml:space="preserve">The twin objectives of health promotion activities are </w:t>
      </w:r>
      <w:r w:rsidR="00B66A50">
        <w:rPr>
          <w:rFonts w:ascii="Garamond" w:hAnsi="Garamond"/>
          <w:lang w:val="en-GB"/>
        </w:rPr>
        <w:t xml:space="preserve">to </w:t>
      </w:r>
      <w:r>
        <w:rPr>
          <w:rFonts w:ascii="Garamond" w:hAnsi="Garamond"/>
          <w:lang w:val="en-GB"/>
        </w:rPr>
        <w:t xml:space="preserve">increase average health and </w:t>
      </w:r>
      <w:r w:rsidR="00B66A50">
        <w:rPr>
          <w:rFonts w:ascii="Garamond" w:hAnsi="Garamond"/>
          <w:lang w:val="en-GB"/>
        </w:rPr>
        <w:t>to</w:t>
      </w:r>
      <w:r>
        <w:rPr>
          <w:rFonts w:ascii="Garamond" w:hAnsi="Garamond"/>
          <w:lang w:val="en-GB"/>
        </w:rPr>
        <w:t xml:space="preserve"> reduc</w:t>
      </w:r>
      <w:r w:rsidR="00B66A50">
        <w:rPr>
          <w:rFonts w:ascii="Garamond" w:hAnsi="Garamond"/>
          <w:lang w:val="en-GB"/>
        </w:rPr>
        <w:t>e</w:t>
      </w:r>
      <w:r>
        <w:rPr>
          <w:rFonts w:ascii="Garamond" w:hAnsi="Garamond"/>
          <w:lang w:val="en-GB"/>
        </w:rPr>
        <w:t xml:space="preserve"> health inequalities. This paper analyses distributional issues related to </w:t>
      </w:r>
      <w:r w:rsidR="00B66A50">
        <w:rPr>
          <w:rFonts w:ascii="Garamond" w:hAnsi="Garamond"/>
          <w:lang w:val="en-GB"/>
        </w:rPr>
        <w:t xml:space="preserve">the </w:t>
      </w:r>
      <w:r>
        <w:rPr>
          <w:rFonts w:ascii="Garamond" w:hAnsi="Garamond"/>
          <w:lang w:val="en-GB"/>
        </w:rPr>
        <w:t>introduction of e-cig</w:t>
      </w:r>
      <w:r w:rsidR="00D94F83">
        <w:rPr>
          <w:rFonts w:ascii="Garamond" w:hAnsi="Garamond"/>
          <w:lang w:val="en-GB"/>
        </w:rPr>
        <w:t>arettes</w:t>
      </w:r>
      <w:r>
        <w:rPr>
          <w:rFonts w:ascii="Garamond" w:hAnsi="Garamond"/>
          <w:lang w:val="en-GB"/>
        </w:rPr>
        <w:t xml:space="preserve"> and </w:t>
      </w:r>
      <w:r w:rsidR="00D94F83">
        <w:rPr>
          <w:rFonts w:ascii="Garamond" w:hAnsi="Garamond"/>
          <w:lang w:val="en-GB"/>
        </w:rPr>
        <w:t>other smokeless products</w:t>
      </w:r>
      <w:r w:rsidR="006F20E1">
        <w:rPr>
          <w:rFonts w:ascii="Garamond" w:hAnsi="Garamond"/>
          <w:lang w:val="en-GB"/>
        </w:rPr>
        <w:t xml:space="preserve"> which are generally evaluated as much safer than traditional smoking.</w:t>
      </w:r>
      <w:r>
        <w:rPr>
          <w:rFonts w:ascii="Garamond" w:hAnsi="Garamond"/>
          <w:lang w:val="en-GB"/>
        </w:rPr>
        <w:t xml:space="preserve"> </w:t>
      </w:r>
    </w:p>
    <w:p w14:paraId="0CBAAA2C" w14:textId="6EA8C302" w:rsidR="006F20E1" w:rsidRDefault="006F20E1" w:rsidP="006F20E1">
      <w:pPr>
        <w:jc w:val="both"/>
        <w:rPr>
          <w:rFonts w:ascii="Garamond" w:hAnsi="Garamond"/>
          <w:lang w:val="en-GB"/>
        </w:rPr>
      </w:pPr>
      <w:r>
        <w:rPr>
          <w:rFonts w:ascii="Garamond" w:hAnsi="Garamond"/>
          <w:lang w:val="en-GB"/>
        </w:rPr>
        <w:t>Using data from the 2013 wave of the Health Survey for England, we find tha</w:t>
      </w:r>
      <w:r w:rsidR="00D94F83">
        <w:rPr>
          <w:rFonts w:ascii="Garamond" w:hAnsi="Garamond"/>
          <w:lang w:val="en-GB"/>
        </w:rPr>
        <w:t xml:space="preserve">t </w:t>
      </w:r>
      <w:r>
        <w:rPr>
          <w:rFonts w:ascii="Garamond" w:hAnsi="Garamond"/>
          <w:lang w:val="en-GB"/>
        </w:rPr>
        <w:t xml:space="preserve">pro-poor inequalities </w:t>
      </w:r>
      <w:r w:rsidR="00D94F83">
        <w:rPr>
          <w:rFonts w:ascii="Garamond" w:hAnsi="Garamond"/>
          <w:lang w:val="en-GB"/>
        </w:rPr>
        <w:t>are greater for</w:t>
      </w:r>
      <w:r>
        <w:rPr>
          <w:rFonts w:ascii="Garamond" w:hAnsi="Garamond"/>
          <w:lang w:val="en-GB"/>
        </w:rPr>
        <w:t xml:space="preserve"> smoking</w:t>
      </w:r>
      <w:r w:rsidR="00D94F83">
        <w:rPr>
          <w:rFonts w:ascii="Garamond" w:hAnsi="Garamond"/>
          <w:lang w:val="en-GB"/>
        </w:rPr>
        <w:t xml:space="preserve"> than for smoking and NDS combined</w:t>
      </w:r>
      <w:r>
        <w:rPr>
          <w:rFonts w:ascii="Garamond" w:hAnsi="Garamond"/>
          <w:lang w:val="en-GB"/>
        </w:rPr>
        <w:t xml:space="preserve">. Significant pro-rich inequalities are found in e-cig and </w:t>
      </w:r>
      <w:r w:rsidR="00D94F83">
        <w:rPr>
          <w:rFonts w:ascii="Garamond" w:hAnsi="Garamond"/>
          <w:lang w:val="en-GB"/>
        </w:rPr>
        <w:t xml:space="preserve">other </w:t>
      </w:r>
      <w:r>
        <w:rPr>
          <w:rFonts w:ascii="Garamond" w:hAnsi="Garamond"/>
          <w:lang w:val="en-GB"/>
        </w:rPr>
        <w:t>ND</w:t>
      </w:r>
      <w:r w:rsidR="00D94F83">
        <w:rPr>
          <w:rFonts w:ascii="Garamond" w:hAnsi="Garamond"/>
          <w:lang w:val="en-GB"/>
        </w:rPr>
        <w:t>S</w:t>
      </w:r>
      <w:r>
        <w:rPr>
          <w:rFonts w:ascii="Garamond" w:hAnsi="Garamond"/>
          <w:lang w:val="en-GB"/>
        </w:rPr>
        <w:t xml:space="preserve"> consumption due to a higher take-up among richer, younger and </w:t>
      </w:r>
      <w:r w:rsidR="00FF5EEF">
        <w:rPr>
          <w:rFonts w:ascii="Garamond" w:hAnsi="Garamond"/>
          <w:lang w:val="en-GB"/>
        </w:rPr>
        <w:t>better</w:t>
      </w:r>
      <w:r>
        <w:rPr>
          <w:rFonts w:ascii="Garamond" w:hAnsi="Garamond"/>
          <w:lang w:val="en-GB"/>
        </w:rPr>
        <w:t xml:space="preserve">-educated smokers. Provided that these smoking cessation methods will </w:t>
      </w:r>
      <w:r w:rsidR="00876243">
        <w:rPr>
          <w:rFonts w:ascii="Garamond" w:hAnsi="Garamond"/>
          <w:lang w:val="en-GB"/>
        </w:rPr>
        <w:t>effectively reduce the number of smokers, the</w:t>
      </w:r>
      <w:r>
        <w:rPr>
          <w:rFonts w:ascii="Garamond" w:hAnsi="Garamond"/>
          <w:lang w:val="en-GB"/>
        </w:rPr>
        <w:t>s</w:t>
      </w:r>
      <w:r w:rsidR="00876243">
        <w:rPr>
          <w:rFonts w:ascii="Garamond" w:hAnsi="Garamond"/>
          <w:lang w:val="en-GB"/>
        </w:rPr>
        <w:t>e</w:t>
      </w:r>
      <w:r>
        <w:rPr>
          <w:rFonts w:ascii="Garamond" w:hAnsi="Garamond"/>
          <w:lang w:val="en-GB"/>
        </w:rPr>
        <w:t xml:space="preserve"> results will lead to a long-run equilibrium with higher average health </w:t>
      </w:r>
      <w:r w:rsidRPr="00BB0F02">
        <w:rPr>
          <w:rFonts w:ascii="Garamond" w:hAnsi="Garamond"/>
          <w:i/>
          <w:lang w:val="en-GB"/>
        </w:rPr>
        <w:t>and</w:t>
      </w:r>
      <w:r>
        <w:rPr>
          <w:rFonts w:ascii="Garamond" w:hAnsi="Garamond"/>
          <w:lang w:val="en-GB"/>
        </w:rPr>
        <w:t xml:space="preserve"> higher health inequalities. </w:t>
      </w:r>
      <w:r w:rsidR="00B66A50">
        <w:rPr>
          <w:rFonts w:ascii="Garamond" w:hAnsi="Garamond"/>
          <w:lang w:val="en-GB"/>
        </w:rPr>
        <w:t xml:space="preserve">As </w:t>
      </w:r>
      <w:r w:rsidR="00876243">
        <w:rPr>
          <w:rFonts w:ascii="Garamond" w:hAnsi="Garamond"/>
          <w:lang w:val="en-GB"/>
        </w:rPr>
        <w:t xml:space="preserve">e-cig and </w:t>
      </w:r>
      <w:r w:rsidR="00D94F83">
        <w:rPr>
          <w:rFonts w:ascii="Garamond" w:hAnsi="Garamond"/>
          <w:lang w:val="en-GB"/>
        </w:rPr>
        <w:t xml:space="preserve">other </w:t>
      </w:r>
      <w:r w:rsidR="00876243">
        <w:rPr>
          <w:rFonts w:ascii="Garamond" w:hAnsi="Garamond"/>
          <w:lang w:val="en-GB"/>
        </w:rPr>
        <w:t>ND</w:t>
      </w:r>
      <w:r w:rsidR="00D94F83">
        <w:rPr>
          <w:rFonts w:ascii="Garamond" w:hAnsi="Garamond"/>
          <w:lang w:val="en-GB"/>
        </w:rPr>
        <w:t>S</w:t>
      </w:r>
      <w:r w:rsidR="00887868">
        <w:rPr>
          <w:rFonts w:ascii="Garamond" w:hAnsi="Garamond"/>
          <w:lang w:val="en-GB"/>
        </w:rPr>
        <w:t xml:space="preserve"> </w:t>
      </w:r>
      <w:r w:rsidR="00B66A50">
        <w:rPr>
          <w:rFonts w:ascii="Garamond" w:hAnsi="Garamond"/>
          <w:lang w:val="en-GB"/>
        </w:rPr>
        <w:t xml:space="preserve">are </w:t>
      </w:r>
      <w:r w:rsidR="00887868">
        <w:rPr>
          <w:rFonts w:ascii="Garamond" w:hAnsi="Garamond"/>
          <w:lang w:val="en-GB"/>
        </w:rPr>
        <w:t xml:space="preserve">generally cheaper than traditional </w:t>
      </w:r>
      <w:r w:rsidR="00876243">
        <w:rPr>
          <w:rFonts w:ascii="Garamond" w:hAnsi="Garamond"/>
          <w:lang w:val="en-GB"/>
        </w:rPr>
        <w:t>cigarettes</w:t>
      </w:r>
      <w:r w:rsidR="00887868">
        <w:rPr>
          <w:rFonts w:ascii="Garamond" w:hAnsi="Garamond"/>
          <w:lang w:val="en-GB"/>
        </w:rPr>
        <w:t>, the e</w:t>
      </w:r>
      <w:r>
        <w:rPr>
          <w:rFonts w:ascii="Garamond" w:hAnsi="Garamond"/>
          <w:lang w:val="en-GB"/>
        </w:rPr>
        <w:t xml:space="preserve">quality of access </w:t>
      </w:r>
      <w:r w:rsidR="00865D49">
        <w:rPr>
          <w:rFonts w:ascii="Garamond" w:hAnsi="Garamond"/>
          <w:lang w:val="en-GB"/>
        </w:rPr>
        <w:t>in these smoking cessation methods needs to</w:t>
      </w:r>
      <w:r w:rsidR="00887868">
        <w:rPr>
          <w:rFonts w:ascii="Garamond" w:hAnsi="Garamond"/>
          <w:lang w:val="en-GB"/>
        </w:rPr>
        <w:t xml:space="preserve"> </w:t>
      </w:r>
      <w:r>
        <w:rPr>
          <w:rFonts w:ascii="Garamond" w:hAnsi="Garamond"/>
          <w:lang w:val="en-GB"/>
        </w:rPr>
        <w:t xml:space="preserve">be improved through </w:t>
      </w:r>
      <w:r w:rsidR="00887868">
        <w:rPr>
          <w:rFonts w:ascii="Garamond" w:hAnsi="Garamond"/>
          <w:lang w:val="en-GB"/>
        </w:rPr>
        <w:t xml:space="preserve">alternative methods, </w:t>
      </w:r>
      <w:r w:rsidR="00B66A50">
        <w:rPr>
          <w:rFonts w:ascii="Garamond" w:hAnsi="Garamond"/>
          <w:lang w:val="en-GB"/>
        </w:rPr>
        <w:t>such as</w:t>
      </w:r>
      <w:r w:rsidR="00887868">
        <w:rPr>
          <w:rFonts w:ascii="Garamond" w:hAnsi="Garamond"/>
          <w:lang w:val="en-GB"/>
        </w:rPr>
        <w:t xml:space="preserve"> </w:t>
      </w:r>
      <w:r w:rsidR="00B66A50">
        <w:rPr>
          <w:rFonts w:ascii="Garamond" w:hAnsi="Garamond"/>
          <w:lang w:val="en-GB"/>
        </w:rPr>
        <w:t>medical</w:t>
      </w:r>
      <w:r>
        <w:rPr>
          <w:rFonts w:ascii="Garamond" w:hAnsi="Garamond"/>
          <w:lang w:val="en-GB"/>
        </w:rPr>
        <w:t xml:space="preserve"> recommendations</w:t>
      </w:r>
      <w:r w:rsidR="003D0CD3">
        <w:rPr>
          <w:rFonts w:ascii="Garamond" w:hAnsi="Garamond"/>
          <w:lang w:val="en-GB"/>
        </w:rPr>
        <w:t xml:space="preserve"> or</w:t>
      </w:r>
      <w:r w:rsidR="00887868">
        <w:rPr>
          <w:rFonts w:ascii="Garamond" w:hAnsi="Garamond"/>
          <w:lang w:val="en-GB"/>
        </w:rPr>
        <w:t xml:space="preserve"> advertising </w:t>
      </w:r>
      <w:r w:rsidR="003D0CD3">
        <w:rPr>
          <w:rFonts w:ascii="Garamond" w:hAnsi="Garamond"/>
          <w:lang w:val="en-GB"/>
        </w:rPr>
        <w:t>campaigns</w:t>
      </w:r>
      <w:r w:rsidR="00865D49">
        <w:rPr>
          <w:rFonts w:ascii="Garamond" w:hAnsi="Garamond"/>
          <w:lang w:val="en-GB"/>
        </w:rPr>
        <w:t>.</w:t>
      </w:r>
      <w:r w:rsidR="00887868">
        <w:rPr>
          <w:rFonts w:ascii="Garamond" w:hAnsi="Garamond"/>
          <w:lang w:val="en-GB"/>
        </w:rPr>
        <w:t xml:space="preserve"> </w:t>
      </w:r>
      <w:r w:rsidR="00B66A50">
        <w:rPr>
          <w:rFonts w:ascii="Garamond" w:hAnsi="Garamond"/>
          <w:lang w:val="en-GB"/>
        </w:rPr>
        <w:t>Greater</w:t>
      </w:r>
      <w:r w:rsidR="00865D49">
        <w:rPr>
          <w:rFonts w:ascii="Garamond" w:hAnsi="Garamond"/>
          <w:lang w:val="en-GB"/>
        </w:rPr>
        <w:t xml:space="preserve"> focus on </w:t>
      </w:r>
      <w:r w:rsidR="009B011D">
        <w:rPr>
          <w:rFonts w:ascii="Garamond" w:hAnsi="Garamond"/>
          <w:lang w:val="en-GB"/>
        </w:rPr>
        <w:t>l</w:t>
      </w:r>
      <w:r w:rsidR="00887868">
        <w:rPr>
          <w:rFonts w:ascii="Garamond" w:hAnsi="Garamond"/>
          <w:lang w:val="en-GB"/>
        </w:rPr>
        <w:t>ess educated and older smokers</w:t>
      </w:r>
      <w:r w:rsidR="00865D49">
        <w:rPr>
          <w:rFonts w:ascii="Garamond" w:hAnsi="Garamond"/>
          <w:lang w:val="en-GB"/>
        </w:rPr>
        <w:t xml:space="preserve"> could be beneficial for the purpose of narrowing the health gap between rich and poor</w:t>
      </w:r>
      <w:r w:rsidR="00887868">
        <w:rPr>
          <w:rFonts w:ascii="Garamond" w:hAnsi="Garamond"/>
          <w:lang w:val="en-GB"/>
        </w:rPr>
        <w:t>.</w:t>
      </w:r>
    </w:p>
    <w:p w14:paraId="73934B2E" w14:textId="77777777" w:rsidR="00D55458" w:rsidRPr="00E521B0" w:rsidRDefault="00D55458" w:rsidP="00925E79">
      <w:pPr>
        <w:pStyle w:val="Paragrafoelenco"/>
        <w:numPr>
          <w:ilvl w:val="0"/>
          <w:numId w:val="1"/>
        </w:numPr>
        <w:jc w:val="both"/>
        <w:rPr>
          <w:rFonts w:ascii="Garamond" w:hAnsi="Garamond"/>
          <w:lang w:val="en-GB"/>
        </w:rPr>
      </w:pPr>
      <w:r w:rsidRPr="00E521B0">
        <w:rPr>
          <w:rFonts w:ascii="Garamond" w:hAnsi="Garamond"/>
          <w:b/>
          <w:lang w:val="en-GB"/>
        </w:rPr>
        <w:br w:type="page"/>
      </w:r>
    </w:p>
    <w:p w14:paraId="02417BB3" w14:textId="77777777" w:rsidR="00581636" w:rsidRDefault="00E521B0">
      <w:pPr>
        <w:rPr>
          <w:rFonts w:ascii="Garamond" w:hAnsi="Garamond"/>
          <w:b/>
          <w:sz w:val="24"/>
          <w:szCs w:val="24"/>
        </w:rPr>
      </w:pPr>
      <w:r w:rsidRPr="00E521B0">
        <w:rPr>
          <w:rFonts w:ascii="Garamond" w:hAnsi="Garamond"/>
          <w:b/>
          <w:sz w:val="24"/>
          <w:szCs w:val="24"/>
        </w:rPr>
        <w:lastRenderedPageBreak/>
        <w:t>References</w:t>
      </w:r>
    </w:p>
    <w:p w14:paraId="35BB6884" w14:textId="24CD1904" w:rsidR="00925E79" w:rsidRDefault="00925E79" w:rsidP="00925E79">
      <w:pPr>
        <w:rPr>
          <w:rFonts w:ascii="ArialMT" w:eastAsiaTheme="minorHAnsi" w:hAnsi="ArialMT" w:cs="ArialMT"/>
          <w:lang w:val="it-IT"/>
        </w:rPr>
      </w:pPr>
      <w:r w:rsidRPr="00925E79">
        <w:rPr>
          <w:rFonts w:ascii="Garamond" w:hAnsi="Garamond"/>
        </w:rPr>
        <w:t>ASH (Action on Smoking and Health), (201</w:t>
      </w:r>
      <w:r w:rsidR="00022CA5">
        <w:rPr>
          <w:rFonts w:ascii="Garamond" w:hAnsi="Garamond"/>
        </w:rPr>
        <w:t>6</w:t>
      </w:r>
      <w:r w:rsidR="00367747">
        <w:rPr>
          <w:rFonts w:ascii="Garamond" w:hAnsi="Garamond"/>
        </w:rPr>
        <w:t>),</w:t>
      </w:r>
      <w:r w:rsidRPr="00925E79">
        <w:rPr>
          <w:rFonts w:ascii="Garamond" w:hAnsi="Garamond"/>
        </w:rPr>
        <w:t xml:space="preserve"> Electronic Cigarettes. London: ASH; January, available at:</w:t>
      </w:r>
      <w:r>
        <w:rPr>
          <w:rFonts w:ascii="ArialMT" w:eastAsiaTheme="minorHAnsi" w:hAnsi="ArialMT" w:cs="ArialMT"/>
          <w:lang w:val="it-IT"/>
        </w:rPr>
        <w:t xml:space="preserve"> </w:t>
      </w:r>
      <w:hyperlink r:id="rId13" w:history="1">
        <w:r w:rsidR="00A4785F" w:rsidRPr="00F81D92">
          <w:rPr>
            <w:rStyle w:val="Collegamentoipertestuale"/>
            <w:rFonts w:ascii="Garamond" w:eastAsiaTheme="minorHAnsi" w:hAnsi="Garamond" w:cs="ArialMT"/>
            <w:lang w:val="it-IT"/>
          </w:rPr>
          <w:t>http://ash.org.uk/files/documents/ASH_715.pdf</w:t>
        </w:r>
      </w:hyperlink>
      <w:r>
        <w:rPr>
          <w:rFonts w:ascii="ArialMT" w:eastAsiaTheme="minorHAnsi" w:hAnsi="ArialMT" w:cs="ArialMT"/>
          <w:lang w:val="it-IT"/>
        </w:rPr>
        <w:t>.</w:t>
      </w:r>
    </w:p>
    <w:p w14:paraId="71A5690A" w14:textId="617425FE" w:rsidR="00A4785F" w:rsidRPr="00A4785F" w:rsidRDefault="00A4785F" w:rsidP="00A4785F">
      <w:pPr>
        <w:rPr>
          <w:rFonts w:ascii="Garamond" w:hAnsi="Garamond"/>
        </w:rPr>
      </w:pPr>
      <w:r w:rsidRPr="00A4785F">
        <w:rPr>
          <w:rFonts w:ascii="Garamond" w:hAnsi="Garamond"/>
        </w:rPr>
        <w:t xml:space="preserve">Bullen, C., Howe, C., </w:t>
      </w:r>
      <w:proofErr w:type="spellStart"/>
      <w:r w:rsidRPr="00A4785F">
        <w:rPr>
          <w:rFonts w:ascii="Garamond" w:hAnsi="Garamond"/>
        </w:rPr>
        <w:t>Laugesen</w:t>
      </w:r>
      <w:proofErr w:type="spellEnd"/>
      <w:r w:rsidRPr="00A4785F">
        <w:rPr>
          <w:rFonts w:ascii="Garamond" w:hAnsi="Garamond"/>
        </w:rPr>
        <w:t xml:space="preserve">, M., </w:t>
      </w:r>
      <w:r w:rsidRPr="00367747">
        <w:rPr>
          <w:rFonts w:ascii="Garamond" w:hAnsi="Garamond"/>
          <w:i/>
        </w:rPr>
        <w:t>et al</w:t>
      </w:r>
      <w:r w:rsidRPr="00A4785F">
        <w:rPr>
          <w:rFonts w:ascii="Garamond" w:hAnsi="Garamond"/>
        </w:rPr>
        <w:t>.</w:t>
      </w:r>
      <w:r>
        <w:rPr>
          <w:rFonts w:ascii="Garamond" w:hAnsi="Garamond"/>
        </w:rPr>
        <w:t>, (2013),</w:t>
      </w:r>
      <w:r w:rsidRPr="00A4785F">
        <w:rPr>
          <w:rFonts w:ascii="Garamond" w:hAnsi="Garamond"/>
        </w:rPr>
        <w:t xml:space="preserve"> Electronic cigarettes for smoking cessation: a randomized controlled trial</w:t>
      </w:r>
      <w:r w:rsidRPr="00A4785F">
        <w:rPr>
          <w:rFonts w:ascii="Garamond" w:hAnsi="Garamond"/>
          <w:i/>
        </w:rPr>
        <w:t>,</w:t>
      </w:r>
      <w:r>
        <w:rPr>
          <w:rFonts w:ascii="Garamond" w:hAnsi="Garamond"/>
          <w:i/>
        </w:rPr>
        <w:t xml:space="preserve"> </w:t>
      </w:r>
      <w:r w:rsidRPr="00A4785F">
        <w:rPr>
          <w:rFonts w:ascii="Garamond" w:hAnsi="Garamond"/>
          <w:i/>
        </w:rPr>
        <w:t>Lancet</w:t>
      </w:r>
      <w:r w:rsidR="00367747">
        <w:rPr>
          <w:rFonts w:ascii="Garamond" w:hAnsi="Garamond"/>
        </w:rPr>
        <w:t>,</w:t>
      </w:r>
      <w:r>
        <w:rPr>
          <w:rFonts w:ascii="Garamond" w:hAnsi="Garamond"/>
        </w:rPr>
        <w:t xml:space="preserve"> 382:1629-</w:t>
      </w:r>
      <w:r w:rsidRPr="00A4785F">
        <w:rPr>
          <w:rFonts w:ascii="Garamond" w:hAnsi="Garamond"/>
        </w:rPr>
        <w:t>37.</w:t>
      </w:r>
    </w:p>
    <w:p w14:paraId="71BBA3B5" w14:textId="54A95A65" w:rsidR="00925E79" w:rsidRDefault="00925E79" w:rsidP="00925E79">
      <w:pPr>
        <w:autoSpaceDE w:val="0"/>
        <w:autoSpaceDN w:val="0"/>
        <w:adjustRightInd w:val="0"/>
        <w:spacing w:after="0" w:line="240" w:lineRule="auto"/>
        <w:rPr>
          <w:rFonts w:ascii="Garamond" w:hAnsi="Garamond"/>
        </w:rPr>
      </w:pPr>
      <w:proofErr w:type="spellStart"/>
      <w:r w:rsidRPr="00925E79">
        <w:rPr>
          <w:rFonts w:ascii="Garamond" w:hAnsi="Garamond"/>
        </w:rPr>
        <w:t>Chittock</w:t>
      </w:r>
      <w:proofErr w:type="spellEnd"/>
      <w:r>
        <w:rPr>
          <w:rFonts w:ascii="Garamond" w:hAnsi="Garamond"/>
        </w:rPr>
        <w:t>,</w:t>
      </w:r>
      <w:r w:rsidRPr="00925E79">
        <w:rPr>
          <w:rFonts w:ascii="Garamond" w:hAnsi="Garamond"/>
        </w:rPr>
        <w:t xml:space="preserve"> M</w:t>
      </w:r>
      <w:r>
        <w:rPr>
          <w:rFonts w:ascii="Garamond" w:hAnsi="Garamond"/>
        </w:rPr>
        <w:t>.,</w:t>
      </w:r>
      <w:r w:rsidRPr="00925E79">
        <w:rPr>
          <w:rFonts w:ascii="Garamond" w:hAnsi="Garamond"/>
        </w:rPr>
        <w:t xml:space="preserve"> (2014)</w:t>
      </w:r>
      <w:r w:rsidR="00022CA5">
        <w:rPr>
          <w:rFonts w:ascii="Garamond" w:hAnsi="Garamond"/>
        </w:rPr>
        <w:t>,</w:t>
      </w:r>
      <w:r w:rsidRPr="00925E79">
        <w:rPr>
          <w:rFonts w:ascii="Garamond" w:hAnsi="Garamond"/>
        </w:rPr>
        <w:t xml:space="preserve"> Focus on e-cig</w:t>
      </w:r>
      <w:r w:rsidR="00367747">
        <w:rPr>
          <w:rFonts w:ascii="Garamond" w:hAnsi="Garamond"/>
        </w:rPr>
        <w:t xml:space="preserve">arettes: A touch of the </w:t>
      </w:r>
      <w:proofErr w:type="spellStart"/>
      <w:r w:rsidR="00367747">
        <w:rPr>
          <w:rFonts w:ascii="Garamond" w:hAnsi="Garamond"/>
        </w:rPr>
        <w:t>vapours</w:t>
      </w:r>
      <w:proofErr w:type="spellEnd"/>
      <w:r w:rsidR="00367747">
        <w:rPr>
          <w:rFonts w:ascii="Garamond" w:hAnsi="Garamond"/>
        </w:rPr>
        <w:t>,</w:t>
      </w:r>
      <w:r w:rsidRPr="00925E79">
        <w:rPr>
          <w:rFonts w:ascii="Garamond" w:hAnsi="Garamond"/>
        </w:rPr>
        <w:t xml:space="preserve"> </w:t>
      </w:r>
      <w:r w:rsidRPr="00925E79">
        <w:rPr>
          <w:rFonts w:ascii="Garamond" w:hAnsi="Garamond"/>
          <w:i/>
        </w:rPr>
        <w:t>The Grocer</w:t>
      </w:r>
      <w:r w:rsidRPr="00925E79">
        <w:rPr>
          <w:rFonts w:ascii="Garamond" w:hAnsi="Garamond"/>
        </w:rPr>
        <w:t>, February 15th</w:t>
      </w:r>
      <w:r>
        <w:rPr>
          <w:rFonts w:ascii="Garamond" w:hAnsi="Garamond"/>
        </w:rPr>
        <w:t>: 51-52-</w:t>
      </w:r>
      <w:r w:rsidRPr="00925E79">
        <w:rPr>
          <w:rFonts w:ascii="Garamond" w:hAnsi="Garamond"/>
        </w:rPr>
        <w:t>54</w:t>
      </w:r>
      <w:r>
        <w:rPr>
          <w:rFonts w:ascii="Garamond" w:hAnsi="Garamond"/>
        </w:rPr>
        <w:t>.</w:t>
      </w:r>
    </w:p>
    <w:p w14:paraId="4684595B" w14:textId="77777777" w:rsidR="00925E79" w:rsidRPr="00925E79" w:rsidRDefault="00925E79" w:rsidP="00925E79">
      <w:pPr>
        <w:autoSpaceDE w:val="0"/>
        <w:autoSpaceDN w:val="0"/>
        <w:adjustRightInd w:val="0"/>
        <w:spacing w:after="0" w:line="240" w:lineRule="auto"/>
        <w:rPr>
          <w:rFonts w:ascii="Garamond" w:hAnsi="Garamond"/>
        </w:rPr>
      </w:pPr>
    </w:p>
    <w:p w14:paraId="5E64C29C" w14:textId="1DA2CA96" w:rsidR="00925E79" w:rsidRDefault="00925E79" w:rsidP="00925E79">
      <w:pPr>
        <w:autoSpaceDE w:val="0"/>
        <w:autoSpaceDN w:val="0"/>
        <w:adjustRightInd w:val="0"/>
        <w:spacing w:after="0" w:line="240" w:lineRule="auto"/>
        <w:rPr>
          <w:rFonts w:ascii="Garamond" w:hAnsi="Garamond"/>
        </w:rPr>
      </w:pPr>
      <w:r w:rsidRPr="00925E79">
        <w:rPr>
          <w:rFonts w:ascii="Garamond" w:hAnsi="Garamond"/>
        </w:rPr>
        <w:t>Clarke, J. (2014)</w:t>
      </w:r>
      <w:r w:rsidR="00022CA5">
        <w:rPr>
          <w:rFonts w:ascii="Garamond" w:hAnsi="Garamond"/>
        </w:rPr>
        <w:t>,</w:t>
      </w:r>
      <w:r w:rsidRPr="00925E79">
        <w:rPr>
          <w:rFonts w:ascii="Garamond" w:hAnsi="Garamond"/>
        </w:rPr>
        <w:t xml:space="preserve"> E-cigarette market ‘booming’</w:t>
      </w:r>
      <w:r>
        <w:rPr>
          <w:rFonts w:ascii="Garamond" w:hAnsi="Garamond"/>
        </w:rPr>
        <w:t xml:space="preserve">, </w:t>
      </w:r>
      <w:r w:rsidRPr="00925E79">
        <w:rPr>
          <w:rFonts w:ascii="Garamond" w:hAnsi="Garamond"/>
          <w:i/>
        </w:rPr>
        <w:t xml:space="preserve">Press Association </w:t>
      </w:r>
      <w:proofErr w:type="spellStart"/>
      <w:r w:rsidRPr="00925E79">
        <w:rPr>
          <w:rFonts w:ascii="Garamond" w:hAnsi="Garamond"/>
          <w:i/>
        </w:rPr>
        <w:t>MediaPoint</w:t>
      </w:r>
      <w:proofErr w:type="spellEnd"/>
      <w:r w:rsidRPr="00925E79">
        <w:rPr>
          <w:rFonts w:ascii="Garamond" w:hAnsi="Garamond"/>
        </w:rPr>
        <w:t>, February 28.</w:t>
      </w:r>
    </w:p>
    <w:p w14:paraId="5A8AD09C" w14:textId="77777777" w:rsidR="00925E79" w:rsidRPr="00925E79" w:rsidRDefault="00925E79" w:rsidP="00925E79">
      <w:pPr>
        <w:autoSpaceDE w:val="0"/>
        <w:autoSpaceDN w:val="0"/>
        <w:adjustRightInd w:val="0"/>
        <w:spacing w:after="0" w:line="240" w:lineRule="auto"/>
        <w:rPr>
          <w:rFonts w:ascii="Garamond" w:hAnsi="Garamond"/>
        </w:rPr>
      </w:pPr>
    </w:p>
    <w:p w14:paraId="1A71C6C4" w14:textId="633623EE" w:rsidR="00925E79" w:rsidRDefault="00925E79">
      <w:pPr>
        <w:rPr>
          <w:rFonts w:ascii="Garamond" w:hAnsi="Garamond"/>
        </w:rPr>
      </w:pPr>
      <w:r w:rsidRPr="00925E79">
        <w:rPr>
          <w:rFonts w:ascii="Garamond" w:hAnsi="Garamond"/>
        </w:rPr>
        <w:t>Cobb, N.K., Byron, M.J., Abrams, D.B., Shields, P.G., (2010), Novel nicotine delivery systems and public he</w:t>
      </w:r>
      <w:r w:rsidR="00367747">
        <w:rPr>
          <w:rFonts w:ascii="Garamond" w:hAnsi="Garamond"/>
        </w:rPr>
        <w:t xml:space="preserve">alth: the rise of “e-cigarette”, </w:t>
      </w:r>
      <w:r w:rsidRPr="00925E79">
        <w:rPr>
          <w:rFonts w:ascii="Garamond" w:hAnsi="Garamond"/>
        </w:rPr>
        <w:t xml:space="preserve"> </w:t>
      </w:r>
      <w:r w:rsidRPr="00925E79">
        <w:rPr>
          <w:rFonts w:ascii="Garamond" w:hAnsi="Garamond"/>
          <w:i/>
        </w:rPr>
        <w:t>American Journal of Public Health</w:t>
      </w:r>
      <w:r w:rsidRPr="00925E79">
        <w:rPr>
          <w:rFonts w:ascii="Garamond" w:hAnsi="Garamond"/>
        </w:rPr>
        <w:t>, 100: 2340-2.</w:t>
      </w:r>
    </w:p>
    <w:p w14:paraId="31D86CCF" w14:textId="392923C5" w:rsidR="006E29B8" w:rsidRDefault="00367747">
      <w:pPr>
        <w:rPr>
          <w:rFonts w:ascii="Garamond" w:hAnsi="Garamond"/>
        </w:rPr>
      </w:pPr>
      <w:proofErr w:type="spellStart"/>
      <w:r>
        <w:rPr>
          <w:rFonts w:ascii="Garamond" w:hAnsi="Garamond"/>
        </w:rPr>
        <w:t>Contoyannis</w:t>
      </w:r>
      <w:proofErr w:type="spellEnd"/>
      <w:r>
        <w:rPr>
          <w:rFonts w:ascii="Garamond" w:hAnsi="Garamond"/>
        </w:rPr>
        <w:t xml:space="preserve">, P., Forster, M., (1999a), The distribution of health and income: a theoretical framework, </w:t>
      </w:r>
      <w:r w:rsidRPr="00367747">
        <w:rPr>
          <w:rFonts w:ascii="Garamond" w:hAnsi="Garamond"/>
          <w:i/>
        </w:rPr>
        <w:t>Journal of Health Economics</w:t>
      </w:r>
      <w:r>
        <w:rPr>
          <w:rFonts w:ascii="Garamond" w:hAnsi="Garamond"/>
        </w:rPr>
        <w:t>, 18: 605-622.</w:t>
      </w:r>
    </w:p>
    <w:p w14:paraId="5158079E" w14:textId="17BCDA3C" w:rsidR="00367747" w:rsidRDefault="00367747">
      <w:pPr>
        <w:rPr>
          <w:rFonts w:ascii="Garamond" w:hAnsi="Garamond"/>
        </w:rPr>
      </w:pPr>
      <w:proofErr w:type="spellStart"/>
      <w:r>
        <w:rPr>
          <w:rFonts w:ascii="Garamond" w:hAnsi="Garamond"/>
        </w:rPr>
        <w:t>Contoyannis</w:t>
      </w:r>
      <w:proofErr w:type="spellEnd"/>
      <w:r>
        <w:rPr>
          <w:rFonts w:ascii="Garamond" w:hAnsi="Garamond"/>
        </w:rPr>
        <w:t>, P., Forster, M., (1999b), “Our healthier nation”?,</w:t>
      </w:r>
      <w:r w:rsidRPr="00367747">
        <w:rPr>
          <w:rFonts w:ascii="Garamond" w:hAnsi="Garamond"/>
          <w:i/>
        </w:rPr>
        <w:t xml:space="preserve"> Health Economics</w:t>
      </w:r>
      <w:r>
        <w:rPr>
          <w:rFonts w:ascii="Garamond" w:hAnsi="Garamond"/>
        </w:rPr>
        <w:t>, 8: 289-296.</w:t>
      </w:r>
    </w:p>
    <w:p w14:paraId="19E31BBB" w14:textId="77777777" w:rsidR="00A4785F" w:rsidRDefault="00A4785F" w:rsidP="00A4785F">
      <w:pPr>
        <w:rPr>
          <w:rFonts w:ascii="Garamond" w:hAnsi="Garamond"/>
        </w:rPr>
      </w:pPr>
      <w:proofErr w:type="spellStart"/>
      <w:r w:rsidRPr="00A4785F">
        <w:rPr>
          <w:rFonts w:ascii="Garamond" w:hAnsi="Garamond"/>
        </w:rPr>
        <w:t>Dockrell</w:t>
      </w:r>
      <w:proofErr w:type="spellEnd"/>
      <w:r w:rsidRPr="00A4785F">
        <w:rPr>
          <w:rFonts w:ascii="Garamond" w:hAnsi="Garamond"/>
        </w:rPr>
        <w:t xml:space="preserve"> M, Morison R, </w:t>
      </w:r>
      <w:proofErr w:type="spellStart"/>
      <w:r w:rsidRPr="00A4785F">
        <w:rPr>
          <w:rFonts w:ascii="Garamond" w:hAnsi="Garamond"/>
        </w:rPr>
        <w:t>Bauld</w:t>
      </w:r>
      <w:proofErr w:type="spellEnd"/>
      <w:r w:rsidRPr="00A4785F">
        <w:rPr>
          <w:rFonts w:ascii="Garamond" w:hAnsi="Garamond"/>
        </w:rPr>
        <w:t xml:space="preserve"> L, McNeill A.</w:t>
      </w:r>
      <w:r>
        <w:rPr>
          <w:rFonts w:ascii="Garamond" w:hAnsi="Garamond"/>
        </w:rPr>
        <w:t xml:space="preserve"> (2013),</w:t>
      </w:r>
      <w:r w:rsidRPr="00A4785F">
        <w:rPr>
          <w:rFonts w:ascii="Garamond" w:hAnsi="Garamond"/>
        </w:rPr>
        <w:t xml:space="preserve"> E-cigarett</w:t>
      </w:r>
      <w:r>
        <w:rPr>
          <w:rFonts w:ascii="Garamond" w:hAnsi="Garamond"/>
        </w:rPr>
        <w:t xml:space="preserve">es: prevalence and attitudes in </w:t>
      </w:r>
      <w:r w:rsidRPr="00A4785F">
        <w:rPr>
          <w:rFonts w:ascii="Garamond" w:hAnsi="Garamond"/>
        </w:rPr>
        <w:t xml:space="preserve">Great Britain. </w:t>
      </w:r>
      <w:r w:rsidRPr="00A4785F">
        <w:rPr>
          <w:rFonts w:ascii="Garamond" w:hAnsi="Garamond"/>
          <w:i/>
        </w:rPr>
        <w:t>Nicotine Tobacco Research</w:t>
      </w:r>
      <w:r>
        <w:rPr>
          <w:rFonts w:ascii="Garamond" w:hAnsi="Garamond"/>
        </w:rPr>
        <w:t xml:space="preserve">, </w:t>
      </w:r>
      <w:r w:rsidRPr="00A4785F">
        <w:rPr>
          <w:rFonts w:ascii="Garamond" w:hAnsi="Garamond"/>
        </w:rPr>
        <w:t>15:1737</w:t>
      </w:r>
      <w:r>
        <w:rPr>
          <w:rFonts w:ascii="Garamond" w:hAnsi="Garamond"/>
        </w:rPr>
        <w:t>-</w:t>
      </w:r>
      <w:r w:rsidRPr="00A4785F">
        <w:rPr>
          <w:rFonts w:ascii="Garamond" w:hAnsi="Garamond"/>
        </w:rPr>
        <w:t>44.</w:t>
      </w:r>
    </w:p>
    <w:p w14:paraId="38AB9632" w14:textId="77777777" w:rsidR="002B3797" w:rsidRDefault="002B3797" w:rsidP="002B3797">
      <w:pPr>
        <w:rPr>
          <w:rFonts w:ascii="Garamond" w:hAnsi="Garamond"/>
        </w:rPr>
      </w:pPr>
      <w:r w:rsidRPr="002B3797">
        <w:rPr>
          <w:rFonts w:ascii="Garamond" w:hAnsi="Garamond"/>
        </w:rPr>
        <w:t>Erreygers</w:t>
      </w:r>
      <w:r>
        <w:rPr>
          <w:rFonts w:ascii="Garamond" w:hAnsi="Garamond"/>
        </w:rPr>
        <w:t>,</w:t>
      </w:r>
      <w:r w:rsidRPr="002B3797">
        <w:rPr>
          <w:rFonts w:ascii="Garamond" w:hAnsi="Garamond"/>
        </w:rPr>
        <w:t xml:space="preserve"> G.</w:t>
      </w:r>
      <w:r>
        <w:rPr>
          <w:rFonts w:ascii="Garamond" w:hAnsi="Garamond"/>
        </w:rPr>
        <w:t>, (2009),</w:t>
      </w:r>
      <w:r w:rsidRPr="002B3797">
        <w:rPr>
          <w:rFonts w:ascii="Garamond" w:hAnsi="Garamond"/>
        </w:rPr>
        <w:t xml:space="preserve"> Cor</w:t>
      </w:r>
      <w:r>
        <w:rPr>
          <w:rFonts w:ascii="Garamond" w:hAnsi="Garamond"/>
        </w:rPr>
        <w:t>recting the concentration index,</w:t>
      </w:r>
      <w:r w:rsidRPr="002B3797">
        <w:rPr>
          <w:rFonts w:ascii="Garamond" w:hAnsi="Garamond"/>
        </w:rPr>
        <w:t xml:space="preserve"> </w:t>
      </w:r>
      <w:r w:rsidRPr="002B3797">
        <w:rPr>
          <w:rFonts w:ascii="Garamond" w:hAnsi="Garamond"/>
          <w:i/>
          <w:iCs/>
        </w:rPr>
        <w:t>Journal of Health Economics</w:t>
      </w:r>
      <w:r>
        <w:rPr>
          <w:rFonts w:ascii="Garamond" w:hAnsi="Garamond"/>
        </w:rPr>
        <w:t>,</w:t>
      </w:r>
      <w:r w:rsidRPr="002B3797">
        <w:rPr>
          <w:rFonts w:ascii="Garamond" w:hAnsi="Garamond"/>
        </w:rPr>
        <w:t xml:space="preserve"> 28:504-515.</w:t>
      </w:r>
    </w:p>
    <w:p w14:paraId="29ADDE06" w14:textId="2D7FDE6B" w:rsidR="00A4785F" w:rsidRDefault="00A4785F" w:rsidP="00A4785F">
      <w:pPr>
        <w:rPr>
          <w:rFonts w:ascii="Garamond" w:hAnsi="Garamond"/>
        </w:rPr>
      </w:pPr>
      <w:proofErr w:type="spellStart"/>
      <w:r>
        <w:rPr>
          <w:rFonts w:ascii="Garamond" w:hAnsi="Garamond"/>
        </w:rPr>
        <w:t>Etter</w:t>
      </w:r>
      <w:proofErr w:type="spellEnd"/>
      <w:r>
        <w:rPr>
          <w:rFonts w:ascii="Garamond" w:hAnsi="Garamond"/>
        </w:rPr>
        <w:t>, J.</w:t>
      </w:r>
      <w:r w:rsidRPr="00A4785F">
        <w:rPr>
          <w:rFonts w:ascii="Garamond" w:hAnsi="Garamond"/>
        </w:rPr>
        <w:t>F</w:t>
      </w:r>
      <w:r>
        <w:rPr>
          <w:rFonts w:ascii="Garamond" w:hAnsi="Garamond"/>
        </w:rPr>
        <w:t>.</w:t>
      </w:r>
      <w:r w:rsidRPr="00A4785F">
        <w:rPr>
          <w:rFonts w:ascii="Garamond" w:hAnsi="Garamond"/>
        </w:rPr>
        <w:t>, Bullen</w:t>
      </w:r>
      <w:r>
        <w:rPr>
          <w:rFonts w:ascii="Garamond" w:hAnsi="Garamond"/>
        </w:rPr>
        <w:t>,</w:t>
      </w:r>
      <w:r w:rsidRPr="00A4785F">
        <w:rPr>
          <w:rFonts w:ascii="Garamond" w:hAnsi="Garamond"/>
        </w:rPr>
        <w:t xml:space="preserve"> C.</w:t>
      </w:r>
      <w:r>
        <w:rPr>
          <w:rFonts w:ascii="Garamond" w:hAnsi="Garamond"/>
        </w:rPr>
        <w:t>, (2011),</w:t>
      </w:r>
      <w:r w:rsidRPr="00A4785F">
        <w:rPr>
          <w:rFonts w:ascii="Garamond" w:hAnsi="Garamond"/>
        </w:rPr>
        <w:t xml:space="preserve"> Electronic cigarette: users profile</w:t>
      </w:r>
      <w:r>
        <w:rPr>
          <w:rFonts w:ascii="Garamond" w:hAnsi="Garamond"/>
        </w:rPr>
        <w:t xml:space="preserve">, utilization, satisfaction and </w:t>
      </w:r>
      <w:r w:rsidRPr="00A4785F">
        <w:rPr>
          <w:rFonts w:ascii="Garamond" w:hAnsi="Garamond"/>
        </w:rPr>
        <w:t xml:space="preserve">perceived efficacy. </w:t>
      </w:r>
      <w:r w:rsidRPr="00A4785F">
        <w:rPr>
          <w:rFonts w:ascii="Garamond" w:hAnsi="Garamond"/>
          <w:i/>
        </w:rPr>
        <w:t>Addiction</w:t>
      </w:r>
      <w:r w:rsidR="00367747">
        <w:rPr>
          <w:rFonts w:ascii="Garamond" w:hAnsi="Garamond"/>
        </w:rPr>
        <w:t xml:space="preserve">, </w:t>
      </w:r>
      <w:r>
        <w:rPr>
          <w:rFonts w:ascii="Garamond" w:hAnsi="Garamond"/>
        </w:rPr>
        <w:t>106:2017-</w:t>
      </w:r>
      <w:r w:rsidRPr="00A4785F">
        <w:rPr>
          <w:rFonts w:ascii="Garamond" w:hAnsi="Garamond"/>
        </w:rPr>
        <w:t>28.</w:t>
      </w:r>
    </w:p>
    <w:p w14:paraId="0E2B4833" w14:textId="1D846BF1" w:rsidR="00A4785F" w:rsidRDefault="00A4785F" w:rsidP="00A4785F">
      <w:pPr>
        <w:rPr>
          <w:rFonts w:ascii="Garamond" w:hAnsi="Garamond"/>
        </w:rPr>
      </w:pPr>
      <w:proofErr w:type="spellStart"/>
      <w:r w:rsidRPr="00A4785F">
        <w:rPr>
          <w:rFonts w:ascii="Garamond" w:hAnsi="Garamond"/>
        </w:rPr>
        <w:t>Goniewicz</w:t>
      </w:r>
      <w:proofErr w:type="spellEnd"/>
      <w:r>
        <w:rPr>
          <w:rFonts w:ascii="Garamond" w:hAnsi="Garamond"/>
        </w:rPr>
        <w:t>,</w:t>
      </w:r>
      <w:r w:rsidRPr="00A4785F">
        <w:rPr>
          <w:rFonts w:ascii="Garamond" w:hAnsi="Garamond"/>
        </w:rPr>
        <w:t xml:space="preserve"> M</w:t>
      </w:r>
      <w:r>
        <w:rPr>
          <w:rFonts w:ascii="Garamond" w:hAnsi="Garamond"/>
        </w:rPr>
        <w:t>.</w:t>
      </w:r>
      <w:r w:rsidRPr="00A4785F">
        <w:rPr>
          <w:rFonts w:ascii="Garamond" w:hAnsi="Garamond"/>
        </w:rPr>
        <w:t>L</w:t>
      </w:r>
      <w:r>
        <w:rPr>
          <w:rFonts w:ascii="Garamond" w:hAnsi="Garamond"/>
        </w:rPr>
        <w:t>.</w:t>
      </w:r>
      <w:r w:rsidRPr="00A4785F">
        <w:rPr>
          <w:rFonts w:ascii="Garamond" w:hAnsi="Garamond"/>
        </w:rPr>
        <w:t xml:space="preserve">, </w:t>
      </w:r>
      <w:proofErr w:type="spellStart"/>
      <w:r w:rsidRPr="00A4785F">
        <w:rPr>
          <w:rFonts w:ascii="Garamond" w:hAnsi="Garamond"/>
        </w:rPr>
        <w:t>Knysak</w:t>
      </w:r>
      <w:proofErr w:type="spellEnd"/>
      <w:r>
        <w:rPr>
          <w:rFonts w:ascii="Garamond" w:hAnsi="Garamond"/>
        </w:rPr>
        <w:t>,</w:t>
      </w:r>
      <w:r w:rsidRPr="00A4785F">
        <w:rPr>
          <w:rFonts w:ascii="Garamond" w:hAnsi="Garamond"/>
        </w:rPr>
        <w:t xml:space="preserve"> J</w:t>
      </w:r>
      <w:r>
        <w:rPr>
          <w:rFonts w:ascii="Garamond" w:hAnsi="Garamond"/>
        </w:rPr>
        <w:t>.</w:t>
      </w:r>
      <w:r w:rsidRPr="00A4785F">
        <w:rPr>
          <w:rFonts w:ascii="Garamond" w:hAnsi="Garamond"/>
        </w:rPr>
        <w:t xml:space="preserve">, </w:t>
      </w:r>
      <w:proofErr w:type="spellStart"/>
      <w:r w:rsidRPr="00A4785F">
        <w:rPr>
          <w:rFonts w:ascii="Garamond" w:hAnsi="Garamond"/>
        </w:rPr>
        <w:t>Gawron</w:t>
      </w:r>
      <w:proofErr w:type="spellEnd"/>
      <w:r>
        <w:rPr>
          <w:rFonts w:ascii="Garamond" w:hAnsi="Garamond"/>
        </w:rPr>
        <w:t>,</w:t>
      </w:r>
      <w:r w:rsidRPr="00A4785F">
        <w:rPr>
          <w:rFonts w:ascii="Garamond" w:hAnsi="Garamond"/>
        </w:rPr>
        <w:t xml:space="preserve"> M</w:t>
      </w:r>
      <w:r>
        <w:rPr>
          <w:rFonts w:ascii="Garamond" w:hAnsi="Garamond"/>
        </w:rPr>
        <w:t>.</w:t>
      </w:r>
      <w:r w:rsidRPr="00A4785F">
        <w:rPr>
          <w:rFonts w:ascii="Garamond" w:hAnsi="Garamond"/>
        </w:rPr>
        <w:t xml:space="preserve">, </w:t>
      </w:r>
      <w:r w:rsidRPr="00367747">
        <w:rPr>
          <w:rFonts w:ascii="Garamond" w:hAnsi="Garamond"/>
          <w:i/>
        </w:rPr>
        <w:t>et al</w:t>
      </w:r>
      <w:r w:rsidRPr="00A4785F">
        <w:rPr>
          <w:rFonts w:ascii="Garamond" w:hAnsi="Garamond"/>
        </w:rPr>
        <w:t>.</w:t>
      </w:r>
      <w:r>
        <w:rPr>
          <w:rFonts w:ascii="Garamond" w:hAnsi="Garamond"/>
        </w:rPr>
        <w:t xml:space="preserve">, (2013), Levels of </w:t>
      </w:r>
      <w:r w:rsidRPr="00A4785F">
        <w:rPr>
          <w:rFonts w:ascii="Garamond" w:hAnsi="Garamond"/>
        </w:rPr>
        <w:t xml:space="preserve">selected carcinogens and toxicants in </w:t>
      </w:r>
      <w:proofErr w:type="spellStart"/>
      <w:r w:rsidRPr="00A4785F">
        <w:rPr>
          <w:rFonts w:ascii="Garamond" w:hAnsi="Garamond"/>
        </w:rPr>
        <w:t>vapour</w:t>
      </w:r>
      <w:proofErr w:type="spellEnd"/>
      <w:r w:rsidRPr="00A4785F">
        <w:rPr>
          <w:rFonts w:ascii="Garamond" w:hAnsi="Garamond"/>
        </w:rPr>
        <w:t xml:space="preserve"> </w:t>
      </w:r>
      <w:r>
        <w:rPr>
          <w:rFonts w:ascii="Garamond" w:hAnsi="Garamond"/>
        </w:rPr>
        <w:t>from electronic cigarettes,</w:t>
      </w:r>
      <w:r w:rsidR="00367747">
        <w:rPr>
          <w:rFonts w:ascii="Garamond" w:hAnsi="Garamond"/>
        </w:rPr>
        <w:t xml:space="preserve"> </w:t>
      </w:r>
      <w:r w:rsidRPr="00A4785F">
        <w:rPr>
          <w:rFonts w:ascii="Garamond" w:hAnsi="Garamond"/>
          <w:i/>
        </w:rPr>
        <w:t>Tobacco Control</w:t>
      </w:r>
      <w:r>
        <w:rPr>
          <w:rFonts w:ascii="Garamond" w:hAnsi="Garamond"/>
        </w:rPr>
        <w:t>, 0:1-</w:t>
      </w:r>
      <w:r w:rsidRPr="00A4785F">
        <w:rPr>
          <w:rFonts w:ascii="Garamond" w:hAnsi="Garamond"/>
        </w:rPr>
        <w:t>7.</w:t>
      </w:r>
    </w:p>
    <w:p w14:paraId="2D7D92F6" w14:textId="77777777" w:rsidR="00144B52" w:rsidRDefault="00144B52">
      <w:pPr>
        <w:rPr>
          <w:rFonts w:ascii="Garamond" w:hAnsi="Garamond"/>
        </w:rPr>
      </w:pPr>
      <w:r>
        <w:rPr>
          <w:rFonts w:ascii="Garamond" w:hAnsi="Garamond"/>
        </w:rPr>
        <w:t xml:space="preserve">Pepper, J.K., Brewer, N.T., (2013), </w:t>
      </w:r>
      <w:r w:rsidRPr="00144B52">
        <w:rPr>
          <w:rFonts w:ascii="Garamond" w:hAnsi="Garamond"/>
        </w:rPr>
        <w:t>Electronic nicotine delivery system (electronic cigarette) awareness, use, reactions and beliefs: a systematic review</w:t>
      </w:r>
      <w:r>
        <w:rPr>
          <w:rFonts w:ascii="Garamond" w:hAnsi="Garamond"/>
        </w:rPr>
        <w:t xml:space="preserve">, </w:t>
      </w:r>
      <w:r w:rsidRPr="00144B52">
        <w:rPr>
          <w:rFonts w:ascii="Garamond" w:hAnsi="Garamond"/>
          <w:i/>
        </w:rPr>
        <w:t>Tobacco control</w:t>
      </w:r>
      <w:r>
        <w:rPr>
          <w:rFonts w:ascii="Garamond" w:hAnsi="Garamond"/>
        </w:rPr>
        <w:t xml:space="preserve">, 23: 375-84. </w:t>
      </w:r>
    </w:p>
    <w:p w14:paraId="457BB751" w14:textId="1D08F78A" w:rsidR="00292F9B" w:rsidRPr="00292F9B" w:rsidRDefault="008A76A6">
      <w:r>
        <w:rPr>
          <w:rFonts w:ascii="Garamond" w:hAnsi="Garamond"/>
        </w:rPr>
        <w:t xml:space="preserve">Public Health England, (2015), </w:t>
      </w:r>
      <w:r w:rsidRPr="00292F9B">
        <w:rPr>
          <w:rFonts w:ascii="Garamond" w:hAnsi="Garamond"/>
        </w:rPr>
        <w:t>E-cigarettes: an evidence update</w:t>
      </w:r>
      <w:r w:rsidR="00367747">
        <w:rPr>
          <w:rFonts w:ascii="Garamond" w:hAnsi="Garamond"/>
        </w:rPr>
        <w:t>.</w:t>
      </w:r>
      <w:r w:rsidR="00292F9B" w:rsidRPr="00292F9B">
        <w:rPr>
          <w:rFonts w:ascii="Garamond" w:hAnsi="Garamond"/>
        </w:rPr>
        <w:t xml:space="preserve"> </w:t>
      </w:r>
      <w:r w:rsidR="00367747">
        <w:rPr>
          <w:rFonts w:ascii="Garamond" w:hAnsi="Garamond"/>
        </w:rPr>
        <w:t>A</w:t>
      </w:r>
      <w:r w:rsidR="00292F9B" w:rsidRPr="00292F9B">
        <w:rPr>
          <w:rFonts w:ascii="Garamond" w:hAnsi="Garamond"/>
        </w:rPr>
        <w:t xml:space="preserve"> report commissioned by Public Health England: London. Available at:</w:t>
      </w:r>
      <w:r w:rsidR="00292F9B">
        <w:t xml:space="preserve"> </w:t>
      </w:r>
      <w:hyperlink r:id="rId14" w:history="1">
        <w:r w:rsidR="00292F9B" w:rsidRPr="00F81D92">
          <w:rPr>
            <w:rStyle w:val="Collegamentoipertestuale"/>
          </w:rPr>
          <w:t>https://www.gov.uk/government/uploads/system/uploads/attachment_data/file/457102/Ecigarettes_an_evidence_update_A_report_commissioned_by_Public_Health_England_FINAL.pdf</w:t>
        </w:r>
      </w:hyperlink>
    </w:p>
    <w:p w14:paraId="363470FF" w14:textId="77777777" w:rsidR="00E521B0" w:rsidRDefault="00E521B0">
      <w:pPr>
        <w:rPr>
          <w:rFonts w:ascii="Garamond" w:hAnsi="Garamond"/>
        </w:rPr>
      </w:pPr>
      <w:r w:rsidRPr="00E521B0">
        <w:rPr>
          <w:rFonts w:ascii="Garamond" w:hAnsi="Garamond"/>
        </w:rPr>
        <w:t xml:space="preserve">Rom, O., </w:t>
      </w:r>
      <w:proofErr w:type="spellStart"/>
      <w:r w:rsidRPr="00E521B0">
        <w:rPr>
          <w:rFonts w:ascii="Garamond" w:hAnsi="Garamond"/>
        </w:rPr>
        <w:t>Pecorelli</w:t>
      </w:r>
      <w:proofErr w:type="spellEnd"/>
      <w:r w:rsidRPr="00E521B0">
        <w:rPr>
          <w:rFonts w:ascii="Garamond" w:hAnsi="Garamond"/>
        </w:rPr>
        <w:t xml:space="preserve">, A., </w:t>
      </w:r>
      <w:proofErr w:type="spellStart"/>
      <w:r w:rsidRPr="00E521B0">
        <w:rPr>
          <w:rFonts w:ascii="Garamond" w:hAnsi="Garamond"/>
        </w:rPr>
        <w:t>Valacchi</w:t>
      </w:r>
      <w:proofErr w:type="spellEnd"/>
      <w:r w:rsidRPr="00E521B0">
        <w:rPr>
          <w:rFonts w:ascii="Garamond" w:hAnsi="Garamond"/>
        </w:rPr>
        <w:t xml:space="preserve">, G., </w:t>
      </w:r>
      <w:proofErr w:type="spellStart"/>
      <w:r w:rsidRPr="00E521B0">
        <w:rPr>
          <w:rFonts w:ascii="Garamond" w:hAnsi="Garamond"/>
        </w:rPr>
        <w:t>Reznick</w:t>
      </w:r>
      <w:proofErr w:type="spellEnd"/>
      <w:r w:rsidRPr="00E521B0">
        <w:rPr>
          <w:rFonts w:ascii="Garamond" w:hAnsi="Garamond"/>
        </w:rPr>
        <w:t xml:space="preserve">, A.Z., (2014), Are E-cigarettes a safe and good alternative to cigarette smoking?, </w:t>
      </w:r>
      <w:r w:rsidRPr="00E521B0">
        <w:rPr>
          <w:rFonts w:ascii="Garamond" w:hAnsi="Garamond"/>
          <w:i/>
        </w:rPr>
        <w:t>Annals of the New York Academy of Sciences</w:t>
      </w:r>
      <w:r w:rsidRPr="00E521B0">
        <w:rPr>
          <w:rFonts w:ascii="Garamond" w:hAnsi="Garamond"/>
        </w:rPr>
        <w:t>, 1340: 65-74.</w:t>
      </w:r>
    </w:p>
    <w:p w14:paraId="14DFC6EC" w14:textId="77777777" w:rsidR="00C63E4F" w:rsidRDefault="00C63E4F" w:rsidP="00C63E4F">
      <w:pPr>
        <w:rPr>
          <w:rFonts w:ascii="Garamond" w:hAnsi="Garamond"/>
        </w:rPr>
      </w:pPr>
      <w:proofErr w:type="spellStart"/>
      <w:r w:rsidRPr="00C63E4F">
        <w:rPr>
          <w:rFonts w:ascii="Garamond" w:hAnsi="Garamond"/>
        </w:rPr>
        <w:t>Scho</w:t>
      </w:r>
      <w:r>
        <w:rPr>
          <w:rFonts w:ascii="Garamond" w:hAnsi="Garamond"/>
        </w:rPr>
        <w:t>enborn</w:t>
      </w:r>
      <w:proofErr w:type="spellEnd"/>
      <w:r>
        <w:rPr>
          <w:rFonts w:ascii="Garamond" w:hAnsi="Garamond"/>
        </w:rPr>
        <w:t xml:space="preserve">, C.A., </w:t>
      </w:r>
      <w:proofErr w:type="spellStart"/>
      <w:r>
        <w:rPr>
          <w:rFonts w:ascii="Garamond" w:hAnsi="Garamond"/>
        </w:rPr>
        <w:t>Gindi</w:t>
      </w:r>
      <w:proofErr w:type="spellEnd"/>
      <w:r>
        <w:rPr>
          <w:rFonts w:ascii="Garamond" w:hAnsi="Garamond"/>
        </w:rPr>
        <w:t xml:space="preserve">, R.M., (2015), </w:t>
      </w:r>
      <w:r w:rsidRPr="00C63E4F">
        <w:rPr>
          <w:rFonts w:ascii="Garamond" w:hAnsi="Garamond"/>
          <w:i/>
        </w:rPr>
        <w:t>Electronic cigarette use among adults: United States, 2014</w:t>
      </w:r>
      <w:r w:rsidRPr="00C63E4F">
        <w:rPr>
          <w:rFonts w:ascii="Garamond" w:hAnsi="Garamond"/>
        </w:rPr>
        <w:t>. NCHS data brief, no. 217. Hyattsv</w:t>
      </w:r>
      <w:r>
        <w:rPr>
          <w:rFonts w:ascii="Garamond" w:hAnsi="Garamond"/>
        </w:rPr>
        <w:t xml:space="preserve">ille, </w:t>
      </w:r>
      <w:r w:rsidRPr="00C63E4F">
        <w:rPr>
          <w:rFonts w:ascii="Garamond" w:hAnsi="Garamond"/>
        </w:rPr>
        <w:t>MD: National Center for Health Statistics.</w:t>
      </w:r>
    </w:p>
    <w:p w14:paraId="70D46985" w14:textId="77C98FD5" w:rsidR="00817804" w:rsidRPr="00817804" w:rsidRDefault="00E7272B" w:rsidP="003655B6">
      <w:pPr>
        <w:rPr>
          <w:rFonts w:ascii="Garamond" w:hAnsi="Garamond"/>
        </w:rPr>
      </w:pPr>
      <w:proofErr w:type="spellStart"/>
      <w:r w:rsidRPr="008F3CA0">
        <w:rPr>
          <w:rFonts w:ascii="Garamond" w:hAnsi="Garamond"/>
        </w:rPr>
        <w:t>Wagstaff</w:t>
      </w:r>
      <w:proofErr w:type="spellEnd"/>
      <w:r w:rsidRPr="008F3CA0">
        <w:rPr>
          <w:rFonts w:ascii="Garamond" w:hAnsi="Garamond"/>
        </w:rPr>
        <w:t>, A., (2005), The bounds of the concentration index when the variable of interest is binary, with an application to immunization inequality</w:t>
      </w:r>
      <w:r w:rsidRPr="003655B6">
        <w:rPr>
          <w:rFonts w:ascii="Garamond" w:hAnsi="Garamond"/>
          <w:i/>
        </w:rPr>
        <w:t>, Health Economics</w:t>
      </w:r>
      <w:r w:rsidRPr="008F3CA0">
        <w:rPr>
          <w:rFonts w:ascii="Garamond" w:hAnsi="Garamond"/>
        </w:rPr>
        <w:t>, 14:</w:t>
      </w:r>
      <w:r>
        <w:rPr>
          <w:rFonts w:ascii="Garamond" w:hAnsi="Garamond"/>
        </w:rPr>
        <w:t xml:space="preserve"> </w:t>
      </w:r>
      <w:r w:rsidRPr="008F3CA0">
        <w:rPr>
          <w:rFonts w:ascii="Garamond" w:hAnsi="Garamond"/>
        </w:rPr>
        <w:t>429–</w:t>
      </w:r>
      <w:r>
        <w:rPr>
          <w:rFonts w:ascii="Garamond" w:hAnsi="Garamond"/>
        </w:rPr>
        <w:t>4</w:t>
      </w:r>
      <w:r w:rsidRPr="008F3CA0">
        <w:rPr>
          <w:rFonts w:ascii="Garamond" w:hAnsi="Garamond"/>
        </w:rPr>
        <w:t>32.</w:t>
      </w:r>
    </w:p>
    <w:p w14:paraId="67DF0EDE" w14:textId="77777777" w:rsidR="00A4785F" w:rsidRPr="00E521B0" w:rsidRDefault="00A4785F" w:rsidP="00A4785F">
      <w:pPr>
        <w:rPr>
          <w:rFonts w:ascii="Garamond" w:hAnsi="Garamond"/>
        </w:rPr>
      </w:pPr>
      <w:r w:rsidRPr="00A4785F">
        <w:rPr>
          <w:rFonts w:ascii="Garamond" w:hAnsi="Garamond"/>
        </w:rPr>
        <w:t>Williams</w:t>
      </w:r>
      <w:r>
        <w:rPr>
          <w:rFonts w:ascii="Garamond" w:hAnsi="Garamond"/>
        </w:rPr>
        <w:t>,</w:t>
      </w:r>
      <w:r w:rsidRPr="00A4785F">
        <w:rPr>
          <w:rFonts w:ascii="Garamond" w:hAnsi="Garamond"/>
        </w:rPr>
        <w:t xml:space="preserve"> M</w:t>
      </w:r>
      <w:r>
        <w:rPr>
          <w:rFonts w:ascii="Garamond" w:hAnsi="Garamond"/>
        </w:rPr>
        <w:t>.</w:t>
      </w:r>
      <w:r w:rsidRPr="00A4785F">
        <w:rPr>
          <w:rFonts w:ascii="Garamond" w:hAnsi="Garamond"/>
        </w:rPr>
        <w:t>, Talbot</w:t>
      </w:r>
      <w:r>
        <w:rPr>
          <w:rFonts w:ascii="Garamond" w:hAnsi="Garamond"/>
        </w:rPr>
        <w:t>,</w:t>
      </w:r>
      <w:r w:rsidRPr="00A4785F">
        <w:rPr>
          <w:rFonts w:ascii="Garamond" w:hAnsi="Garamond"/>
        </w:rPr>
        <w:t xml:space="preserve"> P.</w:t>
      </w:r>
      <w:r>
        <w:rPr>
          <w:rFonts w:ascii="Garamond" w:hAnsi="Garamond"/>
        </w:rPr>
        <w:t>, (2011),</w:t>
      </w:r>
      <w:r w:rsidRPr="00A4785F">
        <w:rPr>
          <w:rFonts w:ascii="Garamond" w:hAnsi="Garamond"/>
        </w:rPr>
        <w:t xml:space="preserve"> Variability among electronic c</w:t>
      </w:r>
      <w:r>
        <w:rPr>
          <w:rFonts w:ascii="Garamond" w:hAnsi="Garamond"/>
        </w:rPr>
        <w:t xml:space="preserve">igarettes in the pressure drop, </w:t>
      </w:r>
      <w:r w:rsidRPr="00A4785F">
        <w:rPr>
          <w:rFonts w:ascii="Garamond" w:hAnsi="Garamond"/>
        </w:rPr>
        <w:t>airfl</w:t>
      </w:r>
      <w:r>
        <w:rPr>
          <w:rFonts w:ascii="Garamond" w:hAnsi="Garamond"/>
        </w:rPr>
        <w:t>ow rate, and aerosol production,</w:t>
      </w:r>
      <w:r w:rsidRPr="00A4785F">
        <w:rPr>
          <w:rFonts w:ascii="Garamond" w:hAnsi="Garamond"/>
          <w:i/>
        </w:rPr>
        <w:t xml:space="preserve"> Nicotine Tobacco Research</w:t>
      </w:r>
      <w:r>
        <w:rPr>
          <w:rFonts w:ascii="Garamond" w:hAnsi="Garamond"/>
        </w:rPr>
        <w:t>,</w:t>
      </w:r>
      <w:r w:rsidRPr="00A4785F">
        <w:rPr>
          <w:rFonts w:ascii="Garamond" w:hAnsi="Garamond"/>
        </w:rPr>
        <w:t xml:space="preserve"> </w:t>
      </w:r>
      <w:r>
        <w:rPr>
          <w:rFonts w:ascii="Garamond" w:hAnsi="Garamond"/>
        </w:rPr>
        <w:t>13:1276-</w:t>
      </w:r>
      <w:r w:rsidRPr="00A4785F">
        <w:rPr>
          <w:rFonts w:ascii="Garamond" w:hAnsi="Garamond"/>
        </w:rPr>
        <w:t>83</w:t>
      </w:r>
      <w:r>
        <w:rPr>
          <w:rFonts w:ascii="Garamond" w:hAnsi="Garamond"/>
        </w:rPr>
        <w:t>.</w:t>
      </w:r>
    </w:p>
    <w:p w14:paraId="734A5142" w14:textId="77777777" w:rsidR="00E521B0" w:rsidRDefault="00E521B0"/>
    <w:sectPr w:rsidR="00E521B0">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82D8F" w14:textId="77777777" w:rsidR="004F1E22" w:rsidRDefault="004F1E22" w:rsidP="009E1625">
      <w:pPr>
        <w:spacing w:after="0" w:line="240" w:lineRule="auto"/>
      </w:pPr>
      <w:r>
        <w:separator/>
      </w:r>
    </w:p>
  </w:endnote>
  <w:endnote w:type="continuationSeparator" w:id="0">
    <w:p w14:paraId="5D3B9228" w14:textId="77777777" w:rsidR="004F1E22" w:rsidRDefault="004F1E22" w:rsidP="009E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933107"/>
      <w:docPartObj>
        <w:docPartGallery w:val="Page Numbers (Bottom of Page)"/>
        <w:docPartUnique/>
      </w:docPartObj>
    </w:sdtPr>
    <w:sdtEndPr>
      <w:rPr>
        <w:rFonts w:ascii="Garamond" w:hAnsi="Garamond"/>
      </w:rPr>
    </w:sdtEndPr>
    <w:sdtContent>
      <w:p w14:paraId="2EA6C2F9" w14:textId="6A260FBF" w:rsidR="00D94F83" w:rsidRPr="00745389" w:rsidRDefault="00D94F83">
        <w:pPr>
          <w:pStyle w:val="Pidipagina"/>
          <w:jc w:val="right"/>
          <w:rPr>
            <w:rFonts w:ascii="Garamond" w:hAnsi="Garamond"/>
          </w:rPr>
        </w:pPr>
        <w:r w:rsidRPr="00745389">
          <w:rPr>
            <w:rFonts w:ascii="Garamond" w:hAnsi="Garamond"/>
          </w:rPr>
          <w:fldChar w:fldCharType="begin"/>
        </w:r>
        <w:r w:rsidRPr="00745389">
          <w:rPr>
            <w:rFonts w:ascii="Garamond" w:hAnsi="Garamond"/>
          </w:rPr>
          <w:instrText>PAGE   \* MERGEFORMAT</w:instrText>
        </w:r>
        <w:r w:rsidRPr="00745389">
          <w:rPr>
            <w:rFonts w:ascii="Garamond" w:hAnsi="Garamond"/>
          </w:rPr>
          <w:fldChar w:fldCharType="separate"/>
        </w:r>
        <w:r w:rsidR="003655B6" w:rsidRPr="003655B6">
          <w:rPr>
            <w:rFonts w:ascii="Garamond" w:hAnsi="Garamond"/>
            <w:noProof/>
            <w:lang w:val="it-IT"/>
          </w:rPr>
          <w:t>1</w:t>
        </w:r>
        <w:r w:rsidRPr="00745389">
          <w:rPr>
            <w:rFonts w:ascii="Garamond" w:hAnsi="Garamond"/>
          </w:rPr>
          <w:fldChar w:fldCharType="end"/>
        </w:r>
      </w:p>
    </w:sdtContent>
  </w:sdt>
  <w:p w14:paraId="7D688236" w14:textId="77777777" w:rsidR="00D94F83" w:rsidRDefault="00D94F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B80FA" w14:textId="77777777" w:rsidR="004F1E22" w:rsidRDefault="004F1E22" w:rsidP="009E1625">
      <w:pPr>
        <w:spacing w:after="0" w:line="240" w:lineRule="auto"/>
      </w:pPr>
      <w:r>
        <w:separator/>
      </w:r>
    </w:p>
  </w:footnote>
  <w:footnote w:type="continuationSeparator" w:id="0">
    <w:p w14:paraId="5D6D653B" w14:textId="77777777" w:rsidR="004F1E22" w:rsidRDefault="004F1E22" w:rsidP="009E1625">
      <w:pPr>
        <w:spacing w:after="0" w:line="240" w:lineRule="auto"/>
      </w:pPr>
      <w:r>
        <w:continuationSeparator/>
      </w:r>
    </w:p>
  </w:footnote>
  <w:footnote w:id="1">
    <w:p w14:paraId="18DCC710" w14:textId="59098BA5" w:rsidR="00D94F83" w:rsidRPr="00144B52" w:rsidRDefault="00D94F83">
      <w:pPr>
        <w:pStyle w:val="Testonotaapidipagina"/>
        <w:rPr>
          <w:rFonts w:ascii="Garamond" w:hAnsi="Garamond"/>
          <w:lang w:val="it-IT"/>
        </w:rPr>
      </w:pPr>
      <w:r>
        <w:rPr>
          <w:rStyle w:val="Rimandonotaapidipagina"/>
        </w:rPr>
        <w:footnoteRef/>
      </w:r>
      <w:r>
        <w:t xml:space="preserve"> </w:t>
      </w:r>
      <w:proofErr w:type="spellStart"/>
      <w:r>
        <w:rPr>
          <w:rFonts w:ascii="Garamond" w:hAnsi="Garamond"/>
          <w:lang w:val="it-IT"/>
        </w:rPr>
        <w:t>I</w:t>
      </w:r>
      <w:r w:rsidRPr="00144B52">
        <w:rPr>
          <w:rFonts w:ascii="Garamond" w:hAnsi="Garamond"/>
          <w:lang w:val="it-IT"/>
        </w:rPr>
        <w:t>nhaling</w:t>
      </w:r>
      <w:proofErr w:type="spellEnd"/>
      <w:r w:rsidRPr="00144B52">
        <w:rPr>
          <w:rFonts w:ascii="Garamond" w:hAnsi="Garamond"/>
          <w:lang w:val="it-IT"/>
        </w:rPr>
        <w:t xml:space="preserve"> from e-</w:t>
      </w:r>
      <w:proofErr w:type="spellStart"/>
      <w:r w:rsidRPr="00144B52">
        <w:rPr>
          <w:rFonts w:ascii="Garamond" w:hAnsi="Garamond"/>
          <w:lang w:val="it-IT"/>
        </w:rPr>
        <w:t>cig</w:t>
      </w:r>
      <w:r>
        <w:rPr>
          <w:rFonts w:ascii="Garamond" w:hAnsi="Garamond"/>
          <w:lang w:val="it-IT"/>
        </w:rPr>
        <w:t>arettes</w:t>
      </w:r>
      <w:proofErr w:type="spellEnd"/>
      <w:r w:rsidRPr="00144B52">
        <w:rPr>
          <w:rFonts w:ascii="Garamond" w:hAnsi="Garamond"/>
          <w:lang w:val="it-IT"/>
        </w:rPr>
        <w:t xml:space="preserve"> </w:t>
      </w:r>
      <w:proofErr w:type="spellStart"/>
      <w:r w:rsidRPr="00144B52">
        <w:rPr>
          <w:rFonts w:ascii="Garamond" w:hAnsi="Garamond"/>
          <w:lang w:val="it-IT"/>
        </w:rPr>
        <w:t>is</w:t>
      </w:r>
      <w:proofErr w:type="spellEnd"/>
      <w:r w:rsidRPr="00144B52">
        <w:rPr>
          <w:rFonts w:ascii="Garamond" w:hAnsi="Garamond"/>
          <w:lang w:val="it-IT"/>
        </w:rPr>
        <w:t xml:space="preserve"> </w:t>
      </w:r>
      <w:proofErr w:type="spellStart"/>
      <w:r>
        <w:rPr>
          <w:rFonts w:ascii="Garamond" w:hAnsi="Garamond"/>
          <w:lang w:val="it-IT"/>
        </w:rPr>
        <w:t>commonly</w:t>
      </w:r>
      <w:proofErr w:type="spellEnd"/>
      <w:r>
        <w:rPr>
          <w:rFonts w:ascii="Garamond" w:hAnsi="Garamond"/>
          <w:lang w:val="it-IT"/>
        </w:rPr>
        <w:t xml:space="preserve"> </w:t>
      </w:r>
      <w:proofErr w:type="spellStart"/>
      <w:r w:rsidRPr="00144B52">
        <w:rPr>
          <w:rFonts w:ascii="Garamond" w:hAnsi="Garamond"/>
          <w:lang w:val="it-IT"/>
        </w:rPr>
        <w:t>called</w:t>
      </w:r>
      <w:proofErr w:type="spellEnd"/>
      <w:r w:rsidRPr="00144B52">
        <w:rPr>
          <w:rFonts w:ascii="Garamond" w:hAnsi="Garamond"/>
          <w:lang w:val="it-IT"/>
        </w:rPr>
        <w:t xml:space="preserve"> </w:t>
      </w:r>
      <w:proofErr w:type="spellStart"/>
      <w:r w:rsidRPr="00144B52">
        <w:rPr>
          <w:rFonts w:ascii="Garamond" w:hAnsi="Garamond"/>
          <w:i/>
          <w:lang w:val="it-IT"/>
        </w:rPr>
        <w:t>vaping</w:t>
      </w:r>
      <w:proofErr w:type="spellEnd"/>
      <w:r w:rsidRPr="00144B52">
        <w:rPr>
          <w:rFonts w:ascii="Garamond" w:hAnsi="Garamond"/>
          <w:lang w:val="it-IT"/>
        </w:rPr>
        <w:t xml:space="preserve">.  </w:t>
      </w:r>
    </w:p>
  </w:footnote>
  <w:footnote w:id="2">
    <w:p w14:paraId="4F386213" w14:textId="4FD4D5A4" w:rsidR="00D94F83" w:rsidRPr="00375C26" w:rsidRDefault="00D94F83" w:rsidP="00375C26">
      <w:pPr>
        <w:pStyle w:val="Testonotaapidipagina"/>
        <w:jc w:val="both"/>
        <w:rPr>
          <w:rFonts w:ascii="Garamond" w:hAnsi="Garamond"/>
          <w:lang w:val="en-GB"/>
        </w:rPr>
      </w:pPr>
      <w:r>
        <w:rPr>
          <w:rStyle w:val="Rimandonotaapidipagina"/>
        </w:rPr>
        <w:footnoteRef/>
      </w:r>
      <w:r>
        <w:t xml:space="preserve"> </w:t>
      </w:r>
      <w:r w:rsidRPr="00375C26">
        <w:rPr>
          <w:rFonts w:ascii="Garamond" w:hAnsi="Garamond"/>
          <w:lang w:val="en-GB"/>
        </w:rPr>
        <w:t xml:space="preserve">In the UK, there are an estimated 2.6 million e-cigs users (ASH, 2016), while, in 2014, 12.6% of adults had ever tried an e-cig </w:t>
      </w:r>
      <w:r>
        <w:rPr>
          <w:rFonts w:ascii="Garamond" w:hAnsi="Garamond"/>
          <w:lang w:val="en-GB"/>
        </w:rPr>
        <w:t>at least</w:t>
      </w:r>
      <w:r w:rsidRPr="00375C26">
        <w:rPr>
          <w:rFonts w:ascii="Garamond" w:hAnsi="Garamond"/>
          <w:lang w:val="en-GB"/>
        </w:rPr>
        <w:t xml:space="preserve"> one time in the USA (</w:t>
      </w:r>
      <w:proofErr w:type="spellStart"/>
      <w:r w:rsidRPr="00375C26">
        <w:rPr>
          <w:rFonts w:ascii="Garamond" w:hAnsi="Garamond"/>
          <w:lang w:val="en-GB"/>
        </w:rPr>
        <w:t>Schoenborn</w:t>
      </w:r>
      <w:proofErr w:type="spellEnd"/>
      <w:r w:rsidRPr="00375C26">
        <w:rPr>
          <w:rFonts w:ascii="Garamond" w:hAnsi="Garamond"/>
          <w:lang w:val="en-GB"/>
        </w:rPr>
        <w:t xml:space="preserve"> and </w:t>
      </w:r>
      <w:proofErr w:type="spellStart"/>
      <w:r w:rsidRPr="00375C26">
        <w:rPr>
          <w:rFonts w:ascii="Garamond" w:hAnsi="Garamond"/>
          <w:lang w:val="en-GB"/>
        </w:rPr>
        <w:t>Gindi</w:t>
      </w:r>
      <w:proofErr w:type="spellEnd"/>
      <w:r w:rsidRPr="00375C26">
        <w:rPr>
          <w:rFonts w:ascii="Garamond" w:hAnsi="Garamond"/>
          <w:lang w:val="en-GB"/>
        </w:rPr>
        <w:t xml:space="preserve"> 2015). The e-cigs market is estimated to be worth £ 91.3 million a year (</w:t>
      </w:r>
      <w:proofErr w:type="spellStart"/>
      <w:r w:rsidRPr="00375C26">
        <w:rPr>
          <w:rFonts w:ascii="Garamond" w:hAnsi="Garamond"/>
          <w:lang w:val="en-GB"/>
        </w:rPr>
        <w:t>Chittock</w:t>
      </w:r>
      <w:proofErr w:type="spellEnd"/>
      <w:r w:rsidRPr="00375C26">
        <w:rPr>
          <w:rFonts w:ascii="Garamond" w:hAnsi="Garamond"/>
          <w:lang w:val="en-GB"/>
        </w:rPr>
        <w:t>, 2014). It increased by 340% in 2013 to reach £193 million, and is expected to be worth £340 million by 2015 (Clarke, 2014).</w:t>
      </w:r>
    </w:p>
  </w:footnote>
  <w:footnote w:id="3">
    <w:p w14:paraId="68CD7332" w14:textId="152F29E6" w:rsidR="00D94F83" w:rsidRPr="00A4785F" w:rsidRDefault="00D94F83" w:rsidP="008A76A6">
      <w:pPr>
        <w:jc w:val="both"/>
        <w:rPr>
          <w:rFonts w:ascii="Garamond" w:hAnsi="Garamond"/>
          <w:sz w:val="20"/>
          <w:szCs w:val="20"/>
          <w:lang w:val="en-GB"/>
        </w:rPr>
      </w:pPr>
      <w:r>
        <w:rPr>
          <w:rStyle w:val="Rimandonotaapidipagina"/>
        </w:rPr>
        <w:footnoteRef/>
      </w:r>
      <w:r>
        <w:t xml:space="preserve"> </w:t>
      </w:r>
      <w:r w:rsidRPr="00A4785F">
        <w:rPr>
          <w:rFonts w:ascii="Garamond" w:hAnsi="Garamond"/>
          <w:sz w:val="20"/>
          <w:szCs w:val="20"/>
          <w:lang w:val="en-GB"/>
        </w:rPr>
        <w:t>E-cigs have been found as effective, though not more, than nicotine patches for short-term cigarette cessation (</w:t>
      </w:r>
      <w:proofErr w:type="spellStart"/>
      <w:r w:rsidRPr="00A4785F">
        <w:rPr>
          <w:rFonts w:ascii="Garamond" w:hAnsi="Garamond"/>
          <w:sz w:val="20"/>
          <w:szCs w:val="20"/>
          <w:lang w:val="en-GB"/>
        </w:rPr>
        <w:t>Dockrell</w:t>
      </w:r>
      <w:proofErr w:type="spellEnd"/>
      <w:r w:rsidRPr="00A4785F">
        <w:rPr>
          <w:rFonts w:ascii="Garamond" w:hAnsi="Garamond"/>
          <w:sz w:val="20"/>
          <w:szCs w:val="20"/>
          <w:lang w:val="en-GB"/>
        </w:rPr>
        <w:t xml:space="preserve"> </w:t>
      </w:r>
      <w:r w:rsidRPr="00367747">
        <w:rPr>
          <w:rFonts w:ascii="Garamond" w:hAnsi="Garamond"/>
          <w:i/>
          <w:sz w:val="20"/>
          <w:szCs w:val="20"/>
          <w:lang w:val="en-GB"/>
        </w:rPr>
        <w:t>et al</w:t>
      </w:r>
      <w:r w:rsidRPr="00A4785F">
        <w:rPr>
          <w:rFonts w:ascii="Garamond" w:hAnsi="Garamond"/>
          <w:sz w:val="20"/>
          <w:szCs w:val="20"/>
          <w:lang w:val="en-GB"/>
        </w:rPr>
        <w:t xml:space="preserve">., 2013; </w:t>
      </w:r>
      <w:proofErr w:type="spellStart"/>
      <w:r w:rsidRPr="00A4785F">
        <w:rPr>
          <w:rFonts w:ascii="Garamond" w:hAnsi="Garamond"/>
          <w:sz w:val="20"/>
          <w:szCs w:val="20"/>
          <w:lang w:val="en-GB"/>
        </w:rPr>
        <w:t>Etter</w:t>
      </w:r>
      <w:proofErr w:type="spellEnd"/>
      <w:r w:rsidRPr="00A4785F">
        <w:rPr>
          <w:rFonts w:ascii="Garamond" w:hAnsi="Garamond"/>
          <w:sz w:val="20"/>
          <w:szCs w:val="20"/>
          <w:lang w:val="en-GB"/>
        </w:rPr>
        <w:t xml:space="preserve"> and Bullen, 2011; Bullen </w:t>
      </w:r>
      <w:r w:rsidRPr="00367747">
        <w:rPr>
          <w:rFonts w:ascii="Garamond" w:hAnsi="Garamond"/>
          <w:i/>
          <w:sz w:val="20"/>
          <w:szCs w:val="20"/>
          <w:lang w:val="en-GB"/>
        </w:rPr>
        <w:t>et al</w:t>
      </w:r>
      <w:r w:rsidRPr="00A4785F">
        <w:rPr>
          <w:rFonts w:ascii="Garamond" w:hAnsi="Garamond"/>
          <w:sz w:val="20"/>
          <w:szCs w:val="20"/>
          <w:lang w:val="en-GB"/>
        </w:rPr>
        <w:t>., 2013), and cartridge analyses find fewer toxins than are found in traditional cig</w:t>
      </w:r>
      <w:r>
        <w:rPr>
          <w:rFonts w:ascii="Garamond" w:hAnsi="Garamond"/>
          <w:sz w:val="20"/>
          <w:szCs w:val="20"/>
          <w:lang w:val="en-GB"/>
        </w:rPr>
        <w:t>arettes (</w:t>
      </w:r>
      <w:proofErr w:type="spellStart"/>
      <w:r>
        <w:rPr>
          <w:rFonts w:ascii="Garamond" w:hAnsi="Garamond"/>
          <w:sz w:val="20"/>
          <w:szCs w:val="20"/>
          <w:lang w:val="en-GB"/>
        </w:rPr>
        <w:t>Goniewicz</w:t>
      </w:r>
      <w:proofErr w:type="spellEnd"/>
      <w:r>
        <w:rPr>
          <w:rFonts w:ascii="Garamond" w:hAnsi="Garamond"/>
          <w:sz w:val="20"/>
          <w:szCs w:val="20"/>
          <w:lang w:val="en-GB"/>
        </w:rPr>
        <w:t xml:space="preserve"> et al., 2013</w:t>
      </w:r>
      <w:r w:rsidRPr="00A4785F">
        <w:rPr>
          <w:rFonts w:ascii="Garamond" w:hAnsi="Garamond"/>
          <w:sz w:val="20"/>
          <w:szCs w:val="20"/>
          <w:lang w:val="en-GB"/>
        </w:rPr>
        <w:t xml:space="preserve">). However, in a randomized trial 29% of e-cig users continued e-cigs at 6-months compared to only 8% of patch users (Bullen </w:t>
      </w:r>
      <w:r w:rsidRPr="00367747">
        <w:rPr>
          <w:rFonts w:ascii="Garamond" w:hAnsi="Garamond"/>
          <w:i/>
          <w:sz w:val="20"/>
          <w:szCs w:val="20"/>
          <w:lang w:val="en-GB"/>
        </w:rPr>
        <w:t>et al</w:t>
      </w:r>
      <w:r w:rsidRPr="00A4785F">
        <w:rPr>
          <w:rFonts w:ascii="Garamond" w:hAnsi="Garamond"/>
          <w:sz w:val="20"/>
          <w:szCs w:val="20"/>
          <w:lang w:val="en-GB"/>
        </w:rPr>
        <w:t xml:space="preserve">., 2013), suggesting e-cig use might persist after other </w:t>
      </w:r>
      <w:r>
        <w:rPr>
          <w:rFonts w:ascii="Garamond" w:hAnsi="Garamond"/>
          <w:sz w:val="20"/>
          <w:szCs w:val="20"/>
          <w:lang w:val="en-GB"/>
        </w:rPr>
        <w:t>cessation</w:t>
      </w:r>
      <w:r w:rsidRPr="00A4785F">
        <w:rPr>
          <w:rFonts w:ascii="Garamond" w:hAnsi="Garamond"/>
          <w:sz w:val="20"/>
          <w:szCs w:val="20"/>
          <w:lang w:val="en-GB"/>
        </w:rPr>
        <w:t xml:space="preserve"> methods. In addition, cartridges have been found to contain hazards, such as cytotoxic heavy metal and silicate particles (Williams and Talbot, 2011).</w:t>
      </w:r>
    </w:p>
    <w:p w14:paraId="2CC942D2" w14:textId="77777777" w:rsidR="00D94F83" w:rsidRPr="00A4785F" w:rsidRDefault="00D94F83" w:rsidP="008A76A6">
      <w:pPr>
        <w:pStyle w:val="Testonotaapidipagina"/>
        <w:rPr>
          <w:lang w:val="it-IT"/>
        </w:rPr>
      </w:pPr>
    </w:p>
  </w:footnote>
  <w:footnote w:id="4">
    <w:p w14:paraId="40153D38" w14:textId="2909E0C0" w:rsidR="00D94F83" w:rsidRPr="00F85B0B" w:rsidRDefault="00D94F83" w:rsidP="00AC0CA0">
      <w:pPr>
        <w:pStyle w:val="Testonotaapidipagina"/>
        <w:rPr>
          <w:rFonts w:ascii="Garamond" w:hAnsi="Garamond"/>
          <w:lang w:val="it-IT"/>
        </w:rPr>
      </w:pPr>
      <w:r>
        <w:rPr>
          <w:rStyle w:val="Rimandonotaapidipagina"/>
        </w:rPr>
        <w:footnoteRef/>
      </w:r>
      <w:r>
        <w:t xml:space="preserve"> </w:t>
      </w:r>
      <w:r w:rsidRPr="00EC0018">
        <w:rPr>
          <w:rFonts w:ascii="Garamond" w:hAnsi="Garamond" w:cs="Garamond"/>
          <w:color w:val="000000"/>
          <w:lang w:val="en-GB"/>
        </w:rPr>
        <w:t xml:space="preserve">We use </w:t>
      </w:r>
      <w:r>
        <w:rPr>
          <w:rFonts w:ascii="Garamond" w:hAnsi="Garamond" w:cs="Garamond"/>
          <w:color w:val="000000"/>
          <w:lang w:val="en-GB"/>
        </w:rPr>
        <w:t>t</w:t>
      </w:r>
      <w:r w:rsidRPr="00F85B0B">
        <w:rPr>
          <w:rFonts w:ascii="Garamond" w:hAnsi="Garamond" w:cs="Garamond"/>
          <w:color w:val="000000"/>
          <w:lang w:val="en-GB"/>
        </w:rPr>
        <w:t xml:space="preserve">he Erreygers index </w:t>
      </w:r>
      <w:r>
        <w:rPr>
          <w:rFonts w:ascii="Garamond" w:hAnsi="Garamond" w:cs="Garamond"/>
          <w:color w:val="000000"/>
          <w:lang w:val="en-GB"/>
        </w:rPr>
        <w:t xml:space="preserve">because it </w:t>
      </w:r>
      <w:r w:rsidRPr="00F85B0B">
        <w:rPr>
          <w:rFonts w:ascii="Garamond" w:hAnsi="Garamond" w:cs="Garamond"/>
          <w:color w:val="000000"/>
          <w:lang w:val="en-GB"/>
        </w:rPr>
        <w:t>is the only rank-dependent in</w:t>
      </w:r>
      <w:r>
        <w:rPr>
          <w:rFonts w:ascii="Garamond" w:hAnsi="Garamond" w:cs="Garamond"/>
          <w:color w:val="000000"/>
          <w:lang w:val="en-GB"/>
        </w:rPr>
        <w:t>e</w:t>
      </w:r>
      <w:r w:rsidRPr="00F85B0B">
        <w:rPr>
          <w:rFonts w:ascii="Garamond" w:hAnsi="Garamond" w:cs="Garamond"/>
          <w:color w:val="000000"/>
          <w:lang w:val="en-GB"/>
        </w:rPr>
        <w:t xml:space="preserve">quality measure for bounded variables satisfying two desirable properties: </w:t>
      </w:r>
      <w:r>
        <w:rPr>
          <w:rFonts w:ascii="Garamond" w:hAnsi="Garamond" w:cs="Garamond"/>
          <w:color w:val="000000"/>
          <w:lang w:val="en-GB"/>
        </w:rPr>
        <w:t xml:space="preserve">the </w:t>
      </w:r>
      <w:r w:rsidRPr="00F85B0B">
        <w:rPr>
          <w:rFonts w:ascii="Garamond" w:hAnsi="Garamond" w:cs="Garamond"/>
          <w:i/>
          <w:color w:val="000000"/>
          <w:lang w:val="en-GB"/>
        </w:rPr>
        <w:t xml:space="preserve">mirror condition </w:t>
      </w:r>
      <w:r w:rsidRPr="00F85B0B">
        <w:rPr>
          <w:rFonts w:ascii="Garamond" w:hAnsi="Garamond" w:cs="Garamond"/>
          <w:color w:val="000000"/>
          <w:lang w:val="en-GB"/>
        </w:rPr>
        <w:t xml:space="preserve">- the invariance of the inequality index to the coding of the dependent variable as 0 or 1 - and the </w:t>
      </w:r>
      <w:r w:rsidRPr="00F85B0B">
        <w:rPr>
          <w:rFonts w:ascii="Garamond" w:hAnsi="Garamond" w:cs="Garamond"/>
          <w:i/>
          <w:color w:val="000000"/>
          <w:lang w:val="en-GB"/>
        </w:rPr>
        <w:t>quasi-absoluteness</w:t>
      </w:r>
      <w:r>
        <w:rPr>
          <w:rFonts w:ascii="Garamond" w:hAnsi="Garamond" w:cs="Garamond"/>
          <w:color w:val="000000"/>
          <w:lang w:val="en-GB"/>
        </w:rPr>
        <w:t xml:space="preserve">. The mirror condition is also respected by the </w:t>
      </w:r>
      <w:proofErr w:type="spellStart"/>
      <w:r>
        <w:rPr>
          <w:rFonts w:ascii="Garamond" w:hAnsi="Garamond" w:cs="Garamond"/>
          <w:color w:val="000000"/>
          <w:lang w:val="en-GB"/>
        </w:rPr>
        <w:t>Wagstaff</w:t>
      </w:r>
      <w:proofErr w:type="spellEnd"/>
      <w:r>
        <w:rPr>
          <w:rFonts w:ascii="Garamond" w:hAnsi="Garamond" w:cs="Garamond"/>
          <w:color w:val="000000"/>
          <w:lang w:val="en-GB"/>
        </w:rPr>
        <w:t xml:space="preserve"> index (</w:t>
      </w:r>
      <w:proofErr w:type="spellStart"/>
      <w:r>
        <w:rPr>
          <w:rFonts w:ascii="Garamond" w:hAnsi="Garamond" w:cs="Garamond"/>
          <w:color w:val="000000"/>
          <w:lang w:val="en-GB"/>
        </w:rPr>
        <w:t>Wagstaff</w:t>
      </w:r>
      <w:proofErr w:type="spellEnd"/>
      <w:r>
        <w:rPr>
          <w:rFonts w:ascii="Garamond" w:hAnsi="Garamond" w:cs="Garamond"/>
          <w:color w:val="000000"/>
          <w:lang w:val="en-GB"/>
        </w:rPr>
        <w:t xml:space="preserve">, 2005), but the </w:t>
      </w:r>
      <w:proofErr w:type="spellStart"/>
      <w:r>
        <w:rPr>
          <w:rFonts w:ascii="Garamond" w:hAnsi="Garamond" w:cs="Garamond"/>
          <w:color w:val="000000"/>
          <w:lang w:val="en-GB"/>
        </w:rPr>
        <w:t>Erreygers</w:t>
      </w:r>
      <w:proofErr w:type="spellEnd"/>
      <w:r>
        <w:rPr>
          <w:rFonts w:ascii="Garamond" w:hAnsi="Garamond" w:cs="Garamond"/>
          <w:color w:val="000000"/>
          <w:lang w:val="en-GB"/>
        </w:rPr>
        <w:t xml:space="preserve"> index is an absolute rather than a relative measure of inequality. An advantage of this property in our context is that our estimates of inequality are suitable for a comparison between countries characterized by a different average use of NDS.</w:t>
      </w:r>
      <w:r w:rsidRPr="00F85B0B">
        <w:rPr>
          <w:rFonts w:ascii="Garamond" w:hAnsi="Garamond" w:cs="Garamond"/>
          <w:color w:val="000000"/>
          <w:lang w:val="en-GB"/>
        </w:rPr>
        <w:t xml:space="preserve"> </w:t>
      </w:r>
    </w:p>
  </w:footnote>
  <w:footnote w:id="5">
    <w:p w14:paraId="7529F50C" w14:textId="1C56DDCB" w:rsidR="00CB6AE2" w:rsidRPr="00817804" w:rsidRDefault="00CB6AE2">
      <w:pPr>
        <w:pStyle w:val="Testonotaapidipagina"/>
        <w:rPr>
          <w:rFonts w:ascii="Garamond" w:hAnsi="Garamond"/>
        </w:rPr>
      </w:pPr>
      <w:r>
        <w:rPr>
          <w:rStyle w:val="Rimandonotaapidipagina"/>
        </w:rPr>
        <w:footnoteRef/>
      </w:r>
      <w:r>
        <w:t xml:space="preserve"> </w:t>
      </w:r>
      <w:r w:rsidRPr="00817804">
        <w:rPr>
          <w:rFonts w:ascii="Garamond" w:hAnsi="Garamond"/>
          <w:lang w:val="en-GB"/>
        </w:rPr>
        <w:t xml:space="preserve">Use of NDS among non-smokers is very rare: according to our data, only 0.6% of never smokers have used or use NDS. This is also very rare for ex-occasional smokers (4%) while it is much more common among ex-regular smokers (20%) and actual smokers (53%). This is not surprising as NDS were created and are used essentially as smoking cessation devices rather than as recreational devices. The EI for NDS estimated for the sample of ex-regular smokers is </w:t>
      </w:r>
      <w:r w:rsidR="00932BD8">
        <w:rPr>
          <w:rFonts w:ascii="Garamond" w:hAnsi="Garamond"/>
          <w:lang w:val="en-GB"/>
        </w:rPr>
        <w:t>+</w:t>
      </w:r>
      <w:r w:rsidRPr="00817804">
        <w:rPr>
          <w:rFonts w:ascii="Garamond" w:hAnsi="Garamond"/>
          <w:lang w:val="en-GB"/>
        </w:rPr>
        <w:t>0.039</w:t>
      </w:r>
      <w:r w:rsidR="00932BD8">
        <w:rPr>
          <w:rFonts w:ascii="Garamond" w:hAnsi="Garamond"/>
          <w:lang w:val="en-GB"/>
        </w:rPr>
        <w:t xml:space="preserve"> (statistically significant at 5 % level)</w:t>
      </w:r>
      <w:r w:rsidRPr="00817804">
        <w:rPr>
          <w:rFonts w:ascii="Garamond" w:hAnsi="Garamond"/>
          <w:lang w:val="en-GB"/>
        </w:rPr>
        <w:t>. This means that we still find a concentration of NDS among richer ex-smokers, although lower in magnitude than the EI for current smokers (+0.074). The EI for NDS for the samp</w:t>
      </w:r>
      <w:r w:rsidR="00817804">
        <w:rPr>
          <w:rFonts w:ascii="Garamond" w:hAnsi="Garamond"/>
          <w:lang w:val="en-GB"/>
        </w:rPr>
        <w:t xml:space="preserve">le of ex-occasional smokers is </w:t>
      </w:r>
      <w:r w:rsidRPr="00817804">
        <w:rPr>
          <w:rFonts w:ascii="Garamond" w:hAnsi="Garamond"/>
          <w:lang w:val="en-GB"/>
        </w:rPr>
        <w:t xml:space="preserve">-0.014 and for never smokers is </w:t>
      </w:r>
      <w:r>
        <w:rPr>
          <w:rFonts w:ascii="Garamond" w:hAnsi="Garamond"/>
          <w:lang w:val="en-GB"/>
        </w:rPr>
        <w:t>-</w:t>
      </w:r>
      <w:r w:rsidRPr="00817804">
        <w:rPr>
          <w:rFonts w:ascii="Garamond" w:hAnsi="Garamond"/>
          <w:lang w:val="en-GB"/>
        </w:rPr>
        <w:t>0.002 but neither are statistically significant</w:t>
      </w:r>
      <w:r w:rsidR="00932BD8">
        <w:rPr>
          <w:rFonts w:ascii="Garamond" w:hAnsi="Garamond"/>
          <w:lang w:val="en-GB"/>
        </w:rPr>
        <w:t xml:space="preserve"> at conventional levels</w:t>
      </w:r>
      <w:r w:rsidRPr="00817804">
        <w:rPr>
          <w:rFonts w:ascii="Garamond" w:hAnsi="Garamond"/>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640B"/>
    <w:multiLevelType w:val="hybridMultilevel"/>
    <w:tmpl w:val="4556480E"/>
    <w:lvl w:ilvl="0" w:tplc="C54A58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7FE467C"/>
    <w:multiLevelType w:val="hybridMultilevel"/>
    <w:tmpl w:val="41FA9F8C"/>
    <w:lvl w:ilvl="0" w:tplc="D0AA91E4">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E77BFD"/>
    <w:multiLevelType w:val="hybridMultilevel"/>
    <w:tmpl w:val="464406B8"/>
    <w:lvl w:ilvl="0" w:tplc="E8C09BCC">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DB6138"/>
    <w:multiLevelType w:val="hybridMultilevel"/>
    <w:tmpl w:val="00F8A56E"/>
    <w:lvl w:ilvl="0" w:tplc="270EB5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1D431C2"/>
    <w:multiLevelType w:val="hybridMultilevel"/>
    <w:tmpl w:val="E48C7340"/>
    <w:lvl w:ilvl="0" w:tplc="270EB5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73"/>
    <w:rsid w:val="0000512C"/>
    <w:rsid w:val="00010462"/>
    <w:rsid w:val="00012582"/>
    <w:rsid w:val="00022CA5"/>
    <w:rsid w:val="00051AED"/>
    <w:rsid w:val="0006074A"/>
    <w:rsid w:val="000858AF"/>
    <w:rsid w:val="000C02E9"/>
    <w:rsid w:val="000E30B0"/>
    <w:rsid w:val="0013355C"/>
    <w:rsid w:val="00144B52"/>
    <w:rsid w:val="001455E9"/>
    <w:rsid w:val="00160836"/>
    <w:rsid w:val="001A7EE1"/>
    <w:rsid w:val="001B000B"/>
    <w:rsid w:val="001F1C6B"/>
    <w:rsid w:val="001F7BC2"/>
    <w:rsid w:val="00202F0C"/>
    <w:rsid w:val="0022244D"/>
    <w:rsid w:val="00236EF2"/>
    <w:rsid w:val="00241229"/>
    <w:rsid w:val="002537B8"/>
    <w:rsid w:val="00266C32"/>
    <w:rsid w:val="0029204D"/>
    <w:rsid w:val="00292F9B"/>
    <w:rsid w:val="00293819"/>
    <w:rsid w:val="002A7F76"/>
    <w:rsid w:val="002B3797"/>
    <w:rsid w:val="002C1353"/>
    <w:rsid w:val="002C6E26"/>
    <w:rsid w:val="002C7E1C"/>
    <w:rsid w:val="00304145"/>
    <w:rsid w:val="0030712D"/>
    <w:rsid w:val="003374EA"/>
    <w:rsid w:val="00345652"/>
    <w:rsid w:val="0035573F"/>
    <w:rsid w:val="003655B6"/>
    <w:rsid w:val="00367747"/>
    <w:rsid w:val="00372EAF"/>
    <w:rsid w:val="00375C26"/>
    <w:rsid w:val="003764B3"/>
    <w:rsid w:val="0038494D"/>
    <w:rsid w:val="003A723B"/>
    <w:rsid w:val="003D0CD3"/>
    <w:rsid w:val="00412AE7"/>
    <w:rsid w:val="00425D9A"/>
    <w:rsid w:val="004954D2"/>
    <w:rsid w:val="004A4BD4"/>
    <w:rsid w:val="004F1E22"/>
    <w:rsid w:val="004F64EA"/>
    <w:rsid w:val="00504CB4"/>
    <w:rsid w:val="00511F87"/>
    <w:rsid w:val="00533266"/>
    <w:rsid w:val="00574D72"/>
    <w:rsid w:val="00581636"/>
    <w:rsid w:val="00585142"/>
    <w:rsid w:val="005A1C1B"/>
    <w:rsid w:val="005C42E8"/>
    <w:rsid w:val="005C7A3D"/>
    <w:rsid w:val="005E4913"/>
    <w:rsid w:val="005E5513"/>
    <w:rsid w:val="0061083F"/>
    <w:rsid w:val="00630212"/>
    <w:rsid w:val="006450EE"/>
    <w:rsid w:val="00670381"/>
    <w:rsid w:val="00675910"/>
    <w:rsid w:val="00677F22"/>
    <w:rsid w:val="006973BB"/>
    <w:rsid w:val="006E29B8"/>
    <w:rsid w:val="006F20E1"/>
    <w:rsid w:val="00711182"/>
    <w:rsid w:val="00716F1E"/>
    <w:rsid w:val="00725B34"/>
    <w:rsid w:val="00730431"/>
    <w:rsid w:val="00745389"/>
    <w:rsid w:val="0076137A"/>
    <w:rsid w:val="007663E3"/>
    <w:rsid w:val="00766CD7"/>
    <w:rsid w:val="00781DB6"/>
    <w:rsid w:val="00794ED8"/>
    <w:rsid w:val="00796FDB"/>
    <w:rsid w:val="007A62C2"/>
    <w:rsid w:val="007C121C"/>
    <w:rsid w:val="007C5E0B"/>
    <w:rsid w:val="007D2A6F"/>
    <w:rsid w:val="007D39ED"/>
    <w:rsid w:val="007E3AFC"/>
    <w:rsid w:val="007F4029"/>
    <w:rsid w:val="00817804"/>
    <w:rsid w:val="00824483"/>
    <w:rsid w:val="00840A4C"/>
    <w:rsid w:val="00865D49"/>
    <w:rsid w:val="00870081"/>
    <w:rsid w:val="00875CE0"/>
    <w:rsid w:val="00876243"/>
    <w:rsid w:val="00887868"/>
    <w:rsid w:val="008A76A6"/>
    <w:rsid w:val="008B3016"/>
    <w:rsid w:val="008C01CF"/>
    <w:rsid w:val="008C4ADB"/>
    <w:rsid w:val="008D65D9"/>
    <w:rsid w:val="008E11E9"/>
    <w:rsid w:val="008E1EEC"/>
    <w:rsid w:val="008F00CE"/>
    <w:rsid w:val="00925706"/>
    <w:rsid w:val="00925E79"/>
    <w:rsid w:val="00932BD8"/>
    <w:rsid w:val="009353B3"/>
    <w:rsid w:val="00944C67"/>
    <w:rsid w:val="00947B44"/>
    <w:rsid w:val="009724CE"/>
    <w:rsid w:val="009949B9"/>
    <w:rsid w:val="009B011D"/>
    <w:rsid w:val="009B237F"/>
    <w:rsid w:val="009B36F4"/>
    <w:rsid w:val="009C6CFA"/>
    <w:rsid w:val="009D05F6"/>
    <w:rsid w:val="009E1625"/>
    <w:rsid w:val="00A07D1E"/>
    <w:rsid w:val="00A22703"/>
    <w:rsid w:val="00A36912"/>
    <w:rsid w:val="00A43F5D"/>
    <w:rsid w:val="00A4785F"/>
    <w:rsid w:val="00A575FA"/>
    <w:rsid w:val="00A61DDD"/>
    <w:rsid w:val="00A8320D"/>
    <w:rsid w:val="00A90955"/>
    <w:rsid w:val="00AA15A0"/>
    <w:rsid w:val="00AB6C69"/>
    <w:rsid w:val="00AC0CA0"/>
    <w:rsid w:val="00AC3425"/>
    <w:rsid w:val="00AE3D23"/>
    <w:rsid w:val="00B02F7E"/>
    <w:rsid w:val="00B045B4"/>
    <w:rsid w:val="00B10BB8"/>
    <w:rsid w:val="00B46FBB"/>
    <w:rsid w:val="00B53DE8"/>
    <w:rsid w:val="00B57149"/>
    <w:rsid w:val="00B66A50"/>
    <w:rsid w:val="00B81263"/>
    <w:rsid w:val="00BB0F02"/>
    <w:rsid w:val="00BF0D91"/>
    <w:rsid w:val="00C00C36"/>
    <w:rsid w:val="00C17377"/>
    <w:rsid w:val="00C50FA1"/>
    <w:rsid w:val="00C539ED"/>
    <w:rsid w:val="00C55337"/>
    <w:rsid w:val="00C56830"/>
    <w:rsid w:val="00C63E4F"/>
    <w:rsid w:val="00C8478C"/>
    <w:rsid w:val="00C85C33"/>
    <w:rsid w:val="00CB1B17"/>
    <w:rsid w:val="00CB6AE2"/>
    <w:rsid w:val="00CF03CA"/>
    <w:rsid w:val="00D20823"/>
    <w:rsid w:val="00D52E5E"/>
    <w:rsid w:val="00D55458"/>
    <w:rsid w:val="00D60873"/>
    <w:rsid w:val="00D624E5"/>
    <w:rsid w:val="00D81988"/>
    <w:rsid w:val="00D94F83"/>
    <w:rsid w:val="00DA55E3"/>
    <w:rsid w:val="00DC3A38"/>
    <w:rsid w:val="00DE4423"/>
    <w:rsid w:val="00DE6A53"/>
    <w:rsid w:val="00DF4A8D"/>
    <w:rsid w:val="00E12234"/>
    <w:rsid w:val="00E175E0"/>
    <w:rsid w:val="00E2289F"/>
    <w:rsid w:val="00E32791"/>
    <w:rsid w:val="00E32A84"/>
    <w:rsid w:val="00E521B0"/>
    <w:rsid w:val="00E7272B"/>
    <w:rsid w:val="00E93DD6"/>
    <w:rsid w:val="00EA4EB9"/>
    <w:rsid w:val="00EA68AD"/>
    <w:rsid w:val="00EA712C"/>
    <w:rsid w:val="00EC0018"/>
    <w:rsid w:val="00EC3234"/>
    <w:rsid w:val="00F14482"/>
    <w:rsid w:val="00F23A32"/>
    <w:rsid w:val="00F443AB"/>
    <w:rsid w:val="00F85B0B"/>
    <w:rsid w:val="00FB1705"/>
    <w:rsid w:val="00FC40A0"/>
    <w:rsid w:val="00FD6E07"/>
    <w:rsid w:val="00FF5E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458"/>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5458"/>
    <w:rPr>
      <w:color w:val="0000FF"/>
      <w:u w:val="single"/>
    </w:rPr>
  </w:style>
  <w:style w:type="table" w:styleId="Grigliatabella">
    <w:name w:val="Table Grid"/>
    <w:basedOn w:val="Tabellanormale"/>
    <w:uiPriority w:val="59"/>
    <w:rsid w:val="00D5545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74D72"/>
    <w:pPr>
      <w:ind w:left="720"/>
      <w:contextualSpacing/>
    </w:pPr>
  </w:style>
  <w:style w:type="paragraph" w:styleId="Testonotaapidipagina">
    <w:name w:val="footnote text"/>
    <w:basedOn w:val="Normale"/>
    <w:link w:val="TestonotaapidipaginaCarattere"/>
    <w:uiPriority w:val="99"/>
    <w:unhideWhenUsed/>
    <w:rsid w:val="009E16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625"/>
    <w:rPr>
      <w:rFonts w:eastAsiaTheme="minorEastAsia"/>
      <w:sz w:val="20"/>
      <w:szCs w:val="20"/>
      <w:lang w:val="en-US"/>
    </w:rPr>
  </w:style>
  <w:style w:type="character" w:styleId="Rimandonotaapidipagina">
    <w:name w:val="footnote reference"/>
    <w:basedOn w:val="Carpredefinitoparagrafo"/>
    <w:uiPriority w:val="99"/>
    <w:unhideWhenUsed/>
    <w:rsid w:val="009E1625"/>
    <w:rPr>
      <w:vertAlign w:val="superscript"/>
    </w:rPr>
  </w:style>
  <w:style w:type="paragraph" w:styleId="Testofumetto">
    <w:name w:val="Balloon Text"/>
    <w:basedOn w:val="Normale"/>
    <w:link w:val="TestofumettoCarattere"/>
    <w:uiPriority w:val="99"/>
    <w:semiHidden/>
    <w:unhideWhenUsed/>
    <w:rsid w:val="00824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483"/>
    <w:rPr>
      <w:rFonts w:ascii="Tahoma" w:eastAsiaTheme="minorEastAsia" w:hAnsi="Tahoma" w:cs="Tahoma"/>
      <w:sz w:val="16"/>
      <w:szCs w:val="16"/>
      <w:lang w:val="en-US"/>
    </w:rPr>
  </w:style>
  <w:style w:type="character" w:styleId="Testosegnaposto">
    <w:name w:val="Placeholder Text"/>
    <w:basedOn w:val="Carpredefinitoparagrafo"/>
    <w:uiPriority w:val="99"/>
    <w:semiHidden/>
    <w:rsid w:val="00B10BB8"/>
    <w:rPr>
      <w:color w:val="808080"/>
    </w:rPr>
  </w:style>
  <w:style w:type="paragraph" w:styleId="Intestazione">
    <w:name w:val="header"/>
    <w:basedOn w:val="Normale"/>
    <w:link w:val="IntestazioneCarattere"/>
    <w:uiPriority w:val="99"/>
    <w:unhideWhenUsed/>
    <w:rsid w:val="00745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389"/>
    <w:rPr>
      <w:rFonts w:eastAsiaTheme="minorEastAsia"/>
      <w:lang w:val="en-US"/>
    </w:rPr>
  </w:style>
  <w:style w:type="paragraph" w:styleId="Pidipagina">
    <w:name w:val="footer"/>
    <w:basedOn w:val="Normale"/>
    <w:link w:val="PidipaginaCarattere"/>
    <w:uiPriority w:val="99"/>
    <w:unhideWhenUsed/>
    <w:rsid w:val="007453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389"/>
    <w:rPr>
      <w:rFonts w:eastAsiaTheme="minorEastAsia"/>
      <w:lang w:val="en-US"/>
    </w:rPr>
  </w:style>
  <w:style w:type="character" w:styleId="Collegamentovisitato">
    <w:name w:val="FollowedHyperlink"/>
    <w:basedOn w:val="Carpredefinitoparagrafo"/>
    <w:uiPriority w:val="99"/>
    <w:semiHidden/>
    <w:unhideWhenUsed/>
    <w:rsid w:val="00022C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458"/>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5458"/>
    <w:rPr>
      <w:color w:val="0000FF"/>
      <w:u w:val="single"/>
    </w:rPr>
  </w:style>
  <w:style w:type="table" w:styleId="Grigliatabella">
    <w:name w:val="Table Grid"/>
    <w:basedOn w:val="Tabellanormale"/>
    <w:uiPriority w:val="59"/>
    <w:rsid w:val="00D5545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74D72"/>
    <w:pPr>
      <w:ind w:left="720"/>
      <w:contextualSpacing/>
    </w:pPr>
  </w:style>
  <w:style w:type="paragraph" w:styleId="Testonotaapidipagina">
    <w:name w:val="footnote text"/>
    <w:basedOn w:val="Normale"/>
    <w:link w:val="TestonotaapidipaginaCarattere"/>
    <w:uiPriority w:val="99"/>
    <w:unhideWhenUsed/>
    <w:rsid w:val="009E16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625"/>
    <w:rPr>
      <w:rFonts w:eastAsiaTheme="minorEastAsia"/>
      <w:sz w:val="20"/>
      <w:szCs w:val="20"/>
      <w:lang w:val="en-US"/>
    </w:rPr>
  </w:style>
  <w:style w:type="character" w:styleId="Rimandonotaapidipagina">
    <w:name w:val="footnote reference"/>
    <w:basedOn w:val="Carpredefinitoparagrafo"/>
    <w:uiPriority w:val="99"/>
    <w:unhideWhenUsed/>
    <w:rsid w:val="009E1625"/>
    <w:rPr>
      <w:vertAlign w:val="superscript"/>
    </w:rPr>
  </w:style>
  <w:style w:type="paragraph" w:styleId="Testofumetto">
    <w:name w:val="Balloon Text"/>
    <w:basedOn w:val="Normale"/>
    <w:link w:val="TestofumettoCarattere"/>
    <w:uiPriority w:val="99"/>
    <w:semiHidden/>
    <w:unhideWhenUsed/>
    <w:rsid w:val="00824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483"/>
    <w:rPr>
      <w:rFonts w:ascii="Tahoma" w:eastAsiaTheme="minorEastAsia" w:hAnsi="Tahoma" w:cs="Tahoma"/>
      <w:sz w:val="16"/>
      <w:szCs w:val="16"/>
      <w:lang w:val="en-US"/>
    </w:rPr>
  </w:style>
  <w:style w:type="character" w:styleId="Testosegnaposto">
    <w:name w:val="Placeholder Text"/>
    <w:basedOn w:val="Carpredefinitoparagrafo"/>
    <w:uiPriority w:val="99"/>
    <w:semiHidden/>
    <w:rsid w:val="00B10BB8"/>
    <w:rPr>
      <w:color w:val="808080"/>
    </w:rPr>
  </w:style>
  <w:style w:type="paragraph" w:styleId="Intestazione">
    <w:name w:val="header"/>
    <w:basedOn w:val="Normale"/>
    <w:link w:val="IntestazioneCarattere"/>
    <w:uiPriority w:val="99"/>
    <w:unhideWhenUsed/>
    <w:rsid w:val="00745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389"/>
    <w:rPr>
      <w:rFonts w:eastAsiaTheme="minorEastAsia"/>
      <w:lang w:val="en-US"/>
    </w:rPr>
  </w:style>
  <w:style w:type="paragraph" w:styleId="Pidipagina">
    <w:name w:val="footer"/>
    <w:basedOn w:val="Normale"/>
    <w:link w:val="PidipaginaCarattere"/>
    <w:uiPriority w:val="99"/>
    <w:unhideWhenUsed/>
    <w:rsid w:val="007453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389"/>
    <w:rPr>
      <w:rFonts w:eastAsiaTheme="minorEastAsia"/>
      <w:lang w:val="en-US"/>
    </w:rPr>
  </w:style>
  <w:style w:type="character" w:styleId="Collegamentovisitato">
    <w:name w:val="FollowedHyperlink"/>
    <w:basedOn w:val="Carpredefinitoparagrafo"/>
    <w:uiPriority w:val="99"/>
    <w:semiHidden/>
    <w:unhideWhenUsed/>
    <w:rsid w:val="00022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1857">
      <w:bodyDiv w:val="1"/>
      <w:marLeft w:val="0"/>
      <w:marRight w:val="0"/>
      <w:marTop w:val="0"/>
      <w:marBottom w:val="0"/>
      <w:divBdr>
        <w:top w:val="none" w:sz="0" w:space="0" w:color="auto"/>
        <w:left w:val="none" w:sz="0" w:space="0" w:color="auto"/>
        <w:bottom w:val="none" w:sz="0" w:space="0" w:color="auto"/>
        <w:right w:val="none" w:sz="0" w:space="0" w:color="auto"/>
      </w:divBdr>
    </w:div>
    <w:div w:id="17402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h.org.uk/files/documents/ASH_71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w.jones@york.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arrieri@unis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ndrew.jones@york.ac.uk" TargetMode="External"/><Relationship Id="rId4" Type="http://schemas.microsoft.com/office/2007/relationships/stylesWithEffects" Target="stylesWithEffects.xml"/><Relationship Id="rId9" Type="http://schemas.openxmlformats.org/officeDocument/2006/relationships/hyperlink" Target="mailto:vcarrieri@unisa.it" TargetMode="External"/><Relationship Id="rId14" Type="http://schemas.openxmlformats.org/officeDocument/2006/relationships/hyperlink" Target="https://www.gov.uk/government/uploads/system/uploads/attachment_data/file/457102/Ecigarettes_an_evidence_update_A_report_commissioned_by_Public_Health_England_FINAL.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D887-4551-411B-8A10-33E79923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2421</Words>
  <Characters>13800</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14</cp:revision>
  <cp:lastPrinted>2016-06-13T13:13:00Z</cp:lastPrinted>
  <dcterms:created xsi:type="dcterms:W3CDTF">2016-06-15T12:51:00Z</dcterms:created>
  <dcterms:modified xsi:type="dcterms:W3CDTF">2016-09-21T06:42:00Z</dcterms:modified>
</cp:coreProperties>
</file>