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459" w:rsidRPr="006159A2" w:rsidRDefault="00B021A1" w:rsidP="00B021A1">
      <w:pPr>
        <w:pStyle w:val="heading10"/>
        <w:pBdr>
          <w:bottom w:val="single" w:sz="4" w:space="1" w:color="auto"/>
        </w:pBdr>
        <w:jc w:val="center"/>
        <w:rPr>
          <w:lang w:val="en-GB"/>
        </w:rPr>
      </w:pPr>
      <w:r w:rsidRPr="006159A2">
        <w:rPr>
          <w:lang w:val="en-GB"/>
        </w:rPr>
        <w:t>Electronic Supplementary Material (</w:t>
      </w:r>
      <w:r w:rsidR="009F4459" w:rsidRPr="006159A2">
        <w:rPr>
          <w:lang w:val="en-GB"/>
        </w:rPr>
        <w:t>ESM</w:t>
      </w:r>
      <w:r w:rsidRPr="006159A2">
        <w:rPr>
          <w:lang w:val="en-GB"/>
        </w:rPr>
        <w:t>)</w:t>
      </w:r>
    </w:p>
    <w:p w:rsidR="00855869" w:rsidRPr="006159A2" w:rsidRDefault="00855869" w:rsidP="00855869">
      <w:pPr>
        <w:pStyle w:val="author"/>
      </w:pPr>
    </w:p>
    <w:p w:rsidR="00855869" w:rsidRPr="006159A2" w:rsidRDefault="00855869" w:rsidP="00855869">
      <w:pPr>
        <w:pStyle w:val="title"/>
        <w:jc w:val="center"/>
        <w:rPr>
          <w:b w:val="0"/>
          <w:iCs/>
          <w:lang w:val="en-GB"/>
        </w:rPr>
      </w:pPr>
      <w:r w:rsidRPr="006159A2">
        <w:rPr>
          <w:b w:val="0"/>
          <w:iCs/>
          <w:lang w:val="en-GB"/>
        </w:rPr>
        <w:t>Journal of Atmospheric Chemistry</w:t>
      </w:r>
    </w:p>
    <w:p w:rsidR="00855869" w:rsidRPr="006159A2" w:rsidRDefault="00855869" w:rsidP="003A04D9">
      <w:pPr>
        <w:pStyle w:val="title"/>
        <w:rPr>
          <w:iCs/>
          <w:lang w:val="en-GB"/>
        </w:rPr>
      </w:pPr>
    </w:p>
    <w:p w:rsidR="00B021A1" w:rsidRPr="006159A2" w:rsidRDefault="00B021A1" w:rsidP="003A04D9">
      <w:pPr>
        <w:pStyle w:val="title"/>
        <w:rPr>
          <w:b w:val="0"/>
          <w:lang w:val="en-GB"/>
        </w:rPr>
      </w:pPr>
      <w:r w:rsidRPr="006159A2">
        <w:rPr>
          <w:lang w:val="en-GB"/>
        </w:rPr>
        <w:t>Modelling multiphase chemistry in deliquescent aerosols and clouds using CAPRAM3.0i</w:t>
      </w:r>
    </w:p>
    <w:p w:rsidR="00B021A1" w:rsidRPr="006159A2" w:rsidRDefault="00B021A1" w:rsidP="00B021A1">
      <w:pPr>
        <w:pStyle w:val="author"/>
        <w:jc w:val="both"/>
        <w:rPr>
          <w:lang w:val="de-DE"/>
        </w:rPr>
      </w:pPr>
      <w:r w:rsidRPr="006159A2">
        <w:rPr>
          <w:lang w:val="de-DE"/>
        </w:rPr>
        <w:t xml:space="preserve">A. Tilgner, </w:t>
      </w:r>
      <w:r w:rsidR="00927E40" w:rsidRPr="006159A2">
        <w:rPr>
          <w:lang w:val="de-DE"/>
        </w:rPr>
        <w:t xml:space="preserve">P. Bräuer, </w:t>
      </w:r>
      <w:r w:rsidRPr="006159A2">
        <w:rPr>
          <w:lang w:val="de-DE"/>
        </w:rPr>
        <w:t>R. Wolke, and H. Herrmann*</w:t>
      </w:r>
    </w:p>
    <w:p w:rsidR="00BD444F" w:rsidRPr="006159A2" w:rsidRDefault="00BD444F" w:rsidP="00BD444F">
      <w:pPr>
        <w:pStyle w:val="affiliation"/>
        <w:rPr>
          <w:lang w:val="en-GB"/>
        </w:rPr>
      </w:pPr>
      <w:r w:rsidRPr="006159A2">
        <w:rPr>
          <w:lang w:val="de-DE"/>
        </w:rPr>
        <w:t>Leibniz</w:t>
      </w:r>
      <w:r w:rsidR="00427422" w:rsidRPr="006159A2">
        <w:rPr>
          <w:lang w:val="de-DE"/>
        </w:rPr>
        <w:t xml:space="preserve"> </w:t>
      </w:r>
      <w:r w:rsidRPr="006159A2">
        <w:rPr>
          <w:lang w:val="de-DE"/>
        </w:rPr>
        <w:t>Institut</w:t>
      </w:r>
      <w:r w:rsidR="00427422" w:rsidRPr="006159A2">
        <w:rPr>
          <w:lang w:val="de-DE"/>
        </w:rPr>
        <w:t>e</w:t>
      </w:r>
      <w:r w:rsidRPr="006159A2">
        <w:rPr>
          <w:lang w:val="de-DE"/>
        </w:rPr>
        <w:t xml:space="preserve"> f</w:t>
      </w:r>
      <w:r w:rsidR="00427422" w:rsidRPr="006159A2">
        <w:rPr>
          <w:lang w:val="de-DE"/>
        </w:rPr>
        <w:t xml:space="preserve">or </w:t>
      </w:r>
      <w:r w:rsidRPr="006159A2">
        <w:rPr>
          <w:lang w:val="de-DE"/>
        </w:rPr>
        <w:t>Troposph</w:t>
      </w:r>
      <w:r w:rsidR="00427422" w:rsidRPr="006159A2">
        <w:rPr>
          <w:lang w:val="de-DE"/>
        </w:rPr>
        <w:t>eric Research</w:t>
      </w:r>
      <w:r w:rsidR="00731457" w:rsidRPr="006159A2">
        <w:rPr>
          <w:lang w:val="de-DE"/>
        </w:rPr>
        <w:t xml:space="preserve"> (TROPOS)</w:t>
      </w:r>
      <w:r w:rsidRPr="006159A2">
        <w:rPr>
          <w:lang w:val="de-DE"/>
        </w:rPr>
        <w:t>, Chemistry Dept.,</w:t>
      </w:r>
      <w:r w:rsidR="001A3464">
        <w:rPr>
          <w:lang w:val="de-DE"/>
        </w:rPr>
        <w:t xml:space="preserve"> </w:t>
      </w:r>
      <w:r w:rsidRPr="006159A2">
        <w:rPr>
          <w:lang w:val="de-DE"/>
        </w:rPr>
        <w:t xml:space="preserve">Permoserstr. </w:t>
      </w:r>
      <w:r w:rsidRPr="006159A2">
        <w:rPr>
          <w:lang w:val="en-GB"/>
        </w:rPr>
        <w:t>15, 04318 Leipzig, Germany</w:t>
      </w:r>
    </w:p>
    <w:p w:rsidR="00B021A1" w:rsidRPr="006159A2" w:rsidRDefault="00B021A1" w:rsidP="00B021A1">
      <w:pPr>
        <w:pStyle w:val="articlenote"/>
        <w:jc w:val="both"/>
        <w:rPr>
          <w:lang w:val="en-GB"/>
        </w:rPr>
      </w:pPr>
    </w:p>
    <w:p w:rsidR="00BD444F" w:rsidRPr="006159A2" w:rsidRDefault="00BD444F" w:rsidP="00BD444F">
      <w:pPr>
        <w:pStyle w:val="articlenote"/>
        <w:jc w:val="both"/>
        <w:rPr>
          <w:lang w:val="en-GB"/>
        </w:rPr>
      </w:pPr>
      <w:r w:rsidRPr="006159A2">
        <w:rPr>
          <w:rStyle w:val="phoneZchn"/>
          <w:lang w:val="en-GB"/>
        </w:rPr>
        <w:t>*Corresponding author: Prof. Dr. Hartmut Herrmann</w:t>
      </w:r>
      <w:r w:rsidRPr="006159A2">
        <w:rPr>
          <w:rStyle w:val="phoneZchn"/>
          <w:lang w:val="en-GB"/>
        </w:rPr>
        <w:br/>
        <w:t>Phone: +49 341 2</w:t>
      </w:r>
      <w:r w:rsidR="007A52E6" w:rsidRPr="006159A2">
        <w:rPr>
          <w:rStyle w:val="phoneZchn"/>
          <w:lang w:val="en-GB"/>
        </w:rPr>
        <w:t>717 7023</w:t>
      </w:r>
      <w:r w:rsidRPr="006159A2">
        <w:rPr>
          <w:lang w:val="en-GB"/>
        </w:rPr>
        <w:t xml:space="preserve">, </w:t>
      </w:r>
      <w:r w:rsidRPr="006159A2">
        <w:rPr>
          <w:rStyle w:val="faxZchn"/>
          <w:lang w:val="en-GB"/>
        </w:rPr>
        <w:t xml:space="preserve">Fax: +49 341 </w:t>
      </w:r>
      <w:r w:rsidR="00973318" w:rsidRPr="006159A2">
        <w:rPr>
          <w:rStyle w:val="phoneZchn"/>
          <w:lang w:val="en-GB"/>
        </w:rPr>
        <w:t xml:space="preserve">2717 </w:t>
      </w:r>
      <w:r w:rsidR="00973318">
        <w:rPr>
          <w:rStyle w:val="phoneZchn"/>
          <w:lang w:val="en-GB"/>
        </w:rPr>
        <w:t xml:space="preserve">99 </w:t>
      </w:r>
      <w:r w:rsidR="00973318" w:rsidRPr="006159A2">
        <w:rPr>
          <w:rStyle w:val="phoneZchn"/>
          <w:lang w:val="en-GB"/>
        </w:rPr>
        <w:t>7023</w:t>
      </w:r>
      <w:r w:rsidRPr="006159A2">
        <w:rPr>
          <w:rStyle w:val="faxZchn"/>
          <w:lang w:val="en-GB"/>
        </w:rPr>
        <w:t>,</w:t>
      </w:r>
      <w:r w:rsidRPr="006159A2">
        <w:rPr>
          <w:lang w:val="en-GB"/>
        </w:rPr>
        <w:t xml:space="preserve"> </w:t>
      </w:r>
      <w:r w:rsidRPr="006159A2">
        <w:rPr>
          <w:rStyle w:val="emailZchn"/>
          <w:lang w:val="en-GB"/>
        </w:rPr>
        <w:t>E</w:t>
      </w:r>
      <w:r w:rsidRPr="006159A2">
        <w:rPr>
          <w:rStyle w:val="emailZchn"/>
          <w:lang w:val="en-GB"/>
        </w:rPr>
        <w:noBreakHyphen/>
        <w:t>mail: herrmann@tropos.de</w:t>
      </w:r>
    </w:p>
    <w:p w:rsidR="00B021A1" w:rsidRPr="006159A2" w:rsidRDefault="00B021A1" w:rsidP="00B021A1">
      <w:pPr>
        <w:tabs>
          <w:tab w:val="left" w:pos="360"/>
        </w:tabs>
        <w:spacing w:line="480" w:lineRule="auto"/>
        <w:jc w:val="both"/>
      </w:pPr>
    </w:p>
    <w:p w:rsidR="00B021A1" w:rsidRPr="006159A2" w:rsidRDefault="00BD444F" w:rsidP="00B021A1">
      <w:pPr>
        <w:jc w:val="both"/>
      </w:pPr>
      <w:r w:rsidRPr="006159A2">
        <w:t>Number of P</w:t>
      </w:r>
      <w:r w:rsidR="00B021A1" w:rsidRPr="006159A2">
        <w:t xml:space="preserve">ages: </w:t>
      </w:r>
      <w:r w:rsidR="003A45ED" w:rsidRPr="006159A2">
        <w:t>3</w:t>
      </w:r>
      <w:r w:rsidR="00EA140D" w:rsidRPr="006159A2">
        <w:t>1</w:t>
      </w:r>
    </w:p>
    <w:p w:rsidR="00B021A1" w:rsidRPr="006159A2" w:rsidRDefault="00BD444F" w:rsidP="00B021A1">
      <w:pPr>
        <w:jc w:val="both"/>
      </w:pPr>
      <w:r w:rsidRPr="006159A2">
        <w:t>Number of T</w:t>
      </w:r>
      <w:r w:rsidR="00B021A1" w:rsidRPr="006159A2">
        <w:t xml:space="preserve">ables: </w:t>
      </w:r>
      <w:r w:rsidR="003A04D9" w:rsidRPr="006159A2">
        <w:t>6</w:t>
      </w:r>
    </w:p>
    <w:p w:rsidR="00B021A1" w:rsidRPr="006159A2" w:rsidRDefault="00BD444F" w:rsidP="00B021A1">
      <w:pPr>
        <w:jc w:val="both"/>
      </w:pPr>
      <w:r w:rsidRPr="006159A2">
        <w:t>Number of F</w:t>
      </w:r>
      <w:r w:rsidR="00B021A1" w:rsidRPr="006159A2">
        <w:t xml:space="preserve">igures: </w:t>
      </w:r>
      <w:r w:rsidR="00135CE3" w:rsidRPr="006159A2">
        <w:t>20</w:t>
      </w:r>
    </w:p>
    <w:p w:rsidR="00B021A1" w:rsidRPr="006159A2" w:rsidRDefault="00B021A1" w:rsidP="001751C7">
      <w:pPr>
        <w:pStyle w:val="tablelegend"/>
        <w:rPr>
          <w:lang w:val="en-GB"/>
        </w:rPr>
      </w:pPr>
    </w:p>
    <w:p w:rsidR="000A5883" w:rsidRPr="006159A2" w:rsidRDefault="00B021A1" w:rsidP="002C5D20">
      <w:pPr>
        <w:pStyle w:val="heading10"/>
        <w:rPr>
          <w:lang w:val="en-GB" w:eastAsia="nl-NL"/>
        </w:rPr>
      </w:pPr>
      <w:r w:rsidRPr="006159A2">
        <w:rPr>
          <w:lang w:val="en-GB"/>
        </w:rPr>
        <w:br w:type="page"/>
      </w:r>
      <w:r w:rsidR="003A04D9" w:rsidRPr="006159A2">
        <w:rPr>
          <w:lang w:val="en-GB"/>
        </w:rPr>
        <w:lastRenderedPageBreak/>
        <w:t xml:space="preserve">Supplemental </w:t>
      </w:r>
      <w:r w:rsidR="001E78BA" w:rsidRPr="006159A2">
        <w:rPr>
          <w:lang w:val="en-GB" w:eastAsia="nl-NL"/>
        </w:rPr>
        <w:t>Material</w:t>
      </w:r>
      <w:r w:rsidR="005522E3" w:rsidRPr="006159A2">
        <w:rPr>
          <w:lang w:val="en-GB" w:eastAsia="nl-NL"/>
        </w:rPr>
        <w:t xml:space="preserve"> (Figures, Tables, etc.) </w:t>
      </w:r>
    </w:p>
    <w:p w:rsidR="00A04376" w:rsidRPr="006159A2" w:rsidRDefault="00A04376" w:rsidP="00CF0DDB">
      <w:pPr>
        <w:pStyle w:val="Heading1"/>
      </w:pPr>
      <w:r w:rsidRPr="006159A2">
        <w:t>A. Material to section </w:t>
      </w:r>
      <w:r w:rsidR="00CF0DDB" w:rsidRPr="006159A2">
        <w:t>2.2</w:t>
      </w:r>
    </w:p>
    <w:p w:rsidR="00B644C3" w:rsidRPr="006159A2" w:rsidRDefault="00E0710A" w:rsidP="00A04376">
      <w:r>
        <w:rPr>
          <w:noProof/>
          <w:lang w:eastAsia="en-US"/>
        </w:rPr>
        <w:drawing>
          <wp:inline distT="0" distB="0" distL="0" distR="0">
            <wp:extent cx="6120765" cy="2927350"/>
            <wp:effectExtent l="19050" t="0" r="0" b="0"/>
            <wp:docPr id="1" name="Bild 52" descr="Beschreibung: Scenario_HILLS_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Beschreibung: Scenario_HILLS_AE3"/>
                    <pic:cNvPicPr>
                      <a:picLocks noChangeAspect="1" noChangeArrowheads="1"/>
                    </pic:cNvPicPr>
                  </pic:nvPicPr>
                  <pic:blipFill>
                    <a:blip r:embed="rId8"/>
                    <a:srcRect/>
                    <a:stretch>
                      <a:fillRect/>
                    </a:stretch>
                  </pic:blipFill>
                  <pic:spPr bwMode="auto">
                    <a:xfrm>
                      <a:off x="0" y="0"/>
                      <a:ext cx="6120765" cy="2927350"/>
                    </a:xfrm>
                    <a:prstGeom prst="rect">
                      <a:avLst/>
                    </a:prstGeom>
                    <a:noFill/>
                    <a:ln w="9525">
                      <a:noFill/>
                      <a:miter lim="800000"/>
                      <a:headEnd/>
                      <a:tailEnd/>
                    </a:ln>
                  </pic:spPr>
                </pic:pic>
              </a:graphicData>
            </a:graphic>
          </wp:inline>
        </w:drawing>
      </w:r>
    </w:p>
    <w:p w:rsidR="00EB7BF2" w:rsidRPr="006159A2" w:rsidRDefault="00EB7BF2" w:rsidP="00EB7BF2">
      <w:pPr>
        <w:pStyle w:val="figlegend"/>
        <w:tabs>
          <w:tab w:val="left" w:pos="993"/>
        </w:tabs>
        <w:rPr>
          <w:lang w:val="en-GB"/>
        </w:rPr>
      </w:pPr>
      <w:r w:rsidRPr="006159A2">
        <w:rPr>
          <w:b/>
          <w:lang w:val="en-GB"/>
        </w:rPr>
        <w:t>Fig. S</w:t>
      </w:r>
      <w:r w:rsidR="00CF0DDB" w:rsidRPr="006159A2">
        <w:rPr>
          <w:b/>
          <w:lang w:val="en-GB"/>
        </w:rPr>
        <w:t>1</w:t>
      </w:r>
      <w:r w:rsidRPr="006159A2">
        <w:rPr>
          <w:lang w:val="en-GB"/>
        </w:rPr>
        <w:tab/>
        <w:t>Schematic illustration of the used SPACCIM scenario</w:t>
      </w:r>
    </w:p>
    <w:p w:rsidR="00DD66E3" w:rsidRPr="006159A2" w:rsidRDefault="00DD66E3" w:rsidP="00DD66E3"/>
    <w:p w:rsidR="00BA7025" w:rsidRPr="006159A2" w:rsidRDefault="00E0710A" w:rsidP="00BA7025">
      <w:pPr>
        <w:jc w:val="center"/>
      </w:pPr>
      <w:r>
        <w:rPr>
          <w:noProof/>
          <w:lang w:eastAsia="en-US"/>
        </w:rPr>
        <w:drawing>
          <wp:inline distT="0" distB="0" distL="0" distR="0">
            <wp:extent cx="5206365" cy="3705225"/>
            <wp:effectExtent l="19050" t="0" r="0" b="0"/>
            <wp:docPr id="2" name="Picture 2" descr="LWC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Cevolution"/>
                    <pic:cNvPicPr>
                      <a:picLocks noChangeAspect="1" noChangeArrowheads="1"/>
                    </pic:cNvPicPr>
                  </pic:nvPicPr>
                  <pic:blipFill>
                    <a:blip r:embed="rId9"/>
                    <a:srcRect t="6644" b="6918"/>
                    <a:stretch>
                      <a:fillRect/>
                    </a:stretch>
                  </pic:blipFill>
                  <pic:spPr bwMode="auto">
                    <a:xfrm>
                      <a:off x="0" y="0"/>
                      <a:ext cx="5206365" cy="3705225"/>
                    </a:xfrm>
                    <a:prstGeom prst="rect">
                      <a:avLst/>
                    </a:prstGeom>
                    <a:noFill/>
                    <a:ln w="9525">
                      <a:noFill/>
                      <a:miter lim="800000"/>
                      <a:headEnd/>
                      <a:tailEnd/>
                    </a:ln>
                  </pic:spPr>
                </pic:pic>
              </a:graphicData>
            </a:graphic>
          </wp:inline>
        </w:drawing>
      </w:r>
    </w:p>
    <w:p w:rsidR="00784335" w:rsidRPr="006159A2" w:rsidRDefault="00BA7025" w:rsidP="00784335">
      <w:pPr>
        <w:widowControl w:val="0"/>
        <w:overflowPunct/>
        <w:jc w:val="both"/>
        <w:textAlignment w:val="auto"/>
        <w:rPr>
          <w:szCs w:val="24"/>
          <w:lang w:val="en-GB"/>
        </w:rPr>
      </w:pPr>
      <w:r w:rsidRPr="006159A2">
        <w:rPr>
          <w:b/>
          <w:lang w:val="en-GB"/>
        </w:rPr>
        <w:t>Fig. S2</w:t>
      </w:r>
      <w:r w:rsidR="00DD66E3" w:rsidRPr="006159A2">
        <w:rPr>
          <w:b/>
          <w:lang w:val="en-GB"/>
        </w:rPr>
        <w:tab/>
      </w:r>
      <w:r w:rsidRPr="006159A2">
        <w:rPr>
          <w:lang w:val="en-GB"/>
        </w:rPr>
        <w:tab/>
      </w:r>
      <w:r w:rsidRPr="006159A2">
        <w:rPr>
          <w:lang w:val="de-DE"/>
        </w:rPr>
        <w:t xml:space="preserve">Size-resolved temporal evolution of the liquid water content in </w:t>
      </w:r>
      <w:r w:rsidR="00EE15EC">
        <w:rPr>
          <w:lang w:val="de-DE"/>
        </w:rPr>
        <w:t>g</w:t>
      </w:r>
      <w:r w:rsidRPr="006159A2">
        <w:rPr>
          <w:vertAlign w:val="subscript"/>
          <w:lang w:val="de-DE"/>
        </w:rPr>
        <w:t>(aq)</w:t>
      </w:r>
      <w:r w:rsidR="00EE15EC">
        <w:rPr>
          <w:lang w:val="de-DE"/>
        </w:rPr>
        <w:t xml:space="preserve"> </w:t>
      </w:r>
      <w:r w:rsidRPr="006159A2">
        <w:rPr>
          <w:lang w:val="de-DE"/>
        </w:rPr>
        <w:t>m</w:t>
      </w:r>
      <w:r w:rsidRPr="006159A2">
        <w:rPr>
          <w:vertAlign w:val="superscript"/>
          <w:lang w:val="de-DE"/>
        </w:rPr>
        <w:t>-3</w:t>
      </w:r>
      <w:r w:rsidRPr="006159A2">
        <w:rPr>
          <w:vertAlign w:val="subscript"/>
          <w:lang w:val="de-DE"/>
        </w:rPr>
        <w:t>(air)</w:t>
      </w:r>
      <w:r w:rsidR="00EE15EC">
        <w:rPr>
          <w:lang w:val="de-DE"/>
        </w:rPr>
        <w:t xml:space="preserve"> </w:t>
      </w:r>
      <w:r w:rsidRPr="006159A2">
        <w:rPr>
          <w:lang w:val="de-DE"/>
        </w:rPr>
        <w:t>(urban scenario, total LWC = 5*10</w:t>
      </w:r>
      <w:r w:rsidRPr="006159A2">
        <w:rPr>
          <w:vertAlign w:val="superscript"/>
          <w:lang w:val="de-DE"/>
        </w:rPr>
        <w:t>-</w:t>
      </w:r>
      <w:r w:rsidR="00EE15EC">
        <w:rPr>
          <w:vertAlign w:val="superscript"/>
          <w:lang w:val="de-DE"/>
        </w:rPr>
        <w:t>1</w:t>
      </w:r>
      <w:r w:rsidRPr="006159A2">
        <w:rPr>
          <w:lang w:val="de-DE"/>
        </w:rPr>
        <w:t xml:space="preserve"> </w:t>
      </w:r>
      <w:r w:rsidR="00EE15EC">
        <w:rPr>
          <w:lang w:val="de-DE"/>
        </w:rPr>
        <w:t>g</w:t>
      </w:r>
      <w:r w:rsidRPr="006159A2">
        <w:rPr>
          <w:vertAlign w:val="subscript"/>
          <w:lang w:val="de-DE"/>
        </w:rPr>
        <w:t>(aq)</w:t>
      </w:r>
      <w:r w:rsidR="00EE15EC">
        <w:rPr>
          <w:lang w:val="de-DE"/>
        </w:rPr>
        <w:t xml:space="preserve"> </w:t>
      </w:r>
      <w:r w:rsidRPr="006159A2">
        <w:rPr>
          <w:lang w:val="de-DE"/>
        </w:rPr>
        <w:t>m</w:t>
      </w:r>
      <w:r w:rsidRPr="006159A2">
        <w:rPr>
          <w:vertAlign w:val="superscript"/>
          <w:lang w:val="de-DE"/>
        </w:rPr>
        <w:t>-3</w:t>
      </w:r>
      <w:r w:rsidRPr="006159A2">
        <w:rPr>
          <w:vertAlign w:val="subscript"/>
          <w:lang w:val="de-DE"/>
        </w:rPr>
        <w:t>(air)</w:t>
      </w:r>
      <w:r w:rsidRPr="006159A2">
        <w:rPr>
          <w:lang w:val="de-DE"/>
        </w:rPr>
        <w:t>)</w:t>
      </w:r>
      <w:r w:rsidR="00784335" w:rsidRPr="006159A2">
        <w:rPr>
          <w:szCs w:val="24"/>
          <w:lang w:val="en-GB"/>
        </w:rPr>
        <w:t xml:space="preserve"> </w:t>
      </w:r>
    </w:p>
    <w:p w:rsidR="00784335" w:rsidRPr="006159A2" w:rsidRDefault="00784335" w:rsidP="00784335">
      <w:pPr>
        <w:widowControl w:val="0"/>
        <w:overflowPunct/>
        <w:jc w:val="both"/>
        <w:textAlignment w:val="auto"/>
        <w:rPr>
          <w:szCs w:val="24"/>
          <w:lang w:val="en-GB"/>
        </w:rPr>
      </w:pPr>
    </w:p>
    <w:p w:rsidR="00784335" w:rsidRPr="006159A2" w:rsidRDefault="00784335" w:rsidP="00784335">
      <w:pPr>
        <w:widowControl w:val="0"/>
        <w:overflowPunct/>
        <w:jc w:val="both"/>
        <w:textAlignment w:val="auto"/>
        <w:rPr>
          <w:lang w:val="en-GB"/>
        </w:rPr>
      </w:pPr>
      <w:r w:rsidRPr="006159A2">
        <w:rPr>
          <w:szCs w:val="24"/>
          <w:lang w:val="en-GB"/>
        </w:rPr>
        <w:lastRenderedPageBreak/>
        <w:t xml:space="preserve">Microphysical conditions (size-resolved LWC conditions) along the modelled trajectory are shown in Fig. S2 for better understanding of the applied meteorological scenario and the presented plots in paper. In Fig. S2, the modelled LWC (urban case) as a function of the travelling time and the mean initial particle size are depicted. The LWC is increased each 12 hours by about 5 orders of magnitude according to the cloud formation in all three chemical scenarios reaching a total LWC of about 0.5 </w:t>
      </w:r>
      <w:r w:rsidR="00EE15EC">
        <w:rPr>
          <w:szCs w:val="24"/>
          <w:lang w:val="en-GB"/>
        </w:rPr>
        <w:t>g</w:t>
      </w:r>
      <w:r w:rsidRPr="006159A2">
        <w:rPr>
          <w:szCs w:val="24"/>
          <w:lang w:val="en-GB"/>
        </w:rPr>
        <w:t xml:space="preserve"> m</w:t>
      </w:r>
      <w:r w:rsidRPr="006159A2">
        <w:rPr>
          <w:szCs w:val="24"/>
          <w:vertAlign w:val="superscript"/>
          <w:lang w:val="en-GB"/>
        </w:rPr>
        <w:t>-3</w:t>
      </w:r>
      <w:r w:rsidRPr="006159A2">
        <w:rPr>
          <w:szCs w:val="24"/>
          <w:lang w:val="en-GB"/>
        </w:rPr>
        <w:t>. However, the droplet resistance time of the different CCN classes is different. Smaller activated CCN classes can also evaporate somewhat earlier than the others due to the decreasing water vapour saturation with increasing cloud lifetime.</w:t>
      </w:r>
    </w:p>
    <w:p w:rsidR="00BA7025" w:rsidRPr="006159A2" w:rsidRDefault="00BA7025" w:rsidP="00BA7025">
      <w:pPr>
        <w:pStyle w:val="figlegend"/>
        <w:tabs>
          <w:tab w:val="left" w:pos="993"/>
        </w:tabs>
        <w:ind w:left="993" w:hanging="993"/>
        <w:rPr>
          <w:lang w:val="en-GB"/>
        </w:rPr>
      </w:pPr>
    </w:p>
    <w:p w:rsidR="00CF0DDB" w:rsidRPr="006159A2" w:rsidRDefault="00CF0DDB" w:rsidP="00CF0DDB">
      <w:pPr>
        <w:pStyle w:val="Heading1"/>
        <w:rPr>
          <w:rStyle w:val="Strong"/>
          <w:b/>
        </w:rPr>
      </w:pPr>
      <w:r w:rsidRPr="006159A2">
        <w:rPr>
          <w:rStyle w:val="Strong"/>
          <w:b/>
        </w:rPr>
        <w:lastRenderedPageBreak/>
        <w:t>B. Material to section 3.1</w:t>
      </w:r>
    </w:p>
    <w:p w:rsidR="00DE5A80" w:rsidRPr="006159A2" w:rsidRDefault="00E0710A" w:rsidP="00DE5A80">
      <w:pPr>
        <w:jc w:val="center"/>
        <w:rPr>
          <w:lang w:val="fr-FR"/>
        </w:rPr>
      </w:pPr>
      <w:r>
        <w:rPr>
          <w:noProof/>
          <w:lang w:eastAsia="en-US"/>
        </w:rPr>
        <w:drawing>
          <wp:inline distT="0" distB="0" distL="0" distR="0">
            <wp:extent cx="4360545" cy="3609975"/>
            <wp:effectExtent l="19050" t="0" r="1905" b="0"/>
            <wp:docPr id="3"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
                    <pic:cNvPicPr>
                      <a:picLocks noChangeAspect="1" noChangeArrowheads="1"/>
                    </pic:cNvPicPr>
                  </pic:nvPicPr>
                  <pic:blipFill>
                    <a:blip r:embed="rId10"/>
                    <a:srcRect/>
                    <a:stretch>
                      <a:fillRect/>
                    </a:stretch>
                  </pic:blipFill>
                  <pic:spPr bwMode="auto">
                    <a:xfrm>
                      <a:off x="0" y="0"/>
                      <a:ext cx="4360545" cy="3609975"/>
                    </a:xfrm>
                    <a:prstGeom prst="rect">
                      <a:avLst/>
                    </a:prstGeom>
                    <a:noFill/>
                    <a:ln w="9525">
                      <a:noFill/>
                      <a:miter lim="800000"/>
                      <a:headEnd/>
                      <a:tailEnd/>
                    </a:ln>
                  </pic:spPr>
                </pic:pic>
              </a:graphicData>
            </a:graphic>
          </wp:inline>
        </w:drawing>
      </w:r>
      <w:r w:rsidR="00DE5A80" w:rsidRPr="006159A2">
        <w:rPr>
          <w:lang w:val="fr-FR"/>
        </w:rPr>
        <w:br/>
      </w:r>
      <w:r>
        <w:rPr>
          <w:noProof/>
          <w:lang w:eastAsia="en-US"/>
        </w:rPr>
        <w:drawing>
          <wp:inline distT="0" distB="0" distL="0" distR="0">
            <wp:extent cx="4094480" cy="3371215"/>
            <wp:effectExtent l="19050" t="0" r="1270" b="0"/>
            <wp:docPr id="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pic:cNvPicPr>
                      <a:picLocks noChangeAspect="1" noChangeArrowheads="1"/>
                    </pic:cNvPicPr>
                  </pic:nvPicPr>
                  <pic:blipFill>
                    <a:blip r:embed="rId11"/>
                    <a:srcRect/>
                    <a:stretch>
                      <a:fillRect/>
                    </a:stretch>
                  </pic:blipFill>
                  <pic:spPr bwMode="auto">
                    <a:xfrm>
                      <a:off x="0" y="0"/>
                      <a:ext cx="4094480" cy="3371215"/>
                    </a:xfrm>
                    <a:prstGeom prst="rect">
                      <a:avLst/>
                    </a:prstGeom>
                    <a:noFill/>
                    <a:ln w="9525">
                      <a:noFill/>
                      <a:miter lim="800000"/>
                      <a:headEnd/>
                      <a:tailEnd/>
                    </a:ln>
                  </pic:spPr>
                </pic:pic>
              </a:graphicData>
            </a:graphic>
          </wp:inline>
        </w:drawing>
      </w:r>
    </w:p>
    <w:p w:rsidR="00DE5A80" w:rsidRPr="006159A2" w:rsidRDefault="00DE5A80" w:rsidP="00DE5A80">
      <w:pPr>
        <w:pStyle w:val="figlegend"/>
        <w:tabs>
          <w:tab w:val="left" w:pos="993"/>
        </w:tabs>
        <w:rPr>
          <w:lang w:val="en-GB"/>
        </w:rPr>
      </w:pPr>
      <w:r w:rsidRPr="006159A2">
        <w:rPr>
          <w:b/>
          <w:lang w:val="en-GB"/>
        </w:rPr>
        <w:t>Fig. S</w:t>
      </w:r>
      <w:r w:rsidR="00CF0DDB" w:rsidRPr="006159A2">
        <w:rPr>
          <w:b/>
          <w:lang w:val="en-GB"/>
        </w:rPr>
        <w:t>3</w:t>
      </w:r>
      <w:r w:rsidRPr="006159A2">
        <w:rPr>
          <w:lang w:val="en-GB"/>
        </w:rPr>
        <w:tab/>
        <w:t>Modelled spectral pH value (coloured scale) as a function of time and the linked dry initial particle/droplet spectra for urban (top) and remote (down) environmental conditions</w:t>
      </w:r>
    </w:p>
    <w:p w:rsidR="000A5883" w:rsidRPr="006159A2" w:rsidRDefault="000A5883" w:rsidP="000A5883">
      <w:pPr>
        <w:rPr>
          <w:lang w:val="en-GB"/>
        </w:rPr>
      </w:pPr>
    </w:p>
    <w:p w:rsidR="00A04376" w:rsidRPr="006159A2" w:rsidRDefault="00A04376" w:rsidP="00CF0DDB">
      <w:pPr>
        <w:pStyle w:val="Heading1"/>
      </w:pPr>
      <w:r w:rsidRPr="006159A2">
        <w:rPr>
          <w:lang w:val="en-GB"/>
        </w:rPr>
        <w:br w:type="page"/>
      </w:r>
      <w:r w:rsidR="00CF0DDB" w:rsidRPr="006159A2">
        <w:lastRenderedPageBreak/>
        <w:t>C</w:t>
      </w:r>
      <w:r w:rsidRPr="006159A2">
        <w:t>. Material to section </w:t>
      </w:r>
      <w:r w:rsidR="00CF0DDB" w:rsidRPr="006159A2">
        <w:t>3.2</w:t>
      </w:r>
    </w:p>
    <w:p w:rsidR="003A45ED" w:rsidRPr="006159A2" w:rsidRDefault="003A45ED" w:rsidP="003A45ED">
      <w:pPr>
        <w:jc w:val="both"/>
        <w:rPr>
          <w:i/>
          <w:lang w:val="en-GB"/>
        </w:rPr>
      </w:pPr>
      <w:r w:rsidRPr="006159A2">
        <w:rPr>
          <w:i/>
          <w:lang w:val="en-GB"/>
        </w:rPr>
        <w:t>Diurnal profiles of the aqueous OH concentration and their interpretation</w:t>
      </w:r>
    </w:p>
    <w:p w:rsidR="003A45ED" w:rsidRPr="006159A2" w:rsidRDefault="003A45ED" w:rsidP="003A45ED">
      <w:pPr>
        <w:jc w:val="both"/>
        <w:rPr>
          <w:lang w:val="en-GB"/>
        </w:rPr>
      </w:pPr>
      <w:r w:rsidRPr="006159A2">
        <w:rPr>
          <w:lang w:val="en-GB"/>
        </w:rPr>
        <w:t>The diurnal profile of OH is also reflected in the aqueous phase (see Fig. 1</w:t>
      </w:r>
      <w:r w:rsidRPr="006159A2">
        <w:rPr>
          <w:u w:color="FF0000"/>
          <w:lang w:val="en-GB"/>
        </w:rPr>
        <w:t>)</w:t>
      </w:r>
      <w:r w:rsidRPr="006159A2">
        <w:rPr>
          <w:lang w:val="en-GB"/>
        </w:rPr>
        <w:t>. Fig. 1 shows the aqueous concentration of OH for the urban and remote scenario in mol L</w:t>
      </w:r>
      <w:r w:rsidRPr="006159A2">
        <w:rPr>
          <w:vertAlign w:val="superscript"/>
          <w:lang w:val="en-GB"/>
        </w:rPr>
        <w:noBreakHyphen/>
        <w:t>1</w:t>
      </w:r>
      <w:r w:rsidRPr="006159A2">
        <w:rPr>
          <w:lang w:val="en-GB"/>
        </w:rPr>
        <w:t>. The aqueous</w:t>
      </w:r>
      <w:r w:rsidRPr="006159A2">
        <w:rPr>
          <w:lang w:val="en-GB"/>
        </w:rPr>
        <w:noBreakHyphen/>
        <w:t>phase concentration depends on both the available water, i.e. on the microphysical conditions, and on the chemical sinks as well as sources of OH. Aqueous daytime OH concentrations reach values of about 6.0 × 10</w:t>
      </w:r>
      <w:r w:rsidRPr="006159A2">
        <w:rPr>
          <w:vertAlign w:val="superscript"/>
          <w:lang w:val="en-GB"/>
        </w:rPr>
        <w:noBreakHyphen/>
        <w:t>14</w:t>
      </w:r>
      <w:r w:rsidRPr="006159A2">
        <w:rPr>
          <w:lang w:val="en-GB"/>
        </w:rPr>
        <w:t xml:space="preserve"> and 1.0 × 10</w:t>
      </w:r>
      <w:r w:rsidRPr="006159A2">
        <w:rPr>
          <w:vertAlign w:val="superscript"/>
          <w:lang w:val="en-GB"/>
        </w:rPr>
        <w:noBreakHyphen/>
        <w:t>14</w:t>
      </w:r>
      <w:r w:rsidRPr="006159A2">
        <w:rPr>
          <w:lang w:val="en-GB"/>
        </w:rPr>
        <w:t xml:space="preserve"> mol L</w:t>
      </w:r>
      <w:r w:rsidRPr="006159A2">
        <w:rPr>
          <w:vertAlign w:val="superscript"/>
          <w:lang w:val="en-GB"/>
        </w:rPr>
        <w:noBreakHyphen/>
        <w:t>1</w:t>
      </w:r>
      <w:r w:rsidRPr="006159A2">
        <w:rPr>
          <w:lang w:val="en-GB"/>
        </w:rPr>
        <w:t xml:space="preserve"> in the cloud droplets for the remote and urban scenario, respectively. Fig. 1</w:t>
      </w:r>
      <w:r w:rsidRPr="006159A2">
        <w:rPr>
          <w:u w:color="FF0000"/>
          <w:lang w:val="en-GB"/>
        </w:rPr>
        <w:t xml:space="preserve"> reveals</w:t>
      </w:r>
      <w:r w:rsidR="00387C72" w:rsidRPr="006159A2">
        <w:rPr>
          <w:u w:color="FF0000"/>
          <w:lang w:val="en-GB"/>
        </w:rPr>
        <w:t xml:space="preserve"> that</w:t>
      </w:r>
      <w:r w:rsidRPr="006159A2">
        <w:rPr>
          <w:lang w:val="en-GB"/>
        </w:rPr>
        <w:t xml:space="preserve"> the concentration difference between deliquescent particles and cloud droplets is only in the range of about two orders of magnitude</w:t>
      </w:r>
      <w:r w:rsidR="00387C72" w:rsidRPr="006159A2">
        <w:rPr>
          <w:lang w:val="en-GB"/>
        </w:rPr>
        <w:t>.</w:t>
      </w:r>
      <w:r w:rsidRPr="006159A2">
        <w:rPr>
          <w:lang w:val="en-GB"/>
        </w:rPr>
        <w:t xml:space="preserve"> Th</w:t>
      </w:r>
      <w:r w:rsidR="00387C72" w:rsidRPr="006159A2">
        <w:rPr>
          <w:lang w:val="en-GB"/>
        </w:rPr>
        <w:t>e</w:t>
      </w:r>
      <w:r w:rsidRPr="006159A2">
        <w:rPr>
          <w:lang w:val="en-GB"/>
        </w:rPr>
        <w:t xml:space="preserve"> solution effect is more dominant in the night-time clouds, while in</w:t>
      </w:r>
      <w:r w:rsidRPr="006159A2">
        <w:rPr>
          <w:lang w:val="en-GB"/>
        </w:rPr>
        <w:noBreakHyphen/>
        <w:t>situ sources of OH act more effectively under daytime conditions (see Fig. 2).</w:t>
      </w:r>
    </w:p>
    <w:p w:rsidR="003A45ED" w:rsidRPr="006159A2" w:rsidRDefault="003A45ED" w:rsidP="003A45ED">
      <w:pPr>
        <w:jc w:val="both"/>
        <w:rPr>
          <w:lang w:val="en-GB"/>
        </w:rPr>
      </w:pPr>
      <w:r w:rsidRPr="006159A2">
        <w:rPr>
          <w:lang w:val="en-GB"/>
        </w:rPr>
        <w:t>The lower OH concentrations in the urban case result from the larger sinks under polluted conditions. The corresponding night-time cloud concentrations are about one order of magnitude lower. For both scenarios, a reduced aqueous OH budget can mostly be observed after the cloud evaporation reflecting the effective oxidation within the clouds. However, the OH level increases much faster to the concentration level before the cloud formation under remote daytime conditions. This is related to the increased aqueous OH formation by the iron Fenton reaction under deliquescent particle conditions directly after the cloud evaporation. Due to the efficient formation of H</w:t>
      </w:r>
      <w:r w:rsidRPr="006159A2">
        <w:rPr>
          <w:vertAlign w:val="subscript"/>
          <w:lang w:val="en-GB"/>
        </w:rPr>
        <w:t>2</w:t>
      </w:r>
      <w:r w:rsidRPr="006159A2">
        <w:rPr>
          <w:lang w:val="en-GB"/>
        </w:rPr>
        <w:t>O</w:t>
      </w:r>
      <w:r w:rsidRPr="006159A2">
        <w:rPr>
          <w:vertAlign w:val="subscript"/>
          <w:lang w:val="en-GB"/>
        </w:rPr>
        <w:t>2</w:t>
      </w:r>
      <w:r w:rsidR="00AD6743" w:rsidRPr="006159A2">
        <w:rPr>
          <w:lang w:val="en-GB"/>
        </w:rPr>
        <w:t xml:space="preserve"> </w:t>
      </w:r>
      <w:r w:rsidRPr="006159A2">
        <w:rPr>
          <w:lang w:val="en-GB"/>
        </w:rPr>
        <w:t xml:space="preserve">under remote daytime cloud conditions </w:t>
      </w:r>
      <w:r w:rsidR="00AD6743" w:rsidRPr="006159A2">
        <w:rPr>
          <w:lang w:val="en-GB"/>
        </w:rPr>
        <w:t>(mainly by the reaction of reactions of Cu</w:t>
      </w:r>
      <w:r w:rsidR="00AD6743" w:rsidRPr="006159A2">
        <w:rPr>
          <w:vertAlign w:val="superscript"/>
          <w:lang w:val="en-GB"/>
        </w:rPr>
        <w:t>+</w:t>
      </w:r>
      <w:r w:rsidR="00AD6743" w:rsidRPr="006159A2">
        <w:rPr>
          <w:lang w:val="en-GB"/>
        </w:rPr>
        <w:t>/Fe</w:t>
      </w:r>
      <w:r w:rsidR="00AD6743" w:rsidRPr="006159A2">
        <w:rPr>
          <w:vertAlign w:val="superscript"/>
          <w:lang w:val="en-GB"/>
        </w:rPr>
        <w:t>2+</w:t>
      </w:r>
      <w:r w:rsidR="00AD6743" w:rsidRPr="006159A2">
        <w:rPr>
          <w:lang w:val="en-GB"/>
        </w:rPr>
        <w:t xml:space="preserve"> with O</w:t>
      </w:r>
      <w:r w:rsidR="00AD6743" w:rsidRPr="006159A2">
        <w:rPr>
          <w:vertAlign w:val="subscript"/>
          <w:lang w:val="en-GB"/>
        </w:rPr>
        <w:t>2</w:t>
      </w:r>
      <w:r w:rsidR="00AD6743" w:rsidRPr="006159A2">
        <w:rPr>
          <w:vertAlign w:val="superscript"/>
          <w:lang w:val="en-GB"/>
        </w:rPr>
        <w:t>-</w:t>
      </w:r>
      <w:r w:rsidR="00AD6743" w:rsidRPr="006159A2">
        <w:rPr>
          <w:lang w:val="en-GB"/>
        </w:rPr>
        <w:t xml:space="preserve">) </w:t>
      </w:r>
      <w:r w:rsidRPr="006159A2">
        <w:rPr>
          <w:lang w:val="en-GB"/>
        </w:rPr>
        <w:t>and the corresponding concentration increase (see section 3.</w:t>
      </w:r>
      <w:r w:rsidR="00AD6743" w:rsidRPr="006159A2">
        <w:rPr>
          <w:lang w:val="en-GB"/>
        </w:rPr>
        <w:t>3</w:t>
      </w:r>
      <w:r w:rsidRPr="006159A2">
        <w:rPr>
          <w:lang w:val="en-GB"/>
        </w:rPr>
        <w:t>), the OH concentration reaches subsequently slightly higher concentrations compared to the level before the cloud passage. This formation is caused by an efficient TMI chemistry present in the cloud droplets, which is able to compensate the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loss through the sulphur(IV) oxidation (see section 3.</w:t>
      </w:r>
      <w:r w:rsidR="00AD6743" w:rsidRPr="006159A2">
        <w:rPr>
          <w:lang w:val="en-GB"/>
        </w:rPr>
        <w:t>3</w:t>
      </w:r>
      <w:r w:rsidRPr="006159A2">
        <w:rPr>
          <w:lang w:val="en-GB"/>
        </w:rPr>
        <w:t>). A different behaviour can be observed just after the first cloud event, where the aqueous</w:t>
      </w:r>
      <w:r w:rsidRPr="006159A2">
        <w:rPr>
          <w:lang w:val="en-GB"/>
        </w:rPr>
        <w:noBreakHyphen/>
        <w:t>phase OH concentration is lowered in both cases. The first cloud is more influenced by the initialised sulphur(IV) concentration level compared to the subsequent clouds. Due to the higher sulphur(IV) levels during the first cloud, the sulphur(IV) oxidation leads to reduced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concentrations and finally reduced OH level during the non-cloud conditions afterwards. Additionally, the substantial lowering of the OH concentrations in the aqueous particles after the night-time clouds is attributed to the in-cloud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consumption through the S(IV) to S(VI) conversion and the less effective aqueous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formation pathways (see Fig. S10 and Fig. 8). </w:t>
      </w:r>
    </w:p>
    <w:p w:rsidR="003A45ED" w:rsidRPr="006159A2" w:rsidRDefault="003A45ED" w:rsidP="003A45ED">
      <w:pPr>
        <w:jc w:val="both"/>
        <w:rPr>
          <w:lang w:val="en-GB"/>
        </w:rPr>
      </w:pPr>
      <w:r w:rsidRPr="006159A2">
        <w:rPr>
          <w:lang w:val="en-GB"/>
        </w:rPr>
        <w:t>Particularly for the urban case, the close link between the aqueous H</w:t>
      </w:r>
      <w:r w:rsidRPr="006159A2">
        <w:rPr>
          <w:vertAlign w:val="subscript"/>
          <w:lang w:val="en-GB"/>
        </w:rPr>
        <w:t>2</w:t>
      </w:r>
      <w:r w:rsidRPr="006159A2">
        <w:rPr>
          <w:lang w:val="en-GB"/>
        </w:rPr>
        <w:t>O</w:t>
      </w:r>
      <w:r w:rsidRPr="006159A2">
        <w:rPr>
          <w:vertAlign w:val="subscript"/>
          <w:lang w:val="en-GB"/>
        </w:rPr>
        <w:t xml:space="preserve">2 </w:t>
      </w:r>
      <w:r w:rsidRPr="006159A2">
        <w:rPr>
          <w:lang w:val="en-GB"/>
        </w:rPr>
        <w:t>and the OH radical concentration is also reflected in their concentration-time profiles (cp. Fig. 1 and Fig. 8). For the urban case, the comparison of the aqueous</w:t>
      </w:r>
      <w:r w:rsidRPr="006159A2">
        <w:rPr>
          <w:lang w:val="en-GB"/>
        </w:rPr>
        <w:noBreakHyphen/>
        <w:t xml:space="preserve">phase concentration-time profiles of both compounds </w:t>
      </w:r>
      <w:r w:rsidRPr="006159A2">
        <w:rPr>
          <w:lang w:val="en-GB"/>
        </w:rPr>
        <w:lastRenderedPageBreak/>
        <w:t>reveals rather good congruencies apart f</w:t>
      </w:r>
      <w:r w:rsidR="00731457" w:rsidRPr="006159A2">
        <w:rPr>
          <w:lang w:val="en-GB"/>
        </w:rPr>
        <w:t>ro</w:t>
      </w:r>
      <w:r w:rsidRPr="006159A2">
        <w:rPr>
          <w:lang w:val="en-GB"/>
        </w:rPr>
        <w:t xml:space="preserve">m the first 11 hours of the simulation. The correlation plot (see Fig. S6) reveals just a small spreading of the data around the red regression line and the high correlation coefficient reflects the close link between them. </w:t>
      </w:r>
    </w:p>
    <w:p w:rsidR="003A45ED" w:rsidRPr="006159A2" w:rsidRDefault="003A45ED" w:rsidP="003A45ED">
      <w:pPr>
        <w:jc w:val="both"/>
        <w:rPr>
          <w:lang w:val="en-GB"/>
        </w:rPr>
      </w:pPr>
      <w:r w:rsidRPr="006159A2">
        <w:rPr>
          <w:lang w:val="en-GB"/>
        </w:rPr>
        <w:t>During the first day, the urban OH concentrations are additionally affected by the chemical radical interactions with halogen anions, which represent the most important sink in the deliquescent particles, within the first 11 hours of the simulation. Reactions with organic compounds become dominant after the first cloud passage according to the increasing organic content during the simulation.</w:t>
      </w:r>
    </w:p>
    <w:p w:rsidR="003A45ED" w:rsidRPr="006159A2" w:rsidRDefault="003A45ED" w:rsidP="003A45ED">
      <w:pPr>
        <w:jc w:val="both"/>
        <w:rPr>
          <w:lang w:val="en-GB"/>
        </w:rPr>
      </w:pPr>
      <w:r w:rsidRPr="006159A2">
        <w:rPr>
          <w:lang w:val="en-GB"/>
        </w:rPr>
        <w:t>For the remote case, the comparison of the concentration-time profiles of H</w:t>
      </w:r>
      <w:r w:rsidRPr="006159A2">
        <w:rPr>
          <w:vertAlign w:val="subscript"/>
          <w:lang w:val="en-GB"/>
        </w:rPr>
        <w:t>2</w:t>
      </w:r>
      <w:r w:rsidRPr="006159A2">
        <w:rPr>
          <w:lang w:val="en-GB"/>
        </w:rPr>
        <w:t>O</w:t>
      </w:r>
      <w:r w:rsidRPr="006159A2">
        <w:rPr>
          <w:vertAlign w:val="subscript"/>
          <w:lang w:val="en-GB"/>
        </w:rPr>
        <w:t xml:space="preserve">2 </w:t>
      </w:r>
      <w:r w:rsidRPr="006159A2">
        <w:rPr>
          <w:lang w:val="en-GB"/>
        </w:rPr>
        <w:t>and OH in the aqueous</w:t>
      </w:r>
      <w:r w:rsidRPr="006159A2">
        <w:rPr>
          <w:lang w:val="en-GB"/>
        </w:rPr>
        <w:noBreakHyphen/>
        <w:t>phase shows much lower congruencies. This fact might indicate that rather its chemical sinks than by its chemical production pathways affect the OH concentration under remote conditions. The chemical interactions of the aqueous</w:t>
      </w:r>
      <w:r w:rsidRPr="006159A2">
        <w:rPr>
          <w:lang w:val="en-GB"/>
        </w:rPr>
        <w:noBreakHyphen/>
        <w:t>phase OH radical with inorganic subsystems such as the Cl and Br chemistry are more important under remote conditions due to the lower organic content. This result implicate that also other radical subsystems are triggered by the HO</w:t>
      </w:r>
      <w:r w:rsidRPr="006159A2">
        <w:rPr>
          <w:vertAlign w:val="subscript"/>
          <w:lang w:val="en-GB"/>
        </w:rPr>
        <w:t>x</w:t>
      </w:r>
      <w:r w:rsidRPr="006159A2">
        <w:rPr>
          <w:lang w:val="en-GB"/>
        </w:rPr>
        <w:t xml:space="preserve"> regime under remote conditions. On the other hand, the urban case is characterised by higher turnovers with the organic chemistry. The so initiated organic radical chemistry leads finally to HO</w:t>
      </w:r>
      <w:r w:rsidRPr="006159A2">
        <w:rPr>
          <w:vertAlign w:val="subscript"/>
          <w:lang w:val="en-GB"/>
        </w:rPr>
        <w:t>x,y</w:t>
      </w:r>
      <w:r w:rsidRPr="006159A2">
        <w:rPr>
          <w:lang w:val="en-GB"/>
        </w:rPr>
        <w:t xml:space="preserve"> products such as HO</w:t>
      </w:r>
      <w:r w:rsidRPr="006159A2">
        <w:rPr>
          <w:vertAlign w:val="subscript"/>
          <w:lang w:val="en-GB"/>
        </w:rPr>
        <w:t>2</w:t>
      </w:r>
      <w:r w:rsidRPr="006159A2">
        <w:rPr>
          <w:lang w:val="en-GB"/>
        </w:rPr>
        <w:t>, which become recycled to OH, and therefore do not lead to a loss in the HO</w:t>
      </w:r>
      <w:r w:rsidRPr="006159A2">
        <w:rPr>
          <w:vertAlign w:val="subscript"/>
          <w:lang w:val="en-GB"/>
        </w:rPr>
        <w:t>x</w:t>
      </w:r>
      <w:r w:rsidRPr="006159A2">
        <w:rPr>
          <w:lang w:val="en-GB"/>
        </w:rPr>
        <w:t xml:space="preserve"> cycling. </w:t>
      </w:r>
    </w:p>
    <w:p w:rsidR="003A45ED" w:rsidRPr="006159A2" w:rsidRDefault="003A45ED" w:rsidP="003A45ED">
      <w:pPr>
        <w:jc w:val="both"/>
        <w:rPr>
          <w:lang w:val="en-GB"/>
        </w:rPr>
      </w:pPr>
      <w:r w:rsidRPr="006159A2">
        <w:rPr>
          <w:lang w:val="en-GB"/>
        </w:rPr>
        <w:t xml:space="preserve">The modelled in-cloud OH concentrations of the present study are much smaller compared to other former studies (see e.g. Jacob 1986; Lelieveld and Crutzen 1991; Monod and </w:t>
      </w:r>
      <w:r w:rsidRPr="006159A2">
        <w:rPr>
          <w:u w:color="FF0000"/>
          <w:lang w:val="en-GB"/>
        </w:rPr>
        <w:t>Carlier</w:t>
      </w:r>
      <w:r w:rsidRPr="006159A2">
        <w:rPr>
          <w:lang w:val="en-GB"/>
        </w:rPr>
        <w:t xml:space="preserve"> 1999; Herrmann et al. 2000), which calculated OH concentrations in the order of 10</w:t>
      </w:r>
      <w:r w:rsidRPr="006159A2">
        <w:rPr>
          <w:vertAlign w:val="superscript"/>
          <w:lang w:val="en-GB"/>
        </w:rPr>
        <w:noBreakHyphen/>
        <w:t>12</w:t>
      </w:r>
      <w:r w:rsidRPr="006159A2">
        <w:rPr>
          <w:lang w:val="en-GB"/>
        </w:rPr>
        <w:t>-10</w:t>
      </w:r>
      <w:r w:rsidRPr="006159A2">
        <w:rPr>
          <w:vertAlign w:val="superscript"/>
          <w:lang w:val="en-GB"/>
        </w:rPr>
        <w:noBreakHyphen/>
        <w:t>13</w:t>
      </w:r>
      <w:r w:rsidRPr="006159A2">
        <w:rPr>
          <w:lang w:val="en-GB"/>
        </w:rPr>
        <w:t xml:space="preserve"> mol L</w:t>
      </w:r>
      <w:r w:rsidRPr="006159A2">
        <w:rPr>
          <w:vertAlign w:val="superscript"/>
          <w:lang w:val="en-GB"/>
        </w:rPr>
        <w:noBreakHyphen/>
        <w:t>1</w:t>
      </w:r>
      <w:r w:rsidRPr="006159A2">
        <w:rPr>
          <w:lang w:val="en-GB"/>
        </w:rPr>
        <w:t xml:space="preserve">. However, the current values reflect conclusions of the former CAPRAM studies (Herrmann et al. 2005) that modelled aqueous OH concentrations decrease by considering a more complex organic chemistry. </w:t>
      </w:r>
    </w:p>
    <w:p w:rsidR="003A45ED" w:rsidRPr="006159A2" w:rsidRDefault="003A45ED" w:rsidP="003A45ED"/>
    <w:p w:rsidR="003A45ED" w:rsidRPr="006159A2" w:rsidRDefault="003A45ED" w:rsidP="003A45ED"/>
    <w:p w:rsidR="000A1845" w:rsidRPr="006159A2" w:rsidRDefault="003A45ED" w:rsidP="000A1845">
      <w:pPr>
        <w:pStyle w:val="tablelegend"/>
        <w:tabs>
          <w:tab w:val="left" w:pos="993"/>
        </w:tabs>
        <w:jc w:val="both"/>
        <w:rPr>
          <w:lang w:val="en-GB"/>
        </w:rPr>
      </w:pPr>
      <w:r w:rsidRPr="006159A2">
        <w:rPr>
          <w:sz w:val="24"/>
        </w:rPr>
        <w:br w:type="page"/>
      </w:r>
      <w:r w:rsidR="000A1845" w:rsidRPr="006159A2">
        <w:rPr>
          <w:b/>
          <w:lang w:val="en-GB"/>
        </w:rPr>
        <w:lastRenderedPageBreak/>
        <w:t>Tab. S1</w:t>
      </w:r>
      <w:bookmarkStart w:id="0" w:name="_Toc229814833"/>
      <w:r w:rsidR="000A1845" w:rsidRPr="006159A2">
        <w:rPr>
          <w:lang w:val="en-GB"/>
        </w:rPr>
        <w:tab/>
      </w:r>
      <w:r w:rsidR="000A1845" w:rsidRPr="006159A2">
        <w:t xml:space="preserve">Integrated percentage contributions of the most important OH radical sources and sink reactions for the urban case classified regarding to the different microphysical conditions during the simulation time </w:t>
      </w:r>
      <w:bookmarkEnd w:id="0"/>
      <w:r w:rsidR="000A1845" w:rsidRPr="006159A2">
        <w:t>(</w:t>
      </w:r>
      <w:r w:rsidR="000A1845" w:rsidRPr="006159A2">
        <w:rPr>
          <w:lang w:val="en-GB"/>
        </w:rPr>
        <w:t>1 = total contributions throughout the simulation time, 2 = contributions throughout all cloud events, 3/4 = contributions throughout all day/night cloud events, 5 = contribution under the deliquescent particle conditions) (only sinks and sources with a contribution larger than ±1 % presented)</w:t>
      </w:r>
    </w:p>
    <w:tbl>
      <w:tblPr>
        <w:tblW w:w="9096" w:type="dxa"/>
        <w:jc w:val="center"/>
        <w:tblLayout w:type="fixed"/>
        <w:tblLook w:val="0000"/>
      </w:tblPr>
      <w:tblGrid>
        <w:gridCol w:w="3557"/>
        <w:gridCol w:w="1107"/>
        <w:gridCol w:w="1108"/>
        <w:gridCol w:w="1108"/>
        <w:gridCol w:w="1108"/>
        <w:gridCol w:w="1108"/>
      </w:tblGrid>
      <w:tr w:rsidR="000A1845" w:rsidRPr="006159A2" w:rsidTr="000A1845">
        <w:trPr>
          <w:trHeight w:val="524"/>
          <w:tblHeader/>
          <w:jc w:val="center"/>
        </w:trPr>
        <w:tc>
          <w:tcPr>
            <w:tcW w:w="3557"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pStyle w:val="TabelleAnhang"/>
              <w:jc w:val="left"/>
              <w:rPr>
                <w:b/>
              </w:rPr>
            </w:pPr>
            <w:r w:rsidRPr="006159A2">
              <w:rPr>
                <w:b/>
              </w:rPr>
              <w:t>Reaction</w:t>
            </w:r>
          </w:p>
        </w:tc>
        <w:tc>
          <w:tcPr>
            <w:tcW w:w="1107"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1</w:t>
            </w:r>
          </w:p>
        </w:tc>
        <w:tc>
          <w:tcPr>
            <w:tcW w:w="1108"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2</w:t>
            </w:r>
          </w:p>
        </w:tc>
        <w:tc>
          <w:tcPr>
            <w:tcW w:w="1108"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3</w:t>
            </w:r>
          </w:p>
        </w:tc>
        <w:tc>
          <w:tcPr>
            <w:tcW w:w="1108"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4</w:t>
            </w:r>
          </w:p>
        </w:tc>
        <w:tc>
          <w:tcPr>
            <w:tcW w:w="1108"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5</w:t>
            </w:r>
          </w:p>
        </w:tc>
      </w:tr>
      <w:tr w:rsidR="000A1845" w:rsidRPr="006159A2" w:rsidTr="000A1845">
        <w:trPr>
          <w:trHeight w:val="255"/>
          <w:tblHeader/>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r w:rsidRPr="006159A2">
              <w:t xml:space="preserve">phase transfer: OH </w:t>
            </w:r>
            <w:r w:rsidR="00E0710A">
              <w:rPr>
                <w:noProof/>
                <w:position w:val="-14"/>
                <w:lang w:val="en-US" w:eastAsia="en-US"/>
              </w:rPr>
              <w:drawing>
                <wp:inline distT="0" distB="0" distL="0" distR="0">
                  <wp:extent cx="313690" cy="280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t>OH</w:t>
            </w:r>
            <w:r w:rsidRPr="006159A2">
              <w:rPr>
                <w:vertAlign w:val="subscript"/>
              </w:rPr>
              <w:t>(aq)</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18%</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73%</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73%</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76%</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1%</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r w:rsidRPr="006159A2">
              <w:t>Cl</w:t>
            </w:r>
            <w:r w:rsidRPr="006159A2">
              <w:rPr>
                <w:vertAlign w:val="superscript"/>
              </w:rPr>
              <w:t>-</w:t>
            </w:r>
            <w:r w:rsidRPr="006159A2">
              <w:t xml:space="preserve"> + OH </w:t>
            </w:r>
            <w:r w:rsidR="00E0710A">
              <w:rPr>
                <w:noProof/>
                <w:position w:val="-14"/>
                <w:lang w:val="en-US" w:eastAsia="en-US"/>
              </w:rPr>
              <w:drawing>
                <wp:inline distT="0" distB="0" distL="0" distR="0">
                  <wp:extent cx="313690" cy="280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t>ClOH</w:t>
            </w:r>
            <w:r w:rsidRPr="006159A2">
              <w:rPr>
                <w:vertAlign w:val="superscript"/>
              </w:rPr>
              <w:t>-</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-3%</w:t>
            </w:r>
          </w:p>
        </w:tc>
      </w:tr>
      <w:tr w:rsidR="000A1845" w:rsidRPr="006159A2" w:rsidTr="000A1845">
        <w:trPr>
          <w:trHeight w:val="389"/>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r w:rsidRPr="006159A2">
              <w:t>Br</w:t>
            </w:r>
            <w:r w:rsidRPr="006159A2">
              <w:rPr>
                <w:vertAlign w:val="superscript"/>
              </w:rPr>
              <w:t>-</w:t>
            </w:r>
            <w:r w:rsidRPr="006159A2">
              <w:t xml:space="preserve"> + OH </w:t>
            </w:r>
            <w:r w:rsidR="00E0710A">
              <w:rPr>
                <w:noProof/>
                <w:position w:val="-14"/>
                <w:lang w:val="en-US" w:eastAsia="en-US"/>
              </w:rPr>
              <w:drawing>
                <wp:inline distT="0" distB="0" distL="0" distR="0">
                  <wp:extent cx="313690" cy="280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t xml:space="preserve"> BrOH</w:t>
            </w:r>
            <w:r w:rsidRPr="006159A2">
              <w:rPr>
                <w:vertAlign w:val="superscript"/>
              </w:rPr>
              <w:t>-</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-1%</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r w:rsidRPr="006159A2">
              <w:t>FeOH</w:t>
            </w:r>
            <w:r w:rsidRPr="006159A2">
              <w:rPr>
                <w:vertAlign w:val="superscript"/>
              </w:rPr>
              <w:t>2+</w:t>
            </w:r>
            <w:r w:rsidRPr="006159A2">
              <w:t xml:space="preserve"> + hν </w:t>
            </w:r>
            <w:r w:rsidR="00E0710A">
              <w:rPr>
                <w:noProof/>
                <w:position w:val="-6"/>
                <w:lang w:val="en-US" w:eastAsia="en-US"/>
              </w:rPr>
              <w:drawing>
                <wp:inline distT="0" distB="0" distL="0" distR="0">
                  <wp:extent cx="280035" cy="170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 xml:space="preserve"> Fe</w:t>
            </w:r>
            <w:r w:rsidRPr="006159A2">
              <w:rPr>
                <w:vertAlign w:val="superscript"/>
              </w:rPr>
              <w:t>2+</w:t>
            </w:r>
            <w:r w:rsidRPr="006159A2">
              <w:t xml:space="preserve"> + OH</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7%</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7%</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rPr>
                <w:lang w:val="pt-BR"/>
              </w:rPr>
            </w:pPr>
            <w:r w:rsidRPr="006159A2">
              <w:rPr>
                <w:lang w:val="pt-BR"/>
              </w:rPr>
              <w:t>NO</w:t>
            </w:r>
            <w:r w:rsidRPr="006159A2">
              <w:rPr>
                <w:vertAlign w:val="subscript"/>
                <w:lang w:val="pt-BR"/>
              </w:rPr>
              <w:t>3</w:t>
            </w:r>
            <w:r w:rsidRPr="006159A2">
              <w:rPr>
                <w:vertAlign w:val="superscript"/>
                <w:lang w:val="pt-BR"/>
              </w:rPr>
              <w:t>-</w:t>
            </w:r>
            <w:r w:rsidRPr="006159A2">
              <w:rPr>
                <w:lang w:val="pt-BR"/>
              </w:rPr>
              <w:t xml:space="preserve"> + h</w:t>
            </w:r>
            <w:r w:rsidRPr="006159A2">
              <w:t>ν</w:t>
            </w:r>
            <w:r w:rsidRPr="006159A2">
              <w:rPr>
                <w:lang w:val="pt-BR"/>
              </w:rPr>
              <w:t xml:space="preserve"> </w:t>
            </w:r>
            <w:r w:rsidR="00E0710A">
              <w:rPr>
                <w:noProof/>
                <w:position w:val="-6"/>
                <w:lang w:val="en-US" w:eastAsia="en-US"/>
              </w:rPr>
              <w:drawing>
                <wp:inline distT="0" distB="0" distL="0" distR="0">
                  <wp:extent cx="307340" cy="184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07340" cy="184150"/>
                          </a:xfrm>
                          <a:prstGeom prst="rect">
                            <a:avLst/>
                          </a:prstGeom>
                          <a:noFill/>
                          <a:ln w="9525">
                            <a:noFill/>
                            <a:miter lim="800000"/>
                            <a:headEnd/>
                            <a:tailEnd/>
                          </a:ln>
                        </pic:spPr>
                      </pic:pic>
                    </a:graphicData>
                  </a:graphic>
                </wp:inline>
              </w:drawing>
            </w:r>
            <w:r w:rsidRPr="006159A2">
              <w:rPr>
                <w:lang w:val="pt-BR"/>
              </w:rPr>
              <w:t xml:space="preserve"> NO</w:t>
            </w:r>
            <w:r w:rsidRPr="006159A2">
              <w:rPr>
                <w:vertAlign w:val="subscript"/>
                <w:lang w:val="pt-BR"/>
              </w:rPr>
              <w:t>2</w:t>
            </w:r>
            <w:r w:rsidRPr="006159A2">
              <w:rPr>
                <w:lang w:val="pt-BR"/>
              </w:rPr>
              <w:t xml:space="preserve"> + OH + OH</w:t>
            </w:r>
            <w:r w:rsidRPr="006159A2">
              <w:rPr>
                <w:vertAlign w:val="superscript"/>
                <w:lang w:val="pt-BR"/>
              </w:rPr>
              <w:t>-</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10%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14%</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15%</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9%</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rPr>
                <w:lang w:val="pt-BR"/>
              </w:rPr>
            </w:pPr>
            <w:r w:rsidRPr="006159A2">
              <w:rPr>
                <w:lang w:val="pt-BR"/>
              </w:rPr>
              <w:t>H</w:t>
            </w:r>
            <w:r w:rsidRPr="006159A2">
              <w:rPr>
                <w:vertAlign w:val="subscript"/>
                <w:lang w:val="pt-BR"/>
              </w:rPr>
              <w:t>2</w:t>
            </w:r>
            <w:r w:rsidRPr="006159A2">
              <w:rPr>
                <w:lang w:val="pt-BR"/>
              </w:rPr>
              <w:t>O</w:t>
            </w:r>
            <w:r w:rsidRPr="006159A2">
              <w:rPr>
                <w:vertAlign w:val="subscript"/>
                <w:lang w:val="pt-BR"/>
              </w:rPr>
              <w:t>2</w:t>
            </w:r>
            <w:r w:rsidRPr="006159A2">
              <w:rPr>
                <w:lang w:val="pt-BR"/>
              </w:rPr>
              <w:t xml:space="preserve"> + Fe</w:t>
            </w:r>
            <w:r w:rsidRPr="006159A2">
              <w:rPr>
                <w:vertAlign w:val="superscript"/>
                <w:lang w:val="pt-BR"/>
              </w:rPr>
              <w:t>2+</w:t>
            </w:r>
            <w:r w:rsidRPr="006159A2">
              <w:rPr>
                <w:lang w:val="pt-BR"/>
              </w:rPr>
              <w:t xml:space="preserve"> </w:t>
            </w:r>
            <w:r w:rsidR="00E0710A">
              <w:rPr>
                <w:noProof/>
                <w:position w:val="-6"/>
                <w:lang w:val="en-US" w:eastAsia="en-US"/>
              </w:rPr>
              <w:drawing>
                <wp:inline distT="0" distB="0" distL="0" distR="0">
                  <wp:extent cx="280035" cy="170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lang w:val="pt-BR"/>
              </w:rPr>
              <w:t xml:space="preserve"> Fe</w:t>
            </w:r>
            <w:r w:rsidRPr="006159A2">
              <w:rPr>
                <w:vertAlign w:val="superscript"/>
                <w:lang w:val="pt-BR"/>
              </w:rPr>
              <w:t>3+</w:t>
            </w:r>
            <w:r w:rsidRPr="006159A2">
              <w:rPr>
                <w:lang w:val="pt-BR"/>
              </w:rPr>
              <w:t xml:space="preserve"> + OH + OH</w:t>
            </w:r>
            <w:r w:rsidRPr="006159A2">
              <w:rPr>
                <w:vertAlign w:val="superscript"/>
                <w:lang w:val="pt-BR"/>
              </w:rPr>
              <w:t>-</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67%</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1%</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1%</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87%</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rPr>
                <w:lang w:val="pt-BR"/>
              </w:rPr>
            </w:pPr>
            <w:r w:rsidRPr="006159A2">
              <w:rPr>
                <w:lang w:val="pt-BR"/>
              </w:rPr>
              <w:t>H</w:t>
            </w:r>
            <w:r w:rsidRPr="006159A2">
              <w:rPr>
                <w:vertAlign w:val="subscript"/>
                <w:lang w:val="pt-BR"/>
              </w:rPr>
              <w:t>2</w:t>
            </w:r>
            <w:r w:rsidRPr="006159A2">
              <w:rPr>
                <w:lang w:val="pt-BR"/>
              </w:rPr>
              <w:t>O</w:t>
            </w:r>
            <w:r w:rsidRPr="006159A2">
              <w:rPr>
                <w:vertAlign w:val="subscript"/>
                <w:lang w:val="pt-BR"/>
              </w:rPr>
              <w:t>2</w:t>
            </w:r>
            <w:r w:rsidRPr="006159A2">
              <w:rPr>
                <w:lang w:val="pt-BR"/>
              </w:rPr>
              <w:t xml:space="preserve"> + Cu</w:t>
            </w:r>
            <w:r w:rsidRPr="006159A2">
              <w:rPr>
                <w:vertAlign w:val="superscript"/>
                <w:lang w:val="pt-BR"/>
              </w:rPr>
              <w:t>+</w:t>
            </w:r>
            <w:r w:rsidRPr="006159A2">
              <w:rPr>
                <w:lang w:val="pt-BR"/>
              </w:rPr>
              <w:t xml:space="preserve"> </w:t>
            </w:r>
            <w:r w:rsidR="00E0710A">
              <w:rPr>
                <w:noProof/>
                <w:position w:val="-6"/>
                <w:lang w:val="en-US" w:eastAsia="en-US"/>
              </w:rPr>
              <w:drawing>
                <wp:inline distT="0" distB="0" distL="0" distR="0">
                  <wp:extent cx="280035" cy="170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lang w:val="pt-BR"/>
              </w:rPr>
              <w:t xml:space="preserve"> Cu</w:t>
            </w:r>
            <w:r w:rsidRPr="006159A2">
              <w:rPr>
                <w:vertAlign w:val="superscript"/>
                <w:lang w:val="pt-BR"/>
              </w:rPr>
              <w:t>2+</w:t>
            </w:r>
            <w:r w:rsidRPr="006159A2">
              <w:rPr>
                <w:lang w:val="pt-BR"/>
              </w:rPr>
              <w:t xml:space="preserve"> + OH + OH</w:t>
            </w:r>
            <w:r w:rsidRPr="006159A2">
              <w:rPr>
                <w:vertAlign w:val="superscript"/>
                <w:lang w:val="pt-BR"/>
              </w:rPr>
              <w:t>-</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r>
      <w:tr w:rsidR="000A1845" w:rsidRPr="006159A2" w:rsidTr="000A1845">
        <w:trPr>
          <w:trHeight w:val="255"/>
          <w:jc w:val="center"/>
        </w:trPr>
        <w:tc>
          <w:tcPr>
            <w:tcW w:w="3557" w:type="dxa"/>
            <w:tcBorders>
              <w:left w:val="nil"/>
              <w:right w:val="nil"/>
            </w:tcBorders>
            <w:shd w:val="clear" w:color="auto" w:fill="auto"/>
            <w:noWrap/>
            <w:vAlign w:val="center"/>
          </w:tcPr>
          <w:p w:rsidR="000A1845" w:rsidRPr="006159A2" w:rsidRDefault="000A1845" w:rsidP="000A1845">
            <w:pPr>
              <w:pStyle w:val="TabelleAnhang"/>
              <w:jc w:val="left"/>
            </w:pPr>
            <w:r w:rsidRPr="006159A2">
              <w:t>Cu</w:t>
            </w:r>
            <w:r w:rsidRPr="006159A2">
              <w:rPr>
                <w:vertAlign w:val="superscript"/>
              </w:rPr>
              <w:t>+</w:t>
            </w:r>
            <w:r w:rsidRPr="006159A2">
              <w:t xml:space="preserve"> + O</w:t>
            </w:r>
            <w:r w:rsidRPr="006159A2">
              <w:rPr>
                <w:vertAlign w:val="subscript"/>
              </w:rPr>
              <w:t>3</w:t>
            </w:r>
            <w:r w:rsidRPr="006159A2">
              <w:t xml:space="preserve"> </w:t>
            </w:r>
            <w:r w:rsidR="00E0710A">
              <w:rPr>
                <w:noProof/>
                <w:position w:val="-6"/>
                <w:lang w:val="en-US" w:eastAsia="en-US"/>
              </w:rPr>
              <w:drawing>
                <wp:inline distT="0" distB="0" distL="0" distR="0">
                  <wp:extent cx="273050" cy="211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73050" cy="211455"/>
                          </a:xfrm>
                          <a:prstGeom prst="rect">
                            <a:avLst/>
                          </a:prstGeom>
                          <a:noFill/>
                          <a:ln w="9525">
                            <a:noFill/>
                            <a:miter lim="800000"/>
                            <a:headEnd/>
                            <a:tailEnd/>
                          </a:ln>
                        </pic:spPr>
                      </pic:pic>
                    </a:graphicData>
                  </a:graphic>
                </wp:inline>
              </w:drawing>
            </w:r>
            <w:r w:rsidRPr="006159A2">
              <w:t xml:space="preserve"> Cu</w:t>
            </w:r>
            <w:r w:rsidRPr="006159A2">
              <w:rPr>
                <w:vertAlign w:val="superscript"/>
              </w:rPr>
              <w:t>2+</w:t>
            </w:r>
            <w:r w:rsidRPr="006159A2">
              <w:t xml:space="preserve"> + OH + O</w:t>
            </w:r>
            <w:r w:rsidRPr="006159A2">
              <w:rPr>
                <w:vertAlign w:val="subscript"/>
              </w:rPr>
              <w:t>2</w:t>
            </w:r>
            <w:r w:rsidRPr="006159A2">
              <w:t xml:space="preserve"> </w:t>
            </w:r>
          </w:p>
        </w:tc>
        <w:tc>
          <w:tcPr>
            <w:tcW w:w="1107" w:type="dxa"/>
            <w:tcBorders>
              <w:left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1%</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1%</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4%</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0%</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r w:rsidRPr="006159A2">
              <w:t>HO</w:t>
            </w:r>
            <w:r w:rsidRPr="006159A2">
              <w:rPr>
                <w:vertAlign w:val="subscript"/>
              </w:rPr>
              <w:t>3</w:t>
            </w:r>
            <w:r w:rsidRPr="006159A2">
              <w:t xml:space="preserve"> </w:t>
            </w:r>
            <w:r w:rsidR="00E0710A">
              <w:rPr>
                <w:noProof/>
                <w:position w:val="-6"/>
                <w:lang w:val="en-US" w:eastAsia="en-US"/>
              </w:rPr>
              <w:drawing>
                <wp:inline distT="0" distB="0" distL="0" distR="0">
                  <wp:extent cx="280035" cy="170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 xml:space="preserve"> OH + O</w:t>
            </w:r>
            <w:r w:rsidRPr="006159A2">
              <w:rPr>
                <w:vertAlign w:val="subscript"/>
              </w:rPr>
              <w:t>2</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1%</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4%</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3%</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14%</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r w:rsidRPr="006159A2">
              <w:t>SO</w:t>
            </w:r>
            <w:r w:rsidRPr="006159A2">
              <w:rPr>
                <w:vertAlign w:val="subscript"/>
              </w:rPr>
              <w:t>4</w:t>
            </w:r>
            <w:r w:rsidRPr="006159A2">
              <w:rPr>
                <w:vertAlign w:val="superscript"/>
              </w:rPr>
              <w:t>-</w:t>
            </w:r>
            <w:r w:rsidRPr="006159A2">
              <w:t xml:space="preserve"> + H</w:t>
            </w:r>
            <w:r w:rsidRPr="006159A2">
              <w:rPr>
                <w:vertAlign w:val="subscript"/>
              </w:rPr>
              <w:t>2</w:t>
            </w:r>
            <w:r w:rsidRPr="006159A2">
              <w:t xml:space="preserve">O </w:t>
            </w:r>
            <w:r w:rsidR="00E0710A">
              <w:rPr>
                <w:noProof/>
                <w:position w:val="-6"/>
                <w:lang w:val="en-US" w:eastAsia="en-US"/>
              </w:rPr>
              <w:drawing>
                <wp:inline distT="0" distB="0" distL="0" distR="0">
                  <wp:extent cx="280035" cy="1708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 xml:space="preserve"> SO</w:t>
            </w:r>
            <w:r w:rsidRPr="006159A2">
              <w:rPr>
                <w:vertAlign w:val="subscript"/>
              </w:rPr>
              <w:t>4</w:t>
            </w:r>
            <w:r w:rsidRPr="006159A2">
              <w:rPr>
                <w:vertAlign w:val="superscript"/>
              </w:rPr>
              <w:t>2-</w:t>
            </w:r>
            <w:r w:rsidRPr="006159A2">
              <w:t xml:space="preserve"> + OH + H</w:t>
            </w:r>
            <w:r w:rsidRPr="006159A2">
              <w:rPr>
                <w:vertAlign w:val="superscript"/>
              </w:rPr>
              <w:t>+</w:t>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2%</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w:t>
            </w:r>
          </w:p>
        </w:tc>
      </w:tr>
      <w:tr w:rsidR="000A1845" w:rsidRPr="006159A2" w:rsidTr="000A1845">
        <w:trPr>
          <w:trHeight w:val="255"/>
          <w:jc w:val="center"/>
        </w:trPr>
        <w:tc>
          <w:tcPr>
            <w:tcW w:w="3557" w:type="dxa"/>
            <w:tcBorders>
              <w:left w:val="nil"/>
              <w:bottom w:val="nil"/>
              <w:right w:val="nil"/>
            </w:tcBorders>
            <w:shd w:val="clear" w:color="auto" w:fill="auto"/>
            <w:noWrap/>
            <w:vAlign w:val="center"/>
          </w:tcPr>
          <w:p w:rsidR="000A1845" w:rsidRPr="006159A2" w:rsidRDefault="000A1845" w:rsidP="000A1845">
            <w:pPr>
              <w:pStyle w:val="TabelleAnhang"/>
              <w:jc w:val="left"/>
            </w:pPr>
            <w:r w:rsidRPr="006159A2">
              <w:t>OH + HSO</w:t>
            </w:r>
            <w:r w:rsidRPr="006159A2">
              <w:rPr>
                <w:vertAlign w:val="subscript"/>
              </w:rPr>
              <w:t>4</w:t>
            </w:r>
            <w:r w:rsidRPr="006159A2">
              <w:rPr>
                <w:vertAlign w:val="superscript"/>
              </w:rPr>
              <w:t>-</w:t>
            </w:r>
            <w:r w:rsidR="00E0710A">
              <w:rPr>
                <w:noProof/>
                <w:position w:val="-6"/>
                <w:lang w:val="en-US" w:eastAsia="en-US"/>
              </w:rPr>
              <w:drawing>
                <wp:inline distT="0" distB="0" distL="0" distR="0">
                  <wp:extent cx="280035" cy="170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left w:val="nil"/>
              <w:bottom w:val="nil"/>
              <w:right w:val="nil"/>
            </w:tcBorders>
            <w:shd w:val="clear" w:color="auto" w:fill="auto"/>
            <w:noWrap/>
            <w:vAlign w:val="center"/>
          </w:tcPr>
          <w:p w:rsidR="000A1845" w:rsidRPr="006159A2" w:rsidRDefault="000A1845" w:rsidP="000A1845">
            <w:pPr>
              <w:pStyle w:val="TabelleAnhang"/>
            </w:pPr>
            <w:r w:rsidRPr="006159A2">
              <w:t>-3.1%</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left w:val="nil"/>
              <w:bottom w:val="nil"/>
              <w:right w:val="nil"/>
            </w:tcBorders>
            <w:shd w:val="clear" w:color="auto" w:fill="auto"/>
            <w:noWrap/>
            <w:vAlign w:val="center"/>
          </w:tcPr>
          <w:p w:rsidR="000A1845" w:rsidRPr="006159A2" w:rsidRDefault="000A1845" w:rsidP="000A1845">
            <w:pPr>
              <w:pStyle w:val="TabelleAnhang"/>
            </w:pPr>
            <w:r w:rsidRPr="006159A2">
              <w:t>-4.1%</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Fe</w:t>
            </w:r>
            <w:r w:rsidRPr="006159A2">
              <w:rPr>
                <w:vertAlign w:val="superscript"/>
              </w:rPr>
              <w:t>2+</w:t>
            </w:r>
            <w:r w:rsidR="00E0710A">
              <w:rPr>
                <w:noProof/>
                <w:position w:val="-6"/>
                <w:lang w:val="en-US" w:eastAsia="en-US"/>
              </w:rPr>
              <w:drawing>
                <wp:inline distT="0" distB="0" distL="0" distR="0">
                  <wp:extent cx="280035" cy="1708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-8.4%</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-10.9%</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2</w:t>
            </w:r>
            <w:r w:rsidRPr="006159A2">
              <w:t>(OH)</w:t>
            </w:r>
            <w:r w:rsidRPr="006159A2">
              <w:rPr>
                <w:vertAlign w:val="subscript"/>
              </w:rPr>
              <w:t>2</w:t>
            </w:r>
            <w:r w:rsidR="00E0710A">
              <w:rPr>
                <w:noProof/>
                <w:position w:val="-6"/>
                <w:lang w:val="en-US" w:eastAsia="en-US"/>
              </w:rPr>
              <w:drawing>
                <wp:inline distT="0" distB="0" distL="0" distR="0">
                  <wp:extent cx="280035" cy="170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-7.7%</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-28.6%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-28.6%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-29.6%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-1.3%</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HCOO</w:t>
            </w:r>
            <w:r w:rsidRPr="006159A2">
              <w:rPr>
                <w:vertAlign w:val="superscript"/>
              </w:rPr>
              <w:t>-</w:t>
            </w:r>
            <w:r w:rsidR="00E0710A">
              <w:rPr>
                <w:noProof/>
                <w:position w:val="-6"/>
                <w:lang w:val="en-US" w:eastAsia="en-US"/>
              </w:rPr>
              <w:drawing>
                <wp:inline distT="0" distB="0" distL="0" distR="0">
                  <wp:extent cx="280035" cy="170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-0.4%</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-1.5%</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2</w:t>
            </w:r>
            <w:r w:rsidRPr="006159A2">
              <w:t>OHCH</w:t>
            </w:r>
            <w:r w:rsidRPr="006159A2">
              <w:rPr>
                <w:vertAlign w:val="subscript"/>
              </w:rPr>
              <w:t>2</w:t>
            </w:r>
            <w:r w:rsidRPr="006159A2">
              <w:t>OH</w:t>
            </w:r>
            <w:r w:rsidR="00E0710A">
              <w:rPr>
                <w:noProof/>
                <w:position w:val="-6"/>
                <w:lang w:val="en-US" w:eastAsia="en-US"/>
              </w:rPr>
              <w:drawing>
                <wp:inline distT="0" distB="0" distL="0" distR="0">
                  <wp:extent cx="280035" cy="170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-14.1%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-10.8%</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-10.7%</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-12.3%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-15.1%</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3</w:t>
            </w:r>
            <w:r w:rsidRPr="006159A2">
              <w:t>CH</w:t>
            </w:r>
            <w:r w:rsidRPr="006159A2">
              <w:rPr>
                <w:vertAlign w:val="subscript"/>
              </w:rPr>
              <w:t>2</w:t>
            </w:r>
            <w:r w:rsidRPr="006159A2">
              <w:t>OH</w:t>
            </w:r>
            <w:r w:rsidR="00E0710A">
              <w:rPr>
                <w:noProof/>
                <w:position w:val="-6"/>
                <w:lang w:val="en-US" w:eastAsia="en-US"/>
              </w:rPr>
              <w:drawing>
                <wp:inline distT="0" distB="0" distL="0" distR="0">
                  <wp:extent cx="280035" cy="1708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-0.9%</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-3.4%</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-3.8%</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-0.1%</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CH(OH)</w:t>
            </w:r>
            <w:r w:rsidRPr="006159A2">
              <w:rPr>
                <w:vertAlign w:val="subscript"/>
              </w:rPr>
              <w:t>2</w:t>
            </w:r>
            <w:r w:rsidRPr="006159A2">
              <w:t>CH(OH)</w:t>
            </w:r>
            <w:r w:rsidRPr="006159A2">
              <w:rPr>
                <w:vertAlign w:val="subscript"/>
              </w:rPr>
              <w:t>2</w:t>
            </w:r>
            <w:r w:rsidR="00E0710A">
              <w:rPr>
                <w:noProof/>
                <w:position w:val="-6"/>
                <w:lang w:val="en-US" w:eastAsia="en-US"/>
              </w:rPr>
              <w:drawing>
                <wp:inline distT="0" distB="0" distL="0" distR="0">
                  <wp:extent cx="280035" cy="170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-4.5%</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-13.1%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-13.0%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-13.8%</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-1.8%</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CH(OH)</w:t>
            </w:r>
            <w:r w:rsidRPr="006159A2">
              <w:rPr>
                <w:vertAlign w:val="subscript"/>
              </w:rPr>
              <w:t>2</w:t>
            </w:r>
            <w:r w:rsidRPr="006159A2">
              <w:t>COOH</w:t>
            </w:r>
            <w:r w:rsidR="00E0710A">
              <w:rPr>
                <w:noProof/>
                <w:position w:val="-6"/>
                <w:lang w:val="en-US" w:eastAsia="en-US"/>
              </w:rPr>
              <w:drawing>
                <wp:inline distT="0" distB="0" distL="0" distR="0">
                  <wp:extent cx="280035" cy="1708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-9.4%</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-0.4%</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-12.2%</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3</w:t>
            </w:r>
            <w:r w:rsidRPr="006159A2">
              <w:t>C(O)CH(OH)</w:t>
            </w:r>
            <w:r w:rsidRPr="006159A2">
              <w:rPr>
                <w:vertAlign w:val="subscript"/>
              </w:rPr>
              <w:t>2</w:t>
            </w:r>
            <w:r w:rsidR="00E0710A">
              <w:rPr>
                <w:noProof/>
                <w:position w:val="-6"/>
                <w:lang w:val="en-US" w:eastAsia="en-US"/>
              </w:rPr>
              <w:drawing>
                <wp:inline distT="0" distB="0" distL="0" distR="0">
                  <wp:extent cx="280035" cy="170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-1.2%</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-5.5%</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3</w:t>
            </w:r>
            <w:r w:rsidRPr="006159A2">
              <w:t>C(O)COOH</w:t>
            </w:r>
            <w:r w:rsidR="00E0710A">
              <w:rPr>
                <w:noProof/>
                <w:position w:val="-6"/>
                <w:lang w:val="en-US" w:eastAsia="en-US"/>
              </w:rPr>
              <w:drawing>
                <wp:inline distT="0" distB="0" distL="0" distR="0">
                  <wp:extent cx="280035" cy="170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-2.8%</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-3.6%</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3</w:t>
            </w:r>
            <w:r w:rsidRPr="006159A2">
              <w:t>C(O)COO</w:t>
            </w:r>
            <w:r w:rsidRPr="006159A2">
              <w:rPr>
                <w:vertAlign w:val="superscript"/>
              </w:rPr>
              <w:t>-</w:t>
            </w:r>
            <w:r w:rsidR="00E0710A">
              <w:rPr>
                <w:noProof/>
                <w:position w:val="-6"/>
                <w:lang w:val="en-US" w:eastAsia="en-US"/>
              </w:rPr>
              <w:drawing>
                <wp:inline distT="0" distB="0" distL="0" distR="0">
                  <wp:extent cx="280035" cy="1708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-2.7%</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2</w:t>
            </w:r>
            <w:r w:rsidRPr="006159A2">
              <w:t>OHC(O)COOH</w:t>
            </w:r>
            <w:r w:rsidR="00E0710A">
              <w:rPr>
                <w:noProof/>
                <w:position w:val="-6"/>
                <w:lang w:val="en-US" w:eastAsia="en-US"/>
              </w:rPr>
              <w:drawing>
                <wp:inline distT="0" distB="0" distL="0" distR="0">
                  <wp:extent cx="280035" cy="170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-1.9%</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-2.5%</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CHOC(O)COOH</w:t>
            </w:r>
            <w:r w:rsidR="00E0710A">
              <w:rPr>
                <w:noProof/>
                <w:position w:val="-6"/>
                <w:lang w:val="en-US" w:eastAsia="en-US"/>
              </w:rPr>
              <w:drawing>
                <wp:inline distT="0" distB="0" distL="0" distR="0">
                  <wp:extent cx="280035" cy="170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-4.7%</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CHOC(O)COO</w:t>
            </w:r>
            <w:r w:rsidRPr="006159A2">
              <w:rPr>
                <w:vertAlign w:val="superscript"/>
              </w:rPr>
              <w:t>-</w:t>
            </w:r>
            <w:r w:rsidR="00E0710A">
              <w:rPr>
                <w:noProof/>
                <w:position w:val="-6"/>
                <w:lang w:val="en-US" w:eastAsia="en-US"/>
              </w:rPr>
              <w:drawing>
                <wp:inline distT="0" distB="0" distL="0" distR="0">
                  <wp:extent cx="280035" cy="1708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-1.7%</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OHCCHCHCHO</w:t>
            </w:r>
            <w:r w:rsidR="00E0710A">
              <w:rPr>
                <w:noProof/>
                <w:position w:val="-6"/>
                <w:lang w:val="en-US" w:eastAsia="en-US"/>
              </w:rPr>
              <w:drawing>
                <wp:inline distT="0" distB="0" distL="0" distR="0">
                  <wp:extent cx="280035" cy="1708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-10.5%</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-31.1%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-31.3%</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-28.1%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-4.2%</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OHCCH(OH)COCHO</w:t>
            </w:r>
            <w:r w:rsidR="00E0710A">
              <w:rPr>
                <w:noProof/>
                <w:position w:val="-6"/>
                <w:lang w:val="en-US" w:eastAsia="en-US"/>
              </w:rPr>
              <w:drawing>
                <wp:inline distT="0" distB="0" distL="0" distR="0">
                  <wp:extent cx="280035" cy="1708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-0.7%</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-6.4%</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HOOCCH(OH)COCHO</w:t>
            </w:r>
            <w:r w:rsidR="00E0710A">
              <w:rPr>
                <w:noProof/>
                <w:position w:val="-6"/>
                <w:lang w:val="en-US" w:eastAsia="en-US"/>
              </w:rPr>
              <w:drawing>
                <wp:inline distT="0" distB="0" distL="0" distR="0">
                  <wp:extent cx="280035" cy="1708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-5.0%</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-6.4%</w:t>
            </w:r>
          </w:p>
        </w:tc>
      </w:tr>
      <w:tr w:rsidR="000A1845" w:rsidRPr="006159A2" w:rsidTr="000A1845">
        <w:trPr>
          <w:trHeight w:val="255"/>
          <w:jc w:val="center"/>
        </w:trPr>
        <w:tc>
          <w:tcPr>
            <w:tcW w:w="3557"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OHCCH(OH)CH(OH)CHO</w:t>
            </w:r>
            <w:r w:rsidR="00E0710A">
              <w:rPr>
                <w:noProof/>
                <w:position w:val="-6"/>
                <w:lang w:val="en-US" w:eastAsia="en-US"/>
              </w:rPr>
              <w:drawing>
                <wp:inline distT="0" distB="0" distL="0" distR="0">
                  <wp:extent cx="280035" cy="1708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-5.1%</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-0.6%</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-0.7%</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8"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-6.4%</w:t>
            </w:r>
          </w:p>
        </w:tc>
      </w:tr>
      <w:tr w:rsidR="000A1845" w:rsidRPr="006159A2" w:rsidTr="000A1845">
        <w:trPr>
          <w:trHeight w:val="255"/>
          <w:jc w:val="center"/>
        </w:trPr>
        <w:tc>
          <w:tcPr>
            <w:tcW w:w="3557" w:type="dxa"/>
            <w:tcBorders>
              <w:top w:val="nil"/>
              <w:left w:val="nil"/>
              <w:right w:val="nil"/>
            </w:tcBorders>
            <w:shd w:val="clear" w:color="auto" w:fill="auto"/>
            <w:noWrap/>
            <w:vAlign w:val="center"/>
          </w:tcPr>
          <w:p w:rsidR="000A1845" w:rsidRPr="006159A2" w:rsidRDefault="000A1845" w:rsidP="000A1845">
            <w:pPr>
              <w:pStyle w:val="TabelleAnhang"/>
              <w:jc w:val="left"/>
            </w:pPr>
            <w:r w:rsidRPr="006159A2">
              <w:t>OH + HOOCCH(OH)CH(OH)CHO</w:t>
            </w:r>
            <w:r w:rsidR="00E0710A">
              <w:rPr>
                <w:noProof/>
                <w:position w:val="-6"/>
                <w:lang w:val="en-US" w:eastAsia="en-US"/>
              </w:rPr>
              <w:drawing>
                <wp:inline distT="0" distB="0" distL="0" distR="0">
                  <wp:extent cx="280035" cy="1708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top w:val="nil"/>
              <w:left w:val="nil"/>
              <w:right w:val="nil"/>
            </w:tcBorders>
            <w:shd w:val="clear" w:color="auto" w:fill="auto"/>
            <w:noWrap/>
            <w:vAlign w:val="center"/>
          </w:tcPr>
          <w:p w:rsidR="000A1845" w:rsidRPr="006159A2" w:rsidRDefault="000A1845" w:rsidP="000A1845">
            <w:pPr>
              <w:pStyle w:val="TabelleAnhang"/>
            </w:pPr>
            <w:r w:rsidRPr="006159A2">
              <w:t>-4.8%</w:t>
            </w:r>
          </w:p>
        </w:tc>
        <w:tc>
          <w:tcPr>
            <w:tcW w:w="1108" w:type="dxa"/>
            <w:tcBorders>
              <w:top w:val="nil"/>
              <w:left w:val="nil"/>
              <w:right w:val="nil"/>
            </w:tcBorders>
            <w:shd w:val="clear" w:color="auto" w:fill="auto"/>
            <w:noWrap/>
            <w:vAlign w:val="center"/>
          </w:tcPr>
          <w:p w:rsidR="000A1845" w:rsidRPr="006159A2" w:rsidRDefault="000A1845" w:rsidP="000A1845">
            <w:pPr>
              <w:pStyle w:val="TabelleAnhang"/>
            </w:pPr>
            <w:r w:rsidRPr="006159A2">
              <w:t>-0.1%</w:t>
            </w:r>
          </w:p>
        </w:tc>
        <w:tc>
          <w:tcPr>
            <w:tcW w:w="1108" w:type="dxa"/>
            <w:tcBorders>
              <w:top w:val="nil"/>
              <w:left w:val="nil"/>
              <w:right w:val="nil"/>
            </w:tcBorders>
            <w:shd w:val="clear" w:color="auto" w:fill="auto"/>
            <w:noWrap/>
            <w:vAlign w:val="center"/>
          </w:tcPr>
          <w:p w:rsidR="000A1845" w:rsidRPr="006159A2" w:rsidRDefault="000A1845" w:rsidP="000A1845">
            <w:pPr>
              <w:pStyle w:val="TabelleAnhang"/>
            </w:pPr>
            <w:r w:rsidRPr="006159A2">
              <w:t>-0.1%</w:t>
            </w:r>
          </w:p>
        </w:tc>
        <w:tc>
          <w:tcPr>
            <w:tcW w:w="1108" w:type="dxa"/>
            <w:tcBorders>
              <w:top w:val="nil"/>
              <w:left w:val="nil"/>
              <w:right w:val="nil"/>
            </w:tcBorders>
            <w:shd w:val="clear" w:color="auto" w:fill="auto"/>
            <w:noWrap/>
            <w:vAlign w:val="center"/>
          </w:tcPr>
          <w:p w:rsidR="000A1845" w:rsidRPr="006159A2" w:rsidRDefault="000A1845" w:rsidP="000A1845">
            <w:pPr>
              <w:pStyle w:val="TabelleAnhang"/>
            </w:pPr>
            <w:r w:rsidRPr="006159A2">
              <w:t>-0.1%</w:t>
            </w:r>
          </w:p>
        </w:tc>
        <w:tc>
          <w:tcPr>
            <w:tcW w:w="1108" w:type="dxa"/>
            <w:tcBorders>
              <w:top w:val="nil"/>
              <w:left w:val="nil"/>
              <w:right w:val="nil"/>
            </w:tcBorders>
            <w:shd w:val="clear" w:color="auto" w:fill="auto"/>
            <w:noWrap/>
            <w:vAlign w:val="center"/>
          </w:tcPr>
          <w:p w:rsidR="000A1845" w:rsidRPr="006159A2" w:rsidRDefault="000A1845" w:rsidP="000A1845">
            <w:pPr>
              <w:pStyle w:val="TabelleAnhang"/>
            </w:pPr>
            <w:r w:rsidRPr="006159A2">
              <w:t>-6.2%</w:t>
            </w:r>
          </w:p>
        </w:tc>
      </w:tr>
      <w:tr w:rsidR="000A1845" w:rsidRPr="006159A2" w:rsidTr="000A1845">
        <w:trPr>
          <w:trHeight w:val="255"/>
          <w:jc w:val="center"/>
        </w:trPr>
        <w:tc>
          <w:tcPr>
            <w:tcW w:w="3557" w:type="dxa"/>
            <w:tcBorders>
              <w:left w:val="nil"/>
              <w:right w:val="nil"/>
            </w:tcBorders>
            <w:shd w:val="clear" w:color="auto" w:fill="auto"/>
            <w:noWrap/>
            <w:vAlign w:val="center"/>
          </w:tcPr>
          <w:p w:rsidR="000A1845" w:rsidRPr="006159A2" w:rsidRDefault="000A1845" w:rsidP="000A1845">
            <w:pPr>
              <w:pStyle w:val="TabelleAnhang"/>
              <w:jc w:val="left"/>
            </w:pPr>
            <w:r w:rsidRPr="006159A2">
              <w:t>OH + CHOCH(OH)COOH</w:t>
            </w:r>
            <w:r w:rsidR="00E0710A">
              <w:rPr>
                <w:noProof/>
                <w:position w:val="-6"/>
                <w:lang w:val="en-US" w:eastAsia="en-US"/>
              </w:rPr>
              <w:drawing>
                <wp:inline distT="0" distB="0" distL="0" distR="0">
                  <wp:extent cx="280035" cy="1708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7" w:type="dxa"/>
            <w:tcBorders>
              <w:left w:val="nil"/>
              <w:right w:val="nil"/>
            </w:tcBorders>
            <w:shd w:val="clear" w:color="auto" w:fill="auto"/>
            <w:noWrap/>
            <w:vAlign w:val="center"/>
          </w:tcPr>
          <w:p w:rsidR="000A1845" w:rsidRPr="006159A2" w:rsidRDefault="000A1845" w:rsidP="000A1845">
            <w:pPr>
              <w:pStyle w:val="TabelleAnhang"/>
            </w:pPr>
            <w:r w:rsidRPr="006159A2">
              <w:t>-1.7%</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0.0%</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-0.1%</w:t>
            </w:r>
          </w:p>
        </w:tc>
        <w:tc>
          <w:tcPr>
            <w:tcW w:w="1108" w:type="dxa"/>
            <w:tcBorders>
              <w:left w:val="nil"/>
              <w:right w:val="nil"/>
            </w:tcBorders>
            <w:shd w:val="clear" w:color="auto" w:fill="auto"/>
            <w:noWrap/>
            <w:vAlign w:val="center"/>
          </w:tcPr>
          <w:p w:rsidR="000A1845" w:rsidRPr="006159A2" w:rsidRDefault="000A1845" w:rsidP="000A1845">
            <w:pPr>
              <w:pStyle w:val="TabelleAnhang"/>
            </w:pPr>
            <w:r w:rsidRPr="006159A2">
              <w:t>-2.2%</w:t>
            </w:r>
          </w:p>
        </w:tc>
      </w:tr>
      <w:tr w:rsidR="000A1845" w:rsidRPr="006159A2" w:rsidTr="000A1845">
        <w:trPr>
          <w:trHeight w:val="255"/>
          <w:jc w:val="center"/>
        </w:trPr>
        <w:tc>
          <w:tcPr>
            <w:tcW w:w="3557" w:type="dxa"/>
            <w:tcBorders>
              <w:left w:val="nil"/>
              <w:bottom w:val="single" w:sz="4" w:space="0" w:color="auto"/>
              <w:right w:val="nil"/>
            </w:tcBorders>
            <w:shd w:val="clear" w:color="auto" w:fill="auto"/>
            <w:noWrap/>
            <w:vAlign w:val="center"/>
          </w:tcPr>
          <w:p w:rsidR="000A1845" w:rsidRPr="006159A2" w:rsidRDefault="000A1845" w:rsidP="000A1845">
            <w:pPr>
              <w:pStyle w:val="TabelleAnhang"/>
              <w:jc w:val="left"/>
            </w:pPr>
          </w:p>
        </w:tc>
        <w:tc>
          <w:tcPr>
            <w:tcW w:w="1107"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p>
        </w:tc>
      </w:tr>
      <w:tr w:rsidR="000A1845" w:rsidRPr="006159A2" w:rsidTr="000A1845">
        <w:trPr>
          <w:trHeight w:val="255"/>
          <w:jc w:val="center"/>
        </w:trPr>
        <w:tc>
          <w:tcPr>
            <w:tcW w:w="3557" w:type="dxa"/>
            <w:tcBorders>
              <w:top w:val="single" w:sz="4" w:space="0" w:color="auto"/>
              <w:left w:val="nil"/>
              <w:right w:val="nil"/>
            </w:tcBorders>
            <w:shd w:val="clear" w:color="auto" w:fill="auto"/>
            <w:noWrap/>
            <w:vAlign w:val="center"/>
          </w:tcPr>
          <w:p w:rsidR="000A1845" w:rsidRPr="006159A2" w:rsidRDefault="000A1845" w:rsidP="000A1845">
            <w:pPr>
              <w:pStyle w:val="TabelleAnhang"/>
              <w:jc w:val="left"/>
            </w:pPr>
            <w:r w:rsidRPr="006159A2">
              <w:t>Total sources</w:t>
            </w:r>
          </w:p>
        </w:tc>
        <w:tc>
          <w:tcPr>
            <w:tcW w:w="1107" w:type="dxa"/>
            <w:tcBorders>
              <w:top w:val="single" w:sz="4" w:space="0" w:color="auto"/>
              <w:left w:val="nil"/>
              <w:right w:val="nil"/>
            </w:tcBorders>
            <w:shd w:val="clear" w:color="auto" w:fill="auto"/>
            <w:noWrap/>
          </w:tcPr>
          <w:p w:rsidR="000A1845" w:rsidRPr="006159A2" w:rsidRDefault="000A1845" w:rsidP="000A1845">
            <w:pPr>
              <w:pStyle w:val="TabelleAnhang"/>
            </w:pPr>
            <w:r w:rsidRPr="006159A2">
              <w:t>100%</w:t>
            </w:r>
          </w:p>
        </w:tc>
        <w:tc>
          <w:tcPr>
            <w:tcW w:w="1108" w:type="dxa"/>
            <w:tcBorders>
              <w:top w:val="single" w:sz="4" w:space="0" w:color="auto"/>
              <w:left w:val="nil"/>
              <w:right w:val="nil"/>
            </w:tcBorders>
            <w:shd w:val="clear" w:color="auto" w:fill="auto"/>
            <w:noWrap/>
          </w:tcPr>
          <w:p w:rsidR="000A1845" w:rsidRPr="006159A2" w:rsidRDefault="000A1845" w:rsidP="000A1845">
            <w:pPr>
              <w:pStyle w:val="TabelleAnhang"/>
            </w:pPr>
            <w:r w:rsidRPr="006159A2">
              <w:t>99%</w:t>
            </w:r>
          </w:p>
        </w:tc>
        <w:tc>
          <w:tcPr>
            <w:tcW w:w="1108" w:type="dxa"/>
            <w:tcBorders>
              <w:top w:val="single" w:sz="4" w:space="0" w:color="auto"/>
              <w:left w:val="nil"/>
              <w:right w:val="nil"/>
            </w:tcBorders>
            <w:shd w:val="clear" w:color="auto" w:fill="auto"/>
            <w:noWrap/>
          </w:tcPr>
          <w:p w:rsidR="000A1845" w:rsidRPr="006159A2" w:rsidRDefault="000A1845" w:rsidP="000A1845">
            <w:pPr>
              <w:pStyle w:val="TabelleAnhang"/>
            </w:pPr>
            <w:r w:rsidRPr="006159A2">
              <w:t>99%</w:t>
            </w:r>
          </w:p>
        </w:tc>
        <w:tc>
          <w:tcPr>
            <w:tcW w:w="1108" w:type="dxa"/>
            <w:tcBorders>
              <w:top w:val="single" w:sz="4" w:space="0" w:color="auto"/>
              <w:left w:val="nil"/>
              <w:right w:val="nil"/>
            </w:tcBorders>
            <w:shd w:val="clear" w:color="auto" w:fill="auto"/>
            <w:noWrap/>
          </w:tcPr>
          <w:p w:rsidR="000A1845" w:rsidRPr="006159A2" w:rsidRDefault="000A1845" w:rsidP="000A1845">
            <w:pPr>
              <w:pStyle w:val="TabelleAnhang"/>
            </w:pPr>
            <w:r w:rsidRPr="006159A2">
              <w:t>100%</w:t>
            </w:r>
          </w:p>
        </w:tc>
        <w:tc>
          <w:tcPr>
            <w:tcW w:w="1108" w:type="dxa"/>
            <w:tcBorders>
              <w:top w:val="single" w:sz="4" w:space="0" w:color="auto"/>
              <w:left w:val="nil"/>
              <w:right w:val="nil"/>
            </w:tcBorders>
            <w:shd w:val="clear" w:color="auto" w:fill="auto"/>
            <w:noWrap/>
          </w:tcPr>
          <w:p w:rsidR="000A1845" w:rsidRPr="006159A2" w:rsidRDefault="000A1845" w:rsidP="000A1845">
            <w:pPr>
              <w:pStyle w:val="TabelleAnhang"/>
            </w:pPr>
            <w:r w:rsidRPr="006159A2">
              <w:t>100%</w:t>
            </w:r>
          </w:p>
        </w:tc>
      </w:tr>
      <w:tr w:rsidR="000A1845" w:rsidRPr="006159A2" w:rsidTr="000A1845">
        <w:trPr>
          <w:trHeight w:val="255"/>
          <w:jc w:val="center"/>
        </w:trPr>
        <w:tc>
          <w:tcPr>
            <w:tcW w:w="3557" w:type="dxa"/>
            <w:tcBorders>
              <w:left w:val="nil"/>
              <w:bottom w:val="single" w:sz="4" w:space="0" w:color="auto"/>
              <w:right w:val="nil"/>
            </w:tcBorders>
            <w:shd w:val="clear" w:color="auto" w:fill="auto"/>
            <w:noWrap/>
            <w:vAlign w:val="center"/>
          </w:tcPr>
          <w:p w:rsidR="000A1845" w:rsidRPr="006159A2" w:rsidRDefault="000A1845" w:rsidP="000A1845">
            <w:pPr>
              <w:pStyle w:val="TabelleAnhang"/>
              <w:jc w:val="left"/>
            </w:pPr>
            <w:r w:rsidRPr="006159A2">
              <w:t>Total sinks</w:t>
            </w:r>
          </w:p>
        </w:tc>
        <w:tc>
          <w:tcPr>
            <w:tcW w:w="1107"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-93%</w:t>
            </w: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-96%</w:t>
            </w: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-96%</w:t>
            </w: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-97%</w:t>
            </w:r>
          </w:p>
        </w:tc>
        <w:tc>
          <w:tcPr>
            <w:tcW w:w="1108"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-98%</w:t>
            </w:r>
          </w:p>
        </w:tc>
      </w:tr>
    </w:tbl>
    <w:p w:rsidR="000A1845" w:rsidRPr="006159A2" w:rsidRDefault="000A1845" w:rsidP="000A1845">
      <w:pPr>
        <w:rPr>
          <w:lang w:val="en-GB"/>
        </w:rPr>
      </w:pPr>
    </w:p>
    <w:p w:rsidR="000A1845" w:rsidRPr="006159A2" w:rsidRDefault="00C92AAF" w:rsidP="000A1845">
      <w:pPr>
        <w:pStyle w:val="tablelegend"/>
        <w:tabs>
          <w:tab w:val="left" w:pos="993"/>
        </w:tabs>
        <w:jc w:val="both"/>
        <w:rPr>
          <w:lang w:val="en-GB"/>
        </w:rPr>
      </w:pPr>
      <w:r w:rsidRPr="006159A2">
        <w:rPr>
          <w:sz w:val="24"/>
          <w:lang w:val="en-GB"/>
        </w:rPr>
        <w:br w:type="page"/>
      </w:r>
      <w:r w:rsidR="000A1845" w:rsidRPr="006159A2">
        <w:rPr>
          <w:b/>
          <w:lang w:val="en-GB"/>
        </w:rPr>
        <w:lastRenderedPageBreak/>
        <w:t>Tab. S2</w:t>
      </w:r>
      <w:r w:rsidR="000A1845" w:rsidRPr="006159A2">
        <w:rPr>
          <w:lang w:val="en-GB"/>
        </w:rPr>
        <w:tab/>
      </w:r>
      <w:bookmarkStart w:id="1" w:name="_Toc229814888"/>
      <w:r w:rsidR="000A1845" w:rsidRPr="006159A2">
        <w:t>Integrated percentage contributions of the most important OH radical sink and source reactions for the remote case classified regarding to the different microphysical conditions during the simulation time (</w:t>
      </w:r>
      <w:r w:rsidR="000A1845" w:rsidRPr="006159A2">
        <w:rPr>
          <w:lang w:val="en-GB"/>
        </w:rPr>
        <w:t>1 = total contributions throughout the simulation time, 2 = contributions throughout all cloud events, 3/4 = contributions throughout all day/night cloud events, 5 = contribution under the deliquescent particle conditions) (only sinks and sources with a contribution larger than ±1 % presented)</w:t>
      </w:r>
      <w:bookmarkEnd w:id="1"/>
    </w:p>
    <w:tbl>
      <w:tblPr>
        <w:tblW w:w="9085" w:type="dxa"/>
        <w:jc w:val="center"/>
        <w:tblLayout w:type="fixed"/>
        <w:tblLook w:val="0000"/>
      </w:tblPr>
      <w:tblGrid>
        <w:gridCol w:w="3551"/>
        <w:gridCol w:w="1106"/>
        <w:gridCol w:w="1107"/>
        <w:gridCol w:w="1107"/>
        <w:gridCol w:w="1107"/>
        <w:gridCol w:w="1107"/>
      </w:tblGrid>
      <w:tr w:rsidR="000A1845" w:rsidRPr="006159A2" w:rsidTr="000A1845">
        <w:trPr>
          <w:trHeight w:val="524"/>
          <w:jc w:val="center"/>
        </w:trPr>
        <w:tc>
          <w:tcPr>
            <w:tcW w:w="3551"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pStyle w:val="TabelleAnhang"/>
              <w:jc w:val="left"/>
              <w:rPr>
                <w:b/>
              </w:rPr>
            </w:pPr>
            <w:r w:rsidRPr="006159A2">
              <w:rPr>
                <w:b/>
              </w:rPr>
              <w:t>Reaction</w:t>
            </w:r>
          </w:p>
        </w:tc>
        <w:tc>
          <w:tcPr>
            <w:tcW w:w="1106"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1</w:t>
            </w:r>
          </w:p>
        </w:tc>
        <w:tc>
          <w:tcPr>
            <w:tcW w:w="1107"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2</w:t>
            </w:r>
          </w:p>
        </w:tc>
        <w:tc>
          <w:tcPr>
            <w:tcW w:w="1107"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3</w:t>
            </w:r>
          </w:p>
        </w:tc>
        <w:tc>
          <w:tcPr>
            <w:tcW w:w="1107"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4</w:t>
            </w:r>
          </w:p>
        </w:tc>
        <w:tc>
          <w:tcPr>
            <w:tcW w:w="1107" w:type="dxa"/>
            <w:tcBorders>
              <w:top w:val="single" w:sz="4" w:space="0" w:color="auto"/>
              <w:left w:val="nil"/>
              <w:bottom w:val="single" w:sz="4" w:space="0" w:color="auto"/>
              <w:right w:val="nil"/>
            </w:tcBorders>
            <w:shd w:val="clear" w:color="auto" w:fill="D9D9D9"/>
            <w:noWrap/>
            <w:vAlign w:val="center"/>
          </w:tcPr>
          <w:p w:rsidR="000A1845" w:rsidRPr="006159A2" w:rsidRDefault="000A1845" w:rsidP="000A1845">
            <w:pPr>
              <w:jc w:val="center"/>
              <w:rPr>
                <w:b/>
                <w:sz w:val="20"/>
                <w:lang w:val="en-GB"/>
              </w:rPr>
            </w:pPr>
            <w:r w:rsidRPr="006159A2">
              <w:rPr>
                <w:b/>
                <w:sz w:val="20"/>
                <w:lang w:val="en-GB"/>
              </w:rPr>
              <w:t>5</w:t>
            </w:r>
          </w:p>
        </w:tc>
      </w:tr>
      <w:tr w:rsidR="000A1845" w:rsidRPr="006159A2" w:rsidTr="000A1845">
        <w:trPr>
          <w:trHeight w:val="284"/>
          <w:jc w:val="center"/>
        </w:trPr>
        <w:tc>
          <w:tcPr>
            <w:tcW w:w="3551" w:type="dxa"/>
            <w:tcBorders>
              <w:top w:val="single" w:sz="4" w:space="0" w:color="auto"/>
              <w:left w:val="nil"/>
              <w:bottom w:val="nil"/>
              <w:right w:val="nil"/>
            </w:tcBorders>
            <w:shd w:val="clear" w:color="auto" w:fill="auto"/>
            <w:noWrap/>
            <w:vAlign w:val="center"/>
          </w:tcPr>
          <w:p w:rsidR="000A1845" w:rsidRPr="006159A2" w:rsidRDefault="000A1845" w:rsidP="000A1845">
            <w:pPr>
              <w:pStyle w:val="TabelleAnhang"/>
              <w:jc w:val="left"/>
            </w:pPr>
            <w:r w:rsidRPr="006159A2">
              <w:t xml:space="preserve">phase transfer: OH </w:t>
            </w:r>
            <w:r w:rsidR="00E0710A">
              <w:rPr>
                <w:noProof/>
                <w:position w:val="-14"/>
                <w:lang w:val="en-US" w:eastAsia="en-US"/>
              </w:rPr>
              <w:drawing>
                <wp:inline distT="0" distB="0" distL="0" distR="0">
                  <wp:extent cx="313690" cy="280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t>OH</w:t>
            </w:r>
            <w:r w:rsidRPr="006159A2">
              <w:rPr>
                <w:vertAlign w:val="subscript"/>
              </w:rPr>
              <w:t>(aq)</w:t>
            </w:r>
          </w:p>
        </w:tc>
        <w:tc>
          <w:tcPr>
            <w:tcW w:w="1106" w:type="dxa"/>
            <w:tcBorders>
              <w:top w:val="single" w:sz="4" w:space="0" w:color="auto"/>
              <w:left w:val="nil"/>
              <w:bottom w:val="nil"/>
              <w:right w:val="nil"/>
            </w:tcBorders>
            <w:shd w:val="clear" w:color="auto" w:fill="auto"/>
            <w:noWrap/>
            <w:vAlign w:val="center"/>
          </w:tcPr>
          <w:p w:rsidR="000A1845" w:rsidRPr="006159A2" w:rsidRDefault="000A1845" w:rsidP="000A1845">
            <w:pPr>
              <w:pStyle w:val="TabelleAnhang"/>
            </w:pPr>
            <w:r w:rsidRPr="006159A2">
              <w:t>28.2%</w:t>
            </w:r>
          </w:p>
        </w:tc>
        <w:tc>
          <w:tcPr>
            <w:tcW w:w="1107" w:type="dxa"/>
            <w:tcBorders>
              <w:top w:val="single" w:sz="4" w:space="0" w:color="auto"/>
              <w:left w:val="nil"/>
              <w:bottom w:val="nil"/>
              <w:right w:val="nil"/>
            </w:tcBorders>
            <w:shd w:val="clear" w:color="auto" w:fill="auto"/>
            <w:noWrap/>
            <w:vAlign w:val="center"/>
          </w:tcPr>
          <w:p w:rsidR="000A1845" w:rsidRPr="006159A2" w:rsidRDefault="000A1845" w:rsidP="000A1845">
            <w:pPr>
              <w:pStyle w:val="TabelleAnhang"/>
            </w:pPr>
            <w:r w:rsidRPr="006159A2">
              <w:t>63.5%</w:t>
            </w:r>
          </w:p>
        </w:tc>
        <w:tc>
          <w:tcPr>
            <w:tcW w:w="1107" w:type="dxa"/>
            <w:tcBorders>
              <w:top w:val="single" w:sz="4" w:space="0" w:color="auto"/>
              <w:left w:val="nil"/>
              <w:bottom w:val="nil"/>
              <w:right w:val="nil"/>
            </w:tcBorders>
            <w:shd w:val="clear" w:color="auto" w:fill="auto"/>
            <w:noWrap/>
            <w:vAlign w:val="center"/>
          </w:tcPr>
          <w:p w:rsidR="000A1845" w:rsidRPr="006159A2" w:rsidRDefault="000A1845" w:rsidP="000A1845">
            <w:pPr>
              <w:pStyle w:val="TabelleAnhang"/>
            </w:pPr>
            <w:r w:rsidRPr="006159A2">
              <w:t>65.5%</w:t>
            </w:r>
          </w:p>
        </w:tc>
        <w:tc>
          <w:tcPr>
            <w:tcW w:w="1107" w:type="dxa"/>
            <w:tcBorders>
              <w:top w:val="single" w:sz="4" w:space="0" w:color="auto"/>
              <w:left w:val="nil"/>
              <w:bottom w:val="nil"/>
              <w:right w:val="nil"/>
            </w:tcBorders>
            <w:shd w:val="clear" w:color="auto" w:fill="auto"/>
            <w:noWrap/>
            <w:vAlign w:val="center"/>
          </w:tcPr>
          <w:p w:rsidR="000A1845" w:rsidRPr="006159A2" w:rsidRDefault="000A1845" w:rsidP="000A1845">
            <w:pPr>
              <w:pStyle w:val="TabelleAnhang"/>
            </w:pPr>
            <w:r w:rsidRPr="006159A2">
              <w:t>49.0%</w:t>
            </w:r>
          </w:p>
        </w:tc>
        <w:tc>
          <w:tcPr>
            <w:tcW w:w="1107" w:type="dxa"/>
            <w:tcBorders>
              <w:top w:val="single" w:sz="4" w:space="0" w:color="auto"/>
              <w:left w:val="nil"/>
              <w:bottom w:val="nil"/>
              <w:right w:val="nil"/>
            </w:tcBorders>
            <w:shd w:val="clear" w:color="auto" w:fill="auto"/>
            <w:noWrap/>
            <w:vAlign w:val="center"/>
          </w:tcPr>
          <w:p w:rsidR="000A1845" w:rsidRPr="006159A2" w:rsidRDefault="000A1845" w:rsidP="000A1845">
            <w:pPr>
              <w:pStyle w:val="TabelleAnhang"/>
            </w:pPr>
            <w:r w:rsidRPr="006159A2">
              <w:t>-7.4%</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H</w:t>
            </w:r>
            <w:r w:rsidRPr="006159A2">
              <w:rPr>
                <w:vertAlign w:val="subscript"/>
              </w:rPr>
              <w:t>2</w:t>
            </w:r>
            <w:r w:rsidRPr="006159A2">
              <w:t>O</w:t>
            </w:r>
            <w:r w:rsidRPr="006159A2">
              <w:rPr>
                <w:vertAlign w:val="subscript"/>
              </w:rPr>
              <w:t>2</w:t>
            </w:r>
            <w:r w:rsidRPr="006159A2">
              <w:t xml:space="preserve"> </w:t>
            </w:r>
            <w:r w:rsidR="00E0710A">
              <w:rPr>
                <w:noProof/>
                <w:position w:val="-6"/>
                <w:lang w:val="en-US" w:eastAsia="en-US"/>
              </w:rPr>
              <w:drawing>
                <wp:inline distT="0" distB="0" distL="0" distR="0">
                  <wp:extent cx="280035" cy="1708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OH + OH</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3.5%</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7.0%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8.0%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rPr>
                <w:lang w:val="pt-BR"/>
              </w:rPr>
            </w:pPr>
            <w:r w:rsidRPr="006159A2">
              <w:rPr>
                <w:lang w:val="pt-BR"/>
              </w:rPr>
              <w:t>H</w:t>
            </w:r>
            <w:r w:rsidRPr="006159A2">
              <w:rPr>
                <w:vertAlign w:val="subscript"/>
                <w:lang w:val="pt-BR"/>
              </w:rPr>
              <w:t>2</w:t>
            </w:r>
            <w:r w:rsidRPr="006159A2">
              <w:rPr>
                <w:lang w:val="pt-BR"/>
              </w:rPr>
              <w:t>O</w:t>
            </w:r>
            <w:r w:rsidRPr="006159A2">
              <w:rPr>
                <w:vertAlign w:val="subscript"/>
                <w:lang w:val="pt-BR"/>
              </w:rPr>
              <w:t>2</w:t>
            </w:r>
            <w:r w:rsidRPr="006159A2">
              <w:rPr>
                <w:lang w:val="pt-BR"/>
              </w:rPr>
              <w:t xml:space="preserve"> + Fe</w:t>
            </w:r>
            <w:r w:rsidRPr="006159A2">
              <w:rPr>
                <w:vertAlign w:val="superscript"/>
                <w:lang w:val="pt-BR"/>
              </w:rPr>
              <w:t>2+</w:t>
            </w:r>
            <w:r w:rsidRPr="006159A2">
              <w:rPr>
                <w:lang w:val="pt-BR"/>
              </w:rPr>
              <w:t xml:space="preserve"> </w:t>
            </w:r>
            <w:r w:rsidR="00E0710A">
              <w:rPr>
                <w:noProof/>
                <w:position w:val="-6"/>
                <w:lang w:val="en-US" w:eastAsia="en-US"/>
              </w:rPr>
              <w:drawing>
                <wp:inline distT="0" distB="0" distL="0" distR="0">
                  <wp:extent cx="280035" cy="1708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lang w:val="pt-BR"/>
              </w:rPr>
              <w:t xml:space="preserve"> Fe</w:t>
            </w:r>
            <w:r w:rsidRPr="006159A2">
              <w:rPr>
                <w:vertAlign w:val="superscript"/>
                <w:lang w:val="pt-BR"/>
              </w:rPr>
              <w:t>3+</w:t>
            </w:r>
            <w:r w:rsidRPr="006159A2">
              <w:rPr>
                <w:lang w:val="pt-BR"/>
              </w:rPr>
              <w:t xml:space="preserve"> + OH + OH</w:t>
            </w:r>
            <w:r w:rsidRPr="006159A2">
              <w:rPr>
                <w:vertAlign w:val="superscript"/>
                <w:lang w:val="pt-BR"/>
              </w:rPr>
              <w:t>-</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58.4%</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15.9%</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13.4%</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33.5%</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94.0%</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rPr>
                <w:lang w:val="pt-BR"/>
              </w:rPr>
            </w:pPr>
            <w:r w:rsidRPr="006159A2">
              <w:rPr>
                <w:lang w:val="pt-BR"/>
              </w:rPr>
              <w:t>H</w:t>
            </w:r>
            <w:r w:rsidRPr="006159A2">
              <w:rPr>
                <w:vertAlign w:val="subscript"/>
                <w:lang w:val="pt-BR"/>
              </w:rPr>
              <w:t>2</w:t>
            </w:r>
            <w:r w:rsidRPr="006159A2">
              <w:rPr>
                <w:lang w:val="pt-BR"/>
              </w:rPr>
              <w:t>O</w:t>
            </w:r>
            <w:r w:rsidRPr="006159A2">
              <w:rPr>
                <w:vertAlign w:val="subscript"/>
                <w:lang w:val="pt-BR"/>
              </w:rPr>
              <w:t>2</w:t>
            </w:r>
            <w:r w:rsidRPr="006159A2">
              <w:rPr>
                <w:lang w:val="pt-BR"/>
              </w:rPr>
              <w:t xml:space="preserve"> + Cu</w:t>
            </w:r>
            <w:r w:rsidRPr="006159A2">
              <w:rPr>
                <w:vertAlign w:val="superscript"/>
                <w:lang w:val="pt-BR"/>
              </w:rPr>
              <w:t>+</w:t>
            </w:r>
            <w:r w:rsidRPr="006159A2">
              <w:rPr>
                <w:lang w:val="pt-BR"/>
              </w:rPr>
              <w:t xml:space="preserve"> </w:t>
            </w:r>
            <w:r w:rsidR="00E0710A">
              <w:rPr>
                <w:noProof/>
                <w:position w:val="-6"/>
                <w:lang w:val="en-US" w:eastAsia="en-US"/>
              </w:rPr>
              <w:drawing>
                <wp:inline distT="0" distB="0" distL="0" distR="0">
                  <wp:extent cx="280035" cy="1708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lang w:val="pt-BR"/>
              </w:rPr>
              <w:t xml:space="preserve"> Cu</w:t>
            </w:r>
            <w:r w:rsidRPr="006159A2">
              <w:rPr>
                <w:vertAlign w:val="superscript"/>
                <w:lang w:val="pt-BR"/>
              </w:rPr>
              <w:t>2+</w:t>
            </w:r>
            <w:r w:rsidRPr="006159A2">
              <w:rPr>
                <w:lang w:val="pt-BR"/>
              </w:rPr>
              <w:t xml:space="preserve"> + OH + OH</w:t>
            </w:r>
            <w:r w:rsidRPr="006159A2">
              <w:rPr>
                <w:vertAlign w:val="superscript"/>
                <w:lang w:val="pt-BR"/>
              </w:rPr>
              <w:t>-</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2.4%</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2.8%</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4.8%</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1.6%</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HO</w:t>
            </w:r>
            <w:r w:rsidRPr="006159A2">
              <w:rPr>
                <w:vertAlign w:val="subscript"/>
              </w:rPr>
              <w:t>3</w:t>
            </w:r>
            <w:r w:rsidRPr="006159A2">
              <w:t xml:space="preserve"> </w:t>
            </w:r>
            <w:r w:rsidR="00E0710A">
              <w:rPr>
                <w:noProof/>
                <w:position w:val="-6"/>
                <w:lang w:val="en-US" w:eastAsia="en-US"/>
              </w:rPr>
              <w:drawing>
                <wp:inline distT="0" distB="0" distL="0" distR="0">
                  <wp:extent cx="280035" cy="170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 xml:space="preserve"> OH + O</w:t>
            </w:r>
            <w:r w:rsidRPr="006159A2">
              <w:rPr>
                <w:vertAlign w:val="subscript"/>
              </w:rPr>
              <w:t>2</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6.6%</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5.9%</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11.3%</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FeOH</w:t>
            </w:r>
            <w:r w:rsidRPr="006159A2">
              <w:rPr>
                <w:vertAlign w:val="superscript"/>
              </w:rPr>
              <w:t>2+</w:t>
            </w:r>
            <w:r w:rsidRPr="006159A2">
              <w:t xml:space="preserve"> + hν </w:t>
            </w:r>
            <w:r w:rsidR="00E0710A">
              <w:rPr>
                <w:noProof/>
                <w:position w:val="-6"/>
                <w:lang w:val="en-US" w:eastAsia="en-US"/>
              </w:rPr>
              <w:drawing>
                <wp:inline distT="0" distB="0" distL="0" distR="0">
                  <wp:extent cx="280035" cy="1708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 xml:space="preserve"> Fe</w:t>
            </w:r>
            <w:r w:rsidRPr="006159A2">
              <w:rPr>
                <w:vertAlign w:val="superscript"/>
              </w:rPr>
              <w:t>2+</w:t>
            </w:r>
            <w:r w:rsidRPr="006159A2">
              <w:t xml:space="preserve"> + OH</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2.5%</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1.9%</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Cl</w:t>
            </w:r>
            <w:r w:rsidRPr="006159A2">
              <w:rPr>
                <w:vertAlign w:val="superscript"/>
              </w:rPr>
              <w:t>-</w:t>
            </w:r>
            <w:r w:rsidRPr="006159A2">
              <w:t xml:space="preserve"> + OH </w:t>
            </w:r>
            <w:r w:rsidR="00E0710A">
              <w:rPr>
                <w:noProof/>
                <w:position w:val="-14"/>
                <w:lang w:val="en-US" w:eastAsia="en-US"/>
              </w:rPr>
              <w:drawing>
                <wp:inline distT="0" distB="0" distL="0" distR="0">
                  <wp:extent cx="313690" cy="2800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t>ClOH</w:t>
            </w:r>
            <w:r w:rsidRPr="006159A2">
              <w:rPr>
                <w:vertAlign w:val="superscript"/>
              </w:rPr>
              <w:t>-</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-12.1%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0.3%</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-22.7%</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Br</w:t>
            </w:r>
            <w:r w:rsidRPr="006159A2">
              <w:rPr>
                <w:vertAlign w:val="superscript"/>
              </w:rPr>
              <w:t>-</w:t>
            </w:r>
            <w:r w:rsidRPr="006159A2">
              <w:t xml:space="preserve"> + OH </w:t>
            </w:r>
            <w:r w:rsidR="00E0710A">
              <w:rPr>
                <w:noProof/>
                <w:position w:val="-14"/>
                <w:lang w:val="en-US" w:eastAsia="en-US"/>
              </w:rPr>
              <w:drawing>
                <wp:inline distT="0" distB="0" distL="0" distR="0">
                  <wp:extent cx="313690" cy="280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t xml:space="preserve"> BrOH</w:t>
            </w:r>
            <w:r w:rsidRPr="006159A2">
              <w:rPr>
                <w:vertAlign w:val="superscript"/>
              </w:rPr>
              <w:t>-</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-7.9%</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-14.7%</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Fe</w:t>
            </w:r>
            <w:r w:rsidRPr="006159A2">
              <w:rPr>
                <w:vertAlign w:val="superscript"/>
              </w:rPr>
              <w:t>2+</w:t>
            </w:r>
            <w:r w:rsidRPr="006159A2">
              <w:t xml:space="preserve"> </w:t>
            </w:r>
            <w:r w:rsidR="00E0710A">
              <w:rPr>
                <w:noProof/>
                <w:position w:val="-6"/>
                <w:lang w:val="en-US" w:eastAsia="en-US"/>
              </w:rPr>
              <w:drawing>
                <wp:inline distT="0" distB="0" distL="0" distR="0">
                  <wp:extent cx="280035" cy="1708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 xml:space="preserve"> FeOH</w:t>
            </w:r>
            <w:r w:rsidRPr="006159A2">
              <w:rPr>
                <w:vertAlign w:val="superscript"/>
              </w:rPr>
              <w:t>2+</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-7.8%</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-0.8%</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-0.9%</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-13.9%</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HSO</w:t>
            </w:r>
            <w:r w:rsidRPr="006159A2">
              <w:rPr>
                <w:vertAlign w:val="subscript"/>
              </w:rPr>
              <w:t>4</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 xml:space="preserve"> SO</w:t>
            </w:r>
            <w:r w:rsidRPr="006159A2">
              <w:rPr>
                <w:vertAlign w:val="subscript"/>
              </w:rPr>
              <w:t>4</w:t>
            </w:r>
            <w:r w:rsidRPr="006159A2">
              <w:rPr>
                <w:vertAlign w:val="superscript"/>
              </w:rPr>
              <w:t>-</w:t>
            </w:r>
            <w:r w:rsidRPr="006159A2">
              <w:t xml:space="preserve"> + H</w:t>
            </w:r>
            <w:r w:rsidRPr="006159A2">
              <w:rPr>
                <w:vertAlign w:val="subscript"/>
              </w:rPr>
              <w:t>2</w:t>
            </w:r>
            <w:r w:rsidRPr="006159A2">
              <w:t>O</w:t>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-7.8%</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2</w:t>
            </w:r>
            <w:r w:rsidRPr="006159A2">
              <w:t>(OH)</w:t>
            </w:r>
            <w:r w:rsidRPr="006159A2">
              <w:rPr>
                <w:vertAlign w:val="subscript"/>
              </w:rPr>
              <w:t>2</w:t>
            </w:r>
            <w:r w:rsidRPr="006159A2">
              <w:t xml:space="preserve"> </w:t>
            </w:r>
            <w:r w:rsidR="00E0710A">
              <w:rPr>
                <w:noProof/>
                <w:position w:val="-6"/>
                <w:lang w:val="en-US" w:eastAsia="en-US"/>
              </w:rPr>
              <w:drawing>
                <wp:inline distT="0" distB="0" distL="0" distR="0">
                  <wp:extent cx="280035" cy="1708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-22.6%</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-36.5%</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-37.1%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-32.6%</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-7.4%</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CHOCOCOO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-1.8%</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-3.1%</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HCOO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-22.1%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-42.3%</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-41.2%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-49.8%</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-1.7%</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CH(OH)</w:t>
            </w:r>
            <w:r w:rsidRPr="006159A2">
              <w:rPr>
                <w:vertAlign w:val="subscript"/>
              </w:rPr>
              <w:t>2</w:t>
            </w:r>
            <w:r w:rsidRPr="006159A2">
              <w:t xml:space="preserve">COOH </w:t>
            </w:r>
            <w:r w:rsidR="00E0710A">
              <w:rPr>
                <w:noProof/>
                <w:position w:val="-6"/>
                <w:lang w:val="en-US" w:eastAsia="en-US"/>
              </w:rPr>
              <w:drawing>
                <wp:inline distT="0" distB="0" distL="0" distR="0">
                  <wp:extent cx="280035" cy="1708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-5.7%</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CH(OH)</w:t>
            </w:r>
            <w:r w:rsidRPr="006159A2">
              <w:rPr>
                <w:vertAlign w:val="subscript"/>
              </w:rPr>
              <w:t>2</w:t>
            </w:r>
            <w:r w:rsidRPr="006159A2">
              <w:t>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-0.7%</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-0.7%</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-1.5%</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3</w:t>
            </w:r>
            <w:r w:rsidRPr="006159A2">
              <w:t>COCOO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-0.7%</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-0.8%</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-5.1%</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3</w:t>
            </w:r>
            <w:r w:rsidRPr="006159A2">
              <w:t>COCH(OH)</w:t>
            </w:r>
            <w:r w:rsidRPr="006159A2">
              <w:rPr>
                <w:vertAlign w:val="subscript"/>
              </w:rPr>
              <w:t>2</w:t>
            </w:r>
            <w:r w:rsidRPr="006159A2">
              <w:t xml:space="preserve"> </w:t>
            </w:r>
            <w:r w:rsidR="00E0710A">
              <w:rPr>
                <w:noProof/>
                <w:position w:val="-6"/>
                <w:lang w:val="en-US" w:eastAsia="en-US"/>
              </w:rPr>
              <w:drawing>
                <wp:inline distT="0" distB="0" distL="0" distR="0">
                  <wp:extent cx="280035" cy="1708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-3.7%</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-7.1%</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-6.7%</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-9.4%</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-0.3%</w:t>
            </w:r>
          </w:p>
        </w:tc>
      </w:tr>
      <w:tr w:rsidR="000A1845" w:rsidRPr="006159A2" w:rsidTr="000A1845">
        <w:trPr>
          <w:trHeight w:val="284"/>
          <w:jc w:val="center"/>
        </w:trPr>
        <w:tc>
          <w:tcPr>
            <w:tcW w:w="3551" w:type="dxa"/>
            <w:tcBorders>
              <w:top w:val="nil"/>
              <w:left w:val="nil"/>
              <w:bottom w:val="nil"/>
              <w:right w:val="nil"/>
            </w:tcBorders>
            <w:shd w:val="clear" w:color="auto" w:fill="auto"/>
            <w:noWrap/>
            <w:vAlign w:val="center"/>
          </w:tcPr>
          <w:p w:rsidR="000A1845" w:rsidRPr="006159A2" w:rsidRDefault="000A1845" w:rsidP="000A1845">
            <w:pPr>
              <w:pStyle w:val="TabelleAnhang"/>
              <w:jc w:val="left"/>
            </w:pPr>
            <w:r w:rsidRPr="006159A2">
              <w:t>OH + CH</w:t>
            </w:r>
            <w:r w:rsidRPr="006159A2">
              <w:rPr>
                <w:vertAlign w:val="subscript"/>
              </w:rPr>
              <w:t>2</w:t>
            </w:r>
            <w:r w:rsidRPr="006159A2">
              <w:t xml:space="preserve">OHCOOH </w:t>
            </w:r>
            <w:r w:rsidR="00E0710A">
              <w:rPr>
                <w:noProof/>
                <w:position w:val="-6"/>
                <w:lang w:val="en-US" w:eastAsia="en-US"/>
              </w:rPr>
              <w:drawing>
                <wp:inline distT="0" distB="0" distL="0" distR="0">
                  <wp:extent cx="280035" cy="1708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-1.2%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-0.2%</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0.0%</w:t>
            </w:r>
          </w:p>
        </w:tc>
        <w:tc>
          <w:tcPr>
            <w:tcW w:w="1107" w:type="dxa"/>
            <w:tcBorders>
              <w:top w:val="nil"/>
              <w:left w:val="nil"/>
              <w:bottom w:val="nil"/>
              <w:right w:val="nil"/>
            </w:tcBorders>
            <w:shd w:val="clear" w:color="auto" w:fill="auto"/>
            <w:noWrap/>
            <w:vAlign w:val="center"/>
          </w:tcPr>
          <w:p w:rsidR="000A1845" w:rsidRPr="006159A2" w:rsidRDefault="000A1845" w:rsidP="000A1845">
            <w:pPr>
              <w:pStyle w:val="TabelleAnhang"/>
            </w:pPr>
            <w:r w:rsidRPr="006159A2">
              <w:t>-2.0%</w:t>
            </w:r>
          </w:p>
        </w:tc>
      </w:tr>
      <w:tr w:rsidR="000A1845" w:rsidRPr="006159A2" w:rsidTr="000A1845">
        <w:trPr>
          <w:trHeight w:val="284"/>
          <w:jc w:val="center"/>
        </w:trPr>
        <w:tc>
          <w:tcPr>
            <w:tcW w:w="3551" w:type="dxa"/>
            <w:tcBorders>
              <w:top w:val="nil"/>
              <w:left w:val="nil"/>
              <w:bottom w:val="single" w:sz="4" w:space="0" w:color="auto"/>
              <w:right w:val="nil"/>
            </w:tcBorders>
            <w:shd w:val="clear" w:color="auto" w:fill="auto"/>
            <w:noWrap/>
            <w:vAlign w:val="center"/>
          </w:tcPr>
          <w:p w:rsidR="000A1845" w:rsidRPr="006159A2" w:rsidRDefault="000A1845" w:rsidP="000A1845">
            <w:pPr>
              <w:pStyle w:val="TabelleAnhang"/>
              <w:jc w:val="left"/>
            </w:pPr>
            <w:r w:rsidRPr="006159A2">
              <w:t>OH + CH(OH)</w:t>
            </w:r>
            <w:r w:rsidRPr="006159A2">
              <w:rPr>
                <w:vertAlign w:val="subscript"/>
              </w:rPr>
              <w:t>2</w:t>
            </w:r>
            <w:r w:rsidRPr="006159A2">
              <w:t>CH</w:t>
            </w:r>
            <w:r w:rsidRPr="006159A2">
              <w:rPr>
                <w:vertAlign w:val="subscript"/>
              </w:rPr>
              <w:t>2</w:t>
            </w:r>
            <w:r w:rsidRPr="006159A2">
              <w:t xml:space="preserve">OH </w:t>
            </w:r>
            <w:r w:rsidR="00E0710A">
              <w:rPr>
                <w:noProof/>
                <w:position w:val="-6"/>
                <w:lang w:val="en-US" w:eastAsia="en-US"/>
              </w:rPr>
              <w:drawing>
                <wp:inline distT="0" distB="0" distL="0" distR="0">
                  <wp:extent cx="280035" cy="1708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106" w:type="dxa"/>
            <w:tcBorders>
              <w:top w:val="nil"/>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-1.1%</w:t>
            </w:r>
          </w:p>
        </w:tc>
        <w:tc>
          <w:tcPr>
            <w:tcW w:w="1107" w:type="dxa"/>
            <w:tcBorders>
              <w:top w:val="nil"/>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-1.9%</w:t>
            </w:r>
          </w:p>
        </w:tc>
        <w:tc>
          <w:tcPr>
            <w:tcW w:w="1107" w:type="dxa"/>
            <w:tcBorders>
              <w:top w:val="nil"/>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-1.9%</w:t>
            </w:r>
          </w:p>
        </w:tc>
        <w:tc>
          <w:tcPr>
            <w:tcW w:w="1107" w:type="dxa"/>
            <w:tcBorders>
              <w:top w:val="nil"/>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-1.6%</w:t>
            </w:r>
          </w:p>
        </w:tc>
        <w:tc>
          <w:tcPr>
            <w:tcW w:w="1107" w:type="dxa"/>
            <w:tcBorders>
              <w:top w:val="nil"/>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-0.2%</w:t>
            </w:r>
          </w:p>
        </w:tc>
      </w:tr>
      <w:tr w:rsidR="000A1845" w:rsidRPr="006159A2" w:rsidTr="000A1845">
        <w:trPr>
          <w:trHeight w:val="284"/>
          <w:jc w:val="center"/>
        </w:trPr>
        <w:tc>
          <w:tcPr>
            <w:tcW w:w="3551" w:type="dxa"/>
            <w:tcBorders>
              <w:top w:val="single" w:sz="4" w:space="0" w:color="auto"/>
              <w:left w:val="nil"/>
              <w:right w:val="nil"/>
            </w:tcBorders>
            <w:shd w:val="clear" w:color="auto" w:fill="auto"/>
            <w:noWrap/>
            <w:vAlign w:val="center"/>
          </w:tcPr>
          <w:p w:rsidR="000A1845" w:rsidRPr="006159A2" w:rsidRDefault="000A1845" w:rsidP="000A1845">
            <w:pPr>
              <w:pStyle w:val="TabelleAnhang"/>
              <w:jc w:val="left"/>
            </w:pPr>
            <w:r w:rsidRPr="006159A2">
              <w:t>total sinks</w:t>
            </w:r>
          </w:p>
        </w:tc>
        <w:tc>
          <w:tcPr>
            <w:tcW w:w="1106" w:type="dxa"/>
            <w:tcBorders>
              <w:top w:val="single" w:sz="4" w:space="0" w:color="auto"/>
              <w:left w:val="nil"/>
              <w:right w:val="nil"/>
            </w:tcBorders>
            <w:shd w:val="clear" w:color="auto" w:fill="auto"/>
            <w:noWrap/>
            <w:vAlign w:val="center"/>
          </w:tcPr>
          <w:p w:rsidR="000A1845" w:rsidRPr="006159A2" w:rsidRDefault="000A1845" w:rsidP="000A1845">
            <w:pPr>
              <w:pStyle w:val="TabelleAnhang"/>
            </w:pPr>
            <w:r w:rsidRPr="006159A2">
              <w:t>-91.9%</w:t>
            </w:r>
          </w:p>
        </w:tc>
        <w:tc>
          <w:tcPr>
            <w:tcW w:w="1107" w:type="dxa"/>
            <w:tcBorders>
              <w:top w:val="single" w:sz="4" w:space="0" w:color="auto"/>
              <w:left w:val="nil"/>
              <w:right w:val="nil"/>
            </w:tcBorders>
            <w:shd w:val="clear" w:color="auto" w:fill="auto"/>
            <w:noWrap/>
            <w:vAlign w:val="center"/>
          </w:tcPr>
          <w:p w:rsidR="000A1845" w:rsidRPr="006159A2" w:rsidRDefault="000A1845" w:rsidP="000A1845">
            <w:pPr>
              <w:pStyle w:val="TabelleAnhang"/>
            </w:pPr>
            <w:r w:rsidRPr="006159A2">
              <w:t>-90.6%</w:t>
            </w:r>
          </w:p>
        </w:tc>
        <w:tc>
          <w:tcPr>
            <w:tcW w:w="1107" w:type="dxa"/>
            <w:tcBorders>
              <w:top w:val="single" w:sz="4" w:space="0" w:color="auto"/>
              <w:left w:val="nil"/>
              <w:right w:val="nil"/>
            </w:tcBorders>
            <w:shd w:val="clear" w:color="auto" w:fill="auto"/>
            <w:noWrap/>
            <w:vAlign w:val="center"/>
          </w:tcPr>
          <w:p w:rsidR="000A1845" w:rsidRPr="006159A2" w:rsidRDefault="000A1845" w:rsidP="000A1845">
            <w:pPr>
              <w:pStyle w:val="TabelleAnhang"/>
            </w:pPr>
            <w:r w:rsidRPr="006159A2">
              <w:t>-90.1%</w:t>
            </w:r>
          </w:p>
        </w:tc>
        <w:tc>
          <w:tcPr>
            <w:tcW w:w="1107" w:type="dxa"/>
            <w:tcBorders>
              <w:top w:val="single" w:sz="4" w:space="0" w:color="auto"/>
              <w:left w:val="nil"/>
              <w:right w:val="nil"/>
            </w:tcBorders>
            <w:shd w:val="clear" w:color="auto" w:fill="auto"/>
            <w:noWrap/>
            <w:vAlign w:val="center"/>
          </w:tcPr>
          <w:p w:rsidR="000A1845" w:rsidRPr="006159A2" w:rsidRDefault="000A1845" w:rsidP="000A1845">
            <w:pPr>
              <w:pStyle w:val="TabelleAnhang"/>
            </w:pPr>
            <w:r w:rsidRPr="006159A2">
              <w:t>-94.1%</w:t>
            </w:r>
          </w:p>
        </w:tc>
        <w:tc>
          <w:tcPr>
            <w:tcW w:w="1107" w:type="dxa"/>
            <w:tcBorders>
              <w:top w:val="single" w:sz="4" w:space="0" w:color="auto"/>
              <w:left w:val="nil"/>
              <w:right w:val="nil"/>
            </w:tcBorders>
            <w:shd w:val="clear" w:color="auto" w:fill="auto"/>
            <w:noWrap/>
            <w:vAlign w:val="center"/>
          </w:tcPr>
          <w:p w:rsidR="000A1845" w:rsidRPr="006159A2" w:rsidRDefault="000A1845" w:rsidP="000A1845">
            <w:pPr>
              <w:pStyle w:val="TabelleAnhang"/>
            </w:pPr>
            <w:r w:rsidRPr="006159A2">
              <w:t>-93.6%</w:t>
            </w:r>
          </w:p>
        </w:tc>
      </w:tr>
      <w:tr w:rsidR="000A1845" w:rsidRPr="006159A2" w:rsidTr="000A1845">
        <w:trPr>
          <w:trHeight w:val="284"/>
          <w:jc w:val="center"/>
        </w:trPr>
        <w:tc>
          <w:tcPr>
            <w:tcW w:w="3551" w:type="dxa"/>
            <w:tcBorders>
              <w:left w:val="nil"/>
              <w:bottom w:val="single" w:sz="4" w:space="0" w:color="auto"/>
              <w:right w:val="nil"/>
            </w:tcBorders>
            <w:shd w:val="clear" w:color="auto" w:fill="auto"/>
            <w:noWrap/>
            <w:vAlign w:val="center"/>
          </w:tcPr>
          <w:p w:rsidR="000A1845" w:rsidRPr="006159A2" w:rsidRDefault="000A1845" w:rsidP="000A1845">
            <w:pPr>
              <w:pStyle w:val="TabelleAnhang"/>
              <w:jc w:val="left"/>
            </w:pPr>
            <w:r w:rsidRPr="006159A2">
              <w:t>total sources</w:t>
            </w:r>
          </w:p>
        </w:tc>
        <w:tc>
          <w:tcPr>
            <w:tcW w:w="1106"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97.7%</w:t>
            </w:r>
          </w:p>
        </w:tc>
        <w:tc>
          <w:tcPr>
            <w:tcW w:w="1107"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98.2%</w:t>
            </w:r>
          </w:p>
        </w:tc>
        <w:tc>
          <w:tcPr>
            <w:tcW w:w="1107"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98.1%</w:t>
            </w:r>
          </w:p>
        </w:tc>
        <w:tc>
          <w:tcPr>
            <w:tcW w:w="1107"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99.0%</w:t>
            </w:r>
          </w:p>
        </w:tc>
        <w:tc>
          <w:tcPr>
            <w:tcW w:w="1107" w:type="dxa"/>
            <w:tcBorders>
              <w:left w:val="nil"/>
              <w:bottom w:val="single" w:sz="4" w:space="0" w:color="auto"/>
              <w:right w:val="nil"/>
            </w:tcBorders>
            <w:shd w:val="clear" w:color="auto" w:fill="auto"/>
            <w:noWrap/>
            <w:vAlign w:val="center"/>
          </w:tcPr>
          <w:p w:rsidR="000A1845" w:rsidRPr="006159A2" w:rsidRDefault="000A1845" w:rsidP="000A1845">
            <w:pPr>
              <w:pStyle w:val="TabelleAnhang"/>
            </w:pPr>
            <w:r w:rsidRPr="006159A2">
              <w:t>97.5%</w:t>
            </w:r>
          </w:p>
        </w:tc>
      </w:tr>
    </w:tbl>
    <w:p w:rsidR="000A1845" w:rsidRPr="006159A2" w:rsidRDefault="000A1845"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EF0CFB" w:rsidRPr="006159A2" w:rsidRDefault="00EF0CFB" w:rsidP="000A1845"/>
    <w:p w:rsidR="001A2705" w:rsidRPr="006159A2" w:rsidRDefault="00E0710A" w:rsidP="00730703">
      <w:pPr>
        <w:jc w:val="center"/>
        <w:rPr>
          <w:noProof/>
          <w:lang w:val="de-DE"/>
        </w:rPr>
      </w:pPr>
      <w:r>
        <w:rPr>
          <w:noProof/>
          <w:lang w:eastAsia="en-US"/>
        </w:rPr>
        <w:lastRenderedPageBreak/>
        <w:drawing>
          <wp:inline distT="0" distB="0" distL="0" distR="0">
            <wp:extent cx="4838065" cy="369824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srcRect r="11060"/>
                    <a:stretch>
                      <a:fillRect/>
                    </a:stretch>
                  </pic:blipFill>
                  <pic:spPr bwMode="auto">
                    <a:xfrm>
                      <a:off x="0" y="0"/>
                      <a:ext cx="4838065" cy="3698240"/>
                    </a:xfrm>
                    <a:prstGeom prst="rect">
                      <a:avLst/>
                    </a:prstGeom>
                    <a:noFill/>
                    <a:ln w="9525">
                      <a:noFill/>
                      <a:miter lim="800000"/>
                      <a:headEnd/>
                      <a:tailEnd/>
                    </a:ln>
                  </pic:spPr>
                </pic:pic>
              </a:graphicData>
            </a:graphic>
          </wp:inline>
        </w:drawing>
      </w:r>
    </w:p>
    <w:p w:rsidR="009F4459" w:rsidRPr="006159A2" w:rsidRDefault="00E0710A" w:rsidP="00730703">
      <w:pPr>
        <w:jc w:val="center"/>
        <w:rPr>
          <w:lang w:val="en-GB"/>
        </w:rPr>
      </w:pPr>
      <w:r>
        <w:rPr>
          <w:noProof/>
          <w:lang w:eastAsia="en-US"/>
        </w:rPr>
        <w:drawing>
          <wp:inline distT="0" distB="0" distL="0" distR="0">
            <wp:extent cx="4919980" cy="36709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r="1813"/>
                    <a:stretch>
                      <a:fillRect/>
                    </a:stretch>
                  </pic:blipFill>
                  <pic:spPr bwMode="auto">
                    <a:xfrm>
                      <a:off x="0" y="0"/>
                      <a:ext cx="4919980" cy="3670935"/>
                    </a:xfrm>
                    <a:prstGeom prst="rect">
                      <a:avLst/>
                    </a:prstGeom>
                    <a:noFill/>
                    <a:ln w="9525">
                      <a:noFill/>
                      <a:miter lim="800000"/>
                      <a:headEnd/>
                      <a:tailEnd/>
                    </a:ln>
                  </pic:spPr>
                </pic:pic>
              </a:graphicData>
            </a:graphic>
          </wp:inline>
        </w:drawing>
      </w:r>
    </w:p>
    <w:p w:rsidR="002C5D20" w:rsidRPr="006159A2" w:rsidRDefault="0067068D" w:rsidP="004F3F4F">
      <w:pPr>
        <w:pStyle w:val="figlegend"/>
        <w:tabs>
          <w:tab w:val="left" w:pos="993"/>
        </w:tabs>
        <w:jc w:val="both"/>
        <w:rPr>
          <w:lang w:val="en-GB"/>
        </w:rPr>
      </w:pPr>
      <w:r w:rsidRPr="006159A2">
        <w:rPr>
          <w:b/>
          <w:lang w:val="en-GB"/>
        </w:rPr>
        <w:t>Fig. S</w:t>
      </w:r>
      <w:r w:rsidR="005522E3" w:rsidRPr="006159A2">
        <w:rPr>
          <w:b/>
          <w:lang w:val="en-GB"/>
        </w:rPr>
        <w:t>4</w:t>
      </w:r>
      <w:r w:rsidR="009F4459" w:rsidRPr="006159A2">
        <w:rPr>
          <w:lang w:val="en-GB"/>
        </w:rPr>
        <w:tab/>
      </w:r>
      <w:r w:rsidR="002C5D20" w:rsidRPr="006159A2">
        <w:rPr>
          <w:lang w:val="en-GB"/>
        </w:rPr>
        <w:t xml:space="preserve">Modelled chemical sinks and sources mass fluxes of OH in </w:t>
      </w:r>
      <w:r w:rsidR="002C5D20" w:rsidRPr="006159A2">
        <w:rPr>
          <w:lang w:val="en-GB" w:eastAsia="nl-NL"/>
        </w:rPr>
        <w:t xml:space="preserve">gas phase for the </w:t>
      </w:r>
      <w:r w:rsidR="002A66F4" w:rsidRPr="006159A2">
        <w:rPr>
          <w:lang w:val="en-GB" w:eastAsia="nl-NL"/>
        </w:rPr>
        <w:t>third</w:t>
      </w:r>
      <w:r w:rsidR="002C5D20" w:rsidRPr="006159A2">
        <w:rPr>
          <w:lang w:val="en-GB" w:eastAsia="nl-NL"/>
        </w:rPr>
        <w:t xml:space="preserve"> day of the modelling time for the </w:t>
      </w:r>
      <w:r w:rsidR="00E01004" w:rsidRPr="006159A2">
        <w:rPr>
          <w:lang w:val="en-GB" w:eastAsia="nl-NL"/>
        </w:rPr>
        <w:t xml:space="preserve">urban (top) and </w:t>
      </w:r>
      <w:r w:rsidR="002C5D20" w:rsidRPr="006159A2">
        <w:rPr>
          <w:lang w:val="en-GB" w:eastAsia="nl-NL"/>
        </w:rPr>
        <w:t>remote</w:t>
      </w:r>
      <w:r w:rsidR="00E01004" w:rsidRPr="006159A2">
        <w:rPr>
          <w:lang w:val="en-GB" w:eastAsia="nl-NL"/>
        </w:rPr>
        <w:t xml:space="preserve"> (down)</w:t>
      </w:r>
      <w:r w:rsidR="00427422" w:rsidRPr="006159A2">
        <w:rPr>
          <w:lang w:val="en-GB" w:eastAsia="nl-NL"/>
        </w:rPr>
        <w:t xml:space="preserve"> scenario</w:t>
      </w:r>
      <w:r w:rsidR="008C5824" w:rsidRPr="006159A2">
        <w:rPr>
          <w:lang w:val="en-GB" w:eastAsia="nl-NL"/>
        </w:rPr>
        <w:t xml:space="preserve"> (AqChem case)</w:t>
      </w:r>
    </w:p>
    <w:p w:rsidR="009F4459" w:rsidRPr="006159A2" w:rsidRDefault="009F4459" w:rsidP="009F4459">
      <w:pPr>
        <w:rPr>
          <w:lang w:val="en-GB"/>
        </w:rPr>
      </w:pPr>
    </w:p>
    <w:p w:rsidR="009F4459" w:rsidRPr="006159A2" w:rsidRDefault="00E0710A" w:rsidP="00730703">
      <w:pPr>
        <w:jc w:val="center"/>
        <w:rPr>
          <w:lang w:val="en-GB"/>
        </w:rPr>
      </w:pPr>
      <w:r>
        <w:rPr>
          <w:noProof/>
          <w:lang w:eastAsia="en-US"/>
        </w:rPr>
        <w:lastRenderedPageBreak/>
        <w:drawing>
          <wp:inline distT="0" distB="0" distL="0" distR="0">
            <wp:extent cx="3220720" cy="4196715"/>
            <wp:effectExtent l="19050" t="0" r="0" b="0"/>
            <wp:docPr id="5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pic:cNvPicPr>
                      <a:picLocks noChangeAspect="1" noChangeArrowheads="1"/>
                    </pic:cNvPicPr>
                  </pic:nvPicPr>
                  <pic:blipFill>
                    <a:blip r:embed="rId18"/>
                    <a:srcRect/>
                    <a:stretch>
                      <a:fillRect/>
                    </a:stretch>
                  </pic:blipFill>
                  <pic:spPr bwMode="auto">
                    <a:xfrm>
                      <a:off x="0" y="0"/>
                      <a:ext cx="3220720" cy="4196715"/>
                    </a:xfrm>
                    <a:prstGeom prst="rect">
                      <a:avLst/>
                    </a:prstGeom>
                    <a:noFill/>
                    <a:ln w="9525">
                      <a:noFill/>
                      <a:miter lim="800000"/>
                      <a:headEnd/>
                      <a:tailEnd/>
                    </a:ln>
                  </pic:spPr>
                </pic:pic>
              </a:graphicData>
            </a:graphic>
          </wp:inline>
        </w:drawing>
      </w:r>
    </w:p>
    <w:p w:rsidR="009F4459" w:rsidRPr="006159A2" w:rsidRDefault="0067068D" w:rsidP="004F3F4F">
      <w:pPr>
        <w:pStyle w:val="figlegend"/>
        <w:tabs>
          <w:tab w:val="left" w:pos="993"/>
        </w:tabs>
        <w:jc w:val="both"/>
        <w:rPr>
          <w:lang w:val="en-GB" w:eastAsia="nl-NL"/>
        </w:rPr>
      </w:pPr>
      <w:r w:rsidRPr="006159A2">
        <w:rPr>
          <w:b/>
          <w:lang w:val="en-GB"/>
        </w:rPr>
        <w:t>Fig. S</w:t>
      </w:r>
      <w:r w:rsidR="005522E3" w:rsidRPr="006159A2">
        <w:rPr>
          <w:b/>
          <w:lang w:val="en-GB"/>
        </w:rPr>
        <w:t>5</w:t>
      </w:r>
      <w:r w:rsidR="009F4459" w:rsidRPr="006159A2">
        <w:rPr>
          <w:lang w:val="en-GB"/>
        </w:rPr>
        <w:tab/>
      </w:r>
      <w:r w:rsidR="002C5D20" w:rsidRPr="006159A2">
        <w:rPr>
          <w:lang w:val="en-GB"/>
        </w:rPr>
        <w:t xml:space="preserve">Modelled chemical sink and source mass fluxes of OH in </w:t>
      </w:r>
      <w:r w:rsidR="002C5D20" w:rsidRPr="006159A2">
        <w:rPr>
          <w:lang w:val="en-GB" w:eastAsia="nl-NL"/>
        </w:rPr>
        <w:t>aqueous phase for the second day of modelli</w:t>
      </w:r>
      <w:r w:rsidR="00427422" w:rsidRPr="006159A2">
        <w:rPr>
          <w:lang w:val="en-GB" w:eastAsia="nl-NL"/>
        </w:rPr>
        <w:t>ng time for the remote scenario</w:t>
      </w:r>
      <w:r w:rsidR="008C5824" w:rsidRPr="006159A2">
        <w:rPr>
          <w:lang w:val="en-GB" w:eastAsia="nl-NL"/>
        </w:rPr>
        <w:t xml:space="preserve"> (AqChem case)</w:t>
      </w:r>
    </w:p>
    <w:p w:rsidR="004D35A2" w:rsidRPr="006159A2" w:rsidRDefault="004D35A2" w:rsidP="004D35A2"/>
    <w:p w:rsidR="009A0BB1" w:rsidRPr="006159A2" w:rsidRDefault="00E0710A" w:rsidP="004D35A2">
      <w:pPr>
        <w:jc w:val="center"/>
        <w:rPr>
          <w:lang w:val="en-GB"/>
        </w:rPr>
      </w:pPr>
      <w:r>
        <w:rPr>
          <w:noProof/>
          <w:lang w:eastAsia="en-US"/>
        </w:rPr>
        <w:drawing>
          <wp:inline distT="0" distB="0" distL="0" distR="0">
            <wp:extent cx="4271645" cy="3500755"/>
            <wp:effectExtent l="0" t="0" r="0" b="0"/>
            <wp:docPr id="5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7"/>
                    <pic:cNvPicPr>
                      <a:picLocks noChangeAspect="1" noChangeArrowheads="1"/>
                    </pic:cNvPicPr>
                  </pic:nvPicPr>
                  <pic:blipFill>
                    <a:blip r:embed="rId19"/>
                    <a:srcRect/>
                    <a:stretch>
                      <a:fillRect/>
                    </a:stretch>
                  </pic:blipFill>
                  <pic:spPr bwMode="auto">
                    <a:xfrm>
                      <a:off x="0" y="0"/>
                      <a:ext cx="4271645" cy="3500755"/>
                    </a:xfrm>
                    <a:prstGeom prst="rect">
                      <a:avLst/>
                    </a:prstGeom>
                    <a:noFill/>
                    <a:ln w="9525">
                      <a:noFill/>
                      <a:miter lim="800000"/>
                      <a:headEnd/>
                      <a:tailEnd/>
                    </a:ln>
                  </pic:spPr>
                </pic:pic>
              </a:graphicData>
            </a:graphic>
          </wp:inline>
        </w:drawing>
      </w:r>
    </w:p>
    <w:p w:rsidR="009A0BB1" w:rsidRPr="006159A2" w:rsidRDefault="009A0BB1" w:rsidP="004D35A2">
      <w:pPr>
        <w:pStyle w:val="figlegend"/>
        <w:tabs>
          <w:tab w:val="left" w:pos="993"/>
        </w:tabs>
        <w:spacing w:before="0"/>
        <w:jc w:val="both"/>
        <w:rPr>
          <w:lang w:val="en-GB"/>
        </w:rPr>
      </w:pPr>
      <w:r w:rsidRPr="006159A2">
        <w:rPr>
          <w:b/>
          <w:lang w:val="en-GB"/>
        </w:rPr>
        <w:t>Fig. S</w:t>
      </w:r>
      <w:r w:rsidR="005522E3" w:rsidRPr="006159A2">
        <w:rPr>
          <w:b/>
          <w:lang w:val="en-GB"/>
        </w:rPr>
        <w:t>6</w:t>
      </w:r>
      <w:r w:rsidRPr="006159A2">
        <w:rPr>
          <w:lang w:val="en-GB"/>
        </w:rPr>
        <w:tab/>
        <w:t>Comparison of the modelled non</w:t>
      </w:r>
      <w:r w:rsidRPr="006159A2">
        <w:rPr>
          <w:lang w:val="en-GB"/>
        </w:rPr>
        <w:noBreakHyphen/>
        <w:t>cloud aqueous</w:t>
      </w:r>
      <w:r w:rsidRPr="006159A2">
        <w:rPr>
          <w:lang w:val="en-GB"/>
        </w:rPr>
        <w:noBreakHyphen/>
        <w:t>phase OH and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concentrations under urban conditions using the last 96 hours of the simulation.</w:t>
      </w:r>
      <w:r w:rsidRPr="006159A2" w:rsidDel="001E1EF0">
        <w:rPr>
          <w:lang w:val="en-GB"/>
        </w:rPr>
        <w:t xml:space="preserve"> </w:t>
      </w:r>
      <w:r w:rsidRPr="006159A2">
        <w:rPr>
          <w:lang w:val="en-GB"/>
        </w:rPr>
        <w:t>The red line represents the linear regression line (RMA algorithm). The regression equation coefficients and correlation value are given in the legend</w:t>
      </w:r>
    </w:p>
    <w:p w:rsidR="00C92AAF" w:rsidRPr="006159A2" w:rsidRDefault="00C92AAF" w:rsidP="00C92AAF">
      <w:pPr>
        <w:pStyle w:val="tablelegend"/>
        <w:tabs>
          <w:tab w:val="left" w:pos="993"/>
        </w:tabs>
        <w:jc w:val="both"/>
        <w:rPr>
          <w:lang w:val="en-GB"/>
        </w:rPr>
      </w:pPr>
      <w:r w:rsidRPr="006159A2">
        <w:rPr>
          <w:b/>
          <w:lang w:val="en-GB"/>
        </w:rPr>
        <w:lastRenderedPageBreak/>
        <w:t>Tab. S3</w:t>
      </w:r>
      <w:r w:rsidRPr="006159A2">
        <w:rPr>
          <w:lang w:val="en-GB"/>
        </w:rPr>
        <w:tab/>
      </w:r>
      <w:bookmarkStart w:id="2" w:name="_Toc229814834"/>
      <w:r w:rsidRPr="006159A2">
        <w:t>Integrated percentage contributions of the most important NO</w:t>
      </w:r>
      <w:r w:rsidRPr="006159A2">
        <w:rPr>
          <w:vertAlign w:val="subscript"/>
        </w:rPr>
        <w:t>3</w:t>
      </w:r>
      <w:r w:rsidRPr="006159A2">
        <w:t xml:space="preserve"> radical sources and sink reactions for the urban case classified regarding to the different microphysical conditions during the simulation time (</w:t>
      </w:r>
      <w:bookmarkEnd w:id="2"/>
      <w:r w:rsidRPr="006159A2">
        <w:rPr>
          <w:lang w:val="en-GB"/>
        </w:rPr>
        <w:t>1 = total contributions throughout the simulation time, 2 = contributions throughout all cloud events, 3/4 = contributions throughout all day/night cloud events, 5 = contribution under the deliquescent particle conditions) (only sinks and sources with a contribution larger than ±1 % presented)</w:t>
      </w:r>
    </w:p>
    <w:tbl>
      <w:tblPr>
        <w:tblW w:w="9096" w:type="dxa"/>
        <w:jc w:val="center"/>
        <w:tblLayout w:type="fixed"/>
        <w:tblLook w:val="0000"/>
      </w:tblPr>
      <w:tblGrid>
        <w:gridCol w:w="3792"/>
        <w:gridCol w:w="1060"/>
        <w:gridCol w:w="1061"/>
        <w:gridCol w:w="1061"/>
        <w:gridCol w:w="1061"/>
        <w:gridCol w:w="1061"/>
      </w:tblGrid>
      <w:tr w:rsidR="00C92AAF" w:rsidRPr="006159A2" w:rsidTr="00421179">
        <w:trPr>
          <w:trHeight w:val="524"/>
          <w:tblHeader/>
          <w:jc w:val="center"/>
        </w:trPr>
        <w:tc>
          <w:tcPr>
            <w:tcW w:w="3792" w:type="dxa"/>
            <w:tcBorders>
              <w:top w:val="single" w:sz="4" w:space="0" w:color="auto"/>
              <w:left w:val="nil"/>
              <w:bottom w:val="single" w:sz="4" w:space="0" w:color="auto"/>
              <w:right w:val="nil"/>
            </w:tcBorders>
            <w:shd w:val="clear" w:color="auto" w:fill="D9D9D9"/>
            <w:noWrap/>
            <w:vAlign w:val="center"/>
          </w:tcPr>
          <w:p w:rsidR="00C92AAF" w:rsidRPr="006159A2" w:rsidRDefault="00C92AAF" w:rsidP="00421179">
            <w:pPr>
              <w:pStyle w:val="TabelleAnhang"/>
              <w:jc w:val="left"/>
              <w:rPr>
                <w:b/>
              </w:rPr>
            </w:pPr>
            <w:r w:rsidRPr="006159A2">
              <w:rPr>
                <w:b/>
              </w:rPr>
              <w:t>Reaction</w:t>
            </w:r>
          </w:p>
        </w:tc>
        <w:tc>
          <w:tcPr>
            <w:tcW w:w="1060" w:type="dxa"/>
            <w:tcBorders>
              <w:top w:val="single" w:sz="4" w:space="0" w:color="auto"/>
              <w:left w:val="nil"/>
              <w:bottom w:val="single" w:sz="4" w:space="0" w:color="auto"/>
              <w:right w:val="nil"/>
            </w:tcBorders>
            <w:shd w:val="clear" w:color="auto" w:fill="D9D9D9"/>
            <w:noWrap/>
            <w:vAlign w:val="center"/>
          </w:tcPr>
          <w:p w:rsidR="00C92AAF" w:rsidRPr="006159A2" w:rsidRDefault="00C92AAF" w:rsidP="00421179">
            <w:pPr>
              <w:jc w:val="center"/>
              <w:rPr>
                <w:b/>
                <w:sz w:val="20"/>
                <w:lang w:val="en-GB"/>
              </w:rPr>
            </w:pPr>
            <w:r w:rsidRPr="006159A2">
              <w:rPr>
                <w:b/>
                <w:sz w:val="20"/>
                <w:lang w:val="en-GB"/>
              </w:rPr>
              <w:t>1</w:t>
            </w:r>
          </w:p>
        </w:tc>
        <w:tc>
          <w:tcPr>
            <w:tcW w:w="1061" w:type="dxa"/>
            <w:tcBorders>
              <w:top w:val="single" w:sz="4" w:space="0" w:color="auto"/>
              <w:left w:val="nil"/>
              <w:bottom w:val="single" w:sz="4" w:space="0" w:color="auto"/>
              <w:right w:val="nil"/>
            </w:tcBorders>
            <w:shd w:val="clear" w:color="auto" w:fill="D9D9D9"/>
            <w:noWrap/>
            <w:vAlign w:val="center"/>
          </w:tcPr>
          <w:p w:rsidR="00C92AAF" w:rsidRPr="006159A2" w:rsidRDefault="00C92AAF" w:rsidP="00421179">
            <w:pPr>
              <w:jc w:val="center"/>
              <w:rPr>
                <w:b/>
                <w:sz w:val="20"/>
                <w:lang w:val="en-GB"/>
              </w:rPr>
            </w:pPr>
            <w:r w:rsidRPr="006159A2">
              <w:rPr>
                <w:b/>
                <w:sz w:val="20"/>
                <w:lang w:val="en-GB"/>
              </w:rPr>
              <w:t>2</w:t>
            </w:r>
          </w:p>
        </w:tc>
        <w:tc>
          <w:tcPr>
            <w:tcW w:w="1061" w:type="dxa"/>
            <w:tcBorders>
              <w:top w:val="single" w:sz="4" w:space="0" w:color="auto"/>
              <w:left w:val="nil"/>
              <w:bottom w:val="single" w:sz="4" w:space="0" w:color="auto"/>
              <w:right w:val="nil"/>
            </w:tcBorders>
            <w:shd w:val="clear" w:color="auto" w:fill="D9D9D9"/>
            <w:noWrap/>
            <w:vAlign w:val="center"/>
          </w:tcPr>
          <w:p w:rsidR="00C92AAF" w:rsidRPr="006159A2" w:rsidRDefault="00C92AAF" w:rsidP="00421179">
            <w:pPr>
              <w:jc w:val="center"/>
              <w:rPr>
                <w:b/>
                <w:sz w:val="20"/>
                <w:lang w:val="en-GB"/>
              </w:rPr>
            </w:pPr>
            <w:r w:rsidRPr="006159A2">
              <w:rPr>
                <w:b/>
                <w:sz w:val="20"/>
                <w:lang w:val="en-GB"/>
              </w:rPr>
              <w:t>3</w:t>
            </w:r>
          </w:p>
        </w:tc>
        <w:tc>
          <w:tcPr>
            <w:tcW w:w="1061" w:type="dxa"/>
            <w:tcBorders>
              <w:top w:val="single" w:sz="4" w:space="0" w:color="auto"/>
              <w:left w:val="nil"/>
              <w:bottom w:val="single" w:sz="4" w:space="0" w:color="auto"/>
              <w:right w:val="nil"/>
            </w:tcBorders>
            <w:shd w:val="clear" w:color="auto" w:fill="D9D9D9"/>
            <w:noWrap/>
            <w:vAlign w:val="center"/>
          </w:tcPr>
          <w:p w:rsidR="00C92AAF" w:rsidRPr="006159A2" w:rsidRDefault="00C92AAF" w:rsidP="00421179">
            <w:pPr>
              <w:jc w:val="center"/>
              <w:rPr>
                <w:b/>
                <w:sz w:val="20"/>
                <w:lang w:val="en-GB"/>
              </w:rPr>
            </w:pPr>
            <w:r w:rsidRPr="006159A2">
              <w:rPr>
                <w:b/>
                <w:sz w:val="20"/>
                <w:lang w:val="en-GB"/>
              </w:rPr>
              <w:t>4</w:t>
            </w:r>
          </w:p>
        </w:tc>
        <w:tc>
          <w:tcPr>
            <w:tcW w:w="1061" w:type="dxa"/>
            <w:tcBorders>
              <w:top w:val="single" w:sz="4" w:space="0" w:color="auto"/>
              <w:left w:val="nil"/>
              <w:bottom w:val="single" w:sz="4" w:space="0" w:color="auto"/>
              <w:right w:val="nil"/>
            </w:tcBorders>
            <w:shd w:val="clear" w:color="auto" w:fill="D9D9D9"/>
            <w:noWrap/>
            <w:vAlign w:val="center"/>
          </w:tcPr>
          <w:p w:rsidR="00C92AAF" w:rsidRPr="006159A2" w:rsidRDefault="00C92AAF" w:rsidP="00421179">
            <w:pPr>
              <w:jc w:val="center"/>
              <w:rPr>
                <w:b/>
                <w:sz w:val="20"/>
                <w:lang w:val="en-GB"/>
              </w:rPr>
            </w:pPr>
            <w:r w:rsidRPr="006159A2">
              <w:rPr>
                <w:b/>
                <w:sz w:val="20"/>
                <w:lang w:val="en-GB"/>
              </w:rPr>
              <w:t>5</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rPr>
                <w:lang w:val="pt-BR"/>
              </w:rPr>
            </w:pPr>
            <w:r w:rsidRPr="006159A2">
              <w:rPr>
                <w:lang w:val="pt-BR"/>
              </w:rPr>
              <w:t>phase transfer: NO</w:t>
            </w:r>
            <w:r w:rsidRPr="006159A2">
              <w:rPr>
                <w:vertAlign w:val="subscript"/>
                <w:lang w:val="pt-BR"/>
              </w:rPr>
              <w:t>3(gas)</w:t>
            </w:r>
            <w:r w:rsidRPr="006159A2">
              <w:rPr>
                <w:lang w:val="pt-BR"/>
              </w:rPr>
              <w:t xml:space="preserve"> </w:t>
            </w:r>
            <w:r w:rsidR="00E0710A">
              <w:rPr>
                <w:noProof/>
                <w:position w:val="-14"/>
                <w:lang w:val="en-US" w:eastAsia="en-US"/>
              </w:rPr>
              <w:drawing>
                <wp:inline distT="0" distB="0" distL="0" distR="0">
                  <wp:extent cx="313690" cy="280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rPr>
                <w:lang w:val="pt-BR"/>
              </w:rPr>
              <w:t>NO</w:t>
            </w:r>
            <w:r w:rsidRPr="006159A2">
              <w:rPr>
                <w:vertAlign w:val="subscript"/>
                <w:lang w:val="pt-BR"/>
              </w:rPr>
              <w:t>3(aq)</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93.4%</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99.9%</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99.8%</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99.9%</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52.9%</w:t>
            </w:r>
          </w:p>
        </w:tc>
      </w:tr>
      <w:tr w:rsidR="00C92AAF" w:rsidRPr="006159A2" w:rsidTr="00421179">
        <w:trPr>
          <w:trHeight w:val="299"/>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Cl</w:t>
            </w:r>
            <w:r w:rsidRPr="006159A2">
              <w:rPr>
                <w:vertAlign w:val="superscript"/>
              </w:rPr>
              <w:t>-</w:t>
            </w:r>
            <w:r w:rsidRPr="006159A2">
              <w:t xml:space="preserve"> + NO</w:t>
            </w:r>
            <w:r w:rsidRPr="006159A2">
              <w:rPr>
                <w:vertAlign w:val="subscript"/>
              </w:rPr>
              <w:t>3</w:t>
            </w:r>
            <w:r w:rsidRPr="006159A2">
              <w:t xml:space="preserve"> </w:t>
            </w:r>
            <w:r w:rsidR="00E0710A">
              <w:rPr>
                <w:noProof/>
                <w:position w:val="-14"/>
                <w:lang w:val="en-US" w:eastAsia="en-US"/>
              </w:rPr>
              <w:drawing>
                <wp:inline distT="0" distB="0" distL="0" distR="0">
                  <wp:extent cx="313690" cy="2800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6159A2">
              <w:t>NO</w:t>
            </w:r>
            <w:r w:rsidRPr="006159A2">
              <w:rPr>
                <w:vertAlign w:val="subscript"/>
              </w:rPr>
              <w:t>3</w:t>
            </w:r>
            <w:r w:rsidRPr="006159A2">
              <w:rPr>
                <w:vertAlign w:val="superscript"/>
              </w:rPr>
              <w:t>-</w:t>
            </w:r>
            <w:r w:rsidRPr="006159A2">
              <w:t xml:space="preserve"> + Cl</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6.2%</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-0.4%</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-0.8%</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44.9%</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SO</w:t>
            </w:r>
            <w:r w:rsidRPr="006159A2">
              <w:rPr>
                <w:vertAlign w:val="subscript"/>
              </w:rPr>
              <w:t>4</w:t>
            </w:r>
            <w:r w:rsidRPr="006159A2">
              <w:rPr>
                <w:vertAlign w:val="superscript"/>
              </w:rPr>
              <w:t>-</w:t>
            </w:r>
            <w:r w:rsidRPr="006159A2">
              <w:t xml:space="preserve"> + NO</w:t>
            </w:r>
            <w:r w:rsidRPr="006159A2">
              <w:rPr>
                <w:vertAlign w:val="subscript"/>
              </w:rPr>
              <w:t>3</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SO</w:t>
            </w:r>
            <w:r w:rsidRPr="006159A2">
              <w:rPr>
                <w:vertAlign w:val="subscript"/>
              </w:rPr>
              <w:t>4</w:t>
            </w:r>
            <w:r w:rsidRPr="006159A2">
              <w:rPr>
                <w:vertAlign w:val="superscript"/>
              </w:rPr>
              <w:t>2-</w:t>
            </w:r>
            <w:r w:rsidRPr="006159A2">
              <w:t xml:space="preserve"> + NO</w:t>
            </w:r>
            <w:r w:rsidRPr="006159A2">
              <w:rPr>
                <w:vertAlign w:val="subscript"/>
              </w:rPr>
              <w:t>3</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0.4%</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0.2%</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2.2%</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SO</w:t>
            </w:r>
            <w:r w:rsidRPr="006159A2">
              <w:rPr>
                <w:vertAlign w:val="subscript"/>
              </w:rPr>
              <w:t>4</w:t>
            </w:r>
            <w:r w:rsidRPr="006159A2">
              <w:rPr>
                <w:vertAlign w:val="superscript"/>
              </w:rPr>
              <w:t>2-</w:t>
            </w:r>
            <w:r w:rsidRPr="006159A2">
              <w:t xml:space="preserve"> </w:t>
            </w:r>
            <w:r w:rsidR="00E0710A">
              <w:rPr>
                <w:noProof/>
                <w:position w:val="-6"/>
                <w:lang w:val="en-US" w:eastAsia="en-US"/>
              </w:rPr>
              <w:drawing>
                <wp:inline distT="0" distB="0" distL="0" distR="0">
                  <wp:extent cx="280035" cy="1708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NO</w:t>
            </w:r>
            <w:r w:rsidRPr="006159A2">
              <w:rPr>
                <w:vertAlign w:val="subscript"/>
              </w:rPr>
              <w:t>3</w:t>
            </w:r>
            <w:r w:rsidRPr="006159A2">
              <w:rPr>
                <w:vertAlign w:val="superscript"/>
              </w:rPr>
              <w:t>-</w:t>
            </w:r>
            <w:r w:rsidRPr="006159A2">
              <w:t xml:space="preserve"> + SO</w:t>
            </w:r>
            <w:r w:rsidRPr="006159A2">
              <w:rPr>
                <w:vertAlign w:val="subscript"/>
              </w:rPr>
              <w:t>4</w:t>
            </w:r>
            <w:r w:rsidRPr="006159A2">
              <w:rPr>
                <w:vertAlign w:val="superscript"/>
              </w:rPr>
              <w:t>-</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-1.2%</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-0.7%</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-0.6%</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-0.8%</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-3.7%</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Fe</w:t>
            </w:r>
            <w:r w:rsidRPr="006159A2">
              <w:rPr>
                <w:vertAlign w:val="superscript"/>
              </w:rPr>
              <w:t>2+</w:t>
            </w:r>
            <w:r w:rsidRPr="006159A2">
              <w:t xml:space="preserve"> </w:t>
            </w:r>
            <w:r w:rsidR="00E0710A">
              <w:rPr>
                <w:noProof/>
                <w:position w:val="-6"/>
                <w:lang w:val="en-US" w:eastAsia="en-US"/>
              </w:rPr>
              <w:drawing>
                <wp:inline distT="0" distB="0" distL="0" distR="0">
                  <wp:extent cx="280035" cy="1708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NO</w:t>
            </w:r>
            <w:r w:rsidRPr="006159A2">
              <w:rPr>
                <w:vertAlign w:val="subscript"/>
              </w:rPr>
              <w:t>3</w:t>
            </w:r>
            <w:r w:rsidRPr="006159A2">
              <w:rPr>
                <w:vertAlign w:val="superscript"/>
              </w:rPr>
              <w:t>-</w:t>
            </w:r>
            <w:r w:rsidRPr="006159A2">
              <w:t xml:space="preserve"> + Fe</w:t>
            </w:r>
            <w:r w:rsidRPr="006159A2">
              <w:rPr>
                <w:vertAlign w:val="superscript"/>
              </w:rPr>
              <w:t>3+</w:t>
            </w:r>
            <w:r w:rsidRPr="006159A2">
              <w:t xml:space="preserve"> </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-0.3%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-1.5%</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rPr>
                <w:lang w:val="pt-BR"/>
              </w:rPr>
            </w:pPr>
            <w:r w:rsidRPr="006159A2">
              <w:rPr>
                <w:lang w:val="pt-BR"/>
              </w:rPr>
              <w:t>NO</w:t>
            </w:r>
            <w:r w:rsidRPr="006159A2">
              <w:rPr>
                <w:vertAlign w:val="subscript"/>
                <w:lang w:val="pt-BR"/>
              </w:rPr>
              <w:t>3</w:t>
            </w:r>
            <w:r w:rsidRPr="006159A2">
              <w:rPr>
                <w:lang w:val="pt-BR"/>
              </w:rPr>
              <w:t xml:space="preserve"> + HSO</w:t>
            </w:r>
            <w:r w:rsidRPr="006159A2">
              <w:rPr>
                <w:vertAlign w:val="subscript"/>
                <w:lang w:val="pt-BR"/>
              </w:rPr>
              <w:t>3</w:t>
            </w:r>
            <w:r w:rsidRPr="006159A2">
              <w:rPr>
                <w:vertAlign w:val="superscript"/>
                <w:lang w:val="pt-BR"/>
              </w:rPr>
              <w:t>-</w:t>
            </w:r>
            <w:r w:rsidRPr="006159A2">
              <w:rPr>
                <w:lang w:val="pt-BR"/>
              </w:rPr>
              <w:t xml:space="preserve"> </w:t>
            </w:r>
            <w:r w:rsidR="00E0710A">
              <w:rPr>
                <w:noProof/>
                <w:position w:val="-6"/>
                <w:lang w:val="en-US" w:eastAsia="en-US"/>
              </w:rPr>
              <w:drawing>
                <wp:inline distT="0" distB="0" distL="0" distR="0">
                  <wp:extent cx="280035" cy="1708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lang w:val="pt-BR"/>
              </w:rPr>
              <w:t>NO</w:t>
            </w:r>
            <w:r w:rsidRPr="006159A2">
              <w:rPr>
                <w:vertAlign w:val="subscript"/>
                <w:lang w:val="pt-BR"/>
              </w:rPr>
              <w:t>3</w:t>
            </w:r>
            <w:r w:rsidRPr="006159A2">
              <w:rPr>
                <w:vertAlign w:val="superscript"/>
                <w:lang w:val="pt-BR"/>
              </w:rPr>
              <w:t>-</w:t>
            </w:r>
            <w:r w:rsidRPr="006159A2">
              <w:rPr>
                <w:lang w:val="pt-BR"/>
              </w:rPr>
              <w:t xml:space="preserve"> + H</w:t>
            </w:r>
            <w:r w:rsidRPr="006159A2">
              <w:rPr>
                <w:vertAlign w:val="superscript"/>
                <w:lang w:val="pt-BR"/>
              </w:rPr>
              <w:t>+</w:t>
            </w:r>
            <w:r w:rsidRPr="006159A2">
              <w:rPr>
                <w:lang w:val="pt-BR"/>
              </w:rPr>
              <w:t xml:space="preserve"> + SO</w:t>
            </w:r>
            <w:r w:rsidRPr="006159A2">
              <w:rPr>
                <w:vertAlign w:val="subscript"/>
                <w:lang w:val="pt-BR"/>
              </w:rPr>
              <w:t>3</w:t>
            </w:r>
            <w:r w:rsidRPr="006159A2">
              <w:rPr>
                <w:vertAlign w:val="superscript"/>
                <w:lang w:val="pt-BR"/>
              </w:rPr>
              <w:t>-</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-7.3%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-8.6%</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-17.3%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-5.8%</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0.0%</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rPr>
                <w:lang w:val="pt-BR"/>
              </w:rPr>
            </w:pPr>
            <w:r w:rsidRPr="006159A2">
              <w:rPr>
                <w:lang w:val="pt-BR"/>
              </w:rPr>
              <w:t>NO</w:t>
            </w:r>
            <w:r w:rsidRPr="006159A2">
              <w:rPr>
                <w:vertAlign w:val="subscript"/>
                <w:lang w:val="pt-BR"/>
              </w:rPr>
              <w:t>3</w:t>
            </w:r>
            <w:r w:rsidRPr="006159A2">
              <w:rPr>
                <w:lang w:val="pt-BR"/>
              </w:rPr>
              <w:t xml:space="preserve"> + HSO</w:t>
            </w:r>
            <w:r w:rsidRPr="006159A2">
              <w:rPr>
                <w:vertAlign w:val="subscript"/>
                <w:lang w:val="pt-BR"/>
              </w:rPr>
              <w:t>4</w:t>
            </w:r>
            <w:r w:rsidRPr="006159A2">
              <w:rPr>
                <w:vertAlign w:val="superscript"/>
                <w:lang w:val="pt-BR"/>
              </w:rPr>
              <w:t>-</w:t>
            </w:r>
            <w:r w:rsidRPr="006159A2">
              <w:rPr>
                <w:lang w:val="pt-BR"/>
              </w:rPr>
              <w:t xml:space="preserve"> </w:t>
            </w:r>
            <w:r w:rsidR="00E0710A">
              <w:rPr>
                <w:noProof/>
                <w:position w:val="-6"/>
                <w:lang w:val="en-US" w:eastAsia="en-US"/>
              </w:rPr>
              <w:drawing>
                <wp:inline distT="0" distB="0" distL="0" distR="0">
                  <wp:extent cx="280035" cy="1708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lang w:val="pt-BR"/>
              </w:rPr>
              <w:t>NO</w:t>
            </w:r>
            <w:r w:rsidRPr="006159A2">
              <w:rPr>
                <w:vertAlign w:val="subscript"/>
                <w:lang w:val="pt-BR"/>
              </w:rPr>
              <w:t>3</w:t>
            </w:r>
            <w:r w:rsidRPr="006159A2">
              <w:rPr>
                <w:vertAlign w:val="superscript"/>
                <w:lang w:val="pt-BR"/>
              </w:rPr>
              <w:t>-</w:t>
            </w:r>
            <w:r w:rsidRPr="006159A2">
              <w:rPr>
                <w:lang w:val="pt-BR"/>
              </w:rPr>
              <w:t xml:space="preserve"> + H</w:t>
            </w:r>
            <w:r w:rsidRPr="006159A2">
              <w:rPr>
                <w:vertAlign w:val="superscript"/>
                <w:lang w:val="pt-BR"/>
              </w:rPr>
              <w:t>+</w:t>
            </w:r>
            <w:r w:rsidRPr="006159A2">
              <w:rPr>
                <w:lang w:val="pt-BR"/>
              </w:rPr>
              <w:t xml:space="preserve"> + SO</w:t>
            </w:r>
            <w:r w:rsidRPr="006159A2">
              <w:rPr>
                <w:vertAlign w:val="subscript"/>
                <w:lang w:val="pt-BR"/>
              </w:rPr>
              <w:t>4</w:t>
            </w:r>
            <w:r w:rsidRPr="006159A2">
              <w:rPr>
                <w:vertAlign w:val="superscript"/>
                <w:lang w:val="pt-BR"/>
              </w:rPr>
              <w:t>-</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-2.9%</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-0.4%</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-17.1%</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Br</w:t>
            </w:r>
            <w:r w:rsidRPr="006159A2">
              <w:rPr>
                <w:vertAlign w:val="superscript"/>
              </w:rPr>
              <w:t>-</w:t>
            </w:r>
            <w:r w:rsidRPr="006159A2">
              <w:t xml:space="preserve"> + NO</w:t>
            </w:r>
            <w:r w:rsidRPr="006159A2">
              <w:rPr>
                <w:vertAlign w:val="subscript"/>
              </w:rPr>
              <w:t>3</w:t>
            </w:r>
            <w:r w:rsidRPr="006159A2">
              <w:t xml:space="preserve"> </w:t>
            </w:r>
            <w:r w:rsidR="00E0710A">
              <w:rPr>
                <w:noProof/>
                <w:position w:val="-6"/>
                <w:lang w:val="en-US" w:eastAsia="en-US"/>
              </w:rPr>
              <w:drawing>
                <wp:inline distT="0" distB="0" distL="0" distR="0">
                  <wp:extent cx="280035" cy="1708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t>NO</w:t>
            </w:r>
            <w:r w:rsidRPr="006159A2">
              <w:rPr>
                <w:vertAlign w:val="subscript"/>
              </w:rPr>
              <w:t>3</w:t>
            </w:r>
            <w:r w:rsidRPr="006159A2">
              <w:rPr>
                <w:vertAlign w:val="superscript"/>
              </w:rPr>
              <w:t>-</w:t>
            </w:r>
            <w:r w:rsidRPr="006159A2">
              <w:t xml:space="preserve"> + Br</w:t>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-2.3%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-0.2%</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0.0%</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-14.9%</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rPr>
                <w:lang w:val="pt-BR"/>
              </w:rPr>
            </w:pPr>
            <w:r w:rsidRPr="006159A2">
              <w:rPr>
                <w:lang w:val="pt-BR"/>
              </w:rPr>
              <w:t>NO</w:t>
            </w:r>
            <w:r w:rsidRPr="006159A2">
              <w:rPr>
                <w:vertAlign w:val="subscript"/>
                <w:lang w:val="pt-BR"/>
              </w:rPr>
              <w:t>3</w:t>
            </w:r>
            <w:r w:rsidRPr="006159A2">
              <w:rPr>
                <w:lang w:val="pt-BR"/>
              </w:rPr>
              <w:t xml:space="preserve"> + CH</w:t>
            </w:r>
            <w:r w:rsidRPr="006159A2">
              <w:rPr>
                <w:vertAlign w:val="subscript"/>
                <w:lang w:val="pt-BR"/>
              </w:rPr>
              <w:t>3</w:t>
            </w:r>
            <w:r w:rsidRPr="006159A2">
              <w:rPr>
                <w:lang w:val="pt-BR"/>
              </w:rPr>
              <w:t>C(O)CH(OH)</w:t>
            </w:r>
            <w:r w:rsidRPr="006159A2">
              <w:rPr>
                <w:vertAlign w:val="subscript"/>
                <w:lang w:val="pt-BR"/>
              </w:rPr>
              <w:t>2</w:t>
            </w:r>
            <w:r w:rsidRPr="006159A2">
              <w:rPr>
                <w:lang w:val="pt-BR"/>
              </w:rPr>
              <w:t xml:space="preserve"> </w:t>
            </w:r>
            <w:r w:rsidR="00E0710A">
              <w:rPr>
                <w:noProof/>
                <w:position w:val="-6"/>
                <w:lang w:val="en-US" w:eastAsia="en-US"/>
              </w:rPr>
              <w:drawing>
                <wp:inline distT="0" distB="0" distL="0" distR="0">
                  <wp:extent cx="280035" cy="1708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-42.7%</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-49.9%</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-40.1%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-53.1%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-0.3%</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CH</w:t>
            </w:r>
            <w:r w:rsidRPr="006159A2">
              <w:rPr>
                <w:vertAlign w:val="subscript"/>
              </w:rPr>
              <w:t>3</w:t>
            </w:r>
            <w:r w:rsidRPr="006159A2">
              <w:t xml:space="preserve">C(O)COOH </w:t>
            </w:r>
            <w:r w:rsidR="00E0710A">
              <w:rPr>
                <w:noProof/>
                <w:position w:val="-6"/>
                <w:lang w:val="en-US" w:eastAsia="en-US"/>
              </w:rPr>
              <w:drawing>
                <wp:inline distT="0" distB="0" distL="0" distR="0">
                  <wp:extent cx="280035" cy="1708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-0.4%</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-1.9%</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CH</w:t>
            </w:r>
            <w:r w:rsidRPr="006159A2">
              <w:rPr>
                <w:vertAlign w:val="subscript"/>
              </w:rPr>
              <w:t>3</w:t>
            </w:r>
            <w:r w:rsidRPr="006159A2">
              <w:t>C(O)COO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-8.0%</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-8.1%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-5.9%</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-8.8%</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-7.2%</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OHCCH(OH)CH(OH)COOH </w:t>
            </w:r>
            <w:r w:rsidR="00E0710A">
              <w:rPr>
                <w:noProof/>
                <w:position w:val="-6"/>
                <w:lang w:val="en-US" w:eastAsia="en-US"/>
              </w:rPr>
              <w:drawing>
                <wp:inline distT="0" distB="0" distL="0" distR="0">
                  <wp:extent cx="280035" cy="1708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-0.3%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-0.2%</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-1.4%</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OHCCH(OH)CH(OH)COO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-1.0%</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-0.5%</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-0.4%</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rPr>
                <w:lang w:val="pt-BR"/>
              </w:rPr>
            </w:pPr>
            <w:r w:rsidRPr="006159A2">
              <w:rPr>
                <w:lang w:val="pt-BR"/>
              </w:rPr>
              <w:t>NO</w:t>
            </w:r>
            <w:r w:rsidRPr="006159A2">
              <w:rPr>
                <w:vertAlign w:val="subscript"/>
                <w:lang w:val="pt-BR"/>
              </w:rPr>
              <w:t>3</w:t>
            </w:r>
            <w:r w:rsidRPr="006159A2">
              <w:rPr>
                <w:lang w:val="pt-BR"/>
              </w:rPr>
              <w:t xml:space="preserve"> + CH</w:t>
            </w:r>
            <w:r w:rsidRPr="006159A2">
              <w:rPr>
                <w:vertAlign w:val="subscript"/>
                <w:lang w:val="pt-BR"/>
              </w:rPr>
              <w:t>2</w:t>
            </w:r>
            <w:r w:rsidRPr="006159A2">
              <w:rPr>
                <w:lang w:val="pt-BR"/>
              </w:rPr>
              <w:t>(OH)C(O)COO</w:t>
            </w:r>
            <w:r w:rsidRPr="006159A2">
              <w:rPr>
                <w:vertAlign w:val="superscript"/>
                <w:lang w:val="pt-BR"/>
              </w:rPr>
              <w:t>-</w:t>
            </w:r>
            <w:r w:rsidRPr="006159A2">
              <w:rPr>
                <w:lang w:val="pt-BR"/>
              </w:rPr>
              <w:t xml:space="preserve"> </w:t>
            </w:r>
            <w:r w:rsidR="00E0710A">
              <w:rPr>
                <w:noProof/>
                <w:position w:val="-6"/>
                <w:lang w:val="en-US" w:eastAsia="en-US"/>
              </w:rPr>
              <w:drawing>
                <wp:inline distT="0" distB="0" distL="0" distR="0">
                  <wp:extent cx="280035" cy="1708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-5.6%</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-5.5%</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-3.2%</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-6.3%</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-6.2%</w:t>
            </w:r>
          </w:p>
        </w:tc>
      </w:tr>
      <w:tr w:rsidR="00C92AAF" w:rsidRPr="006159A2" w:rsidTr="00421179">
        <w:trPr>
          <w:trHeight w:val="255"/>
          <w:jc w:val="center"/>
        </w:trPr>
        <w:tc>
          <w:tcPr>
            <w:tcW w:w="3792" w:type="dxa"/>
            <w:tcBorders>
              <w:left w:val="nil"/>
              <w:bottom w:val="nil"/>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CHOC(O)COO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nil"/>
              <w:right w:val="nil"/>
            </w:tcBorders>
            <w:shd w:val="clear" w:color="auto" w:fill="auto"/>
            <w:noWrap/>
            <w:vAlign w:val="center"/>
          </w:tcPr>
          <w:p w:rsidR="00C92AAF" w:rsidRPr="006159A2" w:rsidRDefault="00C92AAF" w:rsidP="00421179">
            <w:pPr>
              <w:pStyle w:val="TabelleAnhang"/>
            </w:pPr>
            <w:r w:rsidRPr="006159A2">
              <w:t>-23.5%</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-20.2%</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-26.5%</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-18.1%</w:t>
            </w:r>
          </w:p>
        </w:tc>
        <w:tc>
          <w:tcPr>
            <w:tcW w:w="1061" w:type="dxa"/>
            <w:tcBorders>
              <w:left w:val="nil"/>
              <w:bottom w:val="nil"/>
              <w:right w:val="nil"/>
            </w:tcBorders>
            <w:shd w:val="clear" w:color="auto" w:fill="auto"/>
            <w:noWrap/>
            <w:vAlign w:val="center"/>
          </w:tcPr>
          <w:p w:rsidR="00C92AAF" w:rsidRPr="006159A2" w:rsidRDefault="00C92AAF" w:rsidP="00421179">
            <w:pPr>
              <w:pStyle w:val="TabelleAnhang"/>
            </w:pPr>
            <w:r w:rsidRPr="006159A2">
              <w:t>-41.7%</w:t>
            </w:r>
          </w:p>
        </w:tc>
      </w:tr>
      <w:tr w:rsidR="00C92AAF" w:rsidRPr="006159A2" w:rsidTr="00421179">
        <w:trPr>
          <w:trHeight w:val="255"/>
          <w:jc w:val="center"/>
        </w:trPr>
        <w:tc>
          <w:tcPr>
            <w:tcW w:w="3792" w:type="dxa"/>
            <w:tcBorders>
              <w:left w:val="nil"/>
              <w:bottom w:val="single" w:sz="4" w:space="0" w:color="auto"/>
              <w:right w:val="nil"/>
            </w:tcBorders>
            <w:shd w:val="clear" w:color="auto" w:fill="auto"/>
            <w:noWrap/>
            <w:vAlign w:val="center"/>
          </w:tcPr>
          <w:p w:rsidR="00C92AAF" w:rsidRPr="006159A2" w:rsidRDefault="00C92AAF" w:rsidP="00421179">
            <w:pPr>
              <w:pStyle w:val="TabelleAnhang"/>
              <w:jc w:val="left"/>
            </w:pPr>
            <w:r w:rsidRPr="006159A2">
              <w:t>NO</w:t>
            </w:r>
            <w:r w:rsidRPr="006159A2">
              <w:rPr>
                <w:vertAlign w:val="subscript"/>
              </w:rPr>
              <w:t>3</w:t>
            </w:r>
            <w:r w:rsidRPr="006159A2">
              <w:t xml:space="preserve"> + HCOO</w:t>
            </w:r>
            <w:r w:rsidRPr="006159A2">
              <w:rPr>
                <w:vertAlign w:val="superscript"/>
              </w:rPr>
              <w:t>-</w:t>
            </w:r>
            <w:r w:rsidRPr="006159A2">
              <w:t xml:space="preserve"> </w:t>
            </w:r>
            <w:r w:rsidR="00E0710A">
              <w:rPr>
                <w:noProof/>
                <w:position w:val="-6"/>
                <w:lang w:val="en-US" w:eastAsia="en-US"/>
              </w:rPr>
              <w:drawing>
                <wp:inline distT="0" distB="0" distL="0" distR="0">
                  <wp:extent cx="280035" cy="1708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1060"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-1.1%</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-1.3%</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-1.3%</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-1.3%</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0.0%</w:t>
            </w:r>
          </w:p>
        </w:tc>
      </w:tr>
      <w:tr w:rsidR="00C92AAF" w:rsidRPr="006159A2" w:rsidTr="00421179">
        <w:trPr>
          <w:trHeight w:val="255"/>
          <w:jc w:val="center"/>
        </w:trPr>
        <w:tc>
          <w:tcPr>
            <w:tcW w:w="3792" w:type="dxa"/>
            <w:tcBorders>
              <w:top w:val="single" w:sz="4" w:space="0" w:color="auto"/>
              <w:left w:val="nil"/>
              <w:bottom w:val="nil"/>
              <w:right w:val="nil"/>
            </w:tcBorders>
            <w:shd w:val="clear" w:color="auto" w:fill="auto"/>
            <w:noWrap/>
            <w:vAlign w:val="center"/>
          </w:tcPr>
          <w:p w:rsidR="00C92AAF" w:rsidRPr="006159A2" w:rsidRDefault="00C92AAF" w:rsidP="00421179">
            <w:pPr>
              <w:pStyle w:val="TabelleAnhang"/>
              <w:jc w:val="left"/>
            </w:pPr>
            <w:r w:rsidRPr="006159A2">
              <w:t>Total sources</w:t>
            </w:r>
          </w:p>
        </w:tc>
        <w:tc>
          <w:tcPr>
            <w:tcW w:w="1060" w:type="dxa"/>
            <w:tcBorders>
              <w:top w:val="single" w:sz="4" w:space="0" w:color="auto"/>
              <w:left w:val="nil"/>
              <w:bottom w:val="nil"/>
              <w:right w:val="nil"/>
            </w:tcBorders>
            <w:shd w:val="clear" w:color="auto" w:fill="auto"/>
            <w:noWrap/>
            <w:vAlign w:val="center"/>
          </w:tcPr>
          <w:p w:rsidR="00C92AAF" w:rsidRPr="006159A2" w:rsidRDefault="00C92AAF" w:rsidP="00421179">
            <w:pPr>
              <w:pStyle w:val="TabelleAnhang"/>
            </w:pPr>
            <w:r w:rsidRPr="006159A2">
              <w:t>100.0%</w:t>
            </w:r>
          </w:p>
        </w:tc>
        <w:tc>
          <w:tcPr>
            <w:tcW w:w="1061" w:type="dxa"/>
            <w:tcBorders>
              <w:top w:val="single" w:sz="4" w:space="0" w:color="auto"/>
              <w:left w:val="nil"/>
              <w:bottom w:val="nil"/>
              <w:right w:val="nil"/>
            </w:tcBorders>
            <w:shd w:val="clear" w:color="auto" w:fill="auto"/>
            <w:noWrap/>
            <w:vAlign w:val="center"/>
          </w:tcPr>
          <w:p w:rsidR="00C92AAF" w:rsidRPr="006159A2" w:rsidRDefault="00C92AAF" w:rsidP="00421179">
            <w:pPr>
              <w:pStyle w:val="TabelleAnhang"/>
            </w:pPr>
            <w:r w:rsidRPr="006159A2">
              <w:t>100.0%</w:t>
            </w:r>
          </w:p>
        </w:tc>
        <w:tc>
          <w:tcPr>
            <w:tcW w:w="1061" w:type="dxa"/>
            <w:tcBorders>
              <w:top w:val="single" w:sz="4" w:space="0" w:color="auto"/>
              <w:left w:val="nil"/>
              <w:bottom w:val="nil"/>
              <w:right w:val="nil"/>
            </w:tcBorders>
            <w:shd w:val="clear" w:color="auto" w:fill="auto"/>
            <w:noWrap/>
            <w:vAlign w:val="center"/>
          </w:tcPr>
          <w:p w:rsidR="00C92AAF" w:rsidRPr="006159A2" w:rsidRDefault="00C92AAF" w:rsidP="00421179">
            <w:pPr>
              <w:pStyle w:val="TabelleAnhang"/>
            </w:pPr>
            <w:r w:rsidRPr="006159A2">
              <w:t>100.0%</w:t>
            </w:r>
          </w:p>
        </w:tc>
        <w:tc>
          <w:tcPr>
            <w:tcW w:w="1061" w:type="dxa"/>
            <w:tcBorders>
              <w:top w:val="single" w:sz="4" w:space="0" w:color="auto"/>
              <w:left w:val="nil"/>
              <w:bottom w:val="nil"/>
              <w:right w:val="nil"/>
            </w:tcBorders>
            <w:shd w:val="clear" w:color="auto" w:fill="auto"/>
            <w:noWrap/>
            <w:vAlign w:val="center"/>
          </w:tcPr>
          <w:p w:rsidR="00C92AAF" w:rsidRPr="006159A2" w:rsidRDefault="00C92AAF" w:rsidP="00421179">
            <w:pPr>
              <w:pStyle w:val="TabelleAnhang"/>
            </w:pPr>
            <w:r w:rsidRPr="006159A2">
              <w:t>100.0%</w:t>
            </w:r>
          </w:p>
        </w:tc>
        <w:tc>
          <w:tcPr>
            <w:tcW w:w="1061" w:type="dxa"/>
            <w:tcBorders>
              <w:top w:val="single" w:sz="4" w:space="0" w:color="auto"/>
              <w:left w:val="nil"/>
              <w:bottom w:val="nil"/>
              <w:right w:val="nil"/>
            </w:tcBorders>
            <w:shd w:val="clear" w:color="auto" w:fill="auto"/>
            <w:noWrap/>
            <w:vAlign w:val="center"/>
          </w:tcPr>
          <w:p w:rsidR="00C92AAF" w:rsidRPr="006159A2" w:rsidRDefault="00C92AAF" w:rsidP="00421179">
            <w:pPr>
              <w:pStyle w:val="TabelleAnhang"/>
            </w:pPr>
            <w:r w:rsidRPr="006159A2">
              <w:t>100.0%</w:t>
            </w:r>
          </w:p>
        </w:tc>
      </w:tr>
      <w:tr w:rsidR="00C92AAF" w:rsidRPr="006159A2" w:rsidTr="00421179">
        <w:trPr>
          <w:trHeight w:val="255"/>
          <w:jc w:val="center"/>
        </w:trPr>
        <w:tc>
          <w:tcPr>
            <w:tcW w:w="3792" w:type="dxa"/>
            <w:tcBorders>
              <w:left w:val="nil"/>
              <w:bottom w:val="single" w:sz="4" w:space="0" w:color="auto"/>
              <w:right w:val="nil"/>
            </w:tcBorders>
            <w:shd w:val="clear" w:color="auto" w:fill="auto"/>
            <w:noWrap/>
            <w:vAlign w:val="center"/>
          </w:tcPr>
          <w:p w:rsidR="00C92AAF" w:rsidRPr="006159A2" w:rsidRDefault="00C92AAF" w:rsidP="00421179">
            <w:pPr>
              <w:pStyle w:val="TabelleAnhang"/>
              <w:jc w:val="left"/>
            </w:pPr>
            <w:r w:rsidRPr="006159A2">
              <w:t>Total sinks</w:t>
            </w:r>
          </w:p>
        </w:tc>
        <w:tc>
          <w:tcPr>
            <w:tcW w:w="1060"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-96.4%</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-96.5%</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-96.9%</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-96.3%</w:t>
            </w:r>
          </w:p>
        </w:tc>
        <w:tc>
          <w:tcPr>
            <w:tcW w:w="1061" w:type="dxa"/>
            <w:tcBorders>
              <w:left w:val="nil"/>
              <w:bottom w:val="single" w:sz="4" w:space="0" w:color="auto"/>
              <w:right w:val="nil"/>
            </w:tcBorders>
            <w:shd w:val="clear" w:color="auto" w:fill="auto"/>
            <w:noWrap/>
            <w:vAlign w:val="center"/>
          </w:tcPr>
          <w:p w:rsidR="00C92AAF" w:rsidRPr="006159A2" w:rsidRDefault="00C92AAF" w:rsidP="00421179">
            <w:pPr>
              <w:pStyle w:val="TabelleAnhang"/>
            </w:pPr>
            <w:r w:rsidRPr="006159A2">
              <w:t>-96.3%</w:t>
            </w:r>
          </w:p>
        </w:tc>
      </w:tr>
    </w:tbl>
    <w:p w:rsidR="00C92AAF" w:rsidRPr="006159A2" w:rsidRDefault="00C92AAF" w:rsidP="00C92AAF">
      <w:pPr>
        <w:rPr>
          <w:sz w:val="20"/>
        </w:rPr>
      </w:pPr>
    </w:p>
    <w:p w:rsidR="00DB138F" w:rsidRPr="006159A2" w:rsidRDefault="00DB138F" w:rsidP="00DB138F">
      <w:pPr>
        <w:jc w:val="both"/>
        <w:rPr>
          <w:b/>
          <w:i/>
          <w:lang w:val="en-GB"/>
        </w:rPr>
      </w:pPr>
      <w:r w:rsidRPr="006159A2">
        <w:rPr>
          <w:b/>
          <w:i/>
          <w:lang w:val="en-GB"/>
        </w:rPr>
        <w:t>Additional material to subsection 3.2.3</w:t>
      </w:r>
    </w:p>
    <w:p w:rsidR="00DB138F" w:rsidRPr="006159A2" w:rsidRDefault="00DB138F" w:rsidP="00DB138F">
      <w:pPr>
        <w:jc w:val="both"/>
        <w:rPr>
          <w:lang w:val="en-GB"/>
        </w:rPr>
      </w:pPr>
      <w:r w:rsidRPr="006159A2">
        <w:rPr>
          <w:lang w:val="en-GB"/>
        </w:rPr>
        <w:t>Based on those findings, the results of the CAPRAM runs were scanned through coherences between the NO</w:t>
      </w:r>
      <w:r w:rsidRPr="006159A2">
        <w:rPr>
          <w:vertAlign w:val="subscript"/>
          <w:lang w:val="en-GB"/>
        </w:rPr>
        <w:t>3</w:t>
      </w:r>
      <w:r w:rsidRPr="006159A2">
        <w:rPr>
          <w:lang w:val="en-GB"/>
        </w:rPr>
        <w:t xml:space="preserve"> importance and the number of carbon atoms (C</w:t>
      </w:r>
      <w:r w:rsidRPr="006159A2">
        <w:rPr>
          <w:vertAlign w:val="subscript"/>
          <w:lang w:val="en-GB"/>
        </w:rPr>
        <w:t>x</w:t>
      </w:r>
      <w:r w:rsidRPr="006159A2">
        <w:rPr>
          <w:lang w:val="en-GB"/>
        </w:rPr>
        <w:t xml:space="preserve"> with x = 1, 2, 3, 4), the functional group (aldehydes, diacids, dialdehydes, etc.) and the oxidation degree of the respective organic compounds (represented by the O/C atom ratio). </w:t>
      </w:r>
    </w:p>
    <w:p w:rsidR="00C92AAF" w:rsidRPr="006159A2" w:rsidRDefault="00DB138F" w:rsidP="00DB138F">
      <w:pPr>
        <w:jc w:val="both"/>
        <w:rPr>
          <w:sz w:val="20"/>
        </w:rPr>
      </w:pPr>
      <w:r w:rsidRPr="006159A2">
        <w:rPr>
          <w:lang w:val="en-GB"/>
        </w:rPr>
        <w:t>In general, the analyses show no direct coherences between the OH/NO</w:t>
      </w:r>
      <w:r w:rsidRPr="006159A2">
        <w:rPr>
          <w:vertAlign w:val="subscript"/>
          <w:lang w:val="en-GB"/>
        </w:rPr>
        <w:t>3</w:t>
      </w:r>
      <w:r w:rsidRPr="006159A2">
        <w:rPr>
          <w:lang w:val="en-GB"/>
        </w:rPr>
        <w:t xml:space="preserve"> flux ratio and the two factors mentioned first. Apparently, species mainly oxidised by the NO</w:t>
      </w:r>
      <w:r w:rsidRPr="006159A2">
        <w:rPr>
          <w:vertAlign w:val="subscript"/>
          <w:lang w:val="en-GB"/>
        </w:rPr>
        <w:t>3</w:t>
      </w:r>
      <w:r w:rsidRPr="006159A2">
        <w:rPr>
          <w:lang w:val="en-GB"/>
        </w:rPr>
        <w:t xml:space="preserve"> radical are rather more polar compounds including several functional groups, which are usually characterised by smaller k</w:t>
      </w:r>
      <w:r w:rsidRPr="006159A2">
        <w:rPr>
          <w:vertAlign w:val="subscript"/>
          <w:lang w:val="en-GB"/>
        </w:rPr>
        <w:t>OH</w:t>
      </w:r>
      <w:r w:rsidRPr="006159A2">
        <w:rPr>
          <w:lang w:val="en-GB"/>
        </w:rPr>
        <w:t>/k</w:t>
      </w:r>
      <w:r w:rsidRPr="006159A2">
        <w:rPr>
          <w:vertAlign w:val="subscript"/>
          <w:lang w:val="en-GB"/>
        </w:rPr>
        <w:t>NO3</w:t>
      </w:r>
      <w:r w:rsidRPr="006159A2">
        <w:rPr>
          <w:lang w:val="en-GB"/>
        </w:rPr>
        <w:t xml:space="preserve"> ratios. Based on that finding, the calculated NO</w:t>
      </w:r>
      <w:r w:rsidRPr="006159A2">
        <w:rPr>
          <w:vertAlign w:val="subscript"/>
          <w:lang w:val="en-GB"/>
        </w:rPr>
        <w:t>3</w:t>
      </w:r>
      <w:r w:rsidRPr="006159A2">
        <w:rPr>
          <w:lang w:val="en-GB"/>
        </w:rPr>
        <w:t xml:space="preserve"> to OH flux ratio of each organic compound was plotted against the oxygen/carbon ratio of the organic compound (Fig. S7). The O/C ratio was chosen as a descriptor for the degree of oxidation. As Fig. S7 shows, the NO</w:t>
      </w:r>
      <w:r w:rsidRPr="006159A2">
        <w:rPr>
          <w:vertAlign w:val="subscript"/>
          <w:lang w:val="en-GB"/>
        </w:rPr>
        <w:t>3</w:t>
      </w:r>
      <w:r w:rsidRPr="006159A2">
        <w:rPr>
          <w:lang w:val="en-GB"/>
        </w:rPr>
        <w:t>/OH flux ratio tends to increase with the polarity of the organic species. However, it becomes also apparent from the large scatter of the plot that other factors such as the dependence from the precursor behaviour (day/night-time oxidation sinks and sources) might affect this issue besides their specific NO</w:t>
      </w:r>
      <w:r w:rsidRPr="006159A2">
        <w:rPr>
          <w:vertAlign w:val="subscript"/>
          <w:lang w:val="en-GB"/>
        </w:rPr>
        <w:t>3</w:t>
      </w:r>
      <w:r w:rsidRPr="006159A2">
        <w:rPr>
          <w:lang w:val="en-GB"/>
        </w:rPr>
        <w:t>/OH reactivity.</w:t>
      </w:r>
    </w:p>
    <w:p w:rsidR="00727760" w:rsidRPr="006159A2" w:rsidRDefault="00E0710A" w:rsidP="007C08DD">
      <w:pPr>
        <w:jc w:val="center"/>
        <w:rPr>
          <w:lang w:val="fr-FR"/>
        </w:rPr>
      </w:pPr>
      <w:r>
        <w:rPr>
          <w:noProof/>
          <w:lang w:eastAsia="en-US"/>
        </w:rPr>
        <w:lastRenderedPageBreak/>
        <w:drawing>
          <wp:inline distT="0" distB="0" distL="0" distR="0">
            <wp:extent cx="4626610" cy="3985260"/>
            <wp:effectExtent l="19050" t="0" r="2540" b="0"/>
            <wp:docPr id="74"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pic:cNvPicPr>
                      <a:picLocks noChangeAspect="1" noChangeArrowheads="1"/>
                    </pic:cNvPicPr>
                  </pic:nvPicPr>
                  <pic:blipFill>
                    <a:blip r:embed="rId20"/>
                    <a:srcRect/>
                    <a:stretch>
                      <a:fillRect/>
                    </a:stretch>
                  </pic:blipFill>
                  <pic:spPr bwMode="auto">
                    <a:xfrm>
                      <a:off x="0" y="0"/>
                      <a:ext cx="4626610" cy="3985260"/>
                    </a:xfrm>
                    <a:prstGeom prst="rect">
                      <a:avLst/>
                    </a:prstGeom>
                    <a:noFill/>
                    <a:ln w="9525">
                      <a:noFill/>
                      <a:miter lim="800000"/>
                      <a:headEnd/>
                      <a:tailEnd/>
                    </a:ln>
                  </pic:spPr>
                </pic:pic>
              </a:graphicData>
            </a:graphic>
          </wp:inline>
        </w:drawing>
      </w:r>
    </w:p>
    <w:p w:rsidR="007C08DD" w:rsidRPr="006159A2" w:rsidRDefault="007C08DD" w:rsidP="007C08DD">
      <w:pPr>
        <w:pStyle w:val="figlegend"/>
        <w:tabs>
          <w:tab w:val="left" w:pos="993"/>
        </w:tabs>
        <w:jc w:val="both"/>
        <w:rPr>
          <w:lang w:val="en-GB"/>
        </w:rPr>
      </w:pPr>
      <w:r w:rsidRPr="006159A2">
        <w:rPr>
          <w:b/>
          <w:lang w:val="en-GB"/>
        </w:rPr>
        <w:t>Fig. S</w:t>
      </w:r>
      <w:r w:rsidR="005522E3" w:rsidRPr="006159A2">
        <w:rPr>
          <w:b/>
          <w:lang w:val="en-GB"/>
        </w:rPr>
        <w:t>7</w:t>
      </w:r>
      <w:r w:rsidRPr="006159A2">
        <w:rPr>
          <w:lang w:val="en-GB"/>
        </w:rPr>
        <w:tab/>
        <w:t>Modelled mean in</w:t>
      </w:r>
      <w:r w:rsidRPr="006159A2">
        <w:rPr>
          <w:lang w:val="en-GB"/>
        </w:rPr>
        <w:noBreakHyphen/>
        <w:t>cloud NO</w:t>
      </w:r>
      <w:r w:rsidRPr="006159A2">
        <w:rPr>
          <w:vertAlign w:val="subscript"/>
          <w:lang w:val="en-GB"/>
        </w:rPr>
        <w:t>3</w:t>
      </w:r>
      <w:r w:rsidRPr="006159A2">
        <w:rPr>
          <w:lang w:val="en-GB"/>
        </w:rPr>
        <w:t xml:space="preserve"> and OH degradation flux ratio of organic compounds under urban conditions vs. the corresponding oxygen-/carbon atom ratio of the organics. The used symbols are equal to that in Fig. 8 in the paper</w:t>
      </w:r>
    </w:p>
    <w:p w:rsidR="00731457" w:rsidRPr="006159A2" w:rsidRDefault="00731457" w:rsidP="00731457">
      <w:pPr>
        <w:jc w:val="both"/>
        <w:rPr>
          <w:b/>
          <w:i/>
          <w:lang w:val="en-GB"/>
        </w:rPr>
      </w:pPr>
      <w:r w:rsidRPr="006159A2">
        <w:rPr>
          <w:lang w:val="fr-FR"/>
        </w:rPr>
        <w:br w:type="page"/>
      </w:r>
      <w:r w:rsidRPr="006159A2">
        <w:rPr>
          <w:b/>
          <w:i/>
          <w:lang w:val="en-GB"/>
        </w:rPr>
        <w:lastRenderedPageBreak/>
        <w:t>Additional material to subsection 3.2.5</w:t>
      </w:r>
    </w:p>
    <w:p w:rsidR="00731457" w:rsidRPr="006159A2" w:rsidRDefault="00731457" w:rsidP="00731457">
      <w:pPr>
        <w:jc w:val="both"/>
        <w:rPr>
          <w:b/>
          <w:i/>
          <w:lang w:val="en-GB"/>
        </w:rPr>
      </w:pPr>
    </w:p>
    <w:p w:rsidR="009F4459" w:rsidRPr="006159A2" w:rsidRDefault="00E0710A" w:rsidP="007C08DD">
      <w:pPr>
        <w:jc w:val="center"/>
        <w:rPr>
          <w:lang w:val="fr-FR"/>
        </w:rPr>
      </w:pPr>
      <w:r>
        <w:rPr>
          <w:noProof/>
          <w:lang w:eastAsia="en-US"/>
        </w:rPr>
        <w:drawing>
          <wp:inline distT="0" distB="0" distL="0" distR="0">
            <wp:extent cx="5022215" cy="4298950"/>
            <wp:effectExtent l="19050" t="0" r="6985" b="0"/>
            <wp:docPr id="75"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9"/>
                    <pic:cNvPicPr>
                      <a:picLocks noChangeAspect="1" noChangeArrowheads="1"/>
                    </pic:cNvPicPr>
                  </pic:nvPicPr>
                  <pic:blipFill>
                    <a:blip r:embed="rId21"/>
                    <a:srcRect/>
                    <a:stretch>
                      <a:fillRect/>
                    </a:stretch>
                  </pic:blipFill>
                  <pic:spPr bwMode="auto">
                    <a:xfrm>
                      <a:off x="0" y="0"/>
                      <a:ext cx="5022215" cy="4298950"/>
                    </a:xfrm>
                    <a:prstGeom prst="rect">
                      <a:avLst/>
                    </a:prstGeom>
                    <a:noFill/>
                    <a:ln w="9525">
                      <a:noFill/>
                      <a:miter lim="800000"/>
                      <a:headEnd/>
                      <a:tailEnd/>
                    </a:ln>
                  </pic:spPr>
                </pic:pic>
              </a:graphicData>
            </a:graphic>
          </wp:inline>
        </w:drawing>
      </w:r>
    </w:p>
    <w:p w:rsidR="002C5D20" w:rsidRPr="006159A2" w:rsidRDefault="0067068D" w:rsidP="004F3F4F">
      <w:pPr>
        <w:pStyle w:val="figlegend"/>
        <w:tabs>
          <w:tab w:val="left" w:pos="993"/>
        </w:tabs>
        <w:jc w:val="both"/>
        <w:rPr>
          <w:lang w:val="en-GB"/>
        </w:rPr>
      </w:pPr>
      <w:r w:rsidRPr="006159A2">
        <w:rPr>
          <w:b/>
          <w:lang w:val="en-GB"/>
        </w:rPr>
        <w:t>Fig. S</w:t>
      </w:r>
      <w:r w:rsidR="005522E3" w:rsidRPr="006159A2">
        <w:rPr>
          <w:b/>
          <w:lang w:val="en-GB"/>
        </w:rPr>
        <w:t>8</w:t>
      </w:r>
      <w:r w:rsidR="009F4459" w:rsidRPr="006159A2">
        <w:rPr>
          <w:lang w:val="en-GB"/>
        </w:rPr>
        <w:tab/>
      </w:r>
      <w:r w:rsidR="002C5D20" w:rsidRPr="006159A2">
        <w:rPr>
          <w:lang w:val="en-GB"/>
        </w:rPr>
        <w:t>Modelled chemical sink and source mass fluxes of the HO</w:t>
      </w:r>
      <w:r w:rsidR="002C5D20" w:rsidRPr="006159A2">
        <w:rPr>
          <w:vertAlign w:val="subscript"/>
          <w:lang w:val="en-GB"/>
        </w:rPr>
        <w:t>2</w:t>
      </w:r>
      <w:r w:rsidR="002C5D20" w:rsidRPr="006159A2">
        <w:rPr>
          <w:lang w:val="en-GB"/>
        </w:rPr>
        <w:t>/O</w:t>
      </w:r>
      <w:r w:rsidR="002C5D20" w:rsidRPr="006159A2">
        <w:rPr>
          <w:vertAlign w:val="subscript"/>
          <w:lang w:val="en-GB"/>
        </w:rPr>
        <w:t>2</w:t>
      </w:r>
      <w:r w:rsidR="002C5D20" w:rsidRPr="006159A2">
        <w:rPr>
          <w:vertAlign w:val="superscript"/>
          <w:lang w:val="en-GB"/>
        </w:rPr>
        <w:noBreakHyphen/>
      </w:r>
      <w:r w:rsidR="002C5D20" w:rsidRPr="006159A2">
        <w:rPr>
          <w:lang w:val="en-GB"/>
        </w:rPr>
        <w:t xml:space="preserve"> radical in </w:t>
      </w:r>
      <w:r w:rsidR="002C5D20" w:rsidRPr="006159A2">
        <w:rPr>
          <w:lang w:val="en-GB" w:eastAsia="nl-NL"/>
        </w:rPr>
        <w:t xml:space="preserve">aqueous phase for a selected period of the modelling time under urban conditions. The depiction contains </w:t>
      </w:r>
      <w:r w:rsidR="002C5D20" w:rsidRPr="006159A2">
        <w:rPr>
          <w:lang w:val="en-GB"/>
        </w:rPr>
        <w:t>the total sink and source fluxes (left) as well as the net processing (right) which include just the net effect of the HO</w:t>
      </w:r>
      <w:r w:rsidR="002C5D20" w:rsidRPr="006159A2">
        <w:rPr>
          <w:vertAlign w:val="subscript"/>
          <w:lang w:val="en-GB"/>
        </w:rPr>
        <w:t>2</w:t>
      </w:r>
      <w:r w:rsidR="002C5D20" w:rsidRPr="006159A2">
        <w:rPr>
          <w:lang w:val="en-GB"/>
        </w:rPr>
        <w:t>/O</w:t>
      </w:r>
      <w:r w:rsidR="002C5D20" w:rsidRPr="006159A2">
        <w:rPr>
          <w:vertAlign w:val="subscript"/>
          <w:lang w:val="en-GB"/>
        </w:rPr>
        <w:t>2</w:t>
      </w:r>
      <w:r w:rsidR="002C5D20" w:rsidRPr="006159A2">
        <w:rPr>
          <w:vertAlign w:val="superscript"/>
          <w:lang w:val="en-GB"/>
        </w:rPr>
        <w:noBreakHyphen/>
      </w:r>
      <w:r w:rsidR="002C5D20" w:rsidRPr="006159A2">
        <w:rPr>
          <w:lang w:val="en-GB"/>
        </w:rPr>
        <w:t xml:space="preserve"> cycling with </w:t>
      </w:r>
      <w:r w:rsidR="00427422" w:rsidRPr="006159A2">
        <w:rPr>
          <w:lang w:val="en-GB"/>
        </w:rPr>
        <w:t>copper and its backward cycling</w:t>
      </w:r>
    </w:p>
    <w:p w:rsidR="00A04376" w:rsidRPr="006159A2" w:rsidRDefault="00A04376" w:rsidP="00CF0DDB">
      <w:pPr>
        <w:pStyle w:val="Heading1"/>
      </w:pPr>
      <w:r w:rsidRPr="006159A2">
        <w:br w:type="page"/>
      </w:r>
      <w:r w:rsidR="00CF0DDB" w:rsidRPr="006159A2">
        <w:lastRenderedPageBreak/>
        <w:t>D</w:t>
      </w:r>
      <w:r w:rsidRPr="006159A2">
        <w:t>. Material to section </w:t>
      </w:r>
      <w:r w:rsidR="00CF0DDB" w:rsidRPr="006159A2">
        <w:t>3.3</w:t>
      </w:r>
    </w:p>
    <w:p w:rsidR="009F4459" w:rsidRPr="006159A2" w:rsidRDefault="009F4459" w:rsidP="009F4459">
      <w:pPr>
        <w:rPr>
          <w:lang w:val="en-GB"/>
        </w:rPr>
      </w:pPr>
    </w:p>
    <w:p w:rsidR="008E29D6" w:rsidRPr="006159A2" w:rsidRDefault="00E0710A" w:rsidP="007C08DD">
      <w:pPr>
        <w:jc w:val="center"/>
        <w:rPr>
          <w:lang w:val="fr-FR"/>
        </w:rPr>
      </w:pPr>
      <w:r>
        <w:rPr>
          <w:noProof/>
          <w:lang w:eastAsia="en-US"/>
        </w:rPr>
        <w:drawing>
          <wp:inline distT="0" distB="0" distL="0" distR="0">
            <wp:extent cx="4626610" cy="3322955"/>
            <wp:effectExtent l="19050" t="0" r="2540" b="0"/>
            <wp:docPr id="76" name="Bild 80" descr="Beschreibung: aH2O2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0" descr="Beschreibung: aH2O2_r+u"/>
                    <pic:cNvPicPr>
                      <a:picLocks noChangeAspect="1" noChangeArrowheads="1"/>
                    </pic:cNvPicPr>
                  </pic:nvPicPr>
                  <pic:blipFill>
                    <a:blip r:embed="rId22"/>
                    <a:srcRect/>
                    <a:stretch>
                      <a:fillRect/>
                    </a:stretch>
                  </pic:blipFill>
                  <pic:spPr bwMode="auto">
                    <a:xfrm>
                      <a:off x="0" y="0"/>
                      <a:ext cx="4626610" cy="3322955"/>
                    </a:xfrm>
                    <a:prstGeom prst="rect">
                      <a:avLst/>
                    </a:prstGeom>
                    <a:noFill/>
                    <a:ln w="9525">
                      <a:noFill/>
                      <a:miter lim="800000"/>
                      <a:headEnd/>
                      <a:tailEnd/>
                    </a:ln>
                  </pic:spPr>
                </pic:pic>
              </a:graphicData>
            </a:graphic>
          </wp:inline>
        </w:drawing>
      </w:r>
    </w:p>
    <w:p w:rsidR="008E29D6" w:rsidRPr="006159A2" w:rsidRDefault="008E29D6" w:rsidP="008E29D6">
      <w:pPr>
        <w:pStyle w:val="figlegend"/>
        <w:tabs>
          <w:tab w:val="left" w:pos="993"/>
        </w:tabs>
        <w:rPr>
          <w:lang w:val="en-GB"/>
        </w:rPr>
      </w:pPr>
      <w:r w:rsidRPr="006159A2">
        <w:rPr>
          <w:b/>
          <w:lang w:val="en-GB"/>
        </w:rPr>
        <w:t>Fig. S</w:t>
      </w:r>
      <w:r w:rsidR="005522E3" w:rsidRPr="006159A2">
        <w:rPr>
          <w:b/>
          <w:lang w:val="en-GB"/>
        </w:rPr>
        <w:t>9</w:t>
      </w:r>
      <w:r w:rsidRPr="006159A2">
        <w:rPr>
          <w:lang w:val="en-GB"/>
        </w:rPr>
        <w:tab/>
        <w:t>Modelled aqueous phase concentrations of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for the urban and remote </w:t>
      </w:r>
      <w:r w:rsidR="00EF0CFB" w:rsidRPr="006159A2">
        <w:rPr>
          <w:lang w:val="en-GB"/>
        </w:rPr>
        <w:t>scenario (AqChem case)</w:t>
      </w:r>
      <w:r w:rsidRPr="006159A2">
        <w:rPr>
          <w:lang w:val="en-GB"/>
        </w:rPr>
        <w:t>, respectively</w:t>
      </w:r>
    </w:p>
    <w:p w:rsidR="00A04376" w:rsidRPr="006159A2" w:rsidRDefault="00A04376" w:rsidP="009F4459">
      <w:pPr>
        <w:rPr>
          <w:lang w:val="en-GB"/>
        </w:rPr>
      </w:pPr>
    </w:p>
    <w:p w:rsidR="00E01004" w:rsidRPr="006159A2" w:rsidRDefault="00E0710A" w:rsidP="00E01004">
      <w:pPr>
        <w:jc w:val="center"/>
        <w:rPr>
          <w:lang w:val="en-GB"/>
        </w:rPr>
      </w:pPr>
      <w:r>
        <w:rPr>
          <w:noProof/>
          <w:lang w:eastAsia="en-US"/>
        </w:rPr>
        <w:lastRenderedPageBreak/>
        <w:drawing>
          <wp:inline distT="0" distB="0" distL="0" distR="0">
            <wp:extent cx="4046855" cy="4142105"/>
            <wp:effectExtent l="19050" t="0" r="0" b="0"/>
            <wp:docPr id="77" name="Bild 81" descr="Beschreibung: aH2O2urban_DIAG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1" descr="Beschreibung: aH2O2urban_DIAG_paper"/>
                    <pic:cNvPicPr>
                      <a:picLocks noChangeAspect="1" noChangeArrowheads="1"/>
                    </pic:cNvPicPr>
                  </pic:nvPicPr>
                  <pic:blipFill>
                    <a:blip r:embed="rId23"/>
                    <a:srcRect/>
                    <a:stretch>
                      <a:fillRect/>
                    </a:stretch>
                  </pic:blipFill>
                  <pic:spPr bwMode="auto">
                    <a:xfrm>
                      <a:off x="0" y="0"/>
                      <a:ext cx="4046855" cy="4142105"/>
                    </a:xfrm>
                    <a:prstGeom prst="rect">
                      <a:avLst/>
                    </a:prstGeom>
                    <a:noFill/>
                    <a:ln w="9525">
                      <a:noFill/>
                      <a:miter lim="800000"/>
                      <a:headEnd/>
                      <a:tailEnd/>
                    </a:ln>
                  </pic:spPr>
                </pic:pic>
              </a:graphicData>
            </a:graphic>
          </wp:inline>
        </w:drawing>
      </w:r>
      <w:r w:rsidR="00A04376" w:rsidRPr="006159A2">
        <w:rPr>
          <w:lang w:val="en-GB"/>
        </w:rPr>
        <w:br/>
      </w:r>
      <w:r w:rsidR="00E01004" w:rsidRPr="006159A2">
        <w:rPr>
          <w:lang w:val="en-GB"/>
        </w:rPr>
        <w:t xml:space="preserve">         </w:t>
      </w:r>
      <w:r>
        <w:rPr>
          <w:noProof/>
          <w:lang w:eastAsia="en-US"/>
        </w:rPr>
        <w:drawing>
          <wp:inline distT="0" distB="0" distL="0" distR="0">
            <wp:extent cx="4019550" cy="3637280"/>
            <wp:effectExtent l="19050" t="0" r="0" b="0"/>
            <wp:docPr id="78" name="Bild 82" descr="Beschreibung: aH2O2remote_DIAG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2" descr="Beschreibung: aH2O2remote_DIAG_paper"/>
                    <pic:cNvPicPr>
                      <a:picLocks noChangeAspect="1" noChangeArrowheads="1"/>
                    </pic:cNvPicPr>
                  </pic:nvPicPr>
                  <pic:blipFill>
                    <a:blip r:embed="rId24"/>
                    <a:srcRect/>
                    <a:stretch>
                      <a:fillRect/>
                    </a:stretch>
                  </pic:blipFill>
                  <pic:spPr bwMode="auto">
                    <a:xfrm>
                      <a:off x="0" y="0"/>
                      <a:ext cx="4019550" cy="3637280"/>
                    </a:xfrm>
                    <a:prstGeom prst="rect">
                      <a:avLst/>
                    </a:prstGeom>
                    <a:noFill/>
                    <a:ln w="9525">
                      <a:noFill/>
                      <a:miter lim="800000"/>
                      <a:headEnd/>
                      <a:tailEnd/>
                    </a:ln>
                  </pic:spPr>
                </pic:pic>
              </a:graphicData>
            </a:graphic>
          </wp:inline>
        </w:drawing>
      </w:r>
    </w:p>
    <w:p w:rsidR="00E01004" w:rsidRPr="006159A2" w:rsidRDefault="0067068D" w:rsidP="00E01004">
      <w:pPr>
        <w:pStyle w:val="figlegend"/>
        <w:tabs>
          <w:tab w:val="left" w:pos="993"/>
        </w:tabs>
        <w:rPr>
          <w:lang w:val="en-GB" w:eastAsia="nl-NL"/>
        </w:rPr>
      </w:pPr>
      <w:r w:rsidRPr="006159A2">
        <w:rPr>
          <w:b/>
          <w:lang w:val="fr-FR"/>
        </w:rPr>
        <w:t>Fig. S</w:t>
      </w:r>
      <w:r w:rsidR="005522E3" w:rsidRPr="006159A2">
        <w:rPr>
          <w:b/>
          <w:lang w:val="fr-FR"/>
        </w:rPr>
        <w:t>10</w:t>
      </w:r>
      <w:r w:rsidR="00E01004" w:rsidRPr="006159A2">
        <w:rPr>
          <w:lang w:val="fr-FR"/>
        </w:rPr>
        <w:tab/>
      </w:r>
      <w:r w:rsidR="00E01004" w:rsidRPr="006159A2">
        <w:rPr>
          <w:lang w:val="en-GB"/>
        </w:rPr>
        <w:t>Modelled chemical sink and source mass fluxes of the H</w:t>
      </w:r>
      <w:r w:rsidR="00E01004" w:rsidRPr="006159A2">
        <w:rPr>
          <w:vertAlign w:val="subscript"/>
          <w:lang w:val="en-GB"/>
        </w:rPr>
        <w:t>2</w:t>
      </w:r>
      <w:r w:rsidR="00E01004" w:rsidRPr="006159A2">
        <w:rPr>
          <w:lang w:val="en-GB"/>
        </w:rPr>
        <w:t>O</w:t>
      </w:r>
      <w:r w:rsidR="00E01004" w:rsidRPr="006159A2">
        <w:rPr>
          <w:vertAlign w:val="subscript"/>
          <w:lang w:val="en-GB"/>
        </w:rPr>
        <w:t>2</w:t>
      </w:r>
      <w:r w:rsidR="00E01004" w:rsidRPr="006159A2">
        <w:rPr>
          <w:lang w:val="en-GB"/>
        </w:rPr>
        <w:t xml:space="preserve"> in </w:t>
      </w:r>
      <w:r w:rsidR="00E01004" w:rsidRPr="006159A2">
        <w:rPr>
          <w:lang w:val="en-GB" w:eastAsia="nl-NL"/>
        </w:rPr>
        <w:t xml:space="preserve">aqueous phase for a selected period of the modelling time under urban (top) and remote (down) </w:t>
      </w:r>
      <w:r w:rsidR="00427422" w:rsidRPr="006159A2">
        <w:rPr>
          <w:lang w:val="en-GB" w:eastAsia="nl-NL"/>
        </w:rPr>
        <w:t>conditions</w:t>
      </w:r>
      <w:r w:rsidR="008C5824" w:rsidRPr="006159A2">
        <w:rPr>
          <w:lang w:val="en-GB" w:eastAsia="nl-NL"/>
        </w:rPr>
        <w:t xml:space="preserve"> </w:t>
      </w:r>
      <w:r w:rsidR="008C5824" w:rsidRPr="006159A2">
        <w:rPr>
          <w:lang w:val="en-GB"/>
        </w:rPr>
        <w:t>(AqChem case)</w:t>
      </w:r>
    </w:p>
    <w:p w:rsidR="00A04376" w:rsidRPr="006159A2" w:rsidRDefault="00A04376" w:rsidP="00A04376"/>
    <w:p w:rsidR="00A04376" w:rsidRPr="006159A2" w:rsidRDefault="00EF0CFB" w:rsidP="005522E3">
      <w:pPr>
        <w:pStyle w:val="Caption"/>
        <w:tabs>
          <w:tab w:val="clear" w:pos="1021"/>
          <w:tab w:val="left" w:pos="0"/>
        </w:tabs>
        <w:spacing w:line="360" w:lineRule="auto"/>
        <w:ind w:left="0" w:firstLine="0"/>
        <w:rPr>
          <w:sz w:val="24"/>
          <w:szCs w:val="24"/>
        </w:rPr>
      </w:pPr>
      <w:r w:rsidRPr="006159A2">
        <w:rPr>
          <w:b/>
          <w:i/>
          <w:sz w:val="24"/>
          <w:szCs w:val="24"/>
        </w:rPr>
        <w:br w:type="page"/>
      </w:r>
      <w:r w:rsidR="00A04376" w:rsidRPr="006159A2">
        <w:rPr>
          <w:b/>
          <w:i/>
          <w:sz w:val="24"/>
          <w:szCs w:val="24"/>
        </w:rPr>
        <w:lastRenderedPageBreak/>
        <w:t>O</w:t>
      </w:r>
      <w:r w:rsidR="00A04376" w:rsidRPr="006159A2">
        <w:rPr>
          <w:b/>
          <w:i/>
          <w:sz w:val="24"/>
          <w:szCs w:val="24"/>
          <w:vertAlign w:val="subscript"/>
        </w:rPr>
        <w:t>3</w:t>
      </w:r>
      <w:r w:rsidR="005522E3" w:rsidRPr="006159A2">
        <w:rPr>
          <w:b/>
          <w:i/>
          <w:sz w:val="24"/>
          <w:szCs w:val="24"/>
        </w:rPr>
        <w:br/>
      </w:r>
      <w:r w:rsidR="00A04376" w:rsidRPr="006159A2">
        <w:rPr>
          <w:sz w:val="24"/>
          <w:szCs w:val="24"/>
        </w:rPr>
        <w:t>Fig. S</w:t>
      </w:r>
      <w:r w:rsidRPr="006159A2">
        <w:rPr>
          <w:sz w:val="24"/>
          <w:szCs w:val="24"/>
        </w:rPr>
        <w:t>11</w:t>
      </w:r>
      <w:r w:rsidR="00A04376" w:rsidRPr="006159A2">
        <w:rPr>
          <w:sz w:val="24"/>
          <w:szCs w:val="24"/>
        </w:rPr>
        <w:t xml:space="preserve"> shows the modelled ozone </w:t>
      </w:r>
      <w:r w:rsidR="00A04376" w:rsidRPr="006159A2">
        <w:rPr>
          <w:sz w:val="24"/>
          <w:szCs w:val="24"/>
          <w:lang w:eastAsia="nl-NL"/>
        </w:rPr>
        <w:t>gas</w:t>
      </w:r>
      <w:r w:rsidR="00A04376" w:rsidRPr="006159A2">
        <w:rPr>
          <w:sz w:val="24"/>
          <w:szCs w:val="24"/>
          <w:lang w:eastAsia="nl-NL"/>
        </w:rPr>
        <w:noBreakHyphen/>
        <w:t xml:space="preserve">phase concentrations vs. modelling time for remote as well as urban </w:t>
      </w:r>
      <w:r w:rsidRPr="006159A2">
        <w:rPr>
          <w:sz w:val="24"/>
          <w:szCs w:val="24"/>
          <w:lang w:val="en-US" w:eastAsia="nl-NL"/>
        </w:rPr>
        <w:t>scenario (AqChem and woAqChem case)</w:t>
      </w:r>
      <w:r w:rsidR="00A04376" w:rsidRPr="006159A2">
        <w:rPr>
          <w:sz w:val="24"/>
          <w:szCs w:val="24"/>
          <w:lang w:eastAsia="nl-NL"/>
        </w:rPr>
        <w:t xml:space="preserve">, respectively. </w:t>
      </w:r>
      <w:r w:rsidR="00A04376" w:rsidRPr="006159A2">
        <w:rPr>
          <w:sz w:val="24"/>
          <w:szCs w:val="24"/>
        </w:rPr>
        <w:t>The separation of the soluble and insoluble ozone precursors leads to a decreased ozone formation predominantly under urban cloud conditions. After the cloud evaporation ozone is decreased by 25% in comparison to the model run without cloud chemistry interactions. Contrary to the urban case, the ozone concentration is not much affected under remote conditions. This is caused by the importance of the NO</w:t>
      </w:r>
      <w:r w:rsidR="00A04376" w:rsidRPr="006159A2">
        <w:rPr>
          <w:sz w:val="24"/>
          <w:szCs w:val="24"/>
          <w:vertAlign w:val="subscript"/>
        </w:rPr>
        <w:t>x</w:t>
      </w:r>
      <w:r w:rsidR="00A04376" w:rsidRPr="006159A2">
        <w:rPr>
          <w:sz w:val="24"/>
          <w:szCs w:val="24"/>
        </w:rPr>
        <w:t xml:space="preserve"> budget for ozone formation. Under remote low NO</w:t>
      </w:r>
      <w:r w:rsidR="00A04376" w:rsidRPr="006159A2">
        <w:rPr>
          <w:sz w:val="24"/>
          <w:szCs w:val="24"/>
          <w:vertAlign w:val="subscript"/>
        </w:rPr>
        <w:t>x</w:t>
      </w:r>
      <w:r w:rsidR="00A04376" w:rsidRPr="006159A2">
        <w:rPr>
          <w:sz w:val="24"/>
          <w:szCs w:val="24"/>
        </w:rPr>
        <w:t xml:space="preserve"> conditions, the changed HO</w:t>
      </w:r>
      <w:r w:rsidR="00A04376" w:rsidRPr="006159A2">
        <w:rPr>
          <w:sz w:val="24"/>
          <w:szCs w:val="24"/>
          <w:vertAlign w:val="subscript"/>
        </w:rPr>
        <w:t>x</w:t>
      </w:r>
      <w:r w:rsidR="00A04376" w:rsidRPr="006159A2">
        <w:rPr>
          <w:sz w:val="24"/>
          <w:szCs w:val="24"/>
        </w:rPr>
        <w:t xml:space="preserve"> budget in the cloud is less important for the ozone formation rate. Therefore, the ozone concentration is nearly unaffected under theses conditions. In contrast to the direct cloud effect on H</w:t>
      </w:r>
      <w:r w:rsidR="00A04376" w:rsidRPr="006159A2">
        <w:rPr>
          <w:sz w:val="24"/>
          <w:szCs w:val="24"/>
          <w:vertAlign w:val="subscript"/>
        </w:rPr>
        <w:t>2</w:t>
      </w:r>
      <w:r w:rsidR="00A04376" w:rsidRPr="006159A2">
        <w:rPr>
          <w:sz w:val="24"/>
          <w:szCs w:val="24"/>
        </w:rPr>
        <w:t>O</w:t>
      </w:r>
      <w:r w:rsidR="00A04376" w:rsidRPr="006159A2">
        <w:rPr>
          <w:sz w:val="24"/>
          <w:szCs w:val="24"/>
          <w:vertAlign w:val="subscript"/>
        </w:rPr>
        <w:t>2</w:t>
      </w:r>
      <w:r w:rsidR="00A04376" w:rsidRPr="006159A2">
        <w:rPr>
          <w:sz w:val="24"/>
          <w:szCs w:val="24"/>
        </w:rPr>
        <w:t>, the ozone budget is mainly “indirectly” influenced by the phase separation effects of HO</w:t>
      </w:r>
      <w:r w:rsidR="00A04376" w:rsidRPr="006159A2">
        <w:rPr>
          <w:sz w:val="24"/>
          <w:szCs w:val="24"/>
          <w:vertAlign w:val="subscript"/>
        </w:rPr>
        <w:t>2</w:t>
      </w:r>
      <w:r w:rsidR="00A04376" w:rsidRPr="006159A2">
        <w:rPr>
          <w:sz w:val="24"/>
          <w:szCs w:val="24"/>
        </w:rPr>
        <w:t xml:space="preserve"> rather than by direct chemical aqueous</w:t>
      </w:r>
      <w:r w:rsidR="00A04376" w:rsidRPr="006159A2">
        <w:rPr>
          <w:sz w:val="24"/>
          <w:szCs w:val="24"/>
        </w:rPr>
        <w:noBreakHyphen/>
        <w:t xml:space="preserve">phase interactions. </w:t>
      </w:r>
    </w:p>
    <w:p w:rsidR="00A04376" w:rsidRPr="006159A2" w:rsidRDefault="00A04376" w:rsidP="00EF0CFB">
      <w:pPr>
        <w:jc w:val="both"/>
        <w:rPr>
          <w:b/>
          <w:lang w:val="en-GB"/>
        </w:rPr>
      </w:pPr>
      <w:r w:rsidRPr="006159A2">
        <w:rPr>
          <w:lang w:val="en-GB"/>
        </w:rPr>
        <w:t>However, the indirect chemical interaction effect of the cloud affects not only the gas</w:t>
      </w:r>
      <w:r w:rsidRPr="006159A2">
        <w:rPr>
          <w:lang w:val="en-GB"/>
        </w:rPr>
        <w:noBreakHyphen/>
        <w:t xml:space="preserve">phase ozone formation. </w:t>
      </w:r>
      <w:r w:rsidRPr="006159A2">
        <w:t xml:space="preserve">Also the degradation reactions of tropospheric organic trace gases due to their ozonolysis are substantially reduced. </w:t>
      </w:r>
      <w:r w:rsidRPr="006159A2">
        <w:rPr>
          <w:lang w:val="en-GB"/>
        </w:rPr>
        <w:t>Therefore, their modelled concentration levels and also their tropospheric lifetimes are increased compared to the simulation without aqueous</w:t>
      </w:r>
      <w:r w:rsidRPr="006159A2">
        <w:rPr>
          <w:lang w:val="en-GB"/>
        </w:rPr>
        <w:noBreakHyphen/>
        <w:t xml:space="preserve">phase chemical processes. The modelled cloud chemistry effects on ozone are slightly different from the obtained results of Walcek et al. (1997). In the present work, total interstitial ozone fluxes of about </w:t>
      </w:r>
      <w:r w:rsidRPr="006159A2">
        <w:rPr>
          <w:lang w:val="en-GB"/>
        </w:rPr>
        <w:noBreakHyphen/>
        <w:t>2.6 ppb h</w:t>
      </w:r>
      <w:r w:rsidRPr="006159A2">
        <w:rPr>
          <w:vertAlign w:val="superscript"/>
          <w:lang w:val="en-GB"/>
        </w:rPr>
        <w:t>-1</w:t>
      </w:r>
      <w:r w:rsidRPr="006159A2">
        <w:rPr>
          <w:lang w:val="en-GB"/>
        </w:rPr>
        <w:t xml:space="preserve"> and </w:t>
      </w:r>
      <w:r w:rsidRPr="006159A2">
        <w:rPr>
          <w:lang w:val="en-GB"/>
        </w:rPr>
        <w:noBreakHyphen/>
        <w:t>0.9 ppb h</w:t>
      </w:r>
      <w:r w:rsidRPr="006159A2">
        <w:rPr>
          <w:vertAlign w:val="superscript"/>
          <w:lang w:val="en-GB"/>
        </w:rPr>
        <w:t>-1</w:t>
      </w:r>
      <w:r w:rsidRPr="006159A2">
        <w:rPr>
          <w:lang w:val="en-GB"/>
        </w:rPr>
        <w:t xml:space="preserve"> (first daytime cloud) have been modelled for the NO</w:t>
      </w:r>
      <w:r w:rsidRPr="006159A2">
        <w:rPr>
          <w:vertAlign w:val="subscript"/>
          <w:lang w:val="en-GB"/>
        </w:rPr>
        <w:t>x</w:t>
      </w:r>
      <w:r w:rsidRPr="006159A2">
        <w:rPr>
          <w:lang w:val="en-GB"/>
        </w:rPr>
        <w:t xml:space="preserve">/NMHC conditions of the urban (9.0/55.2 ppb) and remote (0.3/7.4 ppb) scenario. Contrary, Walcek et al. (1997) calculated production rates between 0 and </w:t>
      </w:r>
      <w:r w:rsidRPr="006159A2">
        <w:rPr>
          <w:lang w:val="en-GB"/>
        </w:rPr>
        <w:noBreakHyphen/>
        <w:t>1 ppb h</w:t>
      </w:r>
      <w:r w:rsidRPr="006159A2">
        <w:rPr>
          <w:vertAlign w:val="superscript"/>
          <w:lang w:val="en-GB"/>
        </w:rPr>
        <w:noBreakHyphen/>
        <w:t>1</w:t>
      </w:r>
      <w:r w:rsidRPr="006159A2">
        <w:rPr>
          <w:lang w:val="en-GB"/>
        </w:rPr>
        <w:t xml:space="preserve"> for the corresponding remote conditions and about 2 ppb h</w:t>
      </w:r>
      <w:r w:rsidRPr="006159A2">
        <w:rPr>
          <w:vertAlign w:val="superscript"/>
          <w:lang w:val="en-GB"/>
        </w:rPr>
        <w:t>-1</w:t>
      </w:r>
      <w:r w:rsidRPr="006159A2">
        <w:rPr>
          <w:lang w:val="en-GB"/>
        </w:rPr>
        <w:t xml:space="preserve"> the urban conditions. The differences may be mainly a result of the more complex aqueous</w:t>
      </w:r>
      <w:r w:rsidRPr="006159A2">
        <w:rPr>
          <w:lang w:val="en-GB"/>
        </w:rPr>
        <w:noBreakHyphen/>
        <w:t>phase chemistry in the present study including e.g. more HO</w:t>
      </w:r>
      <w:r w:rsidRPr="006159A2">
        <w:rPr>
          <w:vertAlign w:val="subscript"/>
          <w:lang w:val="en-GB"/>
        </w:rPr>
        <w:t>y</w:t>
      </w:r>
      <w:r w:rsidRPr="006159A2">
        <w:rPr>
          <w:lang w:val="en-GB"/>
        </w:rPr>
        <w:t xml:space="preserve"> (</w:t>
      </w:r>
      <w:r w:rsidRPr="006159A2">
        <w:rPr>
          <w:rStyle w:val="st"/>
        </w:rPr>
        <w:t xml:space="preserve">= </w:t>
      </w:r>
      <w:r w:rsidRPr="006159A2">
        <w:rPr>
          <w:rStyle w:val="Emphasis"/>
          <w:i w:val="0"/>
          <w:iCs/>
        </w:rPr>
        <w:t>HO</w:t>
      </w:r>
      <w:r w:rsidRPr="006159A2">
        <w:rPr>
          <w:rStyle w:val="Emphasis"/>
          <w:i w:val="0"/>
          <w:iCs/>
          <w:vertAlign w:val="subscript"/>
        </w:rPr>
        <w:t>x</w:t>
      </w:r>
      <w:r w:rsidRPr="006159A2">
        <w:rPr>
          <w:rStyle w:val="st"/>
        </w:rPr>
        <w:t xml:space="preserve"> + 2 </w:t>
      </w:r>
      <w:r w:rsidRPr="006159A2">
        <w:rPr>
          <w:rStyle w:val="Emphasis"/>
          <w:i w:val="0"/>
          <w:iCs/>
        </w:rPr>
        <w:t>H</w:t>
      </w:r>
      <w:r w:rsidRPr="006159A2">
        <w:rPr>
          <w:rStyle w:val="Emphasis"/>
          <w:i w:val="0"/>
          <w:iCs/>
          <w:vertAlign w:val="subscript"/>
        </w:rPr>
        <w:t>2</w:t>
      </w:r>
      <w:r w:rsidRPr="006159A2">
        <w:rPr>
          <w:rStyle w:val="Emphasis"/>
          <w:i w:val="0"/>
          <w:iCs/>
        </w:rPr>
        <w:t>O</w:t>
      </w:r>
      <w:r w:rsidRPr="006159A2">
        <w:rPr>
          <w:rStyle w:val="Emphasis"/>
          <w:i w:val="0"/>
          <w:iCs/>
          <w:vertAlign w:val="subscript"/>
        </w:rPr>
        <w:t>2</w:t>
      </w:r>
      <w:r w:rsidRPr="006159A2">
        <w:rPr>
          <w:rStyle w:val="st"/>
        </w:rPr>
        <w:t xml:space="preserve"> + 2 CH</w:t>
      </w:r>
      <w:r w:rsidRPr="006159A2">
        <w:rPr>
          <w:rStyle w:val="st"/>
          <w:vertAlign w:val="subscript"/>
        </w:rPr>
        <w:t>3</w:t>
      </w:r>
      <w:r w:rsidRPr="006159A2">
        <w:rPr>
          <w:rStyle w:val="st"/>
        </w:rPr>
        <w:t>OOH + HNO</w:t>
      </w:r>
      <w:r w:rsidRPr="006159A2">
        <w:rPr>
          <w:rStyle w:val="st"/>
          <w:vertAlign w:val="subscript"/>
        </w:rPr>
        <w:t>2</w:t>
      </w:r>
      <w:r w:rsidRPr="006159A2">
        <w:rPr>
          <w:rStyle w:val="st"/>
        </w:rPr>
        <w:t xml:space="preserve"> + HNO</w:t>
      </w:r>
      <w:r w:rsidRPr="006159A2">
        <w:rPr>
          <w:rStyle w:val="st"/>
          <w:vertAlign w:val="subscript"/>
        </w:rPr>
        <w:t>4</w:t>
      </w:r>
      <w:r w:rsidRPr="006159A2">
        <w:rPr>
          <w:lang w:val="en-GB"/>
        </w:rPr>
        <w:t>) sinks such as the sulphur chemistry leading to different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budget and the different microphysical conditions including a higher LWC level and therefore e.g. more reduced gas</w:t>
      </w:r>
      <w:r w:rsidRPr="006159A2">
        <w:rPr>
          <w:lang w:val="en-GB"/>
        </w:rPr>
        <w:noBreakHyphen/>
        <w:t>phase HO</w:t>
      </w:r>
      <w:r w:rsidRPr="006159A2">
        <w:rPr>
          <w:vertAlign w:val="subscript"/>
          <w:lang w:val="en-GB"/>
        </w:rPr>
        <w:t>2</w:t>
      </w:r>
      <w:r w:rsidRPr="006159A2">
        <w:rPr>
          <w:lang w:val="en-GB"/>
        </w:rPr>
        <w:t xml:space="preserve"> budget. However, it is also mentioned that the differences in the two applied gas phase mechanisms might also contribute to the observed deviations. </w:t>
      </w:r>
    </w:p>
    <w:p w:rsidR="00A04376" w:rsidRPr="006159A2" w:rsidRDefault="00E0710A" w:rsidP="00A04376">
      <w:pPr>
        <w:pStyle w:val="figlegend"/>
        <w:tabs>
          <w:tab w:val="left" w:pos="993"/>
        </w:tabs>
        <w:jc w:val="center"/>
        <w:rPr>
          <w:b/>
          <w:lang w:val="en-GB"/>
        </w:rPr>
      </w:pPr>
      <w:r>
        <w:rPr>
          <w:b/>
          <w:noProof/>
          <w:lang w:eastAsia="en-US"/>
        </w:rPr>
        <w:lastRenderedPageBreak/>
        <w:drawing>
          <wp:inline distT="0" distB="0" distL="0" distR="0">
            <wp:extent cx="4892675" cy="3480435"/>
            <wp:effectExtent l="0" t="0" r="3175" b="0"/>
            <wp:docPr id="79"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3"/>
                    <pic:cNvPicPr>
                      <a:picLocks noChangeAspect="1" noChangeArrowheads="1"/>
                    </pic:cNvPicPr>
                  </pic:nvPicPr>
                  <pic:blipFill>
                    <a:blip r:embed="rId25"/>
                    <a:srcRect/>
                    <a:stretch>
                      <a:fillRect/>
                    </a:stretch>
                  </pic:blipFill>
                  <pic:spPr bwMode="auto">
                    <a:xfrm>
                      <a:off x="0" y="0"/>
                      <a:ext cx="4892675" cy="3480435"/>
                    </a:xfrm>
                    <a:prstGeom prst="rect">
                      <a:avLst/>
                    </a:prstGeom>
                    <a:noFill/>
                    <a:ln w="9525">
                      <a:noFill/>
                      <a:miter lim="800000"/>
                      <a:headEnd/>
                      <a:tailEnd/>
                    </a:ln>
                  </pic:spPr>
                </pic:pic>
              </a:graphicData>
            </a:graphic>
          </wp:inline>
        </w:drawing>
      </w:r>
    </w:p>
    <w:p w:rsidR="00A04376" w:rsidRPr="006159A2" w:rsidRDefault="00A04376" w:rsidP="00A04376">
      <w:pPr>
        <w:pStyle w:val="figlegend"/>
        <w:tabs>
          <w:tab w:val="left" w:pos="993"/>
        </w:tabs>
        <w:rPr>
          <w:lang w:val="en-GB"/>
        </w:rPr>
      </w:pPr>
      <w:r w:rsidRPr="006159A2">
        <w:rPr>
          <w:b/>
          <w:lang w:val="en-GB"/>
        </w:rPr>
        <w:t>Fig. S</w:t>
      </w:r>
      <w:r w:rsidR="005522E3" w:rsidRPr="006159A2">
        <w:rPr>
          <w:b/>
          <w:lang w:val="en-GB"/>
        </w:rPr>
        <w:t>11</w:t>
      </w:r>
      <w:r w:rsidRPr="006159A2">
        <w:rPr>
          <w:lang w:val="en-GB"/>
        </w:rPr>
        <w:tab/>
        <w:t>Modelled O</w:t>
      </w:r>
      <w:r w:rsidRPr="006159A2">
        <w:rPr>
          <w:vertAlign w:val="subscript"/>
          <w:lang w:val="en-GB"/>
        </w:rPr>
        <w:t>3</w:t>
      </w:r>
      <w:r w:rsidRPr="006159A2">
        <w:rPr>
          <w:lang w:val="en-GB"/>
        </w:rPr>
        <w:t xml:space="preserve"> gas</w:t>
      </w:r>
      <w:r w:rsidRPr="006159A2">
        <w:rPr>
          <w:lang w:val="en-GB"/>
        </w:rPr>
        <w:noBreakHyphen/>
        <w:t>phase concentrations in molecules per cm</w:t>
      </w:r>
      <w:r w:rsidRPr="006159A2">
        <w:rPr>
          <w:vertAlign w:val="superscript"/>
          <w:lang w:val="en-GB"/>
        </w:rPr>
        <w:t>-3</w:t>
      </w:r>
      <w:r w:rsidRPr="006159A2">
        <w:rPr>
          <w:lang w:val="en-GB"/>
        </w:rPr>
        <w:t xml:space="preserve"> vs. modelling time for the urban and remote scenario both with (AqChem) and without (woAqChem) aqueous</w:t>
      </w:r>
      <w:r w:rsidRPr="006159A2">
        <w:rPr>
          <w:lang w:val="en-GB"/>
        </w:rPr>
        <w:noBreakHyphen/>
        <w:t>phase chemistry interaction</w:t>
      </w:r>
    </w:p>
    <w:p w:rsidR="00A04376" w:rsidRPr="006159A2" w:rsidRDefault="00A04376" w:rsidP="00A04376"/>
    <w:p w:rsidR="00591339" w:rsidRPr="006159A2" w:rsidRDefault="00CF0DDB" w:rsidP="003E4F67">
      <w:pPr>
        <w:pStyle w:val="Heading1"/>
        <w:spacing w:line="240" w:lineRule="auto"/>
        <w:jc w:val="both"/>
        <w:rPr>
          <w:noProof/>
          <w:sz w:val="16"/>
          <w:szCs w:val="16"/>
        </w:rPr>
      </w:pPr>
      <w:r w:rsidRPr="006159A2">
        <w:lastRenderedPageBreak/>
        <w:t>E</w:t>
      </w:r>
      <w:r w:rsidR="00A04376" w:rsidRPr="006159A2">
        <w:t>. Material to section </w:t>
      </w:r>
      <w:r w:rsidRPr="006159A2">
        <w:t>3.</w:t>
      </w:r>
      <w:r w:rsidR="004071FE" w:rsidRPr="006159A2">
        <w:t>4</w:t>
      </w:r>
      <w:r w:rsidR="005522E3" w:rsidRPr="006159A2">
        <w:br/>
      </w:r>
    </w:p>
    <w:p w:rsidR="009F4459" w:rsidRPr="006159A2" w:rsidRDefault="00E0710A" w:rsidP="00591339">
      <w:pPr>
        <w:pStyle w:val="Heading1"/>
        <w:jc w:val="center"/>
      </w:pPr>
      <w:r>
        <w:rPr>
          <w:noProof/>
          <w:lang w:val="en-US" w:eastAsia="en-US"/>
        </w:rPr>
        <w:drawing>
          <wp:inline distT="0" distB="0" distL="0" distR="0">
            <wp:extent cx="5568315" cy="7519670"/>
            <wp:effectExtent l="19050" t="0" r="0" b="0"/>
            <wp:docPr id="80" name="Picture 80" descr="VOCs_FIG-XX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OCs_FIG-XXXXXXX"/>
                    <pic:cNvPicPr>
                      <a:picLocks noChangeAspect="1" noChangeArrowheads="1"/>
                    </pic:cNvPicPr>
                  </pic:nvPicPr>
                  <pic:blipFill>
                    <a:blip r:embed="rId26"/>
                    <a:srcRect/>
                    <a:stretch>
                      <a:fillRect/>
                    </a:stretch>
                  </pic:blipFill>
                  <pic:spPr bwMode="auto">
                    <a:xfrm>
                      <a:off x="0" y="0"/>
                      <a:ext cx="5568315" cy="7519670"/>
                    </a:xfrm>
                    <a:prstGeom prst="rect">
                      <a:avLst/>
                    </a:prstGeom>
                    <a:noFill/>
                    <a:ln w="9525">
                      <a:noFill/>
                      <a:miter lim="800000"/>
                      <a:headEnd/>
                      <a:tailEnd/>
                    </a:ln>
                  </pic:spPr>
                </pic:pic>
              </a:graphicData>
            </a:graphic>
          </wp:inline>
        </w:drawing>
      </w:r>
    </w:p>
    <w:p w:rsidR="002C5D20" w:rsidRPr="006159A2" w:rsidRDefault="0067068D" w:rsidP="004F3F4F">
      <w:pPr>
        <w:pStyle w:val="figlegend"/>
        <w:tabs>
          <w:tab w:val="left" w:pos="993"/>
        </w:tabs>
        <w:rPr>
          <w:lang w:val="fr-FR"/>
        </w:rPr>
      </w:pPr>
      <w:r w:rsidRPr="006159A2">
        <w:rPr>
          <w:b/>
          <w:lang w:val="fr-FR"/>
        </w:rPr>
        <w:t>Fig. S</w:t>
      </w:r>
      <w:r w:rsidR="005522E3" w:rsidRPr="006159A2">
        <w:rPr>
          <w:b/>
          <w:lang w:val="fr-FR"/>
        </w:rPr>
        <w:t>12</w:t>
      </w:r>
      <w:r w:rsidR="009F4459" w:rsidRPr="006159A2">
        <w:rPr>
          <w:lang w:val="fr-FR"/>
        </w:rPr>
        <w:tab/>
      </w:r>
      <w:r w:rsidR="002C5D20" w:rsidRPr="006159A2">
        <w:rPr>
          <w:lang w:val="fr-FR"/>
        </w:rPr>
        <w:t>Modelled gas phase concentrations of ethene, xylene, methylglyoxal, ethylene glycol, isoprene, acetic acid, glycolaldehyde, glyoxal, ACO3 and PAN f</w:t>
      </w:r>
      <w:r w:rsidR="00427422" w:rsidRPr="006159A2">
        <w:rPr>
          <w:lang w:val="fr-FR"/>
        </w:rPr>
        <w:t xml:space="preserve">or the urban and remote </w:t>
      </w:r>
      <w:r w:rsidR="00EF0CFB" w:rsidRPr="006159A2">
        <w:rPr>
          <w:lang w:val="en-GB"/>
        </w:rPr>
        <w:t>scenario (AqChem and woAqChem case)</w:t>
      </w:r>
    </w:p>
    <w:p w:rsidR="009F4459" w:rsidRPr="006159A2" w:rsidRDefault="009F4459" w:rsidP="009F4459">
      <w:pPr>
        <w:rPr>
          <w:lang w:val="fr-FR"/>
        </w:rPr>
      </w:pPr>
    </w:p>
    <w:p w:rsidR="0072623B" w:rsidRPr="006159A2" w:rsidRDefault="0072623B" w:rsidP="00CF0DDB">
      <w:pPr>
        <w:pStyle w:val="Heading1"/>
      </w:pPr>
      <w:r w:rsidRPr="006159A2">
        <w:rPr>
          <w:lang w:val="fr-FR"/>
        </w:rPr>
        <w:br w:type="page"/>
      </w:r>
      <w:r w:rsidR="00CF0DDB" w:rsidRPr="006159A2">
        <w:lastRenderedPageBreak/>
        <w:t>F</w:t>
      </w:r>
      <w:r w:rsidRPr="006159A2">
        <w:t>. Material to section </w:t>
      </w:r>
      <w:r w:rsidR="00CF0DDB" w:rsidRPr="006159A2">
        <w:t>3.</w:t>
      </w:r>
      <w:r w:rsidR="004071FE" w:rsidRPr="006159A2">
        <w:t>5</w:t>
      </w:r>
    </w:p>
    <w:p w:rsidR="009F4459" w:rsidRPr="006159A2" w:rsidRDefault="00E0710A" w:rsidP="00730703">
      <w:pPr>
        <w:jc w:val="center"/>
        <w:rPr>
          <w:lang w:val="fr-FR"/>
        </w:rPr>
      </w:pPr>
      <w:r>
        <w:rPr>
          <w:noProof/>
          <w:lang w:eastAsia="en-US"/>
        </w:rPr>
        <w:drawing>
          <wp:inline distT="0" distB="0" distL="0" distR="0">
            <wp:extent cx="5029200" cy="3159760"/>
            <wp:effectExtent l="19050" t="0" r="0" b="0"/>
            <wp:docPr id="81"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5"/>
                    <pic:cNvPicPr>
                      <a:picLocks noChangeAspect="1" noChangeArrowheads="1"/>
                    </pic:cNvPicPr>
                  </pic:nvPicPr>
                  <pic:blipFill>
                    <a:blip r:embed="rId27"/>
                    <a:srcRect/>
                    <a:stretch>
                      <a:fillRect/>
                    </a:stretch>
                  </pic:blipFill>
                  <pic:spPr bwMode="auto">
                    <a:xfrm>
                      <a:off x="0" y="0"/>
                      <a:ext cx="5029200" cy="3159760"/>
                    </a:xfrm>
                    <a:prstGeom prst="rect">
                      <a:avLst/>
                    </a:prstGeom>
                    <a:noFill/>
                    <a:ln w="9525">
                      <a:noFill/>
                      <a:miter lim="800000"/>
                      <a:headEnd/>
                      <a:tailEnd/>
                    </a:ln>
                  </pic:spPr>
                </pic:pic>
              </a:graphicData>
            </a:graphic>
          </wp:inline>
        </w:drawing>
      </w:r>
    </w:p>
    <w:p w:rsidR="002C5D20" w:rsidRPr="006159A2" w:rsidRDefault="0067068D" w:rsidP="004F3F4F">
      <w:pPr>
        <w:pStyle w:val="figlegend"/>
        <w:tabs>
          <w:tab w:val="left" w:pos="993"/>
        </w:tabs>
        <w:rPr>
          <w:lang w:val="en-GB"/>
        </w:rPr>
      </w:pPr>
      <w:r w:rsidRPr="006159A2">
        <w:rPr>
          <w:b/>
          <w:lang w:val="en-GB"/>
        </w:rPr>
        <w:t>Fig. S</w:t>
      </w:r>
      <w:r w:rsidR="005522E3" w:rsidRPr="006159A2">
        <w:rPr>
          <w:b/>
          <w:lang w:val="en-GB"/>
        </w:rPr>
        <w:t>13</w:t>
      </w:r>
      <w:r w:rsidR="009F4459" w:rsidRPr="006159A2">
        <w:rPr>
          <w:lang w:val="en-GB"/>
        </w:rPr>
        <w:tab/>
      </w:r>
      <w:r w:rsidR="002C5D20" w:rsidRPr="006159A2">
        <w:rPr>
          <w:lang w:val="en-GB"/>
        </w:rPr>
        <w:t>Modelled aqueous phase sulphur(VI) concentrations in mol m</w:t>
      </w:r>
      <w:r w:rsidR="002C5D20" w:rsidRPr="006159A2">
        <w:rPr>
          <w:vertAlign w:val="superscript"/>
          <w:lang w:val="en-GB"/>
        </w:rPr>
        <w:t>-3</w:t>
      </w:r>
      <w:r w:rsidR="002C5D20" w:rsidRPr="006159A2">
        <w:rPr>
          <w:vertAlign w:val="subscript"/>
          <w:lang w:val="en-GB"/>
        </w:rPr>
        <w:t>(air)</w:t>
      </w:r>
      <w:r w:rsidR="002C5D20" w:rsidRPr="006159A2">
        <w:rPr>
          <w:lang w:val="en-GB"/>
        </w:rPr>
        <w:t xml:space="preserve"> as a function of the modelling time for the remote and urban atmospheric scenario, respec</w:t>
      </w:r>
      <w:r w:rsidR="00427422" w:rsidRPr="006159A2">
        <w:rPr>
          <w:lang w:val="en-GB"/>
        </w:rPr>
        <w:t>tively</w:t>
      </w:r>
    </w:p>
    <w:p w:rsidR="0072623B" w:rsidRPr="006159A2" w:rsidRDefault="00CF0DDB" w:rsidP="00EA140D">
      <w:pPr>
        <w:pStyle w:val="Heading1"/>
      </w:pPr>
      <w:r w:rsidRPr="006159A2">
        <w:t>G</w:t>
      </w:r>
      <w:r w:rsidR="0072623B" w:rsidRPr="006159A2">
        <w:t>. Material to section </w:t>
      </w:r>
      <w:r w:rsidRPr="006159A2">
        <w:t>3.5</w:t>
      </w:r>
    </w:p>
    <w:p w:rsidR="00160EE9" w:rsidRPr="006159A2" w:rsidRDefault="00E0710A" w:rsidP="00160EE9">
      <w:pPr>
        <w:jc w:val="center"/>
        <w:rPr>
          <w:lang w:val="fr-FR"/>
        </w:rPr>
      </w:pPr>
      <w:r>
        <w:rPr>
          <w:noProof/>
          <w:lang w:eastAsia="en-US"/>
        </w:rPr>
        <w:drawing>
          <wp:inline distT="0" distB="0" distL="0" distR="0">
            <wp:extent cx="5029200" cy="3637280"/>
            <wp:effectExtent l="19050" t="0" r="0" b="0"/>
            <wp:docPr id="82" name="Bild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2"/>
                    <pic:cNvPicPr>
                      <a:picLocks noChangeAspect="1" noChangeArrowheads="1"/>
                    </pic:cNvPicPr>
                  </pic:nvPicPr>
                  <pic:blipFill>
                    <a:blip r:embed="rId28"/>
                    <a:srcRect/>
                    <a:stretch>
                      <a:fillRect/>
                    </a:stretch>
                  </pic:blipFill>
                  <pic:spPr bwMode="auto">
                    <a:xfrm>
                      <a:off x="0" y="0"/>
                      <a:ext cx="5029200" cy="3637280"/>
                    </a:xfrm>
                    <a:prstGeom prst="rect">
                      <a:avLst/>
                    </a:prstGeom>
                    <a:noFill/>
                    <a:ln w="9525">
                      <a:noFill/>
                      <a:miter lim="800000"/>
                      <a:headEnd/>
                      <a:tailEnd/>
                    </a:ln>
                  </pic:spPr>
                </pic:pic>
              </a:graphicData>
            </a:graphic>
          </wp:inline>
        </w:drawing>
      </w:r>
    </w:p>
    <w:p w:rsidR="00160EE9" w:rsidRPr="006159A2" w:rsidRDefault="00160EE9" w:rsidP="00160EE9">
      <w:pPr>
        <w:pStyle w:val="figlegend"/>
        <w:tabs>
          <w:tab w:val="left" w:pos="993"/>
        </w:tabs>
        <w:rPr>
          <w:lang w:val="en-GB"/>
        </w:rPr>
      </w:pPr>
      <w:r w:rsidRPr="006159A2">
        <w:rPr>
          <w:b/>
          <w:lang w:val="en-GB"/>
        </w:rPr>
        <w:t>Fig. S14</w:t>
      </w:r>
      <w:r w:rsidRPr="006159A2">
        <w:rPr>
          <w:lang w:val="en-GB"/>
        </w:rPr>
        <w:tab/>
        <w:t>Temporal evolution of the relative contributions [%] of different iron species to the total iron mass under remote environmental conditions. The red line shows the percentage contribution of iron(II) species to the total iron aerosol content</w:t>
      </w:r>
    </w:p>
    <w:p w:rsidR="00094AD1" w:rsidRPr="006159A2" w:rsidRDefault="00094AD1" w:rsidP="00094AD1">
      <w:pPr>
        <w:pStyle w:val="tablelegend"/>
        <w:tabs>
          <w:tab w:val="left" w:pos="993"/>
        </w:tabs>
        <w:jc w:val="both"/>
        <w:rPr>
          <w:lang w:val="en-GB"/>
        </w:rPr>
      </w:pPr>
      <w:r w:rsidRPr="006159A2">
        <w:rPr>
          <w:b/>
          <w:lang w:val="en-GB"/>
        </w:rPr>
        <w:lastRenderedPageBreak/>
        <w:t>Tab. S4</w:t>
      </w:r>
      <w:r w:rsidRPr="006159A2">
        <w:rPr>
          <w:lang w:val="en-GB"/>
        </w:rPr>
        <w:tab/>
        <w:t>Integrated percentage contributions of the most important Fe(III) sources and sink reactions for the urban case classified regarding to the different microphysical conditions during the simulation time (1 = total contributions throughout the simulation time, 2 = contributions throughout all cloud events, 3/4 = contributions throughout all day/night cloud events, 5 = contribution under the deliquescent particle conditions) (only sinks and sources with a contribution larger than ±1 % presented)</w:t>
      </w:r>
    </w:p>
    <w:tbl>
      <w:tblPr>
        <w:tblW w:w="9147" w:type="dxa"/>
        <w:jc w:val="center"/>
        <w:tblInd w:w="-466" w:type="dxa"/>
        <w:tblLayout w:type="fixed"/>
        <w:tblLook w:val="0000"/>
      </w:tblPr>
      <w:tblGrid>
        <w:gridCol w:w="4647"/>
        <w:gridCol w:w="900"/>
        <w:gridCol w:w="900"/>
        <w:gridCol w:w="900"/>
        <w:gridCol w:w="900"/>
        <w:gridCol w:w="900"/>
      </w:tblGrid>
      <w:tr w:rsidR="00094AD1" w:rsidRPr="006159A2" w:rsidTr="00094AD1">
        <w:trPr>
          <w:trHeight w:val="524"/>
          <w:jc w:val="center"/>
        </w:trPr>
        <w:tc>
          <w:tcPr>
            <w:tcW w:w="4647"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both"/>
              <w:rPr>
                <w:b/>
                <w:sz w:val="20"/>
                <w:lang w:val="en-GB"/>
              </w:rPr>
            </w:pPr>
            <w:r w:rsidRPr="006159A2">
              <w:rPr>
                <w:b/>
                <w:sz w:val="20"/>
                <w:lang w:val="en-GB"/>
              </w:rPr>
              <w:t>Reaction</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1</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2</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3</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4</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5</w:t>
            </w:r>
          </w:p>
        </w:tc>
      </w:tr>
      <w:tr w:rsidR="00094AD1" w:rsidRPr="006159A2" w:rsidTr="00094AD1">
        <w:trPr>
          <w:trHeight w:val="255"/>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bookmarkStart w:id="3" w:name="_Hlk206432769"/>
            <w:r w:rsidRPr="006159A2">
              <w:rPr>
                <w:sz w:val="20"/>
                <w:lang w:val="en-GB"/>
              </w:rPr>
              <w:t>Fe</w:t>
            </w:r>
            <w:r w:rsidRPr="006159A2">
              <w:rPr>
                <w:sz w:val="20"/>
                <w:vertAlign w:val="superscript"/>
                <w:lang w:val="en-GB"/>
              </w:rPr>
              <w:t>3+</w:t>
            </w:r>
            <w:r w:rsidRPr="006159A2">
              <w:rPr>
                <w:sz w:val="20"/>
                <w:lang w:val="en-GB"/>
              </w:rPr>
              <w:t> + Cu</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 Cu</w:t>
            </w:r>
            <w:r w:rsidRPr="006159A2">
              <w:rPr>
                <w:sz w:val="20"/>
                <w:vertAlign w:val="super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-69.2%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-26.7%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-25.1%</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-33.4%</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-75.1%</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H</w:t>
            </w:r>
            <w:r w:rsidRPr="006159A2">
              <w:rPr>
                <w:sz w:val="20"/>
                <w:vertAlign w:val="subscript"/>
                <w:lang w:val="pt-BR"/>
              </w:rPr>
              <w:t>2</w:t>
            </w:r>
            <w:r w:rsidRPr="006159A2">
              <w:rPr>
                <w:sz w:val="20"/>
                <w:lang w:val="pt-BR"/>
              </w:rPr>
              <w:t>O</w:t>
            </w:r>
            <w:r w:rsidRPr="006159A2">
              <w:rPr>
                <w:sz w:val="20"/>
                <w:vertAlign w:val="subscript"/>
                <w:lang w:val="pt-BR"/>
              </w:rPr>
              <w:t>2</w:t>
            </w:r>
            <w:r w:rsidRPr="006159A2">
              <w:rPr>
                <w:sz w:val="20"/>
                <w:lang w:val="pt-BR"/>
              </w:rPr>
              <w:t xml:space="preserve"> + Fe</w:t>
            </w:r>
            <w:r w:rsidRPr="006159A2">
              <w:rPr>
                <w:sz w:val="20"/>
                <w:vertAlign w:val="superscript"/>
                <w:lang w:val="pt-BR"/>
              </w:rPr>
              <w:t>2+</w:t>
            </w:r>
            <w:r w:rsidRPr="006159A2">
              <w:rPr>
                <w:sz w:val="20"/>
                <w:lang w:val="pt-BR"/>
              </w:rPr>
              <w:t xml:space="preserve"> </w:t>
            </w:r>
            <w:r w:rsidR="00E0710A">
              <w:rPr>
                <w:noProof/>
                <w:position w:val="-6"/>
                <w:sz w:val="20"/>
                <w:lang w:eastAsia="en-US"/>
              </w:rPr>
              <w:drawing>
                <wp:inline distT="0" distB="0" distL="0" distR="0">
                  <wp:extent cx="280035" cy="1708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3+</w:t>
            </w:r>
            <w:r w:rsidRPr="006159A2">
              <w:rPr>
                <w:sz w:val="20"/>
                <w:lang w:val="pt-BR"/>
              </w:rPr>
              <w:t xml:space="preserve"> + OH + OH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41.0%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6.6%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7.3%</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45.7%</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HO</w:t>
            </w:r>
            <w:r w:rsidRPr="006159A2">
              <w:rPr>
                <w:sz w:val="20"/>
                <w:vertAlign w:val="subscript"/>
                <w:lang w:val="pt-BR"/>
              </w:rPr>
              <w:t>2</w:t>
            </w:r>
            <w:r w:rsidRPr="006159A2">
              <w:rPr>
                <w:sz w:val="20"/>
                <w:lang w:val="pt-BR"/>
              </w:rPr>
              <w:t xml:space="preserve"> + Fe</w:t>
            </w:r>
            <w:r w:rsidRPr="006159A2">
              <w:rPr>
                <w:sz w:val="20"/>
                <w:vertAlign w:val="superscript"/>
                <w:lang w:val="pt-BR"/>
              </w:rPr>
              <w:t>2+</w:t>
            </w:r>
            <w:r w:rsidRPr="006159A2">
              <w:rPr>
                <w:sz w:val="20"/>
                <w:lang w:val="pt-BR"/>
              </w:rPr>
              <w:t xml:space="preserve"> (+ H</w:t>
            </w:r>
            <w:r w:rsidRPr="006159A2">
              <w:rPr>
                <w:sz w:val="20"/>
                <w:vertAlign w:val="subscript"/>
                <w:lang w:val="pt-BR"/>
              </w:rPr>
              <w:t>2</w:t>
            </w:r>
            <w:r w:rsidRPr="006159A2">
              <w:rPr>
                <w:sz w:val="20"/>
                <w:lang w:val="pt-BR"/>
              </w:rPr>
              <w:t xml:space="preserve">O) </w:t>
            </w:r>
            <w:r w:rsidR="00E0710A">
              <w:rPr>
                <w:noProof/>
                <w:position w:val="-6"/>
                <w:sz w:val="20"/>
                <w:lang w:eastAsia="en-US"/>
              </w:rPr>
              <w:drawing>
                <wp:inline distT="0" distB="0" distL="0" distR="0">
                  <wp:extent cx="280035" cy="1708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3+</w:t>
            </w:r>
            <w:r w:rsidRPr="006159A2">
              <w:rPr>
                <w:sz w:val="20"/>
                <w:lang w:val="pt-BR"/>
              </w:rPr>
              <w:t xml:space="preserve"> + H</w:t>
            </w:r>
            <w:r w:rsidRPr="006159A2">
              <w:rPr>
                <w:sz w:val="20"/>
                <w:vertAlign w:val="subscript"/>
                <w:lang w:val="pt-BR"/>
              </w:rPr>
              <w:t>2</w:t>
            </w:r>
            <w:r w:rsidRPr="006159A2">
              <w:rPr>
                <w:sz w:val="20"/>
                <w:lang w:val="pt-BR"/>
              </w:rPr>
              <w:t>O</w:t>
            </w:r>
            <w:r w:rsidRPr="006159A2">
              <w:rPr>
                <w:sz w:val="20"/>
                <w:vertAlign w:val="subscript"/>
                <w:lang w:val="pt-BR"/>
              </w:rPr>
              <w:t>2</w:t>
            </w:r>
            <w:r w:rsidRPr="006159A2">
              <w:rPr>
                <w:sz w:val="20"/>
                <w:lang w:val="pt-BR"/>
              </w:rPr>
              <w:t xml:space="preserve"> + OH</w:t>
            </w:r>
            <w:r w:rsidRPr="006159A2">
              <w:rPr>
                <w:sz w:val="20"/>
                <w:vertAlign w:val="superscript"/>
                <w:lang w:val="pt-BR"/>
              </w:rPr>
              <w:t>-</w:t>
            </w:r>
            <w:r w:rsidRPr="006159A2">
              <w:rPr>
                <w:sz w:val="20"/>
                <w:lang w:val="pt-BR"/>
              </w:rPr>
              <w:t xml:space="preserve"> </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22.4%</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36.9%</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37.8%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33.0%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20.4%</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FeOH</w:t>
            </w:r>
            <w:r w:rsidRPr="006159A2">
              <w:rPr>
                <w:sz w:val="20"/>
                <w:vertAlign w:val="superscript"/>
                <w:lang w:val="en-GB"/>
              </w:rPr>
              <w:t>2+</w:t>
            </w:r>
            <w:r w:rsidRPr="006159A2">
              <w:rPr>
                <w:sz w:val="20"/>
                <w:lang w:val="en-GB"/>
              </w:rPr>
              <w:t xml:space="preserve"> + Cu</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xml:space="preserve"> + Cu</w:t>
            </w:r>
            <w:r w:rsidRPr="006159A2">
              <w:rPr>
                <w:sz w:val="20"/>
                <w:vertAlign w:val="superscript"/>
                <w:lang w:val="en-GB"/>
              </w:rPr>
              <w:t>2+</w:t>
            </w:r>
            <w:r w:rsidRPr="006159A2">
              <w:rPr>
                <w:sz w:val="20"/>
                <w:lang w:val="en-GB"/>
              </w:rPr>
              <w:t xml:space="preserve"> + OH</w:t>
            </w:r>
            <w:r w:rsidRPr="006159A2">
              <w:rPr>
                <w:sz w:val="20"/>
                <w:vertAlign w:val="superscript"/>
                <w:lang w:val="en-GB"/>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-16.8%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-28.9%</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-27.7%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-33.8%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-15.1%</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FeO</w:t>
            </w:r>
            <w:r w:rsidRPr="006159A2">
              <w:rPr>
                <w:sz w:val="20"/>
                <w:vertAlign w:val="superscript"/>
                <w:lang w:val="pt-BR"/>
              </w:rPr>
              <w:t>2+</w:t>
            </w:r>
            <w:r w:rsidRPr="006159A2">
              <w:rPr>
                <w:sz w:val="20"/>
                <w:lang w:val="pt-BR"/>
              </w:rPr>
              <w:t xml:space="preserve"> + Fe</w:t>
            </w:r>
            <w:r w:rsidRPr="006159A2">
              <w:rPr>
                <w:sz w:val="20"/>
                <w:vertAlign w:val="superscript"/>
                <w:lang w:val="pt-BR"/>
              </w:rPr>
              <w:t>2+</w:t>
            </w:r>
            <w:r w:rsidRPr="006159A2">
              <w:rPr>
                <w:sz w:val="20"/>
                <w:lang w:val="pt-BR"/>
              </w:rPr>
              <w:t xml:space="preserve"> (+ H</w:t>
            </w:r>
            <w:r w:rsidRPr="006159A2">
              <w:rPr>
                <w:sz w:val="20"/>
                <w:vertAlign w:val="subscript"/>
                <w:lang w:val="pt-BR"/>
              </w:rPr>
              <w:t>2</w:t>
            </w:r>
            <w:r w:rsidRPr="006159A2">
              <w:rPr>
                <w:sz w:val="20"/>
                <w:lang w:val="pt-BR"/>
              </w:rPr>
              <w:t xml:space="preserve">O) </w:t>
            </w:r>
            <w:r w:rsidR="00E0710A">
              <w:rPr>
                <w:noProof/>
                <w:position w:val="-6"/>
                <w:sz w:val="20"/>
                <w:lang w:eastAsia="en-US"/>
              </w:rPr>
              <w:drawing>
                <wp:inline distT="0" distB="0" distL="0" distR="0">
                  <wp:extent cx="280035" cy="1708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2 Fe</w:t>
            </w:r>
            <w:r w:rsidRPr="006159A2">
              <w:rPr>
                <w:sz w:val="20"/>
                <w:vertAlign w:val="superscript"/>
                <w:lang w:val="pt-BR"/>
              </w:rPr>
              <w:t>3+</w:t>
            </w:r>
            <w:r w:rsidRPr="006159A2">
              <w:rPr>
                <w:sz w:val="20"/>
                <w:lang w:val="pt-BR"/>
              </w:rPr>
              <w:t xml:space="preserve"> + 2 OH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15.9%</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12.0%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10.7%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17.2%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16.5%</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Fe(C</w:t>
            </w:r>
            <w:r w:rsidRPr="006159A2">
              <w:rPr>
                <w:sz w:val="20"/>
                <w:vertAlign w:val="subscript"/>
                <w:lang w:val="pt-BR"/>
              </w:rPr>
              <w:t>2</w:t>
            </w:r>
            <w:r w:rsidRPr="006159A2">
              <w:rPr>
                <w:sz w:val="20"/>
                <w:lang w:val="pt-BR"/>
              </w:rPr>
              <w:t>O</w:t>
            </w:r>
            <w:r w:rsidRPr="006159A2">
              <w:rPr>
                <w:sz w:val="20"/>
                <w:vertAlign w:val="subscript"/>
                <w:lang w:val="pt-BR"/>
              </w:rPr>
              <w:t>4</w:t>
            </w:r>
            <w:r w:rsidRPr="006159A2">
              <w:rPr>
                <w:sz w:val="20"/>
                <w:lang w:val="pt-BR"/>
              </w:rPr>
              <w:t>)</w:t>
            </w:r>
            <w:r w:rsidRPr="006159A2">
              <w:rPr>
                <w:sz w:val="20"/>
                <w:vertAlign w:val="subscript"/>
                <w:lang w:val="pt-BR"/>
              </w:rPr>
              <w:t>2</w:t>
            </w:r>
            <w:r w:rsidRPr="006159A2">
              <w:rPr>
                <w:sz w:val="20"/>
                <w:vertAlign w:val="superscript"/>
                <w:lang w:val="pt-BR"/>
              </w:rPr>
              <w:t>-</w:t>
            </w:r>
            <w:r w:rsidRPr="006159A2">
              <w:rPr>
                <w:sz w:val="20"/>
                <w:lang w:val="pt-BR"/>
              </w:rPr>
              <w:t xml:space="preserve"> + h</w:t>
            </w:r>
            <w:r w:rsidRPr="006159A2">
              <w:rPr>
                <w:sz w:val="20"/>
                <w:lang w:val="en-GB"/>
              </w:rPr>
              <w:sym w:font="Symbol" w:char="F06E"/>
            </w:r>
            <w:r w:rsidR="00E0710A">
              <w:rPr>
                <w:noProof/>
                <w:position w:val="-6"/>
                <w:sz w:val="20"/>
                <w:lang w:eastAsia="en-US"/>
              </w:rPr>
              <w:drawing>
                <wp:inline distT="0" distB="0" distL="0" distR="0">
                  <wp:extent cx="280035" cy="1708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2+</w:t>
            </w:r>
            <w:r w:rsidRPr="006159A2">
              <w:rPr>
                <w:sz w:val="20"/>
                <w:lang w:val="pt-BR"/>
              </w:rPr>
              <w:t xml:space="preserve"> + C</w:t>
            </w:r>
            <w:r w:rsidRPr="006159A2">
              <w:rPr>
                <w:sz w:val="20"/>
                <w:vertAlign w:val="subscript"/>
                <w:lang w:val="pt-BR"/>
              </w:rPr>
              <w:t>2</w:t>
            </w:r>
            <w:r w:rsidRPr="006159A2">
              <w:rPr>
                <w:sz w:val="20"/>
                <w:lang w:val="pt-BR"/>
              </w:rPr>
              <w:t>O</w:t>
            </w:r>
            <w:r w:rsidRPr="006159A2">
              <w:rPr>
                <w:sz w:val="20"/>
                <w:vertAlign w:val="subscript"/>
                <w:lang w:val="pt-BR"/>
              </w:rPr>
              <w:t>4</w:t>
            </w:r>
            <w:r w:rsidRPr="006159A2">
              <w:rPr>
                <w:sz w:val="20"/>
                <w:vertAlign w:val="superscript"/>
                <w:lang w:val="pt-BR"/>
              </w:rPr>
              <w:t>2-</w:t>
            </w:r>
            <w:r w:rsidRPr="006159A2">
              <w:rPr>
                <w:sz w:val="20"/>
                <w:lang w:val="pt-BR"/>
              </w:rPr>
              <w:t xml:space="preserve"> + CO</w:t>
            </w:r>
            <w:r w:rsidRPr="006159A2">
              <w:rPr>
                <w:sz w:val="20"/>
                <w:vertAlign w:val="subscript"/>
                <w:lang w:val="pt-BR"/>
              </w:rPr>
              <w:t>2</w:t>
            </w:r>
            <w:r w:rsidRPr="006159A2">
              <w:rPr>
                <w:sz w:val="20"/>
                <w:lang w:val="pt-BR"/>
              </w:rPr>
              <w:t xml:space="preserve"> + CO</w:t>
            </w:r>
            <w:r w:rsidRPr="006159A2">
              <w:rPr>
                <w:sz w:val="20"/>
                <w:vertAlign w:val="subscript"/>
                <w:lang w:val="pt-BR"/>
              </w:rPr>
              <w:t>2</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-7.5%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-1.3%</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-8.4%</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OH + Fe</w:t>
            </w:r>
            <w:r w:rsidRPr="006159A2">
              <w:rPr>
                <w:sz w:val="20"/>
                <w:vertAlign w:val="superscript"/>
                <w:lang w:val="en-GB"/>
              </w:rPr>
              <w:t>2+</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FeOH</w:t>
            </w:r>
            <w:r w:rsidRPr="006159A2">
              <w:rPr>
                <w:sz w:val="20"/>
                <w:vertAlign w:val="super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1.4%</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0.3%</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5.2%</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FeCH</w:t>
            </w:r>
            <w:r w:rsidRPr="006159A2">
              <w:rPr>
                <w:sz w:val="20"/>
                <w:vertAlign w:val="subscript"/>
                <w:lang w:val="en-GB"/>
              </w:rPr>
              <w:t>3</w:t>
            </w:r>
            <w:r w:rsidRPr="006159A2">
              <w:rPr>
                <w:sz w:val="20"/>
                <w:lang w:val="en-GB"/>
              </w:rPr>
              <w:t>O</w:t>
            </w:r>
            <w:r w:rsidRPr="006159A2">
              <w:rPr>
                <w:sz w:val="20"/>
                <w:vertAlign w:val="subscript"/>
                <w:lang w:val="en-GB"/>
              </w:rPr>
              <w:t>2</w:t>
            </w:r>
            <w:r w:rsidRPr="006159A2">
              <w:rPr>
                <w:sz w:val="20"/>
                <w:vertAlign w:val="superscript"/>
                <w:lang w:val="en-GB"/>
              </w:rPr>
              <w:t>2+</w:t>
            </w:r>
            <w:r w:rsidRPr="006159A2">
              <w:rPr>
                <w:sz w:val="20"/>
                <w:lang w:val="en-GB"/>
              </w:rPr>
              <w:t xml:space="preserve"> + H</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3+</w:t>
            </w:r>
            <w:r w:rsidRPr="006159A2">
              <w:rPr>
                <w:sz w:val="20"/>
                <w:lang w:val="en-GB"/>
              </w:rPr>
              <w:t xml:space="preserve"> + CH</w:t>
            </w:r>
            <w:r w:rsidRPr="006159A2">
              <w:rPr>
                <w:sz w:val="20"/>
                <w:vertAlign w:val="subscript"/>
                <w:lang w:val="en-GB"/>
              </w:rPr>
              <w:t>3</w:t>
            </w:r>
            <w:r w:rsidRPr="006159A2">
              <w:rPr>
                <w:sz w:val="20"/>
                <w:lang w:val="en-GB"/>
              </w:rPr>
              <w:t>OOH</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3.3%</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5.8%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4.8%</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O</w:t>
            </w:r>
            <w:r w:rsidRPr="006159A2">
              <w:rPr>
                <w:sz w:val="20"/>
                <w:vertAlign w:val="subscript"/>
                <w:lang w:val="pt-BR"/>
              </w:rPr>
              <w:t>2</w:t>
            </w:r>
            <w:r w:rsidRPr="006159A2">
              <w:rPr>
                <w:sz w:val="20"/>
                <w:vertAlign w:val="superscript"/>
                <w:lang w:val="pt-BR"/>
              </w:rPr>
              <w:t>-</w:t>
            </w:r>
            <w:r w:rsidRPr="006159A2">
              <w:rPr>
                <w:sz w:val="20"/>
                <w:lang w:val="pt-BR"/>
              </w:rPr>
              <w:t xml:space="preserve"> + FeOH</w:t>
            </w:r>
            <w:r w:rsidRPr="006159A2">
              <w:rPr>
                <w:sz w:val="20"/>
                <w:vertAlign w:val="superscript"/>
                <w:lang w:val="pt-BR"/>
              </w:rPr>
              <w:t>2+</w:t>
            </w:r>
            <w:r w:rsidRPr="006159A2">
              <w:rPr>
                <w:sz w:val="20"/>
                <w:lang w:val="pt-BR"/>
              </w:rPr>
              <w:t xml:space="preserve"> </w:t>
            </w:r>
            <w:r w:rsidR="00E0710A">
              <w:rPr>
                <w:noProof/>
                <w:position w:val="-6"/>
                <w:sz w:val="20"/>
                <w:lang w:eastAsia="en-US"/>
              </w:rPr>
              <w:drawing>
                <wp:inline distT="0" distB="0" distL="0" distR="0">
                  <wp:extent cx="280035" cy="1708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2+</w:t>
            </w:r>
            <w:r w:rsidRPr="006159A2">
              <w:rPr>
                <w:sz w:val="20"/>
                <w:lang w:val="pt-BR"/>
              </w:rPr>
              <w:t xml:space="preserve"> + O</w:t>
            </w:r>
            <w:r w:rsidRPr="006159A2">
              <w:rPr>
                <w:sz w:val="20"/>
                <w:vertAlign w:val="subscript"/>
                <w:lang w:val="pt-BR"/>
              </w:rPr>
              <w:t>2</w:t>
            </w:r>
            <w:r w:rsidRPr="006159A2">
              <w:rPr>
                <w:sz w:val="20"/>
                <w:lang w:val="pt-BR"/>
              </w:rPr>
              <w:t xml:space="preserve"> + OH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-28.0%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-28.6%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-25.4%</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-0.2%</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Fe</w:t>
            </w:r>
            <w:r w:rsidRPr="006159A2">
              <w:rPr>
                <w:sz w:val="20"/>
                <w:vertAlign w:val="superscript"/>
                <w:lang w:val="pt-BR"/>
              </w:rPr>
              <w:t>2+</w:t>
            </w:r>
            <w:r w:rsidRPr="006159A2">
              <w:rPr>
                <w:sz w:val="20"/>
                <w:lang w:val="pt-BR"/>
              </w:rPr>
              <w:t xml:space="preserve"> + SO</w:t>
            </w:r>
            <w:r w:rsidRPr="006159A2">
              <w:rPr>
                <w:sz w:val="20"/>
                <w:vertAlign w:val="subscript"/>
                <w:lang w:val="pt-BR"/>
              </w:rPr>
              <w:t>4</w:t>
            </w:r>
            <w:r w:rsidRPr="006159A2">
              <w:rPr>
                <w:sz w:val="20"/>
                <w:vertAlign w:val="superscript"/>
                <w:lang w:val="pt-BR"/>
              </w:rPr>
              <w:t>-</w:t>
            </w:r>
            <w:r w:rsidRPr="006159A2">
              <w:rPr>
                <w:sz w:val="20"/>
                <w:lang w:val="pt-BR"/>
              </w:rPr>
              <w:t xml:space="preserve"> (+ H</w:t>
            </w:r>
            <w:r w:rsidRPr="006159A2">
              <w:rPr>
                <w:sz w:val="20"/>
                <w:vertAlign w:val="subscript"/>
                <w:lang w:val="pt-BR"/>
              </w:rPr>
              <w:t>2</w:t>
            </w:r>
            <w:r w:rsidRPr="006159A2">
              <w:rPr>
                <w:sz w:val="20"/>
                <w:lang w:val="pt-BR"/>
              </w:rPr>
              <w:t xml:space="preserve">O) </w:t>
            </w:r>
            <w:r w:rsidR="00E0710A">
              <w:rPr>
                <w:noProof/>
                <w:position w:val="-6"/>
                <w:sz w:val="20"/>
                <w:lang w:eastAsia="en-US"/>
              </w:rPr>
              <w:drawing>
                <wp:inline distT="0" distB="0" distL="0" distR="0">
                  <wp:extent cx="280035" cy="1708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FeOH</w:t>
            </w:r>
            <w:r w:rsidRPr="006159A2">
              <w:rPr>
                <w:sz w:val="20"/>
                <w:vertAlign w:val="superscript"/>
                <w:lang w:val="pt-BR"/>
              </w:rPr>
              <w:t>2+</w:t>
            </w:r>
            <w:r w:rsidRPr="006159A2">
              <w:rPr>
                <w:sz w:val="20"/>
                <w:lang w:val="pt-BR"/>
              </w:rPr>
              <w:t xml:space="preserve"> + SO</w:t>
            </w:r>
            <w:r w:rsidRPr="006159A2">
              <w:rPr>
                <w:sz w:val="20"/>
                <w:vertAlign w:val="subscript"/>
                <w:lang w:val="pt-BR"/>
              </w:rPr>
              <w:t>4</w:t>
            </w:r>
            <w:r w:rsidRPr="006159A2">
              <w:rPr>
                <w:sz w:val="20"/>
                <w:vertAlign w:val="superscript"/>
                <w:lang w:val="pt-BR"/>
              </w:rPr>
              <w:t>2-</w:t>
            </w:r>
            <w:r w:rsidRPr="006159A2">
              <w:rPr>
                <w:sz w:val="20"/>
                <w:lang w:val="pt-BR"/>
              </w:rPr>
              <w:t xml:space="preserve"> + 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3.9%</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2.6%</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O</w:t>
            </w:r>
            <w:r w:rsidRPr="006159A2">
              <w:rPr>
                <w:sz w:val="20"/>
                <w:vertAlign w:val="subscript"/>
                <w:lang w:val="en-GB"/>
              </w:rPr>
              <w:t>2</w:t>
            </w:r>
            <w:r w:rsidRPr="006159A2">
              <w:rPr>
                <w:sz w:val="20"/>
                <w:vertAlign w:val="superscript"/>
                <w:lang w:val="en-GB"/>
              </w:rPr>
              <w:t>-</w:t>
            </w:r>
            <w:r w:rsidRPr="006159A2">
              <w:rPr>
                <w:sz w:val="20"/>
                <w:lang w:val="en-GB"/>
              </w:rPr>
              <w:t xml:space="preserve"> + Fe</w:t>
            </w:r>
            <w:r w:rsidRPr="006159A2">
              <w:rPr>
                <w:sz w:val="20"/>
                <w:vertAlign w:val="superscript"/>
                <w:lang w:val="en-GB"/>
              </w:rPr>
              <w:t>2+</w:t>
            </w:r>
            <w:r w:rsidRPr="006159A2">
              <w:rPr>
                <w:sz w:val="20"/>
                <w:lang w:val="en-GB"/>
              </w:rPr>
              <w:t xml:space="preserve"> (+2 H</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3+</w:t>
            </w:r>
            <w:r w:rsidRPr="006159A2">
              <w:rPr>
                <w:sz w:val="20"/>
                <w:lang w:val="en-GB"/>
              </w:rPr>
              <w:t xml:space="preserve"> + H</w:t>
            </w:r>
            <w:r w:rsidRPr="006159A2">
              <w:rPr>
                <w:sz w:val="20"/>
                <w:vertAlign w:val="subscript"/>
                <w:lang w:val="en-GB"/>
              </w:rPr>
              <w:t>2</w:t>
            </w:r>
            <w:r w:rsidRPr="006159A2">
              <w:rPr>
                <w:sz w:val="20"/>
                <w:lang w:val="en-GB"/>
              </w:rPr>
              <w:t>O</w:t>
            </w:r>
            <w:r w:rsidRPr="006159A2">
              <w:rPr>
                <w:sz w:val="20"/>
                <w:vertAlign w:val="sub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15.8%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17.3%</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0.4%</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Fe(OH)</w:t>
            </w:r>
            <w:r w:rsidRPr="006159A2">
              <w:rPr>
                <w:sz w:val="20"/>
                <w:vertAlign w:val="subscript"/>
                <w:lang w:val="en-GB"/>
              </w:rPr>
              <w:t>2</w:t>
            </w:r>
            <w:r w:rsidRPr="006159A2">
              <w:rPr>
                <w:sz w:val="20"/>
                <w:lang w:val="en-GB"/>
              </w:rPr>
              <w:t>Fe</w:t>
            </w:r>
            <w:r w:rsidRPr="006159A2">
              <w:rPr>
                <w:sz w:val="20"/>
                <w:vertAlign w:val="superscript"/>
                <w:lang w:val="en-GB"/>
              </w:rPr>
              <w:t>4+</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2 Fe</w:t>
            </w:r>
            <w:r w:rsidRPr="006159A2">
              <w:rPr>
                <w:sz w:val="20"/>
                <w:vertAlign w:val="superscript"/>
                <w:lang w:val="en-GB"/>
              </w:rPr>
              <w:t>3+</w:t>
            </w:r>
            <w:r w:rsidRPr="006159A2">
              <w:rPr>
                <w:sz w:val="20"/>
                <w:lang w:val="en-GB"/>
              </w:rPr>
              <w:t xml:space="preserve"> + 2 OH</w:t>
            </w:r>
            <w:r w:rsidRPr="006159A2">
              <w:rPr>
                <w:sz w:val="20"/>
                <w:vertAlign w:val="superscript"/>
                <w:lang w:val="en-GB"/>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0.9%</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1.3%</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1.2%</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HSO</w:t>
            </w:r>
            <w:r w:rsidRPr="006159A2">
              <w:rPr>
                <w:sz w:val="20"/>
                <w:vertAlign w:val="subscript"/>
                <w:lang w:val="en-GB"/>
              </w:rPr>
              <w:t>5</w:t>
            </w:r>
            <w:r w:rsidRPr="006159A2">
              <w:rPr>
                <w:sz w:val="20"/>
                <w:vertAlign w:val="superscript"/>
                <w:lang w:val="en-GB"/>
              </w:rPr>
              <w:t>-</w:t>
            </w:r>
            <w:r w:rsidRPr="006159A2">
              <w:rPr>
                <w:sz w:val="20"/>
                <w:lang w:val="en-GB"/>
              </w:rPr>
              <w:t xml:space="preserve"> + Fe</w:t>
            </w:r>
            <w:r w:rsidRPr="006159A2">
              <w:rPr>
                <w:sz w:val="20"/>
                <w:vertAlign w:val="superscript"/>
                <w:lang w:val="en-GB"/>
              </w:rPr>
              <w:t>2+</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SO</w:t>
            </w:r>
            <w:r w:rsidRPr="006159A2">
              <w:rPr>
                <w:sz w:val="20"/>
                <w:vertAlign w:val="subscript"/>
                <w:lang w:val="en-GB"/>
              </w:rPr>
              <w:t>4</w:t>
            </w:r>
            <w:r w:rsidRPr="006159A2">
              <w:rPr>
                <w:sz w:val="20"/>
                <w:vertAlign w:val="superscript"/>
                <w:lang w:val="en-GB"/>
              </w:rPr>
              <w:t>-</w:t>
            </w:r>
            <w:r w:rsidRPr="006159A2">
              <w:rPr>
                <w:sz w:val="20"/>
                <w:lang w:val="en-GB"/>
              </w:rPr>
              <w:t xml:space="preserve"> + FeOH</w:t>
            </w:r>
            <w:r w:rsidRPr="006159A2">
              <w:rPr>
                <w:sz w:val="20"/>
                <w:vertAlign w:val="super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1.1%</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8.5%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8.0%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10.4%</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0.1%</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FeOH</w:t>
            </w:r>
            <w:r w:rsidRPr="006159A2">
              <w:rPr>
                <w:sz w:val="20"/>
                <w:vertAlign w:val="superscript"/>
                <w:lang w:val="en-GB"/>
              </w:rPr>
              <w:t>2+</w:t>
            </w:r>
            <w:r w:rsidRPr="006159A2">
              <w:rPr>
                <w:sz w:val="20"/>
                <w:lang w:val="en-GB"/>
              </w:rPr>
              <w:t xml:space="preserve"> + h</w:t>
            </w:r>
            <w:r w:rsidRPr="006159A2">
              <w:rPr>
                <w:sz w:val="20"/>
                <w:lang w:val="en-GB"/>
              </w:rPr>
              <w:sym w:font="Symbol" w:char="F06E"/>
            </w:r>
            <w:r w:rsidR="00E0710A">
              <w:rPr>
                <w:noProof/>
                <w:position w:val="-6"/>
                <w:sz w:val="20"/>
                <w:lang w:eastAsia="en-US"/>
              </w:rPr>
              <w:drawing>
                <wp:inline distT="0" distB="0" distL="0" distR="0">
                  <wp:extent cx="280035" cy="17081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xml:space="preserve"> + OH</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-1.0%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-7.1%</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-8.8%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-0.2%</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FeO</w:t>
            </w:r>
            <w:r w:rsidRPr="006159A2">
              <w:rPr>
                <w:sz w:val="20"/>
                <w:vertAlign w:val="superscript"/>
                <w:lang w:val="pt-BR"/>
              </w:rPr>
              <w:t>2+</w:t>
            </w:r>
            <w:r w:rsidRPr="006159A2">
              <w:rPr>
                <w:sz w:val="20"/>
                <w:lang w:val="pt-BR"/>
              </w:rPr>
              <w:t xml:space="preserve"> + Fe</w:t>
            </w:r>
            <w:r w:rsidRPr="006159A2">
              <w:rPr>
                <w:sz w:val="20"/>
                <w:vertAlign w:val="superscript"/>
                <w:lang w:val="pt-BR"/>
              </w:rPr>
              <w:t>2+</w:t>
            </w:r>
            <w:r w:rsidRPr="006159A2">
              <w:rPr>
                <w:sz w:val="20"/>
                <w:lang w:val="pt-BR"/>
              </w:rPr>
              <w:t xml:space="preserve"> </w:t>
            </w:r>
            <w:r w:rsidR="00E0710A">
              <w:rPr>
                <w:noProof/>
                <w:position w:val="-6"/>
                <w:sz w:val="20"/>
                <w:lang w:eastAsia="en-US"/>
              </w:rPr>
              <w:drawing>
                <wp:inline distT="0" distB="0" distL="0" distR="0">
                  <wp:extent cx="280035" cy="1708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Fe(OH)</w:t>
            </w:r>
            <w:r w:rsidRPr="006159A2">
              <w:rPr>
                <w:sz w:val="20"/>
                <w:vertAlign w:val="subscript"/>
                <w:lang w:val="pt-BR"/>
              </w:rPr>
              <w:t>2</w:t>
            </w:r>
            <w:r w:rsidRPr="006159A2">
              <w:rPr>
                <w:sz w:val="20"/>
                <w:lang w:val="pt-BR"/>
              </w:rPr>
              <w:t>Fe</w:t>
            </w:r>
            <w:r w:rsidRPr="006159A2">
              <w:rPr>
                <w:sz w:val="20"/>
                <w:vertAlign w:val="superscript"/>
                <w:lang w:val="pt-BR"/>
              </w:rPr>
              <w:t>4+</w:t>
            </w:r>
            <w:r w:rsidRPr="006159A2">
              <w:rPr>
                <w:sz w:val="20"/>
                <w:lang w:val="pt-BR"/>
              </w:rPr>
              <w:t xml:space="preserve"> + H</w:t>
            </w:r>
            <w:r w:rsidRPr="006159A2">
              <w:rPr>
                <w:sz w:val="20"/>
                <w:vertAlign w:val="subscript"/>
                <w:lang w:val="pt-BR"/>
              </w:rPr>
              <w:t>2</w:t>
            </w:r>
            <w:r w:rsidRPr="006159A2">
              <w:rPr>
                <w:sz w:val="20"/>
                <w:lang w:val="pt-BR"/>
              </w:rPr>
              <w:t>O</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0.8%</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FeCH</w:t>
            </w:r>
            <w:r w:rsidRPr="006159A2">
              <w:rPr>
                <w:sz w:val="20"/>
                <w:vertAlign w:val="subscript"/>
                <w:lang w:val="en-GB"/>
              </w:rPr>
              <w:t>3</w:t>
            </w:r>
            <w:r w:rsidRPr="006159A2">
              <w:rPr>
                <w:sz w:val="20"/>
                <w:lang w:val="en-GB"/>
              </w:rPr>
              <w:t>O</w:t>
            </w:r>
            <w:r w:rsidRPr="006159A2">
              <w:rPr>
                <w:sz w:val="20"/>
                <w:vertAlign w:val="subscript"/>
                <w:lang w:val="en-GB"/>
              </w:rPr>
              <w:t>2</w:t>
            </w:r>
            <w:r w:rsidRPr="006159A2">
              <w:rPr>
                <w:sz w:val="20"/>
                <w:vertAlign w:val="superscript"/>
                <w:lang w:val="en-GB"/>
              </w:rPr>
              <w:t>2+</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3+</w:t>
            </w:r>
            <w:r w:rsidRPr="006159A2">
              <w:rPr>
                <w:sz w:val="20"/>
                <w:lang w:val="en-GB"/>
              </w:rPr>
              <w:t xml:space="preserve"> + CH</w:t>
            </w:r>
            <w:r w:rsidRPr="006159A2">
              <w:rPr>
                <w:sz w:val="20"/>
                <w:vertAlign w:val="subscript"/>
                <w:lang w:val="en-GB"/>
              </w:rPr>
              <w:t>3</w:t>
            </w:r>
            <w:r w:rsidRPr="006159A2">
              <w:rPr>
                <w:sz w:val="20"/>
                <w:lang w:val="en-GB"/>
              </w:rPr>
              <w:t>OOH + OH</w:t>
            </w:r>
            <w:r w:rsidRPr="006159A2">
              <w:rPr>
                <w:sz w:val="20"/>
                <w:vertAlign w:val="superscript"/>
                <w:lang w:val="en-GB"/>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2.9%</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2.5%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4.8%</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0.4%</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Fe(OH)</w:t>
            </w:r>
            <w:r w:rsidRPr="006159A2">
              <w:rPr>
                <w:sz w:val="20"/>
                <w:vertAlign w:val="subscript"/>
                <w:lang w:val="pt-BR"/>
              </w:rPr>
              <w:t>2</w:t>
            </w:r>
            <w:r w:rsidRPr="006159A2">
              <w:rPr>
                <w:sz w:val="20"/>
                <w:lang w:val="pt-BR"/>
              </w:rPr>
              <w:t>Fe</w:t>
            </w:r>
            <w:r w:rsidRPr="006159A2">
              <w:rPr>
                <w:sz w:val="20"/>
                <w:vertAlign w:val="superscript"/>
                <w:lang w:val="pt-BR"/>
              </w:rPr>
              <w:t>4+</w:t>
            </w:r>
            <w:r w:rsidRPr="006159A2">
              <w:rPr>
                <w:sz w:val="20"/>
                <w:lang w:val="pt-BR"/>
              </w:rPr>
              <w:t xml:space="preserve"> (+ H</w:t>
            </w:r>
            <w:r w:rsidRPr="006159A2">
              <w:rPr>
                <w:sz w:val="20"/>
                <w:vertAlign w:val="superscript"/>
                <w:lang w:val="pt-BR"/>
              </w:rPr>
              <w:t>+</w:t>
            </w:r>
            <w:r w:rsidRPr="006159A2">
              <w:rPr>
                <w:sz w:val="20"/>
                <w:lang w:val="pt-BR"/>
              </w:rPr>
              <w:t>)</w:t>
            </w:r>
            <w:r w:rsidR="00E0710A">
              <w:rPr>
                <w:noProof/>
                <w:position w:val="-6"/>
                <w:sz w:val="20"/>
                <w:lang w:eastAsia="en-US"/>
              </w:rPr>
              <w:drawing>
                <wp:inline distT="0" distB="0" distL="0" distR="0">
                  <wp:extent cx="280035" cy="1708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2 Fe</w:t>
            </w:r>
            <w:r w:rsidRPr="006159A2">
              <w:rPr>
                <w:sz w:val="20"/>
                <w:vertAlign w:val="superscript"/>
                <w:lang w:val="pt-BR"/>
              </w:rPr>
              <w:t>3+</w:t>
            </w:r>
            <w:r w:rsidRPr="006159A2">
              <w:rPr>
                <w:sz w:val="20"/>
                <w:lang w:val="pt-BR"/>
              </w:rPr>
              <w:t xml:space="preserve"> + OH</w:t>
            </w:r>
            <w:r w:rsidRPr="006159A2">
              <w:rPr>
                <w:sz w:val="20"/>
                <w:vertAlign w:val="superscript"/>
                <w:lang w:val="pt-BR"/>
              </w:rPr>
              <w:t>-</w:t>
            </w:r>
            <w:r w:rsidRPr="006159A2">
              <w:rPr>
                <w:sz w:val="20"/>
                <w:lang w:val="pt-BR"/>
              </w:rPr>
              <w:t xml:space="preserve"> + H</w:t>
            </w:r>
            <w:r w:rsidRPr="006159A2">
              <w:rPr>
                <w:sz w:val="20"/>
                <w:vertAlign w:val="subscript"/>
                <w:lang w:val="pt-BR"/>
              </w:rPr>
              <w:t>2</w:t>
            </w:r>
            <w:r w:rsidRPr="006159A2">
              <w:rPr>
                <w:sz w:val="20"/>
                <w:lang w:val="pt-BR"/>
              </w:rPr>
              <w:t>O</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-0.4%</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-0.6%</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FeO</w:t>
            </w:r>
            <w:r w:rsidRPr="006159A2">
              <w:rPr>
                <w:sz w:val="20"/>
                <w:vertAlign w:val="superscript"/>
                <w:lang w:val="en-GB"/>
              </w:rPr>
              <w:t>2+</w:t>
            </w:r>
            <w:r w:rsidRPr="006159A2">
              <w:rPr>
                <w:sz w:val="20"/>
                <w:lang w:val="en-GB"/>
              </w:rPr>
              <w:t xml:space="preserve"> + HCOO</w:t>
            </w:r>
            <w:r w:rsidRPr="006159A2">
              <w:rPr>
                <w:sz w:val="20"/>
                <w:vertAlign w:val="superscript"/>
                <w:lang w:val="en-GB"/>
              </w:rPr>
              <w:t>-</w:t>
            </w:r>
            <w:r w:rsidRPr="006159A2">
              <w:rPr>
                <w:sz w:val="20"/>
                <w:lang w:val="en-GB"/>
              </w:rPr>
              <w:t xml:space="preserve"> (+ H</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3+</w:t>
            </w:r>
            <w:r w:rsidRPr="006159A2">
              <w:rPr>
                <w:sz w:val="20"/>
                <w:lang w:val="en-GB"/>
              </w:rPr>
              <w:t xml:space="preserve"> + CO</w:t>
            </w:r>
            <w:r w:rsidRPr="006159A2">
              <w:rPr>
                <w:sz w:val="20"/>
                <w:vertAlign w:val="subscript"/>
                <w:lang w:val="en-GB"/>
              </w:rPr>
              <w:t>2</w:t>
            </w:r>
            <w:r w:rsidRPr="006159A2">
              <w:rPr>
                <w:sz w:val="20"/>
                <w:lang w:val="en-GB"/>
              </w:rPr>
              <w:t>H + OH</w:t>
            </w:r>
            <w:r w:rsidRPr="006159A2">
              <w:rPr>
                <w:sz w:val="20"/>
                <w:vertAlign w:val="superscript"/>
                <w:lang w:val="en-GB"/>
              </w:rPr>
              <w:t>-</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0.6%</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4.0%</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6.4%</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0.0%</w:t>
            </w:r>
          </w:p>
        </w:tc>
      </w:tr>
      <w:tr w:rsidR="00094AD1" w:rsidRPr="006159A2" w:rsidTr="00094AD1">
        <w:trPr>
          <w:trHeight w:hRule="exact" w:val="284"/>
          <w:jc w:val="center"/>
        </w:trPr>
        <w:tc>
          <w:tcPr>
            <w:tcW w:w="4647"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O</w:t>
            </w:r>
            <w:r w:rsidRPr="006159A2">
              <w:rPr>
                <w:sz w:val="20"/>
                <w:vertAlign w:val="subscript"/>
                <w:lang w:val="en-GB"/>
              </w:rPr>
              <w:t>2</w:t>
            </w:r>
            <w:r w:rsidRPr="006159A2">
              <w:rPr>
                <w:sz w:val="20"/>
                <w:vertAlign w:val="superscript"/>
                <w:lang w:val="en-GB"/>
              </w:rPr>
              <w:t>-</w:t>
            </w:r>
            <w:r w:rsidRPr="006159A2">
              <w:rPr>
                <w:sz w:val="20"/>
                <w:lang w:val="en-GB"/>
              </w:rPr>
              <w:t xml:space="preserve"> + Fe</w:t>
            </w:r>
            <w:r w:rsidRPr="006159A2">
              <w:rPr>
                <w:sz w:val="20"/>
                <w:vertAlign w:val="superscript"/>
                <w:lang w:val="en-GB"/>
              </w:rPr>
              <w:t>3+</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xml:space="preserve"> + O</w:t>
            </w:r>
            <w:r w:rsidRPr="006159A2">
              <w:rPr>
                <w:sz w:val="20"/>
                <w:vertAlign w:val="sub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-3.9%</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-3.7%</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-4.5%</w:t>
            </w:r>
          </w:p>
        </w:tc>
        <w:tc>
          <w:tcPr>
            <w:tcW w:w="900" w:type="dxa"/>
            <w:tcBorders>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0.0%</w:t>
            </w:r>
          </w:p>
        </w:tc>
      </w:tr>
      <w:bookmarkEnd w:id="3"/>
      <w:tr w:rsidR="00094AD1" w:rsidRPr="006159A2" w:rsidTr="00094AD1">
        <w:trPr>
          <w:trHeight w:val="255"/>
          <w:jc w:val="center"/>
        </w:trPr>
        <w:tc>
          <w:tcPr>
            <w:tcW w:w="4647"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r>
      <w:tr w:rsidR="00094AD1" w:rsidRPr="006159A2" w:rsidTr="00094AD1">
        <w:trPr>
          <w:trHeight w:val="255"/>
          <w:jc w:val="center"/>
        </w:trPr>
        <w:tc>
          <w:tcPr>
            <w:tcW w:w="4647" w:type="dxa"/>
            <w:tcBorders>
              <w:top w:val="single" w:sz="4" w:space="0" w:color="auto"/>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Total sources</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98.0%</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96.7%</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96.4%</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97.0%</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98.1%</w:t>
            </w:r>
          </w:p>
        </w:tc>
      </w:tr>
      <w:tr w:rsidR="00094AD1" w:rsidRPr="006159A2" w:rsidTr="00094AD1">
        <w:trPr>
          <w:trHeight w:val="255"/>
          <w:jc w:val="center"/>
        </w:trPr>
        <w:tc>
          <w:tcPr>
            <w:tcW w:w="4647"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Total sinks</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-99.2%</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-96.4%</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-95.9%</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-97.7%</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both"/>
              <w:rPr>
                <w:sz w:val="20"/>
                <w:lang w:val="en-GB"/>
              </w:rPr>
            </w:pPr>
            <w:r w:rsidRPr="006159A2">
              <w:rPr>
                <w:sz w:val="20"/>
                <w:lang w:val="en-GB"/>
              </w:rPr>
              <w:t>-99.6%</w:t>
            </w:r>
          </w:p>
        </w:tc>
      </w:tr>
    </w:tbl>
    <w:p w:rsidR="00094AD1" w:rsidRPr="006159A2" w:rsidRDefault="00094AD1"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EA140D" w:rsidRPr="006159A2" w:rsidRDefault="00EA140D" w:rsidP="00094AD1">
      <w:pPr>
        <w:jc w:val="both"/>
        <w:rPr>
          <w:lang w:val="en-GB"/>
        </w:rPr>
      </w:pPr>
    </w:p>
    <w:p w:rsidR="00094AD1" w:rsidRPr="006159A2" w:rsidRDefault="00094AD1" w:rsidP="00094AD1">
      <w:pPr>
        <w:pStyle w:val="tablelegend"/>
        <w:tabs>
          <w:tab w:val="left" w:pos="993"/>
        </w:tabs>
        <w:rPr>
          <w:lang w:val="en-GB"/>
        </w:rPr>
      </w:pPr>
      <w:r w:rsidRPr="006159A2">
        <w:rPr>
          <w:b/>
          <w:lang w:val="en-GB"/>
        </w:rPr>
        <w:lastRenderedPageBreak/>
        <w:t>Tab. S5</w:t>
      </w:r>
      <w:r w:rsidRPr="006159A2">
        <w:rPr>
          <w:lang w:val="en-GB"/>
        </w:rPr>
        <w:tab/>
        <w:t>Integrated percentage contributions of the most important Fe(III) sources and sink reactions for the remote case classified regarding to the different microphysical conditions during the simulation time (1 = total contributions throughout the simulation time, 2 = contributions throughout all cloud events, 3/4 = contributions throughout all day/night cloud events, 5 = contribution under the deliquescent particle conditions) (only sinks and sources with a contribution larger than ±1 % presented)</w:t>
      </w:r>
    </w:p>
    <w:tbl>
      <w:tblPr>
        <w:tblW w:w="9144" w:type="dxa"/>
        <w:jc w:val="center"/>
        <w:tblInd w:w="-666" w:type="dxa"/>
        <w:tblLayout w:type="fixed"/>
        <w:tblLook w:val="0000"/>
      </w:tblPr>
      <w:tblGrid>
        <w:gridCol w:w="4644"/>
        <w:gridCol w:w="900"/>
        <w:gridCol w:w="900"/>
        <w:gridCol w:w="900"/>
        <w:gridCol w:w="900"/>
        <w:gridCol w:w="900"/>
      </w:tblGrid>
      <w:tr w:rsidR="00094AD1" w:rsidRPr="006159A2" w:rsidTr="00094AD1">
        <w:trPr>
          <w:trHeight w:val="524"/>
          <w:jc w:val="center"/>
        </w:trPr>
        <w:tc>
          <w:tcPr>
            <w:tcW w:w="4644"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both"/>
              <w:rPr>
                <w:b/>
                <w:sz w:val="20"/>
                <w:lang w:val="en-GB"/>
              </w:rPr>
            </w:pPr>
            <w:r w:rsidRPr="006159A2">
              <w:rPr>
                <w:b/>
                <w:sz w:val="20"/>
                <w:lang w:val="en-GB"/>
              </w:rPr>
              <w:t>Reaction</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1</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2</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3</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4</w:t>
            </w:r>
          </w:p>
        </w:tc>
        <w:tc>
          <w:tcPr>
            <w:tcW w:w="900" w:type="dxa"/>
            <w:tcBorders>
              <w:top w:val="single" w:sz="4" w:space="0" w:color="auto"/>
              <w:left w:val="nil"/>
              <w:bottom w:val="single" w:sz="4" w:space="0" w:color="auto"/>
              <w:right w:val="nil"/>
            </w:tcBorders>
            <w:shd w:val="clear" w:color="auto" w:fill="D9D9D9"/>
            <w:noWrap/>
            <w:vAlign w:val="center"/>
          </w:tcPr>
          <w:p w:rsidR="00094AD1" w:rsidRPr="006159A2" w:rsidRDefault="00094AD1" w:rsidP="00094AD1">
            <w:pPr>
              <w:jc w:val="center"/>
              <w:rPr>
                <w:b/>
                <w:sz w:val="20"/>
                <w:lang w:val="en-GB"/>
              </w:rPr>
            </w:pPr>
            <w:r w:rsidRPr="006159A2">
              <w:rPr>
                <w:b/>
                <w:sz w:val="20"/>
                <w:lang w:val="en-GB"/>
              </w:rPr>
              <w:t>5</w:t>
            </w:r>
          </w:p>
        </w:tc>
      </w:tr>
      <w:tr w:rsidR="00094AD1" w:rsidRPr="006159A2" w:rsidTr="00094AD1">
        <w:trPr>
          <w:trHeight w:val="255"/>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nil"/>
              <w:right w:val="nil"/>
            </w:tcBorders>
            <w:shd w:val="clear" w:color="auto" w:fill="auto"/>
            <w:noWrap/>
            <w:vAlign w:val="center"/>
          </w:tcPr>
          <w:p w:rsidR="00094AD1" w:rsidRPr="006159A2" w:rsidRDefault="00094AD1" w:rsidP="00094AD1">
            <w:pPr>
              <w:jc w:val="both"/>
              <w:rPr>
                <w:sz w:val="20"/>
                <w:lang w:val="en-GB"/>
              </w:rPr>
            </w:pP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H</w:t>
            </w:r>
            <w:r w:rsidRPr="006159A2">
              <w:rPr>
                <w:sz w:val="20"/>
                <w:vertAlign w:val="subscript"/>
                <w:lang w:val="pt-BR"/>
              </w:rPr>
              <w:t>2</w:t>
            </w:r>
            <w:r w:rsidRPr="006159A2">
              <w:rPr>
                <w:sz w:val="20"/>
                <w:lang w:val="pt-BR"/>
              </w:rPr>
              <w:t>O</w:t>
            </w:r>
            <w:r w:rsidRPr="006159A2">
              <w:rPr>
                <w:sz w:val="20"/>
                <w:vertAlign w:val="subscript"/>
                <w:lang w:val="pt-BR"/>
              </w:rPr>
              <w:t>2</w:t>
            </w:r>
            <w:r w:rsidRPr="006159A2">
              <w:rPr>
                <w:sz w:val="20"/>
                <w:lang w:val="pt-BR"/>
              </w:rPr>
              <w:t xml:space="preserve"> + Fe</w:t>
            </w:r>
            <w:r w:rsidRPr="006159A2">
              <w:rPr>
                <w:sz w:val="20"/>
                <w:vertAlign w:val="superscript"/>
                <w:lang w:val="pt-BR"/>
              </w:rPr>
              <w:t>2+</w:t>
            </w:r>
            <w:r w:rsidRPr="006159A2">
              <w:rPr>
                <w:sz w:val="20"/>
                <w:lang w:val="pt-BR"/>
              </w:rPr>
              <w:t xml:space="preserve"> </w:t>
            </w:r>
            <w:r w:rsidR="00E0710A">
              <w:rPr>
                <w:noProof/>
                <w:position w:val="-6"/>
                <w:sz w:val="20"/>
                <w:lang w:eastAsia="en-US"/>
              </w:rPr>
              <w:drawing>
                <wp:inline distT="0" distB="0" distL="0" distR="0">
                  <wp:extent cx="280035" cy="17081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3+</w:t>
            </w:r>
            <w:r w:rsidRPr="006159A2">
              <w:rPr>
                <w:sz w:val="20"/>
                <w:lang w:val="pt-BR"/>
              </w:rPr>
              <w:t xml:space="preserve"> + OH + OH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52.4%</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28.8%</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27.1%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35.2%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59.7%</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FeOH</w:t>
            </w:r>
            <w:r w:rsidRPr="006159A2">
              <w:rPr>
                <w:sz w:val="20"/>
                <w:vertAlign w:val="superscript"/>
                <w:lang w:val="en-GB"/>
              </w:rPr>
              <w:t>2+</w:t>
            </w:r>
            <w:r w:rsidRPr="006159A2">
              <w:rPr>
                <w:sz w:val="20"/>
                <w:lang w:val="en-GB"/>
              </w:rPr>
              <w:t xml:space="preserve"> + Cu</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xml:space="preserve"> + Cu</w:t>
            </w:r>
            <w:r w:rsidRPr="006159A2">
              <w:rPr>
                <w:sz w:val="20"/>
                <w:vertAlign w:val="superscript"/>
                <w:lang w:val="en-GB"/>
              </w:rPr>
              <w:t>2+</w:t>
            </w:r>
            <w:r w:rsidRPr="006159A2">
              <w:rPr>
                <w:sz w:val="20"/>
                <w:lang w:val="en-GB"/>
              </w:rPr>
              <w:t xml:space="preserve"> + OH</w:t>
            </w:r>
            <w:r w:rsidRPr="006159A2">
              <w:rPr>
                <w:sz w:val="20"/>
                <w:vertAlign w:val="superscript"/>
                <w:lang w:val="en-GB"/>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-41.8%</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-14.1%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-14.8%</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-11.9%</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-50.6%</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w:t>
            </w:r>
            <w:r w:rsidRPr="006159A2">
              <w:rPr>
                <w:sz w:val="20"/>
                <w:vertAlign w:val="superscript"/>
                <w:lang w:val="en-GB"/>
              </w:rPr>
              <w:t>3+</w:t>
            </w:r>
            <w:r w:rsidRPr="006159A2">
              <w:rPr>
                <w:sz w:val="20"/>
                <w:lang w:val="en-GB"/>
              </w:rPr>
              <w:t> + Cu</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 Cu</w:t>
            </w:r>
            <w:r w:rsidRPr="006159A2">
              <w:rPr>
                <w:sz w:val="20"/>
                <w:vertAlign w:val="super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-30.2%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-2.7%</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-1.4%</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-38.9%</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O</w:t>
            </w:r>
            <w:r w:rsidRPr="006159A2">
              <w:rPr>
                <w:sz w:val="20"/>
                <w:vertAlign w:val="subscript"/>
                <w:lang w:val="en-GB"/>
              </w:rPr>
              <w:t>2</w:t>
            </w:r>
            <w:r w:rsidRPr="006159A2">
              <w:rPr>
                <w:sz w:val="20"/>
                <w:vertAlign w:val="superscript"/>
                <w:lang w:val="en-GB"/>
              </w:rPr>
              <w:t>-</w:t>
            </w:r>
            <w:r w:rsidRPr="006159A2">
              <w:rPr>
                <w:sz w:val="20"/>
                <w:lang w:val="en-GB"/>
              </w:rPr>
              <w:t xml:space="preserve"> + Fe</w:t>
            </w:r>
            <w:r w:rsidRPr="006159A2">
              <w:rPr>
                <w:sz w:val="20"/>
                <w:vertAlign w:val="superscript"/>
                <w:lang w:val="en-GB"/>
              </w:rPr>
              <w:t>2+</w:t>
            </w:r>
            <w:r w:rsidRPr="006159A2">
              <w:rPr>
                <w:sz w:val="20"/>
                <w:lang w:val="en-GB"/>
              </w:rPr>
              <w:t xml:space="preserve"> (+2 H</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3+</w:t>
            </w:r>
            <w:r w:rsidRPr="006159A2">
              <w:rPr>
                <w:sz w:val="20"/>
                <w:lang w:val="en-GB"/>
              </w:rPr>
              <w:t xml:space="preserve"> + H</w:t>
            </w:r>
            <w:r w:rsidRPr="006159A2">
              <w:rPr>
                <w:sz w:val="20"/>
                <w:vertAlign w:val="subscript"/>
                <w:lang w:val="en-GB"/>
              </w:rPr>
              <w:t>2</w:t>
            </w:r>
            <w:r w:rsidRPr="006159A2">
              <w:rPr>
                <w:sz w:val="20"/>
                <w:lang w:val="en-GB"/>
              </w:rPr>
              <w:t>O</w:t>
            </w:r>
            <w:r w:rsidRPr="006159A2">
              <w:rPr>
                <w:sz w:val="20"/>
                <w:vertAlign w:val="sub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13.8%</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52.6%</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53.9%</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47.7%</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1.7%</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bottom"/>
          </w:tcPr>
          <w:p w:rsidR="00094AD1" w:rsidRPr="006159A2" w:rsidRDefault="00094AD1" w:rsidP="00094AD1">
            <w:pPr>
              <w:rPr>
                <w:sz w:val="20"/>
                <w:vertAlign w:val="superscript"/>
                <w:lang w:val="pt-BR"/>
              </w:rPr>
            </w:pPr>
            <w:r w:rsidRPr="006159A2">
              <w:rPr>
                <w:sz w:val="20"/>
                <w:lang w:val="pt-BR"/>
              </w:rPr>
              <w:t>Fe(OH)</w:t>
            </w:r>
            <w:r w:rsidRPr="006159A2">
              <w:rPr>
                <w:sz w:val="20"/>
                <w:vertAlign w:val="subscript"/>
                <w:lang w:val="pt-BR"/>
              </w:rPr>
              <w:t>2</w:t>
            </w:r>
            <w:r w:rsidRPr="006159A2">
              <w:rPr>
                <w:sz w:val="20"/>
                <w:vertAlign w:val="superscript"/>
                <w:lang w:val="pt-BR"/>
              </w:rPr>
              <w:t>+</w:t>
            </w:r>
            <w:r w:rsidRPr="006159A2">
              <w:rPr>
                <w:sz w:val="20"/>
                <w:lang w:val="pt-BR"/>
              </w:rPr>
              <w:t xml:space="preserve"> + O</w:t>
            </w:r>
            <w:r w:rsidRPr="006159A2">
              <w:rPr>
                <w:sz w:val="20"/>
                <w:vertAlign w:val="subscript"/>
                <w:lang w:val="pt-BR"/>
              </w:rPr>
              <w:t>2</w:t>
            </w:r>
            <w:r w:rsidRPr="006159A2">
              <w:rPr>
                <w:sz w:val="20"/>
                <w:vertAlign w:val="superscript"/>
                <w:lang w:val="pt-BR"/>
              </w:rPr>
              <w:t>-</w:t>
            </w:r>
            <w:r w:rsidRPr="006159A2">
              <w:rPr>
                <w:sz w:val="20"/>
                <w:lang w:val="pt-BR"/>
              </w:rPr>
              <w:t xml:space="preserve"> </w:t>
            </w:r>
            <w:r w:rsidR="00E0710A">
              <w:rPr>
                <w:noProof/>
                <w:position w:val="-6"/>
                <w:sz w:val="20"/>
                <w:lang w:eastAsia="en-US"/>
              </w:rPr>
              <w:drawing>
                <wp:inline distT="0" distB="0" distL="0" distR="0">
                  <wp:extent cx="280035" cy="17081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2+</w:t>
            </w:r>
            <w:r w:rsidRPr="006159A2">
              <w:rPr>
                <w:sz w:val="20"/>
                <w:lang w:val="pt-BR"/>
              </w:rPr>
              <w:t xml:space="preserve"> + O</w:t>
            </w:r>
            <w:r w:rsidRPr="006159A2">
              <w:rPr>
                <w:sz w:val="20"/>
                <w:vertAlign w:val="subscript"/>
                <w:lang w:val="pt-BR"/>
              </w:rPr>
              <w:t>2</w:t>
            </w:r>
            <w:r w:rsidRPr="006159A2">
              <w:rPr>
                <w:sz w:val="20"/>
                <w:lang w:val="pt-BR"/>
              </w:rPr>
              <w:t xml:space="preserve"> + 2 OH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-9.8%</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-37.5%</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-37.0%</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-39.2%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-1.0%</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O</w:t>
            </w:r>
            <w:r w:rsidRPr="006159A2">
              <w:rPr>
                <w:sz w:val="20"/>
                <w:vertAlign w:val="subscript"/>
                <w:lang w:val="pt-BR"/>
              </w:rPr>
              <w:t>2</w:t>
            </w:r>
            <w:r w:rsidRPr="006159A2">
              <w:rPr>
                <w:sz w:val="20"/>
                <w:vertAlign w:val="superscript"/>
                <w:lang w:val="pt-BR"/>
              </w:rPr>
              <w:t>-</w:t>
            </w:r>
            <w:r w:rsidRPr="006159A2">
              <w:rPr>
                <w:sz w:val="20"/>
                <w:lang w:val="pt-BR"/>
              </w:rPr>
              <w:t xml:space="preserve"> + FeOH</w:t>
            </w:r>
            <w:r w:rsidRPr="006159A2">
              <w:rPr>
                <w:sz w:val="20"/>
                <w:vertAlign w:val="superscript"/>
                <w:lang w:val="pt-BR"/>
              </w:rPr>
              <w:t>2+</w:t>
            </w:r>
            <w:r w:rsidRPr="006159A2">
              <w:rPr>
                <w:sz w:val="20"/>
                <w:lang w:val="pt-BR"/>
              </w:rPr>
              <w:t xml:space="preserve"> </w:t>
            </w:r>
            <w:r w:rsidR="00E0710A">
              <w:rPr>
                <w:noProof/>
                <w:position w:val="-6"/>
                <w:sz w:val="20"/>
                <w:lang w:eastAsia="en-US"/>
              </w:rPr>
              <w:drawing>
                <wp:inline distT="0" distB="0" distL="0" distR="0">
                  <wp:extent cx="280035" cy="1708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2+</w:t>
            </w:r>
            <w:r w:rsidRPr="006159A2">
              <w:rPr>
                <w:sz w:val="20"/>
                <w:lang w:val="pt-BR"/>
              </w:rPr>
              <w:t xml:space="preserve"> + O</w:t>
            </w:r>
            <w:r w:rsidRPr="006159A2">
              <w:rPr>
                <w:sz w:val="20"/>
                <w:vertAlign w:val="subscript"/>
                <w:lang w:val="pt-BR"/>
              </w:rPr>
              <w:t>2</w:t>
            </w:r>
            <w:r w:rsidRPr="006159A2">
              <w:rPr>
                <w:sz w:val="20"/>
                <w:lang w:val="pt-BR"/>
              </w:rPr>
              <w:t xml:space="preserve"> + OH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-9.3%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-35.9%</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-34.1%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-42.2%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-0.9%</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Fe</w:t>
            </w:r>
            <w:r w:rsidRPr="006159A2">
              <w:rPr>
                <w:sz w:val="20"/>
                <w:vertAlign w:val="superscript"/>
                <w:lang w:val="pt-BR"/>
              </w:rPr>
              <w:t>2+</w:t>
            </w:r>
            <w:r w:rsidRPr="006159A2">
              <w:rPr>
                <w:sz w:val="20"/>
                <w:lang w:val="pt-BR"/>
              </w:rPr>
              <w:t xml:space="preserve"> + SO</w:t>
            </w:r>
            <w:r w:rsidRPr="006159A2">
              <w:rPr>
                <w:sz w:val="20"/>
                <w:vertAlign w:val="subscript"/>
                <w:lang w:val="pt-BR"/>
              </w:rPr>
              <w:t>4</w:t>
            </w:r>
            <w:r w:rsidRPr="006159A2">
              <w:rPr>
                <w:sz w:val="20"/>
                <w:vertAlign w:val="superscript"/>
                <w:lang w:val="pt-BR"/>
              </w:rPr>
              <w:t>-</w:t>
            </w:r>
            <w:r w:rsidRPr="006159A2">
              <w:rPr>
                <w:sz w:val="20"/>
                <w:lang w:val="pt-BR"/>
              </w:rPr>
              <w:t xml:space="preserve"> (+ H</w:t>
            </w:r>
            <w:r w:rsidRPr="006159A2">
              <w:rPr>
                <w:sz w:val="20"/>
                <w:vertAlign w:val="subscript"/>
                <w:lang w:val="pt-BR"/>
              </w:rPr>
              <w:t>2</w:t>
            </w:r>
            <w:r w:rsidRPr="006159A2">
              <w:rPr>
                <w:sz w:val="20"/>
                <w:lang w:val="pt-BR"/>
              </w:rPr>
              <w:t xml:space="preserve">O) </w:t>
            </w:r>
            <w:r w:rsidR="00E0710A">
              <w:rPr>
                <w:noProof/>
                <w:position w:val="-6"/>
                <w:sz w:val="20"/>
                <w:lang w:eastAsia="en-US"/>
              </w:rPr>
              <w:drawing>
                <wp:inline distT="0" distB="0" distL="0" distR="0">
                  <wp:extent cx="280035" cy="17081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FeOH</w:t>
            </w:r>
            <w:r w:rsidRPr="006159A2">
              <w:rPr>
                <w:sz w:val="20"/>
                <w:vertAlign w:val="superscript"/>
                <w:lang w:val="pt-BR"/>
              </w:rPr>
              <w:t>2+</w:t>
            </w:r>
            <w:r w:rsidRPr="006159A2">
              <w:rPr>
                <w:sz w:val="20"/>
                <w:lang w:val="pt-BR"/>
              </w:rPr>
              <w:t xml:space="preserve"> + SO</w:t>
            </w:r>
            <w:r w:rsidRPr="006159A2">
              <w:rPr>
                <w:sz w:val="20"/>
                <w:vertAlign w:val="subscript"/>
                <w:lang w:val="pt-BR"/>
              </w:rPr>
              <w:t>4</w:t>
            </w:r>
            <w:r w:rsidRPr="006159A2">
              <w:rPr>
                <w:sz w:val="20"/>
                <w:vertAlign w:val="superscript"/>
                <w:lang w:val="pt-BR"/>
              </w:rPr>
              <w:t>2-</w:t>
            </w:r>
            <w:r w:rsidRPr="006159A2">
              <w:rPr>
                <w:sz w:val="20"/>
                <w:lang w:val="pt-BR"/>
              </w:rPr>
              <w:t xml:space="preserve"> + H</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8.8%</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2.4%</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2.5%</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2.0%</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10.7%</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OH + Fe</w:t>
            </w:r>
            <w:r w:rsidRPr="006159A2">
              <w:rPr>
                <w:sz w:val="20"/>
                <w:vertAlign w:val="superscript"/>
                <w:lang w:val="en-GB"/>
              </w:rPr>
              <w:t>2+</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FeOH</w:t>
            </w:r>
            <w:r w:rsidRPr="006159A2">
              <w:rPr>
                <w:sz w:val="20"/>
                <w:vertAlign w:val="superscript"/>
                <w:lang w:val="en-GB"/>
              </w:rPr>
              <w:t>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6.6%</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1.7%</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8.1%</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bottom"/>
          </w:tcPr>
          <w:p w:rsidR="00094AD1" w:rsidRPr="006159A2" w:rsidRDefault="00094AD1" w:rsidP="00094AD1">
            <w:pPr>
              <w:rPr>
                <w:sz w:val="20"/>
              </w:rPr>
            </w:pPr>
            <w:r w:rsidRPr="006159A2">
              <w:rPr>
                <w:sz w:val="20"/>
              </w:rPr>
              <w:t>Br</w:t>
            </w:r>
            <w:r w:rsidRPr="006159A2">
              <w:rPr>
                <w:sz w:val="20"/>
                <w:vertAlign w:val="subscript"/>
              </w:rPr>
              <w:t>2</w:t>
            </w:r>
            <w:r w:rsidRPr="006159A2">
              <w:rPr>
                <w:sz w:val="20"/>
                <w:vertAlign w:val="superscript"/>
              </w:rPr>
              <w:t>-</w:t>
            </w:r>
            <w:r w:rsidRPr="006159A2">
              <w:rPr>
                <w:sz w:val="20"/>
              </w:rPr>
              <w:t xml:space="preserve"> + </w:t>
            </w:r>
            <w:r w:rsidRPr="006159A2">
              <w:rPr>
                <w:sz w:val="20"/>
                <w:lang w:val="pt-BR"/>
              </w:rPr>
              <w:t>Fe</w:t>
            </w:r>
            <w:r w:rsidRPr="006159A2">
              <w:rPr>
                <w:sz w:val="20"/>
                <w:vertAlign w:val="superscript"/>
                <w:lang w:val="pt-BR"/>
              </w:rPr>
              <w:t>2+</w:t>
            </w:r>
            <w:r w:rsidRPr="006159A2">
              <w:rPr>
                <w:sz w:val="20"/>
                <w:lang w:val="pt-BR"/>
              </w:rPr>
              <w:t xml:space="preserve"> </w:t>
            </w:r>
            <w:r w:rsidR="00E0710A">
              <w:rPr>
                <w:noProof/>
                <w:position w:val="-6"/>
                <w:sz w:val="20"/>
                <w:lang w:eastAsia="en-US"/>
              </w:rPr>
              <w:drawing>
                <wp:inline distT="0" distB="0" distL="0" distR="0">
                  <wp:extent cx="280035" cy="1708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3+</w:t>
            </w:r>
            <w:r w:rsidRPr="006159A2">
              <w:rPr>
                <w:sz w:val="20"/>
                <w:lang w:val="pt-BR"/>
              </w:rPr>
              <w:t xml:space="preserve"> + 2 Br</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5.0%</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0.6%</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0.8%</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6.4%</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Fe(C</w:t>
            </w:r>
            <w:r w:rsidRPr="006159A2">
              <w:rPr>
                <w:sz w:val="20"/>
                <w:vertAlign w:val="subscript"/>
                <w:lang w:val="pt-BR"/>
              </w:rPr>
              <w:t>2</w:t>
            </w:r>
            <w:r w:rsidRPr="006159A2">
              <w:rPr>
                <w:sz w:val="20"/>
                <w:lang w:val="pt-BR"/>
              </w:rPr>
              <w:t>O</w:t>
            </w:r>
            <w:r w:rsidRPr="006159A2">
              <w:rPr>
                <w:sz w:val="20"/>
                <w:vertAlign w:val="subscript"/>
                <w:lang w:val="pt-BR"/>
              </w:rPr>
              <w:t>4</w:t>
            </w:r>
            <w:r w:rsidRPr="006159A2">
              <w:rPr>
                <w:sz w:val="20"/>
                <w:lang w:val="pt-BR"/>
              </w:rPr>
              <w:t>)</w:t>
            </w:r>
            <w:r w:rsidRPr="006159A2">
              <w:rPr>
                <w:sz w:val="20"/>
                <w:vertAlign w:val="subscript"/>
                <w:lang w:val="pt-BR"/>
              </w:rPr>
              <w:t>2</w:t>
            </w:r>
            <w:r w:rsidRPr="006159A2">
              <w:rPr>
                <w:sz w:val="20"/>
                <w:vertAlign w:val="superscript"/>
                <w:lang w:val="pt-BR"/>
              </w:rPr>
              <w:t>-</w:t>
            </w:r>
            <w:r w:rsidRPr="006159A2">
              <w:rPr>
                <w:sz w:val="20"/>
                <w:lang w:val="pt-BR"/>
              </w:rPr>
              <w:t xml:space="preserve"> + h</w:t>
            </w:r>
            <w:r w:rsidRPr="006159A2">
              <w:rPr>
                <w:sz w:val="20"/>
                <w:lang w:val="en-GB"/>
              </w:rPr>
              <w:sym w:font="Symbol" w:char="F06E"/>
            </w:r>
            <w:r w:rsidR="00E0710A">
              <w:rPr>
                <w:noProof/>
                <w:position w:val="-6"/>
                <w:sz w:val="20"/>
                <w:lang w:eastAsia="en-US"/>
              </w:rPr>
              <w:drawing>
                <wp:inline distT="0" distB="0" distL="0" distR="0">
                  <wp:extent cx="280035" cy="1708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2+</w:t>
            </w:r>
            <w:r w:rsidRPr="006159A2">
              <w:rPr>
                <w:sz w:val="20"/>
                <w:lang w:val="pt-BR"/>
              </w:rPr>
              <w:t xml:space="preserve"> + C</w:t>
            </w:r>
            <w:r w:rsidRPr="006159A2">
              <w:rPr>
                <w:sz w:val="20"/>
                <w:vertAlign w:val="subscript"/>
                <w:lang w:val="pt-BR"/>
              </w:rPr>
              <w:t>2</w:t>
            </w:r>
            <w:r w:rsidRPr="006159A2">
              <w:rPr>
                <w:sz w:val="20"/>
                <w:lang w:val="pt-BR"/>
              </w:rPr>
              <w:t>O</w:t>
            </w:r>
            <w:r w:rsidRPr="006159A2">
              <w:rPr>
                <w:sz w:val="20"/>
                <w:vertAlign w:val="subscript"/>
                <w:lang w:val="pt-BR"/>
              </w:rPr>
              <w:t>4</w:t>
            </w:r>
            <w:r w:rsidRPr="006159A2">
              <w:rPr>
                <w:sz w:val="20"/>
                <w:vertAlign w:val="superscript"/>
                <w:lang w:val="pt-BR"/>
              </w:rPr>
              <w:t>2-</w:t>
            </w:r>
            <w:r w:rsidRPr="006159A2">
              <w:rPr>
                <w:sz w:val="20"/>
                <w:lang w:val="pt-BR"/>
              </w:rPr>
              <w:t xml:space="preserve"> + CO</w:t>
            </w:r>
            <w:r w:rsidRPr="006159A2">
              <w:rPr>
                <w:sz w:val="20"/>
                <w:vertAlign w:val="subscript"/>
                <w:lang w:val="pt-BR"/>
              </w:rPr>
              <w:t>2</w:t>
            </w:r>
            <w:r w:rsidRPr="006159A2">
              <w:rPr>
                <w:sz w:val="20"/>
                <w:lang w:val="pt-BR"/>
              </w:rPr>
              <w:t xml:space="preserve"> + CO</w:t>
            </w:r>
            <w:r w:rsidRPr="006159A2">
              <w:rPr>
                <w:sz w:val="20"/>
                <w:vertAlign w:val="subscript"/>
                <w:lang w:val="pt-BR"/>
              </w:rPr>
              <w:t>2</w:t>
            </w:r>
            <w:r w:rsidRPr="006159A2">
              <w:rPr>
                <w:sz w:val="20"/>
                <w:vertAlign w:val="superscript"/>
                <w:lang w:val="pt-BR"/>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-4.2%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0.0%</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-5.5%</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pt-BR"/>
              </w:rPr>
            </w:pPr>
            <w:r w:rsidRPr="006159A2">
              <w:rPr>
                <w:sz w:val="20"/>
                <w:lang w:val="pt-BR"/>
              </w:rPr>
              <w:t>HO</w:t>
            </w:r>
            <w:r w:rsidRPr="006159A2">
              <w:rPr>
                <w:sz w:val="20"/>
                <w:vertAlign w:val="subscript"/>
                <w:lang w:val="pt-BR"/>
              </w:rPr>
              <w:t>2</w:t>
            </w:r>
            <w:r w:rsidRPr="006159A2">
              <w:rPr>
                <w:sz w:val="20"/>
                <w:lang w:val="pt-BR"/>
              </w:rPr>
              <w:t xml:space="preserve"> + Fe</w:t>
            </w:r>
            <w:r w:rsidRPr="006159A2">
              <w:rPr>
                <w:sz w:val="20"/>
                <w:vertAlign w:val="superscript"/>
                <w:lang w:val="pt-BR"/>
              </w:rPr>
              <w:t>2+</w:t>
            </w:r>
            <w:r w:rsidRPr="006159A2">
              <w:rPr>
                <w:sz w:val="20"/>
                <w:lang w:val="pt-BR"/>
              </w:rPr>
              <w:t xml:space="preserve"> (+ H</w:t>
            </w:r>
            <w:r w:rsidRPr="006159A2">
              <w:rPr>
                <w:sz w:val="20"/>
                <w:vertAlign w:val="subscript"/>
                <w:lang w:val="pt-BR"/>
              </w:rPr>
              <w:t>2</w:t>
            </w:r>
            <w:r w:rsidRPr="006159A2">
              <w:rPr>
                <w:sz w:val="20"/>
                <w:lang w:val="pt-BR"/>
              </w:rPr>
              <w:t xml:space="preserve">O) </w:t>
            </w:r>
            <w:r w:rsidR="00E0710A">
              <w:rPr>
                <w:noProof/>
                <w:position w:val="-6"/>
                <w:sz w:val="20"/>
                <w:lang w:eastAsia="en-US"/>
              </w:rPr>
              <w:drawing>
                <wp:inline distT="0" distB="0" distL="0" distR="0">
                  <wp:extent cx="280035" cy="17081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pt-BR"/>
              </w:rPr>
              <w:t xml:space="preserve"> Fe</w:t>
            </w:r>
            <w:r w:rsidRPr="006159A2">
              <w:rPr>
                <w:sz w:val="20"/>
                <w:vertAlign w:val="superscript"/>
                <w:lang w:val="pt-BR"/>
              </w:rPr>
              <w:t>3+</w:t>
            </w:r>
            <w:r w:rsidRPr="006159A2">
              <w:rPr>
                <w:sz w:val="20"/>
                <w:lang w:val="pt-BR"/>
              </w:rPr>
              <w:t xml:space="preserve"> + H</w:t>
            </w:r>
            <w:r w:rsidRPr="006159A2">
              <w:rPr>
                <w:sz w:val="20"/>
                <w:vertAlign w:val="subscript"/>
                <w:lang w:val="pt-BR"/>
              </w:rPr>
              <w:t>2</w:t>
            </w:r>
            <w:r w:rsidRPr="006159A2">
              <w:rPr>
                <w:sz w:val="20"/>
                <w:lang w:val="pt-BR"/>
              </w:rPr>
              <w:t>O</w:t>
            </w:r>
            <w:r w:rsidRPr="006159A2">
              <w:rPr>
                <w:sz w:val="20"/>
                <w:vertAlign w:val="subscript"/>
                <w:lang w:val="pt-BR"/>
              </w:rPr>
              <w:t>2</w:t>
            </w:r>
            <w:r w:rsidRPr="006159A2">
              <w:rPr>
                <w:sz w:val="20"/>
                <w:lang w:val="pt-BR"/>
              </w:rPr>
              <w:t xml:space="preserve"> + OH</w:t>
            </w:r>
            <w:r w:rsidRPr="006159A2">
              <w:rPr>
                <w:sz w:val="20"/>
                <w:vertAlign w:val="superscript"/>
                <w:lang w:val="pt-BR"/>
              </w:rPr>
              <w:t>-</w:t>
            </w:r>
            <w:r w:rsidRPr="006159A2">
              <w:rPr>
                <w:sz w:val="20"/>
                <w:lang w:val="pt-BR"/>
              </w:rPr>
              <w:t xml:space="preserve"> </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1.4%</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3.6%</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FeCH</w:t>
            </w:r>
            <w:r w:rsidRPr="006159A2">
              <w:rPr>
                <w:sz w:val="20"/>
                <w:vertAlign w:val="subscript"/>
                <w:lang w:val="en-GB"/>
              </w:rPr>
              <w:t>3</w:t>
            </w:r>
            <w:r w:rsidRPr="006159A2">
              <w:rPr>
                <w:sz w:val="20"/>
                <w:lang w:val="en-GB"/>
              </w:rPr>
              <w:t>O</w:t>
            </w:r>
            <w:r w:rsidRPr="006159A2">
              <w:rPr>
                <w:sz w:val="20"/>
                <w:vertAlign w:val="subscript"/>
                <w:lang w:val="en-GB"/>
              </w:rPr>
              <w:t>2</w:t>
            </w:r>
            <w:r w:rsidRPr="006159A2">
              <w:rPr>
                <w:sz w:val="20"/>
                <w:vertAlign w:val="superscript"/>
                <w:lang w:val="en-GB"/>
              </w:rPr>
              <w:t>2+</w:t>
            </w:r>
            <w:r w:rsidRPr="006159A2">
              <w:rPr>
                <w:sz w:val="20"/>
                <w:lang w:val="en-GB"/>
              </w:rPr>
              <w:t xml:space="preserve"> + H</w:t>
            </w:r>
            <w:r w:rsidRPr="006159A2">
              <w:rPr>
                <w:sz w:val="20"/>
                <w:vertAlign w:val="superscript"/>
                <w:lang w:val="en-GB"/>
              </w:rPr>
              <w:t>+</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3+</w:t>
            </w:r>
            <w:r w:rsidRPr="006159A2">
              <w:rPr>
                <w:sz w:val="20"/>
                <w:lang w:val="en-GB"/>
              </w:rPr>
              <w:t xml:space="preserve"> + CH</w:t>
            </w:r>
            <w:r w:rsidRPr="006159A2">
              <w:rPr>
                <w:sz w:val="20"/>
                <w:vertAlign w:val="subscript"/>
                <w:lang w:val="en-GB"/>
              </w:rPr>
              <w:t>3</w:t>
            </w:r>
            <w:r w:rsidRPr="006159A2">
              <w:rPr>
                <w:sz w:val="20"/>
                <w:lang w:val="en-GB"/>
              </w:rPr>
              <w:t>OOH</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2.5%</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3.1%</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FeCH</w:t>
            </w:r>
            <w:r w:rsidRPr="006159A2">
              <w:rPr>
                <w:sz w:val="20"/>
                <w:vertAlign w:val="subscript"/>
                <w:lang w:val="en-GB"/>
              </w:rPr>
              <w:t>3</w:t>
            </w:r>
            <w:r w:rsidRPr="006159A2">
              <w:rPr>
                <w:sz w:val="20"/>
                <w:lang w:val="en-GB"/>
              </w:rPr>
              <w:t>O</w:t>
            </w:r>
            <w:r w:rsidRPr="006159A2">
              <w:rPr>
                <w:sz w:val="20"/>
                <w:vertAlign w:val="subscript"/>
                <w:lang w:val="en-GB"/>
              </w:rPr>
              <w:t>2</w:t>
            </w:r>
            <w:r w:rsidRPr="006159A2">
              <w:rPr>
                <w:sz w:val="20"/>
                <w:vertAlign w:val="superscript"/>
                <w:lang w:val="en-GB"/>
              </w:rPr>
              <w:t>2+</w:t>
            </w:r>
            <w:r w:rsidRPr="006159A2">
              <w:rPr>
                <w:sz w:val="20"/>
                <w:lang w:val="en-GB"/>
              </w:rPr>
              <w:t xml:space="preserve"> </w:t>
            </w:r>
            <w:r w:rsidR="00E0710A">
              <w:rPr>
                <w:noProof/>
                <w:position w:val="-6"/>
                <w:sz w:val="20"/>
                <w:lang w:eastAsia="en-US"/>
              </w:rPr>
              <w:drawing>
                <wp:inline distT="0" distB="0" distL="0" distR="0">
                  <wp:extent cx="280035" cy="1708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3+</w:t>
            </w:r>
            <w:r w:rsidRPr="006159A2">
              <w:rPr>
                <w:sz w:val="20"/>
                <w:lang w:val="en-GB"/>
              </w:rPr>
              <w:t xml:space="preserve"> + CH</w:t>
            </w:r>
            <w:r w:rsidRPr="006159A2">
              <w:rPr>
                <w:sz w:val="20"/>
                <w:vertAlign w:val="subscript"/>
                <w:lang w:val="en-GB"/>
              </w:rPr>
              <w:t>3</w:t>
            </w:r>
            <w:r w:rsidRPr="006159A2">
              <w:rPr>
                <w:sz w:val="20"/>
                <w:lang w:val="en-GB"/>
              </w:rPr>
              <w:t>OOH + OH</w:t>
            </w:r>
            <w:r w:rsidRPr="006159A2">
              <w:rPr>
                <w:sz w:val="20"/>
                <w:vertAlign w:val="superscript"/>
                <w:lang w:val="en-GB"/>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2.5%</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3.6%</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2.1%</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bottom"/>
          </w:tcPr>
          <w:p w:rsidR="00094AD1" w:rsidRPr="006159A2" w:rsidRDefault="00094AD1" w:rsidP="00094AD1">
            <w:pPr>
              <w:rPr>
                <w:sz w:val="20"/>
              </w:rPr>
            </w:pPr>
            <w:r w:rsidRPr="006159A2">
              <w:rPr>
                <w:sz w:val="20"/>
                <w:lang w:val="en-GB"/>
              </w:rPr>
              <w:t>Fe(OH)</w:t>
            </w:r>
            <w:r w:rsidRPr="006159A2">
              <w:rPr>
                <w:sz w:val="20"/>
                <w:vertAlign w:val="subscript"/>
                <w:lang w:val="en-GB"/>
              </w:rPr>
              <w:t>2</w:t>
            </w:r>
            <w:r w:rsidRPr="006159A2">
              <w:rPr>
                <w:sz w:val="20"/>
                <w:vertAlign w:val="superscript"/>
                <w:lang w:val="en-GB"/>
              </w:rPr>
              <w:t>+</w:t>
            </w:r>
            <w:r w:rsidRPr="006159A2">
              <w:rPr>
                <w:sz w:val="20"/>
              </w:rPr>
              <w:t xml:space="preserve"> + </w:t>
            </w:r>
            <w:r w:rsidRPr="006159A2">
              <w:rPr>
                <w:sz w:val="20"/>
                <w:lang w:val="en-GB"/>
              </w:rPr>
              <w:t>Cu</w:t>
            </w:r>
            <w:r w:rsidRPr="006159A2">
              <w:rPr>
                <w:sz w:val="20"/>
                <w:vertAlign w:val="superscript"/>
                <w:lang w:val="en-GB"/>
              </w:rPr>
              <w:t>+</w:t>
            </w:r>
            <w:r w:rsidRPr="006159A2">
              <w:rPr>
                <w:sz w:val="20"/>
              </w:rPr>
              <w:t xml:space="preserve"> </w:t>
            </w:r>
            <w:r w:rsidR="00E0710A">
              <w:rPr>
                <w:noProof/>
                <w:position w:val="-6"/>
                <w:sz w:val="20"/>
                <w:lang w:eastAsia="en-US"/>
              </w:rPr>
              <w:drawing>
                <wp:inline distT="0" distB="0" distL="0" distR="0">
                  <wp:extent cx="280035" cy="17081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xml:space="preserve"> + Cu</w:t>
            </w:r>
            <w:r w:rsidRPr="006159A2">
              <w:rPr>
                <w:sz w:val="20"/>
                <w:vertAlign w:val="superscript"/>
                <w:lang w:val="en-GB"/>
              </w:rPr>
              <w:t>2+</w:t>
            </w:r>
            <w:r w:rsidRPr="006159A2">
              <w:rPr>
                <w:sz w:val="20"/>
                <w:lang w:val="en-GB"/>
              </w:rPr>
              <w:t xml:space="preserve"> + 2 OH</w:t>
            </w:r>
            <w:r w:rsidRPr="006159A2">
              <w:rPr>
                <w:sz w:val="20"/>
                <w:vertAlign w:val="superscript"/>
                <w:lang w:val="en-GB"/>
              </w:rPr>
              <w:t>-</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-2.1%</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-4.6%</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-4.4%</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-5.2%</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-1.3%</w:t>
            </w:r>
          </w:p>
        </w:tc>
      </w:tr>
      <w:tr w:rsidR="00094AD1" w:rsidRPr="006159A2" w:rsidTr="00094AD1">
        <w:trPr>
          <w:trHeight w:hRule="exact" w:val="284"/>
          <w:jc w:val="center"/>
        </w:trPr>
        <w:tc>
          <w:tcPr>
            <w:tcW w:w="4644" w:type="dxa"/>
            <w:tcBorders>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FeOH</w:t>
            </w:r>
            <w:r w:rsidRPr="006159A2">
              <w:rPr>
                <w:sz w:val="20"/>
                <w:vertAlign w:val="superscript"/>
                <w:lang w:val="en-GB"/>
              </w:rPr>
              <w:t>2+</w:t>
            </w:r>
            <w:r w:rsidRPr="006159A2">
              <w:rPr>
                <w:sz w:val="20"/>
                <w:lang w:val="en-GB"/>
              </w:rPr>
              <w:t xml:space="preserve"> + h</w:t>
            </w:r>
            <w:r w:rsidRPr="006159A2">
              <w:rPr>
                <w:sz w:val="20"/>
                <w:lang w:val="en-GB"/>
              </w:rPr>
              <w:sym w:font="Symbol" w:char="F06E"/>
            </w:r>
            <w:r w:rsidR="00E0710A">
              <w:rPr>
                <w:noProof/>
                <w:position w:val="-6"/>
                <w:sz w:val="20"/>
                <w:lang w:eastAsia="en-US"/>
              </w:rPr>
              <w:drawing>
                <wp:inline distT="0" distB="0" distL="0" distR="0">
                  <wp:extent cx="280035" cy="17081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280035" cy="170815"/>
                          </a:xfrm>
                          <a:prstGeom prst="rect">
                            <a:avLst/>
                          </a:prstGeom>
                          <a:noFill/>
                          <a:ln w="9525">
                            <a:noFill/>
                            <a:miter lim="800000"/>
                            <a:headEnd/>
                            <a:tailEnd/>
                          </a:ln>
                        </pic:spPr>
                      </pic:pic>
                    </a:graphicData>
                  </a:graphic>
                </wp:inline>
              </w:drawing>
            </w:r>
            <w:r w:rsidRPr="006159A2">
              <w:rPr>
                <w:sz w:val="20"/>
                <w:lang w:val="en-GB"/>
              </w:rPr>
              <w:t xml:space="preserve"> Fe</w:t>
            </w:r>
            <w:r w:rsidRPr="006159A2">
              <w:rPr>
                <w:sz w:val="20"/>
                <w:vertAlign w:val="superscript"/>
                <w:lang w:val="en-GB"/>
              </w:rPr>
              <w:t>2+</w:t>
            </w:r>
            <w:r w:rsidRPr="006159A2">
              <w:rPr>
                <w:sz w:val="20"/>
                <w:lang w:val="en-GB"/>
              </w:rPr>
              <w:t xml:space="preserve"> + OH</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-1.7%</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-3.4%</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-4.3%</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0.0%</w:t>
            </w:r>
          </w:p>
        </w:tc>
        <w:tc>
          <w:tcPr>
            <w:tcW w:w="900" w:type="dxa"/>
            <w:tcBorders>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-1.2%</w:t>
            </w:r>
          </w:p>
        </w:tc>
      </w:tr>
      <w:tr w:rsidR="00094AD1" w:rsidRPr="006159A2" w:rsidTr="00094AD1">
        <w:trPr>
          <w:trHeight w:val="255"/>
          <w:jc w:val="center"/>
        </w:trPr>
        <w:tc>
          <w:tcPr>
            <w:tcW w:w="4644"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c>
          <w:tcPr>
            <w:tcW w:w="900"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p>
        </w:tc>
      </w:tr>
      <w:tr w:rsidR="00094AD1" w:rsidRPr="006159A2" w:rsidTr="00094AD1">
        <w:trPr>
          <w:trHeight w:val="255"/>
          <w:jc w:val="center"/>
        </w:trPr>
        <w:tc>
          <w:tcPr>
            <w:tcW w:w="4644" w:type="dxa"/>
            <w:tcBorders>
              <w:top w:val="single" w:sz="4" w:space="0" w:color="auto"/>
              <w:left w:val="nil"/>
              <w:bottom w:val="nil"/>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Total sources</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94.3%</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90.3%</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90.4%</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90.0%</w:t>
            </w:r>
          </w:p>
        </w:tc>
        <w:tc>
          <w:tcPr>
            <w:tcW w:w="900" w:type="dxa"/>
            <w:tcBorders>
              <w:top w:val="single" w:sz="4" w:space="0" w:color="auto"/>
              <w:left w:val="nil"/>
              <w:bottom w:val="nil"/>
              <w:right w:val="nil"/>
            </w:tcBorders>
            <w:shd w:val="clear" w:color="auto" w:fill="auto"/>
            <w:noWrap/>
            <w:vAlign w:val="bottom"/>
          </w:tcPr>
          <w:p w:rsidR="00094AD1" w:rsidRPr="006159A2" w:rsidRDefault="00094AD1" w:rsidP="00094AD1">
            <w:pPr>
              <w:jc w:val="right"/>
              <w:rPr>
                <w:sz w:val="20"/>
              </w:rPr>
            </w:pPr>
            <w:r w:rsidRPr="006159A2">
              <w:rPr>
                <w:sz w:val="20"/>
              </w:rPr>
              <w:t>95.6%</w:t>
            </w:r>
          </w:p>
        </w:tc>
      </w:tr>
      <w:tr w:rsidR="00094AD1" w:rsidRPr="006159A2" w:rsidTr="00094AD1">
        <w:trPr>
          <w:trHeight w:val="255"/>
          <w:jc w:val="center"/>
        </w:trPr>
        <w:tc>
          <w:tcPr>
            <w:tcW w:w="4644" w:type="dxa"/>
            <w:tcBorders>
              <w:left w:val="nil"/>
              <w:bottom w:val="single" w:sz="4" w:space="0" w:color="auto"/>
              <w:right w:val="nil"/>
            </w:tcBorders>
            <w:shd w:val="clear" w:color="auto" w:fill="auto"/>
            <w:noWrap/>
            <w:vAlign w:val="center"/>
          </w:tcPr>
          <w:p w:rsidR="00094AD1" w:rsidRPr="006159A2" w:rsidRDefault="00094AD1" w:rsidP="00094AD1">
            <w:pPr>
              <w:jc w:val="both"/>
              <w:rPr>
                <w:sz w:val="20"/>
                <w:lang w:val="en-GB"/>
              </w:rPr>
            </w:pPr>
            <w:r w:rsidRPr="006159A2">
              <w:rPr>
                <w:sz w:val="20"/>
                <w:lang w:val="en-GB"/>
              </w:rPr>
              <w:t>Total sinks</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right"/>
              <w:rPr>
                <w:sz w:val="20"/>
              </w:rPr>
            </w:pPr>
            <w:r w:rsidRPr="006159A2">
              <w:rPr>
                <w:sz w:val="20"/>
              </w:rPr>
              <w:t>-99.2%</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right"/>
              <w:rPr>
                <w:sz w:val="20"/>
              </w:rPr>
            </w:pPr>
            <w:r w:rsidRPr="006159A2">
              <w:rPr>
                <w:sz w:val="20"/>
              </w:rPr>
              <w:t>-98.4%</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right"/>
              <w:rPr>
                <w:sz w:val="20"/>
              </w:rPr>
            </w:pPr>
            <w:r w:rsidRPr="006159A2">
              <w:rPr>
                <w:sz w:val="20"/>
              </w:rPr>
              <w:t>-98.0%</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right"/>
              <w:rPr>
                <w:sz w:val="20"/>
              </w:rPr>
            </w:pPr>
            <w:r w:rsidRPr="006159A2">
              <w:rPr>
                <w:sz w:val="20"/>
              </w:rPr>
              <w:t>-99.8%</w:t>
            </w:r>
          </w:p>
        </w:tc>
        <w:tc>
          <w:tcPr>
            <w:tcW w:w="900" w:type="dxa"/>
            <w:tcBorders>
              <w:left w:val="nil"/>
              <w:bottom w:val="single" w:sz="4" w:space="0" w:color="auto"/>
              <w:right w:val="nil"/>
            </w:tcBorders>
            <w:shd w:val="clear" w:color="auto" w:fill="auto"/>
            <w:noWrap/>
            <w:vAlign w:val="bottom"/>
          </w:tcPr>
          <w:p w:rsidR="00094AD1" w:rsidRPr="006159A2" w:rsidRDefault="00094AD1" w:rsidP="00094AD1">
            <w:pPr>
              <w:jc w:val="right"/>
              <w:rPr>
                <w:sz w:val="20"/>
              </w:rPr>
            </w:pPr>
            <w:r w:rsidRPr="006159A2">
              <w:rPr>
                <w:sz w:val="20"/>
              </w:rPr>
              <w:t>-99.4%</w:t>
            </w:r>
          </w:p>
        </w:tc>
      </w:tr>
    </w:tbl>
    <w:p w:rsidR="0072623B" w:rsidRPr="006159A2" w:rsidRDefault="0072623B" w:rsidP="0072623B"/>
    <w:p w:rsidR="00264620" w:rsidRPr="006159A2" w:rsidRDefault="00CF0DDB" w:rsidP="00264620">
      <w:pPr>
        <w:pStyle w:val="Heading1"/>
      </w:pPr>
      <w:r w:rsidRPr="006159A2">
        <w:t>H</w:t>
      </w:r>
      <w:r w:rsidR="0072623B" w:rsidRPr="006159A2">
        <w:t>.</w:t>
      </w:r>
      <w:r w:rsidRPr="006159A2">
        <w:t xml:space="preserve"> Additional material</w:t>
      </w:r>
    </w:p>
    <w:p w:rsidR="00264620" w:rsidRPr="006159A2" w:rsidRDefault="00264620" w:rsidP="00264620">
      <w:pPr>
        <w:rPr>
          <w:b/>
          <w:i/>
          <w:lang w:val="de-DE"/>
        </w:rPr>
      </w:pPr>
      <w:r w:rsidRPr="006159A2">
        <w:rPr>
          <w:b/>
          <w:i/>
          <w:lang w:val="en-GB"/>
        </w:rPr>
        <w:t xml:space="preserve">Evolution of the particle mass </w:t>
      </w:r>
    </w:p>
    <w:p w:rsidR="00264620" w:rsidRPr="006159A2" w:rsidRDefault="00264620" w:rsidP="00264620">
      <w:pPr>
        <w:jc w:val="both"/>
        <w:rPr>
          <w:lang w:val="en-GB"/>
        </w:rPr>
      </w:pPr>
      <w:r w:rsidRPr="006159A2">
        <w:rPr>
          <w:lang w:val="en-GB"/>
        </w:rPr>
        <w:t>The simulation results plotted in Fig. </w:t>
      </w:r>
      <w:r w:rsidR="00160EE9" w:rsidRPr="006159A2">
        <w:rPr>
          <w:lang w:val="en-GB"/>
        </w:rPr>
        <w:t>S15</w:t>
      </w:r>
      <w:r w:rsidRPr="006159A2">
        <w:rPr>
          <w:lang w:val="en-GB"/>
        </w:rPr>
        <w:t xml:space="preserve"> show the modification of spectral dry particle/droplet mass distribution (condensed non</w:t>
      </w:r>
      <w:r w:rsidRPr="006159A2">
        <w:rPr>
          <w:lang w:val="en-GB"/>
        </w:rPr>
        <w:noBreakHyphen/>
        <w:t>water mass) due to the physico</w:t>
      </w:r>
      <w:r w:rsidRPr="006159A2">
        <w:rPr>
          <w:lang w:val="en-GB"/>
        </w:rPr>
        <w:noBreakHyphen/>
        <w:t>chemical aerosol cloud processing at different simulation times for remote and urban atmospheric conditions. The model results show a noticeable spectral particle size and total particle mass processing which is mainly caused by inorganic chemical processes such as S(IV) to S(VI) conversion. As can be seen from the plot, the cloud processing of the dry particle mass spectra leads narrower spectra under remote and to a significant CCN size increase including a maximum shift of the mass spectra to about 600 nm under urban cloud conditions, respectively. The modelled increases in the mass concentration distribution in the size range of 100</w:t>
      </w:r>
      <w:r w:rsidRPr="006159A2">
        <w:rPr>
          <w:lang w:val="en-GB"/>
        </w:rPr>
        <w:noBreakHyphen/>
        <w:t>300 nm during the first cloud passage are in a good agreement with modelled spectral modifications of Kreidenweis et al. (2003) who found a mass increase in the size range of 100</w:t>
      </w:r>
      <w:r w:rsidRPr="006159A2">
        <w:rPr>
          <w:lang w:val="en-GB"/>
        </w:rPr>
        <w:noBreakHyphen/>
        <w:t>150 nm due to the SO</w:t>
      </w:r>
      <w:r w:rsidRPr="006159A2">
        <w:rPr>
          <w:vertAlign w:val="subscript"/>
          <w:lang w:val="en-GB"/>
        </w:rPr>
        <w:t>2</w:t>
      </w:r>
      <w:r w:rsidRPr="006159A2">
        <w:rPr>
          <w:lang w:val="en-GB"/>
        </w:rPr>
        <w:t xml:space="preserve"> in</w:t>
      </w:r>
      <w:r w:rsidRPr="006159A2">
        <w:rPr>
          <w:lang w:val="en-GB"/>
        </w:rPr>
        <w:noBreakHyphen/>
        <w:t>cloud oxidation.</w:t>
      </w:r>
    </w:p>
    <w:p w:rsidR="00264620" w:rsidRPr="006159A2" w:rsidRDefault="00264620" w:rsidP="00264620">
      <w:pPr>
        <w:jc w:val="both"/>
        <w:rPr>
          <w:rFonts w:ascii="Garamond" w:hAnsi="Garamond"/>
          <w:lang w:val="en-GB"/>
        </w:rPr>
      </w:pPr>
      <w:r w:rsidRPr="006159A2">
        <w:rPr>
          <w:lang w:val="en-GB"/>
        </w:rPr>
        <w:lastRenderedPageBreak/>
        <w:t>Finally the present model results reveal total mass increases after the cloud evaporation of about 2 µg m</w:t>
      </w:r>
      <w:r w:rsidRPr="006159A2">
        <w:rPr>
          <w:vertAlign w:val="superscript"/>
          <w:lang w:val="en-GB"/>
        </w:rPr>
        <w:noBreakHyphen/>
        <w:t>3</w:t>
      </w:r>
      <w:r w:rsidRPr="006159A2">
        <w:rPr>
          <w:lang w:val="en-GB"/>
        </w:rPr>
        <w:t xml:space="preserve"> per remote cloud event. Modelled dry aerosol particle masses between 15 and 32 µg m</w:t>
      </w:r>
      <w:r w:rsidRPr="006159A2">
        <w:rPr>
          <w:vertAlign w:val="superscript"/>
          <w:lang w:val="en-GB"/>
        </w:rPr>
        <w:noBreakHyphen/>
        <w:t>3</w:t>
      </w:r>
      <w:r w:rsidRPr="006159A2">
        <w:rPr>
          <w:lang w:val="en-GB"/>
        </w:rPr>
        <w:t xml:space="preserve"> characterise a quite reasonable mass range for remote aerosol particulate matter (see e.g. van </w:t>
      </w:r>
      <w:r w:rsidRPr="006159A2">
        <w:rPr>
          <w:rFonts w:eastAsia="MS Mincho"/>
          <w:lang w:val="en-GB" w:eastAsia="ja-JP"/>
        </w:rPr>
        <w:t>Dingenen</w:t>
      </w:r>
      <w:r w:rsidRPr="006159A2">
        <w:rPr>
          <w:lang w:val="en-GB"/>
        </w:rPr>
        <w:t xml:space="preserve"> et al. 2004). In the urban case, the behaviour is more complex including differences in the mass production efficiency of day</w:t>
      </w:r>
      <w:r w:rsidRPr="006159A2">
        <w:rPr>
          <w:lang w:val="en-GB"/>
        </w:rPr>
        <w:noBreakHyphen/>
        <w:t xml:space="preserve"> and night-time clouds. The total mass is increased after the cloud evaporation by up to 15 µg m</w:t>
      </w:r>
      <w:r w:rsidRPr="006159A2">
        <w:rPr>
          <w:vertAlign w:val="superscript"/>
          <w:lang w:val="en-GB"/>
        </w:rPr>
        <w:noBreakHyphen/>
        <w:t>3</w:t>
      </w:r>
      <w:r w:rsidRPr="006159A2">
        <w:rPr>
          <w:lang w:val="en-GB"/>
        </w:rPr>
        <w:t xml:space="preserve"> and 10 µg m</w:t>
      </w:r>
      <w:r w:rsidRPr="006159A2">
        <w:rPr>
          <w:vertAlign w:val="superscript"/>
          <w:lang w:val="en-GB"/>
        </w:rPr>
        <w:noBreakHyphen/>
        <w:t>3</w:t>
      </w:r>
      <w:r w:rsidRPr="006159A2">
        <w:rPr>
          <w:lang w:val="en-GB"/>
        </w:rPr>
        <w:t xml:space="preserve"> per urban day</w:t>
      </w:r>
      <w:r w:rsidRPr="006159A2">
        <w:rPr>
          <w:lang w:val="en-GB"/>
        </w:rPr>
        <w:noBreakHyphen/>
        <w:t xml:space="preserve"> and night-time cloud event, respectively. Moreover, the total particulate matter finally reaches a concentration of about 200 µg m</w:t>
      </w:r>
      <w:r w:rsidRPr="006159A2">
        <w:rPr>
          <w:vertAlign w:val="superscript"/>
          <w:lang w:val="en-GB"/>
        </w:rPr>
        <w:noBreakHyphen/>
        <w:t>3</w:t>
      </w:r>
      <w:r w:rsidRPr="006159A2">
        <w:rPr>
          <w:lang w:val="en-GB"/>
        </w:rPr>
        <w:t xml:space="preserve"> at the end of the simulation, which is a quite reasonable mass concentration for aerosols in strongly polluted areas (Chan and Yao 2008). It is noted that equivalent results focusing on the organic mass processing are discussed in detail in a corresponding article of Tilgner and Herrmann (2010) and will be thus not outlined here. Additionally, it is noted that due to the focus on chemical issues, microphysical effects such as coagulation, detrainment/entrainment and deposition processes on the particle/cloud droplet spectra are neglected in the present parcel model studies. Therefore, the particle distributions would be changed by those physical processes.</w:t>
      </w:r>
    </w:p>
    <w:p w:rsidR="00264620" w:rsidRPr="006159A2" w:rsidRDefault="00264620" w:rsidP="009F4459">
      <w:pPr>
        <w:rPr>
          <w:b/>
          <w:lang w:val="en-GB"/>
        </w:rPr>
      </w:pPr>
    </w:p>
    <w:p w:rsidR="004260F2" w:rsidRPr="006159A2" w:rsidRDefault="00E0710A" w:rsidP="005522E3">
      <w:pPr>
        <w:jc w:val="center"/>
        <w:rPr>
          <w:lang w:val="en-GB"/>
        </w:rPr>
      </w:pPr>
      <w:r>
        <w:rPr>
          <w:noProof/>
          <w:lang w:eastAsia="en-US"/>
        </w:rPr>
        <w:lastRenderedPageBreak/>
        <w:drawing>
          <wp:inline distT="0" distB="0" distL="0" distR="0">
            <wp:extent cx="5049520" cy="6844665"/>
            <wp:effectExtent l="0" t="0" r="0" b="0"/>
            <wp:docPr id="117" name="Bild 87" descr="Beschreibung: FIG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7" descr="Beschreibung: FIG_18"/>
                    <pic:cNvPicPr>
                      <a:picLocks noChangeAspect="1" noChangeArrowheads="1"/>
                    </pic:cNvPicPr>
                  </pic:nvPicPr>
                  <pic:blipFill>
                    <a:blip r:embed="rId29"/>
                    <a:srcRect/>
                    <a:stretch>
                      <a:fillRect/>
                    </a:stretch>
                  </pic:blipFill>
                  <pic:spPr bwMode="auto">
                    <a:xfrm>
                      <a:off x="0" y="0"/>
                      <a:ext cx="5049520" cy="6844665"/>
                    </a:xfrm>
                    <a:prstGeom prst="rect">
                      <a:avLst/>
                    </a:prstGeom>
                    <a:noFill/>
                    <a:ln w="9525">
                      <a:noFill/>
                      <a:miter lim="800000"/>
                      <a:headEnd/>
                      <a:tailEnd/>
                    </a:ln>
                  </pic:spPr>
                </pic:pic>
              </a:graphicData>
            </a:graphic>
          </wp:inline>
        </w:drawing>
      </w:r>
    </w:p>
    <w:p w:rsidR="004260F2" w:rsidRPr="006159A2" w:rsidRDefault="004260F2" w:rsidP="004260F2">
      <w:pPr>
        <w:pStyle w:val="figlegend"/>
        <w:tabs>
          <w:tab w:val="left" w:pos="993"/>
        </w:tabs>
        <w:jc w:val="both"/>
        <w:rPr>
          <w:lang w:val="en-GB"/>
        </w:rPr>
      </w:pPr>
      <w:r w:rsidRPr="006159A2">
        <w:rPr>
          <w:b/>
          <w:lang w:val="en-GB"/>
        </w:rPr>
        <w:t>Fig. </w:t>
      </w:r>
      <w:r w:rsidR="00A1693D" w:rsidRPr="006159A2">
        <w:rPr>
          <w:b/>
          <w:lang w:val="en-GB"/>
        </w:rPr>
        <w:t>S</w:t>
      </w:r>
      <w:r w:rsidR="00F2384D" w:rsidRPr="006159A2">
        <w:rPr>
          <w:b/>
          <w:lang w:val="en-GB"/>
        </w:rPr>
        <w:t>15</w:t>
      </w:r>
      <w:r w:rsidRPr="006159A2">
        <w:rPr>
          <w:lang w:val="en-GB"/>
        </w:rPr>
        <w:tab/>
        <w:t>Modelled spectral total particle mass distributions at 4 points of time in μg m</w:t>
      </w:r>
      <w:r w:rsidRPr="006159A2">
        <w:rPr>
          <w:vertAlign w:val="superscript"/>
          <w:lang w:val="en-GB"/>
        </w:rPr>
        <w:t>-3</w:t>
      </w:r>
      <w:r w:rsidRPr="006159A2">
        <w:rPr>
          <w:vertAlign w:val="subscript"/>
          <w:lang w:val="en-GB"/>
        </w:rPr>
        <w:t>(air)</w:t>
      </w:r>
      <w:r w:rsidR="00A1693D" w:rsidRPr="006159A2">
        <w:rPr>
          <w:lang w:val="en-GB"/>
        </w:rPr>
        <w:t xml:space="preserve"> for remote (top</w:t>
      </w:r>
      <w:r w:rsidRPr="006159A2">
        <w:rPr>
          <w:lang w:val="en-GB"/>
        </w:rPr>
        <w:t>) and urban (</w:t>
      </w:r>
      <w:r w:rsidR="00A1693D" w:rsidRPr="006159A2">
        <w:rPr>
          <w:lang w:val="en-GB"/>
        </w:rPr>
        <w:t>down</w:t>
      </w:r>
      <w:r w:rsidRPr="006159A2">
        <w:rPr>
          <w:lang w:val="en-GB"/>
        </w:rPr>
        <w:t>) atmospheric conditions</w:t>
      </w:r>
    </w:p>
    <w:p w:rsidR="00264620" w:rsidRPr="006159A2" w:rsidRDefault="00160EE9" w:rsidP="00264620">
      <w:pPr>
        <w:rPr>
          <w:rFonts w:ascii="Arial" w:hAnsi="Arial"/>
          <w:b/>
          <w:i/>
        </w:rPr>
      </w:pPr>
      <w:r w:rsidRPr="006159A2">
        <w:rPr>
          <w:b/>
          <w:i/>
          <w:lang w:val="en-GB"/>
        </w:rPr>
        <w:br w:type="page"/>
      </w:r>
      <w:r w:rsidR="00264620" w:rsidRPr="006159A2">
        <w:rPr>
          <w:rFonts w:ascii="Arial" w:hAnsi="Arial"/>
          <w:b/>
          <w:i/>
          <w:lang w:val="en-GB"/>
        </w:rPr>
        <w:lastRenderedPageBreak/>
        <w:t>Model sensitivity studies</w:t>
      </w:r>
    </w:p>
    <w:p w:rsidR="00264620" w:rsidRPr="006159A2" w:rsidRDefault="00264620" w:rsidP="00264620">
      <w:pPr>
        <w:jc w:val="both"/>
        <w:rPr>
          <w:lang w:val="en-GB"/>
        </w:rPr>
      </w:pPr>
      <w:r w:rsidRPr="006159A2">
        <w:rPr>
          <w:lang w:val="en-GB"/>
        </w:rPr>
        <w:t xml:space="preserve">Additional chemical sensitivity studies were performed with regards to crucial model parameters, (i) the soluble iron fraction and (ii) the used emission strengths, focusing on their impact on the oxidants and related subsystems. </w:t>
      </w:r>
    </w:p>
    <w:p w:rsidR="00094AD1" w:rsidRPr="006159A2" w:rsidRDefault="00094AD1" w:rsidP="00264620">
      <w:pPr>
        <w:jc w:val="both"/>
        <w:rPr>
          <w:lang w:val="en-GB"/>
        </w:rPr>
      </w:pPr>
    </w:p>
    <w:p w:rsidR="00094AD1" w:rsidRPr="006159A2" w:rsidRDefault="00094AD1" w:rsidP="00094AD1">
      <w:pPr>
        <w:pStyle w:val="tablelegend"/>
        <w:tabs>
          <w:tab w:val="left" w:pos="993"/>
        </w:tabs>
        <w:rPr>
          <w:lang w:val="en-GB"/>
        </w:rPr>
      </w:pPr>
      <w:r w:rsidRPr="006159A2">
        <w:rPr>
          <w:b/>
          <w:lang w:val="en-GB"/>
        </w:rPr>
        <w:t>Tab. S6</w:t>
      </w:r>
      <w:r w:rsidRPr="006159A2">
        <w:rPr>
          <w:lang w:val="en-GB"/>
        </w:rPr>
        <w:tab/>
        <w:t>Overview of the sensitivity studies</w:t>
      </w:r>
      <w:r w:rsidRPr="006159A2">
        <w:rPr>
          <w:lang w:val="en-GB" w:eastAsia="en-GB"/>
        </w:rPr>
        <w:t xml:space="preserve"> on water-soluble iron</w:t>
      </w:r>
      <w:r w:rsidRPr="006159A2">
        <w:rPr>
          <w:lang w:val="en-GB"/>
        </w:rPr>
        <w:t xml:space="preserve"> (Fe1 represents the “base case”)</w:t>
      </w:r>
    </w:p>
    <w:tbl>
      <w:tblPr>
        <w:tblW w:w="0" w:type="auto"/>
        <w:jc w:val="center"/>
        <w:tblInd w:w="288" w:type="dxa"/>
        <w:tblBorders>
          <w:top w:val="single" w:sz="4" w:space="0" w:color="auto"/>
          <w:bottom w:val="single" w:sz="4" w:space="0" w:color="auto"/>
        </w:tblBorders>
        <w:tblLook w:val="01E0"/>
      </w:tblPr>
      <w:tblGrid>
        <w:gridCol w:w="1661"/>
        <w:gridCol w:w="1579"/>
        <w:gridCol w:w="3407"/>
      </w:tblGrid>
      <w:tr w:rsidR="00094AD1" w:rsidRPr="006159A2" w:rsidTr="00094AD1">
        <w:trPr>
          <w:jc w:val="center"/>
        </w:trPr>
        <w:tc>
          <w:tcPr>
            <w:tcW w:w="1661" w:type="dxa"/>
            <w:tcBorders>
              <w:top w:val="single" w:sz="4" w:space="0" w:color="auto"/>
              <w:bottom w:val="single" w:sz="4" w:space="0" w:color="auto"/>
            </w:tcBorders>
            <w:shd w:val="clear" w:color="auto" w:fill="D9D9D9"/>
          </w:tcPr>
          <w:p w:rsidR="00094AD1" w:rsidRPr="006159A2" w:rsidRDefault="00094AD1" w:rsidP="00094AD1">
            <w:pPr>
              <w:tabs>
                <w:tab w:val="center" w:pos="4536"/>
                <w:tab w:val="right" w:pos="9072"/>
              </w:tabs>
              <w:spacing w:line="240" w:lineRule="auto"/>
              <w:rPr>
                <w:b/>
                <w:sz w:val="20"/>
                <w:lang w:val="en-GB"/>
              </w:rPr>
            </w:pPr>
            <w:r w:rsidRPr="006159A2">
              <w:rPr>
                <w:b/>
                <w:sz w:val="20"/>
                <w:lang w:val="en-GB" w:eastAsia="en-GB"/>
              </w:rPr>
              <w:t xml:space="preserve">Sensitivity case </w:t>
            </w:r>
          </w:p>
        </w:tc>
        <w:tc>
          <w:tcPr>
            <w:tcW w:w="1579" w:type="dxa"/>
            <w:tcBorders>
              <w:top w:val="single" w:sz="4" w:space="0" w:color="auto"/>
              <w:bottom w:val="single" w:sz="4" w:space="0" w:color="auto"/>
            </w:tcBorders>
            <w:shd w:val="clear" w:color="auto" w:fill="D9D9D9"/>
          </w:tcPr>
          <w:p w:rsidR="00094AD1" w:rsidRPr="006159A2" w:rsidRDefault="00094AD1" w:rsidP="00094AD1">
            <w:pPr>
              <w:tabs>
                <w:tab w:val="center" w:pos="4536"/>
                <w:tab w:val="right" w:pos="9072"/>
              </w:tabs>
              <w:spacing w:line="240" w:lineRule="auto"/>
              <w:rPr>
                <w:b/>
                <w:sz w:val="20"/>
                <w:lang w:val="en-GB"/>
              </w:rPr>
            </w:pPr>
            <w:r w:rsidRPr="006159A2">
              <w:rPr>
                <w:b/>
                <w:sz w:val="20"/>
                <w:lang w:val="en-GB" w:eastAsia="en-GB"/>
              </w:rPr>
              <w:t>Scaling factor</w:t>
            </w:r>
          </w:p>
        </w:tc>
        <w:tc>
          <w:tcPr>
            <w:tcW w:w="3407" w:type="dxa"/>
            <w:tcBorders>
              <w:top w:val="single" w:sz="4" w:space="0" w:color="auto"/>
              <w:bottom w:val="single" w:sz="4" w:space="0" w:color="auto"/>
            </w:tcBorders>
            <w:shd w:val="clear" w:color="auto" w:fill="D9D9D9"/>
          </w:tcPr>
          <w:p w:rsidR="00094AD1" w:rsidRPr="006159A2" w:rsidRDefault="00094AD1" w:rsidP="00094AD1">
            <w:pPr>
              <w:tabs>
                <w:tab w:val="center" w:pos="4536"/>
                <w:tab w:val="right" w:pos="9072"/>
              </w:tabs>
              <w:spacing w:line="240" w:lineRule="auto"/>
              <w:rPr>
                <w:b/>
                <w:sz w:val="20"/>
                <w:lang w:val="en-GB"/>
              </w:rPr>
            </w:pPr>
            <w:r w:rsidRPr="006159A2">
              <w:rPr>
                <w:b/>
                <w:sz w:val="20"/>
                <w:lang w:val="en-GB" w:eastAsia="en-GB"/>
              </w:rPr>
              <w:t xml:space="preserve">Initial particle mass fraction of the </w:t>
            </w:r>
            <w:r w:rsidRPr="006159A2">
              <w:rPr>
                <w:b/>
                <w:sz w:val="20"/>
                <w:lang w:val="en-GB" w:eastAsia="en-GB"/>
              </w:rPr>
              <w:br/>
              <w:t>water soluble iron</w:t>
            </w:r>
          </w:p>
        </w:tc>
      </w:tr>
      <w:tr w:rsidR="00094AD1" w:rsidRPr="006159A2" w:rsidTr="00094AD1">
        <w:trPr>
          <w:trHeight w:val="66"/>
          <w:jc w:val="center"/>
        </w:trPr>
        <w:tc>
          <w:tcPr>
            <w:tcW w:w="1661" w:type="dxa"/>
            <w:tcBorders>
              <w:top w:val="single" w:sz="4" w:space="0" w:color="auto"/>
              <w:bottom w:val="nil"/>
            </w:tcBorders>
            <w:shd w:val="clear" w:color="auto" w:fill="auto"/>
          </w:tcPr>
          <w:p w:rsidR="00094AD1" w:rsidRPr="006159A2" w:rsidRDefault="00094AD1" w:rsidP="00094AD1">
            <w:pPr>
              <w:tabs>
                <w:tab w:val="center" w:pos="4536"/>
                <w:tab w:val="right" w:pos="9072"/>
              </w:tabs>
              <w:spacing w:line="240" w:lineRule="auto"/>
              <w:rPr>
                <w:sz w:val="20"/>
                <w:lang w:val="en-GB"/>
              </w:rPr>
            </w:pPr>
          </w:p>
        </w:tc>
        <w:tc>
          <w:tcPr>
            <w:tcW w:w="1579" w:type="dxa"/>
            <w:tcBorders>
              <w:top w:val="single" w:sz="4" w:space="0" w:color="auto"/>
              <w:bottom w:val="nil"/>
            </w:tcBorders>
            <w:shd w:val="clear" w:color="auto" w:fill="auto"/>
          </w:tcPr>
          <w:p w:rsidR="00094AD1" w:rsidRPr="006159A2" w:rsidRDefault="00094AD1" w:rsidP="00094AD1">
            <w:pPr>
              <w:tabs>
                <w:tab w:val="center" w:pos="4536"/>
                <w:tab w:val="right" w:pos="9072"/>
              </w:tabs>
              <w:spacing w:line="240" w:lineRule="auto"/>
              <w:rPr>
                <w:sz w:val="20"/>
                <w:lang w:val="en-GB" w:eastAsia="en-GB"/>
              </w:rPr>
            </w:pPr>
          </w:p>
        </w:tc>
        <w:tc>
          <w:tcPr>
            <w:tcW w:w="3407" w:type="dxa"/>
            <w:tcBorders>
              <w:top w:val="single" w:sz="4" w:space="0" w:color="auto"/>
              <w:bottom w:val="nil"/>
            </w:tcBorders>
            <w:shd w:val="clear" w:color="auto" w:fill="auto"/>
          </w:tcPr>
          <w:p w:rsidR="00094AD1" w:rsidRPr="006159A2" w:rsidRDefault="00094AD1" w:rsidP="00094AD1">
            <w:pPr>
              <w:tabs>
                <w:tab w:val="center" w:pos="4536"/>
                <w:tab w:val="right" w:pos="9072"/>
              </w:tabs>
              <w:spacing w:line="240" w:lineRule="auto"/>
              <w:rPr>
                <w:sz w:val="20"/>
                <w:lang w:val="en-GB"/>
              </w:rPr>
            </w:pPr>
          </w:p>
        </w:tc>
      </w:tr>
      <w:tr w:rsidR="00094AD1" w:rsidRPr="006159A2" w:rsidTr="00094AD1">
        <w:trPr>
          <w:jc w:val="center"/>
        </w:trPr>
        <w:tc>
          <w:tcPr>
            <w:tcW w:w="1661" w:type="dxa"/>
            <w:tcBorders>
              <w:top w:val="nil"/>
              <w:bottom w:val="nil"/>
            </w:tcBorders>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rPr>
              <w:t>Fe1</w:t>
            </w:r>
          </w:p>
        </w:tc>
        <w:tc>
          <w:tcPr>
            <w:tcW w:w="1579" w:type="dxa"/>
            <w:tcBorders>
              <w:top w:val="nil"/>
              <w:bottom w:val="nil"/>
            </w:tcBorders>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eastAsia="en-GB"/>
              </w:rPr>
              <w:t>100 %</w:t>
            </w:r>
          </w:p>
        </w:tc>
        <w:tc>
          <w:tcPr>
            <w:tcW w:w="3407" w:type="dxa"/>
            <w:tcBorders>
              <w:top w:val="nil"/>
              <w:bottom w:val="nil"/>
            </w:tcBorders>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rPr>
              <w:t>0.0014555100</w:t>
            </w:r>
          </w:p>
        </w:tc>
      </w:tr>
      <w:tr w:rsidR="00094AD1" w:rsidRPr="006159A2" w:rsidTr="00094AD1">
        <w:trPr>
          <w:jc w:val="center"/>
        </w:trPr>
        <w:tc>
          <w:tcPr>
            <w:tcW w:w="1661" w:type="dxa"/>
            <w:tcBorders>
              <w:top w:val="nil"/>
            </w:tcBorders>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rPr>
              <w:t>Fe2</w:t>
            </w:r>
          </w:p>
        </w:tc>
        <w:tc>
          <w:tcPr>
            <w:tcW w:w="1579" w:type="dxa"/>
            <w:tcBorders>
              <w:top w:val="nil"/>
            </w:tcBorders>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eastAsia="en-GB"/>
              </w:rPr>
              <w:t>25 %</w:t>
            </w:r>
          </w:p>
        </w:tc>
        <w:tc>
          <w:tcPr>
            <w:tcW w:w="3407" w:type="dxa"/>
            <w:tcBorders>
              <w:top w:val="nil"/>
            </w:tcBorders>
            <w:shd w:val="clear" w:color="auto" w:fill="auto"/>
            <w:vAlign w:val="bottom"/>
          </w:tcPr>
          <w:p w:rsidR="00094AD1" w:rsidRPr="006159A2" w:rsidRDefault="00094AD1" w:rsidP="00094AD1">
            <w:pPr>
              <w:tabs>
                <w:tab w:val="center" w:pos="4536"/>
                <w:tab w:val="right" w:pos="9072"/>
              </w:tabs>
              <w:spacing w:line="240" w:lineRule="auto"/>
              <w:rPr>
                <w:sz w:val="20"/>
                <w:lang w:val="en-GB"/>
              </w:rPr>
            </w:pPr>
            <w:r w:rsidRPr="006159A2">
              <w:rPr>
                <w:sz w:val="20"/>
                <w:lang w:val="en-GB"/>
              </w:rPr>
              <w:t>0.0003638775</w:t>
            </w:r>
          </w:p>
        </w:tc>
      </w:tr>
      <w:tr w:rsidR="00094AD1" w:rsidRPr="006159A2" w:rsidTr="00094AD1">
        <w:trPr>
          <w:jc w:val="center"/>
        </w:trPr>
        <w:tc>
          <w:tcPr>
            <w:tcW w:w="1661" w:type="dxa"/>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rPr>
              <w:t>Fe3</w:t>
            </w:r>
          </w:p>
        </w:tc>
        <w:tc>
          <w:tcPr>
            <w:tcW w:w="1579" w:type="dxa"/>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eastAsia="en-GB"/>
              </w:rPr>
              <w:t>6.25 %</w:t>
            </w:r>
          </w:p>
        </w:tc>
        <w:tc>
          <w:tcPr>
            <w:tcW w:w="3407" w:type="dxa"/>
            <w:shd w:val="clear" w:color="auto" w:fill="auto"/>
            <w:vAlign w:val="bottom"/>
          </w:tcPr>
          <w:p w:rsidR="00094AD1" w:rsidRPr="006159A2" w:rsidRDefault="00094AD1" w:rsidP="00094AD1">
            <w:pPr>
              <w:tabs>
                <w:tab w:val="center" w:pos="4536"/>
                <w:tab w:val="right" w:pos="9072"/>
              </w:tabs>
              <w:spacing w:line="240" w:lineRule="auto"/>
              <w:rPr>
                <w:sz w:val="20"/>
                <w:lang w:val="en-GB"/>
              </w:rPr>
            </w:pPr>
            <w:r w:rsidRPr="006159A2">
              <w:rPr>
                <w:sz w:val="20"/>
                <w:lang w:val="en-GB"/>
              </w:rPr>
              <w:t>0.0000909694</w:t>
            </w:r>
          </w:p>
        </w:tc>
      </w:tr>
      <w:tr w:rsidR="00094AD1" w:rsidRPr="006159A2" w:rsidTr="00094AD1">
        <w:trPr>
          <w:jc w:val="center"/>
        </w:trPr>
        <w:tc>
          <w:tcPr>
            <w:tcW w:w="1661" w:type="dxa"/>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rPr>
              <w:t>Fe4</w:t>
            </w:r>
          </w:p>
        </w:tc>
        <w:tc>
          <w:tcPr>
            <w:tcW w:w="1579" w:type="dxa"/>
            <w:shd w:val="clear" w:color="auto" w:fill="auto"/>
          </w:tcPr>
          <w:p w:rsidR="00094AD1" w:rsidRPr="006159A2" w:rsidRDefault="00094AD1" w:rsidP="00094AD1">
            <w:pPr>
              <w:tabs>
                <w:tab w:val="center" w:pos="4536"/>
                <w:tab w:val="right" w:pos="9072"/>
              </w:tabs>
              <w:spacing w:line="240" w:lineRule="auto"/>
              <w:rPr>
                <w:sz w:val="20"/>
                <w:lang w:val="en-GB"/>
              </w:rPr>
            </w:pPr>
            <w:r w:rsidRPr="006159A2">
              <w:rPr>
                <w:sz w:val="20"/>
                <w:lang w:val="en-GB" w:eastAsia="en-GB"/>
              </w:rPr>
              <w:t>0.156 %</w:t>
            </w:r>
          </w:p>
        </w:tc>
        <w:tc>
          <w:tcPr>
            <w:tcW w:w="3407" w:type="dxa"/>
            <w:shd w:val="clear" w:color="auto" w:fill="auto"/>
            <w:vAlign w:val="bottom"/>
          </w:tcPr>
          <w:p w:rsidR="00094AD1" w:rsidRPr="006159A2" w:rsidRDefault="00094AD1" w:rsidP="00094AD1">
            <w:pPr>
              <w:tabs>
                <w:tab w:val="center" w:pos="4536"/>
                <w:tab w:val="right" w:pos="9072"/>
              </w:tabs>
              <w:spacing w:line="240" w:lineRule="auto"/>
              <w:rPr>
                <w:sz w:val="20"/>
                <w:lang w:val="en-GB"/>
              </w:rPr>
            </w:pPr>
            <w:r w:rsidRPr="006159A2">
              <w:rPr>
                <w:sz w:val="20"/>
                <w:lang w:val="en-GB"/>
              </w:rPr>
              <w:t>0.0000227423</w:t>
            </w:r>
          </w:p>
        </w:tc>
      </w:tr>
      <w:tr w:rsidR="00094AD1" w:rsidRPr="006159A2" w:rsidTr="00094AD1">
        <w:trPr>
          <w:jc w:val="center"/>
        </w:trPr>
        <w:tc>
          <w:tcPr>
            <w:tcW w:w="1661" w:type="dxa"/>
            <w:shd w:val="clear" w:color="auto" w:fill="auto"/>
          </w:tcPr>
          <w:p w:rsidR="00094AD1" w:rsidRPr="006159A2" w:rsidRDefault="00094AD1" w:rsidP="00094AD1">
            <w:pPr>
              <w:tabs>
                <w:tab w:val="center" w:pos="4536"/>
                <w:tab w:val="right" w:pos="9072"/>
              </w:tabs>
              <w:spacing w:line="240" w:lineRule="auto"/>
              <w:rPr>
                <w:sz w:val="20"/>
                <w:lang w:val="en-GB"/>
              </w:rPr>
            </w:pPr>
          </w:p>
        </w:tc>
        <w:tc>
          <w:tcPr>
            <w:tcW w:w="1579" w:type="dxa"/>
            <w:shd w:val="clear" w:color="auto" w:fill="auto"/>
          </w:tcPr>
          <w:p w:rsidR="00094AD1" w:rsidRPr="006159A2" w:rsidRDefault="00094AD1" w:rsidP="00094AD1">
            <w:pPr>
              <w:tabs>
                <w:tab w:val="center" w:pos="4536"/>
                <w:tab w:val="right" w:pos="9072"/>
              </w:tabs>
              <w:spacing w:line="240" w:lineRule="auto"/>
              <w:rPr>
                <w:sz w:val="20"/>
                <w:lang w:val="en-GB"/>
              </w:rPr>
            </w:pPr>
          </w:p>
        </w:tc>
        <w:tc>
          <w:tcPr>
            <w:tcW w:w="3407" w:type="dxa"/>
            <w:shd w:val="clear" w:color="auto" w:fill="auto"/>
          </w:tcPr>
          <w:p w:rsidR="00094AD1" w:rsidRPr="006159A2" w:rsidRDefault="00094AD1" w:rsidP="00094AD1">
            <w:pPr>
              <w:tabs>
                <w:tab w:val="center" w:pos="4536"/>
                <w:tab w:val="right" w:pos="9072"/>
              </w:tabs>
              <w:spacing w:line="240" w:lineRule="auto"/>
              <w:rPr>
                <w:sz w:val="20"/>
                <w:lang w:val="en-GB"/>
              </w:rPr>
            </w:pPr>
          </w:p>
        </w:tc>
      </w:tr>
    </w:tbl>
    <w:p w:rsidR="00094AD1" w:rsidRPr="006159A2" w:rsidRDefault="00094AD1" w:rsidP="00094AD1">
      <w:pPr>
        <w:rPr>
          <w:lang w:val="en-GB"/>
        </w:rPr>
      </w:pPr>
    </w:p>
    <w:p w:rsidR="00264620" w:rsidRPr="006159A2" w:rsidRDefault="00264620" w:rsidP="00264620">
      <w:pPr>
        <w:rPr>
          <w:i/>
          <w:lang w:val="en-GB"/>
        </w:rPr>
      </w:pPr>
      <w:r w:rsidRPr="006159A2">
        <w:rPr>
          <w:i/>
          <w:lang w:val="en-GB"/>
        </w:rPr>
        <w:t xml:space="preserve">(i) Impact of the water-soluble iron content on the </w:t>
      </w:r>
      <w:r w:rsidRPr="006159A2">
        <w:rPr>
          <w:i/>
          <w:lang w:val="en-GB" w:eastAsia="en-GB"/>
        </w:rPr>
        <w:t>HO</w:t>
      </w:r>
      <w:r w:rsidRPr="006159A2">
        <w:rPr>
          <w:i/>
          <w:vertAlign w:val="subscript"/>
          <w:lang w:val="en-GB" w:eastAsia="en-GB"/>
        </w:rPr>
        <w:t>x</w:t>
      </w:r>
      <w:r w:rsidRPr="006159A2">
        <w:rPr>
          <w:i/>
          <w:lang w:val="en-GB" w:eastAsia="en-GB"/>
        </w:rPr>
        <w:t xml:space="preserve"> /HO</w:t>
      </w:r>
      <w:r w:rsidRPr="006159A2">
        <w:rPr>
          <w:i/>
          <w:vertAlign w:val="subscript"/>
          <w:lang w:val="en-GB" w:eastAsia="en-GB"/>
        </w:rPr>
        <w:t>y</w:t>
      </w:r>
      <w:r w:rsidRPr="006159A2">
        <w:rPr>
          <w:i/>
          <w:lang w:val="en-GB" w:eastAsia="en-GB"/>
        </w:rPr>
        <w:t xml:space="preserve"> budget</w:t>
      </w:r>
    </w:p>
    <w:p w:rsidR="00264620" w:rsidRPr="006159A2" w:rsidRDefault="002C3E97" w:rsidP="00264620">
      <w:pPr>
        <w:jc w:val="both"/>
        <w:rPr>
          <w:lang w:val="en-GB" w:eastAsia="en-GB"/>
        </w:rPr>
      </w:pPr>
      <w:r w:rsidRPr="006159A2">
        <w:rPr>
          <w:lang w:val="en-GB" w:eastAsia="en-GB"/>
        </w:rPr>
        <w:t>Th</w:t>
      </w:r>
      <w:r w:rsidR="00264620" w:rsidRPr="006159A2">
        <w:rPr>
          <w:lang w:val="en-GB" w:eastAsia="en-GB"/>
        </w:rPr>
        <w:t>e water-soluble iron in tropospheric particles is a crucial parameter for a number of aqueous</w:t>
      </w:r>
      <w:r w:rsidR="00264620" w:rsidRPr="006159A2">
        <w:rPr>
          <w:lang w:val="en-GB" w:eastAsia="en-GB"/>
        </w:rPr>
        <w:noBreakHyphen/>
        <w:t>phase processes (see review by Deguillaume et al. 2005 for further details). T</w:t>
      </w:r>
      <w:r w:rsidR="00264620" w:rsidRPr="006159A2">
        <w:rPr>
          <w:lang w:val="en-GB"/>
        </w:rPr>
        <w:t>he reaction flux analyses in present study have shown that the Fenton reaction can act as an important in</w:t>
      </w:r>
      <w:r w:rsidR="00264620" w:rsidRPr="006159A2">
        <w:rPr>
          <w:lang w:val="en-GB"/>
        </w:rPr>
        <w:noBreakHyphen/>
        <w:t xml:space="preserve">situ OH radical source in deliquescent particles, leading to an effective degradation of organic compounds. To </w:t>
      </w:r>
      <w:r w:rsidR="00264620" w:rsidRPr="006159A2">
        <w:rPr>
          <w:lang w:val="en-GB" w:eastAsia="en-GB"/>
        </w:rPr>
        <w:t>study the sensitivity of the multiphase chemistry to the available water-soluble iron content in more detail, simulations were performed for the urban case with different concentrations of water-soluble iron. The initialised water-soluble iron fraction of the base case (referred as Fe1) is scaled down by 1/4 (Fe2), 1/16 (Fe3) and 1/64 (Fe4), respectively (Tab. S6 for details). It is noted that</w:t>
      </w:r>
      <w:r w:rsidR="00264620" w:rsidRPr="006159A2">
        <w:rPr>
          <w:lang w:val="en-GB"/>
        </w:rPr>
        <w:t xml:space="preserve"> water-soluble iron concentrations vary dramatically in the troposphere, ranging from about 0.01 and up to few hundred µM</w:t>
      </w:r>
      <w:r w:rsidR="00264620" w:rsidRPr="006159A2">
        <w:rPr>
          <w:vertAlign w:val="superscript"/>
          <w:lang w:val="en-GB"/>
        </w:rPr>
        <w:t>-1</w:t>
      </w:r>
      <w:r w:rsidR="00264620" w:rsidRPr="006159A2">
        <w:rPr>
          <w:lang w:val="en-GB"/>
        </w:rPr>
        <w:t xml:space="preserve"> in polluted areas (see </w:t>
      </w:r>
      <w:r w:rsidR="00264620" w:rsidRPr="006159A2">
        <w:rPr>
          <w:lang w:val="en-GB" w:eastAsia="en-GB"/>
        </w:rPr>
        <w:t xml:space="preserve">Deguillaume et al. 2005 </w:t>
      </w:r>
      <w:r w:rsidR="00264620" w:rsidRPr="006159A2">
        <w:rPr>
          <w:lang w:val="en-GB"/>
        </w:rPr>
        <w:t xml:space="preserve">for details). </w:t>
      </w:r>
      <w:r w:rsidR="00264620" w:rsidRPr="006159A2">
        <w:rPr>
          <w:lang w:val="en-GB" w:eastAsia="en-GB"/>
        </w:rPr>
        <w:t>The corresponding in-cloud soluble iron concentrations for the case Fe1 and Fe4 cover with approximately 2 </w:t>
      </w:r>
      <w:r w:rsidR="00264620" w:rsidRPr="006159A2">
        <w:rPr>
          <w:lang w:val="en-GB"/>
        </w:rPr>
        <w:t>µM</w:t>
      </w:r>
      <w:r w:rsidR="00264620" w:rsidRPr="006159A2">
        <w:rPr>
          <w:vertAlign w:val="superscript"/>
          <w:lang w:val="en-GB"/>
        </w:rPr>
        <w:t>-1</w:t>
      </w:r>
      <w:r w:rsidR="00264620" w:rsidRPr="006159A2">
        <w:rPr>
          <w:lang w:val="en-GB"/>
        </w:rPr>
        <w:t xml:space="preserve"> </w:t>
      </w:r>
      <w:r w:rsidR="00264620" w:rsidRPr="006159A2">
        <w:rPr>
          <w:lang w:val="en-GB" w:eastAsia="en-GB"/>
        </w:rPr>
        <w:t>and 0.03 µM</w:t>
      </w:r>
      <w:r w:rsidR="00264620" w:rsidRPr="006159A2">
        <w:rPr>
          <w:vertAlign w:val="superscript"/>
          <w:lang w:val="en-GB" w:eastAsia="en-GB"/>
        </w:rPr>
        <w:t>-1</w:t>
      </w:r>
      <w:r w:rsidR="00264620" w:rsidRPr="006159A2">
        <w:rPr>
          <w:lang w:val="en-GB" w:eastAsia="en-GB"/>
        </w:rPr>
        <w:t>, typical values for continental tropospheric regimes. The studies have been particularly focused on the HO</w:t>
      </w:r>
      <w:r w:rsidR="00264620" w:rsidRPr="006159A2">
        <w:rPr>
          <w:vertAlign w:val="subscript"/>
          <w:lang w:val="en-GB" w:eastAsia="en-GB"/>
        </w:rPr>
        <w:t>x</w:t>
      </w:r>
      <w:r w:rsidR="00264620" w:rsidRPr="006159A2">
        <w:rPr>
          <w:lang w:val="en-GB" w:eastAsia="en-GB"/>
        </w:rPr>
        <w:t>/HO</w:t>
      </w:r>
      <w:r w:rsidR="00264620" w:rsidRPr="006159A2">
        <w:rPr>
          <w:vertAlign w:val="subscript"/>
          <w:lang w:val="en-GB" w:eastAsia="en-GB"/>
        </w:rPr>
        <w:t>y</w:t>
      </w:r>
      <w:r w:rsidR="00264620" w:rsidRPr="006159A2">
        <w:rPr>
          <w:lang w:val="en-GB" w:eastAsia="en-GB"/>
        </w:rPr>
        <w:t xml:space="preserve"> budget effects and its feedback on the multiphase organic C</w:t>
      </w:r>
      <w:r w:rsidR="00264620" w:rsidRPr="006159A2">
        <w:rPr>
          <w:vertAlign w:val="subscript"/>
          <w:lang w:val="en-GB" w:eastAsia="en-GB"/>
        </w:rPr>
        <w:t>2</w:t>
      </w:r>
      <w:r w:rsidR="00264620" w:rsidRPr="006159A2">
        <w:rPr>
          <w:lang w:val="en-GB" w:eastAsia="en-GB"/>
        </w:rPr>
        <w:t xml:space="preserve"> chemistry. These two chemical subsystems have been chosen due to their close link to the TMI chemistry currently implemented in CAPRAM 3.0i.</w:t>
      </w:r>
    </w:p>
    <w:p w:rsidR="00264620" w:rsidRPr="006159A2" w:rsidRDefault="00264620" w:rsidP="00264620">
      <w:pPr>
        <w:jc w:val="both"/>
        <w:rPr>
          <w:color w:val="3366FF"/>
          <w:lang w:val="en-GB"/>
        </w:rPr>
      </w:pPr>
      <w:r w:rsidRPr="006159A2">
        <w:rPr>
          <w:lang w:val="en-GB"/>
        </w:rPr>
        <w:t>Apart from H</w:t>
      </w:r>
      <w:r w:rsidRPr="006159A2">
        <w:rPr>
          <w:vertAlign w:val="subscript"/>
          <w:lang w:val="en-GB"/>
        </w:rPr>
        <w:t>2</w:t>
      </w:r>
      <w:r w:rsidRPr="006159A2">
        <w:rPr>
          <w:lang w:val="en-GB"/>
        </w:rPr>
        <w:t>O</w:t>
      </w:r>
      <w:r w:rsidRPr="006159A2">
        <w:rPr>
          <w:vertAlign w:val="subscript"/>
          <w:lang w:val="en-GB"/>
        </w:rPr>
        <w:t>2</w:t>
      </w:r>
      <w:r w:rsidRPr="006159A2">
        <w:rPr>
          <w:lang w:val="en-GB"/>
        </w:rPr>
        <w:t>, the sensitivity studies show almost insignificant effects of the different iron contents on the gas</w:t>
      </w:r>
      <w:r w:rsidRPr="006159A2">
        <w:rPr>
          <w:lang w:val="en-GB"/>
        </w:rPr>
        <w:noBreakHyphen/>
        <w:t>phase oxidant levels. However, significant differences become apparent in the aqueous phase predominantly for the oxidants OH, HO</w:t>
      </w:r>
      <w:r w:rsidRPr="006159A2">
        <w:rPr>
          <w:vertAlign w:val="subscript"/>
          <w:lang w:val="en-GB"/>
        </w:rPr>
        <w:t>2</w:t>
      </w:r>
      <w:r w:rsidRPr="006159A2">
        <w:rPr>
          <w:lang w:val="en-GB"/>
        </w:rPr>
        <w:t>/O</w:t>
      </w:r>
      <w:r w:rsidRPr="006159A2">
        <w:rPr>
          <w:vertAlign w:val="subscript"/>
          <w:lang w:val="en-GB"/>
        </w:rPr>
        <w:t>2</w:t>
      </w:r>
      <w:r w:rsidRPr="006159A2">
        <w:rPr>
          <w:vertAlign w:val="superscript"/>
          <w:lang w:val="en-GB"/>
        </w:rPr>
        <w:t>-</w:t>
      </w:r>
      <w:r w:rsidRPr="006159A2">
        <w:rPr>
          <w:lang w:val="en-GB"/>
        </w:rPr>
        <w:t xml:space="preserve"> and H</w:t>
      </w:r>
      <w:r w:rsidRPr="006159A2">
        <w:rPr>
          <w:vertAlign w:val="subscript"/>
          <w:lang w:val="en-GB"/>
        </w:rPr>
        <w:t>2</w:t>
      </w:r>
      <w:r w:rsidRPr="006159A2">
        <w:rPr>
          <w:lang w:val="en-GB"/>
        </w:rPr>
        <w:t>O</w:t>
      </w:r>
      <w:r w:rsidRPr="006159A2">
        <w:rPr>
          <w:vertAlign w:val="subscript"/>
          <w:lang w:val="en-GB"/>
        </w:rPr>
        <w:t xml:space="preserve">2 </w:t>
      </w:r>
      <w:r w:rsidRPr="006159A2">
        <w:rPr>
          <w:lang w:val="en-GB"/>
        </w:rPr>
        <w:t>(see Fig. </w:t>
      </w:r>
      <w:r w:rsidR="00160EE9" w:rsidRPr="006159A2">
        <w:rPr>
          <w:lang w:val="en-GB"/>
        </w:rPr>
        <w:t>S16</w:t>
      </w:r>
      <w:r w:rsidRPr="006159A2">
        <w:rPr>
          <w:lang w:val="en-GB"/>
        </w:rPr>
        <w:t xml:space="preserve"> and Fig. S</w:t>
      </w:r>
      <w:r w:rsidR="00160EE9" w:rsidRPr="006159A2">
        <w:rPr>
          <w:lang w:val="en-GB"/>
        </w:rPr>
        <w:t>17</w:t>
      </w:r>
      <w:r w:rsidRPr="006159A2">
        <w:rPr>
          <w:lang w:val="en-GB"/>
        </w:rPr>
        <w:t xml:space="preserve">). </w:t>
      </w:r>
      <w:r w:rsidR="003A6A00" w:rsidRPr="006159A2">
        <w:rPr>
          <w:lang w:val="en-GB"/>
        </w:rPr>
        <w:t xml:space="preserve">This only means that the change in the </w:t>
      </w:r>
      <w:r w:rsidR="00A47908" w:rsidRPr="006159A2">
        <w:rPr>
          <w:lang w:val="en-GB"/>
        </w:rPr>
        <w:t>amount of the iron content does not affect significantly</w:t>
      </w:r>
      <w:r w:rsidR="003A6A00" w:rsidRPr="006159A2">
        <w:rPr>
          <w:lang w:val="en-GB"/>
        </w:rPr>
        <w:t xml:space="preserve"> </w:t>
      </w:r>
      <w:r w:rsidR="00A47908" w:rsidRPr="006159A2">
        <w:rPr>
          <w:lang w:val="en-GB"/>
        </w:rPr>
        <w:t xml:space="preserve">the </w:t>
      </w:r>
      <w:r w:rsidR="003A6A00" w:rsidRPr="006159A2">
        <w:rPr>
          <w:lang w:val="en-GB"/>
        </w:rPr>
        <w:t>gas phase concentration budget of the oxidants</w:t>
      </w:r>
      <w:r w:rsidR="00834072" w:rsidRPr="006159A2">
        <w:rPr>
          <w:lang w:val="en-GB"/>
        </w:rPr>
        <w:t xml:space="preserve"> due to increased or decreased phase transfer</w:t>
      </w:r>
      <w:r w:rsidR="003A6A00" w:rsidRPr="006159A2">
        <w:rPr>
          <w:lang w:val="en-GB"/>
        </w:rPr>
        <w:t xml:space="preserve">. </w:t>
      </w:r>
      <w:r w:rsidR="00834072" w:rsidRPr="006159A2">
        <w:rPr>
          <w:lang w:val="en-GB"/>
        </w:rPr>
        <w:t>However</w:t>
      </w:r>
      <w:r w:rsidR="003A6A00" w:rsidRPr="006159A2">
        <w:rPr>
          <w:lang w:val="en-GB"/>
        </w:rPr>
        <w:t xml:space="preserve">, the results reveal that aqueous phase </w:t>
      </w:r>
      <w:r w:rsidR="00D44236" w:rsidRPr="006159A2">
        <w:rPr>
          <w:lang w:val="en-GB"/>
        </w:rPr>
        <w:t>turnovers (sources and sinks)</w:t>
      </w:r>
      <w:r w:rsidR="003A6A00" w:rsidRPr="006159A2">
        <w:rPr>
          <w:lang w:val="en-GB"/>
        </w:rPr>
        <w:t xml:space="preserve"> of HO</w:t>
      </w:r>
      <w:r w:rsidR="003A6A00" w:rsidRPr="006159A2">
        <w:rPr>
          <w:vertAlign w:val="subscript"/>
          <w:lang w:val="en-GB"/>
        </w:rPr>
        <w:t>x</w:t>
      </w:r>
      <w:r w:rsidR="003A6A00" w:rsidRPr="006159A2">
        <w:rPr>
          <w:lang w:val="en-GB"/>
        </w:rPr>
        <w:t xml:space="preserve"> radicals are affected by the TMI-chemistry</w:t>
      </w:r>
      <w:r w:rsidR="00D44236" w:rsidRPr="006159A2">
        <w:rPr>
          <w:lang w:val="en-GB"/>
        </w:rPr>
        <w:t xml:space="preserve"> (see below)</w:t>
      </w:r>
      <w:r w:rsidR="003A6A00" w:rsidRPr="006159A2">
        <w:rPr>
          <w:lang w:val="en-GB"/>
        </w:rPr>
        <w:t>.</w:t>
      </w:r>
      <w:r w:rsidR="003A6A00" w:rsidRPr="006159A2">
        <w:rPr>
          <w:color w:val="3366FF"/>
          <w:lang w:val="en-GB"/>
        </w:rPr>
        <w:t xml:space="preserve">  </w:t>
      </w:r>
    </w:p>
    <w:p w:rsidR="00264620" w:rsidRPr="006159A2" w:rsidRDefault="00264620" w:rsidP="00264620">
      <w:pPr>
        <w:jc w:val="both"/>
        <w:rPr>
          <w:lang w:val="en-GB"/>
        </w:rPr>
      </w:pPr>
      <w:r w:rsidRPr="006159A2">
        <w:rPr>
          <w:lang w:val="en-GB"/>
        </w:rPr>
        <w:lastRenderedPageBreak/>
        <w:t>For the OH radical, reductions of its aqueous radical budget are noticeable particularly under deliquescent particle daytime conditions. The modelled concentrations in the Fe4 case are about 75% smaller (after 64 h) compared to the base case Fe1. The flux investigations of the Fe3 case (see Fig. S</w:t>
      </w:r>
      <w:r w:rsidR="00160EE9" w:rsidRPr="006159A2">
        <w:rPr>
          <w:lang w:val="en-GB"/>
        </w:rPr>
        <w:t>18</w:t>
      </w:r>
      <w:r w:rsidRPr="006159A2">
        <w:rPr>
          <w:lang w:val="en-GB"/>
        </w:rPr>
        <w:t>) reveal considerable decreases of both source and sink fluxes in the deliquescent particles. In comparison to the respective flux analysis of the Fe1 case, the Fe3 case shows a changed source flux pattern. In contrast to the base case, the maximum total formation flux in the deliquescent particles is with a value of 1.6·10</w:t>
      </w:r>
      <w:r w:rsidRPr="006159A2">
        <w:rPr>
          <w:vertAlign w:val="superscript"/>
          <w:lang w:val="en-GB"/>
        </w:rPr>
        <w:noBreakHyphen/>
        <w:t>12</w:t>
      </w:r>
      <w:r w:rsidRPr="006159A2">
        <w:rPr>
          <w:lang w:val="en-GB"/>
        </w:rPr>
        <w:t> mol m</w:t>
      </w:r>
      <w:r w:rsidRPr="006159A2">
        <w:rPr>
          <w:vertAlign w:val="superscript"/>
          <w:lang w:val="en-GB"/>
        </w:rPr>
        <w:noBreakHyphen/>
        <w:t>3</w:t>
      </w:r>
      <w:r w:rsidRPr="006159A2">
        <w:rPr>
          <w:lang w:val="en-GB"/>
        </w:rPr>
        <w:t> s</w:t>
      </w:r>
      <w:r w:rsidRPr="006159A2">
        <w:rPr>
          <w:vertAlign w:val="superscript"/>
          <w:lang w:val="en-GB"/>
        </w:rPr>
        <w:noBreakHyphen/>
        <w:t>1</w:t>
      </w:r>
      <w:r w:rsidRPr="006159A2">
        <w:rPr>
          <w:lang w:val="en-GB"/>
        </w:rPr>
        <w:t> about 50% smaller than respective flux in the Fe1 case. Moreover, other reactions such as the Fenton reaction with copper become more important. Contrary, the contribution of the iron Fenton reaction, the main source in the base case, is noticeably lowered. Other OH formation reactions are not able to compensate the reduction of the iron Fenton reaction flux. Due to the reduced OH formation potential in the deliquescent particles, OH driven oxidations are sub</w:t>
      </w:r>
      <w:r w:rsidR="00452F32" w:rsidRPr="006159A2">
        <w:rPr>
          <w:lang w:val="en-GB"/>
        </w:rPr>
        <w:t>sequent</w:t>
      </w:r>
      <w:r w:rsidRPr="006159A2">
        <w:rPr>
          <w:lang w:val="en-GB"/>
        </w:rPr>
        <w:t>ly decreased. In contrast to the deliquescent particle conditions, just small differences become obvious under cloud conditions where the gas</w:t>
      </w:r>
      <w:r w:rsidRPr="006159A2">
        <w:rPr>
          <w:lang w:val="en-GB"/>
        </w:rPr>
        <w:noBreakHyphen/>
        <w:t>phase uptake is still the dominant OH source. The in</w:t>
      </w:r>
      <w:r w:rsidRPr="006159A2">
        <w:rPr>
          <w:lang w:val="en-GB"/>
        </w:rPr>
        <w:noBreakHyphen/>
        <w:t>cloud production and destruction fluxes are almost equal. An analogous picture can also be obtained for the in</w:t>
      </w:r>
      <w:r w:rsidRPr="006159A2">
        <w:rPr>
          <w:lang w:val="en-GB"/>
        </w:rPr>
        <w:noBreakHyphen/>
        <w:t>cloud oxidation fluxes.</w:t>
      </w:r>
    </w:p>
    <w:p w:rsidR="00264620" w:rsidRPr="006159A2" w:rsidRDefault="00264620" w:rsidP="00264620">
      <w:pPr>
        <w:jc w:val="both"/>
        <w:rPr>
          <w:lang w:val="en-GB"/>
        </w:rPr>
      </w:pPr>
      <w:r w:rsidRPr="006159A2">
        <w:rPr>
          <w:lang w:val="en-GB"/>
        </w:rPr>
        <w:t>Opposite effects can be observed for H</w:t>
      </w:r>
      <w:r w:rsidRPr="006159A2">
        <w:rPr>
          <w:vertAlign w:val="subscript"/>
          <w:lang w:val="en-GB"/>
        </w:rPr>
        <w:t>2</w:t>
      </w:r>
      <w:r w:rsidRPr="006159A2">
        <w:rPr>
          <w:lang w:val="en-GB"/>
        </w:rPr>
        <w:t>O</w:t>
      </w:r>
      <w:r w:rsidRPr="006159A2">
        <w:rPr>
          <w:vertAlign w:val="subscript"/>
          <w:lang w:val="en-GB"/>
        </w:rPr>
        <w:t>2</w:t>
      </w:r>
      <w:r w:rsidRPr="006159A2">
        <w:rPr>
          <w:lang w:val="en-GB"/>
        </w:rPr>
        <w:t>. Because of the reduced water</w:t>
      </w:r>
      <w:r w:rsidRPr="006159A2">
        <w:rPr>
          <w:lang w:val="en-GB"/>
        </w:rPr>
        <w:noBreakHyphen/>
        <w:t>soluble iron content and the less effective Fenton chemistry, the multiphase budget of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is decreased to a less</w:t>
      </w:r>
      <w:r w:rsidR="00276504" w:rsidRPr="006159A2">
        <w:rPr>
          <w:lang w:val="en-GB"/>
        </w:rPr>
        <w:t>er</w:t>
      </w:r>
      <w:r w:rsidRPr="006159A2">
        <w:rPr>
          <w:lang w:val="en-GB"/>
        </w:rPr>
        <w:t xml:space="preserve"> extent. The relevance of the aqueous</w:t>
      </w:r>
      <w:r w:rsidRPr="006159A2">
        <w:rPr>
          <w:lang w:val="en-GB"/>
        </w:rPr>
        <w:noBreakHyphen/>
        <w:t>phase chemistry for the multiphase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budget and the efficient phase transfer of H</w:t>
      </w:r>
      <w:r w:rsidRPr="006159A2">
        <w:rPr>
          <w:vertAlign w:val="subscript"/>
          <w:lang w:val="en-GB"/>
        </w:rPr>
        <w:t>2</w:t>
      </w:r>
      <w:r w:rsidRPr="006159A2">
        <w:rPr>
          <w:lang w:val="en-GB"/>
        </w:rPr>
        <w:t>O</w:t>
      </w:r>
      <w:r w:rsidRPr="006159A2">
        <w:rPr>
          <w:vertAlign w:val="subscript"/>
          <w:lang w:val="en-GB"/>
        </w:rPr>
        <w:t>2</w:t>
      </w:r>
      <w:r w:rsidRPr="006159A2">
        <w:rPr>
          <w:lang w:val="en-GB"/>
        </w:rPr>
        <w:t>, leads also to a noticeable chemical feedback on the gas concentrations (see Fig. S</w:t>
      </w:r>
      <w:r w:rsidR="00160EE9" w:rsidRPr="006159A2">
        <w:rPr>
          <w:lang w:val="en-GB"/>
        </w:rPr>
        <w:t>17</w:t>
      </w:r>
      <w:r w:rsidRPr="006159A2">
        <w:rPr>
          <w:lang w:val="en-GB"/>
        </w:rPr>
        <w:t>). Consequently, the less efficient iron chemistry and the higher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cause an increase in the efficiency of other oxidation processes such as the S(IV) to S(VI) conversion. In the Fe4 case, the indirect effect of the iron redox chemistry leads to approximately 20% higher S(VI) concentrations at the end of the simulation time compared to the Fe1 case (see Fig. S</w:t>
      </w:r>
      <w:r w:rsidR="00160EE9" w:rsidRPr="006159A2">
        <w:rPr>
          <w:lang w:val="en-GB"/>
        </w:rPr>
        <w:t>17</w:t>
      </w:r>
      <w:r w:rsidRPr="006159A2">
        <w:rPr>
          <w:lang w:val="en-GB"/>
        </w:rPr>
        <w:t>). This result demonstrates the importance of iron</w:t>
      </w:r>
      <w:r w:rsidRPr="006159A2">
        <w:rPr>
          <w:lang w:val="en-GB"/>
        </w:rPr>
        <w:noBreakHyphen/>
        <w:t>redox chemistry for an adequate sulphur oxidation and lifetime modelling. Models without an adequate aqueous</w:t>
      </w:r>
      <w:r w:rsidRPr="006159A2">
        <w:rPr>
          <w:lang w:val="en-GB"/>
        </w:rPr>
        <w:noBreakHyphen/>
        <w:t>phase iron chemistry representation could presumably tend to an overestimation of the S(IV) to S(VI) conversion (i.e., the S(IV) removal) due to overestimations in the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levels. </w:t>
      </w:r>
    </w:p>
    <w:p w:rsidR="00264620" w:rsidRPr="006159A2" w:rsidRDefault="00264620" w:rsidP="00264620"/>
    <w:p w:rsidR="00264620" w:rsidRPr="006159A2" w:rsidRDefault="00E0710A" w:rsidP="00094AD1">
      <w:pPr>
        <w:jc w:val="center"/>
      </w:pPr>
      <w:r>
        <w:rPr>
          <w:noProof/>
          <w:lang w:eastAsia="en-US"/>
        </w:rPr>
        <w:lastRenderedPageBreak/>
        <w:drawing>
          <wp:inline distT="0" distB="0" distL="0" distR="0">
            <wp:extent cx="5274945" cy="6871335"/>
            <wp:effectExtent l="0" t="0" r="1905" b="0"/>
            <wp:docPr id="118" name="Bild 96" descr="Beschreibung: FIG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descr="Beschreibung: FIG_19"/>
                    <pic:cNvPicPr>
                      <a:picLocks noChangeAspect="1" noChangeArrowheads="1"/>
                    </pic:cNvPicPr>
                  </pic:nvPicPr>
                  <pic:blipFill>
                    <a:blip r:embed="rId30"/>
                    <a:srcRect/>
                    <a:stretch>
                      <a:fillRect/>
                    </a:stretch>
                  </pic:blipFill>
                  <pic:spPr bwMode="auto">
                    <a:xfrm>
                      <a:off x="0" y="0"/>
                      <a:ext cx="5274945" cy="6871335"/>
                    </a:xfrm>
                    <a:prstGeom prst="rect">
                      <a:avLst/>
                    </a:prstGeom>
                    <a:noFill/>
                    <a:ln w="9525">
                      <a:noFill/>
                      <a:miter lim="800000"/>
                      <a:headEnd/>
                      <a:tailEnd/>
                    </a:ln>
                  </pic:spPr>
                </pic:pic>
              </a:graphicData>
            </a:graphic>
          </wp:inline>
        </w:drawing>
      </w:r>
    </w:p>
    <w:p w:rsidR="00264620" w:rsidRPr="006159A2" w:rsidRDefault="00264620" w:rsidP="00264620">
      <w:pPr>
        <w:pStyle w:val="figlegend"/>
        <w:tabs>
          <w:tab w:val="left" w:pos="993"/>
        </w:tabs>
        <w:jc w:val="both"/>
        <w:rPr>
          <w:lang w:val="en-GB"/>
        </w:rPr>
      </w:pPr>
      <w:r w:rsidRPr="006159A2">
        <w:rPr>
          <w:b/>
          <w:lang w:val="en-GB"/>
        </w:rPr>
        <w:t>Fig. S1</w:t>
      </w:r>
      <w:r w:rsidR="00F2384D" w:rsidRPr="006159A2">
        <w:rPr>
          <w:b/>
          <w:lang w:val="en-GB"/>
        </w:rPr>
        <w:t>6</w:t>
      </w:r>
      <w:r w:rsidRPr="006159A2">
        <w:rPr>
          <w:lang w:val="en-GB"/>
        </w:rPr>
        <w:tab/>
        <w:t>Modelled urban aqueous OH and HO</w:t>
      </w:r>
      <w:r w:rsidRPr="006159A2">
        <w:rPr>
          <w:vertAlign w:val="subscript"/>
          <w:lang w:val="en-GB"/>
        </w:rPr>
        <w:t>2</w:t>
      </w:r>
      <w:r w:rsidRPr="006159A2">
        <w:rPr>
          <w:lang w:val="en-GB"/>
        </w:rPr>
        <w:t xml:space="preserve"> concentrations as a function of the simulation time modelled with different water</w:t>
      </w:r>
      <w:r w:rsidRPr="006159A2">
        <w:rPr>
          <w:lang w:val="en-GB"/>
        </w:rPr>
        <w:noBreakHyphen/>
        <w:t>soluble iron contents</w:t>
      </w:r>
    </w:p>
    <w:p w:rsidR="00264620" w:rsidRPr="006159A2" w:rsidRDefault="00264620" w:rsidP="00264620"/>
    <w:p w:rsidR="00264620" w:rsidRPr="006159A2" w:rsidRDefault="00E0710A" w:rsidP="00264620">
      <w:pPr>
        <w:jc w:val="center"/>
        <w:rPr>
          <w:lang w:val="en-GB"/>
        </w:rPr>
      </w:pPr>
      <w:r>
        <w:rPr>
          <w:noProof/>
          <w:lang w:eastAsia="en-US"/>
        </w:rPr>
        <w:lastRenderedPageBreak/>
        <w:drawing>
          <wp:inline distT="0" distB="0" distL="0" distR="0">
            <wp:extent cx="5029200" cy="6878320"/>
            <wp:effectExtent l="19050" t="0" r="0" b="0"/>
            <wp:docPr id="119" name="Bild 97" descr="Beschreibung: URBAN_FEdep_gH2O2+S6c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7" descr="Beschreibung: URBAN_FEdep_gH2O2+S6conc"/>
                    <pic:cNvPicPr>
                      <a:picLocks noChangeAspect="1" noChangeArrowheads="1"/>
                    </pic:cNvPicPr>
                  </pic:nvPicPr>
                  <pic:blipFill>
                    <a:blip r:embed="rId31"/>
                    <a:srcRect/>
                    <a:stretch>
                      <a:fillRect/>
                    </a:stretch>
                  </pic:blipFill>
                  <pic:spPr bwMode="auto">
                    <a:xfrm>
                      <a:off x="0" y="0"/>
                      <a:ext cx="5029200" cy="6878320"/>
                    </a:xfrm>
                    <a:prstGeom prst="rect">
                      <a:avLst/>
                    </a:prstGeom>
                    <a:noFill/>
                    <a:ln w="9525">
                      <a:noFill/>
                      <a:miter lim="800000"/>
                      <a:headEnd/>
                      <a:tailEnd/>
                    </a:ln>
                  </pic:spPr>
                </pic:pic>
              </a:graphicData>
            </a:graphic>
          </wp:inline>
        </w:drawing>
      </w:r>
    </w:p>
    <w:p w:rsidR="00264620" w:rsidRPr="006159A2" w:rsidRDefault="00264620" w:rsidP="00264620">
      <w:pPr>
        <w:pStyle w:val="figlegend"/>
        <w:tabs>
          <w:tab w:val="left" w:pos="993"/>
        </w:tabs>
        <w:jc w:val="both"/>
        <w:rPr>
          <w:lang w:val="en-GB"/>
        </w:rPr>
      </w:pPr>
      <w:r w:rsidRPr="006159A2">
        <w:rPr>
          <w:b/>
          <w:lang w:val="en-GB"/>
        </w:rPr>
        <w:t>Fig. S1</w:t>
      </w:r>
      <w:r w:rsidR="00F2384D" w:rsidRPr="006159A2">
        <w:rPr>
          <w:b/>
          <w:lang w:val="en-GB"/>
        </w:rPr>
        <w:t>7</w:t>
      </w:r>
      <w:r w:rsidRPr="006159A2">
        <w:rPr>
          <w:lang w:val="en-GB"/>
        </w:rPr>
        <w:tab/>
        <w:t>Modelled urban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gas phase concentrations and total aqueous S(VI) concentrations as a function of the simulation time modelled with different water</w:t>
      </w:r>
      <w:r w:rsidRPr="006159A2">
        <w:rPr>
          <w:lang w:val="en-GB"/>
        </w:rPr>
        <w:noBreakHyphen/>
        <w:t>soluble iron contents</w:t>
      </w:r>
    </w:p>
    <w:p w:rsidR="00264620" w:rsidRPr="006159A2" w:rsidRDefault="00264620" w:rsidP="00264620">
      <w:pPr>
        <w:rPr>
          <w:lang w:val="en-GB"/>
        </w:rPr>
      </w:pPr>
    </w:p>
    <w:p w:rsidR="00264620" w:rsidRPr="006159A2" w:rsidRDefault="00E0710A" w:rsidP="00264620">
      <w:pPr>
        <w:jc w:val="center"/>
        <w:rPr>
          <w:lang w:val="fr-FR"/>
        </w:rPr>
      </w:pPr>
      <w:r>
        <w:rPr>
          <w:noProof/>
          <w:lang w:eastAsia="en-US"/>
        </w:rPr>
        <w:lastRenderedPageBreak/>
        <w:drawing>
          <wp:inline distT="0" distB="0" distL="0" distR="0">
            <wp:extent cx="3432175" cy="5309235"/>
            <wp:effectExtent l="19050" t="0" r="0" b="0"/>
            <wp:docPr id="120"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pic:cNvPicPr>
                      <a:picLocks noChangeAspect="1" noChangeArrowheads="1"/>
                    </pic:cNvPicPr>
                  </pic:nvPicPr>
                  <pic:blipFill>
                    <a:blip r:embed="rId32"/>
                    <a:srcRect/>
                    <a:stretch>
                      <a:fillRect/>
                    </a:stretch>
                  </pic:blipFill>
                  <pic:spPr bwMode="auto">
                    <a:xfrm>
                      <a:off x="0" y="0"/>
                      <a:ext cx="3432175" cy="5309235"/>
                    </a:xfrm>
                    <a:prstGeom prst="rect">
                      <a:avLst/>
                    </a:prstGeom>
                    <a:noFill/>
                    <a:ln w="9525">
                      <a:noFill/>
                      <a:miter lim="800000"/>
                      <a:headEnd/>
                      <a:tailEnd/>
                    </a:ln>
                  </pic:spPr>
                </pic:pic>
              </a:graphicData>
            </a:graphic>
          </wp:inline>
        </w:drawing>
      </w:r>
    </w:p>
    <w:p w:rsidR="00264620" w:rsidRPr="006159A2" w:rsidRDefault="00264620" w:rsidP="00264620">
      <w:pPr>
        <w:pStyle w:val="figlegend"/>
        <w:tabs>
          <w:tab w:val="left" w:pos="993"/>
        </w:tabs>
        <w:jc w:val="both"/>
        <w:rPr>
          <w:lang w:val="en-GB"/>
        </w:rPr>
      </w:pPr>
      <w:r w:rsidRPr="006159A2">
        <w:rPr>
          <w:b/>
          <w:lang w:val="en-GB"/>
        </w:rPr>
        <w:t>Fig. S1</w:t>
      </w:r>
      <w:r w:rsidR="00F2384D" w:rsidRPr="006159A2">
        <w:rPr>
          <w:b/>
          <w:lang w:val="en-GB"/>
        </w:rPr>
        <w:t>8</w:t>
      </w:r>
      <w:r w:rsidRPr="006159A2">
        <w:rPr>
          <w:lang w:val="en-GB"/>
        </w:rPr>
        <w:tab/>
        <w:t xml:space="preserve">Depiction of the chemical </w:t>
      </w:r>
      <w:r w:rsidRPr="006159A2">
        <w:rPr>
          <w:lang w:val="en-GB" w:eastAsia="nl-NL"/>
        </w:rPr>
        <w:t>aqueous phase</w:t>
      </w:r>
      <w:r w:rsidRPr="006159A2">
        <w:rPr>
          <w:lang w:val="en-GB"/>
        </w:rPr>
        <w:t xml:space="preserve"> sink and source mass fluxes of OH radical </w:t>
      </w:r>
      <w:r w:rsidRPr="006159A2">
        <w:rPr>
          <w:lang w:val="en-GB" w:eastAsia="nl-NL"/>
        </w:rPr>
        <w:t>for the fourth day of the simulation (urban scenario, Fe3)</w:t>
      </w:r>
    </w:p>
    <w:p w:rsidR="00264620" w:rsidRPr="006159A2" w:rsidRDefault="00264620" w:rsidP="00264620">
      <w:pPr>
        <w:jc w:val="both"/>
        <w:rPr>
          <w:lang w:val="en-GB"/>
        </w:rPr>
      </w:pPr>
    </w:p>
    <w:p w:rsidR="00264620" w:rsidRPr="006159A2" w:rsidRDefault="00264620" w:rsidP="00264620">
      <w:pPr>
        <w:rPr>
          <w:i/>
          <w:lang w:val="en-GB"/>
        </w:rPr>
      </w:pPr>
      <w:r w:rsidRPr="006159A2">
        <w:rPr>
          <w:i/>
          <w:lang w:val="en-GB"/>
        </w:rPr>
        <w:t xml:space="preserve">(ii) Effect of implemented emission strengths on the multiphase </w:t>
      </w:r>
      <w:r w:rsidRPr="006159A2">
        <w:rPr>
          <w:i/>
          <w:lang w:val="en-GB" w:eastAsia="en-GB"/>
        </w:rPr>
        <w:t>oxidants budget</w:t>
      </w:r>
    </w:p>
    <w:p w:rsidR="00264620" w:rsidRPr="006159A2" w:rsidRDefault="00264620" w:rsidP="00264620">
      <w:pPr>
        <w:jc w:val="both"/>
        <w:rPr>
          <w:lang w:val="en-GB"/>
        </w:rPr>
      </w:pPr>
      <w:r w:rsidRPr="006159A2">
        <w:rPr>
          <w:lang w:val="en-GB"/>
        </w:rPr>
        <w:t>Among key aqueous</w:t>
      </w:r>
      <w:r w:rsidRPr="006159A2">
        <w:rPr>
          <w:lang w:val="en-GB"/>
        </w:rPr>
        <w:noBreakHyphen/>
        <w:t>phase parameters such as the soluble iron fraction, the modelled effects also significantly depend on the applied emission scenario. Thus, sensitivity studies were carried out for the urban scenario to study the dependence of the multiphase chemistry from the degree of pollution. The sensitivity studies were mainly focused on the effect of the pollution on the multiphase budget of oxidants and the S(IV) to S(VI) conversion. The sulphur subsystem has been chosen because of its direct dependence on emissions of anthropogenic precursors. Similarly to the sensitivity studies on the water-soluble iron</w:t>
      </w:r>
      <w:r w:rsidRPr="006159A2">
        <w:rPr>
          <w:lang w:val="en-GB" w:eastAsia="en-GB"/>
        </w:rPr>
        <w:t xml:space="preserve">, the used emission strengths of the urban base case (referred as E1) are scaled down by 1/4 (E2), 1/16 (E3) and 1/64 (E4), respectively. </w:t>
      </w:r>
      <w:r w:rsidRPr="006159A2">
        <w:rPr>
          <w:lang w:val="en-GB"/>
        </w:rPr>
        <w:t>The initialisation of the urban aerosol gas and particle phase has not been changed permitting well comparability with the base case E1.</w:t>
      </w:r>
    </w:p>
    <w:p w:rsidR="00264620" w:rsidRPr="006159A2" w:rsidRDefault="00264620" w:rsidP="00264620">
      <w:pPr>
        <w:jc w:val="both"/>
        <w:rPr>
          <w:lang w:val="en-GB"/>
        </w:rPr>
      </w:pPr>
      <w:r w:rsidRPr="006159A2">
        <w:rPr>
          <w:lang w:val="en-GB"/>
        </w:rPr>
        <w:lastRenderedPageBreak/>
        <w:t>Fig. </w:t>
      </w:r>
      <w:r w:rsidR="00160EE9" w:rsidRPr="006159A2">
        <w:rPr>
          <w:lang w:val="en-GB"/>
        </w:rPr>
        <w:t>S19</w:t>
      </w:r>
      <w:r w:rsidRPr="006159A2">
        <w:rPr>
          <w:lang w:val="en-GB"/>
        </w:rPr>
        <w:t xml:space="preserve"> and Fig. </w:t>
      </w:r>
      <w:r w:rsidR="00160EE9" w:rsidRPr="006159A2">
        <w:rPr>
          <w:lang w:val="en-GB"/>
        </w:rPr>
        <w:t>S20</w:t>
      </w:r>
      <w:r w:rsidRPr="006159A2">
        <w:rPr>
          <w:lang w:val="en-GB"/>
        </w:rPr>
        <w:t xml:space="preserve"> show the modelled gas and aqueous</w:t>
      </w:r>
      <w:r w:rsidRPr="006159A2">
        <w:rPr>
          <w:lang w:val="en-GB"/>
        </w:rPr>
        <w:noBreakHyphen/>
        <w:t>phase concentrations profiles of important oxidants such as OH and HO</w:t>
      </w:r>
      <w:r w:rsidRPr="006159A2">
        <w:rPr>
          <w:vertAlign w:val="subscript"/>
          <w:lang w:val="en-GB"/>
        </w:rPr>
        <w:t>2</w:t>
      </w:r>
      <w:r w:rsidRPr="006159A2">
        <w:rPr>
          <w:lang w:val="en-GB"/>
        </w:rPr>
        <w:t xml:space="preserve"> for the 4 different emission strengths scenarios. Both Figures show that the oxidants budget depends substantially on the emission strengths used. Generally, the HO</w:t>
      </w:r>
      <w:r w:rsidRPr="006159A2">
        <w:rPr>
          <w:vertAlign w:val="subscript"/>
          <w:lang w:val="en-GB"/>
        </w:rPr>
        <w:t>x</w:t>
      </w:r>
      <w:r w:rsidRPr="006159A2">
        <w:rPr>
          <w:lang w:val="en-GB"/>
        </w:rPr>
        <w:t xml:space="preserve"> budget is significantly decreased with decreasing emissions. </w:t>
      </w:r>
      <w:r w:rsidR="007D312C" w:rsidRPr="006159A2">
        <w:rPr>
          <w:lang w:val="en-GB"/>
        </w:rPr>
        <w:t>T</w:t>
      </w:r>
      <w:r w:rsidRPr="006159A2">
        <w:rPr>
          <w:lang w:val="en-GB"/>
        </w:rPr>
        <w:t>he obtained concentrations converge with decreasing emissions (E4) to similar concentration patterns as modelled for the remote base case. A similar tendency is noticeable for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and ozone. For ozone, two trends become obvious: (i) a decreasing cloud effect on gaseous ozone due to the smaller NO</w:t>
      </w:r>
      <w:r w:rsidRPr="006159A2">
        <w:rPr>
          <w:vertAlign w:val="subscript"/>
          <w:lang w:val="en-GB"/>
        </w:rPr>
        <w:t>x</w:t>
      </w:r>
      <w:r w:rsidRPr="006159A2">
        <w:rPr>
          <w:lang w:val="en-GB"/>
        </w:rPr>
        <w:t>/VOC ratios and (ii) the markedly decreasing ozone concentration for less polluted conditions together with much less diurnal concentration characteristics. At the end of the simulation, the ozone concentration in the case E4 is nearly 80% lower compared to the base case and the cloud effects are hardly noticeably. The most sensitive concentration effects are noticeable again for H</w:t>
      </w:r>
      <w:r w:rsidRPr="006159A2">
        <w:rPr>
          <w:vertAlign w:val="subscript"/>
          <w:lang w:val="en-GB"/>
        </w:rPr>
        <w:t>2</w:t>
      </w:r>
      <w:r w:rsidRPr="006159A2">
        <w:rPr>
          <w:lang w:val="en-GB"/>
        </w:rPr>
        <w:t>O</w:t>
      </w:r>
      <w:r w:rsidRPr="006159A2">
        <w:rPr>
          <w:vertAlign w:val="subscript"/>
          <w:lang w:val="en-GB"/>
        </w:rPr>
        <w:t>2</w:t>
      </w:r>
      <w:r w:rsidRPr="006159A2">
        <w:rPr>
          <w:lang w:val="en-GB"/>
        </w:rPr>
        <w:t>. The concentrations are partly more than one order of magnitude higher in the base case E1 compared to E2 and demonstrate the close link of the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budget with the HO</w:t>
      </w:r>
      <w:r w:rsidRPr="006159A2">
        <w:rPr>
          <w:vertAlign w:val="subscript"/>
          <w:lang w:val="en-GB"/>
        </w:rPr>
        <w:t>x</w:t>
      </w:r>
      <w:r w:rsidRPr="006159A2">
        <w:rPr>
          <w:lang w:val="en-GB"/>
        </w:rPr>
        <w:t xml:space="preserve"> budget. Differences between the different emission scenarios do not become recognisable until the first cloud episode and the oxidation of the equally initialised S(IV). Afterwards, the effect of the different emission strengths becomes apparent whereupon the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concentration levels are lower in the less polluted cases. The latter are characterised by both lower HO</w:t>
      </w:r>
      <w:r w:rsidRPr="006159A2">
        <w:rPr>
          <w:vertAlign w:val="subscript"/>
          <w:lang w:val="en-GB"/>
        </w:rPr>
        <w:t>x</w:t>
      </w:r>
      <w:r w:rsidRPr="006159A2">
        <w:rPr>
          <w:lang w:val="en-GB"/>
        </w:rPr>
        <w:t xml:space="preserve"> and S(VI) levels. But, the lower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concentrations in the less polluted cases express the closer link of its budget to HO</w:t>
      </w:r>
      <w:r w:rsidRPr="006159A2">
        <w:rPr>
          <w:vertAlign w:val="subscript"/>
          <w:lang w:val="en-GB"/>
        </w:rPr>
        <w:t>x</w:t>
      </w:r>
      <w:r w:rsidRPr="006159A2">
        <w:rPr>
          <w:lang w:val="en-GB"/>
        </w:rPr>
        <w:t>.</w:t>
      </w:r>
    </w:p>
    <w:p w:rsidR="00264620" w:rsidRPr="006159A2" w:rsidRDefault="00264620" w:rsidP="00264620">
      <w:pPr>
        <w:jc w:val="both"/>
        <w:rPr>
          <w:lang w:val="en-GB"/>
        </w:rPr>
      </w:pPr>
      <w:r w:rsidRPr="006159A2">
        <w:rPr>
          <w:lang w:val="en-GB"/>
        </w:rPr>
        <w:t>In the aqueous phase the concentration profiles of the HO</w:t>
      </w:r>
      <w:r w:rsidRPr="006159A2">
        <w:rPr>
          <w:vertAlign w:val="subscript"/>
          <w:lang w:val="en-GB"/>
        </w:rPr>
        <w:t>x</w:t>
      </w:r>
      <w:r w:rsidRPr="006159A2">
        <w:rPr>
          <w:lang w:val="en-GB"/>
        </w:rPr>
        <w:t xml:space="preserve"> components, OH and HO</w:t>
      </w:r>
      <w:r w:rsidRPr="006159A2">
        <w:rPr>
          <w:vertAlign w:val="subscript"/>
          <w:lang w:val="en-GB"/>
        </w:rPr>
        <w:t>2</w:t>
      </w:r>
      <w:r w:rsidRPr="006159A2">
        <w:rPr>
          <w:lang w:val="en-GB"/>
        </w:rPr>
        <w:t>, show a more complex behaviour (see Fig. </w:t>
      </w:r>
      <w:r w:rsidR="00B14630" w:rsidRPr="006159A2">
        <w:rPr>
          <w:lang w:val="en-GB"/>
        </w:rPr>
        <w:t>S20</w:t>
      </w:r>
      <w:r w:rsidRPr="006159A2">
        <w:rPr>
          <w:lang w:val="en-GB"/>
        </w:rPr>
        <w:t>). The OH budget under deliquescent particle conditions is substantially decreased in the less polluted cases in comparison to the base case E1. This results mainly from the reduced multiphase budget of the OH precursor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in the less polluted scenarios (source limitation). A contrary behaviour becomes apparent in clouds. There, the OH concentration of the base case is markedly lower. This opposite behaviour is caused by higher concentration of possible OH reaction educts, which lead to larger degradation fluxes in comparison to the less polluted case (sinks domination). For HO</w:t>
      </w:r>
      <w:r w:rsidRPr="006159A2">
        <w:rPr>
          <w:vertAlign w:val="subscript"/>
          <w:lang w:val="en-GB"/>
        </w:rPr>
        <w:t>2</w:t>
      </w:r>
      <w:r w:rsidRPr="006159A2">
        <w:rPr>
          <w:lang w:val="en-GB"/>
        </w:rPr>
        <w:t>/O</w:t>
      </w:r>
      <w:r w:rsidRPr="006159A2">
        <w:rPr>
          <w:vertAlign w:val="subscript"/>
          <w:lang w:val="en-GB"/>
        </w:rPr>
        <w:t>2</w:t>
      </w:r>
      <w:r w:rsidRPr="006159A2">
        <w:rPr>
          <w:vertAlign w:val="superscript"/>
          <w:lang w:val="en-GB"/>
        </w:rPr>
        <w:t>-</w:t>
      </w:r>
      <w:r w:rsidRPr="006159A2">
        <w:rPr>
          <w:lang w:val="en-GB"/>
        </w:rPr>
        <w:t>, the reduced gas</w:t>
      </w:r>
      <w:r w:rsidRPr="006159A2">
        <w:rPr>
          <w:lang w:val="en-GB"/>
        </w:rPr>
        <w:noBreakHyphen/>
        <w:t>phase budget leads to analogous characteristics in the aqueous phase including more significant variations with the LWC indicating smaller uptake fluxes to the aqueous particle phase in the less polluted cases.</w:t>
      </w:r>
    </w:p>
    <w:p w:rsidR="00A1693D" w:rsidRPr="006159A2" w:rsidRDefault="00A1693D" w:rsidP="00A1693D"/>
    <w:p w:rsidR="00A1693D" w:rsidRPr="006159A2" w:rsidRDefault="00E0710A" w:rsidP="00A1693D">
      <w:r>
        <w:rPr>
          <w:noProof/>
          <w:lang w:eastAsia="en-US"/>
        </w:rPr>
        <w:lastRenderedPageBreak/>
        <w:drawing>
          <wp:inline distT="0" distB="0" distL="0" distR="0">
            <wp:extent cx="6114415" cy="3725545"/>
            <wp:effectExtent l="0" t="0" r="635" b="0"/>
            <wp:docPr id="121" name="Bild 91" descr="Beschreibung: FIG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1" descr="Beschreibung: FIG_20"/>
                    <pic:cNvPicPr>
                      <a:picLocks noChangeAspect="1" noChangeArrowheads="1"/>
                    </pic:cNvPicPr>
                  </pic:nvPicPr>
                  <pic:blipFill>
                    <a:blip r:embed="rId33"/>
                    <a:srcRect/>
                    <a:stretch>
                      <a:fillRect/>
                    </a:stretch>
                  </pic:blipFill>
                  <pic:spPr bwMode="auto">
                    <a:xfrm>
                      <a:off x="0" y="0"/>
                      <a:ext cx="6114415" cy="3725545"/>
                    </a:xfrm>
                    <a:prstGeom prst="rect">
                      <a:avLst/>
                    </a:prstGeom>
                    <a:noFill/>
                    <a:ln w="9525">
                      <a:noFill/>
                      <a:miter lim="800000"/>
                      <a:headEnd/>
                      <a:tailEnd/>
                    </a:ln>
                  </pic:spPr>
                </pic:pic>
              </a:graphicData>
            </a:graphic>
          </wp:inline>
        </w:drawing>
      </w:r>
    </w:p>
    <w:p w:rsidR="004260F2" w:rsidRPr="006159A2" w:rsidRDefault="004260F2" w:rsidP="004260F2">
      <w:pPr>
        <w:pStyle w:val="figlegend"/>
        <w:tabs>
          <w:tab w:val="left" w:pos="993"/>
        </w:tabs>
        <w:jc w:val="both"/>
        <w:rPr>
          <w:lang w:val="en-GB"/>
        </w:rPr>
      </w:pPr>
      <w:r w:rsidRPr="006159A2">
        <w:rPr>
          <w:b/>
          <w:lang w:val="en-GB"/>
        </w:rPr>
        <w:t>Fig. </w:t>
      </w:r>
      <w:r w:rsidR="00A1693D" w:rsidRPr="006159A2">
        <w:rPr>
          <w:b/>
          <w:lang w:val="en-GB"/>
        </w:rPr>
        <w:t>S</w:t>
      </w:r>
      <w:r w:rsidR="00F2384D" w:rsidRPr="006159A2">
        <w:rPr>
          <w:b/>
          <w:lang w:val="en-GB"/>
        </w:rPr>
        <w:t>19</w:t>
      </w:r>
      <w:r w:rsidRPr="006159A2">
        <w:rPr>
          <w:lang w:val="en-GB"/>
        </w:rPr>
        <w:tab/>
        <w:t>Modelled gas</w:t>
      </w:r>
      <w:r w:rsidRPr="006159A2">
        <w:rPr>
          <w:lang w:val="en-GB"/>
        </w:rPr>
        <w:noBreakHyphen/>
        <w:t>phase concentrations of OH, HO</w:t>
      </w:r>
      <w:r w:rsidRPr="006159A2">
        <w:rPr>
          <w:vertAlign w:val="subscript"/>
          <w:lang w:val="en-GB"/>
        </w:rPr>
        <w:t>2</w:t>
      </w:r>
      <w:r w:rsidRPr="006159A2">
        <w:rPr>
          <w:lang w:val="en-GB"/>
        </w:rPr>
        <w:t>, H</w:t>
      </w:r>
      <w:r w:rsidRPr="006159A2">
        <w:rPr>
          <w:vertAlign w:val="subscript"/>
          <w:lang w:val="en-GB"/>
        </w:rPr>
        <w:t>2</w:t>
      </w:r>
      <w:r w:rsidRPr="006159A2">
        <w:rPr>
          <w:lang w:val="en-GB"/>
        </w:rPr>
        <w:t>O</w:t>
      </w:r>
      <w:r w:rsidRPr="006159A2">
        <w:rPr>
          <w:vertAlign w:val="subscript"/>
          <w:lang w:val="en-GB"/>
        </w:rPr>
        <w:t>2</w:t>
      </w:r>
      <w:r w:rsidRPr="006159A2">
        <w:rPr>
          <w:lang w:val="en-GB"/>
        </w:rPr>
        <w:t xml:space="preserve"> and O</w:t>
      </w:r>
      <w:r w:rsidRPr="006159A2">
        <w:rPr>
          <w:vertAlign w:val="subscript"/>
          <w:lang w:val="en-GB"/>
        </w:rPr>
        <w:t>3</w:t>
      </w:r>
      <w:r w:rsidRPr="006159A2">
        <w:rPr>
          <w:lang w:val="en-GB"/>
        </w:rPr>
        <w:t xml:space="preserve"> for the 4 different emission strength scenarios (E1, E2, E3, E4), respectively</w:t>
      </w:r>
    </w:p>
    <w:p w:rsidR="00A1693D" w:rsidRPr="006159A2" w:rsidRDefault="00A1693D" w:rsidP="00A1693D"/>
    <w:p w:rsidR="00A1693D" w:rsidRPr="006159A2" w:rsidRDefault="00E0710A" w:rsidP="008001A5">
      <w:pPr>
        <w:jc w:val="center"/>
      </w:pPr>
      <w:r>
        <w:rPr>
          <w:noProof/>
          <w:lang w:eastAsia="en-US"/>
        </w:rPr>
        <w:lastRenderedPageBreak/>
        <w:drawing>
          <wp:inline distT="0" distB="0" distL="0" distR="0">
            <wp:extent cx="4353560" cy="5438775"/>
            <wp:effectExtent l="0" t="0" r="8890" b="0"/>
            <wp:docPr id="122" name="Bild 92" descr="Beschreibung: FIG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descr="Beschreibung: FIG_21"/>
                    <pic:cNvPicPr>
                      <a:picLocks noChangeAspect="1" noChangeArrowheads="1"/>
                    </pic:cNvPicPr>
                  </pic:nvPicPr>
                  <pic:blipFill>
                    <a:blip r:embed="rId34"/>
                    <a:srcRect/>
                    <a:stretch>
                      <a:fillRect/>
                    </a:stretch>
                  </pic:blipFill>
                  <pic:spPr bwMode="auto">
                    <a:xfrm>
                      <a:off x="0" y="0"/>
                      <a:ext cx="4353560" cy="5438775"/>
                    </a:xfrm>
                    <a:prstGeom prst="rect">
                      <a:avLst/>
                    </a:prstGeom>
                    <a:noFill/>
                    <a:ln w="9525">
                      <a:noFill/>
                      <a:miter lim="800000"/>
                      <a:headEnd/>
                      <a:tailEnd/>
                    </a:ln>
                  </pic:spPr>
                </pic:pic>
              </a:graphicData>
            </a:graphic>
          </wp:inline>
        </w:drawing>
      </w:r>
    </w:p>
    <w:p w:rsidR="004260F2" w:rsidRDefault="004260F2" w:rsidP="004260F2">
      <w:pPr>
        <w:pStyle w:val="figlegend"/>
        <w:tabs>
          <w:tab w:val="left" w:pos="993"/>
        </w:tabs>
        <w:jc w:val="both"/>
        <w:rPr>
          <w:lang w:val="en-GB"/>
        </w:rPr>
      </w:pPr>
      <w:r w:rsidRPr="006159A2">
        <w:rPr>
          <w:b/>
          <w:lang w:val="en-GB"/>
        </w:rPr>
        <w:t>Fig. </w:t>
      </w:r>
      <w:r w:rsidR="00A1693D" w:rsidRPr="006159A2">
        <w:rPr>
          <w:b/>
          <w:lang w:val="en-GB"/>
        </w:rPr>
        <w:t>S</w:t>
      </w:r>
      <w:r w:rsidRPr="006159A2">
        <w:rPr>
          <w:b/>
          <w:lang w:val="en-GB"/>
        </w:rPr>
        <w:t>2</w:t>
      </w:r>
      <w:r w:rsidR="00F2384D" w:rsidRPr="006159A2">
        <w:rPr>
          <w:b/>
          <w:lang w:val="en-GB"/>
        </w:rPr>
        <w:t>0</w:t>
      </w:r>
      <w:r w:rsidRPr="006159A2">
        <w:rPr>
          <w:lang w:val="en-GB"/>
        </w:rPr>
        <w:tab/>
        <w:t>Modelled aqueous</w:t>
      </w:r>
      <w:r w:rsidRPr="006159A2">
        <w:rPr>
          <w:lang w:val="en-GB"/>
        </w:rPr>
        <w:noBreakHyphen/>
        <w:t>phase concentrations of OH and HO</w:t>
      </w:r>
      <w:r w:rsidRPr="006159A2">
        <w:rPr>
          <w:vertAlign w:val="subscript"/>
          <w:lang w:val="en-GB"/>
        </w:rPr>
        <w:t>2</w:t>
      </w:r>
      <w:r w:rsidRPr="006159A2">
        <w:rPr>
          <w:lang w:val="en-GB"/>
        </w:rPr>
        <w:t xml:space="preserve"> concentrations for the 4 different emission strength scenarios (E1, E2, E3, E4), respectively</w:t>
      </w:r>
    </w:p>
    <w:p w:rsidR="009F4459" w:rsidRPr="002C5D20" w:rsidRDefault="009F4459" w:rsidP="00994CC7">
      <w:pPr>
        <w:rPr>
          <w:lang w:val="en-GB"/>
        </w:rPr>
      </w:pPr>
    </w:p>
    <w:p w:rsidR="009F4459" w:rsidRPr="00356602" w:rsidRDefault="009F4459" w:rsidP="00994CC7">
      <w:pPr>
        <w:rPr>
          <w:lang w:val="en-GB"/>
        </w:rPr>
      </w:pPr>
    </w:p>
    <w:sectPr w:rsidR="009F4459" w:rsidRPr="00356602" w:rsidSect="009A0BB1">
      <w:footerReference w:type="default" r:id="rId35"/>
      <w:pgSz w:w="11907" w:h="16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181" w:rsidRDefault="00772181">
      <w:r>
        <w:separator/>
      </w:r>
    </w:p>
  </w:endnote>
  <w:endnote w:type="continuationSeparator" w:id="0">
    <w:p w:rsidR="00772181" w:rsidRDefault="007721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Gothic">
    <w:altName w:val="MS Mincho"/>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9A2" w:rsidRDefault="006159A2">
    <w:pPr>
      <w:pStyle w:val="Footer"/>
      <w:jc w:val="right"/>
    </w:pPr>
    <w:r>
      <w:rPr>
        <w:rStyle w:val="PageNumber"/>
      </w:rPr>
      <w:fldChar w:fldCharType="begin"/>
    </w:r>
    <w:r>
      <w:rPr>
        <w:rStyle w:val="PageNumber"/>
      </w:rPr>
      <w:instrText xml:space="preserve"> </w:instrText>
    </w:r>
    <w:r w:rsidR="00772181">
      <w:rPr>
        <w:rStyle w:val="PageNumber"/>
      </w:rPr>
      <w:instrText>PAGE</w:instrText>
    </w:r>
    <w:r>
      <w:rPr>
        <w:rStyle w:val="PageNumber"/>
      </w:rPr>
      <w:instrText xml:space="preserve"> </w:instrText>
    </w:r>
    <w:r>
      <w:rPr>
        <w:rStyle w:val="PageNumber"/>
      </w:rPr>
      <w:fldChar w:fldCharType="separate"/>
    </w:r>
    <w:r w:rsidR="00E0710A">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181" w:rsidRDefault="00772181">
      <w:r>
        <w:separator/>
      </w:r>
    </w:p>
  </w:footnote>
  <w:footnote w:type="continuationSeparator" w:id="0">
    <w:p w:rsidR="00772181" w:rsidRDefault="007721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33F5"/>
    <w:multiLevelType w:val="multilevel"/>
    <w:tmpl w:val="6E645DA4"/>
    <w:lvl w:ilvl="0">
      <w:start w:val="1"/>
      <w:numFmt w:val="decimal"/>
      <w:lvlText w:val="%1"/>
      <w:lvlJc w:val="left"/>
      <w:pPr>
        <w:tabs>
          <w:tab w:val="num" w:pos="675"/>
        </w:tabs>
        <w:ind w:left="675" w:hanging="675"/>
      </w:pPr>
      <w:rPr>
        <w:rFonts w:hint="default"/>
        <w:b/>
        <w:sz w:val="24"/>
        <w:szCs w:val="24"/>
      </w:rPr>
    </w:lvl>
    <w:lvl w:ilvl="1">
      <w:start w:val="1"/>
      <w:numFmt w:val="decimal"/>
      <w:lvlText w:val="%1.%2"/>
      <w:lvlJc w:val="left"/>
      <w:pPr>
        <w:tabs>
          <w:tab w:val="num" w:pos="765"/>
        </w:tabs>
        <w:ind w:left="765" w:hanging="675"/>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10"/>
        </w:tabs>
        <w:ind w:left="810" w:hanging="720"/>
      </w:pPr>
      <w:rPr>
        <w:rFonts w:hint="default"/>
      </w:rPr>
    </w:lvl>
    <w:lvl w:ilvl="4">
      <w:start w:val="1"/>
      <w:numFmt w:val="decimal"/>
      <w:lvlText w:val="%1.%2.%3.%4.%5"/>
      <w:lvlJc w:val="left"/>
      <w:pPr>
        <w:tabs>
          <w:tab w:val="num" w:pos="1170"/>
        </w:tabs>
        <w:ind w:left="1170" w:hanging="1080"/>
      </w:pPr>
      <w:rPr>
        <w:rFonts w:hint="default"/>
      </w:rPr>
    </w:lvl>
    <w:lvl w:ilvl="5">
      <w:start w:val="1"/>
      <w:numFmt w:val="decimal"/>
      <w:lvlText w:val="%1.%2.%3.%4.%5.%6"/>
      <w:lvlJc w:val="left"/>
      <w:pPr>
        <w:tabs>
          <w:tab w:val="num" w:pos="1170"/>
        </w:tabs>
        <w:ind w:left="1170" w:hanging="1080"/>
      </w:pPr>
      <w:rPr>
        <w:rFonts w:hint="default"/>
      </w:rPr>
    </w:lvl>
    <w:lvl w:ilvl="6">
      <w:start w:val="1"/>
      <w:numFmt w:val="decimal"/>
      <w:lvlText w:val="%1.%2.%3.%4.%5.%6.%7"/>
      <w:lvlJc w:val="left"/>
      <w:pPr>
        <w:tabs>
          <w:tab w:val="num" w:pos="1530"/>
        </w:tabs>
        <w:ind w:left="1530" w:hanging="1440"/>
      </w:pPr>
      <w:rPr>
        <w:rFonts w:hint="default"/>
      </w:rPr>
    </w:lvl>
    <w:lvl w:ilvl="7">
      <w:start w:val="1"/>
      <w:numFmt w:val="decimal"/>
      <w:lvlText w:val="%1.%2.%3.%4.%5.%6.%7.%8"/>
      <w:lvlJc w:val="left"/>
      <w:pPr>
        <w:tabs>
          <w:tab w:val="num" w:pos="1530"/>
        </w:tabs>
        <w:ind w:left="1530" w:hanging="1440"/>
      </w:pPr>
      <w:rPr>
        <w:rFonts w:hint="default"/>
      </w:rPr>
    </w:lvl>
    <w:lvl w:ilvl="8">
      <w:start w:val="1"/>
      <w:numFmt w:val="decimal"/>
      <w:lvlText w:val="%1.%2.%3.%4.%5.%6.%7.%8.%9"/>
      <w:lvlJc w:val="left"/>
      <w:pPr>
        <w:tabs>
          <w:tab w:val="num" w:pos="1890"/>
        </w:tabs>
        <w:ind w:left="1890" w:hanging="1800"/>
      </w:pPr>
      <w:rPr>
        <w:rFonts w:hint="default"/>
      </w:rPr>
    </w:lvl>
  </w:abstractNum>
  <w:abstractNum w:abstractNumId="1">
    <w:nsid w:val="11BE5279"/>
    <w:multiLevelType w:val="hybridMultilevel"/>
    <w:tmpl w:val="7830300E"/>
    <w:lvl w:ilvl="0" w:tplc="2C2629E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attachedTemplate r:id="rId1"/>
  <w:stylePaneFormatFilter w:val="3F01"/>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compat>
  <w:rsids>
    <w:rsidRoot w:val="008F27E4"/>
    <w:rsid w:val="000054BF"/>
    <w:rsid w:val="000101BC"/>
    <w:rsid w:val="00013C4E"/>
    <w:rsid w:val="000167C8"/>
    <w:rsid w:val="00017652"/>
    <w:rsid w:val="00021219"/>
    <w:rsid w:val="00023F91"/>
    <w:rsid w:val="000255F5"/>
    <w:rsid w:val="000419ED"/>
    <w:rsid w:val="0004537C"/>
    <w:rsid w:val="0005616F"/>
    <w:rsid w:val="00057555"/>
    <w:rsid w:val="000632AF"/>
    <w:rsid w:val="0006345C"/>
    <w:rsid w:val="00063C86"/>
    <w:rsid w:val="00071E6A"/>
    <w:rsid w:val="00071F30"/>
    <w:rsid w:val="00072675"/>
    <w:rsid w:val="00083252"/>
    <w:rsid w:val="00083EE7"/>
    <w:rsid w:val="00094AD1"/>
    <w:rsid w:val="00096E0E"/>
    <w:rsid w:val="00097303"/>
    <w:rsid w:val="000A1845"/>
    <w:rsid w:val="000A3C34"/>
    <w:rsid w:val="000A5883"/>
    <w:rsid w:val="000B027F"/>
    <w:rsid w:val="000C3BC0"/>
    <w:rsid w:val="000C6BF0"/>
    <w:rsid w:val="000D065A"/>
    <w:rsid w:val="000D2669"/>
    <w:rsid w:val="000D6480"/>
    <w:rsid w:val="000D7E9E"/>
    <w:rsid w:val="000E28B1"/>
    <w:rsid w:val="000E423E"/>
    <w:rsid w:val="000F2033"/>
    <w:rsid w:val="00100391"/>
    <w:rsid w:val="00105B74"/>
    <w:rsid w:val="001060DC"/>
    <w:rsid w:val="001069F6"/>
    <w:rsid w:val="00114C0D"/>
    <w:rsid w:val="00117D6C"/>
    <w:rsid w:val="001237A5"/>
    <w:rsid w:val="0013031A"/>
    <w:rsid w:val="001316C8"/>
    <w:rsid w:val="0013205B"/>
    <w:rsid w:val="001321DD"/>
    <w:rsid w:val="00135CE3"/>
    <w:rsid w:val="001528FA"/>
    <w:rsid w:val="00154823"/>
    <w:rsid w:val="001571E7"/>
    <w:rsid w:val="0016027D"/>
    <w:rsid w:val="00160EE9"/>
    <w:rsid w:val="00164DB8"/>
    <w:rsid w:val="00167694"/>
    <w:rsid w:val="00170F76"/>
    <w:rsid w:val="00171081"/>
    <w:rsid w:val="001750EA"/>
    <w:rsid w:val="001751C7"/>
    <w:rsid w:val="00193AE3"/>
    <w:rsid w:val="001A173D"/>
    <w:rsid w:val="001A2705"/>
    <w:rsid w:val="001A3464"/>
    <w:rsid w:val="001B4C37"/>
    <w:rsid w:val="001B6FC6"/>
    <w:rsid w:val="001B7727"/>
    <w:rsid w:val="001C4F21"/>
    <w:rsid w:val="001C58F7"/>
    <w:rsid w:val="001E16F9"/>
    <w:rsid w:val="001E3556"/>
    <w:rsid w:val="001E6609"/>
    <w:rsid w:val="001E78BA"/>
    <w:rsid w:val="001F0FAB"/>
    <w:rsid w:val="00204EF7"/>
    <w:rsid w:val="00210EEE"/>
    <w:rsid w:val="00212501"/>
    <w:rsid w:val="00212889"/>
    <w:rsid w:val="0021504D"/>
    <w:rsid w:val="0022674E"/>
    <w:rsid w:val="00227349"/>
    <w:rsid w:val="00230BFF"/>
    <w:rsid w:val="00233535"/>
    <w:rsid w:val="00234213"/>
    <w:rsid w:val="00237598"/>
    <w:rsid w:val="00250B04"/>
    <w:rsid w:val="00251151"/>
    <w:rsid w:val="002548A1"/>
    <w:rsid w:val="00254B84"/>
    <w:rsid w:val="0025734A"/>
    <w:rsid w:val="002600C9"/>
    <w:rsid w:val="00260C0B"/>
    <w:rsid w:val="00264620"/>
    <w:rsid w:val="00270A4E"/>
    <w:rsid w:val="002762C6"/>
    <w:rsid w:val="00276504"/>
    <w:rsid w:val="00290900"/>
    <w:rsid w:val="002A2F30"/>
    <w:rsid w:val="002A443C"/>
    <w:rsid w:val="002A66F4"/>
    <w:rsid w:val="002C1300"/>
    <w:rsid w:val="002C3E97"/>
    <w:rsid w:val="002C5D20"/>
    <w:rsid w:val="002D3835"/>
    <w:rsid w:val="002D56EF"/>
    <w:rsid w:val="002D687A"/>
    <w:rsid w:val="0030448A"/>
    <w:rsid w:val="003059DB"/>
    <w:rsid w:val="00312FBC"/>
    <w:rsid w:val="0031589D"/>
    <w:rsid w:val="0031722C"/>
    <w:rsid w:val="0033612B"/>
    <w:rsid w:val="00340696"/>
    <w:rsid w:val="003457F6"/>
    <w:rsid w:val="0034598C"/>
    <w:rsid w:val="003465B1"/>
    <w:rsid w:val="003544AC"/>
    <w:rsid w:val="00356602"/>
    <w:rsid w:val="00357E87"/>
    <w:rsid w:val="00373815"/>
    <w:rsid w:val="00375D1C"/>
    <w:rsid w:val="00387C72"/>
    <w:rsid w:val="003A04D9"/>
    <w:rsid w:val="003A1205"/>
    <w:rsid w:val="003A45ED"/>
    <w:rsid w:val="003A6A00"/>
    <w:rsid w:val="003B0186"/>
    <w:rsid w:val="003B01A3"/>
    <w:rsid w:val="003B26CD"/>
    <w:rsid w:val="003B5398"/>
    <w:rsid w:val="003C4CAD"/>
    <w:rsid w:val="003D00C4"/>
    <w:rsid w:val="003D12DA"/>
    <w:rsid w:val="003E4F67"/>
    <w:rsid w:val="003F4673"/>
    <w:rsid w:val="003F79A6"/>
    <w:rsid w:val="0040648E"/>
    <w:rsid w:val="004071FE"/>
    <w:rsid w:val="00410144"/>
    <w:rsid w:val="00414813"/>
    <w:rsid w:val="00415A89"/>
    <w:rsid w:val="00421179"/>
    <w:rsid w:val="004246F2"/>
    <w:rsid w:val="00424EBC"/>
    <w:rsid w:val="004260F2"/>
    <w:rsid w:val="00427422"/>
    <w:rsid w:val="004277DC"/>
    <w:rsid w:val="0043253F"/>
    <w:rsid w:val="004376F1"/>
    <w:rsid w:val="0044203E"/>
    <w:rsid w:val="004456AF"/>
    <w:rsid w:val="00452F32"/>
    <w:rsid w:val="00472B24"/>
    <w:rsid w:val="00477E76"/>
    <w:rsid w:val="00481682"/>
    <w:rsid w:val="0048425A"/>
    <w:rsid w:val="00484A4D"/>
    <w:rsid w:val="00495435"/>
    <w:rsid w:val="004A0FED"/>
    <w:rsid w:val="004A4668"/>
    <w:rsid w:val="004A693D"/>
    <w:rsid w:val="004B2F13"/>
    <w:rsid w:val="004B5460"/>
    <w:rsid w:val="004B70A4"/>
    <w:rsid w:val="004C024A"/>
    <w:rsid w:val="004D35A2"/>
    <w:rsid w:val="004E54D7"/>
    <w:rsid w:val="004F1E7B"/>
    <w:rsid w:val="004F31CD"/>
    <w:rsid w:val="004F3F4F"/>
    <w:rsid w:val="00501F15"/>
    <w:rsid w:val="00513369"/>
    <w:rsid w:val="005233D6"/>
    <w:rsid w:val="00523685"/>
    <w:rsid w:val="00523F08"/>
    <w:rsid w:val="00534933"/>
    <w:rsid w:val="005522E3"/>
    <w:rsid w:val="00555C59"/>
    <w:rsid w:val="00561B20"/>
    <w:rsid w:val="00564E84"/>
    <w:rsid w:val="005726AD"/>
    <w:rsid w:val="00573F93"/>
    <w:rsid w:val="005822D8"/>
    <w:rsid w:val="00591339"/>
    <w:rsid w:val="00596523"/>
    <w:rsid w:val="005A0B28"/>
    <w:rsid w:val="005A55B2"/>
    <w:rsid w:val="005B1B0A"/>
    <w:rsid w:val="005B6E33"/>
    <w:rsid w:val="005C4271"/>
    <w:rsid w:val="005D2517"/>
    <w:rsid w:val="005E3AC8"/>
    <w:rsid w:val="005F5555"/>
    <w:rsid w:val="00600E2F"/>
    <w:rsid w:val="00611707"/>
    <w:rsid w:val="00612C15"/>
    <w:rsid w:val="00614713"/>
    <w:rsid w:val="006159A2"/>
    <w:rsid w:val="00623916"/>
    <w:rsid w:val="00632263"/>
    <w:rsid w:val="0063342D"/>
    <w:rsid w:val="0065144E"/>
    <w:rsid w:val="00654F0B"/>
    <w:rsid w:val="0066072F"/>
    <w:rsid w:val="0067068D"/>
    <w:rsid w:val="00677407"/>
    <w:rsid w:val="006865E6"/>
    <w:rsid w:val="00691327"/>
    <w:rsid w:val="006954D9"/>
    <w:rsid w:val="006B0D4B"/>
    <w:rsid w:val="006C69A7"/>
    <w:rsid w:val="006C7B7D"/>
    <w:rsid w:val="006D2129"/>
    <w:rsid w:val="006E01E5"/>
    <w:rsid w:val="006E0D88"/>
    <w:rsid w:val="006E63E9"/>
    <w:rsid w:val="007038AA"/>
    <w:rsid w:val="007232C9"/>
    <w:rsid w:val="0072623B"/>
    <w:rsid w:val="00727286"/>
    <w:rsid w:val="007272D1"/>
    <w:rsid w:val="00727760"/>
    <w:rsid w:val="007300FC"/>
    <w:rsid w:val="00730703"/>
    <w:rsid w:val="00731457"/>
    <w:rsid w:val="00734EE4"/>
    <w:rsid w:val="00735858"/>
    <w:rsid w:val="00736909"/>
    <w:rsid w:val="00741A2E"/>
    <w:rsid w:val="00752EB8"/>
    <w:rsid w:val="007628CD"/>
    <w:rsid w:val="00764380"/>
    <w:rsid w:val="00764567"/>
    <w:rsid w:val="00764DFA"/>
    <w:rsid w:val="00772181"/>
    <w:rsid w:val="0077555B"/>
    <w:rsid w:val="0078035E"/>
    <w:rsid w:val="007817EB"/>
    <w:rsid w:val="00784335"/>
    <w:rsid w:val="00790A0E"/>
    <w:rsid w:val="00790B43"/>
    <w:rsid w:val="007A1A65"/>
    <w:rsid w:val="007A1AB1"/>
    <w:rsid w:val="007A52E6"/>
    <w:rsid w:val="007A6A63"/>
    <w:rsid w:val="007B16E7"/>
    <w:rsid w:val="007B6AD6"/>
    <w:rsid w:val="007C08DD"/>
    <w:rsid w:val="007C2168"/>
    <w:rsid w:val="007C229E"/>
    <w:rsid w:val="007C407E"/>
    <w:rsid w:val="007D312C"/>
    <w:rsid w:val="007E4D02"/>
    <w:rsid w:val="007F1D02"/>
    <w:rsid w:val="007F4E5C"/>
    <w:rsid w:val="007F7B82"/>
    <w:rsid w:val="008001A5"/>
    <w:rsid w:val="0080690A"/>
    <w:rsid w:val="0081492D"/>
    <w:rsid w:val="0081610E"/>
    <w:rsid w:val="008171CE"/>
    <w:rsid w:val="008208B8"/>
    <w:rsid w:val="008226F0"/>
    <w:rsid w:val="00832C78"/>
    <w:rsid w:val="00832CBF"/>
    <w:rsid w:val="00834072"/>
    <w:rsid w:val="00835BAC"/>
    <w:rsid w:val="00836ACA"/>
    <w:rsid w:val="00843526"/>
    <w:rsid w:val="00852743"/>
    <w:rsid w:val="00855869"/>
    <w:rsid w:val="00861F1D"/>
    <w:rsid w:val="00867BAC"/>
    <w:rsid w:val="0089282E"/>
    <w:rsid w:val="00894685"/>
    <w:rsid w:val="00894DCB"/>
    <w:rsid w:val="008A04A0"/>
    <w:rsid w:val="008A06BD"/>
    <w:rsid w:val="008A1675"/>
    <w:rsid w:val="008A3DB5"/>
    <w:rsid w:val="008A6456"/>
    <w:rsid w:val="008B59E0"/>
    <w:rsid w:val="008C5824"/>
    <w:rsid w:val="008D512A"/>
    <w:rsid w:val="008E29D6"/>
    <w:rsid w:val="008E3853"/>
    <w:rsid w:val="008F0215"/>
    <w:rsid w:val="008F09F0"/>
    <w:rsid w:val="008F1246"/>
    <w:rsid w:val="008F27E4"/>
    <w:rsid w:val="0090155A"/>
    <w:rsid w:val="00904FF6"/>
    <w:rsid w:val="00911117"/>
    <w:rsid w:val="009151C6"/>
    <w:rsid w:val="0091574D"/>
    <w:rsid w:val="00927E40"/>
    <w:rsid w:val="00930A8B"/>
    <w:rsid w:val="0093158E"/>
    <w:rsid w:val="00934F11"/>
    <w:rsid w:val="00935A62"/>
    <w:rsid w:val="00936DA5"/>
    <w:rsid w:val="009458E0"/>
    <w:rsid w:val="009569E8"/>
    <w:rsid w:val="00963CF2"/>
    <w:rsid w:val="00973318"/>
    <w:rsid w:val="00974833"/>
    <w:rsid w:val="00984ED3"/>
    <w:rsid w:val="0099104E"/>
    <w:rsid w:val="0099210D"/>
    <w:rsid w:val="00992856"/>
    <w:rsid w:val="0099460E"/>
    <w:rsid w:val="00994CC7"/>
    <w:rsid w:val="009A0BB1"/>
    <w:rsid w:val="009A265C"/>
    <w:rsid w:val="009A2DEE"/>
    <w:rsid w:val="009A5CE7"/>
    <w:rsid w:val="009B321F"/>
    <w:rsid w:val="009B4ECA"/>
    <w:rsid w:val="009C24B7"/>
    <w:rsid w:val="009C672B"/>
    <w:rsid w:val="009D09E3"/>
    <w:rsid w:val="009D16B4"/>
    <w:rsid w:val="009D1FFB"/>
    <w:rsid w:val="009D34AF"/>
    <w:rsid w:val="009E0680"/>
    <w:rsid w:val="009E4340"/>
    <w:rsid w:val="009F0479"/>
    <w:rsid w:val="009F1C3B"/>
    <w:rsid w:val="009F4459"/>
    <w:rsid w:val="009F5C3D"/>
    <w:rsid w:val="009F6623"/>
    <w:rsid w:val="00A008E3"/>
    <w:rsid w:val="00A04376"/>
    <w:rsid w:val="00A1113A"/>
    <w:rsid w:val="00A11E02"/>
    <w:rsid w:val="00A160C3"/>
    <w:rsid w:val="00A1693D"/>
    <w:rsid w:val="00A17EC7"/>
    <w:rsid w:val="00A35C4D"/>
    <w:rsid w:val="00A42C45"/>
    <w:rsid w:val="00A46542"/>
    <w:rsid w:val="00A47908"/>
    <w:rsid w:val="00A5248A"/>
    <w:rsid w:val="00A54F4B"/>
    <w:rsid w:val="00A55CC0"/>
    <w:rsid w:val="00A625C4"/>
    <w:rsid w:val="00A66759"/>
    <w:rsid w:val="00A7095C"/>
    <w:rsid w:val="00A734B2"/>
    <w:rsid w:val="00A75683"/>
    <w:rsid w:val="00A77592"/>
    <w:rsid w:val="00A867CB"/>
    <w:rsid w:val="00A94351"/>
    <w:rsid w:val="00AA555A"/>
    <w:rsid w:val="00AA6939"/>
    <w:rsid w:val="00AB4758"/>
    <w:rsid w:val="00AC1342"/>
    <w:rsid w:val="00AC5A22"/>
    <w:rsid w:val="00AC5FB8"/>
    <w:rsid w:val="00AC65A4"/>
    <w:rsid w:val="00AD6743"/>
    <w:rsid w:val="00AD6788"/>
    <w:rsid w:val="00AE505A"/>
    <w:rsid w:val="00AE5324"/>
    <w:rsid w:val="00AE5584"/>
    <w:rsid w:val="00AE65F9"/>
    <w:rsid w:val="00AF0CBA"/>
    <w:rsid w:val="00B021A1"/>
    <w:rsid w:val="00B047FF"/>
    <w:rsid w:val="00B054BF"/>
    <w:rsid w:val="00B075B5"/>
    <w:rsid w:val="00B144BF"/>
    <w:rsid w:val="00B14630"/>
    <w:rsid w:val="00B209D2"/>
    <w:rsid w:val="00B239BB"/>
    <w:rsid w:val="00B26757"/>
    <w:rsid w:val="00B325AE"/>
    <w:rsid w:val="00B37FB4"/>
    <w:rsid w:val="00B4650F"/>
    <w:rsid w:val="00B54CE1"/>
    <w:rsid w:val="00B644C3"/>
    <w:rsid w:val="00B66172"/>
    <w:rsid w:val="00B67BC5"/>
    <w:rsid w:val="00B67C72"/>
    <w:rsid w:val="00B72A4E"/>
    <w:rsid w:val="00B74439"/>
    <w:rsid w:val="00B9045A"/>
    <w:rsid w:val="00BA0B20"/>
    <w:rsid w:val="00BA4845"/>
    <w:rsid w:val="00BA7025"/>
    <w:rsid w:val="00BB1FAE"/>
    <w:rsid w:val="00BB4151"/>
    <w:rsid w:val="00BD444F"/>
    <w:rsid w:val="00BD74E0"/>
    <w:rsid w:val="00BE2834"/>
    <w:rsid w:val="00BE66B1"/>
    <w:rsid w:val="00C068C4"/>
    <w:rsid w:val="00C10B7D"/>
    <w:rsid w:val="00C13B6F"/>
    <w:rsid w:val="00C141C6"/>
    <w:rsid w:val="00C16062"/>
    <w:rsid w:val="00C203E2"/>
    <w:rsid w:val="00C20D13"/>
    <w:rsid w:val="00C33D4A"/>
    <w:rsid w:val="00C42E58"/>
    <w:rsid w:val="00C433ED"/>
    <w:rsid w:val="00C5389C"/>
    <w:rsid w:val="00C57123"/>
    <w:rsid w:val="00C70474"/>
    <w:rsid w:val="00C72B9A"/>
    <w:rsid w:val="00C7335E"/>
    <w:rsid w:val="00C73EFE"/>
    <w:rsid w:val="00C77B66"/>
    <w:rsid w:val="00C87FB6"/>
    <w:rsid w:val="00C91D83"/>
    <w:rsid w:val="00C92AAF"/>
    <w:rsid w:val="00C936EE"/>
    <w:rsid w:val="00CA34E1"/>
    <w:rsid w:val="00CA406F"/>
    <w:rsid w:val="00CA42B0"/>
    <w:rsid w:val="00CA768F"/>
    <w:rsid w:val="00CB1770"/>
    <w:rsid w:val="00CB2908"/>
    <w:rsid w:val="00CC4BC1"/>
    <w:rsid w:val="00CC4EE4"/>
    <w:rsid w:val="00CD4D8F"/>
    <w:rsid w:val="00CF0DDB"/>
    <w:rsid w:val="00CF3C26"/>
    <w:rsid w:val="00CF4BB0"/>
    <w:rsid w:val="00D00619"/>
    <w:rsid w:val="00D035DD"/>
    <w:rsid w:val="00D03FC4"/>
    <w:rsid w:val="00D041F0"/>
    <w:rsid w:val="00D0540C"/>
    <w:rsid w:val="00D20178"/>
    <w:rsid w:val="00D270FC"/>
    <w:rsid w:val="00D44236"/>
    <w:rsid w:val="00D443E6"/>
    <w:rsid w:val="00D55390"/>
    <w:rsid w:val="00D627FC"/>
    <w:rsid w:val="00DA4805"/>
    <w:rsid w:val="00DA78C3"/>
    <w:rsid w:val="00DB138F"/>
    <w:rsid w:val="00DB4893"/>
    <w:rsid w:val="00DC3BF8"/>
    <w:rsid w:val="00DC7468"/>
    <w:rsid w:val="00DC7EC5"/>
    <w:rsid w:val="00DD2439"/>
    <w:rsid w:val="00DD642E"/>
    <w:rsid w:val="00DD66E3"/>
    <w:rsid w:val="00DE5A80"/>
    <w:rsid w:val="00DE6537"/>
    <w:rsid w:val="00DF72EF"/>
    <w:rsid w:val="00E01004"/>
    <w:rsid w:val="00E0512D"/>
    <w:rsid w:val="00E0710A"/>
    <w:rsid w:val="00E13191"/>
    <w:rsid w:val="00E219BD"/>
    <w:rsid w:val="00E260F6"/>
    <w:rsid w:val="00E33EE0"/>
    <w:rsid w:val="00E33F78"/>
    <w:rsid w:val="00E4315A"/>
    <w:rsid w:val="00E43D8C"/>
    <w:rsid w:val="00E43ED5"/>
    <w:rsid w:val="00E55381"/>
    <w:rsid w:val="00E60DA3"/>
    <w:rsid w:val="00E65563"/>
    <w:rsid w:val="00E7333F"/>
    <w:rsid w:val="00EA140D"/>
    <w:rsid w:val="00EA6874"/>
    <w:rsid w:val="00EB31C3"/>
    <w:rsid w:val="00EB3AB6"/>
    <w:rsid w:val="00EB4261"/>
    <w:rsid w:val="00EB6B77"/>
    <w:rsid w:val="00EB73AB"/>
    <w:rsid w:val="00EB7BF2"/>
    <w:rsid w:val="00EC5443"/>
    <w:rsid w:val="00EC6891"/>
    <w:rsid w:val="00ED50B5"/>
    <w:rsid w:val="00EE15EC"/>
    <w:rsid w:val="00EF0CFB"/>
    <w:rsid w:val="00EF2E94"/>
    <w:rsid w:val="00EF6551"/>
    <w:rsid w:val="00F128BF"/>
    <w:rsid w:val="00F2384D"/>
    <w:rsid w:val="00F362C3"/>
    <w:rsid w:val="00F43563"/>
    <w:rsid w:val="00F43FC9"/>
    <w:rsid w:val="00F51656"/>
    <w:rsid w:val="00F62133"/>
    <w:rsid w:val="00F65DCC"/>
    <w:rsid w:val="00F74E38"/>
    <w:rsid w:val="00F7775C"/>
    <w:rsid w:val="00F84B11"/>
    <w:rsid w:val="00F85A62"/>
    <w:rsid w:val="00F92B50"/>
    <w:rsid w:val="00F93CE8"/>
    <w:rsid w:val="00FA5E46"/>
    <w:rsid w:val="00FB26EB"/>
    <w:rsid w:val="00FC5C02"/>
    <w:rsid w:val="00FC661A"/>
    <w:rsid w:val="00FD1EA4"/>
    <w:rsid w:val="00FE74BC"/>
    <w:rsid w:val="00FF1313"/>
    <w:rsid w:val="00FF3A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99"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pPr>
      <w:overflowPunct w:val="0"/>
      <w:autoSpaceDE w:val="0"/>
      <w:autoSpaceDN w:val="0"/>
      <w:adjustRightInd w:val="0"/>
      <w:spacing w:line="360" w:lineRule="auto"/>
      <w:textAlignment w:val="baseline"/>
    </w:pPr>
    <w:rPr>
      <w:sz w:val="24"/>
      <w:lang w:eastAsia="de-DE"/>
    </w:rPr>
  </w:style>
  <w:style w:type="paragraph" w:styleId="Heading1">
    <w:name w:val="heading 1"/>
    <w:basedOn w:val="Normal"/>
    <w:next w:val="Normal"/>
    <w:link w:val="Heading1Char"/>
    <w:qFormat/>
    <w:rsid w:val="00CF0DDB"/>
    <w:pPr>
      <w:keepNext/>
      <w:spacing w:before="240" w:after="60"/>
      <w:outlineLvl w:val="0"/>
    </w:pPr>
    <w:rPr>
      <w:rFonts w:ascii="Arial" w:eastAsia="MS Gothic" w:hAnsi="Arial" w:cs="Arial"/>
      <w:b/>
      <w:bCs/>
      <w:kern w:val="32"/>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abbreviations">
    <w:name w:val="abbreviations"/>
    <w:basedOn w:val="abstract"/>
    <w:next w:val="Normal"/>
    <w:pPr>
      <w:tabs>
        <w:tab w:val="left" w:pos="3402"/>
      </w:tabs>
      <w:ind w:left="3402" w:hanging="3402"/>
    </w:pPr>
  </w:style>
  <w:style w:type="paragraph" w:customStyle="1" w:styleId="title">
    <w:name w:val="title"/>
    <w:basedOn w:val="Normal"/>
    <w:next w:val="author"/>
    <w:rPr>
      <w:rFonts w:ascii="Arial" w:hAnsi="Arial"/>
      <w:b/>
      <w:sz w:val="36"/>
    </w:rPr>
  </w:style>
  <w:style w:type="paragraph" w:customStyle="1" w:styleId="heading10">
    <w:name w:val="heading1"/>
    <w:basedOn w:val="Normal"/>
    <w:next w:val="Normal"/>
    <w:pPr>
      <w:keepNext/>
      <w:spacing w:before="240" w:after="180"/>
    </w:pPr>
    <w:rPr>
      <w:rFonts w:ascii="Arial" w:hAnsi="Arial"/>
      <w:b/>
      <w:sz w:val="32"/>
    </w:rPr>
  </w:style>
  <w:style w:type="paragraph" w:customStyle="1" w:styleId="heading2">
    <w:name w:val="heading2"/>
    <w:basedOn w:val="Normal"/>
    <w:next w:val="Normal"/>
    <w:pPr>
      <w:keepNext/>
      <w:spacing w:before="240" w:after="180"/>
    </w:pPr>
    <w:rPr>
      <w:rFonts w:ascii="Arial" w:hAnsi="Arial"/>
      <w:b/>
    </w:rPr>
  </w:style>
  <w:style w:type="paragraph" w:customStyle="1" w:styleId="heading3">
    <w:name w:val="heading3"/>
    <w:basedOn w:val="Normal"/>
    <w:next w:val="Normal"/>
    <w:uiPriority w:val="99"/>
    <w:pPr>
      <w:keepNext/>
      <w:spacing w:before="240" w:after="180"/>
    </w:pPr>
    <w:rPr>
      <w:rFonts w:ascii="Arial" w:hAnsi="Arial"/>
      <w:i/>
    </w:rPr>
  </w:style>
  <w:style w:type="paragraph" w:customStyle="1" w:styleId="run-in">
    <w:name w:val="run-in"/>
    <w:basedOn w:val="Normal"/>
    <w:next w:val="Normal"/>
    <w:pPr>
      <w:keepNext/>
      <w:spacing w:before="120"/>
    </w:pPr>
    <w:rPr>
      <w:b/>
    </w:rPr>
  </w:style>
  <w:style w:type="character" w:customStyle="1" w:styleId="emailZchn">
    <w:name w:val="email Zchn"/>
    <w:link w:val="email"/>
    <w:uiPriority w:val="99"/>
    <w:rsid w:val="0099104E"/>
    <w:rPr>
      <w:lang w:val="en-US" w:eastAsia="de-DE" w:bidi="ar-SA"/>
    </w:rPr>
  </w:style>
  <w:style w:type="paragraph" w:customStyle="1" w:styleId="figurecitation">
    <w:name w:val="figurecitation"/>
    <w:basedOn w:val="Normal"/>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pPr>
      <w:spacing w:before="240"/>
    </w:pPr>
  </w:style>
  <w:style w:type="paragraph" w:customStyle="1" w:styleId="author">
    <w:name w:val="author"/>
    <w:basedOn w:val="Normal"/>
    <w:next w:val="affiliation"/>
    <w:pPr>
      <w:spacing w:before="120"/>
    </w:pPr>
  </w:style>
  <w:style w:type="paragraph" w:customStyle="1" w:styleId="affiliation">
    <w:name w:val="affiliation"/>
    <w:basedOn w:val="Normal"/>
    <w:next w:val="phone"/>
    <w:uiPriority w:val="99"/>
    <w:pPr>
      <w:spacing w:before="120" w:line="240" w:lineRule="auto"/>
    </w:pPr>
    <w:rPr>
      <w:i/>
    </w:rPr>
  </w:style>
  <w:style w:type="paragraph" w:customStyle="1" w:styleId="email">
    <w:name w:val="email"/>
    <w:basedOn w:val="Normal"/>
    <w:next w:val="url"/>
    <w:link w:val="emailZchn"/>
    <w:uiPriority w:val="99"/>
    <w:pPr>
      <w:spacing w:before="120" w:line="240" w:lineRule="auto"/>
    </w:pPr>
    <w:rPr>
      <w:sz w:val="20"/>
    </w:rPr>
  </w:style>
  <w:style w:type="paragraph" w:customStyle="1" w:styleId="phone">
    <w:name w:val="phone"/>
    <w:basedOn w:val="email"/>
    <w:next w:val="fax"/>
    <w:link w:val="phoneZchn"/>
    <w:uiPriority w:val="99"/>
  </w:style>
  <w:style w:type="paragraph" w:customStyle="1" w:styleId="fax">
    <w:name w:val="fax"/>
    <w:basedOn w:val="email"/>
    <w:next w:val="email"/>
    <w:link w:val="faxZchn"/>
    <w:uiPriority w:val="99"/>
  </w:style>
  <w:style w:type="paragraph" w:customStyle="1" w:styleId="abstract">
    <w:name w:val="abstract"/>
    <w:basedOn w:val="Normal"/>
    <w:next w:val="keywords"/>
    <w:pPr>
      <w:spacing w:before="120"/>
    </w:pPr>
    <w:rPr>
      <w:sz w:val="20"/>
    </w:rPr>
  </w:style>
  <w:style w:type="paragraph" w:customStyle="1" w:styleId="keywords">
    <w:name w:val="keywords"/>
    <w:basedOn w:val="Normal"/>
    <w:next w:val="Normal"/>
    <w:pPr>
      <w:spacing w:before="120"/>
    </w:pPr>
    <w:rPr>
      <w:i/>
    </w:rPr>
  </w:style>
  <w:style w:type="paragraph" w:customStyle="1" w:styleId="extraaddress">
    <w:name w:val="extraaddress"/>
    <w:basedOn w:val="email"/>
  </w:style>
  <w:style w:type="paragraph" w:customStyle="1" w:styleId="reference">
    <w:name w:val="reference"/>
    <w:basedOn w:val="Normal"/>
    <w:rPr>
      <w:sz w:val="20"/>
    </w:rPr>
  </w:style>
  <w:style w:type="paragraph" w:customStyle="1" w:styleId="equation">
    <w:name w:val="equation"/>
    <w:basedOn w:val="Normal"/>
    <w:next w:val="Normal"/>
    <w:link w:val="equationZchn"/>
    <w:pPr>
      <w:spacing w:before="120" w:after="120"/>
      <w:jc w:val="center"/>
    </w:pPr>
  </w:style>
  <w:style w:type="paragraph" w:customStyle="1" w:styleId="articlenote">
    <w:name w:val="articlenote"/>
    <w:basedOn w:val="Normal"/>
    <w:next w:val="Normal"/>
    <w:uiPriority w:val="99"/>
    <w:pPr>
      <w:spacing w:line="240" w:lineRule="auto"/>
    </w:pPr>
    <w:rPr>
      <w:sz w:val="22"/>
    </w:rPr>
  </w:style>
  <w:style w:type="paragraph" w:customStyle="1" w:styleId="figlegend">
    <w:name w:val="figlegend"/>
    <w:basedOn w:val="Normal"/>
    <w:next w:val="Normal"/>
    <w:uiPriority w:val="99"/>
    <w:pPr>
      <w:spacing w:before="120"/>
    </w:pPr>
    <w:rPr>
      <w:sz w:val="20"/>
    </w:rPr>
  </w:style>
  <w:style w:type="paragraph" w:customStyle="1" w:styleId="tablelegend">
    <w:name w:val="tablelegend"/>
    <w:basedOn w:val="Normal"/>
    <w:next w:val="Normal"/>
    <w:pPr>
      <w:spacing w:before="120"/>
    </w:pPr>
    <w:rPr>
      <w:sz w:val="20"/>
    </w:rPr>
  </w:style>
  <w:style w:type="character" w:styleId="Hyperlink">
    <w:name w:val="Hyperlink"/>
    <w:rsid w:val="00596523"/>
    <w:rPr>
      <w:color w:val="0000FF"/>
      <w:u w:val="single"/>
    </w:rPr>
  </w:style>
  <w:style w:type="paragraph" w:customStyle="1" w:styleId="url">
    <w:name w:val="url"/>
    <w:basedOn w:val="email"/>
    <w:next w:val="Normal"/>
  </w:style>
  <w:style w:type="paragraph" w:customStyle="1" w:styleId="Text">
    <w:name w:val="Text"/>
    <w:basedOn w:val="Normal"/>
    <w:link w:val="TextZchn"/>
    <w:rsid w:val="001A173D"/>
    <w:pPr>
      <w:overflowPunct/>
      <w:autoSpaceDE/>
      <w:autoSpaceDN/>
      <w:adjustRightInd/>
      <w:spacing w:line="260" w:lineRule="exact"/>
      <w:ind w:firstLine="320"/>
      <w:jc w:val="both"/>
      <w:textAlignment w:val="auto"/>
    </w:pPr>
    <w:rPr>
      <w:sz w:val="22"/>
      <w:lang w:eastAsia="en-US"/>
    </w:rPr>
  </w:style>
  <w:style w:type="character" w:customStyle="1" w:styleId="TextZchn">
    <w:name w:val="Text Zchn"/>
    <w:link w:val="Text"/>
    <w:rsid w:val="001A173D"/>
    <w:rPr>
      <w:sz w:val="22"/>
      <w:lang w:val="en-US" w:eastAsia="en-US" w:bidi="ar-SA"/>
    </w:rPr>
  </w:style>
  <w:style w:type="table" w:styleId="TableGrid">
    <w:name w:val="Table Grid"/>
    <w:basedOn w:val="TableNormal"/>
    <w:rsid w:val="00340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qFormat/>
    <w:rsid w:val="00CB1770"/>
    <w:pPr>
      <w:tabs>
        <w:tab w:val="left" w:pos="1021"/>
      </w:tabs>
      <w:overflowPunct/>
      <w:autoSpaceDE/>
      <w:autoSpaceDN/>
      <w:adjustRightInd/>
      <w:spacing w:before="120" w:after="120" w:line="312" w:lineRule="auto"/>
      <w:ind w:left="992" w:hanging="992"/>
      <w:jc w:val="both"/>
      <w:textAlignment w:val="auto"/>
    </w:pPr>
    <w:rPr>
      <w:sz w:val="20"/>
      <w:lang w:val="en-GB"/>
    </w:rPr>
  </w:style>
  <w:style w:type="paragraph" w:customStyle="1" w:styleId="TabelleAnhang">
    <w:name w:val="Tabelle_Anhang"/>
    <w:basedOn w:val="Normal"/>
    <w:link w:val="TabelleAnhangZchn"/>
    <w:rsid w:val="00CB1770"/>
    <w:pPr>
      <w:overflowPunct/>
      <w:autoSpaceDE/>
      <w:autoSpaceDN/>
      <w:adjustRightInd/>
      <w:spacing w:line="240" w:lineRule="auto"/>
      <w:jc w:val="center"/>
      <w:textAlignment w:val="auto"/>
    </w:pPr>
    <w:rPr>
      <w:sz w:val="20"/>
      <w:lang w:val="en-GB"/>
    </w:rPr>
  </w:style>
  <w:style w:type="character" w:customStyle="1" w:styleId="TabelleAnhangZchn">
    <w:name w:val="Tabelle_Anhang Zchn"/>
    <w:link w:val="TabelleAnhang"/>
    <w:rsid w:val="00CB1770"/>
    <w:rPr>
      <w:lang w:val="en-GB" w:eastAsia="de-DE" w:bidi="ar-SA"/>
    </w:rPr>
  </w:style>
  <w:style w:type="character" w:customStyle="1" w:styleId="CaptionChar">
    <w:name w:val="Caption Char"/>
    <w:link w:val="Caption"/>
    <w:rsid w:val="00CB1770"/>
    <w:rPr>
      <w:lang w:val="en-GB" w:eastAsia="de-DE" w:bidi="ar-SA"/>
    </w:rPr>
  </w:style>
  <w:style w:type="character" w:customStyle="1" w:styleId="ZchnZchn">
    <w:name w:val="Zchn Zchn"/>
    <w:rsid w:val="00564E84"/>
    <w:rPr>
      <w:rFonts w:eastAsia="MS Mincho"/>
      <w:bCs/>
      <w:sz w:val="24"/>
      <w:lang w:val="en-GB" w:eastAsia="ja-JP" w:bidi="ar-SA"/>
    </w:rPr>
  </w:style>
  <w:style w:type="character" w:customStyle="1" w:styleId="equationZchn">
    <w:name w:val="equation Zchn"/>
    <w:link w:val="equation"/>
    <w:rsid w:val="00523685"/>
    <w:rPr>
      <w:sz w:val="24"/>
      <w:lang w:val="en-US" w:eastAsia="de-DE" w:bidi="ar-SA"/>
    </w:rPr>
  </w:style>
  <w:style w:type="character" w:styleId="CommentReference">
    <w:name w:val="annotation reference"/>
    <w:semiHidden/>
    <w:rsid w:val="008E3853"/>
    <w:rPr>
      <w:sz w:val="16"/>
      <w:szCs w:val="16"/>
    </w:rPr>
  </w:style>
  <w:style w:type="paragraph" w:styleId="CommentText">
    <w:name w:val="annotation text"/>
    <w:basedOn w:val="Normal"/>
    <w:semiHidden/>
    <w:rsid w:val="008E3853"/>
    <w:rPr>
      <w:sz w:val="20"/>
    </w:rPr>
  </w:style>
  <w:style w:type="paragraph" w:styleId="CommentSubject">
    <w:name w:val="annotation subject"/>
    <w:basedOn w:val="CommentText"/>
    <w:next w:val="CommentText"/>
    <w:semiHidden/>
    <w:rsid w:val="008E3853"/>
    <w:rPr>
      <w:b/>
      <w:bCs/>
    </w:rPr>
  </w:style>
  <w:style w:type="paragraph" w:styleId="BalloonText">
    <w:name w:val="Balloon Text"/>
    <w:basedOn w:val="Normal"/>
    <w:semiHidden/>
    <w:rsid w:val="008E3853"/>
    <w:rPr>
      <w:rFonts w:ascii="Tahoma" w:hAnsi="Tahoma" w:cs="Tahoma"/>
      <w:sz w:val="16"/>
      <w:szCs w:val="16"/>
    </w:rPr>
  </w:style>
  <w:style w:type="character" w:customStyle="1" w:styleId="faxZchn">
    <w:name w:val="fax Zchn"/>
    <w:link w:val="fax"/>
    <w:uiPriority w:val="99"/>
    <w:rsid w:val="006954D9"/>
    <w:rPr>
      <w:lang w:val="en-US" w:eastAsia="de-DE" w:bidi="ar-SA"/>
    </w:rPr>
  </w:style>
  <w:style w:type="character" w:customStyle="1" w:styleId="phoneZchn">
    <w:name w:val="phone Zchn"/>
    <w:link w:val="phone"/>
    <w:uiPriority w:val="99"/>
    <w:rsid w:val="008208B8"/>
    <w:rPr>
      <w:lang w:val="en-US" w:eastAsia="de-DE" w:bidi="ar-SA"/>
    </w:rPr>
  </w:style>
  <w:style w:type="paragraph" w:customStyle="1" w:styleId="Abbildung">
    <w:name w:val="Abbildung"/>
    <w:basedOn w:val="Normal"/>
    <w:next w:val="Caption"/>
    <w:link w:val="AbbildungZchn"/>
    <w:rsid w:val="00861F1D"/>
    <w:pPr>
      <w:keepNext/>
      <w:overflowPunct/>
      <w:autoSpaceDE/>
      <w:autoSpaceDN/>
      <w:adjustRightInd/>
      <w:spacing w:before="120" w:line="312" w:lineRule="auto"/>
      <w:jc w:val="center"/>
      <w:textAlignment w:val="auto"/>
    </w:pPr>
    <w:rPr>
      <w:lang w:val="en-GB"/>
    </w:rPr>
  </w:style>
  <w:style w:type="character" w:customStyle="1" w:styleId="AbbildungZchn">
    <w:name w:val="Abbildung Zchn"/>
    <w:link w:val="Abbildung"/>
    <w:rsid w:val="00861F1D"/>
    <w:rPr>
      <w:sz w:val="24"/>
      <w:lang w:val="en-GB" w:eastAsia="de-DE" w:bidi="ar-SA"/>
    </w:rPr>
  </w:style>
  <w:style w:type="paragraph" w:customStyle="1" w:styleId="FormatvorlageBlockVor3pt">
    <w:name w:val="Formatvorlage Block Vor:  3 pt"/>
    <w:basedOn w:val="Normal"/>
    <w:autoRedefine/>
    <w:rsid w:val="00100391"/>
    <w:pPr>
      <w:overflowPunct/>
      <w:autoSpaceDE/>
      <w:autoSpaceDN/>
      <w:adjustRightInd/>
      <w:spacing w:before="40" w:line="216" w:lineRule="auto"/>
      <w:ind w:firstLine="284"/>
      <w:jc w:val="both"/>
      <w:textAlignment w:val="auto"/>
    </w:pPr>
    <w:rPr>
      <w:lang w:val="en-GB" w:eastAsia="en-GB"/>
    </w:rPr>
  </w:style>
  <w:style w:type="character" w:customStyle="1" w:styleId="st">
    <w:name w:val="st"/>
    <w:uiPriority w:val="99"/>
    <w:rsid w:val="001E78BA"/>
    <w:rPr>
      <w:rFonts w:cs="Times New Roman"/>
    </w:rPr>
  </w:style>
  <w:style w:type="character" w:styleId="Emphasis">
    <w:name w:val="Emphasis"/>
    <w:uiPriority w:val="99"/>
    <w:qFormat/>
    <w:rsid w:val="001E78BA"/>
    <w:rPr>
      <w:rFonts w:cs="Times New Roman"/>
      <w:i/>
    </w:rPr>
  </w:style>
  <w:style w:type="character" w:customStyle="1" w:styleId="Heading1Char">
    <w:name w:val="Heading 1 Char"/>
    <w:link w:val="Heading1"/>
    <w:rsid w:val="00CF0DDB"/>
    <w:rPr>
      <w:rFonts w:ascii="Arial" w:eastAsia="MS Gothic" w:hAnsi="Arial" w:cs="Arial"/>
      <w:b/>
      <w:bCs/>
      <w:kern w:val="32"/>
      <w:sz w:val="24"/>
      <w:szCs w:val="24"/>
    </w:rPr>
  </w:style>
  <w:style w:type="character" w:styleId="Strong">
    <w:name w:val="Strong"/>
    <w:qFormat/>
    <w:rsid w:val="00CF0DDB"/>
    <w:rPr>
      <w:b/>
      <w:bCs/>
    </w:rPr>
  </w:style>
</w:styles>
</file>

<file path=word/webSettings.xml><?xml version="1.0" encoding="utf-8"?>
<w:webSettings xmlns:r="http://schemas.openxmlformats.org/officeDocument/2006/relationships" xmlns:w="http://schemas.openxmlformats.org/wordprocessingml/2006/main">
  <w:divs>
    <w:div w:id="870535673">
      <w:bodyDiv w:val="1"/>
      <w:marLeft w:val="0"/>
      <w:marRight w:val="0"/>
      <w:marTop w:val="0"/>
      <w:marBottom w:val="0"/>
      <w:divBdr>
        <w:top w:val="none" w:sz="0" w:space="0" w:color="auto"/>
        <w:left w:val="none" w:sz="0" w:space="0" w:color="auto"/>
        <w:bottom w:val="none" w:sz="0" w:space="0" w:color="auto"/>
        <w:right w:val="none" w:sz="0" w:space="0" w:color="auto"/>
      </w:divBdr>
    </w:div>
    <w:div w:id="100239338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300"/>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A1ABD~1.TIL\LOKALE~1\Temp\Tempor&#228;res%20Verzeichnis%201%20f&#252;r%20sv-journ.zip\sv-jou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BF024-FBFA-4D99-B6AC-1C1976EF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sv-journ</Template>
  <TotalTime>1</TotalTime>
  <Pages>31</Pages>
  <Words>5041</Words>
  <Characters>28738</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Author template for journal articles</vt:lpstr>
    </vt:vector>
  </TitlesOfParts>
  <Company>SPRINGER VERLAG</Company>
  <LinksUpToDate>false</LinksUpToDate>
  <CharactersWithSpaces>33712</CharactersWithSpaces>
  <SharedDoc>false</SharedDoc>
  <HLinks>
    <vt:vector size="12" baseType="variant">
      <vt:variant>
        <vt:i4>983054</vt:i4>
      </vt:variant>
      <vt:variant>
        <vt:i4>2701</vt:i4>
      </vt:variant>
      <vt:variant>
        <vt:i4>1027</vt:i4>
      </vt:variant>
      <vt:variant>
        <vt:i4>1</vt:i4>
      </vt:variant>
      <vt:variant>
        <vt:lpwstr>LWCevolution</vt:lpwstr>
      </vt:variant>
      <vt:variant>
        <vt:lpwstr/>
      </vt:variant>
      <vt:variant>
        <vt:i4>1900662</vt:i4>
      </vt:variant>
      <vt:variant>
        <vt:i4>20370</vt:i4>
      </vt:variant>
      <vt:variant>
        <vt:i4>1105</vt:i4>
      </vt:variant>
      <vt:variant>
        <vt:i4>1</vt:i4>
      </vt:variant>
      <vt:variant>
        <vt:lpwstr>VOCs_FIG-XXXXXXX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subject/>
  <dc:creator>A. Tilgner</dc:creator>
  <cp:keywords/>
  <dc:description>Springer Heidelberg 2005</dc:description>
  <cp:lastModifiedBy>fpiamonte</cp:lastModifiedBy>
  <cp:revision>2</cp:revision>
  <cp:lastPrinted>2010-03-24T02:14:00Z</cp:lastPrinted>
  <dcterms:created xsi:type="dcterms:W3CDTF">2013-08-07T11:59:00Z</dcterms:created>
  <dcterms:modified xsi:type="dcterms:W3CDTF">2013-08-07T11:59:00Z</dcterms:modified>
</cp:coreProperties>
</file>