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D9049" w14:textId="3C4831A3" w:rsidR="002B4DBC" w:rsidRDefault="00C64555">
      <w:r>
        <w:t>H.Annison (2015)</w:t>
      </w:r>
      <w:r w:rsidR="00184E65" w:rsidRPr="00DD78F2">
        <w:rPr>
          <w:i/>
        </w:rPr>
        <w:t xml:space="preserve"> </w:t>
      </w:r>
      <w:r w:rsidR="00DD78F2" w:rsidRPr="00DD78F2">
        <w:rPr>
          <w:i/>
        </w:rPr>
        <w:t>Dangerous Politics</w:t>
      </w:r>
      <w:r>
        <w:rPr>
          <w:i/>
        </w:rPr>
        <w:t>: Risk, Political Vulnerability and Penal Policy</w:t>
      </w:r>
      <w:r>
        <w:t xml:space="preserve">. Oxford: Oxford University Press. </w:t>
      </w:r>
      <w:r w:rsidR="0083039E">
        <w:t xml:space="preserve">ISBN: 9780198728603 (£65 HBK). </w:t>
      </w:r>
      <w:r w:rsidR="00DD78F2">
        <w:rPr>
          <w:i/>
        </w:rPr>
        <w:t xml:space="preserve"> </w:t>
      </w:r>
    </w:p>
    <w:p w14:paraId="2BA16BC2" w14:textId="77777777" w:rsidR="00C04339" w:rsidRDefault="00C04339" w:rsidP="001948EF"/>
    <w:p w14:paraId="0FD122B8" w14:textId="3756DCD2" w:rsidR="00B975C1" w:rsidRDefault="00C64555" w:rsidP="00C64555">
      <w:pPr>
        <w:jc w:val="left"/>
      </w:pPr>
      <w:r>
        <w:rPr>
          <w:b/>
        </w:rPr>
        <w:t xml:space="preserve">Reviewed By: </w:t>
      </w:r>
      <w:r>
        <w:t>Ailbhe O’Loughlin</w:t>
      </w:r>
      <w:r w:rsidR="00B975C1">
        <w:t>, University of York</w:t>
      </w:r>
    </w:p>
    <w:p w14:paraId="04D30753" w14:textId="77777777" w:rsidR="00B975C1" w:rsidRDefault="00B975C1" w:rsidP="00B975C1">
      <w:pPr>
        <w:jc w:val="right"/>
      </w:pPr>
    </w:p>
    <w:p w14:paraId="171DA371" w14:textId="2F34CEE2" w:rsidR="00C8603D" w:rsidRDefault="00EA64E4" w:rsidP="00333F76">
      <w:pPr>
        <w:rPr>
          <w:color w:val="000000"/>
        </w:rPr>
      </w:pPr>
      <w:r>
        <w:t xml:space="preserve">Harry Annison’s </w:t>
      </w:r>
      <w:r>
        <w:rPr>
          <w:i/>
        </w:rPr>
        <w:t>Dangerous Politics</w:t>
      </w:r>
      <w:r>
        <w:t xml:space="preserve"> is an in-depth study of the </w:t>
      </w:r>
      <w:r w:rsidR="00B30E33">
        <w:t>‘</w:t>
      </w:r>
      <w:r w:rsidR="00A10F83" w:rsidRPr="007F74EB">
        <w:rPr>
          <w:color w:val="000000"/>
        </w:rPr>
        <w:t>creation, contestation, amendment, and abolition</w:t>
      </w:r>
      <w:r w:rsidR="00B30E33">
        <w:rPr>
          <w:color w:val="000000"/>
        </w:rPr>
        <w:t>’</w:t>
      </w:r>
      <w:r w:rsidR="00A10F83" w:rsidRPr="007F74EB">
        <w:rPr>
          <w:color w:val="000000"/>
        </w:rPr>
        <w:t xml:space="preserve"> of the</w:t>
      </w:r>
      <w:r w:rsidR="00A10F83">
        <w:rPr>
          <w:color w:val="000000"/>
        </w:rPr>
        <w:t xml:space="preserve"> controversial</w:t>
      </w:r>
      <w:r w:rsidR="00A10F83" w:rsidRPr="007F74EB">
        <w:rPr>
          <w:color w:val="000000"/>
        </w:rPr>
        <w:t xml:space="preserve"> </w:t>
      </w:r>
      <w:r w:rsidR="009E5E09">
        <w:rPr>
          <w:color w:val="000000"/>
          <w:shd w:val="clear" w:color="auto" w:fill="FFFFFF"/>
          <w:lang w:eastAsia="en-US"/>
        </w:rPr>
        <w:t>indeterminate sentence of imprisonment for public protection (IPP)</w:t>
      </w:r>
      <w:r w:rsidR="006F350E">
        <w:rPr>
          <w:color w:val="000000"/>
          <w:shd w:val="clear" w:color="auto" w:fill="FFFFFF"/>
          <w:lang w:eastAsia="en-US"/>
        </w:rPr>
        <w:t xml:space="preserve"> (</w:t>
      </w:r>
      <w:r w:rsidR="00CD3288">
        <w:rPr>
          <w:color w:val="000000"/>
        </w:rPr>
        <w:t>p.</w:t>
      </w:r>
      <w:r w:rsidR="006F350E">
        <w:rPr>
          <w:color w:val="000000"/>
          <w:shd w:val="clear" w:color="auto" w:fill="FFFFFF"/>
          <w:lang w:eastAsia="en-US"/>
        </w:rPr>
        <w:t>3)</w:t>
      </w:r>
      <w:r w:rsidR="00C04339">
        <w:rPr>
          <w:color w:val="000000"/>
          <w:shd w:val="clear" w:color="auto" w:fill="FFFFFF"/>
          <w:lang w:eastAsia="en-US"/>
        </w:rPr>
        <w:t>.</w:t>
      </w:r>
      <w:r w:rsidR="00101365">
        <w:rPr>
          <w:color w:val="000000"/>
          <w:shd w:val="clear" w:color="auto" w:fill="FFFFFF"/>
          <w:lang w:eastAsia="en-US"/>
        </w:rPr>
        <w:t xml:space="preserve"> </w:t>
      </w:r>
      <w:r w:rsidR="00396CC4">
        <w:rPr>
          <w:color w:val="000000"/>
          <w:shd w:val="clear" w:color="auto" w:fill="FFFFFF"/>
          <w:lang w:eastAsia="en-US"/>
        </w:rPr>
        <w:t>The book addresses the important question</w:t>
      </w:r>
      <w:r w:rsidR="00CD3288">
        <w:rPr>
          <w:color w:val="000000"/>
          <w:shd w:val="clear" w:color="auto" w:fill="FFFFFF"/>
          <w:lang w:eastAsia="en-US"/>
        </w:rPr>
        <w:t>, first posed by Brown (2010:43),</w:t>
      </w:r>
      <w:r w:rsidR="00396CC4">
        <w:rPr>
          <w:color w:val="000000"/>
          <w:shd w:val="clear" w:color="auto" w:fill="FFFFFF"/>
          <w:lang w:eastAsia="en-US"/>
        </w:rPr>
        <w:t xml:space="preserve"> of</w:t>
      </w:r>
      <w:r w:rsidR="00B173C1">
        <w:rPr>
          <w:color w:val="000000"/>
        </w:rPr>
        <w:t xml:space="preserve"> </w:t>
      </w:r>
      <w:r w:rsidR="00B173C1" w:rsidRPr="007F74EB">
        <w:rPr>
          <w:color w:val="000000"/>
        </w:rPr>
        <w:t>‘</w:t>
      </w:r>
      <w:r w:rsidR="00B173C1">
        <w:rPr>
          <w:color w:val="000000"/>
        </w:rPr>
        <w:t>w</w:t>
      </w:r>
      <w:r w:rsidR="00B173C1" w:rsidRPr="007F74EB">
        <w:rPr>
          <w:color w:val="000000"/>
        </w:rPr>
        <w:t>hy, in modern liberal societies, do we seem so willing to trade away the liberty rights of those deemed dangerous and why in such a wholesale fashion?’</w:t>
      </w:r>
      <w:r w:rsidR="00B173C1">
        <w:rPr>
          <w:color w:val="000000"/>
        </w:rPr>
        <w:t xml:space="preserve"> (Annison, 2015: xi</w:t>
      </w:r>
      <w:r w:rsidR="00B173C1" w:rsidRPr="00AB4354">
        <w:rPr>
          <w:color w:val="000000"/>
        </w:rPr>
        <w:t>)</w:t>
      </w:r>
      <w:r w:rsidR="00B173C1">
        <w:rPr>
          <w:color w:val="000000"/>
        </w:rPr>
        <w:t xml:space="preserve">. </w:t>
      </w:r>
      <w:r w:rsidR="00396CC4">
        <w:rPr>
          <w:color w:val="000000"/>
        </w:rPr>
        <w:t>Annison uses a framework of ‘</w:t>
      </w:r>
      <w:r w:rsidR="00396CC4" w:rsidRPr="00195C6A">
        <w:rPr>
          <w:color w:val="000000"/>
        </w:rPr>
        <w:t>interpretive political</w:t>
      </w:r>
      <w:r w:rsidR="00396CC4">
        <w:rPr>
          <w:color w:val="000000"/>
        </w:rPr>
        <w:t xml:space="preserve"> analysis’</w:t>
      </w:r>
      <w:r w:rsidR="00BE1FCB">
        <w:rPr>
          <w:color w:val="000000"/>
        </w:rPr>
        <w:t xml:space="preserve"> (p.</w:t>
      </w:r>
      <w:r w:rsidR="00E95E46">
        <w:rPr>
          <w:color w:val="000000"/>
        </w:rPr>
        <w:t>xii)</w:t>
      </w:r>
      <w:r w:rsidR="00396CC4">
        <w:rPr>
          <w:color w:val="000000"/>
        </w:rPr>
        <w:t xml:space="preserve"> to explore how and why the IPP sentence came </w:t>
      </w:r>
      <w:r w:rsidR="006F350E">
        <w:rPr>
          <w:color w:val="000000"/>
        </w:rPr>
        <w:t>into existence</w:t>
      </w:r>
      <w:r w:rsidR="00CD3288">
        <w:rPr>
          <w:color w:val="000000"/>
        </w:rPr>
        <w:t>,</w:t>
      </w:r>
      <w:r w:rsidR="00396CC4">
        <w:rPr>
          <w:color w:val="000000"/>
        </w:rPr>
        <w:t xml:space="preserve"> and why potentially restraining influences appeared to have little effect </w:t>
      </w:r>
      <w:r w:rsidR="006F350E">
        <w:rPr>
          <w:color w:val="000000"/>
        </w:rPr>
        <w:t>o</w:t>
      </w:r>
      <w:r w:rsidR="00396CC4">
        <w:rPr>
          <w:color w:val="000000"/>
        </w:rPr>
        <w:t xml:space="preserve">n </w:t>
      </w:r>
      <w:r w:rsidR="006F350E">
        <w:rPr>
          <w:color w:val="000000"/>
        </w:rPr>
        <w:t xml:space="preserve">the progress of </w:t>
      </w:r>
      <w:r w:rsidR="00396CC4">
        <w:rPr>
          <w:color w:val="000000"/>
        </w:rPr>
        <w:t xml:space="preserve">a policy that was to </w:t>
      </w:r>
      <w:r w:rsidR="00474E64">
        <w:rPr>
          <w:color w:val="000000"/>
        </w:rPr>
        <w:t>prove so</w:t>
      </w:r>
      <w:r w:rsidR="00AA7883">
        <w:rPr>
          <w:color w:val="000000"/>
        </w:rPr>
        <w:t xml:space="preserve"> </w:t>
      </w:r>
      <w:r w:rsidR="00474E64">
        <w:rPr>
          <w:color w:val="000000"/>
        </w:rPr>
        <w:t>damaging.</w:t>
      </w:r>
      <w:r w:rsidR="00EE53ED">
        <w:rPr>
          <w:color w:val="000000"/>
        </w:rPr>
        <w:t xml:space="preserve"> </w:t>
      </w:r>
      <w:r w:rsidR="00CD3288">
        <w:rPr>
          <w:color w:val="000000"/>
          <w:shd w:val="clear" w:color="auto" w:fill="FFFFFF"/>
          <w:lang w:eastAsia="en-US"/>
        </w:rPr>
        <w:t>By</w:t>
      </w:r>
      <w:r w:rsidR="00333F76">
        <w:rPr>
          <w:color w:val="000000"/>
          <w:shd w:val="clear" w:color="auto" w:fill="FFFFFF"/>
          <w:lang w:eastAsia="en-US"/>
        </w:rPr>
        <w:t xml:space="preserve"> weaving </w:t>
      </w:r>
      <w:r w:rsidR="00333F76">
        <w:rPr>
          <w:color w:val="000000"/>
        </w:rPr>
        <w:t>a rich and authoritative</w:t>
      </w:r>
      <w:r w:rsidR="00333F76">
        <w:rPr>
          <w:color w:val="000000"/>
          <w:shd w:val="clear" w:color="auto" w:fill="FFFFFF"/>
          <w:lang w:eastAsia="en-US"/>
        </w:rPr>
        <w:t xml:space="preserve"> narrative, </w:t>
      </w:r>
      <w:r w:rsidR="007570D8">
        <w:rPr>
          <w:color w:val="000000"/>
        </w:rPr>
        <w:t xml:space="preserve">he </w:t>
      </w:r>
      <w:r w:rsidR="00333F76">
        <w:rPr>
          <w:color w:val="000000"/>
        </w:rPr>
        <w:t>skilfully incorporates materials from</w:t>
      </w:r>
      <w:r w:rsidR="007570D8">
        <w:rPr>
          <w:color w:val="000000"/>
        </w:rPr>
        <w:t xml:space="preserve"> an impressive</w:t>
      </w:r>
      <w:r w:rsidR="00333F76">
        <w:rPr>
          <w:color w:val="000000"/>
        </w:rPr>
        <w:t xml:space="preserve"> 63 </w:t>
      </w:r>
      <w:r w:rsidR="00CD3288">
        <w:rPr>
          <w:color w:val="000000"/>
        </w:rPr>
        <w:t xml:space="preserve">qualitative </w:t>
      </w:r>
      <w:r w:rsidR="00333F76">
        <w:rPr>
          <w:color w:val="000000"/>
        </w:rPr>
        <w:t xml:space="preserve">interviews with key actors and observers, including politicians, civil servants, special advisors, judges and criminal justice practitioners. </w:t>
      </w:r>
    </w:p>
    <w:p w14:paraId="40BC3C87" w14:textId="32A3A09B" w:rsidR="00C8603D" w:rsidRPr="00EE53ED" w:rsidRDefault="00C8603D" w:rsidP="00C8603D">
      <w:pPr>
        <w:rPr>
          <w:color w:val="000000"/>
        </w:rPr>
      </w:pPr>
      <w:r>
        <w:t>As Fergus McNeill and colleagues have argued in a different context, there is a ‘</w:t>
      </w:r>
      <w:r w:rsidRPr="009A0886">
        <w:t>governmentality gap</w:t>
      </w:r>
      <w:r>
        <w:t>’</w:t>
      </w:r>
      <w:r w:rsidRPr="009A0886">
        <w:t xml:space="preserve"> between macro-level </w:t>
      </w:r>
      <w:r>
        <w:t xml:space="preserve">sociological </w:t>
      </w:r>
      <w:r w:rsidRPr="009A0886">
        <w:t xml:space="preserve">accounts of </w:t>
      </w:r>
      <w:r>
        <w:t>‘</w:t>
      </w:r>
      <w:r w:rsidRPr="009A0886">
        <w:t>penal tra</w:t>
      </w:r>
      <w:r>
        <w:t xml:space="preserve">nsformation and reconfiguration’ </w:t>
      </w:r>
      <w:r w:rsidRPr="009A0886">
        <w:t>and the realities</w:t>
      </w:r>
      <w:r>
        <w:t xml:space="preserve"> on the</w:t>
      </w:r>
      <w:r w:rsidRPr="009A0886">
        <w:t xml:space="preserve"> </w:t>
      </w:r>
      <w:r>
        <w:t>‘</w:t>
      </w:r>
      <w:r w:rsidRPr="009A0886">
        <w:t>frontline</w:t>
      </w:r>
      <w:r>
        <w:t>’</w:t>
      </w:r>
      <w:r w:rsidRPr="009A0886">
        <w:t xml:space="preserve"> </w:t>
      </w:r>
      <w:r>
        <w:t xml:space="preserve">revealed by micro-level studies </w:t>
      </w:r>
      <w:r w:rsidRPr="009A0886">
        <w:t xml:space="preserve">(McNeill </w:t>
      </w:r>
      <w:r w:rsidRPr="009A0886">
        <w:rPr>
          <w:i/>
        </w:rPr>
        <w:t>et al.</w:t>
      </w:r>
      <w:r>
        <w:t>, 2009: 420-</w:t>
      </w:r>
      <w:r w:rsidRPr="009A0886">
        <w:t xml:space="preserve">421). </w:t>
      </w:r>
      <w:r w:rsidR="007570D8">
        <w:t>E</w:t>
      </w:r>
      <w:r w:rsidRPr="009A0886">
        <w:t>mpirically-grounded accounts</w:t>
      </w:r>
      <w:r>
        <w:t xml:space="preserve"> of penal policy, such as that presented by Annison, may ‘</w:t>
      </w:r>
      <w:r w:rsidRPr="009A0886">
        <w:t>be best understood not as a counter-example to accounts of penal transformation but as evidence of an incompleteness in their analyses</w:t>
      </w:r>
      <w:r>
        <w:t>’</w:t>
      </w:r>
      <w:r w:rsidRPr="009A0886">
        <w:t xml:space="preserve"> (McNeill </w:t>
      </w:r>
      <w:r w:rsidRPr="00A80714">
        <w:rPr>
          <w:i/>
        </w:rPr>
        <w:t>et al.</w:t>
      </w:r>
      <w:r>
        <w:t xml:space="preserve">, 2009: </w:t>
      </w:r>
      <w:r w:rsidRPr="009A0886">
        <w:t>420).</w:t>
      </w:r>
      <w:r>
        <w:t xml:space="preserve"> </w:t>
      </w:r>
      <w:r w:rsidRPr="00E871D2">
        <w:rPr>
          <w:i/>
        </w:rPr>
        <w:t>Dangerous Politics</w:t>
      </w:r>
      <w:r>
        <w:t xml:space="preserve"> affords plentiful evidence of this ‘incompleteness’</w:t>
      </w:r>
      <w:r w:rsidR="00E95E46">
        <w:t xml:space="preserve"> </w:t>
      </w:r>
      <w:r w:rsidR="00E95E46" w:rsidRPr="009A0886">
        <w:t xml:space="preserve">(McNeill </w:t>
      </w:r>
      <w:r w:rsidR="00E95E46" w:rsidRPr="00A80714">
        <w:rPr>
          <w:i/>
        </w:rPr>
        <w:t>et al.</w:t>
      </w:r>
      <w:r w:rsidR="00E95E46">
        <w:t xml:space="preserve">, 2009: </w:t>
      </w:r>
      <w:r w:rsidR="00E95E46" w:rsidRPr="009A0886">
        <w:t>420)</w:t>
      </w:r>
      <w:r w:rsidR="00FE535F">
        <w:t xml:space="preserve"> by highlighting</w:t>
      </w:r>
      <w:r>
        <w:t xml:space="preserve"> how</w:t>
      </w:r>
      <w:r w:rsidR="0072318B">
        <w:t xml:space="preserve"> British</w:t>
      </w:r>
      <w:r>
        <w:t xml:space="preserve"> political traditions </w:t>
      </w:r>
      <w:r w:rsidR="007570D8">
        <w:t xml:space="preserve">and </w:t>
      </w:r>
      <w:r>
        <w:t>structural and social factors influence</w:t>
      </w:r>
      <w:r w:rsidR="00B65A0D">
        <w:t xml:space="preserve"> the translation of</w:t>
      </w:r>
      <w:r>
        <w:t xml:space="preserve"> </w:t>
      </w:r>
      <w:r w:rsidR="0072318B">
        <w:t>macro-level trends, such as the ris</w:t>
      </w:r>
      <w:r w:rsidR="00F50AD6">
        <w:t>e</w:t>
      </w:r>
      <w:r w:rsidR="0072318B">
        <w:t xml:space="preserve"> of</w:t>
      </w:r>
      <w:r w:rsidR="00DE679F">
        <w:t xml:space="preserve"> </w:t>
      </w:r>
      <w:r w:rsidR="0072318B">
        <w:t>risk and</w:t>
      </w:r>
      <w:r w:rsidR="002113F8">
        <w:t xml:space="preserve"> of</w:t>
      </w:r>
      <w:r w:rsidR="0072318B">
        <w:t xml:space="preserve"> ‘the public voice’</w:t>
      </w:r>
      <w:r w:rsidR="002113F8">
        <w:t xml:space="preserve"> (Annison</w:t>
      </w:r>
      <w:r w:rsidR="0022114E">
        <w:t>,</w:t>
      </w:r>
      <w:r w:rsidR="002113F8">
        <w:t xml:space="preserve"> 2015: 31)</w:t>
      </w:r>
      <w:r w:rsidR="00B65A0D">
        <w:t>,</w:t>
      </w:r>
      <w:r w:rsidR="007570D8">
        <w:t xml:space="preserve"> </w:t>
      </w:r>
      <w:r>
        <w:t>into reality.</w:t>
      </w:r>
    </w:p>
    <w:p w14:paraId="769FE428" w14:textId="0ED507D0" w:rsidR="00DE4194" w:rsidRDefault="00D402E3" w:rsidP="00D85A91">
      <w:pPr>
        <w:rPr>
          <w:color w:val="000000"/>
        </w:rPr>
      </w:pPr>
      <w:r>
        <w:rPr>
          <w:color w:val="000000"/>
        </w:rPr>
        <w:t xml:space="preserve">The </w:t>
      </w:r>
      <w:r w:rsidR="00DE679F">
        <w:rPr>
          <w:color w:val="000000"/>
        </w:rPr>
        <w:t>‘</w:t>
      </w:r>
      <w:r>
        <w:rPr>
          <w:color w:val="000000"/>
        </w:rPr>
        <w:t>IPP story’</w:t>
      </w:r>
      <w:r w:rsidR="00DE679F">
        <w:rPr>
          <w:color w:val="000000"/>
        </w:rPr>
        <w:t xml:space="preserve"> (</w:t>
      </w:r>
      <w:r w:rsidR="0022114E">
        <w:t xml:space="preserve">Annison, 2015: </w:t>
      </w:r>
      <w:r w:rsidR="00DE679F">
        <w:rPr>
          <w:color w:val="000000"/>
        </w:rPr>
        <w:t>xiv)</w:t>
      </w:r>
      <w:r>
        <w:rPr>
          <w:color w:val="000000"/>
        </w:rPr>
        <w:t xml:space="preserve"> begins in</w:t>
      </w:r>
      <w:r w:rsidR="000B47B3">
        <w:rPr>
          <w:color w:val="000000"/>
        </w:rPr>
        <w:t xml:space="preserve"> Chapter 2,</w:t>
      </w:r>
      <w:r>
        <w:rPr>
          <w:color w:val="000000"/>
        </w:rPr>
        <w:t xml:space="preserve"> </w:t>
      </w:r>
      <w:r w:rsidR="00E638D2">
        <w:rPr>
          <w:color w:val="000000"/>
        </w:rPr>
        <w:t>outlin</w:t>
      </w:r>
      <w:r w:rsidR="00CD3288">
        <w:rPr>
          <w:color w:val="000000"/>
        </w:rPr>
        <w:t>ing</w:t>
      </w:r>
      <w:r w:rsidR="00E638D2">
        <w:rPr>
          <w:color w:val="000000"/>
        </w:rPr>
        <w:t xml:space="preserve"> how the ‘real problem’ </w:t>
      </w:r>
      <w:r w:rsidR="00DE679F">
        <w:rPr>
          <w:color w:val="000000"/>
        </w:rPr>
        <w:t>(</w:t>
      </w:r>
      <w:r w:rsidR="0022114E">
        <w:t>p.</w:t>
      </w:r>
      <w:r w:rsidR="00DE679F">
        <w:rPr>
          <w:color w:val="000000"/>
        </w:rPr>
        <w:t xml:space="preserve">30) </w:t>
      </w:r>
      <w:r w:rsidR="00E638D2">
        <w:rPr>
          <w:color w:val="000000"/>
        </w:rPr>
        <w:t xml:space="preserve">of dangerous offenders released from determinate prison sentences, the ‘enabling tools’ </w:t>
      </w:r>
      <w:r w:rsidR="00DE679F">
        <w:rPr>
          <w:color w:val="000000"/>
        </w:rPr>
        <w:t>(</w:t>
      </w:r>
      <w:r w:rsidR="0022114E">
        <w:t>p.</w:t>
      </w:r>
      <w:r w:rsidR="00DE679F">
        <w:rPr>
          <w:color w:val="000000"/>
        </w:rPr>
        <w:t xml:space="preserve">36) </w:t>
      </w:r>
      <w:r w:rsidR="00E638D2">
        <w:rPr>
          <w:color w:val="000000"/>
        </w:rPr>
        <w:t>of risk assessment and the ‘rise of the public voice’</w:t>
      </w:r>
      <w:r w:rsidR="00DE679F">
        <w:rPr>
          <w:color w:val="000000"/>
        </w:rPr>
        <w:t xml:space="preserve"> (</w:t>
      </w:r>
      <w:r w:rsidR="0022114E">
        <w:t>p.</w:t>
      </w:r>
      <w:r w:rsidR="00DE679F">
        <w:rPr>
          <w:color w:val="000000"/>
        </w:rPr>
        <w:t>31)</w:t>
      </w:r>
      <w:r w:rsidR="00E638D2">
        <w:rPr>
          <w:color w:val="000000"/>
        </w:rPr>
        <w:t xml:space="preserve"> contributed to a feeling within government that it had the ability and, indeed, the </w:t>
      </w:r>
      <w:r w:rsidR="00E638D2">
        <w:rPr>
          <w:color w:val="000000"/>
        </w:rPr>
        <w:lastRenderedPageBreak/>
        <w:t>obligation to protect vulnerable citiz</w:t>
      </w:r>
      <w:r w:rsidR="000B47B3">
        <w:rPr>
          <w:color w:val="000000"/>
        </w:rPr>
        <w:t xml:space="preserve">ens from dangerous individuals. </w:t>
      </w:r>
      <w:r w:rsidR="00E638D2">
        <w:rPr>
          <w:color w:val="000000"/>
        </w:rPr>
        <w:t xml:space="preserve">Chapter 3 </w:t>
      </w:r>
      <w:r w:rsidR="009C7BD5">
        <w:rPr>
          <w:color w:val="000000"/>
        </w:rPr>
        <w:t>describes in detail the</w:t>
      </w:r>
      <w:r w:rsidR="00E638D2">
        <w:rPr>
          <w:color w:val="000000"/>
        </w:rPr>
        <w:t xml:space="preserve"> ministerially-led policymaking process</w:t>
      </w:r>
      <w:r w:rsidR="009C7BD5">
        <w:rPr>
          <w:color w:val="000000"/>
        </w:rPr>
        <w:t xml:space="preserve"> that followed</w:t>
      </w:r>
      <w:r w:rsidR="00E638D2">
        <w:rPr>
          <w:color w:val="000000"/>
        </w:rPr>
        <w:t xml:space="preserve"> in which risk prediction</w:t>
      </w:r>
      <w:r w:rsidR="00DE4194">
        <w:rPr>
          <w:color w:val="000000"/>
        </w:rPr>
        <w:t xml:space="preserve"> capabilities</w:t>
      </w:r>
      <w:r w:rsidR="00E638D2">
        <w:rPr>
          <w:color w:val="000000"/>
        </w:rPr>
        <w:t xml:space="preserve"> were over-estimated and the voices of experts and the public were largely excluded from discussions.</w:t>
      </w:r>
      <w:r w:rsidR="00DA676E">
        <w:rPr>
          <w:color w:val="000000"/>
        </w:rPr>
        <w:t xml:space="preserve"> </w:t>
      </w:r>
      <w:r w:rsidR="007E00CE">
        <w:rPr>
          <w:color w:val="000000"/>
        </w:rPr>
        <w:t>Continuing the theme of exclusion, C</w:t>
      </w:r>
      <w:r w:rsidR="008F0879">
        <w:rPr>
          <w:color w:val="000000"/>
        </w:rPr>
        <w:t>hapter 4 ex</w:t>
      </w:r>
      <w:r w:rsidR="0047364E">
        <w:rPr>
          <w:color w:val="000000"/>
        </w:rPr>
        <w:t>amines</w:t>
      </w:r>
      <w:r w:rsidR="008F0879">
        <w:rPr>
          <w:color w:val="000000"/>
        </w:rPr>
        <w:t xml:space="preserve"> the struggles of penal reform groups and parliam</w:t>
      </w:r>
      <w:r w:rsidR="00A52618">
        <w:rPr>
          <w:color w:val="000000"/>
        </w:rPr>
        <w:t>entarians to raise</w:t>
      </w:r>
      <w:r w:rsidR="008F0879">
        <w:rPr>
          <w:color w:val="000000"/>
        </w:rPr>
        <w:t xml:space="preserve"> concerns about </w:t>
      </w:r>
      <w:r w:rsidR="00A52618">
        <w:rPr>
          <w:color w:val="000000"/>
        </w:rPr>
        <w:t>a</w:t>
      </w:r>
      <w:r w:rsidR="008F0879">
        <w:rPr>
          <w:color w:val="000000"/>
        </w:rPr>
        <w:t xml:space="preserve"> ballooning prison population and </w:t>
      </w:r>
      <w:r w:rsidR="00204275">
        <w:rPr>
          <w:color w:val="000000"/>
        </w:rPr>
        <w:t xml:space="preserve">the fate of </w:t>
      </w:r>
      <w:r w:rsidR="008F0879">
        <w:rPr>
          <w:color w:val="000000"/>
        </w:rPr>
        <w:t>IPP prisoners becoming stuck in an under-resourced system.</w:t>
      </w:r>
      <w:r w:rsidR="00D13A5F">
        <w:rPr>
          <w:color w:val="000000"/>
        </w:rPr>
        <w:t xml:space="preserve"> </w:t>
      </w:r>
    </w:p>
    <w:p w14:paraId="0ED9E29A" w14:textId="6C9C72D3" w:rsidR="009B6F35" w:rsidRDefault="005A75EF" w:rsidP="00D85A91">
      <w:pPr>
        <w:rPr>
          <w:color w:val="000000"/>
        </w:rPr>
      </w:pPr>
      <w:r>
        <w:rPr>
          <w:color w:val="000000"/>
        </w:rPr>
        <w:t xml:space="preserve">In </w:t>
      </w:r>
      <w:r w:rsidR="00D85A91">
        <w:rPr>
          <w:color w:val="000000"/>
        </w:rPr>
        <w:t>Chapter 5</w:t>
      </w:r>
      <w:r>
        <w:rPr>
          <w:color w:val="000000"/>
        </w:rPr>
        <w:t>, Annison prese</w:t>
      </w:r>
      <w:bookmarkStart w:id="0" w:name="_GoBack"/>
      <w:bookmarkEnd w:id="0"/>
      <w:r>
        <w:rPr>
          <w:color w:val="000000"/>
        </w:rPr>
        <w:t xml:space="preserve">nts a sociologically informed analysis of the role of </w:t>
      </w:r>
      <w:r w:rsidR="00FB53E3">
        <w:rPr>
          <w:color w:val="000000"/>
        </w:rPr>
        <w:t>the judiciary</w:t>
      </w:r>
      <w:r>
        <w:rPr>
          <w:color w:val="000000"/>
        </w:rPr>
        <w:t xml:space="preserve"> </w:t>
      </w:r>
      <w:r w:rsidR="000126AC">
        <w:rPr>
          <w:color w:val="000000"/>
        </w:rPr>
        <w:t xml:space="preserve">in </w:t>
      </w:r>
      <w:r>
        <w:rPr>
          <w:color w:val="000000"/>
        </w:rPr>
        <w:t>‘rein</w:t>
      </w:r>
      <w:r w:rsidR="000126AC">
        <w:rPr>
          <w:color w:val="000000"/>
        </w:rPr>
        <w:t>ing</w:t>
      </w:r>
      <w:r>
        <w:rPr>
          <w:color w:val="000000"/>
        </w:rPr>
        <w:t xml:space="preserve"> in’</w:t>
      </w:r>
      <w:r w:rsidR="00DE679F">
        <w:rPr>
          <w:color w:val="000000"/>
        </w:rPr>
        <w:t xml:space="preserve"> (</w:t>
      </w:r>
      <w:r w:rsidR="00781DAA">
        <w:t>p.</w:t>
      </w:r>
      <w:r w:rsidR="00DE679F">
        <w:rPr>
          <w:color w:val="000000"/>
        </w:rPr>
        <w:t>103)</w:t>
      </w:r>
      <w:r>
        <w:rPr>
          <w:color w:val="000000"/>
        </w:rPr>
        <w:t xml:space="preserve"> the effects of the IPP</w:t>
      </w:r>
      <w:r w:rsidR="00F14031">
        <w:rPr>
          <w:color w:val="000000"/>
        </w:rPr>
        <w:t xml:space="preserve"> in a series of court cases brought by prisoners</w:t>
      </w:r>
      <w:r>
        <w:rPr>
          <w:color w:val="000000"/>
        </w:rPr>
        <w:t xml:space="preserve">. This chapter </w:t>
      </w:r>
      <w:r w:rsidR="00B46CDA">
        <w:rPr>
          <w:color w:val="000000"/>
        </w:rPr>
        <w:t>eschews</w:t>
      </w:r>
      <w:r>
        <w:rPr>
          <w:color w:val="000000"/>
        </w:rPr>
        <w:t xml:space="preserve"> traditional doctrinal approaches to legal analysis and explains how cultural and structural factors unique to the British context conditioned the role the law could play</w:t>
      </w:r>
      <w:r w:rsidR="000126AC">
        <w:rPr>
          <w:color w:val="000000"/>
        </w:rPr>
        <w:t xml:space="preserve"> as a moderating influence</w:t>
      </w:r>
      <w:r w:rsidR="0083006A">
        <w:rPr>
          <w:color w:val="000000"/>
        </w:rPr>
        <w:t xml:space="preserve"> on p</w:t>
      </w:r>
      <w:r w:rsidR="00B12B7A">
        <w:rPr>
          <w:color w:val="000000"/>
        </w:rPr>
        <w:t>enal p</w:t>
      </w:r>
      <w:r w:rsidR="0083006A">
        <w:rPr>
          <w:color w:val="000000"/>
        </w:rPr>
        <w:t>olicy</w:t>
      </w:r>
      <w:r w:rsidR="00B51F4A">
        <w:rPr>
          <w:color w:val="000000"/>
        </w:rPr>
        <w:t xml:space="preserve">. </w:t>
      </w:r>
      <w:r w:rsidR="007F384F">
        <w:rPr>
          <w:color w:val="000000"/>
        </w:rPr>
        <w:t>The paradoxes</w:t>
      </w:r>
      <w:r w:rsidR="00F14031">
        <w:rPr>
          <w:color w:val="000000"/>
        </w:rPr>
        <w:t xml:space="preserve"> of the</w:t>
      </w:r>
      <w:r>
        <w:rPr>
          <w:color w:val="000000"/>
        </w:rPr>
        <w:t xml:space="preserve"> </w:t>
      </w:r>
      <w:r w:rsidR="00F14031">
        <w:rPr>
          <w:color w:val="000000"/>
        </w:rPr>
        <w:t xml:space="preserve">liberal but </w:t>
      </w:r>
      <w:r w:rsidR="00672655">
        <w:rPr>
          <w:color w:val="000000"/>
        </w:rPr>
        <w:t xml:space="preserve">deferential </w:t>
      </w:r>
      <w:r w:rsidR="00C91B89">
        <w:rPr>
          <w:color w:val="000000"/>
        </w:rPr>
        <w:t>‘</w:t>
      </w:r>
      <w:r>
        <w:rPr>
          <w:color w:val="000000"/>
        </w:rPr>
        <w:t>senior judicial tradition</w:t>
      </w:r>
      <w:r w:rsidR="00C91B89">
        <w:rPr>
          <w:color w:val="000000"/>
        </w:rPr>
        <w:t>’</w:t>
      </w:r>
      <w:r w:rsidR="00DE679F">
        <w:rPr>
          <w:color w:val="000000"/>
        </w:rPr>
        <w:t xml:space="preserve"> (</w:t>
      </w:r>
      <w:r w:rsidR="0022114E">
        <w:t>p.</w:t>
      </w:r>
      <w:r w:rsidR="00DE679F">
        <w:rPr>
          <w:color w:val="000000"/>
        </w:rPr>
        <w:t>104)</w:t>
      </w:r>
      <w:r>
        <w:rPr>
          <w:color w:val="000000"/>
        </w:rPr>
        <w:t xml:space="preserve"> are particularly well brought-out and </w:t>
      </w:r>
      <w:r w:rsidR="0044002E">
        <w:rPr>
          <w:color w:val="000000"/>
        </w:rPr>
        <w:t>constitute a fascinating case study</w:t>
      </w:r>
      <w:r w:rsidR="00CD3288">
        <w:rPr>
          <w:color w:val="000000"/>
        </w:rPr>
        <w:t xml:space="preserve"> in and of</w:t>
      </w:r>
      <w:r w:rsidR="008F3759">
        <w:rPr>
          <w:color w:val="000000"/>
        </w:rPr>
        <w:t xml:space="preserve"> </w:t>
      </w:r>
      <w:r w:rsidR="00B46CDA">
        <w:rPr>
          <w:color w:val="000000"/>
        </w:rPr>
        <w:t>themselves</w:t>
      </w:r>
      <w:r w:rsidR="0044002E">
        <w:rPr>
          <w:color w:val="000000"/>
        </w:rPr>
        <w:t xml:space="preserve">. </w:t>
      </w:r>
    </w:p>
    <w:p w14:paraId="3AD6EF2A" w14:textId="48EE02C9" w:rsidR="00F93610" w:rsidRDefault="009B6F35" w:rsidP="00E73683">
      <w:pPr>
        <w:rPr>
          <w:color w:val="000000"/>
        </w:rPr>
      </w:pPr>
      <w:r>
        <w:rPr>
          <w:color w:val="000000"/>
        </w:rPr>
        <w:t>Chapter 6 follows</w:t>
      </w:r>
      <w:r w:rsidR="00A31297">
        <w:rPr>
          <w:color w:val="000000"/>
        </w:rPr>
        <w:t xml:space="preserve"> </w:t>
      </w:r>
      <w:r>
        <w:rPr>
          <w:color w:val="000000"/>
        </w:rPr>
        <w:t>with an account o</w:t>
      </w:r>
      <w:r w:rsidR="007F2E53">
        <w:rPr>
          <w:color w:val="000000"/>
        </w:rPr>
        <w:t>f political</w:t>
      </w:r>
      <w:r>
        <w:rPr>
          <w:color w:val="000000"/>
        </w:rPr>
        <w:t xml:space="preserve"> moves to </w:t>
      </w:r>
      <w:r w:rsidR="00E95E46">
        <w:rPr>
          <w:color w:val="000000"/>
        </w:rPr>
        <w:t>salvage</w:t>
      </w:r>
      <w:r>
        <w:rPr>
          <w:color w:val="000000"/>
        </w:rPr>
        <w:t xml:space="preserve"> the IPP and avoid the</w:t>
      </w:r>
      <w:r w:rsidRPr="00413942">
        <w:rPr>
          <w:color w:val="000000"/>
        </w:rPr>
        <w:t xml:space="preserve"> </w:t>
      </w:r>
      <w:r>
        <w:rPr>
          <w:color w:val="000000"/>
        </w:rPr>
        <w:t>‘</w:t>
      </w:r>
      <w:r w:rsidRPr="00413942">
        <w:rPr>
          <w:color w:val="000000"/>
        </w:rPr>
        <w:t>twin dangers</w:t>
      </w:r>
      <w:r w:rsidR="007F2E53">
        <w:rPr>
          <w:color w:val="000000"/>
        </w:rPr>
        <w:t>’</w:t>
      </w:r>
      <w:r w:rsidR="00DE679F">
        <w:rPr>
          <w:color w:val="000000"/>
        </w:rPr>
        <w:t xml:space="preserve"> (</w:t>
      </w:r>
      <w:r w:rsidR="0022114E">
        <w:t>p.</w:t>
      </w:r>
      <w:r w:rsidR="00DE679F">
        <w:rPr>
          <w:color w:val="000000"/>
        </w:rPr>
        <w:t>130)</w:t>
      </w:r>
      <w:r>
        <w:rPr>
          <w:color w:val="000000"/>
        </w:rPr>
        <w:t xml:space="preserve"> of a </w:t>
      </w:r>
      <w:r w:rsidR="007F2E53">
        <w:rPr>
          <w:color w:val="000000"/>
        </w:rPr>
        <w:t>prison</w:t>
      </w:r>
      <w:r w:rsidRPr="00413942">
        <w:rPr>
          <w:color w:val="000000"/>
        </w:rPr>
        <w:t xml:space="preserve"> crisis and a political crisis</w:t>
      </w:r>
      <w:r>
        <w:rPr>
          <w:color w:val="000000"/>
        </w:rPr>
        <w:t xml:space="preserve">. </w:t>
      </w:r>
      <w:r w:rsidR="00A52618">
        <w:rPr>
          <w:color w:val="000000"/>
        </w:rPr>
        <w:t>Something had to be done to relieve the pressure on an over</w:t>
      </w:r>
      <w:r w:rsidR="00F87530">
        <w:rPr>
          <w:color w:val="000000"/>
        </w:rPr>
        <w:t>burdened prison system but a</w:t>
      </w:r>
      <w:r w:rsidR="008158CF">
        <w:rPr>
          <w:color w:val="000000"/>
        </w:rPr>
        <w:t xml:space="preserve"> </w:t>
      </w:r>
      <w:r w:rsidR="00F87530">
        <w:rPr>
          <w:color w:val="000000"/>
        </w:rPr>
        <w:t>combination of the ‘dangerous’ label</w:t>
      </w:r>
      <w:r w:rsidR="008158CF">
        <w:rPr>
          <w:color w:val="000000"/>
        </w:rPr>
        <w:t xml:space="preserve"> </w:t>
      </w:r>
      <w:r w:rsidR="00F87530">
        <w:rPr>
          <w:color w:val="000000"/>
        </w:rPr>
        <w:t>attached to IPP prisoners and</w:t>
      </w:r>
      <w:r w:rsidR="00A52618">
        <w:rPr>
          <w:color w:val="000000"/>
        </w:rPr>
        <w:t xml:space="preserve"> the ‘penal arms race’</w:t>
      </w:r>
      <w:r w:rsidR="00F87530">
        <w:rPr>
          <w:color w:val="000000"/>
        </w:rPr>
        <w:t xml:space="preserve"> </w:t>
      </w:r>
      <w:r w:rsidR="00DE679F">
        <w:rPr>
          <w:color w:val="000000"/>
        </w:rPr>
        <w:t>(</w:t>
      </w:r>
      <w:r w:rsidR="0022114E">
        <w:t>p.</w:t>
      </w:r>
      <w:r w:rsidR="00DE679F">
        <w:t xml:space="preserve">130) </w:t>
      </w:r>
      <w:r w:rsidR="00F87530">
        <w:rPr>
          <w:color w:val="000000"/>
        </w:rPr>
        <w:t>severely limited the government’s options</w:t>
      </w:r>
      <w:r w:rsidR="00A52618">
        <w:rPr>
          <w:color w:val="000000"/>
        </w:rPr>
        <w:t xml:space="preserve">. </w:t>
      </w:r>
      <w:r w:rsidR="00201354">
        <w:rPr>
          <w:color w:val="000000"/>
        </w:rPr>
        <w:t xml:space="preserve">Chapter 7 explores how the liberal strands of traditional conservatism and the </w:t>
      </w:r>
      <w:r w:rsidR="00574B46">
        <w:rPr>
          <w:color w:val="000000"/>
        </w:rPr>
        <w:t xml:space="preserve">easing </w:t>
      </w:r>
      <w:r w:rsidR="00201354">
        <w:rPr>
          <w:color w:val="000000"/>
        </w:rPr>
        <w:t xml:space="preserve">of the pressures of the election cycle finally allowed the sentence to be abolished by the Coalition government. </w:t>
      </w:r>
      <w:r w:rsidR="00A91C43">
        <w:rPr>
          <w:color w:val="000000"/>
        </w:rPr>
        <w:t>A chink of li</w:t>
      </w:r>
      <w:r w:rsidR="00761882">
        <w:rPr>
          <w:color w:val="000000"/>
        </w:rPr>
        <w:t>ght shines through this chapter and shows</w:t>
      </w:r>
      <w:r>
        <w:rPr>
          <w:color w:val="000000"/>
        </w:rPr>
        <w:t xml:space="preserve"> a way</w:t>
      </w:r>
      <w:r w:rsidR="00A91C43">
        <w:rPr>
          <w:color w:val="000000"/>
        </w:rPr>
        <w:t xml:space="preserve"> out of the ‘prisoner’s </w:t>
      </w:r>
      <w:r w:rsidR="001D16F8">
        <w:rPr>
          <w:color w:val="000000"/>
        </w:rPr>
        <w:t xml:space="preserve">dilemma’ </w:t>
      </w:r>
      <w:r w:rsidR="009666A1">
        <w:rPr>
          <w:color w:val="000000"/>
        </w:rPr>
        <w:t>in</w:t>
      </w:r>
      <w:r w:rsidR="00B10D42">
        <w:rPr>
          <w:color w:val="000000"/>
        </w:rPr>
        <w:t xml:space="preserve"> penal politics </w:t>
      </w:r>
      <w:r w:rsidR="009166FE">
        <w:rPr>
          <w:color w:val="000000"/>
        </w:rPr>
        <w:t>(</w:t>
      </w:r>
      <w:r>
        <w:rPr>
          <w:color w:val="000000"/>
        </w:rPr>
        <w:t>Lacey</w:t>
      </w:r>
      <w:r w:rsidR="004F70B0">
        <w:rPr>
          <w:color w:val="000000"/>
        </w:rPr>
        <w:t>,</w:t>
      </w:r>
      <w:r w:rsidR="009166FE">
        <w:rPr>
          <w:color w:val="000000"/>
        </w:rPr>
        <w:t xml:space="preserve"> </w:t>
      </w:r>
      <w:r w:rsidR="00102D8D">
        <w:rPr>
          <w:color w:val="000000"/>
        </w:rPr>
        <w:t>2008</w:t>
      </w:r>
      <w:r w:rsidR="007F2E53">
        <w:rPr>
          <w:color w:val="000000"/>
        </w:rPr>
        <w:t>)</w:t>
      </w:r>
      <w:r w:rsidR="00A91C43">
        <w:rPr>
          <w:color w:val="000000"/>
        </w:rPr>
        <w:t xml:space="preserve">. </w:t>
      </w:r>
    </w:p>
    <w:p w14:paraId="61B11D5A" w14:textId="514E54A4" w:rsidR="00C44A6C" w:rsidRDefault="00F93610" w:rsidP="00E73683">
      <w:pPr>
        <w:rPr>
          <w:color w:val="000000"/>
        </w:rPr>
      </w:pPr>
      <w:r>
        <w:t>Chapter 8 draws together the diverse strands of the preceding chapters to articulate the lessons of the IPP story for penal theory and policymaking.</w:t>
      </w:r>
      <w:r w:rsidRPr="00F1412E">
        <w:rPr>
          <w:color w:val="000000"/>
        </w:rPr>
        <w:t xml:space="preserve"> </w:t>
      </w:r>
      <w:r>
        <w:t>Annison reveals that although the IPP sentence appeared to be an example of populism, members of the public were mere ‘dummy players’ in a drama conducted by elites</w:t>
      </w:r>
      <w:r w:rsidR="00846265">
        <w:t xml:space="preserve"> with</w:t>
      </w:r>
      <w:r>
        <w:t xml:space="preserve"> limited access to public opinion. Combined with </w:t>
      </w:r>
      <w:commentRangeStart w:id="1"/>
      <w:r>
        <w:t xml:space="preserve">the </w:t>
      </w:r>
      <w:r w:rsidR="00F459F0">
        <w:t>‘</w:t>
      </w:r>
      <w:r>
        <w:t>yes minister</w:t>
      </w:r>
      <w:r w:rsidR="00F459F0">
        <w:t>’</w:t>
      </w:r>
      <w:r>
        <w:t xml:space="preserve"> </w:t>
      </w:r>
      <w:commentRangeEnd w:id="1"/>
      <w:r w:rsidR="00781DAA">
        <w:rPr>
          <w:rStyle w:val="CommentReference"/>
        </w:rPr>
        <w:commentReference w:id="1"/>
      </w:r>
      <w:r>
        <w:t>traditions of civil servants in the ‘Westminster model’</w:t>
      </w:r>
      <w:r w:rsidR="00F459F0">
        <w:t xml:space="preserve"> (</w:t>
      </w:r>
      <w:r w:rsidR="00781DAA">
        <w:t>Annison 2015: 4</w:t>
      </w:r>
      <w:r w:rsidR="00842E45">
        <w:t>)</w:t>
      </w:r>
      <w:r>
        <w:t>, a judiciary fettered by legal formali</w:t>
      </w:r>
      <w:r w:rsidR="007C41EA">
        <w:t>sm a</w:t>
      </w:r>
      <w:r w:rsidR="00F15083">
        <w:t>nd deference to parliament and a</w:t>
      </w:r>
      <w:r w:rsidR="007C41EA">
        <w:t xml:space="preserve"> </w:t>
      </w:r>
      <w:r w:rsidR="00DC3E21">
        <w:t xml:space="preserve">cynical and </w:t>
      </w:r>
      <w:r w:rsidR="007C41EA">
        <w:t xml:space="preserve">powerful </w:t>
      </w:r>
      <w:r w:rsidR="00042612">
        <w:t>tabloid</w:t>
      </w:r>
      <w:r w:rsidR="007C41EA">
        <w:t xml:space="preserve"> media, </w:t>
      </w:r>
      <w:r>
        <w:t xml:space="preserve">the negative implications for the state of British </w:t>
      </w:r>
      <w:r w:rsidR="005B2BB4">
        <w:t xml:space="preserve">democracy </w:t>
      </w:r>
      <w:r>
        <w:t>are clear.</w:t>
      </w:r>
      <w:r>
        <w:rPr>
          <w:color w:val="000000"/>
        </w:rPr>
        <w:t xml:space="preserve"> </w:t>
      </w:r>
    </w:p>
    <w:p w14:paraId="050D94D7" w14:textId="4FA0724F" w:rsidR="00586FE9" w:rsidRPr="00C8603D" w:rsidRDefault="00C8603D" w:rsidP="00E73683">
      <w:pPr>
        <w:rPr>
          <w:rFonts w:eastAsia="MS Mincho"/>
        </w:rPr>
      </w:pPr>
      <w:r>
        <w:rPr>
          <w:rFonts w:eastAsia="MS Mincho"/>
        </w:rPr>
        <w:lastRenderedPageBreak/>
        <w:t>Readers will be rewarded by delving into Appendix I, an account of the research process that highlights its rigorous nature and provides valuable practical advice for securing interviews with elites</w:t>
      </w:r>
      <w:r w:rsidR="00CA7DF0">
        <w:rPr>
          <w:rFonts w:eastAsia="MS Mincho"/>
        </w:rPr>
        <w:t>. It also contributes to the existing literature on elite interviewing by putting forward</w:t>
      </w:r>
      <w:r>
        <w:rPr>
          <w:rFonts w:eastAsia="MS Mincho"/>
        </w:rPr>
        <w:t xml:space="preserve"> Annison’s reflections on his own position as an</w:t>
      </w:r>
      <w:r w:rsidR="00A1710A">
        <w:rPr>
          <w:rFonts w:eastAsia="MS Mincho"/>
        </w:rPr>
        <w:t xml:space="preserve"> ‘Oxford man’ and</w:t>
      </w:r>
      <w:r>
        <w:rPr>
          <w:rFonts w:eastAsia="MS Mincho"/>
        </w:rPr>
        <w:t xml:space="preserve"> ‘elite’ researcher</w:t>
      </w:r>
      <w:r w:rsidR="00CA7DF0">
        <w:rPr>
          <w:rFonts w:eastAsia="MS Mincho"/>
        </w:rPr>
        <w:t xml:space="preserve"> </w:t>
      </w:r>
      <w:r w:rsidR="0022114E">
        <w:rPr>
          <w:rFonts w:eastAsia="MS Mincho"/>
        </w:rPr>
        <w:t xml:space="preserve"> (p.</w:t>
      </w:r>
      <w:r w:rsidR="00A1710A">
        <w:rPr>
          <w:rFonts w:eastAsia="MS Mincho"/>
        </w:rPr>
        <w:t>213)</w:t>
      </w:r>
      <w:r>
        <w:rPr>
          <w:rFonts w:eastAsia="MS Mincho"/>
        </w:rPr>
        <w:t xml:space="preserve">. </w:t>
      </w:r>
    </w:p>
    <w:p w14:paraId="730CF68E" w14:textId="78A3192A" w:rsidR="003569CE" w:rsidRDefault="00610012" w:rsidP="003569CE">
      <w:pPr>
        <w:rPr>
          <w:rFonts w:eastAsia="MS Mincho"/>
        </w:rPr>
      </w:pPr>
      <w:r>
        <w:rPr>
          <w:rFonts w:eastAsia="MS Mincho"/>
        </w:rPr>
        <w:t xml:space="preserve">If anything, the strengths of </w:t>
      </w:r>
      <w:r w:rsidR="009666A1">
        <w:rPr>
          <w:rFonts w:eastAsia="MS Mincho"/>
        </w:rPr>
        <w:t>such a</w:t>
      </w:r>
      <w:r>
        <w:rPr>
          <w:rFonts w:eastAsia="MS Mincho"/>
        </w:rPr>
        <w:t xml:space="preserve"> rigorously researched study could have been exploited further in challenging some of the existing criminological literature. </w:t>
      </w:r>
      <w:r w:rsidR="003569CE">
        <w:rPr>
          <w:rFonts w:eastAsia="MS Mincho"/>
        </w:rPr>
        <w:t>Annison identifies ‘</w:t>
      </w:r>
      <w:r w:rsidR="003569CE" w:rsidRPr="00B44AB3">
        <w:rPr>
          <w:rFonts w:eastAsia="MS Mincho"/>
        </w:rPr>
        <w:t>an unresolved</w:t>
      </w:r>
      <w:r w:rsidR="003569CE" w:rsidRPr="00EE1AE8">
        <w:rPr>
          <w:rFonts w:eastAsia="MS Mincho"/>
        </w:rPr>
        <w:t xml:space="preserve"> </w:t>
      </w:r>
      <w:r w:rsidR="00380ECF" w:rsidRPr="00EE1AE8">
        <w:rPr>
          <w:rFonts w:eastAsia="MS Mincho"/>
        </w:rPr>
        <w:t>tension’</w:t>
      </w:r>
      <w:r w:rsidR="00EE1AE8">
        <w:rPr>
          <w:rFonts w:eastAsia="MS Mincho"/>
        </w:rPr>
        <w:t xml:space="preserve"> </w:t>
      </w:r>
      <w:r w:rsidR="00380ECF" w:rsidRPr="00A3138A">
        <w:rPr>
          <w:rStyle w:val="CommentReference"/>
          <w:sz w:val="24"/>
          <w:szCs w:val="24"/>
        </w:rPr>
        <w:t>(</w:t>
      </w:r>
      <w:r w:rsidR="00325A17">
        <w:rPr>
          <w:rFonts w:eastAsia="MS Mincho"/>
        </w:rPr>
        <w:t>p.</w:t>
      </w:r>
      <w:r w:rsidR="00380ECF" w:rsidRPr="00A3138A">
        <w:rPr>
          <w:rStyle w:val="CommentReference"/>
          <w:sz w:val="24"/>
          <w:szCs w:val="24"/>
        </w:rPr>
        <w:t xml:space="preserve">41) </w:t>
      </w:r>
      <w:r w:rsidR="003569CE">
        <w:rPr>
          <w:rFonts w:eastAsia="MS Mincho"/>
        </w:rPr>
        <w:t xml:space="preserve">in the assumptions underlying the IPP sentence: </w:t>
      </w:r>
    </w:p>
    <w:p w14:paraId="2B3A34EB" w14:textId="7E47644D" w:rsidR="003569CE" w:rsidRDefault="003569CE" w:rsidP="003569CE">
      <w:pPr>
        <w:ind w:left="720"/>
        <w:rPr>
          <w:rFonts w:eastAsia="MS Mincho"/>
        </w:rPr>
      </w:pPr>
      <w:r>
        <w:rPr>
          <w:rFonts w:eastAsia="MS Mincho"/>
        </w:rPr>
        <w:t>M</w:t>
      </w:r>
      <w:r w:rsidRPr="00B44AB3">
        <w:rPr>
          <w:rFonts w:eastAsia="MS Mincho"/>
        </w:rPr>
        <w:t>inisters desired a sentence which would protect the public from those posing a significant risk (i</w:t>
      </w:r>
      <w:r>
        <w:rPr>
          <w:rFonts w:eastAsia="MS Mincho"/>
        </w:rPr>
        <w:t>.</w:t>
      </w:r>
      <w:r w:rsidRPr="00B44AB3">
        <w:rPr>
          <w:rFonts w:eastAsia="MS Mincho"/>
        </w:rPr>
        <w:t>e</w:t>
      </w:r>
      <w:r>
        <w:rPr>
          <w:rFonts w:eastAsia="MS Mincho"/>
        </w:rPr>
        <w:t>.</w:t>
      </w:r>
      <w:r w:rsidRPr="00B44AB3">
        <w:rPr>
          <w:rFonts w:eastAsia="MS Mincho"/>
        </w:rPr>
        <w:t xml:space="preserve"> postmodern penal warehousing), but also assumed that processes were in place which would serve to rehabilitate the offender, thus returning them to full citizenship status (i.e. modern goals of welfarism and so</w:t>
      </w:r>
      <w:r>
        <w:rPr>
          <w:rFonts w:eastAsia="MS Mincho"/>
        </w:rPr>
        <w:t>cial engineering) (Annison, 2015: 41)</w:t>
      </w:r>
      <w:r w:rsidRPr="00B44AB3">
        <w:rPr>
          <w:rFonts w:eastAsia="MS Mincho"/>
        </w:rPr>
        <w:t xml:space="preserve">. </w:t>
      </w:r>
    </w:p>
    <w:p w14:paraId="5DF8F6DD" w14:textId="600B68EA" w:rsidR="003569CE" w:rsidRDefault="00610012" w:rsidP="008D11DD">
      <w:pPr>
        <w:rPr>
          <w:rFonts w:eastAsia="MS Mincho"/>
        </w:rPr>
      </w:pPr>
      <w:r>
        <w:t>The characterisation of the goals of incapacitation and rehabilitation as ‘</w:t>
      </w:r>
      <w:r>
        <w:rPr>
          <w:rFonts w:eastAsia="MS Mincho"/>
        </w:rPr>
        <w:t>contradictory’ (Annison, 2015: 41)</w:t>
      </w:r>
      <w:r w:rsidR="00A046E3">
        <w:rPr>
          <w:rFonts w:eastAsia="MS Mincho"/>
        </w:rPr>
        <w:t xml:space="preserve"> deserves further unpacking, and it would be illuminating to explore how Annison’s interviewees sought to reconcile </w:t>
      </w:r>
      <w:r w:rsidR="000F4A91">
        <w:rPr>
          <w:rFonts w:eastAsia="MS Mincho"/>
        </w:rPr>
        <w:t xml:space="preserve">them. The history of attempts to govern dangerous offenders shows that these dual strategies were deployed even in Victorian times (Garland 1985; Pratt 1997; Godfrey, Fox and Farrall 2010.). This indicates that it may be necessary to look beyond the </w:t>
      </w:r>
      <w:r w:rsidR="003C0B2C">
        <w:rPr>
          <w:rFonts w:eastAsia="MS Mincho"/>
        </w:rPr>
        <w:t>often overstated</w:t>
      </w:r>
      <w:r w:rsidR="000F4A91">
        <w:rPr>
          <w:rFonts w:eastAsia="MS Mincho"/>
        </w:rPr>
        <w:t xml:space="preserve"> dichotomies set up between ‘postmodern’ and ‘modern’</w:t>
      </w:r>
      <w:r w:rsidR="00F50AD6">
        <w:rPr>
          <w:rFonts w:eastAsia="MS Mincho"/>
        </w:rPr>
        <w:t xml:space="preserve"> (</w:t>
      </w:r>
      <w:r w:rsidR="00DC5297">
        <w:rPr>
          <w:rFonts w:eastAsia="MS Mincho"/>
        </w:rPr>
        <w:t xml:space="preserve">Annison, 2015: </w:t>
      </w:r>
      <w:r w:rsidR="0036756A">
        <w:rPr>
          <w:rFonts w:eastAsia="MS Mincho"/>
        </w:rPr>
        <w:t>p.</w:t>
      </w:r>
      <w:r w:rsidR="00F50AD6">
        <w:rPr>
          <w:rFonts w:eastAsia="MS Mincho"/>
        </w:rPr>
        <w:t>41)</w:t>
      </w:r>
      <w:r w:rsidR="000F4A91">
        <w:rPr>
          <w:rFonts w:eastAsia="MS Mincho"/>
        </w:rPr>
        <w:t xml:space="preserve"> approaches to crime control to come to a greater understanding of the assumptions underpinning the IPP approach. </w:t>
      </w:r>
    </w:p>
    <w:p w14:paraId="03D65D4E" w14:textId="50478E06" w:rsidR="003569CE" w:rsidRPr="003569CE" w:rsidRDefault="003569CE" w:rsidP="008D11DD">
      <w:pPr>
        <w:rPr>
          <w:rFonts w:eastAsia="MS Mincho"/>
        </w:rPr>
      </w:pPr>
      <w:r>
        <w:rPr>
          <w:rFonts w:eastAsia="MS Mincho"/>
        </w:rPr>
        <w:t>Similarly, the analysis of the IPP sentence as ‘positivist in its underlying assumptions’ (</w:t>
      </w:r>
      <w:r w:rsidR="00380ECF">
        <w:rPr>
          <w:rFonts w:eastAsia="MS Mincho"/>
        </w:rPr>
        <w:t>p.</w:t>
      </w:r>
      <w:r>
        <w:rPr>
          <w:rFonts w:eastAsia="MS Mincho"/>
        </w:rPr>
        <w:t xml:space="preserve">62) reflects the limitations </w:t>
      </w:r>
      <w:r w:rsidR="00556C88">
        <w:rPr>
          <w:rFonts w:eastAsia="MS Mincho"/>
        </w:rPr>
        <w:t xml:space="preserve">of </w:t>
      </w:r>
      <w:r>
        <w:rPr>
          <w:rFonts w:eastAsia="MS Mincho"/>
        </w:rPr>
        <w:t>characterisation</w:t>
      </w:r>
      <w:r w:rsidR="00556C88">
        <w:rPr>
          <w:rFonts w:eastAsia="MS Mincho"/>
        </w:rPr>
        <w:t>s</w:t>
      </w:r>
      <w:r>
        <w:rPr>
          <w:rFonts w:eastAsia="MS Mincho"/>
        </w:rPr>
        <w:t xml:space="preserve"> of the criminal trial as dominated by classical conceptions of the offender and the </w:t>
      </w:r>
      <w:r w:rsidR="002527BD">
        <w:rPr>
          <w:rFonts w:eastAsia="MS Mincho"/>
        </w:rPr>
        <w:t>post-trial period</w:t>
      </w:r>
      <w:r>
        <w:rPr>
          <w:rFonts w:eastAsia="MS Mincho"/>
        </w:rPr>
        <w:t xml:space="preserve"> as influenced by the positivist criminological tradition (Bottoms 1977).</w:t>
      </w:r>
      <w:r w:rsidR="006D44BC">
        <w:rPr>
          <w:rFonts w:eastAsia="MS Mincho"/>
        </w:rPr>
        <w:t xml:space="preserve"> It may be questioned whether the IPP sentence was concerned with pathological offenders or underpinned by positivistic determinism, not least given the focus of current rehabilitative interventions on ‘</w:t>
      </w:r>
      <w:r w:rsidR="006D44BC" w:rsidRPr="00A70F20">
        <w:rPr>
          <w:rFonts w:eastAsia="MS Mincho"/>
        </w:rPr>
        <w:t>the communication of censure and</w:t>
      </w:r>
      <w:r w:rsidR="006D44BC">
        <w:t xml:space="preserve"> the </w:t>
      </w:r>
      <w:r w:rsidR="006D44BC">
        <w:rPr>
          <w:rFonts w:eastAsia="MS Mincho"/>
        </w:rPr>
        <w:t xml:space="preserve">re-moralization or </w:t>
      </w:r>
      <w:r w:rsidR="006D44BC" w:rsidRPr="00A70F20">
        <w:rPr>
          <w:rFonts w:eastAsia="MS Mincho"/>
        </w:rPr>
        <w:t>responsibilization</w:t>
      </w:r>
      <w:r w:rsidR="006D44BC">
        <w:rPr>
          <w:rFonts w:eastAsia="MS Mincho"/>
        </w:rPr>
        <w:t xml:space="preserve"> of offenders</w:t>
      </w:r>
      <w:r w:rsidR="006D44BC" w:rsidRPr="00A70F20">
        <w:rPr>
          <w:rFonts w:eastAsia="MS Mincho"/>
        </w:rPr>
        <w:t>’</w:t>
      </w:r>
      <w:r w:rsidR="006D44BC">
        <w:rPr>
          <w:rFonts w:eastAsia="MS Mincho"/>
        </w:rPr>
        <w:t xml:space="preserve"> (Robinson, 2008</w:t>
      </w:r>
      <w:r w:rsidR="00D45854">
        <w:rPr>
          <w:rFonts w:eastAsia="MS Mincho"/>
        </w:rPr>
        <w:t>: 435</w:t>
      </w:r>
      <w:r w:rsidR="006D44BC">
        <w:rPr>
          <w:rFonts w:eastAsia="MS Mincho"/>
        </w:rPr>
        <w:t>).  Nicola Lacey’s</w:t>
      </w:r>
      <w:r w:rsidR="00747F9E">
        <w:rPr>
          <w:rFonts w:eastAsia="MS Mincho"/>
        </w:rPr>
        <w:t xml:space="preserve"> (</w:t>
      </w:r>
      <w:r w:rsidR="000C0414">
        <w:rPr>
          <w:rFonts w:eastAsia="MS Mincho"/>
        </w:rPr>
        <w:t>2011; 2016</w:t>
      </w:r>
      <w:r w:rsidR="00F10FC4">
        <w:rPr>
          <w:rFonts w:eastAsia="MS Mincho"/>
        </w:rPr>
        <w:t>)</w:t>
      </w:r>
      <w:r w:rsidR="006D44BC">
        <w:rPr>
          <w:rFonts w:eastAsia="MS Mincho"/>
        </w:rPr>
        <w:t xml:space="preserve"> recent work indicates that preventive measures against offenders </w:t>
      </w:r>
      <w:r w:rsidR="00556C88">
        <w:rPr>
          <w:rFonts w:eastAsia="MS Mincho"/>
        </w:rPr>
        <w:t xml:space="preserve">such as the IPP </w:t>
      </w:r>
      <w:r w:rsidR="00556C88">
        <w:rPr>
          <w:rFonts w:eastAsia="MS Mincho"/>
        </w:rPr>
        <w:lastRenderedPageBreak/>
        <w:t xml:space="preserve">sentence </w:t>
      </w:r>
      <w:r w:rsidR="006D44BC">
        <w:rPr>
          <w:rFonts w:eastAsia="MS Mincho"/>
        </w:rPr>
        <w:t>have much in common with the Victorian concept of liability for criminal character</w:t>
      </w:r>
      <w:r w:rsidR="00507155">
        <w:rPr>
          <w:rFonts w:eastAsia="MS Mincho"/>
        </w:rPr>
        <w:t>. T</w:t>
      </w:r>
      <w:r w:rsidR="004941D6">
        <w:rPr>
          <w:rFonts w:eastAsia="MS Mincho"/>
        </w:rPr>
        <w:t xml:space="preserve">his may prove a more productive </w:t>
      </w:r>
      <w:r w:rsidR="00556C88">
        <w:rPr>
          <w:rFonts w:eastAsia="MS Mincho"/>
        </w:rPr>
        <w:t>fr</w:t>
      </w:r>
      <w:r w:rsidR="00507155">
        <w:rPr>
          <w:rFonts w:eastAsia="MS Mincho"/>
        </w:rPr>
        <w:t xml:space="preserve">ame of analysis than positivism given the links between Victorian moralism and </w:t>
      </w:r>
      <w:r w:rsidR="00557486">
        <w:rPr>
          <w:rFonts w:eastAsia="MS Mincho"/>
        </w:rPr>
        <w:t xml:space="preserve">the </w:t>
      </w:r>
      <w:r w:rsidR="004F377E">
        <w:rPr>
          <w:rFonts w:eastAsia="MS Mincho"/>
        </w:rPr>
        <w:t xml:space="preserve">Evangelical </w:t>
      </w:r>
      <w:r w:rsidR="00557486">
        <w:rPr>
          <w:rFonts w:eastAsia="MS Mincho"/>
        </w:rPr>
        <w:t>notion of ‘reform’ (see Garland 1985).</w:t>
      </w:r>
    </w:p>
    <w:p w14:paraId="3DAA719E" w14:textId="5BD2A977" w:rsidR="00E2211E" w:rsidRDefault="008B7B4D" w:rsidP="00B80F3C">
      <w:pPr>
        <w:rPr>
          <w:color w:val="000000"/>
        </w:rPr>
      </w:pPr>
      <w:r>
        <w:rPr>
          <w:color w:val="000000"/>
        </w:rPr>
        <w:t xml:space="preserve">The lessons to be drawn from Annison’s </w:t>
      </w:r>
      <w:r w:rsidR="00031E6D">
        <w:rPr>
          <w:color w:val="000000"/>
        </w:rPr>
        <w:t>study</w:t>
      </w:r>
      <w:r>
        <w:rPr>
          <w:color w:val="000000"/>
        </w:rPr>
        <w:t xml:space="preserve"> are not to be underestimat</w:t>
      </w:r>
      <w:r w:rsidR="00313C07">
        <w:rPr>
          <w:color w:val="000000"/>
        </w:rPr>
        <w:t>ed, as the ‘enabling tools’</w:t>
      </w:r>
      <w:r>
        <w:rPr>
          <w:color w:val="000000"/>
        </w:rPr>
        <w:t xml:space="preserve"> </w:t>
      </w:r>
      <w:r w:rsidR="00AC01F3">
        <w:rPr>
          <w:color w:val="000000"/>
        </w:rPr>
        <w:t xml:space="preserve">(p.36) </w:t>
      </w:r>
      <w:r>
        <w:rPr>
          <w:color w:val="000000"/>
        </w:rPr>
        <w:t>of risk assessment and the dream of a society free from crime</w:t>
      </w:r>
      <w:r w:rsidR="00F06078">
        <w:rPr>
          <w:color w:val="000000"/>
        </w:rPr>
        <w:t xml:space="preserve"> </w:t>
      </w:r>
      <w:r w:rsidR="00313C07">
        <w:rPr>
          <w:color w:val="000000"/>
        </w:rPr>
        <w:t>are seductive</w:t>
      </w:r>
      <w:r>
        <w:rPr>
          <w:color w:val="000000"/>
        </w:rPr>
        <w:t>.</w:t>
      </w:r>
      <w:r w:rsidR="00E42960">
        <w:rPr>
          <w:color w:val="000000"/>
        </w:rPr>
        <w:t xml:space="preserve"> </w:t>
      </w:r>
      <w:r w:rsidR="00973940">
        <w:rPr>
          <w:color w:val="000000"/>
        </w:rPr>
        <w:t xml:space="preserve">His </w:t>
      </w:r>
      <w:r w:rsidR="00E42960">
        <w:rPr>
          <w:color w:val="000000"/>
        </w:rPr>
        <w:t>account</w:t>
      </w:r>
      <w:r w:rsidR="00973940">
        <w:rPr>
          <w:color w:val="000000"/>
        </w:rPr>
        <w:t xml:space="preserve"> helpfully</w:t>
      </w:r>
      <w:r w:rsidR="00E42960">
        <w:rPr>
          <w:color w:val="000000"/>
        </w:rPr>
        <w:t xml:space="preserve"> avoids descent</w:t>
      </w:r>
      <w:r w:rsidR="00973940">
        <w:rPr>
          <w:color w:val="000000"/>
        </w:rPr>
        <w:t xml:space="preserve"> into ‘dystopia’ (Zedner 2002)</w:t>
      </w:r>
      <w:r w:rsidR="00F06078">
        <w:rPr>
          <w:color w:val="000000"/>
        </w:rPr>
        <w:t>, however,</w:t>
      </w:r>
      <w:r w:rsidR="00973940">
        <w:rPr>
          <w:color w:val="000000"/>
        </w:rPr>
        <w:t xml:space="preserve"> </w:t>
      </w:r>
      <w:r w:rsidR="00E42960">
        <w:rPr>
          <w:color w:val="000000"/>
        </w:rPr>
        <w:t>by suggesting ways in which we might move beyond ‘illusory democratization’</w:t>
      </w:r>
      <w:r w:rsidR="00AC01F3">
        <w:rPr>
          <w:color w:val="000000"/>
        </w:rPr>
        <w:t xml:space="preserve"> (Annison, 2015: p.72)</w:t>
      </w:r>
      <w:r w:rsidR="00E42960">
        <w:rPr>
          <w:color w:val="000000"/>
        </w:rPr>
        <w:t xml:space="preserve"> </w:t>
      </w:r>
      <w:r w:rsidR="00B17CB8">
        <w:rPr>
          <w:color w:val="000000"/>
        </w:rPr>
        <w:t xml:space="preserve">and </w:t>
      </w:r>
      <w:r w:rsidR="00E42960">
        <w:rPr>
          <w:color w:val="000000"/>
        </w:rPr>
        <w:t>towards real public participation in political debates.</w:t>
      </w:r>
      <w:r>
        <w:rPr>
          <w:color w:val="000000"/>
        </w:rPr>
        <w:t xml:space="preserve"> The abolition of the IPP by the </w:t>
      </w:r>
      <w:r w:rsidR="00E800AD">
        <w:rPr>
          <w:color w:val="000000"/>
        </w:rPr>
        <w:t>C</w:t>
      </w:r>
      <w:r>
        <w:rPr>
          <w:color w:val="000000"/>
        </w:rPr>
        <w:t>oalition government and the</w:t>
      </w:r>
      <w:r w:rsidR="00E800AD">
        <w:rPr>
          <w:color w:val="000000"/>
        </w:rPr>
        <w:t xml:space="preserve"> </w:t>
      </w:r>
      <w:r w:rsidR="00FE5968">
        <w:rPr>
          <w:color w:val="000000"/>
        </w:rPr>
        <w:t>seeming</w:t>
      </w:r>
      <w:r w:rsidR="00E800AD">
        <w:rPr>
          <w:color w:val="000000"/>
        </w:rPr>
        <w:t xml:space="preserve"> </w:t>
      </w:r>
      <w:r>
        <w:rPr>
          <w:color w:val="000000"/>
        </w:rPr>
        <w:t>de-escalation of the ‘penal arms race’</w:t>
      </w:r>
      <w:r w:rsidR="00FE5968">
        <w:rPr>
          <w:color w:val="000000"/>
        </w:rPr>
        <w:t xml:space="preserve"> </w:t>
      </w:r>
      <w:r w:rsidR="00AC01F3">
        <w:rPr>
          <w:color w:val="000000"/>
        </w:rPr>
        <w:t xml:space="preserve">(p.130) </w:t>
      </w:r>
      <w:r w:rsidR="00FE5968">
        <w:rPr>
          <w:color w:val="000000"/>
        </w:rPr>
        <w:t>identified by Annison</w:t>
      </w:r>
      <w:r w:rsidR="005A3228">
        <w:rPr>
          <w:color w:val="000000"/>
        </w:rPr>
        <w:t xml:space="preserve"> suggest</w:t>
      </w:r>
      <w:r>
        <w:rPr>
          <w:color w:val="000000"/>
        </w:rPr>
        <w:t xml:space="preserve"> that more considered and better-i</w:t>
      </w:r>
      <w:r w:rsidR="005A3228">
        <w:rPr>
          <w:color w:val="000000"/>
        </w:rPr>
        <w:t>nformed criminal justice policy</w:t>
      </w:r>
      <w:r>
        <w:rPr>
          <w:color w:val="000000"/>
        </w:rPr>
        <w:t xml:space="preserve">making may be possible in future. On the other hand, </w:t>
      </w:r>
      <w:r w:rsidR="00AC01F3">
        <w:rPr>
          <w:color w:val="000000"/>
        </w:rPr>
        <w:t xml:space="preserve">the debates surrounding Britain’s exit from the European Union </w:t>
      </w:r>
      <w:r>
        <w:rPr>
          <w:color w:val="000000"/>
        </w:rPr>
        <w:t>indicate that media and political</w:t>
      </w:r>
      <w:r w:rsidR="001E6243">
        <w:rPr>
          <w:color w:val="000000"/>
        </w:rPr>
        <w:t xml:space="preserve"> attention may</w:t>
      </w:r>
      <w:r w:rsidR="00E800AD">
        <w:rPr>
          <w:color w:val="000000"/>
        </w:rPr>
        <w:t xml:space="preserve"> simply</w:t>
      </w:r>
      <w:r w:rsidR="001E6243">
        <w:rPr>
          <w:color w:val="000000"/>
        </w:rPr>
        <w:t xml:space="preserve"> have </w:t>
      </w:r>
      <w:r w:rsidR="00A93A20">
        <w:rPr>
          <w:color w:val="000000"/>
        </w:rPr>
        <w:t>turned towards another group of ‘folk devils’: foreign migrants.</w:t>
      </w:r>
    </w:p>
    <w:p w14:paraId="64FA1939" w14:textId="77777777" w:rsidR="00544731" w:rsidRDefault="00544731" w:rsidP="00B80F3C">
      <w:pPr>
        <w:rPr>
          <w:rFonts w:eastAsia="MS Mincho"/>
        </w:rPr>
      </w:pPr>
    </w:p>
    <w:p w14:paraId="70FB4CF8" w14:textId="77777777" w:rsidR="00732A3C" w:rsidRDefault="00732A3C" w:rsidP="00B80F3C">
      <w:r w:rsidRPr="00E2211E">
        <w:t xml:space="preserve">Bottoms A. (1977) </w:t>
      </w:r>
      <w:r>
        <w:t>‘</w:t>
      </w:r>
      <w:r w:rsidRPr="00E2211E">
        <w:t>Reflections on the Renaissance of Dangerousness</w:t>
      </w:r>
      <w:r>
        <w:t>’</w:t>
      </w:r>
      <w:r w:rsidRPr="00391E3D">
        <w:rPr>
          <w:i/>
        </w:rPr>
        <w:t>, The Howard Journal of Criminal Justice</w:t>
      </w:r>
      <w:r w:rsidRPr="00E2211E">
        <w:t xml:space="preserve"> 16: 70–96.</w:t>
      </w:r>
    </w:p>
    <w:p w14:paraId="5871D4F9" w14:textId="2D77DC6B" w:rsidR="00F30F65" w:rsidRDefault="00F30F65" w:rsidP="00CD1A0B">
      <w:pPr>
        <w:rPr>
          <w:rFonts w:eastAsiaTheme="minorEastAsia"/>
        </w:rPr>
      </w:pPr>
      <w:r w:rsidRPr="00F30F65">
        <w:rPr>
          <w:rFonts w:eastAsiaTheme="minorEastAsia"/>
        </w:rPr>
        <w:t>Brown M. (2010) Theorising Dangerousness. In: Nash M. and Williams A. (eds) Handbook of Public Protection. Abdingon, Oxon: Willan Publishing.</w:t>
      </w:r>
    </w:p>
    <w:p w14:paraId="73C4C1F3" w14:textId="77777777" w:rsidR="00732A3C" w:rsidRPr="009A0886" w:rsidRDefault="00732A3C" w:rsidP="00CD1A0B">
      <w:pPr>
        <w:rPr>
          <w:rFonts w:eastAsiaTheme="minorEastAsia"/>
        </w:rPr>
      </w:pPr>
      <w:r w:rsidRPr="009A0886">
        <w:rPr>
          <w:rFonts w:eastAsiaTheme="minorEastAsia"/>
        </w:rPr>
        <w:t xml:space="preserve">Feeley, M. and Simon, J. (1992) “The New Penology: Notes on the Emerging Strategy of Corrections and its Implications”, </w:t>
      </w:r>
      <w:r w:rsidRPr="009A0886">
        <w:rPr>
          <w:rFonts w:eastAsiaTheme="minorEastAsia"/>
          <w:i/>
        </w:rPr>
        <w:t>Criminology</w:t>
      </w:r>
      <w:r w:rsidRPr="009A0886">
        <w:rPr>
          <w:rFonts w:eastAsiaTheme="minorEastAsia"/>
        </w:rPr>
        <w:t>, 30(4), 449-474.</w:t>
      </w:r>
    </w:p>
    <w:p w14:paraId="5E516ADB" w14:textId="77777777" w:rsidR="00732A3C" w:rsidRDefault="00732A3C" w:rsidP="00B571F4">
      <w:pPr>
        <w:rPr>
          <w:rFonts w:eastAsiaTheme="minorEastAsia"/>
        </w:rPr>
      </w:pPr>
      <w:r>
        <w:rPr>
          <w:rFonts w:eastAsiaTheme="minorEastAsia"/>
        </w:rPr>
        <w:t>Garland D. (2003</w:t>
      </w:r>
      <w:r w:rsidRPr="00B83BB9">
        <w:rPr>
          <w:rFonts w:eastAsiaTheme="minorEastAsia"/>
        </w:rPr>
        <w:t xml:space="preserve">) </w:t>
      </w:r>
      <w:r>
        <w:rPr>
          <w:rFonts w:eastAsiaTheme="minorEastAsia"/>
        </w:rPr>
        <w:t>‘</w:t>
      </w:r>
      <w:r w:rsidRPr="00B83BB9">
        <w:rPr>
          <w:rFonts w:eastAsiaTheme="minorEastAsia"/>
        </w:rPr>
        <w:t>Penal Modernism and Postmodernism</w:t>
      </w:r>
      <w:r>
        <w:rPr>
          <w:rFonts w:eastAsiaTheme="minorEastAsia"/>
        </w:rPr>
        <w:t>’</w:t>
      </w:r>
      <w:r w:rsidRPr="00B83BB9">
        <w:rPr>
          <w:rFonts w:eastAsiaTheme="minorEastAsia"/>
        </w:rPr>
        <w:t xml:space="preserve">. In: Blomberg T. G. and Cohen S. (eds) </w:t>
      </w:r>
      <w:r w:rsidRPr="00B83BB9">
        <w:rPr>
          <w:rFonts w:eastAsiaTheme="minorEastAsia"/>
          <w:i/>
        </w:rPr>
        <w:t>Punishment and Social Control</w:t>
      </w:r>
      <w:r w:rsidRPr="00B83BB9">
        <w:rPr>
          <w:rFonts w:eastAsiaTheme="minorEastAsia"/>
        </w:rPr>
        <w:t>. New York: Aldine de Gruyter.</w:t>
      </w:r>
    </w:p>
    <w:p w14:paraId="747D3CD4" w14:textId="77777777" w:rsidR="00732A3C" w:rsidRDefault="00732A3C" w:rsidP="00B571F4">
      <w:pPr>
        <w:rPr>
          <w:rFonts w:eastAsiaTheme="minorEastAsia"/>
        </w:rPr>
      </w:pPr>
      <w:r w:rsidRPr="009A0886">
        <w:rPr>
          <w:rFonts w:eastAsiaTheme="minorEastAsia"/>
        </w:rPr>
        <w:t xml:space="preserve">Garland, D. (1985) </w:t>
      </w:r>
      <w:r w:rsidRPr="009A0886">
        <w:rPr>
          <w:rFonts w:eastAsiaTheme="minorEastAsia"/>
          <w:i/>
        </w:rPr>
        <w:t>Punishment and Welfare: A History of Penal Strategies</w:t>
      </w:r>
      <w:r w:rsidRPr="009A0886">
        <w:rPr>
          <w:rFonts w:eastAsiaTheme="minorEastAsia"/>
        </w:rPr>
        <w:t>. Aldershot: Gower.</w:t>
      </w:r>
    </w:p>
    <w:p w14:paraId="03939917" w14:textId="77777777" w:rsidR="00732A3C" w:rsidRDefault="00732A3C" w:rsidP="00B571F4">
      <w:pPr>
        <w:rPr>
          <w:rFonts w:eastAsiaTheme="minorEastAsia"/>
        </w:rPr>
      </w:pPr>
      <w:r w:rsidRPr="009A0886">
        <w:rPr>
          <w:rFonts w:eastAsiaTheme="minorEastAsia"/>
        </w:rPr>
        <w:t xml:space="preserve">Garland, D. (2001) </w:t>
      </w:r>
      <w:r w:rsidRPr="009A0886">
        <w:rPr>
          <w:rFonts w:eastAsiaTheme="minorEastAsia"/>
          <w:i/>
        </w:rPr>
        <w:t>The Culture of Control: Crime and Social Order in Contemporary Society</w:t>
      </w:r>
      <w:r w:rsidRPr="009A0886">
        <w:rPr>
          <w:rFonts w:eastAsiaTheme="minorEastAsia"/>
        </w:rPr>
        <w:t>. Oxford: Oxford University Press.</w:t>
      </w:r>
      <w:r w:rsidRPr="00B571F4">
        <w:rPr>
          <w:rFonts w:eastAsiaTheme="minorEastAsia"/>
        </w:rPr>
        <w:t xml:space="preserve"> </w:t>
      </w:r>
    </w:p>
    <w:p w14:paraId="1334E652" w14:textId="3EA5D224" w:rsidR="005A7425" w:rsidRDefault="005A7425" w:rsidP="005A7425">
      <w:pPr>
        <w:rPr>
          <w:rFonts w:eastAsiaTheme="minorEastAsia"/>
        </w:rPr>
      </w:pPr>
      <w:r w:rsidRPr="005A7425">
        <w:rPr>
          <w:rFonts w:eastAsiaTheme="minorEastAsia"/>
        </w:rPr>
        <w:t>Godfrey, B. S., Cox, D. J., and Farrall, S. (2010) Seriou</w:t>
      </w:r>
      <w:r>
        <w:rPr>
          <w:rFonts w:eastAsiaTheme="minorEastAsia"/>
        </w:rPr>
        <w:t xml:space="preserve">s Offenders: A Historical Study </w:t>
      </w:r>
      <w:r w:rsidRPr="005A7425">
        <w:rPr>
          <w:rFonts w:eastAsiaTheme="minorEastAsia"/>
        </w:rPr>
        <w:t>of Habitual Criminals. Oxford: Oxford University Press.</w:t>
      </w:r>
    </w:p>
    <w:p w14:paraId="5064B570" w14:textId="77777777" w:rsidR="00732A3C" w:rsidRDefault="00732A3C" w:rsidP="00A76732">
      <w:pPr>
        <w:rPr>
          <w:rFonts w:eastAsiaTheme="minorEastAsia"/>
        </w:rPr>
      </w:pPr>
      <w:r w:rsidRPr="009A0886">
        <w:rPr>
          <w:rFonts w:eastAsiaTheme="minorEastAsia"/>
        </w:rPr>
        <w:t xml:space="preserve">Lacey, N. (2016) </w:t>
      </w:r>
      <w:r w:rsidRPr="009A0886">
        <w:rPr>
          <w:rFonts w:eastAsiaTheme="minorEastAsia"/>
          <w:i/>
        </w:rPr>
        <w:t>In Search of Criminal Responsibility. Ideas, Interest and Institutions</w:t>
      </w:r>
      <w:r w:rsidRPr="009A0886">
        <w:rPr>
          <w:rFonts w:eastAsiaTheme="minorEastAsia"/>
        </w:rPr>
        <w:t>. Oxford: Oxford University Press.</w:t>
      </w:r>
    </w:p>
    <w:p w14:paraId="4F23643A" w14:textId="77777777" w:rsidR="00542857" w:rsidRPr="00542857" w:rsidRDefault="00542857" w:rsidP="00542857">
      <w:pPr>
        <w:rPr>
          <w:rFonts w:eastAsiaTheme="minorEastAsia"/>
        </w:rPr>
      </w:pPr>
      <w:r w:rsidRPr="00542857">
        <w:rPr>
          <w:rFonts w:eastAsiaTheme="minorEastAsia"/>
        </w:rPr>
        <w:t>Lacey, N. (2011) “The Resurgence of Character: Responsibility in the Context of</w:t>
      </w:r>
    </w:p>
    <w:p w14:paraId="1BC8EAAD" w14:textId="77777777" w:rsidR="00542857" w:rsidRPr="00542857" w:rsidRDefault="00542857" w:rsidP="00542857">
      <w:pPr>
        <w:rPr>
          <w:rFonts w:eastAsiaTheme="minorEastAsia"/>
        </w:rPr>
      </w:pPr>
      <w:r w:rsidRPr="00542857">
        <w:rPr>
          <w:rFonts w:eastAsiaTheme="minorEastAsia"/>
        </w:rPr>
        <w:t>Criminalization”. In: Duff, R.A. and Green, S. (eds) Philosophical Foundations of</w:t>
      </w:r>
    </w:p>
    <w:p w14:paraId="05DFAE04" w14:textId="77777777" w:rsidR="00542857" w:rsidRPr="00542857" w:rsidRDefault="00542857" w:rsidP="00542857">
      <w:pPr>
        <w:rPr>
          <w:rFonts w:eastAsiaTheme="minorEastAsia"/>
        </w:rPr>
      </w:pPr>
      <w:r w:rsidRPr="00542857">
        <w:rPr>
          <w:rFonts w:eastAsiaTheme="minorEastAsia"/>
        </w:rPr>
        <w:t>Criminal Law. Oxford: Oxford University Press.</w:t>
      </w:r>
    </w:p>
    <w:p w14:paraId="60EA3DE2" w14:textId="4A239029" w:rsidR="00102D8D" w:rsidRDefault="00102D8D" w:rsidP="00A76732">
      <w:pPr>
        <w:rPr>
          <w:rFonts w:eastAsiaTheme="minorEastAsia"/>
        </w:rPr>
      </w:pPr>
      <w:r w:rsidRPr="00102D8D">
        <w:rPr>
          <w:rFonts w:eastAsiaTheme="minorEastAsia"/>
        </w:rPr>
        <w:t>Lacey N. (2008) The Prisoners' Dilemma: Political economy and punishment in contemporary democracies. Cambridge: Cambridge University Press.</w:t>
      </w:r>
    </w:p>
    <w:p w14:paraId="4291585D" w14:textId="77777777" w:rsidR="00732A3C" w:rsidRDefault="00732A3C" w:rsidP="004427CF">
      <w:pPr>
        <w:rPr>
          <w:rFonts w:eastAsiaTheme="minorEastAsia"/>
        </w:rPr>
      </w:pPr>
      <w:r>
        <w:rPr>
          <w:rFonts w:eastAsiaTheme="minorEastAsia"/>
        </w:rPr>
        <w:t xml:space="preserve">McNeill, F., Burns, N., Halliday, S., Hutton, N. and Tata, C. (2009) ‘Risk, responsibility and reconfiguration: Penal adaptation and misadaptation’, </w:t>
      </w:r>
      <w:r w:rsidRPr="004427CF">
        <w:rPr>
          <w:rFonts w:eastAsiaTheme="minorEastAsia"/>
          <w:i/>
        </w:rPr>
        <w:t>Punishment and Society</w:t>
      </w:r>
      <w:r>
        <w:rPr>
          <w:rFonts w:eastAsiaTheme="minorEastAsia"/>
        </w:rPr>
        <w:t xml:space="preserve"> 11, 419 – 422. </w:t>
      </w:r>
    </w:p>
    <w:p w14:paraId="3A15833F" w14:textId="4896A4AB" w:rsidR="00461423" w:rsidRDefault="00461423" w:rsidP="00461423">
      <w:pPr>
        <w:rPr>
          <w:rFonts w:eastAsiaTheme="minorEastAsia"/>
        </w:rPr>
      </w:pPr>
      <w:r w:rsidRPr="00461423">
        <w:rPr>
          <w:rFonts w:eastAsiaTheme="minorEastAsia"/>
        </w:rPr>
        <w:t>Pratt, J. (1997) Governing the Dangerous: Dangerousness, Law, and Social Change.</w:t>
      </w:r>
      <w:r>
        <w:rPr>
          <w:rFonts w:eastAsiaTheme="minorEastAsia"/>
        </w:rPr>
        <w:t xml:space="preserve"> </w:t>
      </w:r>
      <w:r w:rsidRPr="00461423">
        <w:rPr>
          <w:rFonts w:eastAsiaTheme="minorEastAsia"/>
        </w:rPr>
        <w:t>Sydney: The Federation Press.</w:t>
      </w:r>
    </w:p>
    <w:p w14:paraId="5CF7B6FC" w14:textId="77777777" w:rsidR="00732A3C" w:rsidRPr="009A0886" w:rsidRDefault="00732A3C" w:rsidP="00B571F4">
      <w:pPr>
        <w:rPr>
          <w:rFonts w:eastAsiaTheme="minorEastAsia"/>
        </w:rPr>
      </w:pPr>
      <w:r w:rsidRPr="009A0886">
        <w:rPr>
          <w:rFonts w:eastAsiaTheme="minorEastAsia"/>
        </w:rPr>
        <w:t xml:space="preserve">Robinson, G. (2008) “Late-Modern Rehabilitation: The Evolution of a Penal Strategy”, </w:t>
      </w:r>
      <w:r w:rsidRPr="009A0886">
        <w:rPr>
          <w:rFonts w:eastAsiaTheme="minorEastAsia"/>
          <w:i/>
        </w:rPr>
        <w:t>Punishment &amp; Society</w:t>
      </w:r>
      <w:r w:rsidRPr="009A0886">
        <w:rPr>
          <w:rFonts w:eastAsiaTheme="minorEastAsia"/>
        </w:rPr>
        <w:t>, 10, 429-445.</w:t>
      </w:r>
    </w:p>
    <w:p w14:paraId="2633BB2A" w14:textId="605C98A1" w:rsidR="00B571F4" w:rsidRPr="00D75711" w:rsidRDefault="00502DCD" w:rsidP="00502DCD">
      <w:pPr>
        <w:rPr>
          <w:rFonts w:eastAsiaTheme="minorEastAsia"/>
          <w:lang w:val="en-US"/>
        </w:rPr>
      </w:pPr>
      <w:r w:rsidRPr="00502DCD">
        <w:rPr>
          <w:rFonts w:eastAsiaTheme="minorEastAsia"/>
          <w:lang w:val="en-US"/>
        </w:rPr>
        <w:t>Zedner, L. (2002) “Dangers of Dystopias in Penal Theory”, Oxford Journal of Legal</w:t>
      </w:r>
      <w:r w:rsidR="00D75711">
        <w:rPr>
          <w:rFonts w:eastAsiaTheme="minorEastAsia"/>
          <w:lang w:val="en-US"/>
        </w:rPr>
        <w:t xml:space="preserve"> </w:t>
      </w:r>
      <w:r w:rsidRPr="00502DCD">
        <w:rPr>
          <w:rFonts w:eastAsiaTheme="minorEastAsia"/>
          <w:lang w:val="en-US"/>
        </w:rPr>
        <w:t>Studies, 22, 341–66.</w:t>
      </w:r>
    </w:p>
    <w:p w14:paraId="299FF707" w14:textId="77777777" w:rsidR="004427CF" w:rsidRPr="009A0886" w:rsidRDefault="004427CF" w:rsidP="00A76732">
      <w:pPr>
        <w:rPr>
          <w:rFonts w:eastAsiaTheme="minorEastAsia"/>
        </w:rPr>
      </w:pPr>
    </w:p>
    <w:p w14:paraId="78D486EE" w14:textId="77777777" w:rsidR="00A76732" w:rsidRPr="00FF5FC6" w:rsidRDefault="00A76732" w:rsidP="00B80F3C"/>
    <w:sectPr w:rsidR="00A76732" w:rsidRPr="00FF5FC6">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ilbhe O'Loughlin" w:date="2016-08-30T12:11:00Z" w:initials="AO">
    <w:p w14:paraId="518852D9" w14:textId="0E2AD485" w:rsidR="004D229F" w:rsidRDefault="004D229F">
      <w:pPr>
        <w:pStyle w:val="CommentText"/>
      </w:pPr>
      <w:r>
        <w:rPr>
          <w:rStyle w:val="CommentReference"/>
        </w:rPr>
        <w:annotationRef/>
      </w:r>
      <w:r>
        <w:t>This one is mine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8852D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17DD9"/>
    <w:multiLevelType w:val="hybridMultilevel"/>
    <w:tmpl w:val="6D54995A"/>
    <w:lvl w:ilvl="0" w:tplc="F9C6E44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F2"/>
    <w:rsid w:val="00002DCB"/>
    <w:rsid w:val="000126AC"/>
    <w:rsid w:val="0001398F"/>
    <w:rsid w:val="00015E35"/>
    <w:rsid w:val="000210C7"/>
    <w:rsid w:val="00027A5D"/>
    <w:rsid w:val="00031E6D"/>
    <w:rsid w:val="00032588"/>
    <w:rsid w:val="00033B5F"/>
    <w:rsid w:val="00036A10"/>
    <w:rsid w:val="00042612"/>
    <w:rsid w:val="00043C8B"/>
    <w:rsid w:val="00050179"/>
    <w:rsid w:val="0005616D"/>
    <w:rsid w:val="00056FA8"/>
    <w:rsid w:val="00072E71"/>
    <w:rsid w:val="00072FA2"/>
    <w:rsid w:val="00076D5E"/>
    <w:rsid w:val="000813CE"/>
    <w:rsid w:val="00085AA2"/>
    <w:rsid w:val="00091625"/>
    <w:rsid w:val="000A646E"/>
    <w:rsid w:val="000A6F57"/>
    <w:rsid w:val="000A793B"/>
    <w:rsid w:val="000B3DA6"/>
    <w:rsid w:val="000B47B3"/>
    <w:rsid w:val="000C0414"/>
    <w:rsid w:val="000C1A11"/>
    <w:rsid w:val="000C3764"/>
    <w:rsid w:val="000C5931"/>
    <w:rsid w:val="000D7629"/>
    <w:rsid w:val="000E5B5C"/>
    <w:rsid w:val="000E7FEC"/>
    <w:rsid w:val="000F3D3A"/>
    <w:rsid w:val="000F4A91"/>
    <w:rsid w:val="000F5E42"/>
    <w:rsid w:val="000F6AA6"/>
    <w:rsid w:val="00100E7E"/>
    <w:rsid w:val="00101365"/>
    <w:rsid w:val="00102D8D"/>
    <w:rsid w:val="00104A4C"/>
    <w:rsid w:val="001054F6"/>
    <w:rsid w:val="00112654"/>
    <w:rsid w:val="00112CD4"/>
    <w:rsid w:val="0012080C"/>
    <w:rsid w:val="001223F7"/>
    <w:rsid w:val="001248AC"/>
    <w:rsid w:val="00124B4C"/>
    <w:rsid w:val="00131BD2"/>
    <w:rsid w:val="001331D3"/>
    <w:rsid w:val="001378F0"/>
    <w:rsid w:val="001444E5"/>
    <w:rsid w:val="00151003"/>
    <w:rsid w:val="001658BF"/>
    <w:rsid w:val="00167740"/>
    <w:rsid w:val="00176A9C"/>
    <w:rsid w:val="00180285"/>
    <w:rsid w:val="001814E8"/>
    <w:rsid w:val="00183241"/>
    <w:rsid w:val="00184E65"/>
    <w:rsid w:val="0019008F"/>
    <w:rsid w:val="00192798"/>
    <w:rsid w:val="00194260"/>
    <w:rsid w:val="001948EF"/>
    <w:rsid w:val="00195C05"/>
    <w:rsid w:val="00195C6A"/>
    <w:rsid w:val="00196189"/>
    <w:rsid w:val="001A1506"/>
    <w:rsid w:val="001A520F"/>
    <w:rsid w:val="001B1CA5"/>
    <w:rsid w:val="001B3259"/>
    <w:rsid w:val="001C1338"/>
    <w:rsid w:val="001C3ACA"/>
    <w:rsid w:val="001C5089"/>
    <w:rsid w:val="001C59C3"/>
    <w:rsid w:val="001D16F8"/>
    <w:rsid w:val="001D18DB"/>
    <w:rsid w:val="001D31E1"/>
    <w:rsid w:val="001D44D7"/>
    <w:rsid w:val="001E0C08"/>
    <w:rsid w:val="001E6243"/>
    <w:rsid w:val="001F0E95"/>
    <w:rsid w:val="001F36EE"/>
    <w:rsid w:val="00201354"/>
    <w:rsid w:val="00204275"/>
    <w:rsid w:val="00206F1A"/>
    <w:rsid w:val="002113F8"/>
    <w:rsid w:val="0022114E"/>
    <w:rsid w:val="0022395D"/>
    <w:rsid w:val="0022649D"/>
    <w:rsid w:val="00233524"/>
    <w:rsid w:val="00233BE6"/>
    <w:rsid w:val="00233F2B"/>
    <w:rsid w:val="00244426"/>
    <w:rsid w:val="00245FA9"/>
    <w:rsid w:val="00250F62"/>
    <w:rsid w:val="002527BD"/>
    <w:rsid w:val="002527CF"/>
    <w:rsid w:val="00270C70"/>
    <w:rsid w:val="00270D2D"/>
    <w:rsid w:val="00284C73"/>
    <w:rsid w:val="002867EA"/>
    <w:rsid w:val="00293003"/>
    <w:rsid w:val="002933F5"/>
    <w:rsid w:val="002A0561"/>
    <w:rsid w:val="002A69A9"/>
    <w:rsid w:val="002B30BA"/>
    <w:rsid w:val="002B4DBC"/>
    <w:rsid w:val="002B55E3"/>
    <w:rsid w:val="002C42AF"/>
    <w:rsid w:val="002C4D25"/>
    <w:rsid w:val="002D4193"/>
    <w:rsid w:val="002D5D6D"/>
    <w:rsid w:val="002D7650"/>
    <w:rsid w:val="002E6703"/>
    <w:rsid w:val="002F3CFB"/>
    <w:rsid w:val="00304017"/>
    <w:rsid w:val="00305156"/>
    <w:rsid w:val="00310273"/>
    <w:rsid w:val="00313598"/>
    <w:rsid w:val="00313C07"/>
    <w:rsid w:val="003145B2"/>
    <w:rsid w:val="00322246"/>
    <w:rsid w:val="00322463"/>
    <w:rsid w:val="00322924"/>
    <w:rsid w:val="00323CA5"/>
    <w:rsid w:val="00325A17"/>
    <w:rsid w:val="00327A3C"/>
    <w:rsid w:val="00327DC1"/>
    <w:rsid w:val="00333F76"/>
    <w:rsid w:val="0034534A"/>
    <w:rsid w:val="003569CE"/>
    <w:rsid w:val="0036506B"/>
    <w:rsid w:val="00365F56"/>
    <w:rsid w:val="003662D1"/>
    <w:rsid w:val="0036756A"/>
    <w:rsid w:val="00372018"/>
    <w:rsid w:val="0037600E"/>
    <w:rsid w:val="00380120"/>
    <w:rsid w:val="0038024F"/>
    <w:rsid w:val="00380ECF"/>
    <w:rsid w:val="00383214"/>
    <w:rsid w:val="00385B1E"/>
    <w:rsid w:val="00391E3D"/>
    <w:rsid w:val="00396CC4"/>
    <w:rsid w:val="003A06D0"/>
    <w:rsid w:val="003A2B10"/>
    <w:rsid w:val="003A41AB"/>
    <w:rsid w:val="003A6196"/>
    <w:rsid w:val="003A630C"/>
    <w:rsid w:val="003A689B"/>
    <w:rsid w:val="003A7A8B"/>
    <w:rsid w:val="003B38DF"/>
    <w:rsid w:val="003B51E6"/>
    <w:rsid w:val="003B7F4E"/>
    <w:rsid w:val="003C0B2C"/>
    <w:rsid w:val="003C4D8F"/>
    <w:rsid w:val="003C56C3"/>
    <w:rsid w:val="003D52CC"/>
    <w:rsid w:val="003E4A6C"/>
    <w:rsid w:val="003E4E24"/>
    <w:rsid w:val="003F3C87"/>
    <w:rsid w:val="003F4261"/>
    <w:rsid w:val="00404D3F"/>
    <w:rsid w:val="00407355"/>
    <w:rsid w:val="00413942"/>
    <w:rsid w:val="00414CE3"/>
    <w:rsid w:val="00431845"/>
    <w:rsid w:val="00432E9F"/>
    <w:rsid w:val="00435D97"/>
    <w:rsid w:val="0044002E"/>
    <w:rsid w:val="004427CF"/>
    <w:rsid w:val="0044326B"/>
    <w:rsid w:val="004436F9"/>
    <w:rsid w:val="004445C7"/>
    <w:rsid w:val="004558EA"/>
    <w:rsid w:val="00456453"/>
    <w:rsid w:val="00457401"/>
    <w:rsid w:val="00461423"/>
    <w:rsid w:val="00463F5F"/>
    <w:rsid w:val="00464AC1"/>
    <w:rsid w:val="0047364E"/>
    <w:rsid w:val="00474238"/>
    <w:rsid w:val="00474E64"/>
    <w:rsid w:val="00475B39"/>
    <w:rsid w:val="00477EB4"/>
    <w:rsid w:val="00480289"/>
    <w:rsid w:val="0048029E"/>
    <w:rsid w:val="00481430"/>
    <w:rsid w:val="004815C8"/>
    <w:rsid w:val="00481A9A"/>
    <w:rsid w:val="004869E5"/>
    <w:rsid w:val="00492D69"/>
    <w:rsid w:val="004941D6"/>
    <w:rsid w:val="004A799F"/>
    <w:rsid w:val="004B0CA9"/>
    <w:rsid w:val="004B3FA9"/>
    <w:rsid w:val="004C3E96"/>
    <w:rsid w:val="004C622B"/>
    <w:rsid w:val="004C7074"/>
    <w:rsid w:val="004C7301"/>
    <w:rsid w:val="004D229F"/>
    <w:rsid w:val="004D25DC"/>
    <w:rsid w:val="004D4356"/>
    <w:rsid w:val="004E23FC"/>
    <w:rsid w:val="004E37B5"/>
    <w:rsid w:val="004F2DF3"/>
    <w:rsid w:val="004F375A"/>
    <w:rsid w:val="004F377E"/>
    <w:rsid w:val="004F70B0"/>
    <w:rsid w:val="004F7E0D"/>
    <w:rsid w:val="0050284E"/>
    <w:rsid w:val="00502DCD"/>
    <w:rsid w:val="00507155"/>
    <w:rsid w:val="00510638"/>
    <w:rsid w:val="005124D5"/>
    <w:rsid w:val="0051364A"/>
    <w:rsid w:val="005146EE"/>
    <w:rsid w:val="0051514D"/>
    <w:rsid w:val="00526DB4"/>
    <w:rsid w:val="0052729A"/>
    <w:rsid w:val="00530770"/>
    <w:rsid w:val="00532EA8"/>
    <w:rsid w:val="00542857"/>
    <w:rsid w:val="00544731"/>
    <w:rsid w:val="00544AAD"/>
    <w:rsid w:val="00544CD2"/>
    <w:rsid w:val="00553803"/>
    <w:rsid w:val="00556C88"/>
    <w:rsid w:val="00557486"/>
    <w:rsid w:val="005734C0"/>
    <w:rsid w:val="00573C86"/>
    <w:rsid w:val="00574B46"/>
    <w:rsid w:val="00577551"/>
    <w:rsid w:val="00580CF6"/>
    <w:rsid w:val="005834CD"/>
    <w:rsid w:val="00586FE9"/>
    <w:rsid w:val="005937CD"/>
    <w:rsid w:val="00596873"/>
    <w:rsid w:val="005A1262"/>
    <w:rsid w:val="005A1DED"/>
    <w:rsid w:val="005A3228"/>
    <w:rsid w:val="005A512A"/>
    <w:rsid w:val="005A5A47"/>
    <w:rsid w:val="005A7425"/>
    <w:rsid w:val="005A75EF"/>
    <w:rsid w:val="005B23B2"/>
    <w:rsid w:val="005B2BB4"/>
    <w:rsid w:val="005B4BAA"/>
    <w:rsid w:val="005B721B"/>
    <w:rsid w:val="005C0B65"/>
    <w:rsid w:val="005C15F1"/>
    <w:rsid w:val="005C305C"/>
    <w:rsid w:val="005D44A5"/>
    <w:rsid w:val="005D54E4"/>
    <w:rsid w:val="005D6746"/>
    <w:rsid w:val="005E071E"/>
    <w:rsid w:val="005E10E8"/>
    <w:rsid w:val="005F0656"/>
    <w:rsid w:val="005F2A54"/>
    <w:rsid w:val="005F4321"/>
    <w:rsid w:val="006000DD"/>
    <w:rsid w:val="00603C0B"/>
    <w:rsid w:val="0060584C"/>
    <w:rsid w:val="00610012"/>
    <w:rsid w:val="00610271"/>
    <w:rsid w:val="00612041"/>
    <w:rsid w:val="00614459"/>
    <w:rsid w:val="00615E5B"/>
    <w:rsid w:val="006215C8"/>
    <w:rsid w:val="00621CDB"/>
    <w:rsid w:val="00623A1C"/>
    <w:rsid w:val="006271F6"/>
    <w:rsid w:val="00642DF7"/>
    <w:rsid w:val="00643981"/>
    <w:rsid w:val="006471DE"/>
    <w:rsid w:val="006476B5"/>
    <w:rsid w:val="006504A0"/>
    <w:rsid w:val="00653B45"/>
    <w:rsid w:val="00660F61"/>
    <w:rsid w:val="00661D3E"/>
    <w:rsid w:val="006630D6"/>
    <w:rsid w:val="0066393A"/>
    <w:rsid w:val="0066709A"/>
    <w:rsid w:val="00672655"/>
    <w:rsid w:val="00677154"/>
    <w:rsid w:val="006801AE"/>
    <w:rsid w:val="0068143F"/>
    <w:rsid w:val="0068579F"/>
    <w:rsid w:val="00687D86"/>
    <w:rsid w:val="00693C8D"/>
    <w:rsid w:val="006971F7"/>
    <w:rsid w:val="00697A5C"/>
    <w:rsid w:val="006A2645"/>
    <w:rsid w:val="006B167F"/>
    <w:rsid w:val="006B34FE"/>
    <w:rsid w:val="006C2170"/>
    <w:rsid w:val="006C23E9"/>
    <w:rsid w:val="006C3897"/>
    <w:rsid w:val="006C4653"/>
    <w:rsid w:val="006C7744"/>
    <w:rsid w:val="006D0012"/>
    <w:rsid w:val="006D1F1B"/>
    <w:rsid w:val="006D44BC"/>
    <w:rsid w:val="006D7100"/>
    <w:rsid w:val="006D71D9"/>
    <w:rsid w:val="006E36DD"/>
    <w:rsid w:val="006E3FD6"/>
    <w:rsid w:val="006E4A65"/>
    <w:rsid w:val="006F29E5"/>
    <w:rsid w:val="006F350E"/>
    <w:rsid w:val="006F7876"/>
    <w:rsid w:val="007006B0"/>
    <w:rsid w:val="0070116D"/>
    <w:rsid w:val="007017CB"/>
    <w:rsid w:val="00704BF0"/>
    <w:rsid w:val="00704C51"/>
    <w:rsid w:val="0070522F"/>
    <w:rsid w:val="007155D3"/>
    <w:rsid w:val="00715D1F"/>
    <w:rsid w:val="00717F18"/>
    <w:rsid w:val="00721FD6"/>
    <w:rsid w:val="0072318B"/>
    <w:rsid w:val="00724E47"/>
    <w:rsid w:val="007301BA"/>
    <w:rsid w:val="00731F70"/>
    <w:rsid w:val="00732A3C"/>
    <w:rsid w:val="00732DC1"/>
    <w:rsid w:val="00737F3E"/>
    <w:rsid w:val="007415D2"/>
    <w:rsid w:val="00747F9E"/>
    <w:rsid w:val="00751857"/>
    <w:rsid w:val="00752FA3"/>
    <w:rsid w:val="007570D8"/>
    <w:rsid w:val="0075770A"/>
    <w:rsid w:val="00761882"/>
    <w:rsid w:val="00767F22"/>
    <w:rsid w:val="00774E27"/>
    <w:rsid w:val="00780FD6"/>
    <w:rsid w:val="00781DAA"/>
    <w:rsid w:val="00792377"/>
    <w:rsid w:val="007928AE"/>
    <w:rsid w:val="00794B2B"/>
    <w:rsid w:val="007A02CC"/>
    <w:rsid w:val="007A470C"/>
    <w:rsid w:val="007A47F4"/>
    <w:rsid w:val="007B00A1"/>
    <w:rsid w:val="007B1EF6"/>
    <w:rsid w:val="007B2D90"/>
    <w:rsid w:val="007B64EF"/>
    <w:rsid w:val="007B7E24"/>
    <w:rsid w:val="007C0755"/>
    <w:rsid w:val="007C3A3F"/>
    <w:rsid w:val="007C41EA"/>
    <w:rsid w:val="007C4A14"/>
    <w:rsid w:val="007C5A4F"/>
    <w:rsid w:val="007C6AB0"/>
    <w:rsid w:val="007D6CFB"/>
    <w:rsid w:val="007E00CE"/>
    <w:rsid w:val="007F2795"/>
    <w:rsid w:val="007F2E53"/>
    <w:rsid w:val="007F310D"/>
    <w:rsid w:val="007F384F"/>
    <w:rsid w:val="008042AC"/>
    <w:rsid w:val="0080459B"/>
    <w:rsid w:val="008056B0"/>
    <w:rsid w:val="00813135"/>
    <w:rsid w:val="00813DF3"/>
    <w:rsid w:val="008158CF"/>
    <w:rsid w:val="00820181"/>
    <w:rsid w:val="00822E95"/>
    <w:rsid w:val="00827BBE"/>
    <w:rsid w:val="0083006A"/>
    <w:rsid w:val="0083039E"/>
    <w:rsid w:val="00835926"/>
    <w:rsid w:val="00835EC3"/>
    <w:rsid w:val="00842E45"/>
    <w:rsid w:val="00846265"/>
    <w:rsid w:val="00856BAF"/>
    <w:rsid w:val="0086700F"/>
    <w:rsid w:val="00871385"/>
    <w:rsid w:val="008909E2"/>
    <w:rsid w:val="00892266"/>
    <w:rsid w:val="0089356E"/>
    <w:rsid w:val="00894304"/>
    <w:rsid w:val="00896208"/>
    <w:rsid w:val="008A0B0D"/>
    <w:rsid w:val="008B3D50"/>
    <w:rsid w:val="008B7B4D"/>
    <w:rsid w:val="008C4226"/>
    <w:rsid w:val="008C60B2"/>
    <w:rsid w:val="008C76E3"/>
    <w:rsid w:val="008D11DD"/>
    <w:rsid w:val="008E1AD4"/>
    <w:rsid w:val="008E6916"/>
    <w:rsid w:val="008E6C1C"/>
    <w:rsid w:val="008F0879"/>
    <w:rsid w:val="008F1358"/>
    <w:rsid w:val="008F2739"/>
    <w:rsid w:val="008F3759"/>
    <w:rsid w:val="00903109"/>
    <w:rsid w:val="009051B3"/>
    <w:rsid w:val="00912FB4"/>
    <w:rsid w:val="009166FE"/>
    <w:rsid w:val="00922CDF"/>
    <w:rsid w:val="00933E0C"/>
    <w:rsid w:val="00934844"/>
    <w:rsid w:val="009467C2"/>
    <w:rsid w:val="0094781C"/>
    <w:rsid w:val="009531AB"/>
    <w:rsid w:val="00962DF4"/>
    <w:rsid w:val="009666A1"/>
    <w:rsid w:val="00973940"/>
    <w:rsid w:val="00974AAE"/>
    <w:rsid w:val="009800E9"/>
    <w:rsid w:val="0098030B"/>
    <w:rsid w:val="00990D28"/>
    <w:rsid w:val="009959F5"/>
    <w:rsid w:val="009978A9"/>
    <w:rsid w:val="009A26A4"/>
    <w:rsid w:val="009B05C8"/>
    <w:rsid w:val="009B5DF7"/>
    <w:rsid w:val="009B6F35"/>
    <w:rsid w:val="009C7BD5"/>
    <w:rsid w:val="009D1990"/>
    <w:rsid w:val="009D4322"/>
    <w:rsid w:val="009E3465"/>
    <w:rsid w:val="009E5E09"/>
    <w:rsid w:val="009E7FB3"/>
    <w:rsid w:val="009F2975"/>
    <w:rsid w:val="009F6152"/>
    <w:rsid w:val="009F7AA3"/>
    <w:rsid w:val="00A03463"/>
    <w:rsid w:val="00A046E3"/>
    <w:rsid w:val="00A06BCD"/>
    <w:rsid w:val="00A07AA7"/>
    <w:rsid w:val="00A10F83"/>
    <w:rsid w:val="00A131CB"/>
    <w:rsid w:val="00A1710A"/>
    <w:rsid w:val="00A219F5"/>
    <w:rsid w:val="00A223F3"/>
    <w:rsid w:val="00A23887"/>
    <w:rsid w:val="00A30C38"/>
    <w:rsid w:val="00A31297"/>
    <w:rsid w:val="00A3138A"/>
    <w:rsid w:val="00A37DDD"/>
    <w:rsid w:val="00A44AD6"/>
    <w:rsid w:val="00A52618"/>
    <w:rsid w:val="00A52881"/>
    <w:rsid w:val="00A57CBD"/>
    <w:rsid w:val="00A6431A"/>
    <w:rsid w:val="00A674E3"/>
    <w:rsid w:val="00A70F20"/>
    <w:rsid w:val="00A73093"/>
    <w:rsid w:val="00A76732"/>
    <w:rsid w:val="00A80714"/>
    <w:rsid w:val="00A81E34"/>
    <w:rsid w:val="00A852B1"/>
    <w:rsid w:val="00A87FB9"/>
    <w:rsid w:val="00A91C43"/>
    <w:rsid w:val="00A92C23"/>
    <w:rsid w:val="00A93A20"/>
    <w:rsid w:val="00A962EA"/>
    <w:rsid w:val="00A96660"/>
    <w:rsid w:val="00AA3470"/>
    <w:rsid w:val="00AA4F35"/>
    <w:rsid w:val="00AA528C"/>
    <w:rsid w:val="00AA7883"/>
    <w:rsid w:val="00AB4354"/>
    <w:rsid w:val="00AB719B"/>
    <w:rsid w:val="00AC01F3"/>
    <w:rsid w:val="00AC063B"/>
    <w:rsid w:val="00AC1746"/>
    <w:rsid w:val="00AC21E4"/>
    <w:rsid w:val="00AC5978"/>
    <w:rsid w:val="00AD1D9C"/>
    <w:rsid w:val="00AE3249"/>
    <w:rsid w:val="00AE36A9"/>
    <w:rsid w:val="00AE4126"/>
    <w:rsid w:val="00AF0948"/>
    <w:rsid w:val="00AF7BA0"/>
    <w:rsid w:val="00B075D9"/>
    <w:rsid w:val="00B10D42"/>
    <w:rsid w:val="00B11803"/>
    <w:rsid w:val="00B1196F"/>
    <w:rsid w:val="00B12B7A"/>
    <w:rsid w:val="00B14BAF"/>
    <w:rsid w:val="00B173C1"/>
    <w:rsid w:val="00B17CB8"/>
    <w:rsid w:val="00B23768"/>
    <w:rsid w:val="00B24AE6"/>
    <w:rsid w:val="00B30E33"/>
    <w:rsid w:val="00B30E9B"/>
    <w:rsid w:val="00B33195"/>
    <w:rsid w:val="00B33655"/>
    <w:rsid w:val="00B33D7D"/>
    <w:rsid w:val="00B3438A"/>
    <w:rsid w:val="00B3754B"/>
    <w:rsid w:val="00B44AB3"/>
    <w:rsid w:val="00B46CDA"/>
    <w:rsid w:val="00B51F4A"/>
    <w:rsid w:val="00B571F4"/>
    <w:rsid w:val="00B65A0D"/>
    <w:rsid w:val="00B675A6"/>
    <w:rsid w:val="00B67A5F"/>
    <w:rsid w:val="00B724FB"/>
    <w:rsid w:val="00B74BAE"/>
    <w:rsid w:val="00B76182"/>
    <w:rsid w:val="00B7660E"/>
    <w:rsid w:val="00B80F3C"/>
    <w:rsid w:val="00B81FA6"/>
    <w:rsid w:val="00B83074"/>
    <w:rsid w:val="00B83472"/>
    <w:rsid w:val="00B83BB9"/>
    <w:rsid w:val="00B84C33"/>
    <w:rsid w:val="00B922C9"/>
    <w:rsid w:val="00B95788"/>
    <w:rsid w:val="00B975C1"/>
    <w:rsid w:val="00BA010B"/>
    <w:rsid w:val="00BA0D8A"/>
    <w:rsid w:val="00BA5417"/>
    <w:rsid w:val="00BA6403"/>
    <w:rsid w:val="00BA687D"/>
    <w:rsid w:val="00BB0DF8"/>
    <w:rsid w:val="00BB1AE2"/>
    <w:rsid w:val="00BB2393"/>
    <w:rsid w:val="00BB26D3"/>
    <w:rsid w:val="00BB35C5"/>
    <w:rsid w:val="00BB440A"/>
    <w:rsid w:val="00BC3FB7"/>
    <w:rsid w:val="00BC76F6"/>
    <w:rsid w:val="00BC7CC3"/>
    <w:rsid w:val="00BD03F2"/>
    <w:rsid w:val="00BD07CC"/>
    <w:rsid w:val="00BD327A"/>
    <w:rsid w:val="00BD5033"/>
    <w:rsid w:val="00BD6535"/>
    <w:rsid w:val="00BE1223"/>
    <w:rsid w:val="00BE1FCB"/>
    <w:rsid w:val="00BE272B"/>
    <w:rsid w:val="00BE32DA"/>
    <w:rsid w:val="00BE4A58"/>
    <w:rsid w:val="00BE6252"/>
    <w:rsid w:val="00BE6B1C"/>
    <w:rsid w:val="00BF2CC8"/>
    <w:rsid w:val="00BF2D38"/>
    <w:rsid w:val="00BF41BB"/>
    <w:rsid w:val="00BF6959"/>
    <w:rsid w:val="00C04339"/>
    <w:rsid w:val="00C05BAC"/>
    <w:rsid w:val="00C069F2"/>
    <w:rsid w:val="00C14437"/>
    <w:rsid w:val="00C44A6C"/>
    <w:rsid w:val="00C476FF"/>
    <w:rsid w:val="00C53CD8"/>
    <w:rsid w:val="00C54704"/>
    <w:rsid w:val="00C56ECA"/>
    <w:rsid w:val="00C64555"/>
    <w:rsid w:val="00C6795A"/>
    <w:rsid w:val="00C70E58"/>
    <w:rsid w:val="00C71748"/>
    <w:rsid w:val="00C72B3F"/>
    <w:rsid w:val="00C77D80"/>
    <w:rsid w:val="00C80D43"/>
    <w:rsid w:val="00C8603D"/>
    <w:rsid w:val="00C91470"/>
    <w:rsid w:val="00C91B89"/>
    <w:rsid w:val="00CA1B96"/>
    <w:rsid w:val="00CA38CE"/>
    <w:rsid w:val="00CA3990"/>
    <w:rsid w:val="00CA7DF0"/>
    <w:rsid w:val="00CB094F"/>
    <w:rsid w:val="00CC1B80"/>
    <w:rsid w:val="00CC24ED"/>
    <w:rsid w:val="00CC4ACA"/>
    <w:rsid w:val="00CD1A0B"/>
    <w:rsid w:val="00CD3288"/>
    <w:rsid w:val="00CE5F78"/>
    <w:rsid w:val="00CE7AA5"/>
    <w:rsid w:val="00CF0417"/>
    <w:rsid w:val="00CF6939"/>
    <w:rsid w:val="00CF748B"/>
    <w:rsid w:val="00D04F60"/>
    <w:rsid w:val="00D06BED"/>
    <w:rsid w:val="00D11390"/>
    <w:rsid w:val="00D139A4"/>
    <w:rsid w:val="00D13A5F"/>
    <w:rsid w:val="00D26687"/>
    <w:rsid w:val="00D27D7A"/>
    <w:rsid w:val="00D304B5"/>
    <w:rsid w:val="00D33FFF"/>
    <w:rsid w:val="00D37F0E"/>
    <w:rsid w:val="00D402E3"/>
    <w:rsid w:val="00D45854"/>
    <w:rsid w:val="00D55128"/>
    <w:rsid w:val="00D5682D"/>
    <w:rsid w:val="00D73424"/>
    <w:rsid w:val="00D75711"/>
    <w:rsid w:val="00D84A56"/>
    <w:rsid w:val="00D85A91"/>
    <w:rsid w:val="00DA1A68"/>
    <w:rsid w:val="00DA327B"/>
    <w:rsid w:val="00DA676E"/>
    <w:rsid w:val="00DA6D51"/>
    <w:rsid w:val="00DB71B7"/>
    <w:rsid w:val="00DC1899"/>
    <w:rsid w:val="00DC3E21"/>
    <w:rsid w:val="00DC5297"/>
    <w:rsid w:val="00DD2594"/>
    <w:rsid w:val="00DD78F2"/>
    <w:rsid w:val="00DE149B"/>
    <w:rsid w:val="00DE38A4"/>
    <w:rsid w:val="00DE4194"/>
    <w:rsid w:val="00DE44C2"/>
    <w:rsid w:val="00DE5574"/>
    <w:rsid w:val="00DE60E0"/>
    <w:rsid w:val="00DE679F"/>
    <w:rsid w:val="00DF45A0"/>
    <w:rsid w:val="00E02F61"/>
    <w:rsid w:val="00E1010E"/>
    <w:rsid w:val="00E10FA3"/>
    <w:rsid w:val="00E11518"/>
    <w:rsid w:val="00E13D4F"/>
    <w:rsid w:val="00E2211E"/>
    <w:rsid w:val="00E24609"/>
    <w:rsid w:val="00E30E23"/>
    <w:rsid w:val="00E42960"/>
    <w:rsid w:val="00E45F59"/>
    <w:rsid w:val="00E46498"/>
    <w:rsid w:val="00E541A9"/>
    <w:rsid w:val="00E54D00"/>
    <w:rsid w:val="00E55DB7"/>
    <w:rsid w:val="00E60B64"/>
    <w:rsid w:val="00E638D2"/>
    <w:rsid w:val="00E63D63"/>
    <w:rsid w:val="00E73683"/>
    <w:rsid w:val="00E77E5E"/>
    <w:rsid w:val="00E800AD"/>
    <w:rsid w:val="00E852D8"/>
    <w:rsid w:val="00E871D2"/>
    <w:rsid w:val="00E95E46"/>
    <w:rsid w:val="00EA64E4"/>
    <w:rsid w:val="00EA70B9"/>
    <w:rsid w:val="00EB2CA8"/>
    <w:rsid w:val="00EB7EA9"/>
    <w:rsid w:val="00EE1AE8"/>
    <w:rsid w:val="00EE24BF"/>
    <w:rsid w:val="00EE4818"/>
    <w:rsid w:val="00EE53ED"/>
    <w:rsid w:val="00EE666C"/>
    <w:rsid w:val="00F012BD"/>
    <w:rsid w:val="00F06078"/>
    <w:rsid w:val="00F10FC4"/>
    <w:rsid w:val="00F11011"/>
    <w:rsid w:val="00F14031"/>
    <w:rsid w:val="00F1412E"/>
    <w:rsid w:val="00F15083"/>
    <w:rsid w:val="00F268B2"/>
    <w:rsid w:val="00F26C5C"/>
    <w:rsid w:val="00F275D5"/>
    <w:rsid w:val="00F30F65"/>
    <w:rsid w:val="00F33F43"/>
    <w:rsid w:val="00F34E47"/>
    <w:rsid w:val="00F40A25"/>
    <w:rsid w:val="00F40B09"/>
    <w:rsid w:val="00F42B16"/>
    <w:rsid w:val="00F459F0"/>
    <w:rsid w:val="00F50AD6"/>
    <w:rsid w:val="00F64604"/>
    <w:rsid w:val="00F66F33"/>
    <w:rsid w:val="00F71787"/>
    <w:rsid w:val="00F75184"/>
    <w:rsid w:val="00F80F39"/>
    <w:rsid w:val="00F81C02"/>
    <w:rsid w:val="00F85747"/>
    <w:rsid w:val="00F87530"/>
    <w:rsid w:val="00F91540"/>
    <w:rsid w:val="00F93610"/>
    <w:rsid w:val="00FA130E"/>
    <w:rsid w:val="00FA7207"/>
    <w:rsid w:val="00FB0F72"/>
    <w:rsid w:val="00FB27C2"/>
    <w:rsid w:val="00FB53E3"/>
    <w:rsid w:val="00FB540B"/>
    <w:rsid w:val="00FC7867"/>
    <w:rsid w:val="00FD392E"/>
    <w:rsid w:val="00FE535F"/>
    <w:rsid w:val="00FE5968"/>
    <w:rsid w:val="00FE711E"/>
    <w:rsid w:val="00FF5514"/>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2997D"/>
  <w15:docId w15:val="{2A5FDCE3-EEFD-43ED-8CCA-1E31D5F0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F2"/>
    <w:pPr>
      <w:spacing w:after="120" w:line="360" w:lineRule="auto"/>
      <w:jc w:val="both"/>
    </w:pPr>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8F2"/>
    <w:pPr>
      <w:ind w:left="720"/>
      <w:contextualSpacing/>
    </w:pPr>
  </w:style>
  <w:style w:type="character" w:customStyle="1" w:styleId="apple-converted-space">
    <w:name w:val="apple-converted-space"/>
    <w:basedOn w:val="DefaultParagraphFont"/>
    <w:rsid w:val="00B7660E"/>
  </w:style>
  <w:style w:type="character" w:styleId="Hyperlink">
    <w:name w:val="Hyperlink"/>
    <w:basedOn w:val="DefaultParagraphFont"/>
    <w:uiPriority w:val="99"/>
    <w:unhideWhenUsed/>
    <w:rsid w:val="00B7660E"/>
    <w:rPr>
      <w:color w:val="0000FF"/>
      <w:u w:val="single"/>
    </w:rPr>
  </w:style>
  <w:style w:type="character" w:styleId="CommentReference">
    <w:name w:val="annotation reference"/>
    <w:basedOn w:val="DefaultParagraphFont"/>
    <w:semiHidden/>
    <w:unhideWhenUsed/>
    <w:rsid w:val="00CD3288"/>
    <w:rPr>
      <w:sz w:val="16"/>
      <w:szCs w:val="16"/>
    </w:rPr>
  </w:style>
  <w:style w:type="paragraph" w:styleId="CommentText">
    <w:name w:val="annotation text"/>
    <w:basedOn w:val="Normal"/>
    <w:link w:val="CommentTextChar"/>
    <w:semiHidden/>
    <w:unhideWhenUsed/>
    <w:rsid w:val="00CD3288"/>
    <w:pPr>
      <w:spacing w:line="240" w:lineRule="auto"/>
    </w:pPr>
    <w:rPr>
      <w:sz w:val="20"/>
      <w:szCs w:val="20"/>
    </w:rPr>
  </w:style>
  <w:style w:type="character" w:customStyle="1" w:styleId="CommentTextChar">
    <w:name w:val="Comment Text Char"/>
    <w:basedOn w:val="DefaultParagraphFont"/>
    <w:link w:val="CommentText"/>
    <w:semiHidden/>
    <w:rsid w:val="00CD3288"/>
    <w:rPr>
      <w:lang w:val="en-GB" w:eastAsia="en-GB"/>
    </w:rPr>
  </w:style>
  <w:style w:type="paragraph" w:styleId="CommentSubject">
    <w:name w:val="annotation subject"/>
    <w:basedOn w:val="CommentText"/>
    <w:next w:val="CommentText"/>
    <w:link w:val="CommentSubjectChar"/>
    <w:semiHidden/>
    <w:unhideWhenUsed/>
    <w:rsid w:val="00CD3288"/>
    <w:rPr>
      <w:b/>
      <w:bCs/>
    </w:rPr>
  </w:style>
  <w:style w:type="character" w:customStyle="1" w:styleId="CommentSubjectChar">
    <w:name w:val="Comment Subject Char"/>
    <w:basedOn w:val="CommentTextChar"/>
    <w:link w:val="CommentSubject"/>
    <w:semiHidden/>
    <w:rsid w:val="00CD3288"/>
    <w:rPr>
      <w:b/>
      <w:bCs/>
      <w:lang w:val="en-GB" w:eastAsia="en-GB"/>
    </w:rPr>
  </w:style>
  <w:style w:type="paragraph" w:styleId="BalloonText">
    <w:name w:val="Balloon Text"/>
    <w:basedOn w:val="Normal"/>
    <w:link w:val="BalloonTextChar"/>
    <w:semiHidden/>
    <w:unhideWhenUsed/>
    <w:rsid w:val="00CD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D3288"/>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EA912EBB.dotm</Template>
  <TotalTime>1</TotalTime>
  <Pages>7</Pages>
  <Words>1545</Words>
  <Characters>8810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Ailbhe O'Loughlin</cp:lastModifiedBy>
  <cp:revision>2</cp:revision>
  <dcterms:created xsi:type="dcterms:W3CDTF">2016-10-18T11:58:00Z</dcterms:created>
  <dcterms:modified xsi:type="dcterms:W3CDTF">2016-10-18T11:58:00Z</dcterms:modified>
</cp:coreProperties>
</file>