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F7DF" w14:textId="77777777" w:rsidR="004C1695" w:rsidRDefault="00AD1251">
      <w:pPr>
        <w:pStyle w:val="Body"/>
        <w:rPr>
          <w:b/>
          <w:bCs/>
          <w:sz w:val="32"/>
          <w:szCs w:val="32"/>
        </w:rPr>
      </w:pPr>
      <w:r w:rsidRPr="000F0A40">
        <w:rPr>
          <w:b/>
          <w:bCs/>
          <w:sz w:val="32"/>
          <w:szCs w:val="32"/>
        </w:rPr>
        <w:t>Reliance on ‘real world’ observational data poses threat to patient outcomes: further reform to the Cancer Drugs Fund is required</w:t>
      </w:r>
      <w:r>
        <w:rPr>
          <w:b/>
          <w:bCs/>
          <w:sz w:val="32"/>
          <w:szCs w:val="32"/>
        </w:rPr>
        <w:t xml:space="preserve"> </w:t>
      </w:r>
    </w:p>
    <w:p w14:paraId="40DC12E2" w14:textId="77777777" w:rsidR="004C1695" w:rsidRDefault="004C1695">
      <w:pPr>
        <w:pStyle w:val="Body"/>
        <w:rPr>
          <w:b/>
          <w:bCs/>
          <w:sz w:val="32"/>
          <w:szCs w:val="32"/>
        </w:rPr>
      </w:pPr>
    </w:p>
    <w:p w14:paraId="55CD3F04" w14:textId="77777777" w:rsidR="004C1695" w:rsidRDefault="00AD1251">
      <w:pPr>
        <w:pStyle w:val="Body"/>
        <w:spacing w:before="100" w:after="100" w:line="240" w:lineRule="auto"/>
        <w:rPr>
          <w:sz w:val="28"/>
          <w:szCs w:val="28"/>
        </w:rPr>
      </w:pPr>
      <w:r>
        <w:rPr>
          <w:sz w:val="28"/>
          <w:szCs w:val="28"/>
          <w:lang w:val="de-DE"/>
        </w:rPr>
        <w:t>Richard Grieve,</w:t>
      </w:r>
      <w:r>
        <w:rPr>
          <w:sz w:val="28"/>
          <w:szCs w:val="28"/>
          <w:vertAlign w:val="superscript"/>
        </w:rPr>
        <w:t>1</w:t>
      </w:r>
      <w:r>
        <w:rPr>
          <w:sz w:val="28"/>
          <w:szCs w:val="28"/>
        </w:rPr>
        <w:t xml:space="preserve"> Keith Abrams,</w:t>
      </w:r>
      <w:r>
        <w:rPr>
          <w:sz w:val="28"/>
          <w:szCs w:val="28"/>
          <w:vertAlign w:val="superscript"/>
        </w:rPr>
        <w:t xml:space="preserve">2 </w:t>
      </w:r>
      <w:r>
        <w:rPr>
          <w:sz w:val="28"/>
          <w:szCs w:val="28"/>
        </w:rPr>
        <w:t xml:space="preserve"> Karl Claxton,</w:t>
      </w:r>
      <w:r>
        <w:rPr>
          <w:sz w:val="28"/>
          <w:szCs w:val="28"/>
          <w:vertAlign w:val="superscript"/>
        </w:rPr>
        <w:t>3</w:t>
      </w:r>
      <w:r>
        <w:rPr>
          <w:sz w:val="28"/>
          <w:szCs w:val="28"/>
        </w:rPr>
        <w:t xml:space="preserve"> Ben Goldacre,</w:t>
      </w:r>
      <w:r>
        <w:rPr>
          <w:sz w:val="28"/>
          <w:szCs w:val="28"/>
          <w:vertAlign w:val="superscript"/>
        </w:rPr>
        <w:t>4</w:t>
      </w:r>
      <w:r>
        <w:rPr>
          <w:sz w:val="28"/>
          <w:szCs w:val="28"/>
          <w:lang w:val="es-ES_tradnl"/>
        </w:rPr>
        <w:t xml:space="preserve"> Nicholas James,</w:t>
      </w:r>
      <w:r>
        <w:rPr>
          <w:sz w:val="28"/>
          <w:szCs w:val="28"/>
          <w:vertAlign w:val="superscript"/>
        </w:rPr>
        <w:t>5</w:t>
      </w:r>
      <w:r>
        <w:rPr>
          <w:sz w:val="28"/>
          <w:szCs w:val="28"/>
        </w:rPr>
        <w:t xml:space="preserve"> </w:t>
      </w:r>
    </w:p>
    <w:p w14:paraId="3DF77144" w14:textId="77777777" w:rsidR="004C1695" w:rsidRDefault="00AD1251">
      <w:pPr>
        <w:pStyle w:val="Body"/>
        <w:spacing w:before="100" w:after="100" w:line="240" w:lineRule="auto"/>
        <w:rPr>
          <w:sz w:val="28"/>
          <w:szCs w:val="28"/>
        </w:rPr>
      </w:pPr>
      <w:r>
        <w:rPr>
          <w:sz w:val="28"/>
          <w:szCs w:val="28"/>
          <w:lang w:val="de-DE"/>
        </w:rPr>
        <w:t>Jon Nicholl,</w:t>
      </w:r>
      <w:r>
        <w:rPr>
          <w:sz w:val="28"/>
          <w:szCs w:val="28"/>
          <w:vertAlign w:val="superscript"/>
        </w:rPr>
        <w:t>6</w:t>
      </w:r>
      <w:r>
        <w:rPr>
          <w:sz w:val="28"/>
          <w:szCs w:val="28"/>
          <w:lang w:val="fr-FR"/>
        </w:rPr>
        <w:t xml:space="preserve"> Max Parmar,</w:t>
      </w:r>
      <w:r>
        <w:rPr>
          <w:sz w:val="28"/>
          <w:szCs w:val="28"/>
          <w:vertAlign w:val="superscript"/>
        </w:rPr>
        <w:t>7</w:t>
      </w:r>
      <w:r>
        <w:rPr>
          <w:sz w:val="28"/>
          <w:szCs w:val="28"/>
        </w:rPr>
        <w:t xml:space="preserve"> Chris Parker,</w:t>
      </w:r>
      <w:r>
        <w:rPr>
          <w:sz w:val="28"/>
          <w:szCs w:val="28"/>
          <w:vertAlign w:val="superscript"/>
        </w:rPr>
        <w:t>8</w:t>
      </w:r>
      <w:r>
        <w:rPr>
          <w:sz w:val="28"/>
          <w:szCs w:val="28"/>
        </w:rPr>
        <w:t xml:space="preserve"> Jasjeet S. Sekhon,</w:t>
      </w:r>
      <w:r>
        <w:rPr>
          <w:sz w:val="28"/>
          <w:szCs w:val="28"/>
          <w:vertAlign w:val="superscript"/>
        </w:rPr>
        <w:t>9</w:t>
      </w:r>
      <w:r>
        <w:rPr>
          <w:sz w:val="28"/>
          <w:szCs w:val="28"/>
        </w:rPr>
        <w:t xml:space="preserve"> Liam Smeeth,</w:t>
      </w:r>
      <w:r>
        <w:rPr>
          <w:sz w:val="28"/>
          <w:szCs w:val="28"/>
          <w:vertAlign w:val="superscript"/>
        </w:rPr>
        <w:t>10</w:t>
      </w:r>
      <w:r>
        <w:rPr>
          <w:sz w:val="28"/>
          <w:szCs w:val="28"/>
        </w:rPr>
        <w:t xml:space="preserve"> </w:t>
      </w:r>
    </w:p>
    <w:p w14:paraId="58C11E5C" w14:textId="77777777" w:rsidR="004C1695" w:rsidRDefault="00AD1251">
      <w:pPr>
        <w:pStyle w:val="Body"/>
        <w:spacing w:before="100" w:after="100" w:line="240" w:lineRule="auto"/>
        <w:rPr>
          <w:sz w:val="28"/>
          <w:szCs w:val="28"/>
        </w:rPr>
      </w:pPr>
      <w:r>
        <w:rPr>
          <w:sz w:val="28"/>
          <w:szCs w:val="28"/>
          <w:lang w:val="de-DE"/>
        </w:rPr>
        <w:t>David Spiegelhalter</w:t>
      </w:r>
      <w:r>
        <w:rPr>
          <w:sz w:val="28"/>
          <w:szCs w:val="28"/>
          <w:vertAlign w:val="superscript"/>
        </w:rPr>
        <w:t>11</w:t>
      </w:r>
      <w:r>
        <w:rPr>
          <w:sz w:val="28"/>
          <w:szCs w:val="28"/>
        </w:rPr>
        <w:t xml:space="preserve"> and Mark Sculpher.</w:t>
      </w:r>
      <w:r>
        <w:rPr>
          <w:sz w:val="28"/>
          <w:szCs w:val="28"/>
          <w:vertAlign w:val="superscript"/>
        </w:rPr>
        <w:t>3</w:t>
      </w:r>
    </w:p>
    <w:tbl>
      <w:tblPr>
        <w:tblW w:w="89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26"/>
      </w:tblGrid>
      <w:tr w:rsidR="004C1695" w:rsidRPr="005E6A7D" w14:paraId="0408CBC5" w14:textId="77777777">
        <w:trPr>
          <w:trHeight w:val="622"/>
        </w:trPr>
        <w:tc>
          <w:tcPr>
            <w:tcW w:w="8926" w:type="dxa"/>
            <w:tcBorders>
              <w:top w:val="nil"/>
              <w:left w:val="nil"/>
              <w:bottom w:val="nil"/>
              <w:right w:val="nil"/>
            </w:tcBorders>
            <w:shd w:val="clear" w:color="auto" w:fill="auto"/>
            <w:tcMar>
              <w:top w:w="80" w:type="dxa"/>
              <w:left w:w="80" w:type="dxa"/>
              <w:bottom w:w="80" w:type="dxa"/>
              <w:right w:w="80" w:type="dxa"/>
            </w:tcMar>
          </w:tcPr>
          <w:p w14:paraId="0E8E4C10" w14:textId="77777777" w:rsidR="004C1695" w:rsidRPr="005E6A7D" w:rsidRDefault="00AD1251" w:rsidP="00FE7D36">
            <w:pPr>
              <w:pStyle w:val="Heading3"/>
              <w:spacing w:before="100" w:after="40" w:line="240" w:lineRule="auto"/>
              <w:rPr>
                <w:sz w:val="20"/>
                <w:szCs w:val="20"/>
              </w:rPr>
            </w:pPr>
            <w:r w:rsidRPr="005E6A7D">
              <w:rPr>
                <w:rFonts w:ascii="Calibri" w:eastAsia="Calibri" w:hAnsi="Calibri" w:cs="Calibri"/>
                <w:b w:val="0"/>
                <w:bCs w:val="0"/>
                <w:color w:val="000000"/>
                <w:sz w:val="20"/>
                <w:szCs w:val="20"/>
                <w:u w:color="000000"/>
                <w:vertAlign w:val="superscript"/>
              </w:rPr>
              <w:t>1</w:t>
            </w:r>
            <w:r w:rsidRPr="005E6A7D">
              <w:rPr>
                <w:rFonts w:ascii="Calibri" w:eastAsia="Calibri" w:hAnsi="Calibri" w:cs="Calibri"/>
                <w:b w:val="0"/>
                <w:bCs w:val="0"/>
                <w:color w:val="000000"/>
                <w:sz w:val="20"/>
                <w:szCs w:val="20"/>
                <w:u w:color="000000"/>
              </w:rPr>
              <w:t>Department of Health Services Research and Policy, London School of Hygiene and Tropical Medicine, London. UK.</w:t>
            </w:r>
          </w:p>
        </w:tc>
      </w:tr>
      <w:tr w:rsidR="004C1695" w:rsidRPr="005E6A7D" w14:paraId="5D3C9D2C" w14:textId="77777777">
        <w:trPr>
          <w:trHeight w:val="300"/>
        </w:trPr>
        <w:tc>
          <w:tcPr>
            <w:tcW w:w="8926" w:type="dxa"/>
            <w:tcBorders>
              <w:top w:val="nil"/>
              <w:left w:val="nil"/>
              <w:bottom w:val="nil"/>
              <w:right w:val="nil"/>
            </w:tcBorders>
            <w:shd w:val="clear" w:color="auto" w:fill="auto"/>
            <w:tcMar>
              <w:top w:w="80" w:type="dxa"/>
              <w:left w:w="80" w:type="dxa"/>
              <w:bottom w:w="80" w:type="dxa"/>
              <w:right w:w="80" w:type="dxa"/>
            </w:tcMar>
          </w:tcPr>
          <w:p w14:paraId="607E02C1"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2</w:t>
            </w:r>
            <w:r w:rsidRPr="005E6A7D">
              <w:rPr>
                <w:sz w:val="20"/>
                <w:szCs w:val="20"/>
              </w:rPr>
              <w:t>Department of Health Sciences, University of Leicester, Leicester. UK.</w:t>
            </w:r>
          </w:p>
        </w:tc>
      </w:tr>
      <w:tr w:rsidR="004C1695" w:rsidRPr="005E6A7D" w14:paraId="6F1D78CF" w14:textId="77777777">
        <w:trPr>
          <w:trHeight w:val="300"/>
        </w:trPr>
        <w:tc>
          <w:tcPr>
            <w:tcW w:w="8926" w:type="dxa"/>
            <w:tcBorders>
              <w:top w:val="nil"/>
              <w:left w:val="nil"/>
              <w:bottom w:val="nil"/>
              <w:right w:val="nil"/>
            </w:tcBorders>
            <w:shd w:val="clear" w:color="auto" w:fill="auto"/>
            <w:tcMar>
              <w:top w:w="80" w:type="dxa"/>
              <w:left w:w="80" w:type="dxa"/>
              <w:bottom w:w="80" w:type="dxa"/>
              <w:right w:w="80" w:type="dxa"/>
            </w:tcMar>
          </w:tcPr>
          <w:p w14:paraId="796692DF"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3</w:t>
            </w:r>
            <w:r w:rsidRPr="005E6A7D">
              <w:rPr>
                <w:sz w:val="20"/>
                <w:szCs w:val="20"/>
              </w:rPr>
              <w:t>Centre for Health Economics, University of York, York. UK.</w:t>
            </w:r>
          </w:p>
        </w:tc>
      </w:tr>
      <w:tr w:rsidR="004C1695" w:rsidRPr="005E6A7D" w14:paraId="07BEEAC2" w14:textId="77777777">
        <w:trPr>
          <w:trHeight w:val="300"/>
        </w:trPr>
        <w:tc>
          <w:tcPr>
            <w:tcW w:w="8926" w:type="dxa"/>
            <w:tcBorders>
              <w:top w:val="nil"/>
              <w:left w:val="nil"/>
              <w:bottom w:val="nil"/>
              <w:right w:val="nil"/>
            </w:tcBorders>
            <w:shd w:val="clear" w:color="auto" w:fill="auto"/>
            <w:tcMar>
              <w:top w:w="80" w:type="dxa"/>
              <w:left w:w="80" w:type="dxa"/>
              <w:bottom w:w="80" w:type="dxa"/>
              <w:right w:w="80" w:type="dxa"/>
            </w:tcMar>
          </w:tcPr>
          <w:p w14:paraId="58B08A85"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4</w:t>
            </w:r>
            <w:r w:rsidRPr="005E6A7D">
              <w:rPr>
                <w:sz w:val="20"/>
                <w:szCs w:val="20"/>
              </w:rPr>
              <w:t>Centre for Evidence-Based Medicine, University of Oxford, Oxford. UK.</w:t>
            </w:r>
          </w:p>
        </w:tc>
      </w:tr>
      <w:tr w:rsidR="004C1695" w:rsidRPr="005E6A7D" w14:paraId="4BA53D68" w14:textId="77777777">
        <w:trPr>
          <w:trHeight w:val="300"/>
        </w:trPr>
        <w:tc>
          <w:tcPr>
            <w:tcW w:w="8926" w:type="dxa"/>
            <w:tcBorders>
              <w:top w:val="nil"/>
              <w:left w:val="nil"/>
              <w:bottom w:val="nil"/>
              <w:right w:val="nil"/>
            </w:tcBorders>
            <w:shd w:val="clear" w:color="auto" w:fill="auto"/>
            <w:tcMar>
              <w:top w:w="80" w:type="dxa"/>
              <w:left w:w="80" w:type="dxa"/>
              <w:bottom w:w="80" w:type="dxa"/>
              <w:right w:w="80" w:type="dxa"/>
            </w:tcMar>
          </w:tcPr>
          <w:p w14:paraId="4240D12B"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5</w:t>
            </w:r>
            <w:r w:rsidRPr="005E6A7D">
              <w:rPr>
                <w:sz w:val="20"/>
                <w:szCs w:val="20"/>
              </w:rPr>
              <w:t>Warwick Cancer Research Unit, University of Warwick, Coventry. UK.</w:t>
            </w:r>
          </w:p>
        </w:tc>
      </w:tr>
      <w:tr w:rsidR="004C1695" w:rsidRPr="005E6A7D" w14:paraId="116E4C4F" w14:textId="77777777">
        <w:trPr>
          <w:trHeight w:val="720"/>
        </w:trPr>
        <w:tc>
          <w:tcPr>
            <w:tcW w:w="8926" w:type="dxa"/>
            <w:tcBorders>
              <w:top w:val="nil"/>
              <w:left w:val="nil"/>
              <w:bottom w:val="nil"/>
              <w:right w:val="nil"/>
            </w:tcBorders>
            <w:shd w:val="clear" w:color="auto" w:fill="auto"/>
            <w:tcMar>
              <w:top w:w="80" w:type="dxa"/>
              <w:left w:w="80" w:type="dxa"/>
              <w:bottom w:w="80" w:type="dxa"/>
              <w:right w:w="80" w:type="dxa"/>
            </w:tcMar>
          </w:tcPr>
          <w:p w14:paraId="1D319002"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6</w:t>
            </w:r>
            <w:r w:rsidRPr="005E6A7D">
              <w:rPr>
                <w:sz w:val="20"/>
                <w:szCs w:val="20"/>
              </w:rPr>
              <w:t>Sheffield Centre for Health and Related Research, University of Sheffield, Sheffield. UK.</w:t>
            </w:r>
          </w:p>
        </w:tc>
      </w:tr>
      <w:tr w:rsidR="004C1695" w:rsidRPr="005E6A7D" w14:paraId="6B266763" w14:textId="77777777">
        <w:trPr>
          <w:trHeight w:val="720"/>
        </w:trPr>
        <w:tc>
          <w:tcPr>
            <w:tcW w:w="8926" w:type="dxa"/>
            <w:tcBorders>
              <w:top w:val="nil"/>
              <w:left w:val="nil"/>
              <w:bottom w:val="nil"/>
              <w:right w:val="nil"/>
            </w:tcBorders>
            <w:shd w:val="clear" w:color="auto" w:fill="auto"/>
            <w:tcMar>
              <w:top w:w="80" w:type="dxa"/>
              <w:left w:w="80" w:type="dxa"/>
              <w:bottom w:w="80" w:type="dxa"/>
              <w:right w:w="80" w:type="dxa"/>
            </w:tcMar>
          </w:tcPr>
          <w:p w14:paraId="4F723349" w14:textId="77777777" w:rsidR="004C1695" w:rsidRPr="005E6A7D" w:rsidRDefault="00AD1251" w:rsidP="00FE7D36">
            <w:pPr>
              <w:pStyle w:val="Body"/>
              <w:spacing w:before="100" w:after="40" w:line="240" w:lineRule="auto"/>
              <w:rPr>
                <w:sz w:val="20"/>
                <w:szCs w:val="20"/>
              </w:rPr>
            </w:pPr>
            <w:r w:rsidRPr="005E6A7D">
              <w:rPr>
                <w:sz w:val="20"/>
                <w:szCs w:val="20"/>
                <w:vertAlign w:val="superscript"/>
              </w:rPr>
              <w:t>7</w:t>
            </w:r>
            <w:r w:rsidRPr="005E6A7D">
              <w:rPr>
                <w:sz w:val="20"/>
                <w:szCs w:val="20"/>
              </w:rPr>
              <w:t>Medical Research Council Clinical Trials Unit, University College London, London. UK.</w:t>
            </w:r>
          </w:p>
        </w:tc>
      </w:tr>
      <w:tr w:rsidR="004C1695" w:rsidRPr="005E6A7D" w14:paraId="657CF5F6" w14:textId="77777777">
        <w:trPr>
          <w:trHeight w:val="300"/>
        </w:trPr>
        <w:tc>
          <w:tcPr>
            <w:tcW w:w="8926" w:type="dxa"/>
            <w:tcBorders>
              <w:top w:val="nil"/>
              <w:left w:val="nil"/>
              <w:bottom w:val="nil"/>
              <w:right w:val="nil"/>
            </w:tcBorders>
            <w:shd w:val="clear" w:color="auto" w:fill="auto"/>
            <w:tcMar>
              <w:top w:w="80" w:type="dxa"/>
              <w:left w:w="80" w:type="dxa"/>
              <w:bottom w:w="80" w:type="dxa"/>
              <w:right w:w="80" w:type="dxa"/>
            </w:tcMar>
          </w:tcPr>
          <w:p w14:paraId="3B592213"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8</w:t>
            </w:r>
            <w:r w:rsidRPr="005E6A7D">
              <w:rPr>
                <w:sz w:val="20"/>
                <w:szCs w:val="20"/>
              </w:rPr>
              <w:t>The Institute of Cancer Research: Royal Cancer Hospital</w:t>
            </w:r>
            <w:r w:rsidRPr="005E6A7D">
              <w:rPr>
                <w:b/>
                <w:bCs/>
                <w:sz w:val="20"/>
                <w:szCs w:val="20"/>
              </w:rPr>
              <w:t xml:space="preserve">, </w:t>
            </w:r>
            <w:r w:rsidRPr="005E6A7D">
              <w:rPr>
                <w:sz w:val="20"/>
                <w:szCs w:val="20"/>
              </w:rPr>
              <w:t>London. UK.</w:t>
            </w:r>
          </w:p>
        </w:tc>
      </w:tr>
      <w:tr w:rsidR="004C1695" w:rsidRPr="005E6A7D" w14:paraId="1B90154B" w14:textId="77777777">
        <w:trPr>
          <w:trHeight w:val="500"/>
        </w:trPr>
        <w:tc>
          <w:tcPr>
            <w:tcW w:w="8926" w:type="dxa"/>
            <w:tcBorders>
              <w:top w:val="nil"/>
              <w:left w:val="nil"/>
              <w:bottom w:val="nil"/>
              <w:right w:val="nil"/>
            </w:tcBorders>
            <w:shd w:val="clear" w:color="auto" w:fill="auto"/>
            <w:tcMar>
              <w:top w:w="80" w:type="dxa"/>
              <w:left w:w="80" w:type="dxa"/>
              <w:bottom w:w="80" w:type="dxa"/>
              <w:right w:w="80" w:type="dxa"/>
            </w:tcMar>
          </w:tcPr>
          <w:p w14:paraId="05F4CE04" w14:textId="77777777" w:rsidR="004C1695" w:rsidRPr="005E6A7D" w:rsidRDefault="00AD1251" w:rsidP="00FE7D36">
            <w:pPr>
              <w:pStyle w:val="Body"/>
              <w:spacing w:before="100" w:after="40" w:line="240" w:lineRule="auto"/>
              <w:rPr>
                <w:sz w:val="20"/>
                <w:szCs w:val="20"/>
              </w:rPr>
            </w:pPr>
            <w:r w:rsidRPr="005E6A7D">
              <w:rPr>
                <w:b/>
                <w:bCs/>
                <w:sz w:val="20"/>
                <w:szCs w:val="20"/>
                <w:vertAlign w:val="superscript"/>
              </w:rPr>
              <w:t>9</w:t>
            </w:r>
            <w:hyperlink r:id="rId7" w:history="1">
              <w:r w:rsidRPr="005E6A7D">
                <w:rPr>
                  <w:rStyle w:val="Hyperlink0"/>
                  <w:sz w:val="20"/>
                  <w:szCs w:val="20"/>
                </w:rPr>
                <w:t>Travers Department of Political Science</w:t>
              </w:r>
            </w:hyperlink>
            <w:r w:rsidRPr="005E6A7D">
              <w:rPr>
                <w:rStyle w:val="Hyperlink0"/>
                <w:sz w:val="20"/>
                <w:szCs w:val="20"/>
              </w:rPr>
              <w:t xml:space="preserve">, </w:t>
            </w:r>
            <w:hyperlink r:id="rId8" w:history="1">
              <w:r w:rsidRPr="005E6A7D">
                <w:rPr>
                  <w:rStyle w:val="Hyperlink0"/>
                  <w:sz w:val="20"/>
                  <w:szCs w:val="20"/>
                </w:rPr>
                <w:t>Department of Statistics</w:t>
              </w:r>
            </w:hyperlink>
            <w:r w:rsidRPr="005E6A7D">
              <w:rPr>
                <w:rStyle w:val="Hyperlink0"/>
                <w:sz w:val="20"/>
                <w:szCs w:val="20"/>
              </w:rPr>
              <w:t xml:space="preserve">, University of California, </w:t>
            </w:r>
            <w:r w:rsidRPr="005E6A7D">
              <w:rPr>
                <w:rStyle w:val="None"/>
                <w:sz w:val="20"/>
                <w:szCs w:val="20"/>
              </w:rPr>
              <w:t>Berkeley, California. USA.</w:t>
            </w:r>
          </w:p>
        </w:tc>
      </w:tr>
      <w:tr w:rsidR="004C1695" w:rsidRPr="005E6A7D" w14:paraId="334C67A4" w14:textId="77777777">
        <w:trPr>
          <w:trHeight w:val="580"/>
        </w:trPr>
        <w:tc>
          <w:tcPr>
            <w:tcW w:w="8926" w:type="dxa"/>
            <w:tcBorders>
              <w:top w:val="nil"/>
              <w:left w:val="nil"/>
              <w:bottom w:val="nil"/>
              <w:right w:val="nil"/>
            </w:tcBorders>
            <w:shd w:val="clear" w:color="auto" w:fill="auto"/>
            <w:tcMar>
              <w:top w:w="80" w:type="dxa"/>
              <w:left w:w="80" w:type="dxa"/>
              <w:bottom w:w="80" w:type="dxa"/>
              <w:right w:w="80" w:type="dxa"/>
            </w:tcMar>
          </w:tcPr>
          <w:p w14:paraId="018DADAD" w14:textId="77777777" w:rsidR="004C1695" w:rsidRPr="005E6A7D" w:rsidRDefault="00AD1251" w:rsidP="00FE7D36">
            <w:pPr>
              <w:pStyle w:val="Body"/>
              <w:spacing w:before="100" w:after="40" w:line="240" w:lineRule="auto"/>
              <w:rPr>
                <w:sz w:val="20"/>
                <w:szCs w:val="20"/>
              </w:rPr>
            </w:pPr>
            <w:r w:rsidRPr="005E6A7D">
              <w:rPr>
                <w:rStyle w:val="None"/>
                <w:b/>
                <w:bCs/>
                <w:sz w:val="20"/>
                <w:szCs w:val="20"/>
                <w:vertAlign w:val="superscript"/>
              </w:rPr>
              <w:t>10</w:t>
            </w:r>
            <w:r w:rsidRPr="005E6A7D">
              <w:rPr>
                <w:rStyle w:val="Hyperlink0"/>
                <w:sz w:val="20"/>
                <w:szCs w:val="20"/>
              </w:rPr>
              <w:t>Department of non-communicable disease epidemiology, London School of Hygiene and Tropical Medicine</w:t>
            </w:r>
            <w:r w:rsidRPr="005E6A7D">
              <w:rPr>
                <w:rStyle w:val="None"/>
                <w:b/>
                <w:bCs/>
                <w:sz w:val="20"/>
                <w:szCs w:val="20"/>
              </w:rPr>
              <w:t xml:space="preserve">, </w:t>
            </w:r>
            <w:r w:rsidRPr="005E6A7D">
              <w:rPr>
                <w:rStyle w:val="Hyperlink0"/>
                <w:sz w:val="20"/>
                <w:szCs w:val="20"/>
              </w:rPr>
              <w:t>London. UK.</w:t>
            </w:r>
          </w:p>
        </w:tc>
      </w:tr>
      <w:tr w:rsidR="004C1695" w:rsidRPr="005E6A7D" w14:paraId="0D75835A" w14:textId="77777777" w:rsidTr="005E6A7D">
        <w:trPr>
          <w:trHeight w:val="541"/>
        </w:trPr>
        <w:tc>
          <w:tcPr>
            <w:tcW w:w="8926" w:type="dxa"/>
            <w:tcBorders>
              <w:top w:val="nil"/>
              <w:left w:val="nil"/>
              <w:bottom w:val="nil"/>
              <w:right w:val="nil"/>
            </w:tcBorders>
            <w:shd w:val="clear" w:color="auto" w:fill="auto"/>
            <w:tcMar>
              <w:top w:w="80" w:type="dxa"/>
              <w:left w:w="80" w:type="dxa"/>
              <w:bottom w:w="80" w:type="dxa"/>
              <w:right w:w="80" w:type="dxa"/>
            </w:tcMar>
          </w:tcPr>
          <w:p w14:paraId="1530D559" w14:textId="77777777" w:rsidR="004C1695" w:rsidRPr="005E6A7D" w:rsidRDefault="00AD1251" w:rsidP="00FE7D36">
            <w:pPr>
              <w:pStyle w:val="Body"/>
              <w:spacing w:before="100" w:after="40" w:line="240" w:lineRule="auto"/>
              <w:rPr>
                <w:sz w:val="20"/>
                <w:szCs w:val="20"/>
              </w:rPr>
            </w:pPr>
            <w:r w:rsidRPr="005E6A7D">
              <w:rPr>
                <w:rStyle w:val="Hyperlink0"/>
                <w:b/>
                <w:bCs/>
                <w:sz w:val="20"/>
                <w:szCs w:val="20"/>
                <w:vertAlign w:val="superscript"/>
              </w:rPr>
              <w:t>11</w:t>
            </w:r>
            <w:bookmarkStart w:id="0" w:name="_GoBack"/>
            <w:r w:rsidRPr="005E6A7D">
              <w:rPr>
                <w:rStyle w:val="None"/>
                <w:sz w:val="20"/>
                <w:szCs w:val="20"/>
              </w:rPr>
              <w:t>Statistical Laboratory, Centre for Mathematical Sciences, Cambridge. UK.</w:t>
            </w:r>
            <w:bookmarkEnd w:id="0"/>
          </w:p>
        </w:tc>
      </w:tr>
    </w:tbl>
    <w:p w14:paraId="09A7A42A" w14:textId="77777777" w:rsidR="004C1695" w:rsidRPr="005E6A7D" w:rsidRDefault="00AD1251">
      <w:pPr>
        <w:pStyle w:val="Body"/>
        <w:spacing w:after="0" w:line="360" w:lineRule="auto"/>
        <w:rPr>
          <w:rStyle w:val="None"/>
          <w:sz w:val="20"/>
          <w:szCs w:val="20"/>
        </w:rPr>
      </w:pPr>
      <w:r w:rsidRPr="005E6A7D">
        <w:rPr>
          <w:rStyle w:val="None"/>
          <w:b/>
          <w:bCs/>
          <w:sz w:val="20"/>
          <w:szCs w:val="20"/>
        </w:rPr>
        <w:t>Address for correspondence</w:t>
      </w:r>
    </w:p>
    <w:p w14:paraId="7F519FD8" w14:textId="77777777" w:rsidR="004C1695" w:rsidRPr="005E6A7D" w:rsidRDefault="00AD1251">
      <w:pPr>
        <w:pStyle w:val="Body"/>
        <w:spacing w:before="120" w:after="120" w:line="240" w:lineRule="auto"/>
        <w:rPr>
          <w:rStyle w:val="None"/>
          <w:sz w:val="20"/>
          <w:szCs w:val="20"/>
        </w:rPr>
      </w:pPr>
      <w:r w:rsidRPr="005E6A7D">
        <w:rPr>
          <w:rStyle w:val="None"/>
          <w:sz w:val="20"/>
          <w:szCs w:val="20"/>
          <w:lang w:val="de-DE"/>
        </w:rPr>
        <w:t>Professor Richard Grieve</w:t>
      </w:r>
    </w:p>
    <w:p w14:paraId="796E1155" w14:textId="77777777" w:rsidR="004C1695" w:rsidRPr="005E6A7D" w:rsidRDefault="00AD1251">
      <w:pPr>
        <w:pStyle w:val="Body"/>
        <w:spacing w:before="120" w:after="120" w:line="240" w:lineRule="auto"/>
        <w:rPr>
          <w:rStyle w:val="None"/>
          <w:sz w:val="20"/>
          <w:szCs w:val="20"/>
        </w:rPr>
      </w:pPr>
      <w:r w:rsidRPr="005E6A7D">
        <w:rPr>
          <w:rStyle w:val="None"/>
          <w:sz w:val="20"/>
          <w:szCs w:val="20"/>
        </w:rPr>
        <w:t xml:space="preserve">Email: </w:t>
      </w:r>
      <w:hyperlink r:id="rId9" w:history="1">
        <w:r w:rsidRPr="005E6A7D">
          <w:rPr>
            <w:rStyle w:val="Hyperlink1"/>
            <w:sz w:val="20"/>
            <w:szCs w:val="20"/>
            <w:lang w:val="de-DE"/>
          </w:rPr>
          <w:t>richard.grieve@lshtm.ac.uk</w:t>
        </w:r>
      </w:hyperlink>
    </w:p>
    <w:p w14:paraId="0E9BF16D" w14:textId="77777777" w:rsidR="004C1695" w:rsidRPr="005E6A7D" w:rsidRDefault="00AD1251">
      <w:pPr>
        <w:pStyle w:val="Body"/>
        <w:spacing w:before="120" w:after="120" w:line="240" w:lineRule="auto"/>
        <w:rPr>
          <w:rStyle w:val="None"/>
          <w:sz w:val="20"/>
          <w:szCs w:val="20"/>
        </w:rPr>
      </w:pPr>
      <w:r w:rsidRPr="005E6A7D">
        <w:rPr>
          <w:rStyle w:val="None"/>
          <w:sz w:val="20"/>
          <w:szCs w:val="20"/>
        </w:rPr>
        <w:t>Tel: +44 207 927 2255</w:t>
      </w:r>
    </w:p>
    <w:p w14:paraId="0F89ACB4" w14:textId="77777777" w:rsidR="004C1695" w:rsidRPr="005E6A7D" w:rsidRDefault="00AD1251">
      <w:pPr>
        <w:pStyle w:val="Heading3"/>
        <w:spacing w:before="120" w:after="120" w:line="240" w:lineRule="auto"/>
        <w:rPr>
          <w:rStyle w:val="None"/>
          <w:rFonts w:ascii="Calibri" w:eastAsia="Calibri" w:hAnsi="Calibri" w:cs="Calibri"/>
          <w:b w:val="0"/>
          <w:bCs w:val="0"/>
          <w:color w:val="000000"/>
          <w:sz w:val="20"/>
          <w:szCs w:val="20"/>
          <w:u w:color="000000"/>
        </w:rPr>
      </w:pPr>
      <w:r w:rsidRPr="005E6A7D">
        <w:rPr>
          <w:rStyle w:val="None"/>
          <w:rFonts w:ascii="Calibri" w:eastAsia="Calibri" w:hAnsi="Calibri" w:cs="Calibri"/>
          <w:b w:val="0"/>
          <w:bCs w:val="0"/>
          <w:color w:val="000000"/>
          <w:sz w:val="20"/>
          <w:szCs w:val="20"/>
          <w:u w:color="000000"/>
        </w:rPr>
        <w:t>Department of Health Services Research and Policy,</w:t>
      </w:r>
    </w:p>
    <w:p w14:paraId="2FB34185" w14:textId="77777777" w:rsidR="004C1695" w:rsidRPr="005E6A7D" w:rsidRDefault="00AD1251">
      <w:pPr>
        <w:pStyle w:val="Heading3"/>
        <w:spacing w:before="120" w:after="120" w:line="240" w:lineRule="auto"/>
        <w:rPr>
          <w:rStyle w:val="None"/>
          <w:rFonts w:ascii="Calibri" w:eastAsia="Calibri" w:hAnsi="Calibri" w:cs="Calibri"/>
          <w:b w:val="0"/>
          <w:bCs w:val="0"/>
          <w:color w:val="000000"/>
          <w:sz w:val="20"/>
          <w:szCs w:val="20"/>
          <w:u w:color="000000"/>
        </w:rPr>
      </w:pPr>
      <w:r w:rsidRPr="005E6A7D">
        <w:rPr>
          <w:rStyle w:val="None"/>
          <w:rFonts w:ascii="Calibri" w:eastAsia="Calibri" w:hAnsi="Calibri" w:cs="Calibri"/>
          <w:b w:val="0"/>
          <w:bCs w:val="0"/>
          <w:color w:val="000000"/>
          <w:sz w:val="20"/>
          <w:szCs w:val="20"/>
          <w:u w:color="000000"/>
        </w:rPr>
        <w:t>London School of Hygiene and Tropical Medicine</w:t>
      </w:r>
    </w:p>
    <w:p w14:paraId="0AE553C7" w14:textId="77777777" w:rsidR="004C1695" w:rsidRPr="005E6A7D" w:rsidRDefault="00AD1251">
      <w:pPr>
        <w:pStyle w:val="Heading3"/>
        <w:spacing w:before="120" w:after="120" w:line="240" w:lineRule="auto"/>
        <w:rPr>
          <w:rStyle w:val="None"/>
          <w:rFonts w:ascii="Calibri" w:eastAsia="Calibri" w:hAnsi="Calibri" w:cs="Calibri"/>
          <w:b w:val="0"/>
          <w:bCs w:val="0"/>
          <w:color w:val="000000"/>
          <w:sz w:val="20"/>
          <w:szCs w:val="20"/>
          <w:u w:color="000000"/>
        </w:rPr>
      </w:pPr>
      <w:r w:rsidRPr="005E6A7D">
        <w:rPr>
          <w:rStyle w:val="None"/>
          <w:rFonts w:ascii="Calibri" w:eastAsia="Calibri" w:hAnsi="Calibri" w:cs="Calibri"/>
          <w:b w:val="0"/>
          <w:bCs w:val="0"/>
          <w:color w:val="000000"/>
          <w:sz w:val="20"/>
          <w:szCs w:val="20"/>
          <w:u w:color="000000"/>
          <w:lang w:val="it-IT"/>
        </w:rPr>
        <w:t>15-17 Tavistock Place, London WC1H 9SH</w:t>
      </w:r>
    </w:p>
    <w:p w14:paraId="1ACB9F36" w14:textId="376AC4F0" w:rsidR="004C1695" w:rsidRPr="005E6A7D" w:rsidRDefault="00AD1251">
      <w:pPr>
        <w:pStyle w:val="Body"/>
        <w:spacing w:before="120" w:after="120" w:line="240" w:lineRule="auto"/>
        <w:rPr>
          <w:sz w:val="20"/>
          <w:szCs w:val="20"/>
        </w:rPr>
      </w:pPr>
      <w:r w:rsidRPr="005E6A7D">
        <w:rPr>
          <w:rStyle w:val="None"/>
          <w:sz w:val="20"/>
          <w:szCs w:val="20"/>
          <w:lang w:val="nl-NL"/>
        </w:rPr>
        <w:t>Conflicts of interest:</w:t>
      </w:r>
      <w:r w:rsidR="000F4BEF">
        <w:rPr>
          <w:rStyle w:val="None"/>
          <w:sz w:val="20"/>
          <w:szCs w:val="20"/>
          <w:lang w:val="nl-NL"/>
        </w:rPr>
        <w:t xml:space="preserve"> none</w:t>
      </w:r>
      <w:r w:rsidR="000F4BEF">
        <w:rPr>
          <w:rStyle w:val="None"/>
          <w:sz w:val="20"/>
          <w:szCs w:val="20"/>
          <w:lang w:val="nl-NL"/>
        </w:rPr>
        <w:tab/>
      </w:r>
      <w:r w:rsidR="000F4BEF">
        <w:rPr>
          <w:rStyle w:val="None"/>
          <w:sz w:val="20"/>
          <w:szCs w:val="20"/>
          <w:lang w:val="nl-NL"/>
        </w:rPr>
        <w:tab/>
      </w:r>
      <w:r w:rsidR="000F4BEF">
        <w:rPr>
          <w:rStyle w:val="None"/>
          <w:sz w:val="20"/>
          <w:szCs w:val="20"/>
          <w:lang w:val="nl-NL"/>
        </w:rPr>
        <w:tab/>
      </w:r>
      <w:r w:rsidR="000F4BEF">
        <w:rPr>
          <w:rStyle w:val="None"/>
          <w:sz w:val="20"/>
          <w:szCs w:val="20"/>
          <w:lang w:val="nl-NL"/>
        </w:rPr>
        <w:tab/>
      </w:r>
      <w:r w:rsidR="000F4BEF">
        <w:rPr>
          <w:rStyle w:val="None"/>
          <w:sz w:val="20"/>
          <w:szCs w:val="20"/>
          <w:lang w:val="nl-NL"/>
        </w:rPr>
        <w:tab/>
        <w:t>Manuscript length: 800</w:t>
      </w:r>
      <w:r w:rsidRPr="005E6A7D">
        <w:rPr>
          <w:rStyle w:val="None"/>
          <w:sz w:val="20"/>
          <w:szCs w:val="20"/>
          <w:lang w:val="nl-NL"/>
        </w:rPr>
        <w:t xml:space="preserve"> words</w:t>
      </w:r>
      <w:r w:rsidRPr="005E6A7D">
        <w:rPr>
          <w:rStyle w:val="None"/>
          <w:sz w:val="20"/>
          <w:szCs w:val="20"/>
          <w:lang w:val="nl-NL"/>
        </w:rPr>
        <w:br w:type="page"/>
      </w:r>
    </w:p>
    <w:p w14:paraId="10A78AA6" w14:textId="47C8A7E6" w:rsidR="004C1695" w:rsidRDefault="00AD1251">
      <w:pPr>
        <w:pStyle w:val="Body"/>
        <w:spacing w:line="360" w:lineRule="auto"/>
      </w:pPr>
      <w:r>
        <w:lastRenderedPageBreak/>
        <w:t>The Cancer Drugs Fund (CDF) reforms were an excellent opportunity to generate evidence on the effectiveness of new cancer drugs</w:t>
      </w:r>
      <w:r w:rsidR="00426867">
        <w:t xml:space="preserve">: </w:t>
      </w:r>
      <w:r>
        <w:t xml:space="preserve">unlike the previous arrangements, </w:t>
      </w:r>
      <w:r w:rsidR="00426867">
        <w:t xml:space="preserve">they </w:t>
      </w:r>
      <w:r>
        <w:t xml:space="preserve">require data collection on patients’ outcomes. </w:t>
      </w:r>
      <w:r w:rsidR="00426867">
        <w:t xml:space="preserve">However, </w:t>
      </w:r>
      <w:r>
        <w:t>the reforms’ reliance on ‘real world’</w:t>
      </w:r>
      <w:r w:rsidR="004B1DF0">
        <w:t xml:space="preserve"> (observational) </w:t>
      </w:r>
      <w:r w:rsidR="00426867">
        <w:t xml:space="preserve">data, </w:t>
      </w:r>
      <w:r>
        <w:t xml:space="preserve">will not generate reliable evidence of effectiveness. We propose an alternative model for the CDF that would establish which drugs are </w:t>
      </w:r>
      <w:r w:rsidR="000F4BEF">
        <w:t xml:space="preserve">relatively </w:t>
      </w:r>
      <w:r w:rsidR="00426867">
        <w:rPr>
          <w:lang w:val="fr-FR"/>
        </w:rPr>
        <w:t>effective</w:t>
      </w:r>
      <w:r>
        <w:t xml:space="preserve">, by conducting timely Randomised Controlled Trials (RCTs) within routinely collected data sources. </w:t>
      </w:r>
      <w:r w:rsidR="004B1DF0">
        <w:t>T</w:t>
      </w:r>
      <w:r>
        <w:t>h</w:t>
      </w:r>
      <w:r w:rsidR="000F4BEF">
        <w:t>e current CDF encourages</w:t>
      </w:r>
      <w:r w:rsidR="004B1DF0">
        <w:t xml:space="preserve"> </w:t>
      </w:r>
      <w:r>
        <w:t xml:space="preserve">early access to drugs, with high prices but uncertain benefits, </w:t>
      </w:r>
      <w:r w:rsidR="004B1DF0">
        <w:t xml:space="preserve">whereas </w:t>
      </w:r>
      <w:r>
        <w:t>our proposal will provide high quality evidence for futur</w:t>
      </w:r>
      <w:r w:rsidR="004D26DE">
        <w:t>e NICE decisions</w:t>
      </w:r>
      <w:r w:rsidR="000F4BEF">
        <w:t>, and therefore larger gains in population health.</w:t>
      </w:r>
    </w:p>
    <w:p w14:paraId="067EC658" w14:textId="54044105" w:rsidR="004C1695" w:rsidRDefault="00AD1251">
      <w:pPr>
        <w:pStyle w:val="Body"/>
        <w:spacing w:line="360" w:lineRule="auto"/>
      </w:pPr>
      <w:r>
        <w:t xml:space="preserve">The original CDF was introduced in England in 2010/11 with a £50m budget which grew to £340m in 2015/16 without evidence of patient benefits.[1] </w:t>
      </w:r>
      <w:r w:rsidR="004B1DF0">
        <w:rPr>
          <w:lang w:val="da-DK"/>
        </w:rPr>
        <w:t>Following</w:t>
      </w:r>
      <w:r>
        <w:rPr>
          <w:lang w:val="da-DK"/>
        </w:rPr>
        <w:t xml:space="preserve"> </w:t>
      </w:r>
      <w:r>
        <w:t>the reforms</w:t>
      </w:r>
      <w:r w:rsidR="004B1DF0">
        <w:t xml:space="preserve">, </w:t>
      </w:r>
      <w:r>
        <w:t xml:space="preserve">NICE </w:t>
      </w:r>
      <w:r w:rsidR="004B1DF0">
        <w:t xml:space="preserve">is </w:t>
      </w:r>
      <w:r>
        <w:t>responsible for a</w:t>
      </w:r>
      <w:r w:rsidR="004D26DE">
        <w:t xml:space="preserve">ppraising all new cancer drugs which </w:t>
      </w:r>
      <w:r>
        <w:t>will be funded if there is a chance they will be shown to be cost-ef</w:t>
      </w:r>
      <w:r w:rsidR="004D26DE">
        <w:t xml:space="preserve">fective after </w:t>
      </w:r>
      <w:r>
        <w:t>two years of ‘real world’ data</w:t>
      </w:r>
      <w:r w:rsidR="004D26DE">
        <w:t xml:space="preserve"> collection</w:t>
      </w:r>
      <w:r>
        <w:t>. However, once a drug is rec</w:t>
      </w:r>
      <w:r w:rsidR="004D26DE">
        <w:t xml:space="preserve">ommended, </w:t>
      </w:r>
      <w:r>
        <w:t>precedent suggests it is very difficult to stop use. For example, NHS funding for Beta Interferon for patients with Multiple Sclerosis continued after an independent evaluation that used ‘real world’ data found it did not improve patient outcomes</w:t>
      </w:r>
      <w:r w:rsidR="00BD53A7">
        <w:t>.[2]</w:t>
      </w:r>
    </w:p>
    <w:p w14:paraId="488BCEBF" w14:textId="017CABD6" w:rsidR="004C1695" w:rsidRDefault="00AD1251">
      <w:pPr>
        <w:pStyle w:val="Body"/>
        <w:spacing w:line="360" w:lineRule="auto"/>
      </w:pPr>
      <w:r>
        <w:t>The CDF reforms will not encourage manufacturers to conduct RCTs</w:t>
      </w:r>
      <w:r w:rsidR="005E6A7D">
        <w:t xml:space="preserve">, and </w:t>
      </w:r>
      <w:r>
        <w:t>NICE will have to make decisions without trial evidence. The central role given to ‘real world’ data is a major cause for concern.  For such observational data to provide accurate estimates of relative effectiveness, requires that outcomes are compared for patients who do</w:t>
      </w:r>
      <w:r w:rsidR="000F4BEF">
        <w:t>,</w:t>
      </w:r>
      <w:r>
        <w:t xml:space="preserve"> and do not</w:t>
      </w:r>
      <w:r w:rsidR="000F4BEF">
        <w:t>,</w:t>
      </w:r>
      <w:r>
        <w:t xml:space="preserve"> take the new drug, but who have similar prognostic characteristics.[3] However, key characteristics will be unmeasured, and so the effectiveness estimates will be biased due to residual confounding. The conduct of observational studies must also avoid manipulation by those with vested interests. The presumption that, without addressing these profound difficulties, ‘r</w:t>
      </w:r>
      <w:r w:rsidR="004D26DE">
        <w:t>eal world’ data can provide unbiased evidence</w:t>
      </w:r>
      <w:r>
        <w:t>, ignores all we know about good research design for identifying causal effects, and the reasons why well-de</w:t>
      </w:r>
      <w:r w:rsidR="004D26DE">
        <w:t xml:space="preserve">signed RCTs are </w:t>
      </w:r>
      <w:r>
        <w:t>the cornerstone of evidence-based medicine.</w:t>
      </w:r>
      <w:r w:rsidR="002517B4">
        <w:t>[4]</w:t>
      </w:r>
      <w:r>
        <w:t xml:space="preserve"> </w:t>
      </w:r>
    </w:p>
    <w:p w14:paraId="368758BE" w14:textId="74D3ABA5" w:rsidR="004C1695" w:rsidRDefault="00AD1251">
      <w:pPr>
        <w:pStyle w:val="Body"/>
        <w:spacing w:after="0" w:line="360" w:lineRule="auto"/>
      </w:pPr>
      <w:r>
        <w:t>Instead, we propose that NICE makes ‘only in research’ recommendations, whereby these drugs are only available within pragmatic, low-cost RCTs. These studies should be designed to provide timely, unbiased estimates of effectiveness, by routinely randomising patients to the new drug versus current practice, at the</w:t>
      </w:r>
      <w:r w:rsidR="002517B4">
        <w:t xml:space="preserve"> point-of-care within the NHS</w:t>
      </w:r>
      <w:r w:rsidR="00BD53A7">
        <w:t>.</w:t>
      </w:r>
      <w:r w:rsidR="002517B4">
        <w:t>[5</w:t>
      </w:r>
      <w:r w:rsidR="00BD53A7">
        <w:t>]</w:t>
      </w:r>
      <w:r>
        <w:t xml:space="preserve"> While routine randomisation can provide timely re</w:t>
      </w:r>
      <w:r w:rsidR="004D26DE">
        <w:t xml:space="preserve">sults, </w:t>
      </w:r>
      <w:r>
        <w:t>this can only be achieved with strong support from funders, ethics committees, regulator</w:t>
      </w:r>
      <w:r w:rsidR="004D26DE">
        <w:t xml:space="preserve">s and central government, </w:t>
      </w:r>
      <w:r>
        <w:t>and if a research culture is em</w:t>
      </w:r>
      <w:r w:rsidR="000F4BEF">
        <w:t>bedded within the NHS.</w:t>
      </w:r>
      <w:r w:rsidR="002517B4">
        <w:t>[6</w:t>
      </w:r>
      <w:r w:rsidR="004D26DE">
        <w:t>]</w:t>
      </w:r>
      <w:r>
        <w:t xml:space="preserve"> These trials require clin</w:t>
      </w:r>
      <w:r w:rsidR="004D26DE">
        <w:t xml:space="preserve">ician time to recruit </w:t>
      </w:r>
      <w:r>
        <w:t xml:space="preserve">patients, </w:t>
      </w:r>
      <w:r w:rsidR="00BD53A7">
        <w:t>and investment in informatics,</w:t>
      </w:r>
      <w:r w:rsidR="002517B4">
        <w:t>[5</w:t>
      </w:r>
      <w:r w:rsidR="00BD53A7">
        <w:rPr>
          <w:lang w:val="pt-PT"/>
        </w:rPr>
        <w:t>]</w:t>
      </w:r>
      <w:r>
        <w:rPr>
          <w:lang w:val="pt-PT"/>
        </w:rPr>
        <w:t xml:space="preserve"> </w:t>
      </w:r>
      <w:r w:rsidR="004D26DE">
        <w:t xml:space="preserve">but the costs will be </w:t>
      </w:r>
      <w:r>
        <w:t>low compared to the CDF budget. Furthermore, follow-up data can be collected from the UK’s high-</w:t>
      </w:r>
      <w:r>
        <w:lastRenderedPageBreak/>
        <w:t xml:space="preserve">quality routinely collected clinical datasets, including the world’s largest cancer registry, linked to existing radiotherapy and chemotherapy datasets such as Anti-Cancer Therapy </w:t>
      </w:r>
      <w:r w:rsidR="004D26DE">
        <w:t xml:space="preserve">(SACT) data set </w:t>
      </w:r>
      <w:r w:rsidR="000F4BEF">
        <w:t>(see [</w:t>
      </w:r>
      <w:r w:rsidR="002517B4">
        <w:t>7</w:t>
      </w:r>
      <w:r w:rsidR="000F4BEF">
        <w:t>] for details, including limitations)</w:t>
      </w:r>
      <w:r>
        <w:t xml:space="preserve">, and to sources of electronic health records such as the Clinical Practice Research Datalink (CPRD). Future trials could be linked to cohorts with genetic information. </w:t>
      </w:r>
    </w:p>
    <w:p w14:paraId="01644552" w14:textId="77777777" w:rsidR="004C1695" w:rsidRDefault="004C1695">
      <w:pPr>
        <w:pStyle w:val="Body"/>
        <w:spacing w:after="0" w:line="360" w:lineRule="auto"/>
      </w:pPr>
    </w:p>
    <w:p w14:paraId="7EC41B86" w14:textId="0E02E0CC" w:rsidR="004C1695" w:rsidRDefault="00AD1251">
      <w:pPr>
        <w:pStyle w:val="Body"/>
        <w:spacing w:after="0" w:line="360" w:lineRule="auto"/>
      </w:pPr>
      <w:r>
        <w:t>These RCT designs can be flexible, and provide a platform for new drugs as they emerge. Multi-Arm Multi-Stage trials, in particular, allow more treatments to be assessed</w:t>
      </w:r>
      <w:r w:rsidR="004D26DE">
        <w:t xml:space="preserve"> than</w:t>
      </w:r>
      <w:r>
        <w:t xml:space="preserve"> traditional 2-arm trials, and enable the range of patient subgroups and treatments to ‘adapt’ as the data provide insights about which patients respond best to whic</w:t>
      </w:r>
      <w:r w:rsidR="002517B4">
        <w:t>h drugs.[8</w:t>
      </w:r>
      <w:r>
        <w:t xml:space="preserve">] These trials can recruit patients from within observational databases, and include international centres to improve statistical power and generalisability. </w:t>
      </w:r>
    </w:p>
    <w:p w14:paraId="4460E17C" w14:textId="77777777" w:rsidR="004C1695" w:rsidRDefault="004C1695">
      <w:pPr>
        <w:pStyle w:val="Body"/>
        <w:spacing w:after="0" w:line="240" w:lineRule="auto"/>
      </w:pPr>
    </w:p>
    <w:p w14:paraId="53B73686" w14:textId="5CA2C879" w:rsidR="004C1695" w:rsidRDefault="00AD1251">
      <w:pPr>
        <w:pStyle w:val="Body"/>
        <w:spacing w:line="360" w:lineRule="auto"/>
        <w:rPr>
          <w:rStyle w:val="None"/>
          <w:rFonts w:ascii="Times New Roman" w:eastAsia="Times New Roman" w:hAnsi="Times New Roman" w:cs="Times New Roman"/>
          <w:sz w:val="24"/>
          <w:szCs w:val="24"/>
        </w:rPr>
      </w:pPr>
      <w:r>
        <w:t>For some new cancer drugs, an NHS-funded RCT may provide insufficient addition</w:t>
      </w:r>
      <w:r w:rsidR="00BD53A7">
        <w:t>al value to justify the costs.</w:t>
      </w:r>
      <w:r w:rsidR="002517B4">
        <w:t>[9</w:t>
      </w:r>
      <w:r w:rsidR="00BD53A7">
        <w:t>]</w:t>
      </w:r>
      <w:r>
        <w:t xml:space="preserve"> If there is an ongoing trial for regulatory purposes it may be more efficient to delay a NICE </w:t>
      </w:r>
      <w:r>
        <w:rPr>
          <w:lang w:val="it-IT"/>
        </w:rPr>
        <w:t>decision</w:t>
      </w:r>
      <w:r>
        <w:t>, pending availability of evidence on long-term outcomes from the regulatory trial. For drugs where any RCT is judged unethical or impractical, then careful non-randomised studies should be conducted to minimise confounding, by collecting longitudinal data on all relevant prognostic characteristics and outcomes for patients receiving and not receiving the new drug. To reduce residual confounding, studies should collect data on characteristics that predict treatment selection, but are unrelated to outcomes.</w:t>
      </w:r>
      <w:r w:rsidR="002517B4">
        <w:t>[10]</w:t>
      </w:r>
    </w:p>
    <w:p w14:paraId="36B3A2C6" w14:textId="1D6CC7CC" w:rsidR="004C1695" w:rsidRDefault="00AD1251">
      <w:pPr>
        <w:pStyle w:val="Body"/>
        <w:spacing w:after="0" w:line="360" w:lineRule="auto"/>
      </w:pPr>
      <w:r>
        <w:t>The CDF reforms, related initiatives such as t</w:t>
      </w:r>
      <w:r w:rsidR="005E6A7D">
        <w:t>he Accelerated Access Review,</w:t>
      </w:r>
      <w:r w:rsidR="002517B4">
        <w:t>[11]</w:t>
      </w:r>
      <w:r>
        <w:t xml:space="preserve"> and comparative effectiveness research </w:t>
      </w:r>
      <w:r w:rsidR="004D26DE">
        <w:t xml:space="preserve">such as from </w:t>
      </w:r>
      <w:r>
        <w:t xml:space="preserve">using </w:t>
      </w:r>
      <w:r>
        <w:rPr>
          <w:rStyle w:val="None"/>
        </w:rPr>
        <w:t>Surveillance, Epidemiology and End Results (SEER)-Medicare–linked</w:t>
      </w:r>
      <w:r w:rsidR="005E6A7D">
        <w:t xml:space="preserve"> data,</w:t>
      </w:r>
      <w:r w:rsidR="002517B4">
        <w:t>[12]</w:t>
      </w:r>
      <w:r>
        <w:t xml:space="preserve"> all rely on ‘real world’</w:t>
      </w:r>
      <w:r>
        <w:rPr>
          <w:lang w:val="nl-NL"/>
        </w:rPr>
        <w:t xml:space="preserve"> data</w:t>
      </w:r>
      <w:r>
        <w:t xml:space="preserve">. These initiatives will undermine the evidence base for clinical practice; once these products are in widespread use, randomisation will be </w:t>
      </w:r>
      <w:r>
        <w:rPr>
          <w:lang w:val="fr-FR"/>
        </w:rPr>
        <w:t>impossible</w:t>
      </w:r>
      <w:r>
        <w:t xml:space="preserve">. Instead, we propose a CDF that permits initial use only within rapid, flexible and efficient </w:t>
      </w:r>
      <w:r>
        <w:rPr>
          <w:lang w:val="fr-FR"/>
        </w:rPr>
        <w:t>RCTs</w:t>
      </w:r>
      <w:r>
        <w:t xml:space="preserve">. Building NHS capacity for this programme would capitalise on the UK’s strength in trials, generate long-term evidence of value worldwide, and yield large </w:t>
      </w:r>
      <w:r w:rsidR="004D26DE">
        <w:t>benefits to patients</w:t>
      </w:r>
      <w:r>
        <w:t>.</w:t>
      </w:r>
    </w:p>
    <w:p w14:paraId="24785595" w14:textId="77777777" w:rsidR="004C1695" w:rsidRDefault="00AD1251">
      <w:pPr>
        <w:pStyle w:val="Body"/>
        <w:spacing w:line="360" w:lineRule="auto"/>
        <w:rPr>
          <w:rStyle w:val="None"/>
          <w:b/>
          <w:bCs/>
          <w:sz w:val="24"/>
          <w:szCs w:val="24"/>
        </w:rPr>
      </w:pPr>
      <w:r>
        <w:rPr>
          <w:rStyle w:val="None"/>
          <w:b/>
          <w:bCs/>
          <w:sz w:val="24"/>
          <w:szCs w:val="24"/>
        </w:rPr>
        <w:t>Acknowledgements</w:t>
      </w:r>
    </w:p>
    <w:p w14:paraId="3777EBD4" w14:textId="0123DB5C" w:rsidR="004C1695" w:rsidRDefault="00AD1251">
      <w:pPr>
        <w:pStyle w:val="Body"/>
        <w:spacing w:line="360" w:lineRule="auto"/>
      </w:pPr>
      <w:r>
        <w:t xml:space="preserve">We thank </w:t>
      </w:r>
      <w:r w:rsidR="00BD53A7">
        <w:t xml:space="preserve">Anirban Basu, </w:t>
      </w:r>
      <w:r>
        <w:t>John Cairns, Manuel Gomes, Neil H</w:t>
      </w:r>
      <w:r w:rsidR="00BD53A7">
        <w:t>awkins, Miguel Hernan, Noemi Kr</w:t>
      </w:r>
      <w:r>
        <w:t>i</w:t>
      </w:r>
      <w:r w:rsidR="00BD53A7">
        <w:t>e</w:t>
      </w:r>
      <w:r>
        <w:t>f, Alec Miners</w:t>
      </w:r>
      <w:r w:rsidR="00BD53A7">
        <w:t>, Stephen O’Neill,</w:t>
      </w:r>
      <w:r>
        <w:t xml:space="preserve"> and Bernard Rachet for helpful discussions.</w:t>
      </w:r>
    </w:p>
    <w:p w14:paraId="36DC1493" w14:textId="77777777" w:rsidR="005E6A7D" w:rsidRDefault="005E6A7D">
      <w:pPr>
        <w:pStyle w:val="Body"/>
        <w:spacing w:line="360" w:lineRule="auto"/>
      </w:pPr>
    </w:p>
    <w:p w14:paraId="0A953380" w14:textId="77777777" w:rsidR="004D26DE" w:rsidRDefault="004D26DE">
      <w:pPr>
        <w:pStyle w:val="Body"/>
        <w:spacing w:line="360" w:lineRule="auto"/>
      </w:pPr>
    </w:p>
    <w:p w14:paraId="0E9EEE6C" w14:textId="77777777" w:rsidR="004C1695" w:rsidRDefault="00AD1251">
      <w:pPr>
        <w:pStyle w:val="Body"/>
        <w:spacing w:line="360" w:lineRule="auto"/>
        <w:rPr>
          <w:rStyle w:val="None"/>
          <w:i/>
          <w:iCs/>
          <w:sz w:val="24"/>
          <w:szCs w:val="24"/>
        </w:rPr>
      </w:pPr>
      <w:r>
        <w:rPr>
          <w:rStyle w:val="None"/>
          <w:b/>
          <w:bCs/>
          <w:sz w:val="24"/>
          <w:szCs w:val="24"/>
          <w:lang w:val="fr-FR"/>
        </w:rPr>
        <w:lastRenderedPageBreak/>
        <w:t>References</w:t>
      </w:r>
      <w:r>
        <w:rPr>
          <w:rStyle w:val="None"/>
          <w:i/>
          <w:iCs/>
          <w:sz w:val="24"/>
          <w:szCs w:val="24"/>
        </w:rPr>
        <w:t xml:space="preserve"> </w:t>
      </w:r>
    </w:p>
    <w:p w14:paraId="022D66E0" w14:textId="77777777" w:rsidR="004C1695" w:rsidRPr="005E6A7D" w:rsidRDefault="00AD1251">
      <w:pPr>
        <w:pStyle w:val="Body"/>
        <w:numPr>
          <w:ilvl w:val="0"/>
          <w:numId w:val="2"/>
        </w:numPr>
        <w:shd w:val="clear" w:color="auto" w:fill="FFFFFF"/>
        <w:spacing w:before="100" w:after="100" w:line="240" w:lineRule="auto"/>
        <w:rPr>
          <w:rStyle w:val="None"/>
        </w:rPr>
      </w:pPr>
      <w:r w:rsidRPr="005E6A7D">
        <w:rPr>
          <w:rStyle w:val="None"/>
        </w:rPr>
        <w:t xml:space="preserve">Claxton, K. </w:t>
      </w:r>
      <w:r w:rsidRPr="005E6A7D">
        <w:rPr>
          <w:rStyle w:val="Hyperlink0"/>
        </w:rPr>
        <w:t xml:space="preserve">Pharmaceutical pricing: early access, the Cancer Drugs Fund and the role of NICE. York, United Kingdom: Centre of Health Economics, University of York, 2016. </w:t>
      </w:r>
      <w:hyperlink r:id="rId10" w:history="1">
        <w:r w:rsidRPr="005E6A7D">
          <w:rPr>
            <w:rStyle w:val="Hyperlink2"/>
          </w:rPr>
          <w:t>http://www.york.ac.uk/media/che/documents/policybriefing/Drug_prices.pdf</w:t>
        </w:r>
      </w:hyperlink>
      <w:r w:rsidRPr="005E6A7D">
        <w:rPr>
          <w:rStyle w:val="Hyperlink0"/>
        </w:rPr>
        <w:t xml:space="preserve"> [accessed May 11, 2016].</w:t>
      </w:r>
    </w:p>
    <w:p w14:paraId="22D05759" w14:textId="77777777" w:rsidR="004C1695" w:rsidRPr="005E6A7D" w:rsidRDefault="00AD1251">
      <w:pPr>
        <w:pStyle w:val="Body"/>
        <w:numPr>
          <w:ilvl w:val="0"/>
          <w:numId w:val="2"/>
        </w:numPr>
        <w:shd w:val="clear" w:color="auto" w:fill="FFFFFF"/>
        <w:spacing w:before="100" w:after="100" w:line="240" w:lineRule="auto"/>
        <w:rPr>
          <w:rStyle w:val="None"/>
        </w:rPr>
      </w:pPr>
      <w:r w:rsidRPr="005E6A7D">
        <w:rPr>
          <w:rStyle w:val="None"/>
        </w:rPr>
        <w:t xml:space="preserve">McCabe C, Chilcott J, Claxton K, et al. Continuing the multiple sclerosis risk sharing scheme is unjustified. British Medical Journal, 2010; </w:t>
      </w:r>
      <w:r w:rsidRPr="005E6A7D">
        <w:rPr>
          <w:rStyle w:val="None"/>
          <w:b/>
          <w:bCs/>
          <w:lang w:val="ru-RU"/>
        </w:rPr>
        <w:t>340</w:t>
      </w:r>
      <w:r w:rsidRPr="005E6A7D">
        <w:rPr>
          <w:rStyle w:val="None"/>
        </w:rPr>
        <w:t>:c1786, doi: 10.1136/bmj.c1786.</w:t>
      </w:r>
    </w:p>
    <w:p w14:paraId="2DB3BF1D" w14:textId="77777777" w:rsidR="004C1695" w:rsidRDefault="00AD1251">
      <w:pPr>
        <w:pStyle w:val="Body"/>
        <w:numPr>
          <w:ilvl w:val="0"/>
          <w:numId w:val="2"/>
        </w:numPr>
        <w:shd w:val="clear" w:color="auto" w:fill="FFFFFF"/>
        <w:spacing w:before="100" w:after="100" w:line="240" w:lineRule="auto"/>
        <w:rPr>
          <w:rStyle w:val="None"/>
        </w:rPr>
      </w:pPr>
      <w:r w:rsidRPr="005E6A7D">
        <w:rPr>
          <w:rStyle w:val="None"/>
        </w:rPr>
        <w:t>Sekhon J, Grieve R. A Matching Method for Improving Covariate Balance in Cost-Effectiveness Analyses. Health Economics 2012;</w:t>
      </w:r>
      <w:r w:rsidRPr="005E6A7D">
        <w:rPr>
          <w:rStyle w:val="None"/>
          <w:b/>
          <w:bCs/>
        </w:rPr>
        <w:t>21:</w:t>
      </w:r>
      <w:r w:rsidRPr="005E6A7D">
        <w:rPr>
          <w:rStyle w:val="Hyperlink0"/>
        </w:rPr>
        <w:t>695–714</w:t>
      </w:r>
      <w:r w:rsidRPr="005E6A7D">
        <w:rPr>
          <w:rStyle w:val="None"/>
          <w:b/>
          <w:bCs/>
          <w:iCs/>
        </w:rPr>
        <w:t xml:space="preserve"> </w:t>
      </w:r>
      <w:r w:rsidRPr="005E6A7D">
        <w:rPr>
          <w:rStyle w:val="None"/>
        </w:rPr>
        <w:t>DOI: 10.1002/hec.1748</w:t>
      </w:r>
    </w:p>
    <w:p w14:paraId="359923EA" w14:textId="77777777" w:rsidR="002517B4" w:rsidRPr="002517B4" w:rsidRDefault="002517B4" w:rsidP="002517B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theme="minorHAnsi"/>
          <w:color w:val="000000"/>
          <w:sz w:val="22"/>
          <w:szCs w:val="22"/>
          <w:lang w:val="en" w:eastAsia="en-GB"/>
        </w:rPr>
      </w:pPr>
      <w:r w:rsidRPr="002517B4">
        <w:rPr>
          <w:rFonts w:ascii="Calibri" w:hAnsi="Calibri" w:cstheme="minorHAnsi"/>
          <w:sz w:val="22"/>
          <w:szCs w:val="22"/>
        </w:rPr>
        <w:t xml:space="preserve">Cochrane AF. Effectiveness and </w:t>
      </w:r>
      <w:r w:rsidRPr="002517B4">
        <w:rPr>
          <w:rFonts w:ascii="Calibri" w:hAnsi="Calibri" w:cstheme="minorHAnsi"/>
          <w:color w:val="333333"/>
          <w:sz w:val="22"/>
          <w:szCs w:val="22"/>
        </w:rPr>
        <w:t>Efficiency: Random Reflections on Health Services. London, United Kingdom: Taylor and Francis, London, 1972.</w:t>
      </w:r>
    </w:p>
    <w:p w14:paraId="63B7747B" w14:textId="77777777" w:rsidR="004C1695" w:rsidRPr="005E6A7D" w:rsidRDefault="00AD1251">
      <w:pPr>
        <w:pStyle w:val="Body"/>
        <w:numPr>
          <w:ilvl w:val="0"/>
          <w:numId w:val="2"/>
        </w:numPr>
        <w:shd w:val="clear" w:color="auto" w:fill="FFFFFF"/>
        <w:spacing w:before="100" w:after="100" w:line="240" w:lineRule="auto"/>
        <w:rPr>
          <w:rStyle w:val="None"/>
        </w:rPr>
      </w:pPr>
      <w:r w:rsidRPr="005E6A7D">
        <w:rPr>
          <w:rStyle w:val="None"/>
        </w:rPr>
        <w:t xml:space="preserve">van Staa TP, Dyson L, McCann G et al. The opportunities and challenges of pragmatic point-of-care randomised trials using routinely collected electronic records: evaluations of two exemplar trials. </w:t>
      </w:r>
      <w:r w:rsidRPr="005E6A7D">
        <w:rPr>
          <w:rStyle w:val="None"/>
          <w:iCs/>
        </w:rPr>
        <w:t>Health Technology Assess</w:t>
      </w:r>
      <w:r w:rsidRPr="005E6A7D">
        <w:rPr>
          <w:rStyle w:val="None"/>
        </w:rPr>
        <w:t xml:space="preserve">ment 2014; </w:t>
      </w:r>
      <w:r w:rsidRPr="005E6A7D">
        <w:rPr>
          <w:rStyle w:val="None"/>
          <w:b/>
          <w:bCs/>
        </w:rPr>
        <w:t>18</w:t>
      </w:r>
      <w:r w:rsidRPr="005E6A7D">
        <w:rPr>
          <w:rStyle w:val="None"/>
        </w:rPr>
        <w:t>:1-146. doi: 10.3310/hta18430.</w:t>
      </w:r>
    </w:p>
    <w:p w14:paraId="0FFC6E53" w14:textId="77777777" w:rsidR="004C1695" w:rsidRPr="005E6A7D" w:rsidRDefault="00AD1251">
      <w:pPr>
        <w:pStyle w:val="Body"/>
        <w:numPr>
          <w:ilvl w:val="0"/>
          <w:numId w:val="2"/>
        </w:numPr>
        <w:shd w:val="clear" w:color="auto" w:fill="FFFFFF"/>
        <w:spacing w:before="100" w:after="100" w:line="240" w:lineRule="auto"/>
        <w:rPr>
          <w:rStyle w:val="None"/>
        </w:rPr>
      </w:pPr>
      <w:r w:rsidRPr="005E6A7D">
        <w:rPr>
          <w:rStyle w:val="None"/>
        </w:rPr>
        <w:t>Pollard A,</w:t>
      </w:r>
      <w:r w:rsidRPr="005E6A7D">
        <w:rPr>
          <w:rStyle w:val="None"/>
          <w:iCs/>
        </w:rPr>
        <w:t xml:space="preserve"> </w:t>
      </w:r>
      <w:r w:rsidRPr="005E6A7D">
        <w:rPr>
          <w:rStyle w:val="Hyperlink0"/>
        </w:rPr>
        <w:t xml:space="preserve">Reiner A, John T, Sheasby E, Snape M et al. </w:t>
      </w:r>
      <w:r w:rsidRPr="005E6A7D">
        <w:rPr>
          <w:rStyle w:val="None"/>
        </w:rPr>
        <w:t xml:space="preserve">Expediting clinical trials in a pandemic. </w:t>
      </w:r>
      <w:hyperlink r:id="rId11" w:history="1">
        <w:r w:rsidRPr="005E6A7D">
          <w:rPr>
            <w:rStyle w:val="Hyperlink3"/>
            <w:rFonts w:ascii="Calibri" w:hAnsi="Calibri"/>
          </w:rPr>
          <w:t>http://www.bmj.com/rapid-response/2011/11/02/expediting-clinical-trials-pandemic</w:t>
        </w:r>
      </w:hyperlink>
      <w:r w:rsidRPr="005E6A7D">
        <w:rPr>
          <w:rStyle w:val="None"/>
          <w:iCs/>
        </w:rPr>
        <w:t xml:space="preserve"> </w:t>
      </w:r>
      <w:r w:rsidRPr="005E6A7D">
        <w:rPr>
          <w:rStyle w:val="None"/>
          <w:b/>
          <w:bCs/>
          <w:color w:val="545454"/>
          <w:u w:color="545454"/>
        </w:rPr>
        <w:t>BMJ</w:t>
      </w:r>
      <w:r w:rsidRPr="005E6A7D">
        <w:rPr>
          <w:rStyle w:val="None"/>
          <w:color w:val="545454"/>
          <w:u w:color="545454"/>
        </w:rPr>
        <w:t xml:space="preserve"> 2009; 339 doi: </w:t>
      </w:r>
      <w:r w:rsidRPr="005E6A7D">
        <w:rPr>
          <w:rStyle w:val="None"/>
          <w:b/>
          <w:bCs/>
          <w:color w:val="545454"/>
          <w:u w:color="545454"/>
          <w:lang w:val="de-DE"/>
        </w:rPr>
        <w:t>http</w:t>
      </w:r>
      <w:r w:rsidRPr="005E6A7D">
        <w:rPr>
          <w:rStyle w:val="None"/>
          <w:color w:val="545454"/>
          <w:u w:color="545454"/>
        </w:rPr>
        <w:t>://dx.doi.org/10.1136/</w:t>
      </w:r>
      <w:r w:rsidRPr="005E6A7D">
        <w:rPr>
          <w:rStyle w:val="None"/>
          <w:b/>
          <w:bCs/>
          <w:color w:val="545454"/>
          <w:u w:color="545454"/>
        </w:rPr>
        <w:t>bmj</w:t>
      </w:r>
      <w:r w:rsidRPr="005E6A7D">
        <w:rPr>
          <w:rStyle w:val="None"/>
          <w:color w:val="545454"/>
          <w:u w:color="545454"/>
        </w:rPr>
        <w:t>.b4014</w:t>
      </w:r>
    </w:p>
    <w:p w14:paraId="62211F3F" w14:textId="77777777" w:rsidR="004C1695" w:rsidRPr="005E6A7D" w:rsidRDefault="00AD1251">
      <w:pPr>
        <w:pStyle w:val="NormalWeb"/>
        <w:numPr>
          <w:ilvl w:val="0"/>
          <w:numId w:val="3"/>
        </w:numPr>
        <w:shd w:val="clear" w:color="auto" w:fill="FFFFFF"/>
        <w:spacing w:after="100" w:line="240" w:lineRule="auto"/>
        <w:rPr>
          <w:rFonts w:ascii="Calibri" w:hAnsi="Calibri"/>
          <w:sz w:val="22"/>
          <w:szCs w:val="22"/>
        </w:rPr>
      </w:pPr>
      <w:r w:rsidRPr="005E6A7D">
        <w:rPr>
          <w:rStyle w:val="None"/>
          <w:rFonts w:ascii="Calibri" w:hAnsi="Calibri"/>
          <w:sz w:val="22"/>
          <w:szCs w:val="22"/>
        </w:rPr>
        <w:t xml:space="preserve">Mestre-Ferrandiz, J., Towse, A., Dellamano, R. and Pistollato, M. Multi-indication pricing: pros, coms and applicability to the UK. Office of Health economics, London. </w:t>
      </w:r>
      <w:hyperlink r:id="rId12" w:history="1">
        <w:r w:rsidRPr="005E6A7D">
          <w:rPr>
            <w:rStyle w:val="Hyperlink4"/>
            <w:rFonts w:ascii="Calibri" w:hAnsi="Calibri"/>
            <w:sz w:val="22"/>
            <w:szCs w:val="22"/>
          </w:rPr>
          <w:t>https://www.ohe.org/publications/multi-indication-pricing-pros-cons-and-applicability-uk</w:t>
        </w:r>
      </w:hyperlink>
      <w:r w:rsidRPr="005E6A7D">
        <w:rPr>
          <w:rStyle w:val="None"/>
          <w:rFonts w:ascii="Calibri" w:eastAsia="Segoe UI" w:hAnsi="Calibri" w:cs="Segoe UI"/>
          <w:color w:val="0000FF"/>
          <w:sz w:val="22"/>
          <w:szCs w:val="22"/>
          <w:u w:val="single" w:color="0000FF"/>
        </w:rPr>
        <w:t xml:space="preserve"> [accessed July 22</w:t>
      </w:r>
      <w:r w:rsidRPr="005E6A7D">
        <w:rPr>
          <w:rStyle w:val="None"/>
          <w:rFonts w:ascii="Calibri" w:eastAsia="Segoe UI" w:hAnsi="Calibri" w:cs="Segoe UI"/>
          <w:color w:val="0000FF"/>
          <w:sz w:val="22"/>
          <w:szCs w:val="22"/>
          <w:u w:val="single" w:color="0000FF"/>
          <w:vertAlign w:val="superscript"/>
        </w:rPr>
        <w:t>nd</w:t>
      </w:r>
      <w:r w:rsidRPr="005E6A7D">
        <w:rPr>
          <w:rStyle w:val="None"/>
          <w:rFonts w:ascii="Calibri" w:eastAsia="Segoe UI" w:hAnsi="Calibri" w:cs="Segoe UI"/>
          <w:color w:val="0000FF"/>
          <w:sz w:val="22"/>
          <w:szCs w:val="22"/>
          <w:u w:val="single" w:color="0000FF"/>
        </w:rPr>
        <w:t>, 2016]</w:t>
      </w:r>
    </w:p>
    <w:p w14:paraId="2BB89D76" w14:textId="77777777" w:rsidR="004C1695" w:rsidRPr="005E6A7D" w:rsidRDefault="00AD1251">
      <w:pPr>
        <w:pStyle w:val="Body"/>
        <w:numPr>
          <w:ilvl w:val="0"/>
          <w:numId w:val="2"/>
        </w:numPr>
        <w:shd w:val="clear" w:color="auto" w:fill="FFFFFF"/>
        <w:spacing w:before="100" w:after="100" w:line="240" w:lineRule="auto"/>
        <w:rPr>
          <w:rStyle w:val="None"/>
        </w:rPr>
      </w:pPr>
      <w:r w:rsidRPr="005E6A7D">
        <w:rPr>
          <w:rStyle w:val="None"/>
          <w:color w:val="333333"/>
          <w:u w:color="333333"/>
        </w:rPr>
        <w:t>Parmar MK</w:t>
      </w:r>
      <w:r w:rsidRPr="005E6A7D">
        <w:rPr>
          <w:rStyle w:val="None"/>
          <w:color w:val="444444"/>
          <w:u w:color="444444"/>
        </w:rPr>
        <w:t xml:space="preserve">, </w:t>
      </w:r>
      <w:r w:rsidRPr="005E6A7D">
        <w:rPr>
          <w:rStyle w:val="None"/>
          <w:color w:val="333333"/>
          <w:u w:color="333333"/>
        </w:rPr>
        <w:t>Carpenter J</w:t>
      </w:r>
      <w:r w:rsidRPr="005E6A7D">
        <w:rPr>
          <w:rStyle w:val="None"/>
          <w:color w:val="444444"/>
          <w:u w:color="444444"/>
        </w:rPr>
        <w:t xml:space="preserve">, </w:t>
      </w:r>
      <w:r w:rsidRPr="005E6A7D">
        <w:rPr>
          <w:rStyle w:val="None"/>
          <w:color w:val="333333"/>
          <w:u w:color="333333"/>
        </w:rPr>
        <w:t>Sydes MR</w:t>
      </w:r>
      <w:r w:rsidRPr="005E6A7D">
        <w:rPr>
          <w:rStyle w:val="None"/>
          <w:color w:val="444444"/>
          <w:u w:color="444444"/>
        </w:rPr>
        <w:t>. More multiarm randomised trials of superiority are needed. Lancet</w:t>
      </w:r>
      <w:r w:rsidRPr="005E6A7D">
        <w:rPr>
          <w:rStyle w:val="None"/>
          <w:iCs/>
          <w:color w:val="444444"/>
          <w:u w:color="444444"/>
        </w:rPr>
        <w:t xml:space="preserve"> </w:t>
      </w:r>
      <w:r w:rsidRPr="005E6A7D">
        <w:rPr>
          <w:rStyle w:val="None"/>
          <w:color w:val="444444"/>
          <w:u w:color="444444"/>
        </w:rPr>
        <w:t xml:space="preserve">2014; </w:t>
      </w:r>
      <w:r w:rsidRPr="005E6A7D">
        <w:rPr>
          <w:rStyle w:val="None"/>
          <w:b/>
          <w:bCs/>
          <w:color w:val="333333"/>
          <w:u w:color="333333"/>
        </w:rPr>
        <w:t>384</w:t>
      </w:r>
      <w:r w:rsidRPr="005E6A7D">
        <w:rPr>
          <w:rStyle w:val="None"/>
          <w:color w:val="444444"/>
          <w:u w:color="444444"/>
        </w:rPr>
        <w:t>:283-284.</w:t>
      </w:r>
    </w:p>
    <w:p w14:paraId="647D8F15" w14:textId="77777777" w:rsidR="004C1695" w:rsidRPr="002517B4" w:rsidRDefault="00AD1251">
      <w:pPr>
        <w:pStyle w:val="Body"/>
        <w:numPr>
          <w:ilvl w:val="0"/>
          <w:numId w:val="2"/>
        </w:numPr>
        <w:shd w:val="clear" w:color="auto" w:fill="FFFFFF"/>
        <w:spacing w:before="100" w:after="100" w:line="240" w:lineRule="auto"/>
        <w:rPr>
          <w:rStyle w:val="Hyperlink5"/>
          <w:color w:val="000000"/>
          <w:sz w:val="22"/>
          <w:szCs w:val="22"/>
          <w:u w:val="none" w:color="000000"/>
        </w:rPr>
      </w:pPr>
      <w:r w:rsidRPr="005E6A7D">
        <w:rPr>
          <w:rStyle w:val="None"/>
        </w:rPr>
        <w:t>Claxton K, Palmer S, Longworth L, Bojke L, Griffin S, et al. A comprehensive algorithm for approval of health technologies with, without or only in research; the key principles for informing coverage decisions.</w:t>
      </w:r>
      <w:r w:rsidRPr="005E6A7D">
        <w:rPr>
          <w:rStyle w:val="None"/>
          <w:color w:val="333333"/>
          <w:kern w:val="36"/>
          <w:u w:color="333333"/>
        </w:rPr>
        <w:t xml:space="preserve"> </w:t>
      </w:r>
      <w:r w:rsidRPr="005E6A7D">
        <w:rPr>
          <w:rStyle w:val="None"/>
          <w:iCs/>
        </w:rPr>
        <w:t>Value in Health</w:t>
      </w:r>
      <w:r w:rsidRPr="005E6A7D">
        <w:rPr>
          <w:rStyle w:val="None"/>
        </w:rPr>
        <w:t xml:space="preserve"> 2016</w:t>
      </w:r>
      <w:r w:rsidRPr="005E6A7D">
        <w:rPr>
          <w:rStyle w:val="None"/>
          <w:color w:val="333333"/>
          <w:u w:color="333333"/>
        </w:rPr>
        <w:t xml:space="preserve"> DOI: </w:t>
      </w:r>
      <w:hyperlink r:id="rId13" w:history="1">
        <w:r w:rsidRPr="005E6A7D">
          <w:rPr>
            <w:rStyle w:val="Hyperlink5"/>
            <w:sz w:val="22"/>
            <w:szCs w:val="22"/>
          </w:rPr>
          <w:t>http://dx.doi.org/10.1016/j.jval.2016.03.2003</w:t>
        </w:r>
      </w:hyperlink>
    </w:p>
    <w:p w14:paraId="22AD7EC8" w14:textId="77777777" w:rsidR="002517B4" w:rsidRPr="004E34B6" w:rsidRDefault="005B5DDF" w:rsidP="002517B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theme="minorHAnsi"/>
          <w:sz w:val="22"/>
          <w:szCs w:val="22"/>
          <w:lang w:eastAsia="en-GB"/>
        </w:rPr>
      </w:pPr>
      <w:hyperlink r:id="rId14" w:tooltip="Joshua Angrist" w:history="1">
        <w:r w:rsidR="002517B4" w:rsidRPr="004E34B6">
          <w:rPr>
            <w:rFonts w:ascii="Calibri" w:hAnsi="Calibri" w:cstheme="minorHAnsi"/>
            <w:iCs/>
            <w:sz w:val="22"/>
            <w:szCs w:val="22"/>
            <w:lang w:val="en"/>
          </w:rPr>
          <w:t>Angrist JD</w:t>
        </w:r>
      </w:hyperlink>
      <w:r w:rsidR="002517B4" w:rsidRPr="004E34B6">
        <w:rPr>
          <w:rFonts w:ascii="Calibri" w:hAnsi="Calibri" w:cstheme="minorHAnsi"/>
          <w:iCs/>
          <w:sz w:val="22"/>
          <w:szCs w:val="22"/>
          <w:lang w:val="en"/>
        </w:rPr>
        <w:t xml:space="preserve">, </w:t>
      </w:r>
      <w:hyperlink r:id="rId15" w:tooltip="Guido Imbens" w:history="1">
        <w:r w:rsidR="002517B4" w:rsidRPr="004E34B6">
          <w:rPr>
            <w:rFonts w:ascii="Calibri" w:hAnsi="Calibri" w:cstheme="minorHAnsi"/>
            <w:iCs/>
            <w:sz w:val="22"/>
            <w:szCs w:val="22"/>
            <w:lang w:val="en"/>
          </w:rPr>
          <w:t>Imbens GW</w:t>
        </w:r>
      </w:hyperlink>
      <w:r w:rsidR="002517B4" w:rsidRPr="004E34B6">
        <w:rPr>
          <w:rFonts w:ascii="Calibri" w:hAnsi="Calibri" w:cstheme="minorHAnsi"/>
          <w:iCs/>
          <w:sz w:val="22"/>
          <w:szCs w:val="22"/>
          <w:lang w:val="en"/>
        </w:rPr>
        <w:t xml:space="preserve">, </w:t>
      </w:r>
      <w:hyperlink r:id="rId16" w:tooltip="Donald Rubin" w:history="1">
        <w:r w:rsidR="002517B4" w:rsidRPr="004E34B6">
          <w:rPr>
            <w:rFonts w:ascii="Calibri" w:hAnsi="Calibri" w:cstheme="minorHAnsi"/>
            <w:iCs/>
            <w:sz w:val="22"/>
            <w:szCs w:val="22"/>
            <w:lang w:val="en"/>
          </w:rPr>
          <w:t>Rubin DB.</w:t>
        </w:r>
      </w:hyperlink>
      <w:r w:rsidR="002517B4" w:rsidRPr="004E34B6">
        <w:rPr>
          <w:rFonts w:ascii="Calibri" w:hAnsi="Calibri" w:cstheme="minorHAnsi"/>
          <w:iCs/>
          <w:sz w:val="22"/>
          <w:szCs w:val="22"/>
          <w:lang w:val="en"/>
        </w:rPr>
        <w:t xml:space="preserve"> Identification and Causal Effects using Instrumental Variables. </w:t>
      </w:r>
      <w:hyperlink r:id="rId17" w:tooltip="Journal of the American Statistical Association" w:history="1">
        <w:r w:rsidR="002517B4" w:rsidRPr="004E34B6">
          <w:rPr>
            <w:rFonts w:ascii="Calibri" w:hAnsi="Calibri" w:cstheme="minorHAnsi"/>
            <w:iCs/>
            <w:sz w:val="22"/>
            <w:szCs w:val="22"/>
            <w:lang w:val="en"/>
          </w:rPr>
          <w:t>Journal of the American Statistical Association</w:t>
        </w:r>
      </w:hyperlink>
      <w:r w:rsidR="002517B4" w:rsidRPr="004E34B6">
        <w:rPr>
          <w:rFonts w:ascii="Calibri" w:hAnsi="Calibri" w:cstheme="minorHAnsi"/>
          <w:iCs/>
          <w:sz w:val="22"/>
          <w:szCs w:val="22"/>
          <w:lang w:val="en"/>
        </w:rPr>
        <w:t xml:space="preserve"> 1996;</w:t>
      </w:r>
      <w:r w:rsidR="002517B4" w:rsidRPr="004E34B6">
        <w:rPr>
          <w:rFonts w:ascii="Calibri" w:hAnsi="Calibri" w:cstheme="minorHAnsi"/>
          <w:b/>
          <w:bCs/>
          <w:iCs/>
          <w:sz w:val="22"/>
          <w:szCs w:val="22"/>
          <w:lang w:val="en"/>
        </w:rPr>
        <w:t>91</w:t>
      </w:r>
      <w:r w:rsidR="002517B4" w:rsidRPr="004E34B6">
        <w:rPr>
          <w:rFonts w:ascii="Calibri" w:hAnsi="Calibri" w:cstheme="minorHAnsi"/>
          <w:iCs/>
          <w:sz w:val="22"/>
          <w:szCs w:val="22"/>
          <w:lang w:val="en"/>
        </w:rPr>
        <w:t xml:space="preserve">: 444–455. </w:t>
      </w:r>
      <w:hyperlink r:id="rId18" w:tooltip="Digital object identifier" w:history="1">
        <w:r w:rsidR="002517B4" w:rsidRPr="004E34B6">
          <w:rPr>
            <w:rFonts w:ascii="Calibri" w:hAnsi="Calibri" w:cstheme="minorHAnsi"/>
            <w:iCs/>
            <w:sz w:val="22"/>
            <w:szCs w:val="22"/>
            <w:lang w:val="en"/>
          </w:rPr>
          <w:t>doi</w:t>
        </w:r>
      </w:hyperlink>
      <w:r w:rsidR="002517B4" w:rsidRPr="004E34B6">
        <w:rPr>
          <w:rFonts w:ascii="Calibri" w:hAnsi="Calibri" w:cstheme="minorHAnsi"/>
          <w:iCs/>
          <w:sz w:val="22"/>
          <w:szCs w:val="22"/>
          <w:lang w:val="en"/>
        </w:rPr>
        <w:t>:</w:t>
      </w:r>
      <w:hyperlink r:id="rId19" w:history="1">
        <w:r w:rsidR="002517B4" w:rsidRPr="004E34B6">
          <w:rPr>
            <w:rFonts w:ascii="Calibri" w:hAnsi="Calibri" w:cstheme="minorHAnsi"/>
            <w:iCs/>
            <w:sz w:val="22"/>
            <w:szCs w:val="22"/>
            <w:lang w:val="en"/>
          </w:rPr>
          <w:t>10.1080/01621459.1996.10476902</w:t>
        </w:r>
      </w:hyperlink>
      <w:r w:rsidR="002517B4" w:rsidRPr="004E34B6">
        <w:rPr>
          <w:rFonts w:ascii="Calibri" w:hAnsi="Calibri" w:cstheme="minorHAnsi"/>
          <w:iCs/>
          <w:sz w:val="22"/>
          <w:szCs w:val="22"/>
          <w:lang w:val="en"/>
        </w:rPr>
        <w:t>.</w:t>
      </w:r>
    </w:p>
    <w:p w14:paraId="4AA19F88" w14:textId="77777777" w:rsidR="002517B4" w:rsidRPr="004E34B6" w:rsidRDefault="002517B4" w:rsidP="002517B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theme="minorHAnsi"/>
          <w:sz w:val="22"/>
          <w:szCs w:val="22"/>
          <w:lang w:eastAsia="en-GB"/>
        </w:rPr>
      </w:pPr>
      <w:r w:rsidRPr="004E34B6">
        <w:rPr>
          <w:rFonts w:ascii="Calibri" w:hAnsi="Calibri" w:cstheme="minorHAnsi"/>
          <w:sz w:val="22"/>
          <w:szCs w:val="22"/>
        </w:rPr>
        <w:t xml:space="preserve">Accelerated Access Review. Interim Report. Review of innovative medicines and medical technologies, supported by Wellcome Trust. London, United Kingdom: Department for Business, Innovation and Skills, Department of Health, October, 2015, London. </w:t>
      </w:r>
      <w:hyperlink r:id="rId20" w:history="1">
        <w:r w:rsidRPr="004E34B6">
          <w:rPr>
            <w:rStyle w:val="Hyperlink"/>
            <w:rFonts w:ascii="Calibri" w:hAnsi="Calibri" w:cstheme="minorHAnsi"/>
            <w:b/>
            <w:color w:val="365F91" w:themeColor="accent1" w:themeShade="BF"/>
            <w:sz w:val="22"/>
            <w:szCs w:val="22"/>
          </w:rPr>
          <w:t>https://www.gov.uk/government/uploads/system/uploads/attachment_data/file/471562/AAR_Interim_Report_acc.pdf</w:t>
        </w:r>
      </w:hyperlink>
      <w:r w:rsidRPr="004E34B6">
        <w:rPr>
          <w:rFonts w:ascii="Calibri" w:hAnsi="Calibri" w:cstheme="minorHAnsi"/>
          <w:b/>
          <w:sz w:val="22"/>
          <w:szCs w:val="22"/>
        </w:rPr>
        <w:t xml:space="preserve"> [</w:t>
      </w:r>
      <w:r w:rsidRPr="004E34B6">
        <w:rPr>
          <w:rFonts w:ascii="Calibri" w:hAnsi="Calibri" w:cstheme="minorHAnsi"/>
          <w:sz w:val="22"/>
          <w:szCs w:val="22"/>
        </w:rPr>
        <w:t>accessed May 11, 2016].</w:t>
      </w:r>
    </w:p>
    <w:p w14:paraId="357208F6" w14:textId="77777777" w:rsidR="002517B4" w:rsidRPr="002517B4" w:rsidRDefault="002517B4" w:rsidP="002517B4">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Calibri" w:eastAsia="Times New Roman" w:hAnsi="Calibri" w:cstheme="minorHAnsi"/>
          <w:sz w:val="22"/>
          <w:szCs w:val="22"/>
          <w:lang w:eastAsia="en-GB"/>
        </w:rPr>
      </w:pPr>
      <w:r w:rsidRPr="004E34B6">
        <w:rPr>
          <w:rFonts w:ascii="Calibri" w:hAnsi="Calibri" w:cstheme="minorHAnsi"/>
          <w:sz w:val="22"/>
          <w:szCs w:val="22"/>
        </w:rPr>
        <w:t>National Institute of Health. National Cancer Institute.  Division of Cancer Control and Population Sciences. Health Care Delivery Research Program, SEER-Medicare linked database, 2016.</w:t>
      </w:r>
      <w:r w:rsidRPr="004E34B6">
        <w:rPr>
          <w:rFonts w:ascii="Calibri" w:hAnsi="Calibri" w:cstheme="minorHAnsi"/>
          <w:color w:val="4F81BD" w:themeColor="accent1"/>
          <w:sz w:val="22"/>
          <w:szCs w:val="22"/>
        </w:rPr>
        <w:t xml:space="preserve"> </w:t>
      </w:r>
      <w:hyperlink r:id="rId21" w:history="1">
        <w:r w:rsidRPr="004E34B6">
          <w:rPr>
            <w:rStyle w:val="Hyperlink"/>
            <w:rFonts w:ascii="Calibri" w:hAnsi="Calibri" w:cstheme="minorHAnsi"/>
            <w:color w:val="4F81BD" w:themeColor="accent1"/>
            <w:sz w:val="22"/>
            <w:szCs w:val="22"/>
          </w:rPr>
          <w:t>http://healthcaredelivery.cancer.gov/seermedicare/</w:t>
        </w:r>
      </w:hyperlink>
      <w:r w:rsidRPr="004E34B6">
        <w:rPr>
          <w:rFonts w:ascii="Calibri" w:hAnsi="Calibri" w:cstheme="minorHAnsi"/>
          <w:sz w:val="22"/>
          <w:szCs w:val="22"/>
        </w:rPr>
        <w:t xml:space="preserve"> [accessed May 11, 2016].</w:t>
      </w:r>
    </w:p>
    <w:p w14:paraId="1C96AD59" w14:textId="77777777" w:rsidR="002517B4" w:rsidRPr="005E6A7D" w:rsidRDefault="002517B4" w:rsidP="004E34B6">
      <w:pPr>
        <w:pStyle w:val="Body"/>
        <w:shd w:val="clear" w:color="auto" w:fill="FFFFFF"/>
        <w:spacing w:before="100" w:after="100" w:line="240" w:lineRule="auto"/>
        <w:ind w:left="720"/>
        <w:rPr>
          <w:rStyle w:val="None"/>
        </w:rPr>
      </w:pPr>
    </w:p>
    <w:p w14:paraId="0736850B" w14:textId="77777777" w:rsidR="004C1695" w:rsidRPr="005E6A7D" w:rsidRDefault="004C1695">
      <w:pPr>
        <w:pStyle w:val="Body"/>
        <w:spacing w:after="0" w:line="240" w:lineRule="auto"/>
        <w:rPr>
          <w:rFonts w:eastAsia="Times New Roman" w:cs="Times New Roman"/>
        </w:rPr>
      </w:pPr>
    </w:p>
    <w:p w14:paraId="519AA48D" w14:textId="77777777" w:rsidR="004C1695" w:rsidRPr="005E6A7D" w:rsidRDefault="00AD1251">
      <w:pPr>
        <w:pStyle w:val="Body"/>
        <w:spacing w:line="360" w:lineRule="auto"/>
      </w:pPr>
      <w:r w:rsidRPr="005E6A7D">
        <w:rPr>
          <w:rStyle w:val="None"/>
        </w:rPr>
        <w:t xml:space="preserve"> </w:t>
      </w:r>
    </w:p>
    <w:sectPr w:rsidR="004C1695" w:rsidRPr="005E6A7D">
      <w:headerReference w:type="default" r:id="rId22"/>
      <w:footerReference w:type="default" r:id="rId23"/>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75272" w14:textId="77777777" w:rsidR="007E4E5F" w:rsidRDefault="007E4E5F">
      <w:r>
        <w:separator/>
      </w:r>
    </w:p>
  </w:endnote>
  <w:endnote w:type="continuationSeparator" w:id="0">
    <w:p w14:paraId="35F7C85E" w14:textId="77777777" w:rsidR="007E4E5F" w:rsidRDefault="007E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5C1A3" w14:textId="77777777" w:rsidR="00AD1251" w:rsidRDefault="00AD1251">
    <w:pPr>
      <w:pStyle w:val="Footer"/>
      <w:tabs>
        <w:tab w:val="clear" w:pos="9026"/>
        <w:tab w:val="right" w:pos="9000"/>
      </w:tabs>
      <w:jc w:val="center"/>
    </w:pPr>
    <w:r>
      <w:fldChar w:fldCharType="begin"/>
    </w:r>
    <w:r>
      <w:instrText xml:space="preserve"> PAGE </w:instrText>
    </w:r>
    <w:r>
      <w:fldChar w:fldCharType="separate"/>
    </w:r>
    <w:r w:rsidR="005B5DD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08AA7" w14:textId="77777777" w:rsidR="007E4E5F" w:rsidRDefault="007E4E5F">
      <w:r>
        <w:separator/>
      </w:r>
    </w:p>
  </w:footnote>
  <w:footnote w:type="continuationSeparator" w:id="0">
    <w:p w14:paraId="781D74BC" w14:textId="77777777" w:rsidR="007E4E5F" w:rsidRDefault="007E4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ED7BC" w14:textId="77777777" w:rsidR="00AD1251" w:rsidRDefault="00AD125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31CE0"/>
    <w:multiLevelType w:val="multilevel"/>
    <w:tmpl w:val="DC7058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FE22F0"/>
    <w:multiLevelType w:val="hybridMultilevel"/>
    <w:tmpl w:val="35E64AD4"/>
    <w:styleLink w:val="ImportedStyle1"/>
    <w:lvl w:ilvl="0" w:tplc="26F27A9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68FF6A">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9EBA04">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B8162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5059AE">
      <w:start w:val="1"/>
      <w:numFmt w:val="decimal"/>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B0C008">
      <w:start w:val="1"/>
      <w:numFmt w:val="decimal"/>
      <w:lvlText w:val="%6."/>
      <w:lvlJc w:val="left"/>
      <w:pPr>
        <w:tabs>
          <w:tab w:val="left" w:pos="720"/>
        </w:tabs>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76076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44760">
      <w:start w:val="1"/>
      <w:numFmt w:val="decimal"/>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1CA2F4">
      <w:start w:val="1"/>
      <w:numFmt w:val="decimal"/>
      <w:lvlText w:val="%9."/>
      <w:lvlJc w:val="left"/>
      <w:pPr>
        <w:tabs>
          <w:tab w:val="left" w:pos="720"/>
        </w:tabs>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65DE4E71"/>
    <w:multiLevelType w:val="hybridMultilevel"/>
    <w:tmpl w:val="35E64AD4"/>
    <w:numStyleLink w:val="ImportedStyle1"/>
  </w:abstractNum>
  <w:num w:numId="1">
    <w:abstractNumId w:val="1"/>
  </w:num>
  <w:num w:numId="2">
    <w:abstractNumId w:val="2"/>
  </w:num>
  <w:num w:numId="3">
    <w:abstractNumId w:val="2"/>
    <w:lvlOverride w:ilvl="0">
      <w:lvl w:ilvl="0" w:tplc="DBF85F0A">
        <w:start w:val="1"/>
        <w:numFmt w:val="decimal"/>
        <w:lvlText w:val="%1."/>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FA67FE6">
        <w:start w:val="1"/>
        <w:numFmt w:val="decimal"/>
        <w:lvlText w:val="%2."/>
        <w:lvlJc w:val="left"/>
        <w:pPr>
          <w:tabs>
            <w:tab w:val="left" w:pos="720"/>
          </w:tabs>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0C96E4">
        <w:start w:val="1"/>
        <w:numFmt w:val="decimal"/>
        <w:lvlText w:val="%3."/>
        <w:lvlJc w:val="left"/>
        <w:pPr>
          <w:tabs>
            <w:tab w:val="left" w:pos="720"/>
          </w:tabs>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32B2BA">
        <w:start w:val="1"/>
        <w:numFmt w:val="decimal"/>
        <w:lvlText w:val="%4."/>
        <w:lvlJc w:val="left"/>
        <w:pPr>
          <w:tabs>
            <w:tab w:val="left" w:pos="720"/>
          </w:tabs>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9021598">
        <w:start w:val="1"/>
        <w:numFmt w:val="decimal"/>
        <w:lvlText w:val="%5."/>
        <w:lvlJc w:val="left"/>
        <w:pPr>
          <w:tabs>
            <w:tab w:val="left" w:pos="720"/>
          </w:tabs>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6D8730A">
        <w:start w:val="1"/>
        <w:numFmt w:val="decimal"/>
        <w:lvlText w:val="%6."/>
        <w:lvlJc w:val="left"/>
        <w:pPr>
          <w:tabs>
            <w:tab w:val="left" w:pos="720"/>
          </w:tabs>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0A1B52">
        <w:start w:val="1"/>
        <w:numFmt w:val="decimal"/>
        <w:lvlText w:val="%7."/>
        <w:lvlJc w:val="left"/>
        <w:pPr>
          <w:tabs>
            <w:tab w:val="left" w:pos="720"/>
          </w:tabs>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5763EF4">
        <w:start w:val="1"/>
        <w:numFmt w:val="decimal"/>
        <w:lvlText w:val="%8."/>
        <w:lvlJc w:val="left"/>
        <w:pPr>
          <w:tabs>
            <w:tab w:val="left" w:pos="720"/>
          </w:tabs>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FC64C60">
        <w:start w:val="1"/>
        <w:numFmt w:val="decimal"/>
        <w:lvlText w:val="%9."/>
        <w:lvlJc w:val="left"/>
        <w:pPr>
          <w:tabs>
            <w:tab w:val="left" w:pos="720"/>
          </w:tabs>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95"/>
    <w:rsid w:val="000214A2"/>
    <w:rsid w:val="000F0A40"/>
    <w:rsid w:val="000F4BEF"/>
    <w:rsid w:val="00191246"/>
    <w:rsid w:val="002517B4"/>
    <w:rsid w:val="002A354C"/>
    <w:rsid w:val="00426867"/>
    <w:rsid w:val="004B1DF0"/>
    <w:rsid w:val="004C1695"/>
    <w:rsid w:val="004D26DE"/>
    <w:rsid w:val="004E34B6"/>
    <w:rsid w:val="005B5DDF"/>
    <w:rsid w:val="005E6A7D"/>
    <w:rsid w:val="00666B63"/>
    <w:rsid w:val="007E4E5F"/>
    <w:rsid w:val="009D1440"/>
    <w:rsid w:val="00A426F3"/>
    <w:rsid w:val="00AD1251"/>
    <w:rsid w:val="00B63D67"/>
    <w:rsid w:val="00BD53A7"/>
    <w:rsid w:val="00E976D2"/>
    <w:rsid w:val="00FE7D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33C048"/>
  <w15:docId w15:val="{8BD89902-C8F7-4107-B107-50EC53B35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rPr>
  </w:style>
  <w:style w:type="paragraph" w:styleId="Heading3">
    <w:name w:val="heading 3"/>
    <w:next w:val="Body"/>
    <w:pPr>
      <w:keepNext/>
      <w:keepLines/>
      <w:spacing w:before="200" w:line="276" w:lineRule="auto"/>
      <w:outlineLvl w:val="2"/>
    </w:pPr>
    <w:rPr>
      <w:rFonts w:ascii="Cambria" w:eastAsia="Cambria" w:hAnsi="Cambria" w:cs="Cambria"/>
      <w:b/>
      <w:bCs/>
      <w:color w:val="4F81BD"/>
      <w:sz w:val="22"/>
      <w:szCs w:val="22"/>
      <w:u w:color="4F81B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character" w:customStyle="1" w:styleId="None">
    <w:name w:val="None"/>
  </w:style>
  <w:style w:type="character" w:customStyle="1" w:styleId="Hyperlink0">
    <w:name w:val="Hyperlink.0"/>
    <w:basedOn w:val="None"/>
    <w:rPr>
      <w:lang w:val="en-US"/>
    </w:rPr>
  </w:style>
  <w:style w:type="character" w:customStyle="1" w:styleId="Link">
    <w:name w:val="Link"/>
    <w:rPr>
      <w:color w:val="0000FF"/>
      <w:u w:val="single" w:color="0000FF"/>
    </w:rPr>
  </w:style>
  <w:style w:type="character" w:customStyle="1" w:styleId="Hyperlink1">
    <w:name w:val="Hyperlink.1"/>
    <w:basedOn w:val="Link"/>
    <w:rPr>
      <w:color w:val="0000FF"/>
      <w:sz w:val="24"/>
      <w:szCs w:val="24"/>
      <w:u w:val="single" w:color="0000FF"/>
    </w:rPr>
  </w:style>
  <w:style w:type="numbering" w:customStyle="1" w:styleId="ImportedStyle1">
    <w:name w:val="Imported Style 1"/>
    <w:pPr>
      <w:numPr>
        <w:numId w:val="1"/>
      </w:numPr>
    </w:pPr>
  </w:style>
  <w:style w:type="character" w:customStyle="1" w:styleId="Hyperlink2">
    <w:name w:val="Hyperlink.2"/>
    <w:basedOn w:val="Link"/>
    <w:rPr>
      <w:color w:val="0000FF"/>
      <w:u w:val="single" w:color="0000FF"/>
      <w:lang w:val="en-US"/>
    </w:rPr>
  </w:style>
  <w:style w:type="character" w:customStyle="1" w:styleId="Hyperlink3">
    <w:name w:val="Hyperlink.3"/>
    <w:basedOn w:val="Link"/>
    <w:rPr>
      <w:rFonts w:ascii="Trebuchet MS" w:eastAsia="Trebuchet MS" w:hAnsi="Trebuchet MS" w:cs="Trebuchet MS"/>
      <w:i/>
      <w:iCs/>
      <w:color w:val="0000FF"/>
      <w:u w:val="single" w:color="0000FF"/>
    </w:rPr>
  </w:style>
  <w:style w:type="paragraph" w:styleId="NormalWeb">
    <w:name w:val="Normal (Web)"/>
    <w:pPr>
      <w:spacing w:before="100" w:after="336" w:line="384" w:lineRule="atLeast"/>
    </w:pPr>
    <w:rPr>
      <w:rFonts w:cs="Arial Unicode MS"/>
      <w:color w:val="000000"/>
      <w:sz w:val="24"/>
      <w:szCs w:val="24"/>
      <w:u w:color="000000"/>
      <w:lang w:val="en-US"/>
    </w:rPr>
  </w:style>
  <w:style w:type="character" w:customStyle="1" w:styleId="Hyperlink4">
    <w:name w:val="Hyperlink.4"/>
    <w:basedOn w:val="Link"/>
    <w:rPr>
      <w:rFonts w:ascii="Segoe UI" w:eastAsia="Segoe UI" w:hAnsi="Segoe UI" w:cs="Segoe UI"/>
      <w:color w:val="0000FF"/>
      <w:sz w:val="20"/>
      <w:szCs w:val="20"/>
      <w:u w:val="single" w:color="0000FF"/>
      <w:lang w:val="en-US"/>
    </w:rPr>
  </w:style>
  <w:style w:type="character" w:customStyle="1" w:styleId="Hyperlink5">
    <w:name w:val="Hyperlink.5"/>
    <w:basedOn w:val="None"/>
    <w:rPr>
      <w:color w:val="336699"/>
      <w:sz w:val="18"/>
      <w:szCs w:val="18"/>
      <w:u w:val="single" w:color="336699"/>
      <w:lang w:val="en-US"/>
    </w:rPr>
  </w:style>
  <w:style w:type="character" w:customStyle="1" w:styleId="Hyperlink6">
    <w:name w:val="Hyperlink.6"/>
    <w:basedOn w:val="Link"/>
    <w:rPr>
      <w:rFonts w:ascii="Trebuchet MS" w:eastAsia="Trebuchet MS" w:hAnsi="Trebuchet MS" w:cs="Trebuchet MS"/>
      <w:b/>
      <w:bCs/>
      <w:color w:val="0000FF"/>
      <w:u w:val="single" w:color="0000FF"/>
    </w:rPr>
  </w:style>
  <w:style w:type="paragraph" w:styleId="BalloonText">
    <w:name w:val="Balloon Text"/>
    <w:basedOn w:val="Normal"/>
    <w:link w:val="BalloonTextChar"/>
    <w:uiPriority w:val="99"/>
    <w:semiHidden/>
    <w:unhideWhenUsed/>
    <w:rsid w:val="00AD12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1251"/>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AD1251"/>
    <w:rPr>
      <w:sz w:val="18"/>
      <w:szCs w:val="18"/>
    </w:rPr>
  </w:style>
  <w:style w:type="paragraph" w:styleId="CommentText">
    <w:name w:val="annotation text"/>
    <w:basedOn w:val="Normal"/>
    <w:link w:val="CommentTextChar"/>
    <w:uiPriority w:val="99"/>
    <w:semiHidden/>
    <w:unhideWhenUsed/>
    <w:rsid w:val="00AD1251"/>
  </w:style>
  <w:style w:type="character" w:customStyle="1" w:styleId="CommentTextChar">
    <w:name w:val="Comment Text Char"/>
    <w:basedOn w:val="DefaultParagraphFont"/>
    <w:link w:val="CommentText"/>
    <w:uiPriority w:val="99"/>
    <w:semiHidden/>
    <w:rsid w:val="00AD1251"/>
    <w:rPr>
      <w:sz w:val="24"/>
      <w:szCs w:val="24"/>
      <w:lang w:val="en-US"/>
    </w:rPr>
  </w:style>
  <w:style w:type="paragraph" w:styleId="CommentSubject">
    <w:name w:val="annotation subject"/>
    <w:basedOn w:val="CommentText"/>
    <w:next w:val="CommentText"/>
    <w:link w:val="CommentSubjectChar"/>
    <w:uiPriority w:val="99"/>
    <w:semiHidden/>
    <w:unhideWhenUsed/>
    <w:rsid w:val="00AD1251"/>
    <w:rPr>
      <w:b/>
      <w:bCs/>
      <w:sz w:val="20"/>
      <w:szCs w:val="20"/>
    </w:rPr>
  </w:style>
  <w:style w:type="character" w:customStyle="1" w:styleId="CommentSubjectChar">
    <w:name w:val="Comment Subject Char"/>
    <w:basedOn w:val="CommentTextChar"/>
    <w:link w:val="CommentSubject"/>
    <w:uiPriority w:val="99"/>
    <w:semiHidden/>
    <w:rsid w:val="00AD1251"/>
    <w:rPr>
      <w:b/>
      <w:bCs/>
      <w:sz w:val="24"/>
      <w:szCs w:val="24"/>
      <w:lang w:val="en-US"/>
    </w:rPr>
  </w:style>
  <w:style w:type="character" w:styleId="FollowedHyperlink">
    <w:name w:val="FollowedHyperlink"/>
    <w:basedOn w:val="DefaultParagraphFont"/>
    <w:uiPriority w:val="99"/>
    <w:semiHidden/>
    <w:unhideWhenUsed/>
    <w:rsid w:val="004E34B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at-www.berkeley.edu" TargetMode="External"/><Relationship Id="rId13" Type="http://schemas.openxmlformats.org/officeDocument/2006/relationships/hyperlink" Target="http://dx.doi.org/10.1016/j.jval.2016.03.2003" TargetMode="External"/><Relationship Id="rId18" Type="http://schemas.openxmlformats.org/officeDocument/2006/relationships/hyperlink" Target="https://en.wikipedia.org/wiki/Digital_object_identifier" TargetMode="External"/><Relationship Id="rId3" Type="http://schemas.openxmlformats.org/officeDocument/2006/relationships/settings" Target="settings.xml"/><Relationship Id="rId21" Type="http://schemas.openxmlformats.org/officeDocument/2006/relationships/hyperlink" Target="http://healthcaredelivery.cancer.gov/seermedicare/" TargetMode="External"/><Relationship Id="rId7" Type="http://schemas.openxmlformats.org/officeDocument/2006/relationships/hyperlink" Target="http://www.polisci.berkeley.edu" TargetMode="External"/><Relationship Id="rId12" Type="http://schemas.openxmlformats.org/officeDocument/2006/relationships/hyperlink" Target="https://www.ohe.org/publications/multi-indication-pricing-pros-cons-and-applicability-uk" TargetMode="External"/><Relationship Id="rId17" Type="http://schemas.openxmlformats.org/officeDocument/2006/relationships/hyperlink" Target="https://en.wikipedia.org/wiki/Journal_of_the_American_Statistical_Associati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Donald_Rubin" TargetMode="External"/><Relationship Id="rId20" Type="http://schemas.openxmlformats.org/officeDocument/2006/relationships/hyperlink" Target="https://www.gov.uk/government/uploads/system/uploads/attachment_data/file/471562/AAR_Interim_Report_acc.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mj.com/rapid-response/2011/11/02/expediting-clinical-trials-pandemi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Guido_Imbens" TargetMode="External"/><Relationship Id="rId23" Type="http://schemas.openxmlformats.org/officeDocument/2006/relationships/footer" Target="footer1.xml"/><Relationship Id="rId10" Type="http://schemas.openxmlformats.org/officeDocument/2006/relationships/hyperlink" Target="http://www.york.ac.uk/media/che/documents/policybriefing/Drug_prices.pdf" TargetMode="External"/><Relationship Id="rId19" Type="http://schemas.openxmlformats.org/officeDocument/2006/relationships/hyperlink" Target="https://dx.doi.org/10.1080%2F01621459.1996.10476902" TargetMode="External"/><Relationship Id="rId4" Type="http://schemas.openxmlformats.org/officeDocument/2006/relationships/webSettings" Target="webSettings.xml"/><Relationship Id="rId9" Type="http://schemas.openxmlformats.org/officeDocument/2006/relationships/hyperlink" Target="mailto:richard.grieve@lshtm.ac.uk" TargetMode="External"/><Relationship Id="rId14" Type="http://schemas.openxmlformats.org/officeDocument/2006/relationships/hyperlink" Target="https://en.wikipedia.org/wiki/Joshua_Angrist"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9B52B858.dotm</Template>
  <TotalTime>1</TotalTime>
  <Pages>4</Pages>
  <Words>1679</Words>
  <Characters>9573</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11230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RICHARDG</dc:creator>
  <cp:lastModifiedBy>Vicky Oulton</cp:lastModifiedBy>
  <cp:revision>2</cp:revision>
  <dcterms:created xsi:type="dcterms:W3CDTF">2016-09-29T08:33:00Z</dcterms:created>
  <dcterms:modified xsi:type="dcterms:W3CDTF">2016-09-29T08:33:00Z</dcterms:modified>
</cp:coreProperties>
</file>