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FE9" w:rsidRDefault="008E6FE9">
      <w:pPr>
        <w:shd w:val="clear" w:color="auto" w:fill="FFFFFF"/>
        <w:spacing w:line="360" w:lineRule="auto"/>
        <w:jc w:val="center"/>
        <w:outlineLvl w:val="0"/>
        <w:rPr>
          <w:rFonts w:ascii="Times New Roman" w:hAnsi="Times New Roman" w:cs="Times New Roman"/>
          <w:bCs/>
          <w:iCs/>
          <w:lang w:eastAsia="en-GB"/>
        </w:rPr>
      </w:pPr>
      <w:r>
        <w:rPr>
          <w:rFonts w:ascii="Times New Roman" w:hAnsi="Times New Roman" w:cs="Times New Roman"/>
          <w:bCs/>
          <w:iCs/>
          <w:smallCaps/>
          <w:lang w:eastAsia="en-GB"/>
        </w:rPr>
        <w:t>certainty in vicarious liability: a quest for a chimaera?</w:t>
      </w:r>
    </w:p>
    <w:p w:rsidR="008E6FE9" w:rsidRDefault="008E6FE9">
      <w:pPr>
        <w:shd w:val="clear" w:color="auto" w:fill="FFFFFF"/>
        <w:spacing w:line="360" w:lineRule="auto"/>
        <w:jc w:val="both"/>
        <w:outlineLvl w:val="0"/>
        <w:rPr>
          <w:rFonts w:ascii="Times New Roman" w:hAnsi="Times New Roman" w:cs="Times New Roman"/>
          <w:bCs/>
          <w:iCs/>
          <w:lang w:eastAsia="en-GB"/>
        </w:rPr>
      </w:pPr>
    </w:p>
    <w:p w:rsidR="008E6FE9" w:rsidRDefault="008E6FE9">
      <w:pPr>
        <w:shd w:val="clear" w:color="auto" w:fill="FFFFFF"/>
        <w:spacing w:line="360" w:lineRule="auto"/>
        <w:jc w:val="both"/>
        <w:outlineLvl w:val="0"/>
        <w:rPr>
          <w:rFonts w:ascii="Times New Roman" w:hAnsi="Times New Roman" w:cs="Times New Roman"/>
          <w:bCs/>
          <w:iCs/>
          <w:lang w:eastAsia="en-GB"/>
        </w:rPr>
      </w:pPr>
      <w:r>
        <w:rPr>
          <w:rFonts w:ascii="Times New Roman" w:hAnsi="Times New Roman" w:cs="Times New Roman"/>
          <w:bCs/>
          <w:i/>
          <w:iCs/>
          <w:lang w:eastAsia="en-GB"/>
        </w:rPr>
        <w:t>COX v Ministry of Justice</w:t>
      </w:r>
      <w:r>
        <w:rPr>
          <w:rFonts w:ascii="Times New Roman" w:hAnsi="Times New Roman" w:cs="Times New Roman"/>
          <w:bCs/>
          <w:iCs/>
          <w:lang w:eastAsia="en-GB"/>
        </w:rPr>
        <w:t xml:space="preserve"> [2016] UKSC 10, [2016] 2 W.L.R. 806, and </w:t>
      </w:r>
      <w:r>
        <w:rPr>
          <w:rFonts w:ascii="Times New Roman" w:hAnsi="Times New Roman" w:cs="Times New Roman"/>
          <w:bCs/>
          <w:i/>
          <w:iCs/>
          <w:lang w:eastAsia="en-GB"/>
        </w:rPr>
        <w:t>Mohamud v Wm Morrison Supermarkets plc.</w:t>
      </w:r>
      <w:r>
        <w:rPr>
          <w:rFonts w:ascii="Times New Roman" w:hAnsi="Times New Roman" w:cs="Times New Roman"/>
          <w:bCs/>
          <w:iCs/>
          <w:lang w:eastAsia="en-GB"/>
        </w:rPr>
        <w:t xml:space="preserve"> [2016] UKSC 11, [2016] 2 W.L.R. 821 expand the reach of vicarious liability.  In </w:t>
      </w:r>
      <w:r>
        <w:rPr>
          <w:rFonts w:ascii="Times New Roman" w:hAnsi="Times New Roman" w:cs="Times New Roman"/>
          <w:bCs/>
          <w:i/>
          <w:iCs/>
          <w:lang w:eastAsia="en-GB"/>
        </w:rPr>
        <w:t xml:space="preserve">Various Claimants v Institute of the Brothers of the </w:t>
      </w:r>
      <w:smartTag w:uri="urn:schemas-microsoft-com:office:smarttags" w:element="place">
        <w:smartTag w:uri="urn:schemas-microsoft-com:office:smarttags" w:element="PlaceName">
          <w:r>
            <w:rPr>
              <w:rFonts w:ascii="Times New Roman" w:hAnsi="Times New Roman" w:cs="Times New Roman"/>
              <w:bCs/>
              <w:i/>
              <w:iCs/>
              <w:lang w:eastAsia="en-GB"/>
            </w:rPr>
            <w:t>Christian</w:t>
          </w:r>
        </w:smartTag>
        <w:r>
          <w:rPr>
            <w:rFonts w:ascii="Times New Roman" w:hAnsi="Times New Roman" w:cs="Times New Roman"/>
            <w:bCs/>
            <w:i/>
            <w:iCs/>
            <w:lang w:eastAsia="en-GB"/>
          </w:rPr>
          <w:t xml:space="preserve"> </w:t>
        </w:r>
        <w:smartTag w:uri="urn:schemas-microsoft-com:office:smarttags" w:element="PlaceName">
          <w:r>
            <w:rPr>
              <w:rFonts w:ascii="Times New Roman" w:hAnsi="Times New Roman" w:cs="Times New Roman"/>
              <w:bCs/>
              <w:i/>
              <w:iCs/>
              <w:lang w:eastAsia="en-GB"/>
            </w:rPr>
            <w:t>Schools</w:t>
          </w:r>
        </w:smartTag>
      </w:smartTag>
      <w:r>
        <w:rPr>
          <w:rFonts w:ascii="Times New Roman" w:hAnsi="Times New Roman" w:cs="Times New Roman"/>
          <w:bCs/>
          <w:iCs/>
          <w:lang w:eastAsia="en-GB"/>
        </w:rPr>
        <w:t xml:space="preserve"> [2012] UKSC 56, [2013] 2 A.C. 1, (</w:t>
      </w:r>
      <w:r>
        <w:rPr>
          <w:rFonts w:ascii="Times New Roman" w:hAnsi="Times New Roman" w:cs="Times New Roman"/>
          <w:bCs/>
          <w:i/>
          <w:iCs/>
          <w:lang w:eastAsia="en-GB"/>
        </w:rPr>
        <w:t>“CCWS”</w:t>
      </w:r>
      <w:r>
        <w:rPr>
          <w:rFonts w:ascii="Times New Roman" w:hAnsi="Times New Roman" w:cs="Times New Roman"/>
          <w:bCs/>
          <w:iCs/>
          <w:lang w:eastAsia="en-GB"/>
        </w:rPr>
        <w:t xml:space="preserve">), Lord Phillips had declared vicarious liability “is on the move”.  Lord Reed stated in </w:t>
      </w:r>
      <w:r>
        <w:rPr>
          <w:rFonts w:ascii="Times New Roman" w:hAnsi="Times New Roman" w:cs="Times New Roman"/>
          <w:bCs/>
          <w:i/>
          <w:iCs/>
          <w:lang w:eastAsia="en-GB"/>
        </w:rPr>
        <w:t>Cox</w:t>
      </w:r>
      <w:r>
        <w:rPr>
          <w:rFonts w:ascii="Times New Roman" w:hAnsi="Times New Roman" w:cs="Times New Roman"/>
          <w:bCs/>
          <w:iCs/>
          <w:lang w:eastAsia="en-GB"/>
        </w:rPr>
        <w:t xml:space="preserve"> “it has not yet come to a stop”.  </w:t>
      </w:r>
    </w:p>
    <w:p w:rsidR="008E6FE9" w:rsidRDefault="008E6FE9">
      <w:pPr>
        <w:shd w:val="clear" w:color="auto" w:fill="FFFFFF"/>
        <w:spacing w:line="360" w:lineRule="auto"/>
        <w:jc w:val="both"/>
        <w:outlineLvl w:val="0"/>
        <w:rPr>
          <w:rFonts w:ascii="Times New Roman" w:hAnsi="Times New Roman" w:cs="Times New Roman"/>
          <w:bCs/>
          <w:iCs/>
          <w:lang w:eastAsia="en-GB"/>
        </w:rPr>
      </w:pPr>
      <w:r>
        <w:rPr>
          <w:rFonts w:ascii="Times New Roman" w:hAnsi="Times New Roman" w:cs="Times New Roman"/>
          <w:bCs/>
          <w:iCs/>
          <w:lang w:eastAsia="en-GB"/>
        </w:rPr>
        <w:tab/>
        <w:t xml:space="preserve">Vicarious liability makes one party, A, strictly liable for the torts of another, B.  It has two stages: whether there is a relationship between A and B sufficient to trigger the doctrine, and whether there is sufficient connection between B’s tort and the relationship for A to be liable.  </w:t>
      </w:r>
      <w:r>
        <w:rPr>
          <w:rFonts w:ascii="Times New Roman" w:hAnsi="Times New Roman" w:cs="Times New Roman"/>
          <w:bCs/>
          <w:i/>
          <w:iCs/>
          <w:lang w:eastAsia="en-GB"/>
        </w:rPr>
        <w:t>Cox</w:t>
      </w:r>
      <w:r>
        <w:rPr>
          <w:rFonts w:ascii="Times New Roman" w:hAnsi="Times New Roman" w:cs="Times New Roman"/>
          <w:bCs/>
          <w:iCs/>
          <w:lang w:eastAsia="en-GB"/>
        </w:rPr>
        <w:t xml:space="preserve"> concerns the first stage, </w:t>
      </w:r>
      <w:r>
        <w:rPr>
          <w:rFonts w:ascii="Times New Roman" w:hAnsi="Times New Roman" w:cs="Times New Roman"/>
          <w:bCs/>
          <w:i/>
          <w:iCs/>
          <w:lang w:eastAsia="en-GB"/>
        </w:rPr>
        <w:t>Mohamud</w:t>
      </w:r>
      <w:r>
        <w:rPr>
          <w:rFonts w:ascii="Times New Roman" w:hAnsi="Times New Roman" w:cs="Times New Roman"/>
          <w:bCs/>
          <w:iCs/>
          <w:lang w:eastAsia="en-GB"/>
        </w:rPr>
        <w:t xml:space="preserve"> the second.  The Supreme Court considered the cases should be read together.  </w:t>
      </w:r>
    </w:p>
    <w:p w:rsidR="008E6FE9" w:rsidRDefault="008E6FE9">
      <w:pPr>
        <w:shd w:val="clear" w:color="auto" w:fill="FFFFFF"/>
        <w:spacing w:line="360" w:lineRule="auto"/>
        <w:jc w:val="both"/>
        <w:outlineLvl w:val="0"/>
        <w:rPr>
          <w:rFonts w:ascii="Times New Roman" w:hAnsi="Times New Roman" w:cs="Times New Roman"/>
          <w:bCs/>
          <w:iCs/>
          <w:lang w:eastAsia="en-GB"/>
        </w:rPr>
      </w:pPr>
      <w:r>
        <w:rPr>
          <w:rFonts w:ascii="Times New Roman" w:hAnsi="Times New Roman" w:cs="Times New Roman"/>
          <w:bCs/>
          <w:iCs/>
          <w:lang w:eastAsia="en-GB"/>
        </w:rPr>
        <w:tab/>
        <w:t xml:space="preserve">Classically the relationship is that of employment, however, other relationships may also suffice.  </w:t>
      </w:r>
      <w:r>
        <w:rPr>
          <w:rFonts w:ascii="Times New Roman" w:hAnsi="Times New Roman" w:cs="Times New Roman"/>
          <w:bCs/>
          <w:i/>
          <w:iCs/>
          <w:lang w:eastAsia="en-GB"/>
        </w:rPr>
        <w:t>JGE v Portsmouth Roman Catholic Diocesan Trust</w:t>
      </w:r>
      <w:r>
        <w:rPr>
          <w:rFonts w:ascii="Times New Roman" w:hAnsi="Times New Roman" w:cs="Times New Roman"/>
          <w:bCs/>
          <w:iCs/>
          <w:lang w:eastAsia="en-GB"/>
        </w:rPr>
        <w:t xml:space="preserve"> [2012] EWCA Civ 938, [2013] Q.B. 722, and </w:t>
      </w:r>
      <w:r>
        <w:rPr>
          <w:rFonts w:ascii="Times New Roman" w:hAnsi="Times New Roman" w:cs="Times New Roman"/>
          <w:bCs/>
          <w:i/>
          <w:iCs/>
          <w:lang w:eastAsia="en-GB"/>
        </w:rPr>
        <w:t>CCWS</w:t>
      </w:r>
      <w:r>
        <w:rPr>
          <w:rFonts w:ascii="Times New Roman" w:hAnsi="Times New Roman" w:cs="Times New Roman"/>
          <w:bCs/>
          <w:iCs/>
          <w:lang w:eastAsia="en-GB"/>
        </w:rPr>
        <w:t>, introduced the “akin to employment” relationship.  B need not be paid, nor have a contract with A, for A to be vicariously liable.</w:t>
      </w:r>
    </w:p>
    <w:p w:rsidR="008E6FE9" w:rsidRDefault="008E6FE9">
      <w:pPr>
        <w:shd w:val="clear" w:color="auto" w:fill="FFFFFF"/>
        <w:spacing w:line="360" w:lineRule="auto"/>
        <w:jc w:val="both"/>
        <w:outlineLvl w:val="0"/>
        <w:rPr>
          <w:rFonts w:ascii="Times New Roman" w:hAnsi="Times New Roman" w:cs="Times New Roman"/>
          <w:bCs/>
          <w:iCs/>
          <w:lang w:eastAsia="en-GB"/>
        </w:rPr>
      </w:pPr>
      <w:r>
        <w:rPr>
          <w:rFonts w:ascii="Times New Roman" w:hAnsi="Times New Roman" w:cs="Times New Roman"/>
          <w:bCs/>
          <w:iCs/>
          <w:lang w:eastAsia="en-GB"/>
        </w:rPr>
        <w:tab/>
        <w:t xml:space="preserve">The second stage test following </w:t>
      </w:r>
      <w:r>
        <w:rPr>
          <w:rFonts w:ascii="Times New Roman" w:hAnsi="Times New Roman" w:cs="Times New Roman"/>
          <w:bCs/>
          <w:i/>
          <w:iCs/>
          <w:lang w:eastAsia="en-GB"/>
        </w:rPr>
        <w:t>Lister</w:t>
      </w:r>
      <w:r>
        <w:rPr>
          <w:rStyle w:val="Emphasis"/>
          <w:rFonts w:ascii="Times New Roman" w:hAnsi="Times New Roman"/>
          <w:color w:val="000000"/>
        </w:rPr>
        <w:t xml:space="preserve"> v Hesley Hall</w:t>
      </w:r>
      <w:r>
        <w:rPr>
          <w:rFonts w:ascii="Times New Roman" w:hAnsi="Times New Roman" w:cs="Times New Roman"/>
          <w:bCs/>
          <w:iCs/>
          <w:lang w:eastAsia="en-GB"/>
        </w:rPr>
        <w:t xml:space="preserve"> [2001] UKHL 22, [2002] 1 A.C. 215 and </w:t>
      </w:r>
      <w:r>
        <w:rPr>
          <w:rFonts w:ascii="Times New Roman" w:hAnsi="Times New Roman" w:cs="Times New Roman"/>
          <w:bCs/>
          <w:i/>
          <w:iCs/>
          <w:lang w:eastAsia="en-GB"/>
        </w:rPr>
        <w:t>Dubai Aluminium Co Ltd v Salaam</w:t>
      </w:r>
      <w:r>
        <w:rPr>
          <w:rFonts w:ascii="Times New Roman" w:hAnsi="Times New Roman" w:cs="Times New Roman"/>
          <w:bCs/>
          <w:iCs/>
          <w:lang w:eastAsia="en-GB"/>
        </w:rPr>
        <w:t xml:space="preserve"> [2002] UKHL 48, [2003] 2 A.C. 366 is that the tort must be closely connected to the relationship.  </w:t>
      </w:r>
      <w:r>
        <w:rPr>
          <w:rStyle w:val="Emphasis"/>
          <w:rFonts w:ascii="Times New Roman" w:hAnsi="Times New Roman"/>
          <w:color w:val="000000"/>
        </w:rPr>
        <w:t xml:space="preserve">Lister made </w:t>
      </w:r>
      <w:r>
        <w:rPr>
          <w:rFonts w:ascii="Times New Roman" w:hAnsi="Times New Roman" w:cs="Times New Roman"/>
          <w:color w:val="000000"/>
        </w:rPr>
        <w:t>a clear distinction between close connection, and mere opportunity to commit a tort.  The latter is not enough: whilst there was vicarious liability for the warden’s abuse there would have been no such liability for the groundsman’s.</w:t>
      </w:r>
    </w:p>
    <w:p w:rsidR="008E6FE9" w:rsidRDefault="008E6FE9">
      <w:pPr>
        <w:shd w:val="clear" w:color="auto" w:fill="FFFFFF"/>
        <w:spacing w:line="360" w:lineRule="auto"/>
        <w:jc w:val="both"/>
        <w:outlineLvl w:val="0"/>
        <w:rPr>
          <w:rFonts w:ascii="Times New Roman" w:hAnsi="Times New Roman" w:cs="Times New Roman"/>
          <w:bCs/>
          <w:color w:val="000000"/>
          <w:lang w:eastAsia="en-GB"/>
        </w:rPr>
      </w:pPr>
      <w:r>
        <w:rPr>
          <w:rFonts w:ascii="Times New Roman" w:hAnsi="Times New Roman" w:cs="Times New Roman"/>
          <w:color w:val="000000"/>
          <w:lang w:val="en-GB" w:eastAsia="en-GB"/>
        </w:rPr>
        <w:tab/>
      </w:r>
      <w:r>
        <w:rPr>
          <w:rFonts w:ascii="Times New Roman" w:hAnsi="Times New Roman" w:cs="Times New Roman"/>
          <w:bCs/>
          <w:iCs/>
          <w:lang w:eastAsia="en-GB"/>
        </w:rPr>
        <w:t xml:space="preserve">In </w:t>
      </w:r>
      <w:r>
        <w:rPr>
          <w:rFonts w:ascii="Times New Roman" w:hAnsi="Times New Roman" w:cs="Times New Roman"/>
          <w:bCs/>
          <w:i/>
          <w:iCs/>
          <w:lang w:eastAsia="en-GB"/>
        </w:rPr>
        <w:t>Cox</w:t>
      </w:r>
      <w:r>
        <w:rPr>
          <w:rFonts w:ascii="Times New Roman" w:hAnsi="Times New Roman" w:cs="Times New Roman"/>
          <w:bCs/>
          <w:iCs/>
          <w:lang w:eastAsia="en-GB"/>
        </w:rPr>
        <w:t xml:space="preserve"> t</w:t>
      </w:r>
      <w:r>
        <w:rPr>
          <w:rFonts w:ascii="Times New Roman" w:hAnsi="Times New Roman" w:cs="Times New Roman"/>
          <w:bCs/>
          <w:color w:val="000000"/>
          <w:lang w:eastAsia="en-GB"/>
        </w:rPr>
        <w:t xml:space="preserve">he claimant was a prison catering manager.  A prisoner working in the prison kitchen negligently injured her in the course of his work.  Kitchen workers were selected from amongst prisoners who applied.  They were given training, worked alongside civilian catering staff as part of the catering department, were supervised by catering staff, and were accountable to the catering manager.  Whilst they were paid for their work, this was not subject to the minimum wage.  </w:t>
      </w:r>
    </w:p>
    <w:p w:rsidR="008E6FE9" w:rsidRDefault="008E6FE9">
      <w:pPr>
        <w:shd w:val="clear" w:color="auto" w:fill="FFFFFF"/>
        <w:spacing w:line="360" w:lineRule="auto"/>
        <w:jc w:val="both"/>
        <w:outlineLvl w:val="0"/>
        <w:rPr>
          <w:rFonts w:ascii="Times New Roman" w:hAnsi="Times New Roman" w:cs="Times New Roman"/>
          <w:bCs/>
          <w:color w:val="000000"/>
          <w:lang w:eastAsia="en-GB"/>
        </w:rPr>
      </w:pPr>
      <w:r>
        <w:rPr>
          <w:rFonts w:ascii="Times New Roman" w:hAnsi="Times New Roman" w:cs="Times New Roman"/>
          <w:bCs/>
          <w:color w:val="000000"/>
          <w:lang w:eastAsia="en-GB"/>
        </w:rPr>
        <w:tab/>
        <w:t xml:space="preserve">Lord Reed gave the sole judgment.  He distilled the justifications for vicarious liability in </w:t>
      </w:r>
      <w:r>
        <w:rPr>
          <w:rFonts w:ascii="Times New Roman" w:hAnsi="Times New Roman" w:cs="Times New Roman"/>
          <w:bCs/>
          <w:i/>
          <w:color w:val="000000"/>
          <w:lang w:eastAsia="en-GB"/>
        </w:rPr>
        <w:t>CCWS</w:t>
      </w:r>
      <w:r>
        <w:rPr>
          <w:rFonts w:ascii="Times New Roman" w:hAnsi="Times New Roman" w:cs="Times New Roman"/>
          <w:bCs/>
          <w:color w:val="000000"/>
          <w:lang w:eastAsia="en-GB"/>
        </w:rPr>
        <w:t xml:space="preserve"> to three main factors: “(1) the tort will have been committed as a result of activity being taken by the tortfeasor on behalf of the defendant, (2) the tortfeasor’s activity is likely to be part of the business activity of the defendant, and (3) the defendant, by employing the tortfeasor to carry on the activity, will have created the risk of the tort committed” (at [22]).  He correctly downplayed deep pocket and insurance justifications for vicarious liability.  Lord Reed also downplayed the control factor in vicarious liability, stating it is not “realistic in modern life to look for a right to direct how an employee should perform his duties as a necessary element in the relationship”</w:t>
      </w:r>
      <w:r>
        <w:rPr>
          <w:rFonts w:ascii="Times New Roman" w:hAnsi="Times New Roman" w:cs="Times New Roman"/>
        </w:rPr>
        <w:t xml:space="preserve"> </w:t>
      </w:r>
      <w:r>
        <w:rPr>
          <w:rFonts w:ascii="Times New Roman" w:hAnsi="Times New Roman" w:cs="Times New Roman"/>
          <w:bCs/>
          <w:color w:val="000000"/>
          <w:lang w:eastAsia="en-GB"/>
        </w:rPr>
        <w:t>(at [21]).  With respect, control is relevant: one has the power to direct exactly how employees carry out work (even if it is not exercised), something professionals in our increasingly managerial culture are discovering, whereas there is no such right over independent contractors unless it features in the contract.</w:t>
      </w:r>
    </w:p>
    <w:p w:rsidR="008E6FE9" w:rsidRDefault="008E6FE9">
      <w:pPr>
        <w:shd w:val="clear" w:color="auto" w:fill="FFFFFF"/>
        <w:spacing w:line="360" w:lineRule="auto"/>
        <w:jc w:val="both"/>
        <w:outlineLvl w:val="0"/>
        <w:rPr>
          <w:rFonts w:ascii="Times New Roman" w:hAnsi="Times New Roman" w:cs="Times New Roman"/>
          <w:bCs/>
          <w:color w:val="000000"/>
          <w:lang w:eastAsia="en-GB"/>
        </w:rPr>
      </w:pPr>
      <w:r>
        <w:rPr>
          <w:rFonts w:ascii="Times New Roman" w:hAnsi="Times New Roman" w:cs="Times New Roman"/>
          <w:bCs/>
          <w:color w:val="000000"/>
          <w:lang w:eastAsia="en-GB"/>
        </w:rPr>
        <w:tab/>
        <w:t>Lord Reed stated that a relationship other than employment   may trigger vicarious liability : “where harm is wrongfully done by an individual who carries on activities as an integral part of the business activities carried on by a defendant and for its benefit … where the commission of the wrongful act is a risk created by the defendant by assigning those activities to the individual”</w:t>
      </w:r>
      <w:r>
        <w:rPr>
          <w:rFonts w:ascii="Times New Roman" w:hAnsi="Times New Roman" w:cs="Times New Roman"/>
        </w:rPr>
        <w:t xml:space="preserve"> </w:t>
      </w:r>
      <w:r>
        <w:rPr>
          <w:rFonts w:ascii="Times New Roman" w:hAnsi="Times New Roman" w:cs="Times New Roman"/>
          <w:bCs/>
          <w:color w:val="000000"/>
          <w:lang w:eastAsia="en-GB"/>
        </w:rPr>
        <w:t>(at [24]).</w:t>
      </w:r>
      <w:r>
        <w:rPr>
          <w:rFonts w:ascii="Times New Roman" w:hAnsi="Times New Roman" w:cs="Times New Roman"/>
          <w:bCs/>
          <w:i/>
          <w:color w:val="000000"/>
          <w:lang w:eastAsia="en-GB"/>
        </w:rPr>
        <w:t xml:space="preserve">  </w:t>
      </w:r>
      <w:r>
        <w:rPr>
          <w:rFonts w:ascii="Times New Roman" w:hAnsi="Times New Roman" w:cs="Times New Roman"/>
          <w:bCs/>
          <w:color w:val="000000"/>
          <w:lang w:eastAsia="en-GB"/>
        </w:rPr>
        <w:t>He stressed, despite the language of “business”, or “enterprise” the defendant’s activities need not be commercial or profit making.  That an organisation acts in the public interest does not negate such liability.</w:t>
      </w:r>
    </w:p>
    <w:p w:rsidR="008E6FE9" w:rsidRDefault="008E6FE9">
      <w:pPr>
        <w:shd w:val="clear" w:color="auto" w:fill="FFFFFF"/>
        <w:spacing w:line="360" w:lineRule="auto"/>
        <w:jc w:val="both"/>
        <w:outlineLvl w:val="0"/>
        <w:rPr>
          <w:rFonts w:ascii="Times New Roman" w:hAnsi="Times New Roman" w:cs="Times New Roman"/>
          <w:bCs/>
          <w:color w:val="000000"/>
          <w:lang w:eastAsia="en-GB"/>
        </w:rPr>
      </w:pPr>
      <w:r>
        <w:rPr>
          <w:rFonts w:ascii="Times New Roman" w:hAnsi="Times New Roman" w:cs="Times New Roman"/>
          <w:bCs/>
          <w:color w:val="000000"/>
          <w:lang w:eastAsia="en-GB"/>
        </w:rPr>
        <w:tab/>
        <w:t xml:space="preserve">That the Supreme Court held the MoJ vicariously liable is uncontroversial.  The work conducted by the prisoner was an integral part of the prison activities, carried out for its benefit.  </w:t>
      </w:r>
      <w:r>
        <w:rPr>
          <w:rFonts w:ascii="Times New Roman" w:hAnsi="Times New Roman" w:cs="Times New Roman"/>
          <w:bCs/>
          <w:i/>
          <w:color w:val="000000"/>
          <w:lang w:eastAsia="en-GB"/>
        </w:rPr>
        <w:t xml:space="preserve">Cox </w:t>
      </w:r>
      <w:r>
        <w:rPr>
          <w:rFonts w:ascii="Times New Roman" w:hAnsi="Times New Roman" w:cs="Times New Roman"/>
          <w:bCs/>
          <w:color w:val="000000"/>
          <w:lang w:eastAsia="en-GB"/>
        </w:rPr>
        <w:t xml:space="preserve">confirms that </w:t>
      </w:r>
      <w:r>
        <w:rPr>
          <w:rFonts w:ascii="Times New Roman" w:hAnsi="Times New Roman" w:cs="Times New Roman"/>
          <w:bCs/>
          <w:i/>
          <w:color w:val="000000"/>
          <w:lang w:eastAsia="en-GB"/>
        </w:rPr>
        <w:t>CCWS</w:t>
      </w:r>
      <w:r>
        <w:rPr>
          <w:rFonts w:ascii="Times New Roman" w:hAnsi="Times New Roman" w:cs="Times New Roman"/>
          <w:bCs/>
          <w:color w:val="000000"/>
          <w:lang w:eastAsia="en-GB"/>
        </w:rPr>
        <w:t xml:space="preserve"> is not confined to abuse, and that it applies to new and emerging forms of enterprise and employment.  This is particularly significant for business models such as Uber, and voluntary sector organisations.  </w:t>
      </w:r>
    </w:p>
    <w:p w:rsidR="008E6FE9" w:rsidRDefault="008E6FE9">
      <w:pPr>
        <w:shd w:val="clear" w:color="auto" w:fill="FFFFFF"/>
        <w:spacing w:line="360" w:lineRule="auto"/>
        <w:jc w:val="both"/>
        <w:outlineLvl w:val="0"/>
        <w:rPr>
          <w:rFonts w:ascii="Times New Roman" w:hAnsi="Times New Roman" w:cs="Times New Roman"/>
          <w:bCs/>
          <w:color w:val="000000"/>
          <w:lang w:eastAsia="en-GB"/>
        </w:rPr>
      </w:pPr>
      <w:r>
        <w:rPr>
          <w:rFonts w:ascii="Times New Roman" w:hAnsi="Times New Roman" w:cs="Times New Roman"/>
          <w:bCs/>
          <w:color w:val="000000"/>
          <w:lang w:eastAsia="en-GB"/>
        </w:rPr>
        <w:tab/>
        <w:t xml:space="preserve">In </w:t>
      </w:r>
      <w:r>
        <w:rPr>
          <w:rFonts w:ascii="Times New Roman" w:hAnsi="Times New Roman" w:cs="Times New Roman"/>
          <w:bCs/>
          <w:i/>
          <w:color w:val="000000"/>
          <w:lang w:eastAsia="en-GB"/>
        </w:rPr>
        <w:t>Mohamud</w:t>
      </w:r>
      <w:r>
        <w:rPr>
          <w:rFonts w:ascii="Times New Roman" w:hAnsi="Times New Roman" w:cs="Times New Roman"/>
          <w:bCs/>
          <w:color w:val="000000"/>
          <w:lang w:eastAsia="en-GB"/>
        </w:rPr>
        <w:t xml:space="preserve"> t</w:t>
      </w:r>
      <w:r>
        <w:rPr>
          <w:rFonts w:ascii="Times New Roman" w:hAnsi="Times New Roman" w:cs="Times New Roman"/>
          <w:color w:val="000000"/>
          <w:lang w:eastAsia="en-GB"/>
        </w:rPr>
        <w:t xml:space="preserve">he tortfeasor (K) was a petrol station employee.  The claimant went into the kiosk and asked K if it was possible to print documents.  K racially abused him and ordered him to leave.  The claimant returned to his car, K following.  Before the claimant could drive off, K opened the passenger door, partially entered the car, racially abused the claimant, and told him not to return.  The </w:t>
      </w:r>
      <w:r w:rsidRPr="000E6C3A">
        <w:rPr>
          <w:rFonts w:ascii="Times New Roman" w:hAnsi="Times New Roman" w:cs="Times New Roman"/>
          <w:lang w:eastAsia="en-GB"/>
        </w:rPr>
        <w:t>claimant told K</w:t>
      </w:r>
      <w:r>
        <w:rPr>
          <w:rFonts w:ascii="Times New Roman" w:hAnsi="Times New Roman" w:cs="Times New Roman"/>
          <w:color w:val="000000"/>
          <w:lang w:eastAsia="en-GB"/>
        </w:rPr>
        <w:t xml:space="preserve"> to get out of his car, whereupon K hit him.  The claimant got out of his car to close the passenger door.  K also left the car and subjected the claimant to a vicious assault, ignoring his supervisor’s instructions to stop.  The Supreme Court expanded the scope of the close connection test, holding that the assault was closely connected with K’s employment.  </w:t>
      </w:r>
    </w:p>
    <w:p w:rsidR="008E6FE9" w:rsidRDefault="008E6FE9">
      <w:pPr>
        <w:shd w:val="clear" w:color="auto" w:fill="FFFFFF"/>
        <w:spacing w:line="360" w:lineRule="auto"/>
        <w:jc w:val="both"/>
        <w:rPr>
          <w:rFonts w:ascii="Times New Roman" w:hAnsi="Times New Roman" w:cs="Times New Roman"/>
          <w:lang w:eastAsia="en-GB"/>
        </w:rPr>
      </w:pPr>
      <w:r>
        <w:rPr>
          <w:rFonts w:ascii="Times New Roman" w:hAnsi="Times New Roman" w:cs="Times New Roman"/>
          <w:color w:val="000000"/>
          <w:lang w:eastAsia="en-GB"/>
        </w:rPr>
        <w:tab/>
        <w:t xml:space="preserve">Lord Toulson (with whom the other judges agreed) gave the lead judgment.  He gave a historical account to demonstrate that the enterprise liability approach taken by </w:t>
      </w:r>
      <w:r>
        <w:rPr>
          <w:rFonts w:ascii="Times New Roman" w:hAnsi="Times New Roman" w:cs="Times New Roman"/>
          <w:i/>
          <w:color w:val="000000"/>
          <w:lang w:eastAsia="en-GB"/>
        </w:rPr>
        <w:t>Lister</w:t>
      </w:r>
      <w:r>
        <w:rPr>
          <w:rFonts w:ascii="Times New Roman" w:hAnsi="Times New Roman" w:cs="Times New Roman"/>
          <w:color w:val="000000"/>
          <w:lang w:eastAsia="en-GB"/>
        </w:rPr>
        <w:t xml:space="preserve"> was inherent in the historic English vicarious liability case law.  </w:t>
      </w:r>
      <w:r>
        <w:rPr>
          <w:rFonts w:ascii="Times New Roman" w:hAnsi="Times New Roman" w:cs="Times New Roman"/>
          <w:lang w:eastAsia="en-GB"/>
        </w:rPr>
        <w:t>Notwithstanding this detailed pre-</w:t>
      </w:r>
      <w:r>
        <w:rPr>
          <w:rFonts w:ascii="Times New Roman" w:hAnsi="Times New Roman" w:cs="Times New Roman"/>
          <w:i/>
          <w:lang w:eastAsia="en-GB"/>
        </w:rPr>
        <w:t>Lister</w:t>
      </w:r>
      <w:r>
        <w:rPr>
          <w:rFonts w:ascii="Times New Roman" w:hAnsi="Times New Roman" w:cs="Times New Roman"/>
          <w:lang w:eastAsia="en-GB"/>
        </w:rPr>
        <w:t xml:space="preserve"> survey, the Court did not examine the post-</w:t>
      </w:r>
      <w:r>
        <w:rPr>
          <w:rFonts w:ascii="Times New Roman" w:hAnsi="Times New Roman" w:cs="Times New Roman"/>
          <w:i/>
          <w:lang w:eastAsia="en-GB"/>
        </w:rPr>
        <w:t>Lister/Dubai</w:t>
      </w:r>
      <w:r>
        <w:rPr>
          <w:rFonts w:ascii="Times New Roman" w:hAnsi="Times New Roman" w:cs="Times New Roman"/>
          <w:lang w:eastAsia="en-GB"/>
        </w:rPr>
        <w:t xml:space="preserve"> close connection test cases, save to note three by name.  This is unfortunate given the confusing and conflicting case law that has evolved in interpreting this test.  After </w:t>
      </w:r>
      <w:r>
        <w:rPr>
          <w:rFonts w:ascii="Times New Roman" w:hAnsi="Times New Roman" w:cs="Times New Roman"/>
          <w:i/>
          <w:lang w:eastAsia="en-GB"/>
        </w:rPr>
        <w:t>Mohamud</w:t>
      </w:r>
      <w:r>
        <w:rPr>
          <w:rFonts w:ascii="Times New Roman" w:hAnsi="Times New Roman" w:cs="Times New Roman"/>
          <w:lang w:eastAsia="en-GB"/>
        </w:rPr>
        <w:t xml:space="preserve"> a number of previous decisions will need to be reviewed. </w:t>
      </w:r>
    </w:p>
    <w:p w:rsidR="008E6FE9" w:rsidRDefault="008E6FE9">
      <w:pPr>
        <w:shd w:val="clear" w:color="auto" w:fill="FFFFFF"/>
        <w:spacing w:line="360" w:lineRule="auto"/>
        <w:jc w:val="both"/>
        <w:rPr>
          <w:rFonts w:ascii="Times New Roman" w:hAnsi="Times New Roman" w:cs="Times New Roman"/>
          <w:color w:val="000000"/>
          <w:lang w:eastAsia="en-GB"/>
        </w:rPr>
      </w:pPr>
      <w:r>
        <w:rPr>
          <w:rFonts w:ascii="Times New Roman" w:hAnsi="Times New Roman" w:cs="Times New Roman"/>
          <w:lang w:eastAsia="en-GB"/>
        </w:rPr>
        <w:tab/>
      </w:r>
      <w:r>
        <w:rPr>
          <w:rFonts w:ascii="Times New Roman" w:hAnsi="Times New Roman" w:cs="Times New Roman"/>
          <w:color w:val="000000"/>
          <w:lang w:eastAsia="en-GB"/>
        </w:rPr>
        <w:t>Lord Toulson stated that the court should consider what functions were entrusted to the employee (“what was the nature of his job”), which “must be addressed broadly”, and secondly whether “there was sufficient connection between the position … and his wrongful conduct to make it right for the employer to be held liable under the principle of social justice” (at [44]-[46]).</w:t>
      </w:r>
    </w:p>
    <w:p w:rsidR="008E6FE9" w:rsidRDefault="008E6FE9">
      <w:pPr>
        <w:shd w:val="clear" w:color="auto" w:fill="FFFFFF"/>
        <w:spacing w:line="360" w:lineRule="auto"/>
        <w:jc w:val="both"/>
        <w:rPr>
          <w:rFonts w:ascii="Times New Roman" w:hAnsi="Times New Roman" w:cs="Times New Roman"/>
          <w:lang w:eastAsia="en-GB"/>
        </w:rPr>
      </w:pPr>
      <w:r>
        <w:rPr>
          <w:rFonts w:ascii="Times New Roman" w:hAnsi="Times New Roman" w:cs="Times New Roman"/>
          <w:color w:val="000000"/>
          <w:lang w:eastAsia="en-GB"/>
        </w:rPr>
        <w:tab/>
      </w:r>
      <w:r>
        <w:rPr>
          <w:rFonts w:ascii="Times New Roman" w:hAnsi="Times New Roman" w:cs="Times New Roman"/>
          <w:lang w:eastAsia="en-GB"/>
        </w:rPr>
        <w:t xml:space="preserve">He held that attending to customers and responding to inquiries was part of K’s job.  K’s answer and telling the claimant to leave was within “the field of activities” assigned to K.  The events that followed were an “unbroken sequence of events”, a “seamless event”.  K did not “take off his uniform” in following the claimant onto the forecourt; he ordered the claimant not to return to his employer’s premises, and reinforced this with violence.  Although, K was motivated by racism the Court considered it fair and just that the defendant be held liable for hiss acts.  </w:t>
      </w:r>
    </w:p>
    <w:p w:rsidR="008E6FE9" w:rsidRDefault="008E6FE9">
      <w:pPr>
        <w:shd w:val="clear" w:color="auto" w:fill="FFFFFF"/>
        <w:spacing w:line="360" w:lineRule="auto"/>
        <w:jc w:val="both"/>
        <w:rPr>
          <w:rFonts w:ascii="Times New Roman" w:hAnsi="Times New Roman" w:cs="Times New Roman"/>
          <w:lang w:eastAsia="en-GB"/>
        </w:rPr>
      </w:pPr>
      <w:r>
        <w:rPr>
          <w:rFonts w:ascii="Times New Roman" w:hAnsi="Times New Roman" w:cs="Times New Roman"/>
          <w:lang w:eastAsia="en-GB"/>
        </w:rPr>
        <w:tab/>
      </w:r>
      <w:r>
        <w:rPr>
          <w:rFonts w:ascii="Times New Roman" w:hAnsi="Times New Roman" w:cs="Times New Roman"/>
          <w:i/>
          <w:lang w:eastAsia="en-GB"/>
        </w:rPr>
        <w:t xml:space="preserve">Mohamud </w:t>
      </w:r>
      <w:r>
        <w:rPr>
          <w:rFonts w:ascii="Times New Roman" w:hAnsi="Times New Roman" w:cs="Times New Roman"/>
          <w:lang w:eastAsia="en-GB"/>
        </w:rPr>
        <w:t xml:space="preserve">appears to replace close connection with a test of “causal connection”, provided there is an unbroken causal chain between the role and the tort.  If the groundsman in </w:t>
      </w:r>
      <w:r>
        <w:rPr>
          <w:rFonts w:ascii="Times New Roman" w:hAnsi="Times New Roman" w:cs="Times New Roman"/>
          <w:i/>
          <w:lang w:eastAsia="en-GB"/>
        </w:rPr>
        <w:t>Lister</w:t>
      </w:r>
      <w:r>
        <w:rPr>
          <w:rFonts w:ascii="Times New Roman" w:hAnsi="Times New Roman" w:cs="Times New Roman"/>
          <w:lang w:eastAsia="en-GB"/>
        </w:rPr>
        <w:t xml:space="preserve"> had caught a boy playing with a lawnmower in the school shed, it would be within his duties to keep boys away from it, and to tell them off when they interfered with it.  If he did so by sexually assaulting and violently beating the boy, this would now appear to lead to vicarious liability.  But surely there must be a limit where the conduct is so remote and outlandish?  Just as </w:t>
      </w:r>
      <w:r>
        <w:rPr>
          <w:rFonts w:ascii="Times New Roman" w:hAnsi="Times New Roman" w:cs="Times New Roman"/>
        </w:rPr>
        <w:t xml:space="preserve">the </w:t>
      </w:r>
      <w:r>
        <w:rPr>
          <w:rFonts w:ascii="Times New Roman" w:hAnsi="Times New Roman" w:cs="Times New Roman"/>
          <w:i/>
        </w:rPr>
        <w:t>Wagon Mound (No 1)</w:t>
      </w:r>
      <w:r>
        <w:rPr>
          <w:rFonts w:ascii="Times New Roman" w:hAnsi="Times New Roman" w:cs="Times New Roman"/>
        </w:rPr>
        <w:t xml:space="preserve"> [1961] A.C. 388 </w:t>
      </w:r>
      <w:r>
        <w:rPr>
          <w:rFonts w:ascii="Times New Roman" w:hAnsi="Times New Roman" w:cs="Times New Roman"/>
          <w:lang w:eastAsia="en-GB"/>
        </w:rPr>
        <w:t xml:space="preserve">introduced foreseeability restrictions to remoteness in negligence a similar test may be required here.  </w:t>
      </w:r>
    </w:p>
    <w:p w:rsidR="008E6FE9" w:rsidRDefault="008E6FE9">
      <w:pPr>
        <w:shd w:val="clear" w:color="auto" w:fill="FFFFFF"/>
        <w:spacing w:line="360" w:lineRule="auto"/>
        <w:jc w:val="both"/>
        <w:rPr>
          <w:rFonts w:ascii="Times New Roman" w:hAnsi="Times New Roman" w:cs="Times New Roman"/>
          <w:lang w:eastAsia="en-GB"/>
        </w:rPr>
      </w:pPr>
      <w:r>
        <w:rPr>
          <w:rFonts w:ascii="Times New Roman" w:hAnsi="Times New Roman" w:cs="Times New Roman"/>
          <w:i/>
          <w:lang w:eastAsia="en-GB"/>
        </w:rPr>
        <w:t xml:space="preserve">Mohamud </w:t>
      </w:r>
      <w:r>
        <w:rPr>
          <w:rFonts w:ascii="Times New Roman" w:hAnsi="Times New Roman" w:cs="Times New Roman"/>
          <w:lang w:eastAsia="en-GB"/>
        </w:rPr>
        <w:t>appears to dilute the requirement for vicarious liability that the risk of harm must be inherent in the employment (at [40])</w:t>
      </w:r>
      <w:r>
        <w:rPr>
          <w:rFonts w:ascii="Times New Roman" w:hAnsi="Times New Roman" w:cs="Times New Roman"/>
        </w:rPr>
        <w:t xml:space="preserve">.  </w:t>
      </w:r>
      <w:r>
        <w:rPr>
          <w:rFonts w:ascii="Times New Roman" w:hAnsi="Times New Roman" w:cs="Times New Roman"/>
          <w:lang w:eastAsia="en-GB"/>
        </w:rPr>
        <w:t xml:space="preserve">This means there may now be no difference in outcome if the employee in </w:t>
      </w:r>
      <w:r>
        <w:rPr>
          <w:rFonts w:ascii="Times New Roman" w:hAnsi="Times New Roman" w:cs="Times New Roman"/>
          <w:i/>
          <w:lang w:eastAsia="en-GB"/>
        </w:rPr>
        <w:t>Mattis v Pollock</w:t>
      </w:r>
      <w:r>
        <w:rPr>
          <w:rFonts w:ascii="Times New Roman" w:hAnsi="Times New Roman" w:cs="Times New Roman"/>
          <w:lang w:eastAsia="en-GB"/>
        </w:rPr>
        <w:t xml:space="preserve"> [2003] EWCA Civ 887, [2003] 1 W.L.R. 2158 were the DJ, rather than the doorman.  It also seems that little is left of the “mere opportunity” qualification in </w:t>
      </w:r>
      <w:r>
        <w:rPr>
          <w:rFonts w:ascii="Times New Roman" w:hAnsi="Times New Roman" w:cs="Times New Roman"/>
          <w:i/>
          <w:lang w:eastAsia="en-GB"/>
        </w:rPr>
        <w:t>Lister</w:t>
      </w:r>
      <w:r>
        <w:rPr>
          <w:rFonts w:ascii="Times New Roman" w:hAnsi="Times New Roman" w:cs="Times New Roman"/>
          <w:lang w:eastAsia="en-GB"/>
        </w:rPr>
        <w:t>.</w:t>
      </w:r>
    </w:p>
    <w:p w:rsidR="008E6FE9" w:rsidRDefault="008E6FE9">
      <w:pPr>
        <w:shd w:val="clear" w:color="auto" w:fill="FFFFFF"/>
        <w:spacing w:line="360" w:lineRule="auto"/>
        <w:jc w:val="both"/>
        <w:rPr>
          <w:rFonts w:ascii="Times New Roman" w:hAnsi="Times New Roman" w:cs="Times New Roman"/>
          <w:iCs/>
          <w:lang w:eastAsia="en-GB"/>
        </w:rPr>
      </w:pPr>
      <w:r>
        <w:rPr>
          <w:rFonts w:ascii="Times New Roman" w:hAnsi="Times New Roman" w:cs="Times New Roman"/>
          <w:lang w:eastAsia="en-GB"/>
        </w:rPr>
        <w:tab/>
        <w:t xml:space="preserve">The Supreme Court nonetheless foresaw limits to the causal chain.  Lord Toulson cited </w:t>
      </w:r>
      <w:smartTag w:uri="urn:schemas-microsoft-com:office:smarttags" w:element="PlaceName">
        <w:r>
          <w:rPr>
            <w:rFonts w:ascii="Times New Roman" w:hAnsi="Times New Roman" w:cs="Times New Roman"/>
            <w:i/>
            <w:iCs/>
            <w:lang w:eastAsia="en-GB"/>
          </w:rPr>
          <w:t>Warren</w:t>
        </w:r>
      </w:smartTag>
      <w:r>
        <w:rPr>
          <w:rFonts w:ascii="Times New Roman" w:hAnsi="Times New Roman" w:cs="Times New Roman"/>
          <w:i/>
          <w:iCs/>
          <w:lang w:eastAsia="en-GB"/>
        </w:rPr>
        <w:t xml:space="preserve"> v Henlys Ltd. </w:t>
      </w:r>
      <w:r>
        <w:rPr>
          <w:rFonts w:ascii="Times New Roman" w:hAnsi="Times New Roman" w:cs="Times New Roman"/>
          <w:iCs/>
          <w:lang w:eastAsia="en-GB"/>
        </w:rPr>
        <w:t xml:space="preserve">[1948] 2 All E.R. 935, a case where a customer returned to a petrol station with a police officer to complain about the attendant’s conduct.  When the policeman said it was not a police matter the customer said that he would report the attendant to his employer.  The attendant hit the customer in response.  The employer was held not to be vicariously liable.  Lord Toulson agreed with this outcome.  In his view the relationship had changed from customer and company representative, to person making a police complaint, and the subject of the complaint.  This distinction seems odd.  An aggrieved customer complained about his customer experience, and threatened to report an employee to management, so that the employee would be subject to his employer’s discipline.  Just as K did not cast off his uniform when he left the kiosk in </w:t>
      </w:r>
      <w:r>
        <w:rPr>
          <w:rFonts w:ascii="Times New Roman" w:hAnsi="Times New Roman" w:cs="Times New Roman"/>
          <w:i/>
          <w:iCs/>
          <w:lang w:eastAsia="en-GB"/>
        </w:rPr>
        <w:t>Mohamud</w:t>
      </w:r>
      <w:r>
        <w:rPr>
          <w:rFonts w:ascii="Times New Roman" w:hAnsi="Times New Roman" w:cs="Times New Roman"/>
          <w:iCs/>
          <w:lang w:eastAsia="en-GB"/>
        </w:rPr>
        <w:t xml:space="preserve">, the customer in </w:t>
      </w:r>
      <w:r>
        <w:rPr>
          <w:rFonts w:ascii="Times New Roman" w:hAnsi="Times New Roman" w:cs="Times New Roman"/>
          <w:i/>
          <w:iCs/>
          <w:lang w:eastAsia="en-GB"/>
        </w:rPr>
        <w:t xml:space="preserve">Warren </w:t>
      </w:r>
      <w:r>
        <w:rPr>
          <w:rFonts w:ascii="Times New Roman" w:hAnsi="Times New Roman" w:cs="Times New Roman"/>
          <w:iCs/>
          <w:lang w:eastAsia="en-GB"/>
        </w:rPr>
        <w:t xml:space="preserve">did not cast off his status when he left the premises to gain the attention of a nearby policeman.  Nevertheless one can discern from this that the Court envisaged that a </w:t>
      </w:r>
      <w:r>
        <w:rPr>
          <w:rFonts w:ascii="Times New Roman" w:hAnsi="Times New Roman" w:cs="Times New Roman"/>
          <w:i/>
          <w:iCs/>
          <w:lang w:eastAsia="en-GB"/>
        </w:rPr>
        <w:t>novus actus interveniens</w:t>
      </w:r>
      <w:r>
        <w:rPr>
          <w:rFonts w:ascii="Times New Roman" w:hAnsi="Times New Roman" w:cs="Times New Roman"/>
          <w:iCs/>
          <w:lang w:eastAsia="en-GB"/>
        </w:rPr>
        <w:t xml:space="preserve"> doctrine can be applied to the causal chain approach.  </w:t>
      </w:r>
    </w:p>
    <w:p w:rsidR="008E6FE9" w:rsidRDefault="008E6FE9">
      <w:pPr>
        <w:shd w:val="clear" w:color="auto" w:fill="FFFFFF"/>
        <w:spacing w:line="360" w:lineRule="auto"/>
        <w:jc w:val="both"/>
        <w:rPr>
          <w:rFonts w:ascii="Times New Roman" w:hAnsi="Times New Roman" w:cs="Times New Roman"/>
          <w:color w:val="000000"/>
          <w:lang w:eastAsia="en-GB"/>
        </w:rPr>
      </w:pPr>
      <w:r>
        <w:rPr>
          <w:rFonts w:ascii="Times New Roman" w:hAnsi="Times New Roman" w:cs="Times New Roman"/>
          <w:iCs/>
          <w:lang w:eastAsia="en-GB"/>
        </w:rPr>
        <w:tab/>
      </w:r>
      <w:r>
        <w:rPr>
          <w:rFonts w:ascii="Times New Roman" w:hAnsi="Times New Roman" w:cs="Times New Roman"/>
          <w:color w:val="000000"/>
          <w:lang w:eastAsia="en-GB"/>
        </w:rPr>
        <w:t>Lord Dyson M.R. (giving a short concurring judgment) stated: “[t]o search for certainty and precision in vicarious liability is to undertake a quest for a chimaera”</w:t>
      </w:r>
      <w:r>
        <w:rPr>
          <w:rFonts w:ascii="Times New Roman" w:hAnsi="Times New Roman" w:cs="Times New Roman"/>
        </w:rPr>
        <w:t xml:space="preserve"> </w:t>
      </w:r>
      <w:r>
        <w:rPr>
          <w:rFonts w:ascii="Times New Roman" w:hAnsi="Times New Roman" w:cs="Times New Roman"/>
          <w:color w:val="000000"/>
          <w:lang w:eastAsia="en-GB"/>
        </w:rPr>
        <w:t>(at [54]). However, it will now be up to other courts to undertake a post-</w:t>
      </w:r>
      <w:r>
        <w:rPr>
          <w:rFonts w:ascii="Times New Roman" w:hAnsi="Times New Roman" w:cs="Times New Roman"/>
          <w:i/>
          <w:color w:val="000000"/>
          <w:lang w:eastAsia="en-GB"/>
        </w:rPr>
        <w:t>Mohamud</w:t>
      </w:r>
      <w:r>
        <w:rPr>
          <w:rFonts w:ascii="Times New Roman" w:hAnsi="Times New Roman" w:cs="Times New Roman"/>
          <w:color w:val="000000"/>
          <w:lang w:eastAsia="en-GB"/>
        </w:rPr>
        <w:t xml:space="preserve"> quest to establish the limits of this new approach, and to provide greater certainty to litigants.</w:t>
      </w:r>
    </w:p>
    <w:p w:rsidR="008E6FE9" w:rsidRDefault="008E6FE9">
      <w:pPr>
        <w:shd w:val="clear" w:color="auto" w:fill="FFFFFF"/>
        <w:spacing w:line="360" w:lineRule="auto"/>
        <w:jc w:val="both"/>
        <w:rPr>
          <w:rFonts w:ascii="Times New Roman" w:hAnsi="Times New Roman" w:cs="Times New Roman"/>
          <w:color w:val="000000"/>
          <w:lang w:eastAsia="en-GB"/>
        </w:rPr>
      </w:pPr>
    </w:p>
    <w:p w:rsidR="008E6FE9" w:rsidRDefault="008E6FE9">
      <w:pPr>
        <w:shd w:val="clear" w:color="auto" w:fill="FFFFFF"/>
        <w:spacing w:line="360" w:lineRule="auto"/>
        <w:jc w:val="right"/>
        <w:rPr>
          <w:rFonts w:ascii="Times New Roman" w:hAnsi="Times New Roman" w:cs="Times New Roman"/>
          <w:iCs/>
          <w:smallCaps/>
          <w:lang w:eastAsia="en-GB"/>
        </w:rPr>
      </w:pPr>
      <w:r>
        <w:rPr>
          <w:rFonts w:ascii="Times New Roman" w:hAnsi="Times New Roman" w:cs="Times New Roman"/>
          <w:smallCaps/>
          <w:color w:val="000000"/>
          <w:lang w:eastAsia="en-GB"/>
        </w:rPr>
        <w:t>Phillip Morgan</w:t>
      </w:r>
    </w:p>
    <w:p w:rsidR="008E6FE9" w:rsidRDefault="008E6FE9">
      <w:pPr>
        <w:shd w:val="clear" w:color="auto" w:fill="FFFFFF"/>
        <w:spacing w:line="360" w:lineRule="auto"/>
        <w:jc w:val="both"/>
        <w:outlineLvl w:val="0"/>
        <w:rPr>
          <w:rFonts w:ascii="Times New Roman" w:hAnsi="Times New Roman" w:cs="Times New Roman"/>
          <w:bCs/>
          <w:color w:val="000000"/>
          <w:sz w:val="20"/>
          <w:szCs w:val="20"/>
          <w:lang w:eastAsia="en-GB"/>
        </w:rPr>
      </w:pPr>
      <w:r>
        <w:rPr>
          <w:rFonts w:ascii="Times New Roman" w:hAnsi="Times New Roman" w:cs="Times New Roman"/>
          <w:bCs/>
          <w:color w:val="000000"/>
          <w:sz w:val="20"/>
          <w:szCs w:val="20"/>
          <w:lang w:eastAsia="en-GB"/>
        </w:rPr>
        <w:t xml:space="preserve">Address for correspondence: </w:t>
      </w:r>
      <w:r>
        <w:rPr>
          <w:rStyle w:val="Strong"/>
          <w:rFonts w:ascii="Times New Roman" w:hAnsi="Times New Roman"/>
          <w:b w:val="0"/>
          <w:sz w:val="20"/>
          <w:szCs w:val="20"/>
          <w:lang/>
        </w:rPr>
        <w:t>York Law School,</w:t>
      </w:r>
      <w:r>
        <w:rPr>
          <w:rStyle w:val="Strong"/>
          <w:rFonts w:ascii="Times New Roman" w:hAnsi="Times New Roman"/>
          <w:sz w:val="20"/>
          <w:szCs w:val="20"/>
          <w:lang/>
        </w:rPr>
        <w:t xml:space="preserve"> </w:t>
      </w:r>
      <w:r>
        <w:rPr>
          <w:rFonts w:ascii="Times New Roman" w:hAnsi="Times New Roman" w:cs="Times New Roman"/>
          <w:sz w:val="20"/>
          <w:szCs w:val="20"/>
          <w:lang/>
        </w:rPr>
        <w:t xml:space="preserve">University of York, YO10 5GD. </w:t>
      </w:r>
      <w:r>
        <w:rPr>
          <w:rFonts w:ascii="Times New Roman" w:hAnsi="Times New Roman" w:cs="Times New Roman"/>
          <w:bCs/>
          <w:color w:val="000000"/>
          <w:sz w:val="20"/>
          <w:szCs w:val="20"/>
          <w:lang w:eastAsia="en-GB"/>
        </w:rPr>
        <w:t>Email: phillip.morgan@york.ac.uk</w:t>
      </w:r>
    </w:p>
    <w:p w:rsidR="008E6FE9" w:rsidRDefault="008E6FE9"/>
    <w:sectPr w:rsidR="008E6FE9" w:rsidSect="003A1681">
      <w:pgSz w:w="11906" w:h="16838"/>
      <w:pgMar w:top="1440" w:right="1440" w:bottom="1440" w:left="1440"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1681"/>
    <w:rsid w:val="000E6C3A"/>
    <w:rsid w:val="003A1681"/>
    <w:rsid w:val="003D6B06"/>
    <w:rsid w:val="008E6FE9"/>
    <w:rsid w:val="009C23F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Pr>
      <w:rFonts w:cs="Times New Roman"/>
      <w:i/>
      <w:iCs/>
    </w:rPr>
  </w:style>
  <w:style w:type="character" w:styleId="Strong">
    <w:name w:val="Strong"/>
    <w:basedOn w:val="DefaultParagraphFont"/>
    <w:uiPriority w:val="99"/>
    <w:qFormat/>
    <w:rPr>
      <w:rFonts w:cs="Times New Roman"/>
      <w:b/>
      <w:bCs/>
    </w:rPr>
  </w:style>
  <w:style w:type="character" w:styleId="CommentReference">
    <w:name w:val="annotation reference"/>
    <w:basedOn w:val="DefaultParagraphFont"/>
    <w:uiPriority w:val="99"/>
    <w:semiHidden/>
    <w:rPr>
      <w:rFonts w:cs="Times New Roman"/>
      <w:sz w:val="16"/>
      <w:szCs w:val="16"/>
    </w:rPr>
  </w:style>
  <w:style w:type="character" w:customStyle="1" w:styleId="CommentTextChar">
    <w:name w:val="Comment Text Char"/>
    <w:basedOn w:val="DefaultParagraphFont"/>
    <w:link w:val="CommentText"/>
    <w:uiPriority w:val="99"/>
    <w:semiHidden/>
    <w:locked/>
    <w:rPr>
      <w:rFonts w:eastAsia="Times New Roman" w:cs="Times New Roman"/>
      <w:sz w:val="20"/>
      <w:szCs w:val="20"/>
      <w:lang w:val="en-US" w:eastAsia="ja-JP"/>
    </w:rPr>
  </w:style>
  <w:style w:type="character" w:customStyle="1" w:styleId="BalloonTextChar">
    <w:name w:val="Balloon Text Char"/>
    <w:basedOn w:val="DefaultParagraphFont"/>
    <w:link w:val="BalloonText"/>
    <w:uiPriority w:val="99"/>
    <w:semiHidden/>
    <w:locked/>
    <w:rPr>
      <w:rFonts w:ascii="Segoe UI" w:eastAsia="Times New Roman" w:hAnsi="Segoe UI" w:cs="Segoe UI"/>
      <w:sz w:val="18"/>
      <w:szCs w:val="18"/>
      <w:lang w:val="en-US" w:eastAsia="ja-JP"/>
    </w:rPr>
  </w:style>
  <w:style w:type="character" w:customStyle="1" w:styleId="CommentSubjectChar">
    <w:name w:val="Comment Subject Char"/>
    <w:basedOn w:val="CommentTextChar"/>
    <w:link w:val="CommentSubject"/>
    <w:uiPriority w:val="99"/>
    <w:semiHidden/>
    <w:locked/>
    <w:rPr>
      <w:b/>
      <w:bCs/>
    </w:rPr>
  </w:style>
  <w:style w:type="paragraph" w:customStyle="1" w:styleId="Heading">
    <w:name w:val="Heading"/>
    <w:basedOn w:val="Normal"/>
    <w:next w:val="TextBody"/>
    <w:uiPriority w:val="99"/>
    <w:rsid w:val="003A1681"/>
    <w:pPr>
      <w:keepNext/>
      <w:spacing w:before="240" w:after="120"/>
    </w:pPr>
    <w:rPr>
      <w:rFonts w:ascii="Liberation Sans" w:eastAsia="Microsoft YaHei" w:hAnsi="Liberation Sans" w:cs="Arial"/>
      <w:sz w:val="28"/>
      <w:szCs w:val="28"/>
    </w:rPr>
  </w:style>
  <w:style w:type="paragraph" w:customStyle="1" w:styleId="TextBody">
    <w:name w:val="Text Body"/>
    <w:basedOn w:val="Normal"/>
    <w:uiPriority w:val="99"/>
    <w:rsid w:val="003A1681"/>
    <w:pPr>
      <w:spacing w:after="140" w:line="288" w:lineRule="auto"/>
    </w:pPr>
  </w:style>
  <w:style w:type="paragraph" w:styleId="List">
    <w:name w:val="List"/>
    <w:basedOn w:val="TextBody"/>
    <w:uiPriority w:val="99"/>
    <w:rsid w:val="003A1681"/>
    <w:rPr>
      <w:rFonts w:cs="Arial"/>
    </w:rPr>
  </w:style>
  <w:style w:type="paragraph" w:styleId="Caption">
    <w:name w:val="caption"/>
    <w:basedOn w:val="Normal"/>
    <w:uiPriority w:val="99"/>
    <w:qFormat/>
    <w:rsid w:val="003A1681"/>
    <w:pPr>
      <w:suppressLineNumbers/>
      <w:spacing w:before="120" w:after="120"/>
    </w:pPr>
    <w:rPr>
      <w:rFonts w:cs="Arial"/>
      <w:i/>
      <w:iCs/>
    </w:rPr>
  </w:style>
  <w:style w:type="paragraph" w:customStyle="1" w:styleId="Index">
    <w:name w:val="Index"/>
    <w:basedOn w:val="Normal"/>
    <w:uiPriority w:val="99"/>
    <w:rsid w:val="003A1681"/>
    <w:pPr>
      <w:suppressLineNumbers/>
    </w:pPr>
    <w:rPr>
      <w:rFonts w:cs="Arial"/>
    </w:rPr>
  </w:style>
  <w:style w:type="paragraph" w:styleId="CommentText">
    <w:name w:val="annotation text"/>
    <w:basedOn w:val="Normal"/>
    <w:link w:val="CommentTextChar"/>
    <w:uiPriority w:val="99"/>
    <w:semiHidden/>
    <w:rPr>
      <w:sz w:val="20"/>
      <w:szCs w:val="20"/>
    </w:rPr>
  </w:style>
  <w:style w:type="character" w:customStyle="1" w:styleId="CommentTextChar1">
    <w:name w:val="Comment Text Char1"/>
    <w:basedOn w:val="DefaultParagraphFont"/>
    <w:link w:val="CommentText"/>
    <w:uiPriority w:val="99"/>
    <w:semiHidden/>
    <w:rsid w:val="002761D2"/>
    <w:rPr>
      <w:sz w:val="20"/>
      <w:szCs w:val="20"/>
      <w:lang w:val="en-US" w:eastAsia="ja-JP"/>
    </w:rPr>
  </w:style>
  <w:style w:type="paragraph" w:styleId="BalloonText">
    <w:name w:val="Balloon Text"/>
    <w:basedOn w:val="Normal"/>
    <w:link w:val="BalloonTextChar"/>
    <w:uiPriority w:val="99"/>
    <w:semiHidden/>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2761D2"/>
    <w:rPr>
      <w:rFonts w:ascii="Times New Roman" w:hAnsi="Times New Roman"/>
      <w:sz w:val="0"/>
      <w:szCs w:val="0"/>
      <w:lang w:val="en-US" w:eastAsia="ja-JP"/>
    </w:rPr>
  </w:style>
  <w:style w:type="paragraph" w:styleId="CommentSubject">
    <w:name w:val="annotation subject"/>
    <w:basedOn w:val="CommentText"/>
    <w:link w:val="CommentSubjectChar"/>
    <w:uiPriority w:val="99"/>
    <w:semiHidden/>
    <w:rPr>
      <w:b/>
      <w:bCs/>
    </w:rPr>
  </w:style>
  <w:style w:type="character" w:customStyle="1" w:styleId="CommentSubjectChar1">
    <w:name w:val="Comment Subject Char1"/>
    <w:basedOn w:val="CommentTextChar"/>
    <w:link w:val="CommentSubject"/>
    <w:uiPriority w:val="99"/>
    <w:semiHidden/>
    <w:rsid w:val="002761D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4</Pages>
  <Words>1408</Words>
  <Characters>8029</Characters>
  <Application>Microsoft Office Outlook</Application>
  <DocSecurity>0</DocSecurity>
  <Lines>0</Lines>
  <Paragraphs>0</Paragraphs>
  <ScaleCrop>false</ScaleCrop>
  <Company>Selwyn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jao21</dc:creator>
  <cp:keywords/>
  <dc:description/>
  <cp:lastModifiedBy>Phillip</cp:lastModifiedBy>
  <cp:revision>5</cp:revision>
  <dcterms:created xsi:type="dcterms:W3CDTF">2016-04-21T21:25:00Z</dcterms:created>
  <dcterms:modified xsi:type="dcterms:W3CDTF">2016-09-23T12:45:00Z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Selwyn College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