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66" w:rsidRPr="0046692F" w:rsidRDefault="00281766" w:rsidP="00123A49">
      <w:pPr>
        <w:spacing w:line="480" w:lineRule="auto"/>
        <w:jc w:val="center"/>
      </w:pPr>
    </w:p>
    <w:p w:rsidR="00281766" w:rsidRPr="0046692F" w:rsidRDefault="00281766" w:rsidP="00123A49">
      <w:pPr>
        <w:spacing w:line="480" w:lineRule="auto"/>
        <w:jc w:val="center"/>
      </w:pPr>
    </w:p>
    <w:p w:rsidR="00281766" w:rsidRPr="0046692F" w:rsidRDefault="00281766" w:rsidP="00123A49">
      <w:pPr>
        <w:spacing w:line="480" w:lineRule="auto"/>
      </w:pPr>
    </w:p>
    <w:p w:rsidR="00281766" w:rsidRPr="0046692F" w:rsidRDefault="00281766" w:rsidP="00123A49">
      <w:pPr>
        <w:spacing w:line="480" w:lineRule="auto"/>
        <w:jc w:val="center"/>
      </w:pPr>
    </w:p>
    <w:p w:rsidR="00281766" w:rsidRPr="0046692F" w:rsidRDefault="00281766" w:rsidP="00123A49">
      <w:pPr>
        <w:spacing w:line="480" w:lineRule="auto"/>
        <w:jc w:val="center"/>
      </w:pPr>
    </w:p>
    <w:p w:rsidR="00281766" w:rsidRPr="0046692F" w:rsidRDefault="00281766" w:rsidP="00123A49">
      <w:pPr>
        <w:spacing w:line="480" w:lineRule="auto"/>
        <w:jc w:val="center"/>
      </w:pPr>
    </w:p>
    <w:p w:rsidR="00281766" w:rsidRPr="00CF768E" w:rsidRDefault="00281766" w:rsidP="00123A49">
      <w:pPr>
        <w:spacing w:line="480" w:lineRule="auto"/>
        <w:jc w:val="center"/>
        <w:rPr>
          <w:b/>
          <w:sz w:val="28"/>
          <w:szCs w:val="28"/>
        </w:rPr>
      </w:pPr>
      <w:r w:rsidRPr="00CF768E">
        <w:rPr>
          <w:b/>
          <w:sz w:val="28"/>
          <w:szCs w:val="28"/>
        </w:rPr>
        <w:t>Reading comprehension impairments in autism spectrum disorders</w:t>
      </w:r>
    </w:p>
    <w:p w:rsidR="00281766" w:rsidRPr="0046692F" w:rsidRDefault="00281766" w:rsidP="00123A49">
      <w:pPr>
        <w:spacing w:line="480" w:lineRule="auto"/>
        <w:jc w:val="center"/>
      </w:pPr>
    </w:p>
    <w:p w:rsidR="00281766" w:rsidRPr="0046692F" w:rsidRDefault="00281766" w:rsidP="00617CB3">
      <w:pPr>
        <w:spacing w:line="480" w:lineRule="auto"/>
        <w:jc w:val="center"/>
      </w:pPr>
      <w:r w:rsidRPr="0046692F">
        <w:t>Lisa M</w:t>
      </w:r>
      <w:r>
        <w:t>.</w:t>
      </w:r>
      <w:r w:rsidRPr="0046692F">
        <w:t xml:space="preserve"> Henderson</w:t>
      </w:r>
      <w:r w:rsidRPr="0046692F">
        <w:rPr>
          <w:vertAlign w:val="superscript"/>
        </w:rPr>
        <w:t>1</w:t>
      </w:r>
      <w:r w:rsidRPr="00CF768E">
        <w:t>*</w:t>
      </w:r>
      <w:r w:rsidRPr="0046692F">
        <w:t>, Paula J</w:t>
      </w:r>
      <w:r>
        <w:t>.</w:t>
      </w:r>
      <w:r w:rsidRPr="0046692F">
        <w:t xml:space="preserve"> Clarke</w:t>
      </w:r>
      <w:r w:rsidRPr="0046692F">
        <w:rPr>
          <w:vertAlign w:val="superscript"/>
        </w:rPr>
        <w:t>2</w:t>
      </w:r>
      <w:r>
        <w:t xml:space="preserve"> and</w:t>
      </w:r>
      <w:r w:rsidRPr="0046692F">
        <w:t xml:space="preserve"> Margaret J</w:t>
      </w:r>
      <w:r>
        <w:t>.</w:t>
      </w:r>
      <w:r w:rsidRPr="0046692F">
        <w:t xml:space="preserve"> Snowling</w:t>
      </w:r>
      <w:r w:rsidRPr="0046692F">
        <w:rPr>
          <w:vertAlign w:val="superscript"/>
        </w:rPr>
        <w:t>3</w:t>
      </w:r>
    </w:p>
    <w:p w:rsidR="00281766" w:rsidRPr="0046692F" w:rsidRDefault="00281766" w:rsidP="00123A49">
      <w:pPr>
        <w:spacing w:line="480" w:lineRule="auto"/>
        <w:jc w:val="center"/>
      </w:pPr>
    </w:p>
    <w:p w:rsidR="00281766" w:rsidRPr="00CF768E" w:rsidRDefault="00281766" w:rsidP="00123A49">
      <w:pPr>
        <w:spacing w:line="480" w:lineRule="auto"/>
        <w:jc w:val="center"/>
        <w:rPr>
          <w:i/>
          <w:sz w:val="22"/>
          <w:szCs w:val="22"/>
        </w:rPr>
      </w:pPr>
      <w:r w:rsidRPr="00CF768E">
        <w:rPr>
          <w:i/>
          <w:sz w:val="22"/>
          <w:szCs w:val="22"/>
          <w:vertAlign w:val="superscript"/>
        </w:rPr>
        <w:t>1</w:t>
      </w:r>
      <w:r w:rsidRPr="00CF768E">
        <w:rPr>
          <w:i/>
          <w:sz w:val="22"/>
          <w:szCs w:val="22"/>
        </w:rPr>
        <w:t xml:space="preserve"> University of York, York, UK</w:t>
      </w:r>
    </w:p>
    <w:p w:rsidR="00281766" w:rsidRPr="00CF768E" w:rsidRDefault="00281766" w:rsidP="00123A49">
      <w:pPr>
        <w:spacing w:line="480" w:lineRule="auto"/>
        <w:jc w:val="center"/>
        <w:rPr>
          <w:i/>
          <w:sz w:val="22"/>
          <w:szCs w:val="22"/>
        </w:rPr>
      </w:pPr>
      <w:r w:rsidRPr="00CF768E">
        <w:rPr>
          <w:i/>
          <w:sz w:val="22"/>
          <w:szCs w:val="22"/>
          <w:vertAlign w:val="superscript"/>
        </w:rPr>
        <w:t>2</w:t>
      </w:r>
      <w:r w:rsidRPr="00CF768E">
        <w:rPr>
          <w:i/>
          <w:sz w:val="22"/>
          <w:szCs w:val="22"/>
        </w:rPr>
        <w:t xml:space="preserve"> University of Leeds, Leeds, UK</w:t>
      </w:r>
    </w:p>
    <w:p w:rsidR="00281766" w:rsidRPr="00CF768E" w:rsidRDefault="00281766" w:rsidP="00123A49">
      <w:pPr>
        <w:spacing w:line="480" w:lineRule="auto"/>
        <w:jc w:val="center"/>
        <w:rPr>
          <w:i/>
          <w:sz w:val="22"/>
          <w:szCs w:val="22"/>
        </w:rPr>
      </w:pPr>
      <w:r w:rsidRPr="00CF768E">
        <w:rPr>
          <w:i/>
          <w:sz w:val="22"/>
          <w:szCs w:val="22"/>
          <w:vertAlign w:val="superscript"/>
        </w:rPr>
        <w:t>3</w:t>
      </w:r>
      <w:r w:rsidRPr="00CF768E">
        <w:rPr>
          <w:i/>
          <w:sz w:val="22"/>
          <w:szCs w:val="22"/>
        </w:rPr>
        <w:t xml:space="preserve"> University of Oxford, Oxford, UK</w:t>
      </w:r>
    </w:p>
    <w:p w:rsidR="00281766" w:rsidRPr="0046692F" w:rsidRDefault="00281766" w:rsidP="00123A49">
      <w:pPr>
        <w:spacing w:line="480" w:lineRule="auto"/>
      </w:pPr>
    </w:p>
    <w:p w:rsidR="00281766" w:rsidRPr="0046692F" w:rsidRDefault="00281766" w:rsidP="00123A49">
      <w:pPr>
        <w:spacing w:line="480" w:lineRule="auto"/>
      </w:pPr>
    </w:p>
    <w:p w:rsidR="00281766" w:rsidRPr="0046692F" w:rsidRDefault="00281766" w:rsidP="00123A49">
      <w:pPr>
        <w:spacing w:line="480" w:lineRule="auto"/>
      </w:pPr>
      <w:r>
        <w:t>Running Head: Comprehension in Autism</w:t>
      </w: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Default="00281766" w:rsidP="00CF768E">
      <w:pPr>
        <w:rPr>
          <w:sz w:val="22"/>
          <w:szCs w:val="22"/>
        </w:rPr>
      </w:pPr>
    </w:p>
    <w:p w:rsidR="00281766" w:rsidRPr="00CF768E" w:rsidRDefault="00281766" w:rsidP="00CF768E">
      <w:pPr>
        <w:rPr>
          <w:sz w:val="22"/>
          <w:szCs w:val="22"/>
        </w:rPr>
      </w:pPr>
      <w:r w:rsidRPr="00CF768E">
        <w:rPr>
          <w:sz w:val="22"/>
          <w:szCs w:val="22"/>
        </w:rPr>
        <w:t>*Corresponding Author: Dr Lisa Henderson, Department of Psychology, University of York, York YO 10 5DD</w:t>
      </w:r>
      <w:proofErr w:type="gramStart"/>
      <w:r>
        <w:rPr>
          <w:sz w:val="22"/>
          <w:szCs w:val="22"/>
        </w:rPr>
        <w:t>,United</w:t>
      </w:r>
      <w:proofErr w:type="gramEnd"/>
      <w:r>
        <w:rPr>
          <w:sz w:val="22"/>
          <w:szCs w:val="22"/>
        </w:rPr>
        <w:t>-Kingdom. E-</w:t>
      </w:r>
      <w:r w:rsidRPr="00CF768E">
        <w:rPr>
          <w:sz w:val="22"/>
          <w:szCs w:val="22"/>
        </w:rPr>
        <w:t>mail</w:t>
      </w:r>
      <w:r>
        <w:rPr>
          <w:sz w:val="22"/>
          <w:szCs w:val="22"/>
        </w:rPr>
        <w:t>:</w:t>
      </w:r>
      <w:r w:rsidRPr="00CF768E">
        <w:rPr>
          <w:sz w:val="22"/>
          <w:szCs w:val="22"/>
        </w:rPr>
        <w:t xml:space="preserve"> </w:t>
      </w:r>
      <w:hyperlink r:id="rId9" w:history="1">
        <w:r w:rsidRPr="00CF768E">
          <w:rPr>
            <w:rStyle w:val="Hyperlink"/>
            <w:color w:val="auto"/>
            <w:sz w:val="22"/>
            <w:szCs w:val="22"/>
            <w:u w:val="none"/>
          </w:rPr>
          <w:t>lisa-marie.henderson@york.ac.uk</w:t>
        </w:r>
      </w:hyperlink>
      <w:r w:rsidRPr="00CF768E">
        <w:rPr>
          <w:sz w:val="22"/>
          <w:szCs w:val="22"/>
        </w:rPr>
        <w:t xml:space="preserve"> </w:t>
      </w:r>
    </w:p>
    <w:p w:rsidR="00281766" w:rsidRPr="0046692F" w:rsidRDefault="00281766" w:rsidP="00123A49">
      <w:pPr>
        <w:spacing w:after="200" w:line="276" w:lineRule="auto"/>
        <w:rPr>
          <w:b/>
        </w:rPr>
      </w:pPr>
      <w:r w:rsidRPr="0046692F">
        <w:rPr>
          <w:b/>
        </w:rPr>
        <w:br w:type="page"/>
      </w:r>
    </w:p>
    <w:p w:rsidR="00281766" w:rsidRPr="0046692F" w:rsidRDefault="00281766" w:rsidP="00617CB3">
      <w:pPr>
        <w:spacing w:line="480" w:lineRule="auto"/>
        <w:rPr>
          <w:b/>
        </w:rPr>
      </w:pPr>
      <w:r w:rsidRPr="0046692F">
        <w:rPr>
          <w:b/>
        </w:rPr>
        <w:lastRenderedPageBreak/>
        <w:t>ABSTRACT</w:t>
      </w:r>
    </w:p>
    <w:p w:rsidR="00281766" w:rsidRPr="0046692F" w:rsidRDefault="00281766" w:rsidP="00536931">
      <w:pPr>
        <w:rPr>
          <w:b/>
        </w:rPr>
      </w:pPr>
      <w:r w:rsidRPr="0046692F">
        <w:t>Children with autism spectrum disorder (ASD) often have impairments in reading comprehension alongside relatively spared word reading; however, studies investigating reading profiles in ASD have been small in scale and few have examined whether word reading skills are underpinned by key foundation skills (e.g., phonological decoding) that need to be in place to support the switch to reading for meaning. This study examined reading (word and text reading accuracy, reading comprehension), phonological decoding (</w:t>
      </w:r>
      <w:proofErr w:type="spellStart"/>
      <w:r w:rsidRPr="0046692F">
        <w:t>nonword</w:t>
      </w:r>
      <w:proofErr w:type="spellEnd"/>
      <w:r w:rsidRPr="0046692F">
        <w:t xml:space="preserve"> reading) and oral language comprehension (receptive vocabulary) in 49 children and adolescents with ASD and 49 typical peers of the same age. Levels of word and text reading accuracy were  within age appropriate levels, but reading comprehension and vocabulary were  below average; 31% of the sample showed a significant discrepancy between reading comprehension and word reading accuracy (compared to only 10% of a group of typically developing peers). Even when children with ASD were equated with typical peers on word reading they showed significant </w:t>
      </w:r>
      <w:proofErr w:type="spellStart"/>
      <w:r w:rsidRPr="0046692F">
        <w:t>nonword</w:t>
      </w:r>
      <w:proofErr w:type="spellEnd"/>
      <w:r w:rsidRPr="0046692F">
        <w:t xml:space="preserve"> decoding difficulties. Variance in phonological decoding was also a significant predictor of reading comprehension for the ASD group (but not for the typical peers).These data suggest that apparent strengths in word reading in ASD may mask basic difficulties with phonological decoding, which, together with weaknesses in oral language comprehension, constrain the development of reading comprehension. </w:t>
      </w:r>
    </w:p>
    <w:p w:rsidR="00281766" w:rsidRDefault="00281766" w:rsidP="00123A49">
      <w:pPr>
        <w:spacing w:line="480" w:lineRule="auto"/>
        <w:jc w:val="center"/>
        <w:rPr>
          <w:b/>
        </w:rPr>
      </w:pPr>
    </w:p>
    <w:p w:rsidR="00281766" w:rsidRPr="0046692F" w:rsidRDefault="00281766" w:rsidP="00123A49">
      <w:pPr>
        <w:spacing w:after="200" w:line="276" w:lineRule="auto"/>
        <w:rPr>
          <w:b/>
        </w:rPr>
      </w:pPr>
      <w:r w:rsidRPr="0046692F">
        <w:br w:type="page"/>
      </w:r>
    </w:p>
    <w:p w:rsidR="00281766" w:rsidRPr="0046692F" w:rsidRDefault="00281766" w:rsidP="00667110">
      <w:pPr>
        <w:pStyle w:val="ListParagraph"/>
        <w:numPr>
          <w:ilvl w:val="0"/>
          <w:numId w:val="5"/>
        </w:numPr>
        <w:spacing w:line="480" w:lineRule="auto"/>
        <w:jc w:val="center"/>
      </w:pPr>
      <w:r w:rsidRPr="0046692F">
        <w:lastRenderedPageBreak/>
        <w:t>INTRODUCTION</w:t>
      </w:r>
    </w:p>
    <w:p w:rsidR="00281766" w:rsidRPr="0046692F" w:rsidRDefault="00281766" w:rsidP="00123A49">
      <w:pPr>
        <w:spacing w:line="480" w:lineRule="auto"/>
        <w:ind w:firstLine="720"/>
      </w:pPr>
      <w:r w:rsidRPr="0046692F">
        <w:t xml:space="preserve">The ‘simple view of reading’ (Gough &amp; </w:t>
      </w:r>
      <w:proofErr w:type="spellStart"/>
      <w:r w:rsidRPr="0046692F">
        <w:t>Tunmer</w:t>
      </w:r>
      <w:proofErr w:type="spellEnd"/>
      <w:r w:rsidRPr="0046692F">
        <w:t>, 1986; Hoover &amp; Gough, 1990) proposes that successful reading comprehension depends upon proficient word-level decoding and linguistic comprehension (</w:t>
      </w:r>
      <w:proofErr w:type="spellStart"/>
      <w:r w:rsidRPr="0046692F">
        <w:t>Catts</w:t>
      </w:r>
      <w:proofErr w:type="spellEnd"/>
      <w:r w:rsidRPr="0046692F">
        <w:t xml:space="preserve"> et al., 2006; Chen &amp; </w:t>
      </w:r>
      <w:proofErr w:type="spellStart"/>
      <w:r w:rsidRPr="0046692F">
        <w:t>Vellutino</w:t>
      </w:r>
      <w:proofErr w:type="spellEnd"/>
      <w:r w:rsidRPr="0046692F">
        <w:t xml:space="preserve">, 1997; Cutting &amp; Scarborough, 2006; </w:t>
      </w:r>
      <w:proofErr w:type="spellStart"/>
      <w:r w:rsidRPr="0046692F">
        <w:t>Harlaar</w:t>
      </w:r>
      <w:proofErr w:type="spellEnd"/>
      <w:r w:rsidRPr="0046692F">
        <w:t xml:space="preserve"> et al., 2010; Keenan et al., 2008; Muter et al., 2004). According to this model, the most obvious cause of reading comprehension difficulty is a word-level reading problem. If a child cannot read words accurately and fluently and decode unfamiliar words, his or her comprehension will be compromised (</w:t>
      </w:r>
      <w:proofErr w:type="spellStart"/>
      <w:r w:rsidRPr="0046692F">
        <w:t>Perfetti</w:t>
      </w:r>
      <w:proofErr w:type="spellEnd"/>
      <w:r w:rsidRPr="0046692F">
        <w:t>, 1985).</w:t>
      </w:r>
    </w:p>
    <w:p w:rsidR="00281766" w:rsidRPr="0046692F" w:rsidRDefault="00281766" w:rsidP="00D825D1">
      <w:pPr>
        <w:spacing w:line="480" w:lineRule="auto"/>
        <w:ind w:firstLine="720"/>
      </w:pPr>
      <w:r w:rsidRPr="0046692F">
        <w:t xml:space="preserve">Although word-level decoding and linguistic comprehension are correlated, they build on different language foundations. Evidence shows that whereas phonological skills are critical for the development of decoding and word-level reading (Stuart, 2007) non-phonological oral language skills (vocabulary and grammar) are more closely related to reading comprehension (Nation &amp; </w:t>
      </w:r>
      <w:proofErr w:type="spellStart"/>
      <w:r w:rsidRPr="0046692F">
        <w:t>Norbury</w:t>
      </w:r>
      <w:proofErr w:type="spellEnd"/>
      <w:r w:rsidRPr="0046692F">
        <w:t>, 2005). It follows that decoding and linguistic comprehension can dissociate (</w:t>
      </w:r>
      <w:proofErr w:type="gramStart"/>
      <w:r w:rsidRPr="0046692F">
        <w:t>Bishop &amp;</w:t>
      </w:r>
      <w:proofErr w:type="gramEnd"/>
      <w:r w:rsidRPr="0046692F">
        <w:t xml:space="preserve"> </w:t>
      </w:r>
      <w:proofErr w:type="spellStart"/>
      <w:r w:rsidRPr="0046692F">
        <w:t>Snowling</w:t>
      </w:r>
      <w:proofErr w:type="spellEnd"/>
      <w:r w:rsidRPr="0046692F">
        <w:t>, 2004). Children with dyslexia struggle with word-level aspects of reading, attributable to a difficulty with phonological decoding, but have relatively spared reading comprehension (</w:t>
      </w:r>
      <w:proofErr w:type="spellStart"/>
      <w:r w:rsidRPr="0046692F">
        <w:t>Vellutino</w:t>
      </w:r>
      <w:proofErr w:type="spellEnd"/>
      <w:r w:rsidRPr="0046692F">
        <w:t xml:space="preserve">, Fletcher, </w:t>
      </w:r>
      <w:proofErr w:type="spellStart"/>
      <w:r w:rsidRPr="0046692F">
        <w:t>Snowling</w:t>
      </w:r>
      <w:proofErr w:type="spellEnd"/>
      <w:r w:rsidRPr="0046692F">
        <w:t xml:space="preserve"> &amp; Scanlon, 2004). Poor </w:t>
      </w:r>
      <w:proofErr w:type="spellStart"/>
      <w:r w:rsidRPr="0046692F">
        <w:t>comprehenders</w:t>
      </w:r>
      <w:proofErr w:type="spellEnd"/>
      <w:r w:rsidRPr="0046692F">
        <w:t xml:space="preserve">, on the other hand, are defined as having selective difficulties in reading for meaning but can read text fluently and accurately. As a group, poor </w:t>
      </w:r>
      <w:proofErr w:type="spellStart"/>
      <w:r w:rsidRPr="0046692F">
        <w:t>comprehenders</w:t>
      </w:r>
      <w:proofErr w:type="spellEnd"/>
      <w:r w:rsidRPr="0046692F">
        <w:t xml:space="preserve"> show impairments in oral language comprehension (including vocabulary and grammar) (Cain et al., 2010; Nation &amp; </w:t>
      </w:r>
      <w:proofErr w:type="spellStart"/>
      <w:r w:rsidRPr="0046692F">
        <w:t>Snowling</w:t>
      </w:r>
      <w:proofErr w:type="spellEnd"/>
      <w:r w:rsidRPr="0046692F">
        <w:t xml:space="preserve">, 1998; Nation et al., 2004). It is important to emphasise that reading comprehension also depends upon the integration of information during the course of reading, as well as control processes which monitor ongoing comprehension and inhibit irrelevant information (Nation &amp; Angell, 2007).  Each of these can also be a source of difficulty for children with poor reading comprehension.  </w:t>
      </w:r>
    </w:p>
    <w:p w:rsidR="00281766" w:rsidRPr="0046692F" w:rsidRDefault="00281766" w:rsidP="00123A49">
      <w:pPr>
        <w:spacing w:line="480" w:lineRule="auto"/>
        <w:ind w:firstLine="720"/>
      </w:pPr>
    </w:p>
    <w:p w:rsidR="00281766" w:rsidRPr="0046692F" w:rsidRDefault="00281766" w:rsidP="00123A49">
      <w:pPr>
        <w:spacing w:line="480" w:lineRule="auto"/>
        <w:ind w:firstLine="720"/>
      </w:pPr>
      <w:r w:rsidRPr="0046692F">
        <w:lastRenderedPageBreak/>
        <w:t>There are no agreed diagnostic criteria for reading comprehension impairment.  A recent survey of children’s reading skills conducted during the UK standardization of a reading test (</w:t>
      </w:r>
      <w:proofErr w:type="spellStart"/>
      <w:r w:rsidRPr="0046692F">
        <w:t>Snowling</w:t>
      </w:r>
      <w:proofErr w:type="spellEnd"/>
      <w:r w:rsidRPr="0046692F">
        <w:t xml:space="preserve">, </w:t>
      </w:r>
      <w:proofErr w:type="spellStart"/>
      <w:r w:rsidRPr="0046692F">
        <w:t>Stothard</w:t>
      </w:r>
      <w:proofErr w:type="spellEnd"/>
      <w:r w:rsidRPr="0046692F">
        <w:t xml:space="preserve">, </w:t>
      </w:r>
      <w:proofErr w:type="spellStart"/>
      <w:r w:rsidRPr="0046692F">
        <w:t>Clarke,Bowyer</w:t>
      </w:r>
      <w:proofErr w:type="spellEnd"/>
      <w:r w:rsidRPr="0046692F">
        <w:t xml:space="preserve">-Crane, Harrington, Truelove &amp; Hulme, 2009),  defined as a poor </w:t>
      </w:r>
      <w:proofErr w:type="spellStart"/>
      <w:r w:rsidRPr="0046692F">
        <w:t>comprehender</w:t>
      </w:r>
      <w:proofErr w:type="spellEnd"/>
      <w:r w:rsidRPr="0046692F">
        <w:t xml:space="preserve">, children with at least average-for-age word reading accuracy (single word reading standard score </w:t>
      </w:r>
      <w:r w:rsidR="00D7672A" w:rsidRPr="002C4910">
        <w:fldChar w:fldCharType="begin"/>
      </w:r>
      <w:r w:rsidRPr="002C4910">
        <w:instrText xml:space="preserve"> QUOTE </w:instrText>
      </w:r>
      <w:r w:rsidR="00A619A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20&quot;/&gt;&lt;w:hyphenationZone w:val=&quot;425&quot;/&gt;&lt;w:punctuationKerning/&gt;&lt;w:characterSpacingControl w:val=&quot;DontCompress&quot;/&gt;&lt;w:optimizeForBrowser/&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3A49&quot;/&gt;&lt;wsp:rsid wsp:val=&quot;0000543B&quot;/&gt;&lt;wsp:rsid wsp:val=&quot;000C69DD&quot;/&gt;&lt;wsp:rsid wsp:val=&quot;00123A49&quot;/&gt;&lt;wsp:rsid wsp:val=&quot;00143298&quot;/&gt;&lt;wsp:rsid wsp:val=&quot;002123A3&quot;/&gt;&lt;wsp:rsid wsp:val=&quot;0024359B&quot;/&gt;&lt;wsp:rsid wsp:val=&quot;0024394F&quot;/&gt;&lt;wsp:rsid wsp:val=&quot;00286ECA&quot;/&gt;&lt;wsp:rsid wsp:val=&quot;002A5AFA&quot;/&gt;&lt;wsp:rsid wsp:val=&quot;002D3CD7&quot;/&gt;&lt;wsp:rsid wsp:val=&quot;002D5C42&quot;/&gt;&lt;wsp:rsid wsp:val=&quot;002F4DBB&quot;/&gt;&lt;wsp:rsid wsp:val=&quot;00302AC6&quot;/&gt;&lt;wsp:rsid wsp:val=&quot;00312B46&quot;/&gt;&lt;wsp:rsid wsp:val=&quot;00322415&quot;/&gt;&lt;wsp:rsid wsp:val=&quot;00380015&quot;/&gt;&lt;wsp:rsid wsp:val=&quot;004018B9&quot;/&gt;&lt;wsp:rsid wsp:val=&quot;0041528C&quot;/&gt;&lt;wsp:rsid wsp:val=&quot;00443E5F&quot;/&gt;&lt;wsp:rsid wsp:val=&quot;00465953&quot;/&gt;&lt;wsp:rsid wsp:val=&quot;0046692F&quot;/&gt;&lt;wsp:rsid wsp:val=&quot;0047159A&quot;/&gt;&lt;wsp:rsid wsp:val=&quot;00481AE9&quot;/&gt;&lt;wsp:rsid wsp:val=&quot;00482A9C&quot;/&gt;&lt;wsp:rsid wsp:val=&quot;00497C7A&quot;/&gt;&lt;wsp:rsid wsp:val=&quot;005069AA&quot;/&gt;&lt;wsp:rsid wsp:val=&quot;00527653&quot;/&gt;&lt;wsp:rsid wsp:val=&quot;005446B6&quot;/&gt;&lt;wsp:rsid wsp:val=&quot;00551366&quot;/&gt;&lt;wsp:rsid wsp:val=&quot;005A294A&quot;/&gt;&lt;wsp:rsid wsp:val=&quot;005F6E0A&quot;/&gt;&lt;wsp:rsid wsp:val=&quot;00617CB3&quot;/&gt;&lt;wsp:rsid wsp:val=&quot;00633BCE&quot;/&gt;&lt;wsp:rsid wsp:val=&quot;006465F9&quot;/&gt;&lt;wsp:rsid wsp:val=&quot;00667110&quot;/&gt;&lt;wsp:rsid wsp:val=&quot;00683F6C&quot;/&gt;&lt;wsp:rsid wsp:val=&quot;00691A1D&quot;/&gt;&lt;wsp:rsid wsp:val=&quot;00697D41&quot;/&gt;&lt;wsp:rsid wsp:val=&quot;006B6CD6&quot;/&gt;&lt;wsp:rsid wsp:val=&quot;006C3CCC&quot;/&gt;&lt;wsp:rsid wsp:val=&quot;006D41AB&quot;/&gt;&lt;wsp:rsid wsp:val=&quot;00737426&quot;/&gt;&lt;wsp:rsid wsp:val=&quot;00742506&quot;/&gt;&lt;wsp:rsid wsp:val=&quot;00757651&quot;/&gt;&lt;wsp:rsid wsp:val=&quot;007945A8&quot;/&gt;&lt;wsp:rsid wsp:val=&quot;007B63EE&quot;/&gt;&lt;wsp:rsid wsp:val=&quot;007D28F5&quot;/&gt;&lt;wsp:rsid wsp:val=&quot;008C1BDD&quot;/&gt;&lt;wsp:rsid wsp:val=&quot;008E2E48&quot;/&gt;&lt;wsp:rsid wsp:val=&quot;008E5AC8&quot;/&gt;&lt;wsp:rsid wsp:val=&quot;00903E36&quot;/&gt;&lt;wsp:rsid wsp:val=&quot;00911F22&quot;/&gt;&lt;wsp:rsid wsp:val=&quot;00935D54&quot;/&gt;&lt;wsp:rsid wsp:val=&quot;00943AD9&quot;/&gt;&lt;wsp:rsid wsp:val=&quot;009512AE&quot;/&gt;&lt;wsp:rsid wsp:val=&quot;00986D41&quot;/&gt;&lt;wsp:rsid wsp:val=&quot;00A20721&quot;/&gt;&lt;wsp:rsid wsp:val=&quot;00A37363&quot;/&gt;&lt;wsp:rsid wsp:val=&quot;00A7657E&quot;/&gt;&lt;wsp:rsid wsp:val=&quot;00A832DB&quot;/&gt;&lt;wsp:rsid wsp:val=&quot;00A95C24&quot;/&gt;&lt;wsp:rsid wsp:val=&quot;00AB1F45&quot;/&gt;&lt;wsp:rsid wsp:val=&quot;00AC37C8&quot;/&gt;&lt;wsp:rsid wsp:val=&quot;00AE38D2&quot;/&gt;&lt;wsp:rsid wsp:val=&quot;00B22AA7&quot;/&gt;&lt;wsp:rsid wsp:val=&quot;00B62C91&quot;/&gt;&lt;wsp:rsid wsp:val=&quot;00B80DE9&quot;/&gt;&lt;wsp:rsid wsp:val=&quot;00B966D7&quot;/&gt;&lt;wsp:rsid wsp:val=&quot;00BE3214&quot;/&gt;&lt;wsp:rsid wsp:val=&quot;00C32AA3&quot;/&gt;&lt;wsp:rsid wsp:val=&quot;00C82E22&quot;/&gt;&lt;wsp:rsid wsp:val=&quot;00D825D1&quot;/&gt;&lt;wsp:rsid wsp:val=&quot;00DD0852&quot;/&gt;&lt;wsp:rsid wsp:val=&quot;00DD26BD&quot;/&gt;&lt;wsp:rsid wsp:val=&quot;00E902E3&quot;/&gt;&lt;wsp:rsid wsp:val=&quot;00EF3E7E&quot;/&gt;&lt;wsp:rsid wsp:val=&quot;00F064B4&quot;/&gt;&lt;wsp:rsid wsp:val=&quot;00F73657&quot;/&gt;&lt;/wsp:rsids&gt;&lt;/w:docPr&gt;&lt;w:body&gt;&lt;w:p wsp:rsidR=&quot;00000000&quot; wsp:rsidRDefault=&quot;006B6CD6&quot;&gt;&lt;m:oMathPara&gt;&lt;m:oMath&gt;&lt;m:r&gt;&lt;w:rPr&gt;&lt;w:rFonts w:ascii=&quot;Cambria Math&quot;/&gt;&lt;w:i/&gt;&lt;/w:rPr&gt;&lt;m:t&gt;â‰¥&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0" o:title="" chromakey="white"/>
          </v:shape>
        </w:pict>
      </w:r>
      <w:r w:rsidRPr="002C4910">
        <w:instrText xml:space="preserve"> </w:instrText>
      </w:r>
      <w:r w:rsidR="00D7672A" w:rsidRPr="002C4910">
        <w:fldChar w:fldCharType="separate"/>
      </w:r>
      <w:r w:rsidR="00A619AF">
        <w:pict>
          <v:shape id="_x0000_i1026" type="#_x0000_t75" style="width:13.1pt;height:11.2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20&quot;/&gt;&lt;w:hyphenationZone w:val=&quot;425&quot;/&gt;&lt;w:punctuationKerning/&gt;&lt;w:characterSpacingControl w:val=&quot;DontCompress&quot;/&gt;&lt;w:optimizeForBrowser/&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23A49&quot;/&gt;&lt;wsp:rsid wsp:val=&quot;0000543B&quot;/&gt;&lt;wsp:rsid wsp:val=&quot;000C69DD&quot;/&gt;&lt;wsp:rsid wsp:val=&quot;00123A49&quot;/&gt;&lt;wsp:rsid wsp:val=&quot;00143298&quot;/&gt;&lt;wsp:rsid wsp:val=&quot;002123A3&quot;/&gt;&lt;wsp:rsid wsp:val=&quot;0024359B&quot;/&gt;&lt;wsp:rsid wsp:val=&quot;0024394F&quot;/&gt;&lt;wsp:rsid wsp:val=&quot;00286ECA&quot;/&gt;&lt;wsp:rsid wsp:val=&quot;002A5AFA&quot;/&gt;&lt;wsp:rsid wsp:val=&quot;002D3CD7&quot;/&gt;&lt;wsp:rsid wsp:val=&quot;002D5C42&quot;/&gt;&lt;wsp:rsid wsp:val=&quot;002F4DBB&quot;/&gt;&lt;wsp:rsid wsp:val=&quot;00302AC6&quot;/&gt;&lt;wsp:rsid wsp:val=&quot;00312B46&quot;/&gt;&lt;wsp:rsid wsp:val=&quot;00322415&quot;/&gt;&lt;wsp:rsid wsp:val=&quot;00380015&quot;/&gt;&lt;wsp:rsid wsp:val=&quot;004018B9&quot;/&gt;&lt;wsp:rsid wsp:val=&quot;0041528C&quot;/&gt;&lt;wsp:rsid wsp:val=&quot;00443E5F&quot;/&gt;&lt;wsp:rsid wsp:val=&quot;00465953&quot;/&gt;&lt;wsp:rsid wsp:val=&quot;0046692F&quot;/&gt;&lt;wsp:rsid wsp:val=&quot;0047159A&quot;/&gt;&lt;wsp:rsid wsp:val=&quot;00481AE9&quot;/&gt;&lt;wsp:rsid wsp:val=&quot;00482A9C&quot;/&gt;&lt;wsp:rsid wsp:val=&quot;00497C7A&quot;/&gt;&lt;wsp:rsid wsp:val=&quot;005069AA&quot;/&gt;&lt;wsp:rsid wsp:val=&quot;00527653&quot;/&gt;&lt;wsp:rsid wsp:val=&quot;005446B6&quot;/&gt;&lt;wsp:rsid wsp:val=&quot;00551366&quot;/&gt;&lt;wsp:rsid wsp:val=&quot;005A294A&quot;/&gt;&lt;wsp:rsid wsp:val=&quot;005F6E0A&quot;/&gt;&lt;wsp:rsid wsp:val=&quot;00617CB3&quot;/&gt;&lt;wsp:rsid wsp:val=&quot;00633BCE&quot;/&gt;&lt;wsp:rsid wsp:val=&quot;006465F9&quot;/&gt;&lt;wsp:rsid wsp:val=&quot;00667110&quot;/&gt;&lt;wsp:rsid wsp:val=&quot;00683F6C&quot;/&gt;&lt;wsp:rsid wsp:val=&quot;00691A1D&quot;/&gt;&lt;wsp:rsid wsp:val=&quot;00697D41&quot;/&gt;&lt;wsp:rsid wsp:val=&quot;006B6CD6&quot;/&gt;&lt;wsp:rsid wsp:val=&quot;006C3CCC&quot;/&gt;&lt;wsp:rsid wsp:val=&quot;006D41AB&quot;/&gt;&lt;wsp:rsid wsp:val=&quot;00737426&quot;/&gt;&lt;wsp:rsid wsp:val=&quot;00742506&quot;/&gt;&lt;wsp:rsid wsp:val=&quot;00757651&quot;/&gt;&lt;wsp:rsid wsp:val=&quot;007945A8&quot;/&gt;&lt;wsp:rsid wsp:val=&quot;007B63EE&quot;/&gt;&lt;wsp:rsid wsp:val=&quot;007D28F5&quot;/&gt;&lt;wsp:rsid wsp:val=&quot;008C1BDD&quot;/&gt;&lt;wsp:rsid wsp:val=&quot;008E2E48&quot;/&gt;&lt;wsp:rsid wsp:val=&quot;008E5AC8&quot;/&gt;&lt;wsp:rsid wsp:val=&quot;00903E36&quot;/&gt;&lt;wsp:rsid wsp:val=&quot;00911F22&quot;/&gt;&lt;wsp:rsid wsp:val=&quot;00935D54&quot;/&gt;&lt;wsp:rsid wsp:val=&quot;00943AD9&quot;/&gt;&lt;wsp:rsid wsp:val=&quot;009512AE&quot;/&gt;&lt;wsp:rsid wsp:val=&quot;00986D41&quot;/&gt;&lt;wsp:rsid wsp:val=&quot;00A20721&quot;/&gt;&lt;wsp:rsid wsp:val=&quot;00A37363&quot;/&gt;&lt;wsp:rsid wsp:val=&quot;00A7657E&quot;/&gt;&lt;wsp:rsid wsp:val=&quot;00A832DB&quot;/&gt;&lt;wsp:rsid wsp:val=&quot;00A95C24&quot;/&gt;&lt;wsp:rsid wsp:val=&quot;00AB1F45&quot;/&gt;&lt;wsp:rsid wsp:val=&quot;00AC37C8&quot;/&gt;&lt;wsp:rsid wsp:val=&quot;00AE38D2&quot;/&gt;&lt;wsp:rsid wsp:val=&quot;00B22AA7&quot;/&gt;&lt;wsp:rsid wsp:val=&quot;00B62C91&quot;/&gt;&lt;wsp:rsid wsp:val=&quot;00B80DE9&quot;/&gt;&lt;wsp:rsid wsp:val=&quot;00B966D7&quot;/&gt;&lt;wsp:rsid wsp:val=&quot;00BE3214&quot;/&gt;&lt;wsp:rsid wsp:val=&quot;00C32AA3&quot;/&gt;&lt;wsp:rsid wsp:val=&quot;00C82E22&quot;/&gt;&lt;wsp:rsid wsp:val=&quot;00D825D1&quot;/&gt;&lt;wsp:rsid wsp:val=&quot;00DD0852&quot;/&gt;&lt;wsp:rsid wsp:val=&quot;00DD26BD&quot;/&gt;&lt;wsp:rsid wsp:val=&quot;00E902E3&quot;/&gt;&lt;wsp:rsid wsp:val=&quot;00EF3E7E&quot;/&gt;&lt;wsp:rsid wsp:val=&quot;00F064B4&quot;/&gt;&lt;wsp:rsid wsp:val=&quot;00F73657&quot;/&gt;&lt;/wsp:rsids&gt;&lt;/w:docPr&gt;&lt;w:body&gt;&lt;w:p wsp:rsidR=&quot;00000000&quot; wsp:rsidRDefault=&quot;006B6CD6&quot;&gt;&lt;m:oMathPara&gt;&lt;m:oMath&gt;&lt;m:r&gt;&lt;w:rPr&gt;&lt;w:rFonts w:ascii=&quot;Cambria Math&quot;/&gt;&lt;w:i/&gt;&lt;/w:rPr&gt;&lt;m:t&gt;â‰¥&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0" o:title="" chromakey="white"/>
          </v:shape>
        </w:pict>
      </w:r>
      <w:r w:rsidR="00D7672A" w:rsidRPr="002C4910">
        <w:fldChar w:fldCharType="end"/>
      </w:r>
      <w:r w:rsidRPr="0046692F">
        <w:t>90), a comprehension standard score below 90 and a minimum discrepancy greater than 13 standard score points between their decoding and comprehension scores (i.e., greater than 1SD for comprehension standard scores for this sample of children).  In this sample, the incidence of the profile was 5.3%; amongst the children so identified, there was a mean discrepancy between single word reading accuracy and reading comprehension of 21.59 standard scores points (</w:t>
      </w:r>
      <w:r w:rsidRPr="0046692F">
        <w:rPr>
          <w:i/>
        </w:rPr>
        <w:t>SD</w:t>
      </w:r>
      <w:r w:rsidRPr="0046692F">
        <w:t xml:space="preserve"> = 7.27, range = 14 - 48).</w:t>
      </w:r>
    </w:p>
    <w:p w:rsidR="00281766" w:rsidRPr="0046692F" w:rsidRDefault="00281766" w:rsidP="00123A49">
      <w:pPr>
        <w:spacing w:line="480" w:lineRule="auto"/>
        <w:ind w:firstLine="720"/>
      </w:pPr>
      <w:r w:rsidRPr="0046692F">
        <w:t xml:space="preserve">Similar to poor </w:t>
      </w:r>
      <w:proofErr w:type="spellStart"/>
      <w:r w:rsidRPr="0046692F">
        <w:t>comprehenders</w:t>
      </w:r>
      <w:proofErr w:type="spellEnd"/>
      <w:r w:rsidRPr="0046692F">
        <w:t xml:space="preserve">, children with autism spectrum disorder (ASD) appear to have particular difficulty in reading for meaning.  The ‘stereotypical’ picture is of a child who decodes print well but fails to understand what they read. </w:t>
      </w:r>
      <w:r w:rsidR="00AD2D87">
        <w:t>E</w:t>
      </w:r>
      <w:r w:rsidR="00AD2D87" w:rsidRPr="0046692F">
        <w:t>xamination</w:t>
      </w:r>
      <w:r w:rsidRPr="0046692F">
        <w:t xml:space="preserve"> of the group means taken from samples of children and adolescents with ASD</w:t>
      </w:r>
      <w:proofErr w:type="gramStart"/>
      <w:r w:rsidRPr="0046692F">
        <w:t>,  shows</w:t>
      </w:r>
      <w:proofErr w:type="gramEnd"/>
      <w:r w:rsidRPr="0046692F">
        <w:t xml:space="preserve"> that </w:t>
      </w:r>
      <w:r w:rsidR="00AD2D87">
        <w:t xml:space="preserve">whilst </w:t>
      </w:r>
      <w:r w:rsidR="00AD2D87" w:rsidRPr="0046692F">
        <w:t>word reading skills are closer to (or within) the a</w:t>
      </w:r>
      <w:r w:rsidR="00AD2D87">
        <w:t xml:space="preserve">verage range, </w:t>
      </w:r>
      <w:r w:rsidRPr="0046692F">
        <w:t>reading comprehension typically falls below the average range (</w:t>
      </w:r>
      <w:proofErr w:type="spellStart"/>
      <w:r w:rsidRPr="0046692F">
        <w:t>Norbury</w:t>
      </w:r>
      <w:proofErr w:type="spellEnd"/>
      <w:r w:rsidRPr="0046692F">
        <w:t xml:space="preserve"> &amp; Nation, 2011; Ricketts, 2011). A recent meta-analysis of 36 studies showed that reading comprehension is generally lower than expected based on decoding skill and performance IQ in ASD (Brown et al., 2013).  Notwithstanding this, there is considerable variability in the reading profiles of children with ASD, both in their word recognition and decoding skills as well as in reading comprehension and in the extent to which they are discrepant.  </w:t>
      </w:r>
    </w:p>
    <w:p w:rsidR="00281766" w:rsidRPr="0046692F" w:rsidRDefault="00281766" w:rsidP="00A37363">
      <w:pPr>
        <w:spacing w:line="480" w:lineRule="auto"/>
        <w:ind w:firstLine="720"/>
      </w:pPr>
      <w:r w:rsidRPr="0046692F">
        <w:t xml:space="preserve">An aim of the present study was to investigate the hypothesis that reading profiles are associated with different patterns of oral language skill (as reflected by receptive vocabulary) in a large sample of children and adolescents with ASD ranging in age from 7 – 15 years.  In their large scale </w:t>
      </w:r>
      <w:proofErr w:type="spellStart"/>
      <w:r w:rsidRPr="0046692F">
        <w:t>metaanalysis</w:t>
      </w:r>
      <w:proofErr w:type="spellEnd"/>
      <w:r w:rsidRPr="0046692F">
        <w:t xml:space="preserve">, Brown et al (2013) reported that both semantic knowledge </w:t>
      </w:r>
      <w:r w:rsidRPr="0046692F">
        <w:lastRenderedPageBreak/>
        <w:t xml:space="preserve">(measured by standardised measures of receptive vocabulary) and decoding skill (measured by standardised tests of </w:t>
      </w:r>
      <w:proofErr w:type="spellStart"/>
      <w:r w:rsidRPr="0046692F">
        <w:t>nonword</w:t>
      </w:r>
      <w:proofErr w:type="spellEnd"/>
      <w:r w:rsidRPr="0046692F">
        <w:t>, single word and sentence reading accuracy and/or reading rate) reliably predicted reading comprehension, in line with the simple view of reading.  Decoding skill independently explained 57% of variance in reading comprehension scores; semantic knowledge independently predicted 57% of the variance.  These regression calculations were run one predictor at a time, and hence correlations were performed to examine the relationships between these variables. The reading comprehension skills of participants with ASD was most strongly associated with decoding (</w:t>
      </w:r>
      <w:r w:rsidRPr="0046692F">
        <w:rPr>
          <w:i/>
        </w:rPr>
        <w:t xml:space="preserve">r </w:t>
      </w:r>
      <w:r w:rsidRPr="0046692F">
        <w:t xml:space="preserve">.77, </w:t>
      </w:r>
      <w:r w:rsidRPr="0046692F">
        <w:rPr>
          <w:i/>
        </w:rPr>
        <w:t>n</w:t>
      </w:r>
      <w:r w:rsidRPr="0046692F">
        <w:t xml:space="preserve"> = 1469), followed by semantic knowledge (</w:t>
      </w:r>
      <w:r w:rsidRPr="0046692F">
        <w:rPr>
          <w:i/>
        </w:rPr>
        <w:t>r</w:t>
      </w:r>
      <w:r w:rsidRPr="0046692F">
        <w:t xml:space="preserve"> .59, </w:t>
      </w:r>
      <w:r w:rsidRPr="0046692F">
        <w:rPr>
          <w:i/>
        </w:rPr>
        <w:t>n</w:t>
      </w:r>
      <w:r w:rsidRPr="0046692F">
        <w:t xml:space="preserve"> = 1080), and IQ (</w:t>
      </w:r>
      <w:r w:rsidRPr="0046692F">
        <w:rPr>
          <w:i/>
        </w:rPr>
        <w:t>r</w:t>
      </w:r>
      <w:r w:rsidRPr="0046692F">
        <w:t xml:space="preserve"> .41, </w:t>
      </w:r>
      <w:r w:rsidRPr="0046692F">
        <w:rPr>
          <w:i/>
        </w:rPr>
        <w:t>n</w:t>
      </w:r>
      <w:r w:rsidRPr="0046692F">
        <w:t xml:space="preserve"> = 845). </w:t>
      </w:r>
    </w:p>
    <w:p w:rsidR="00281766" w:rsidRPr="0046692F" w:rsidRDefault="00281766" w:rsidP="00A37363">
      <w:pPr>
        <w:spacing w:line="480" w:lineRule="auto"/>
        <w:ind w:firstLine="720"/>
      </w:pPr>
      <w:r w:rsidRPr="0046692F">
        <w:t xml:space="preserve">Similarly, Ricketts, Jones, </w:t>
      </w:r>
      <w:proofErr w:type="spellStart"/>
      <w:r w:rsidRPr="0046692F">
        <w:t>Happe</w:t>
      </w:r>
      <w:proofErr w:type="spellEnd"/>
      <w:r w:rsidRPr="0046692F">
        <w:t xml:space="preserve"> &amp; </w:t>
      </w:r>
      <w:proofErr w:type="spellStart"/>
      <w:r w:rsidRPr="0046692F">
        <w:t>Charman</w:t>
      </w:r>
      <w:proofErr w:type="spellEnd"/>
      <w:r w:rsidRPr="0046692F">
        <w:t xml:space="preserve"> (2013) found that after controlling for word recognition (which accounted for 64% of variance), oral language accounted for unique variance in reading comprehension in a group of 100 adolescents with ASD. In this study oral language was measured by receptive and expressive subtests from the Clinical Evaluation of Language Fundamentals 3</w:t>
      </w:r>
      <w:r w:rsidRPr="0046692F">
        <w:rPr>
          <w:vertAlign w:val="superscript"/>
        </w:rPr>
        <w:t>rd</w:t>
      </w:r>
      <w:r w:rsidRPr="0046692F">
        <w:t xml:space="preserve"> Edition (</w:t>
      </w:r>
      <w:proofErr w:type="spellStart"/>
      <w:r w:rsidRPr="0046692F">
        <w:t>Semel</w:t>
      </w:r>
      <w:proofErr w:type="spellEnd"/>
      <w:r w:rsidRPr="0046692F">
        <w:t xml:space="preserve"> et al., 2000), as well as the Test for Reception of Grammar (Bishop, 2005). Thus, it is likely that impairments in oral language constrain the development of reading comprehension in ASD, as in poor </w:t>
      </w:r>
      <w:proofErr w:type="spellStart"/>
      <w:r w:rsidRPr="0046692F">
        <w:t>comprehenders</w:t>
      </w:r>
      <w:proofErr w:type="spellEnd"/>
      <w:r w:rsidRPr="0046692F">
        <w:t xml:space="preserve"> without ASD. </w:t>
      </w:r>
    </w:p>
    <w:p w:rsidR="00281766" w:rsidRPr="0046692F" w:rsidRDefault="00281766" w:rsidP="00903E36">
      <w:pPr>
        <w:spacing w:line="480" w:lineRule="auto"/>
        <w:ind w:firstLine="720"/>
      </w:pPr>
      <w:r w:rsidRPr="0046692F">
        <w:t xml:space="preserve">A novel feature of the present study was that we also examined whether intact word recognition skills in ASD are supported by basic proficiency with phonological decoding, since such skills are often used during text reading to decipher unfamiliar words.  While  small-scale studies have shown that children with ASD who have age-appropriate word reading skills are able to decode simple </w:t>
      </w:r>
      <w:proofErr w:type="spellStart"/>
      <w:r w:rsidRPr="0046692F">
        <w:t>nonwords</w:t>
      </w:r>
      <w:proofErr w:type="spellEnd"/>
      <w:r w:rsidRPr="0046692F">
        <w:t xml:space="preserve"> (Frith &amp; </w:t>
      </w:r>
      <w:proofErr w:type="spellStart"/>
      <w:r w:rsidRPr="0046692F">
        <w:t>Snowling</w:t>
      </w:r>
      <w:proofErr w:type="spellEnd"/>
      <w:r w:rsidRPr="0046692F">
        <w:t xml:space="preserve">, 1983; </w:t>
      </w:r>
      <w:proofErr w:type="spellStart"/>
      <w:r w:rsidRPr="0046692F">
        <w:t>Minshew</w:t>
      </w:r>
      <w:proofErr w:type="spellEnd"/>
      <w:r w:rsidRPr="0046692F">
        <w:t xml:space="preserve">, Goldstein &amp; Siegel, 1995), Nation et al. (2006) using a larger, more representative sample, reported that many children had difficulties with </w:t>
      </w:r>
      <w:proofErr w:type="spellStart"/>
      <w:r w:rsidRPr="0046692F">
        <w:t>nonword</w:t>
      </w:r>
      <w:proofErr w:type="spellEnd"/>
      <w:r w:rsidRPr="0046692F">
        <w:t xml:space="preserve"> reading. Moreover, White et al (2006) found that more than half of a group of children with ASD had word decoding difficulties, poor phonological awareness and problems with rapid naming. Thus, for some </w:t>
      </w:r>
      <w:r w:rsidRPr="0046692F">
        <w:lastRenderedPageBreak/>
        <w:t>children with ASD, word reading may not be underpinned by adequate phonological decoding skills. In line with this hypothesis is the frequently reported speculation that children with ASD rely on visual strategies for reading words, perhaps supported by intact or enhanced associative learning mechanisms (</w:t>
      </w:r>
      <w:proofErr w:type="spellStart"/>
      <w:r w:rsidRPr="0046692F">
        <w:t>Walenski</w:t>
      </w:r>
      <w:proofErr w:type="spellEnd"/>
      <w:r w:rsidRPr="0046692F">
        <w:t xml:space="preserve"> et al., 2008), that cannot be usefully applied to reading unfamiliar </w:t>
      </w:r>
      <w:proofErr w:type="spellStart"/>
      <w:r w:rsidRPr="0046692F">
        <w:t>nonwords</w:t>
      </w:r>
      <w:proofErr w:type="spellEnd"/>
      <w:r w:rsidRPr="0046692F">
        <w:t xml:space="preserve">. </w:t>
      </w:r>
    </w:p>
    <w:p w:rsidR="00281766" w:rsidRPr="0046692F" w:rsidRDefault="00281766" w:rsidP="00123A49">
      <w:pPr>
        <w:spacing w:line="480" w:lineRule="auto"/>
        <w:ind w:firstLine="720"/>
      </w:pPr>
      <w:r w:rsidRPr="0046692F">
        <w:t xml:space="preserve">Hence, the switch from learning to read to reading for meaning in ASD may be partly constrained by a lack of proficiency with phonological decoding skills (measured by </w:t>
      </w:r>
      <w:proofErr w:type="spellStart"/>
      <w:r w:rsidRPr="0046692F">
        <w:t>nonword</w:t>
      </w:r>
      <w:proofErr w:type="spellEnd"/>
      <w:r w:rsidRPr="0046692F">
        <w:t xml:space="preserve"> reading) even though word reading skills are age appropriate. </w:t>
      </w:r>
      <w:proofErr w:type="spellStart"/>
      <w:r w:rsidRPr="0046692F">
        <w:t>Vellutino</w:t>
      </w:r>
      <w:proofErr w:type="spellEnd"/>
      <w:r w:rsidRPr="0046692F">
        <w:t xml:space="preserve">, </w:t>
      </w:r>
      <w:proofErr w:type="spellStart"/>
      <w:r w:rsidRPr="0046692F">
        <w:t>Tunmer</w:t>
      </w:r>
      <w:proofErr w:type="spellEnd"/>
      <w:r w:rsidRPr="0046692F">
        <w:t xml:space="preserve">, </w:t>
      </w:r>
      <w:proofErr w:type="spellStart"/>
      <w:r w:rsidRPr="0046692F">
        <w:t>Jaccard</w:t>
      </w:r>
      <w:proofErr w:type="spellEnd"/>
      <w:r w:rsidRPr="0046692F">
        <w:t xml:space="preserve"> and Chen (2007) argue that “[oral] language comprehension processes do not become fully operative in reading until the reader has acquired enough facility in word identification to comprehend, in written language, text that would normally be comprehended in spoken language” (pp. 4). They proposed the Convergent Skills Model in which the relationships between word recognition, phonological skills and reading comprehension were stronger in a group of second and third grade children (</w:t>
      </w:r>
      <w:r w:rsidRPr="0046692F">
        <w:rPr>
          <w:i/>
        </w:rPr>
        <w:t>n</w:t>
      </w:r>
      <w:r w:rsidRPr="0046692F">
        <w:t xml:space="preserve"> 297) than a group of older sixth and seventh grade children (</w:t>
      </w:r>
      <w:r w:rsidRPr="0046692F">
        <w:rPr>
          <w:i/>
        </w:rPr>
        <w:t>n</w:t>
      </w:r>
      <w:r w:rsidRPr="0046692F">
        <w:t xml:space="preserve"> 171). In contrast, there was a stronger relationship between language comprehension and reading comprehension in the older group than in the younger group. This highlights the need to take a developmental perspective when considering the reading skills of children with ASD. </w:t>
      </w:r>
    </w:p>
    <w:p w:rsidR="00281766" w:rsidRPr="0046692F" w:rsidRDefault="00281766" w:rsidP="00617CB3">
      <w:pPr>
        <w:pStyle w:val="ListParagraph"/>
        <w:numPr>
          <w:ilvl w:val="1"/>
          <w:numId w:val="5"/>
        </w:numPr>
        <w:spacing w:line="480" w:lineRule="auto"/>
        <w:rPr>
          <w:b/>
        </w:rPr>
      </w:pPr>
      <w:r w:rsidRPr="0046692F">
        <w:rPr>
          <w:b/>
        </w:rPr>
        <w:t xml:space="preserve"> The present study</w:t>
      </w:r>
    </w:p>
    <w:p w:rsidR="00281766" w:rsidRPr="0046692F" w:rsidRDefault="00281766" w:rsidP="00123A49">
      <w:pPr>
        <w:spacing w:line="480" w:lineRule="auto"/>
        <w:ind w:firstLine="360"/>
      </w:pPr>
      <w:r w:rsidRPr="0046692F">
        <w:t xml:space="preserve">The present study investigated the patterns and predictors of reading comprehension difficulties in a broad sample of children and adolescents with ASD. It has been argued that in order to </w:t>
      </w:r>
      <w:r w:rsidR="001D528D">
        <w:t>improve</w:t>
      </w:r>
      <w:r w:rsidRPr="0046692F">
        <w:t xml:space="preserve"> our understanding of ASD we need to go beyond </w:t>
      </w:r>
      <w:r w:rsidR="001D528D">
        <w:t>group comparisons</w:t>
      </w:r>
      <w:r w:rsidRPr="0046692F">
        <w:t xml:space="preserve"> (ASD vs. TD peers), and focus on examining variability within larger groups of individuals (Brock, 2011; Jones et al., 2009; Lord &amp; Jones, 2012; Ricketts et al., 2013). However, when adopting such an approach it is also important to ascertain whether patterns of variability are </w:t>
      </w:r>
      <w:r w:rsidRPr="0046692F">
        <w:lastRenderedPageBreak/>
        <w:t>similar in TD populations. Therefore, we explore individual differences in reading comprehension in ASD and TD samples as well as carrying out analyses of group differences. Three main research questions were examined:</w:t>
      </w:r>
    </w:p>
    <w:p w:rsidR="00281766" w:rsidRPr="0046692F" w:rsidRDefault="00281766" w:rsidP="00123A49">
      <w:pPr>
        <w:spacing w:line="480" w:lineRule="auto"/>
        <w:ind w:firstLine="360"/>
      </w:pPr>
      <w:r w:rsidRPr="0046692F">
        <w:rPr>
          <w:i/>
        </w:rPr>
        <w:t xml:space="preserve">How discrepant are word reading and reading comprehension in ASD? </w:t>
      </w:r>
      <w:r w:rsidRPr="0046692F">
        <w:t xml:space="preserve">We predicted that by virtue of the difficulties children with ASD have in language and communication, as a group, their reading comprehension would fall significantly below the average range. We also predicted a heightened prevalence of the ‘poor </w:t>
      </w:r>
      <w:proofErr w:type="spellStart"/>
      <w:r w:rsidRPr="0046692F">
        <w:t>comprehender</w:t>
      </w:r>
      <w:proofErr w:type="spellEnd"/>
      <w:r w:rsidRPr="0046692F">
        <w:t xml:space="preserve">’ profile in children with ASD (Nation et al., 2006). </w:t>
      </w:r>
    </w:p>
    <w:p w:rsidR="00281766" w:rsidRPr="0046692F" w:rsidRDefault="00281766" w:rsidP="00AB1F45">
      <w:pPr>
        <w:spacing w:line="480" w:lineRule="auto"/>
        <w:ind w:firstLine="360"/>
      </w:pPr>
      <w:r w:rsidRPr="0046692F">
        <w:rPr>
          <w:i/>
        </w:rPr>
        <w:t xml:space="preserve">Do children with ASD use different word-reading strategies to TD peers? </w:t>
      </w:r>
      <w:r w:rsidRPr="0046692F">
        <w:t xml:space="preserve">If word reading is supported by phonological decoding skills in ASD, we predict that </w:t>
      </w:r>
      <w:proofErr w:type="spellStart"/>
      <w:r w:rsidRPr="0046692F">
        <w:t>nonword</w:t>
      </w:r>
      <w:proofErr w:type="spellEnd"/>
      <w:r w:rsidRPr="0046692F">
        <w:t xml:space="preserve"> reading should be aligned with word reading as in typical development (i.e., there should be no difference between ASD and TD groups in </w:t>
      </w:r>
      <w:proofErr w:type="spellStart"/>
      <w:r w:rsidRPr="0046692F">
        <w:t>nonword</w:t>
      </w:r>
      <w:proofErr w:type="spellEnd"/>
      <w:r w:rsidRPr="0046692F">
        <w:t xml:space="preserve"> reading when they are matched on word reading skills).</w:t>
      </w:r>
    </w:p>
    <w:p w:rsidR="00281766" w:rsidRPr="0046692F" w:rsidRDefault="00281766" w:rsidP="00123A49">
      <w:pPr>
        <w:spacing w:line="480" w:lineRule="auto"/>
        <w:ind w:firstLine="360"/>
      </w:pPr>
      <w:r w:rsidRPr="0046692F">
        <w:rPr>
          <w:i/>
        </w:rPr>
        <w:t>Are individual differences in reading comprehension predicted by the same skills in ASD as in typical development?</w:t>
      </w:r>
      <w:r w:rsidRPr="0046692F">
        <w:t xml:space="preserve"> Based on the simple view of reading, we predicted that individual differences in reading comprehension would be associated with variability in reading accuracy for both groups of children and that variability in oral language (measured by receptive vocabulary) would also account for significant unique variance. Given the putative ASD deficit in </w:t>
      </w:r>
      <w:proofErr w:type="spellStart"/>
      <w:r w:rsidRPr="0046692F">
        <w:t>nonword</w:t>
      </w:r>
      <w:proofErr w:type="spellEnd"/>
      <w:r w:rsidRPr="0046692F">
        <w:t xml:space="preserve"> reading we were also interested in investigating whether the relationships between phonological decoding and word reading with reading comprehension would be similar in ASD and TD groups. </w:t>
      </w:r>
    </w:p>
    <w:p w:rsidR="00281766" w:rsidRPr="0046692F" w:rsidRDefault="00281766" w:rsidP="00617CB3">
      <w:pPr>
        <w:pStyle w:val="ListParagraph"/>
        <w:numPr>
          <w:ilvl w:val="0"/>
          <w:numId w:val="5"/>
        </w:numPr>
        <w:spacing w:line="480" w:lineRule="auto"/>
        <w:jc w:val="center"/>
      </w:pPr>
      <w:r w:rsidRPr="0046692F">
        <w:t>EXPERIMENT</w:t>
      </w:r>
    </w:p>
    <w:p w:rsidR="00281766" w:rsidRPr="0046692F" w:rsidRDefault="00281766" w:rsidP="00123A49">
      <w:pPr>
        <w:spacing w:line="480" w:lineRule="auto"/>
        <w:rPr>
          <w:b/>
        </w:rPr>
      </w:pPr>
      <w:r w:rsidRPr="0046692F">
        <w:rPr>
          <w:b/>
        </w:rPr>
        <w:t>2.1. Method</w:t>
      </w:r>
    </w:p>
    <w:p w:rsidR="00281766" w:rsidRPr="0046692F" w:rsidRDefault="00281766" w:rsidP="0046692F">
      <w:pPr>
        <w:spacing w:line="480" w:lineRule="auto"/>
        <w:ind w:firstLine="720"/>
        <w:rPr>
          <w:b/>
        </w:rPr>
      </w:pPr>
      <w:r w:rsidRPr="0046692F">
        <w:rPr>
          <w:b/>
        </w:rPr>
        <w:t>2.1.1. Participants</w:t>
      </w:r>
    </w:p>
    <w:p w:rsidR="00281766" w:rsidRPr="008D2EAE" w:rsidRDefault="00281766" w:rsidP="00123A49">
      <w:pPr>
        <w:spacing w:line="480" w:lineRule="auto"/>
        <w:ind w:firstLine="720"/>
        <w:rPr>
          <w:sz w:val="20"/>
          <w:szCs w:val="20"/>
        </w:rPr>
      </w:pPr>
      <w:r w:rsidRPr="008D2EAE">
        <w:rPr>
          <w:sz w:val="20"/>
          <w:szCs w:val="20"/>
        </w:rPr>
        <w:t>Fifty-four children with ASD (51 males) were recruited from special education (</w:t>
      </w:r>
      <w:r w:rsidRPr="008D2EAE">
        <w:rPr>
          <w:i/>
          <w:sz w:val="20"/>
          <w:szCs w:val="20"/>
        </w:rPr>
        <w:t>n</w:t>
      </w:r>
      <w:r w:rsidRPr="008D2EAE">
        <w:rPr>
          <w:sz w:val="20"/>
          <w:szCs w:val="20"/>
        </w:rPr>
        <w:t xml:space="preserve"> 50) and mainstream (</w:t>
      </w:r>
      <w:r w:rsidRPr="008D2EAE">
        <w:rPr>
          <w:i/>
          <w:sz w:val="20"/>
          <w:szCs w:val="20"/>
        </w:rPr>
        <w:t>n</w:t>
      </w:r>
      <w:r w:rsidRPr="008D2EAE">
        <w:rPr>
          <w:sz w:val="20"/>
          <w:szCs w:val="20"/>
        </w:rPr>
        <w:t xml:space="preserve"> 4) schools in Yorkshire and Lincolnshire (aged 7 – 15 years). Prior to the study, initial meetings were set up </w:t>
      </w:r>
      <w:r w:rsidRPr="008D2EAE">
        <w:rPr>
          <w:sz w:val="20"/>
          <w:szCs w:val="20"/>
        </w:rPr>
        <w:lastRenderedPageBreak/>
        <w:t xml:space="preserve">with the schools to select children identified on the School’s Special Needs Register as having an autism spectrum disorder; children with additional diagnoses such as Fragile X and tuberous sclerosis were excluded. Families were next sent information packs about the study inviting them to take part. All parents provided written confirmation that their child had received a formal diagnosis of ASD through a general practitioner referral. The parents of 20 children returned the Social Communication Questionnaire (SCQ; </w:t>
      </w:r>
      <w:proofErr w:type="spellStart"/>
      <w:r w:rsidRPr="008D2EAE">
        <w:rPr>
          <w:sz w:val="20"/>
          <w:szCs w:val="20"/>
        </w:rPr>
        <w:t>Berument</w:t>
      </w:r>
      <w:proofErr w:type="spellEnd"/>
      <w:r w:rsidRPr="008D2EAE">
        <w:rPr>
          <w:sz w:val="20"/>
          <w:szCs w:val="20"/>
        </w:rPr>
        <w:t xml:space="preserve">, Rutter, Lord, </w:t>
      </w:r>
      <w:proofErr w:type="spellStart"/>
      <w:r w:rsidRPr="008D2EAE">
        <w:rPr>
          <w:sz w:val="20"/>
          <w:szCs w:val="20"/>
        </w:rPr>
        <w:t>Pickels</w:t>
      </w:r>
      <w:proofErr w:type="spellEnd"/>
      <w:r w:rsidRPr="008D2EAE">
        <w:rPr>
          <w:sz w:val="20"/>
          <w:szCs w:val="20"/>
        </w:rPr>
        <w:t xml:space="preserve"> &amp; Bailey, 1999) which provides a dimensional measure of ASD symptomatology (based on the ADI-R; Rutter, Le </w:t>
      </w:r>
      <w:proofErr w:type="spellStart"/>
      <w:r w:rsidRPr="008D2EAE">
        <w:rPr>
          <w:sz w:val="20"/>
          <w:szCs w:val="20"/>
        </w:rPr>
        <w:t>Couteur</w:t>
      </w:r>
      <w:proofErr w:type="spellEnd"/>
      <w:r w:rsidRPr="008D2EAE">
        <w:rPr>
          <w:sz w:val="20"/>
          <w:szCs w:val="20"/>
        </w:rPr>
        <w:t xml:space="preserve">, &amp; Lord, 2003). The mean SCQ score was 24.31 (SD = 6.18, range 16 – 36) and all children scored above the recommended cut-off for ASD (i.e., &gt;15). </w:t>
      </w:r>
    </w:p>
    <w:p w:rsidR="00281766" w:rsidRPr="008D2EAE" w:rsidRDefault="00281766" w:rsidP="00123A49">
      <w:pPr>
        <w:spacing w:line="480" w:lineRule="auto"/>
        <w:ind w:firstLine="720"/>
        <w:rPr>
          <w:sz w:val="20"/>
          <w:szCs w:val="20"/>
        </w:rPr>
      </w:pPr>
      <w:r w:rsidRPr="008D2EAE">
        <w:rPr>
          <w:sz w:val="20"/>
          <w:szCs w:val="20"/>
        </w:rPr>
        <w:t>To explore the literacy profiles in as wide a sample as possible, only two selection criteria were imposed. First, the children with ASD had to be from 7 years to 15 years old. This age range was selected because by 6 years, reading skills are becoming reasonably well established in UK children. Second, language and reading skills had to be sufficient enough to allow the children to participate in the study. Teachers were asked to refer children they considered to have ‘measurable language and reading skills, however minimal’ (as in Nation et al., 2006); the verbal mental ages of the children selected ranged from 4 years 10 months to 17 years (as measured by the British Picture Vocabulary Scales 2</w:t>
      </w:r>
      <w:r w:rsidRPr="008D2EAE">
        <w:rPr>
          <w:sz w:val="20"/>
          <w:szCs w:val="20"/>
          <w:vertAlign w:val="superscript"/>
        </w:rPr>
        <w:t>nd</w:t>
      </w:r>
      <w:r w:rsidRPr="008D2EAE">
        <w:rPr>
          <w:sz w:val="20"/>
          <w:szCs w:val="20"/>
        </w:rPr>
        <w:t xml:space="preserve"> Edition, Dunn et al., 1997).  One child (aged 8.91 years) was completely unable to read despite scoring within the normal range on the measure of oral language (BPVS-II standard score = 88). A further 4 children achieved scores below average on the single word reading test (mean BAS-II standard score = 63, SD = 7.80; range 55 to 74) but failed to read any words when asked to read text. These children also scored below average on the measure of oral language (mean BPVS-II standard score = 62, SD = 20.23; range 39 – 75). All of these children were excluded from further analyses, leaving a sample size of 49 for the ASD group (47 males) aged 7 – 15.50 years (mean age 12.13, SD = 2.21).</w:t>
      </w:r>
    </w:p>
    <w:p w:rsidR="00281766" w:rsidRDefault="00281766" w:rsidP="00123A49">
      <w:pPr>
        <w:spacing w:line="480" w:lineRule="auto"/>
        <w:ind w:firstLine="720"/>
        <w:rPr>
          <w:sz w:val="20"/>
          <w:szCs w:val="20"/>
        </w:rPr>
      </w:pPr>
      <w:r w:rsidRPr="008D2EAE">
        <w:rPr>
          <w:sz w:val="20"/>
          <w:szCs w:val="20"/>
        </w:rPr>
        <w:t xml:space="preserve">A group of 49 TD peers (44 male) were recruited from five mainstream primary and secondary schools in Yorkshire (mean age 11.61, SD = 1.83; range 7.66 – 16.08 years). The ASD and TD groups were group-matched on chronological age (Cohen’s </w:t>
      </w:r>
      <w:r w:rsidRPr="008D2EAE">
        <w:rPr>
          <w:i/>
          <w:sz w:val="20"/>
          <w:szCs w:val="20"/>
        </w:rPr>
        <w:t>d</w:t>
      </w:r>
      <w:r w:rsidRPr="008D2EAE">
        <w:rPr>
          <w:sz w:val="20"/>
          <w:szCs w:val="20"/>
        </w:rPr>
        <w:t xml:space="preserve"> = 0.26) and were also roughly matched on gender (TD 44/49 male; ASD 47/49 male). They had normal or corrected-to-normal vision and hearing, and did not have documented learning difficulties.</w:t>
      </w:r>
    </w:p>
    <w:p w:rsidR="00281766" w:rsidRDefault="00281766" w:rsidP="00123A49">
      <w:pPr>
        <w:spacing w:line="480" w:lineRule="auto"/>
        <w:ind w:firstLine="720"/>
        <w:rPr>
          <w:sz w:val="20"/>
          <w:szCs w:val="20"/>
        </w:rPr>
      </w:pPr>
    </w:p>
    <w:p w:rsidR="00281766" w:rsidRPr="008D2EAE" w:rsidRDefault="00281766" w:rsidP="00123A49">
      <w:pPr>
        <w:spacing w:line="480" w:lineRule="auto"/>
        <w:ind w:firstLine="720"/>
        <w:rPr>
          <w:sz w:val="20"/>
          <w:szCs w:val="20"/>
        </w:rPr>
      </w:pPr>
    </w:p>
    <w:p w:rsidR="00281766" w:rsidRPr="0046692F" w:rsidRDefault="00281766" w:rsidP="0046692F">
      <w:pPr>
        <w:spacing w:line="480" w:lineRule="auto"/>
        <w:ind w:firstLine="720"/>
        <w:rPr>
          <w:b/>
        </w:rPr>
      </w:pPr>
      <w:r w:rsidRPr="0046692F">
        <w:rPr>
          <w:b/>
        </w:rPr>
        <w:t>2.1.2. Materials and Procedure</w:t>
      </w:r>
    </w:p>
    <w:p w:rsidR="00281766" w:rsidRPr="008D2EAE" w:rsidRDefault="00281766" w:rsidP="00123A49">
      <w:pPr>
        <w:spacing w:line="480" w:lineRule="auto"/>
        <w:ind w:firstLine="720"/>
        <w:rPr>
          <w:sz w:val="20"/>
          <w:szCs w:val="20"/>
        </w:rPr>
      </w:pPr>
      <w:r w:rsidRPr="008D2EAE">
        <w:rPr>
          <w:sz w:val="20"/>
          <w:szCs w:val="20"/>
        </w:rPr>
        <w:lastRenderedPageBreak/>
        <w:t xml:space="preserve">All children were tested in a quiet room in their schools. The tests were presented in a single session lasting no longer than 45 minutes. Rest periods were allowed as required.  It has been argued that computerised tasks reduce the need for experimenter-participant interaction and can improve the behavioural performance of children with ASD (e.g., </w:t>
      </w:r>
      <w:proofErr w:type="spellStart"/>
      <w:r w:rsidRPr="008D2EAE">
        <w:rPr>
          <w:sz w:val="20"/>
          <w:szCs w:val="20"/>
        </w:rPr>
        <w:t>Ozonoff</w:t>
      </w:r>
      <w:proofErr w:type="spellEnd"/>
      <w:r w:rsidRPr="008D2EAE">
        <w:rPr>
          <w:sz w:val="20"/>
          <w:szCs w:val="20"/>
        </w:rPr>
        <w:t xml:space="preserve"> &amp; </w:t>
      </w:r>
      <w:proofErr w:type="spellStart"/>
      <w:r w:rsidRPr="008D2EAE">
        <w:rPr>
          <w:sz w:val="20"/>
          <w:szCs w:val="20"/>
        </w:rPr>
        <w:t>Strayer</w:t>
      </w:r>
      <w:proofErr w:type="spellEnd"/>
      <w:r w:rsidRPr="008D2EAE">
        <w:rPr>
          <w:sz w:val="20"/>
          <w:szCs w:val="20"/>
        </w:rPr>
        <w:t xml:space="preserve">, 2001; </w:t>
      </w:r>
      <w:proofErr w:type="spellStart"/>
      <w:r w:rsidRPr="008D2EAE">
        <w:rPr>
          <w:sz w:val="20"/>
          <w:szCs w:val="20"/>
        </w:rPr>
        <w:t>Ozonoff</w:t>
      </w:r>
      <w:proofErr w:type="spellEnd"/>
      <w:r w:rsidRPr="008D2EAE">
        <w:rPr>
          <w:sz w:val="20"/>
          <w:szCs w:val="20"/>
        </w:rPr>
        <w:t xml:space="preserve">, 1995; </w:t>
      </w:r>
      <w:proofErr w:type="spellStart"/>
      <w:r w:rsidRPr="008D2EAE">
        <w:rPr>
          <w:sz w:val="20"/>
          <w:szCs w:val="20"/>
        </w:rPr>
        <w:t>Pascualvaca</w:t>
      </w:r>
      <w:proofErr w:type="spellEnd"/>
      <w:r w:rsidRPr="008D2EAE">
        <w:rPr>
          <w:sz w:val="20"/>
          <w:szCs w:val="20"/>
        </w:rPr>
        <w:t xml:space="preserve">, </w:t>
      </w:r>
      <w:proofErr w:type="spellStart"/>
      <w:r w:rsidRPr="008D2EAE">
        <w:rPr>
          <w:sz w:val="20"/>
          <w:szCs w:val="20"/>
        </w:rPr>
        <w:t>Fantie</w:t>
      </w:r>
      <w:proofErr w:type="spellEnd"/>
      <w:r w:rsidRPr="008D2EAE">
        <w:rPr>
          <w:sz w:val="20"/>
          <w:szCs w:val="20"/>
        </w:rPr>
        <w:t xml:space="preserve">, </w:t>
      </w:r>
      <w:proofErr w:type="spellStart"/>
      <w:r w:rsidRPr="008D2EAE">
        <w:rPr>
          <w:sz w:val="20"/>
          <w:szCs w:val="20"/>
        </w:rPr>
        <w:t>Papgeorgiou</w:t>
      </w:r>
      <w:proofErr w:type="spellEnd"/>
      <w:r w:rsidRPr="008D2EAE">
        <w:rPr>
          <w:sz w:val="20"/>
          <w:szCs w:val="20"/>
        </w:rPr>
        <w:t xml:space="preserve">, &amp; </w:t>
      </w:r>
      <w:proofErr w:type="spellStart"/>
      <w:r w:rsidRPr="008D2EAE">
        <w:rPr>
          <w:sz w:val="20"/>
          <w:szCs w:val="20"/>
        </w:rPr>
        <w:t>Mirsky</w:t>
      </w:r>
      <w:proofErr w:type="spellEnd"/>
      <w:r w:rsidRPr="008D2EAE">
        <w:rPr>
          <w:sz w:val="20"/>
          <w:szCs w:val="20"/>
        </w:rPr>
        <w:t xml:space="preserve">, 1998). Therefore, the standardised reading measures were all computerised. </w:t>
      </w:r>
    </w:p>
    <w:p w:rsidR="00281766" w:rsidRPr="0046692F" w:rsidRDefault="00281766" w:rsidP="00481AE9">
      <w:pPr>
        <w:spacing w:line="480" w:lineRule="auto"/>
        <w:ind w:left="720" w:firstLine="720"/>
        <w:rPr>
          <w:b/>
          <w:i/>
        </w:rPr>
      </w:pPr>
      <w:r w:rsidRPr="0046692F">
        <w:rPr>
          <w:b/>
          <w:i/>
        </w:rPr>
        <w:t>2.1.2.1. Standardised tests</w:t>
      </w:r>
    </w:p>
    <w:p w:rsidR="00281766" w:rsidRPr="008D2EAE" w:rsidRDefault="00281766" w:rsidP="00123A49">
      <w:pPr>
        <w:spacing w:line="480" w:lineRule="auto"/>
        <w:ind w:firstLine="720"/>
        <w:rPr>
          <w:i/>
          <w:sz w:val="20"/>
          <w:szCs w:val="20"/>
        </w:rPr>
      </w:pPr>
      <w:r w:rsidRPr="008D2EAE">
        <w:rPr>
          <w:sz w:val="20"/>
          <w:szCs w:val="20"/>
        </w:rPr>
        <w:t xml:space="preserve">Three standardised tests of reading were administered.  </w:t>
      </w:r>
      <w:proofErr w:type="spellStart"/>
      <w:r w:rsidRPr="008D2EAE">
        <w:rPr>
          <w:i/>
          <w:sz w:val="20"/>
          <w:szCs w:val="20"/>
        </w:rPr>
        <w:t>Nonword</w:t>
      </w:r>
      <w:proofErr w:type="spellEnd"/>
      <w:r w:rsidRPr="008D2EAE">
        <w:rPr>
          <w:i/>
          <w:sz w:val="20"/>
          <w:szCs w:val="20"/>
        </w:rPr>
        <w:t xml:space="preserve"> decoding</w:t>
      </w:r>
      <w:r w:rsidRPr="008D2EAE">
        <w:rPr>
          <w:sz w:val="20"/>
          <w:szCs w:val="20"/>
        </w:rPr>
        <w:t xml:space="preserve"> was measured using the Graded </w:t>
      </w:r>
      <w:proofErr w:type="spellStart"/>
      <w:r w:rsidRPr="008D2EAE">
        <w:rPr>
          <w:sz w:val="20"/>
          <w:szCs w:val="20"/>
        </w:rPr>
        <w:t>Nonword</w:t>
      </w:r>
      <w:proofErr w:type="spellEnd"/>
      <w:r w:rsidRPr="008D2EAE">
        <w:rPr>
          <w:sz w:val="20"/>
          <w:szCs w:val="20"/>
        </w:rPr>
        <w:t xml:space="preserve"> Reading Test (GNWRT; </w:t>
      </w:r>
      <w:proofErr w:type="spellStart"/>
      <w:r w:rsidRPr="008D2EAE">
        <w:rPr>
          <w:sz w:val="20"/>
          <w:szCs w:val="20"/>
        </w:rPr>
        <w:t>Snowling</w:t>
      </w:r>
      <w:proofErr w:type="spellEnd"/>
      <w:r w:rsidRPr="008D2EAE">
        <w:rPr>
          <w:sz w:val="20"/>
          <w:szCs w:val="20"/>
        </w:rPr>
        <w:t xml:space="preserve"> et al., 1996). The test was presented on a laptop computer. The </w:t>
      </w:r>
      <w:proofErr w:type="spellStart"/>
      <w:r w:rsidRPr="008D2EAE">
        <w:rPr>
          <w:sz w:val="20"/>
          <w:szCs w:val="20"/>
        </w:rPr>
        <w:t>nonwords</w:t>
      </w:r>
      <w:proofErr w:type="spellEnd"/>
      <w:r w:rsidRPr="008D2EAE">
        <w:rPr>
          <w:sz w:val="20"/>
          <w:szCs w:val="20"/>
        </w:rPr>
        <w:t xml:space="preserve"> appeared in the centre of the screen in black font (18 point Arial) on a white background. Before each item a picture of a monster was presented on the screen and the examiner told the children that the nonsense word was the monster’s name. This was included to provide a rest period and maintain the children’s motivation. The examiner pressed the space bar to initiate each item. </w:t>
      </w:r>
      <w:r w:rsidRPr="008D2EAE">
        <w:rPr>
          <w:i/>
          <w:sz w:val="20"/>
          <w:szCs w:val="20"/>
        </w:rPr>
        <w:t>Single word reading</w:t>
      </w:r>
      <w:r w:rsidRPr="008D2EAE">
        <w:rPr>
          <w:sz w:val="20"/>
          <w:szCs w:val="20"/>
        </w:rPr>
        <w:t xml:space="preserve"> was assessed using the Word Reading the BAS-II (Elliot et al., 1996). This subtest involves reading words presented in isolation that gradually increase in difficulty. </w:t>
      </w:r>
      <w:r w:rsidRPr="008D2EAE">
        <w:rPr>
          <w:i/>
          <w:sz w:val="20"/>
          <w:szCs w:val="20"/>
        </w:rPr>
        <w:t>Text reading accuracy and reading comprehension</w:t>
      </w:r>
      <w:r w:rsidRPr="008D2EAE">
        <w:rPr>
          <w:sz w:val="20"/>
          <w:szCs w:val="20"/>
        </w:rPr>
        <w:t xml:space="preserve"> were assessed using the Neale Analysis of Reading Ability (Form B; NARA-II; Neale, 1997). This test involves reading story passages and after each one answering 8 comprehension questions that tap a mixture of literal and inferential questions. The children read the stories off a laptop computer screen, each with a picture. In keeping with the standard administration of this test, the picture and the text remained on the computer screen while the experimenter read out the questions and the participants responded orally. In addition to the standardised reading measures, </w:t>
      </w:r>
      <w:r w:rsidRPr="008D2EAE">
        <w:rPr>
          <w:i/>
          <w:sz w:val="20"/>
          <w:szCs w:val="20"/>
        </w:rPr>
        <w:t>receptive vocabulary</w:t>
      </w:r>
      <w:r w:rsidRPr="008D2EAE">
        <w:rPr>
          <w:sz w:val="20"/>
          <w:szCs w:val="20"/>
        </w:rPr>
        <w:t xml:space="preserve"> was measured was measured using the British Picture Vocabulary Scales, 2</w:t>
      </w:r>
      <w:r w:rsidRPr="008D2EAE">
        <w:rPr>
          <w:sz w:val="20"/>
          <w:szCs w:val="20"/>
          <w:vertAlign w:val="superscript"/>
        </w:rPr>
        <w:t>nd</w:t>
      </w:r>
      <w:r w:rsidRPr="008D2EAE">
        <w:rPr>
          <w:sz w:val="20"/>
          <w:szCs w:val="20"/>
        </w:rPr>
        <w:t xml:space="preserve"> Edition (Dunn et al., 1997).</w:t>
      </w:r>
    </w:p>
    <w:p w:rsidR="00281766" w:rsidRPr="0046692F" w:rsidRDefault="00281766" w:rsidP="00C82E22">
      <w:pPr>
        <w:pStyle w:val="ListParagraph"/>
        <w:numPr>
          <w:ilvl w:val="1"/>
          <w:numId w:val="5"/>
        </w:numPr>
        <w:spacing w:line="480" w:lineRule="auto"/>
        <w:rPr>
          <w:b/>
        </w:rPr>
      </w:pPr>
      <w:r w:rsidRPr="0046692F">
        <w:rPr>
          <w:b/>
        </w:rPr>
        <w:t xml:space="preserve"> Results</w:t>
      </w:r>
    </w:p>
    <w:p w:rsidR="00281766" w:rsidRPr="0046692F" w:rsidRDefault="00281766" w:rsidP="0046692F">
      <w:pPr>
        <w:pStyle w:val="ListParagraph"/>
        <w:numPr>
          <w:ilvl w:val="2"/>
          <w:numId w:val="6"/>
        </w:numPr>
        <w:spacing w:line="480" w:lineRule="auto"/>
        <w:rPr>
          <w:b/>
        </w:rPr>
      </w:pPr>
      <w:r w:rsidRPr="0046692F">
        <w:rPr>
          <w:b/>
        </w:rPr>
        <w:t xml:space="preserve">How discrepant are word reading and reading comprehension in a broad sample of children with ASD? </w:t>
      </w:r>
    </w:p>
    <w:p w:rsidR="00281766" w:rsidRDefault="00281766" w:rsidP="00123A49">
      <w:pPr>
        <w:spacing w:line="480" w:lineRule="auto"/>
        <w:ind w:firstLine="720"/>
      </w:pPr>
      <w:proofErr w:type="gramStart"/>
      <w:r w:rsidRPr="0046692F">
        <w:rPr>
          <w:b/>
        </w:rPr>
        <w:t>Patterns of Reading Skill.</w:t>
      </w:r>
      <w:proofErr w:type="gramEnd"/>
      <w:r w:rsidRPr="0046692F">
        <w:rPr>
          <w:b/>
        </w:rPr>
        <w:t xml:space="preserve"> </w:t>
      </w:r>
      <w:r w:rsidRPr="0046692F">
        <w:t xml:space="preserve">Some children in the ASD group performed below the floor of scores on the test of text reading accuracy and comprehension. Following Nation et al. (2006), we took a conservative approach and awarded these children with a score one point below the standardisation floor (for example, the NARA-II standard score floor is 70; children failing to attain this level of performance were awarded a standard score of 69). This </w:t>
      </w:r>
      <w:r w:rsidRPr="0046692F">
        <w:lastRenderedPageBreak/>
        <w:t xml:space="preserve">was the case for 11 children with ASD for text reading accuracy and 18 children for text comprehension. Hence, the standardised scores for these measures overestimate ability for the ASD group, particularly for reading comprehension.  Figure 1 summarises the reading performance of the remaining 49 children with ASD on the standardised tests.  </w:t>
      </w:r>
    </w:p>
    <w:p w:rsidR="00281766" w:rsidRPr="0046692F" w:rsidRDefault="00281766" w:rsidP="008D2EAE">
      <w:pPr>
        <w:spacing w:line="480" w:lineRule="auto"/>
        <w:jc w:val="center"/>
        <w:rPr>
          <w:b/>
        </w:rPr>
      </w:pPr>
      <w:r>
        <w:t>&lt;Insert Figure 1 about here&gt;</w:t>
      </w:r>
    </w:p>
    <w:p w:rsidR="00281766" w:rsidRPr="0046692F" w:rsidRDefault="00281766" w:rsidP="00123A49">
      <w:pPr>
        <w:spacing w:line="480" w:lineRule="auto"/>
        <w:ind w:firstLine="720"/>
      </w:pPr>
      <w:r w:rsidRPr="0046692F">
        <w:t>As can be seen in Figure 1, the performance of the ASD group was highly variable, compared with that of their TD peers, with performance on all measures ranging from floor to ceiling levels. The mean standard score for the ASD group was 85.02 for word reading (SD=23.66, range 55-144) and 90.18 for text reading (SD=19.73, range 69-126) whilst the TD group mean standard scores were more comfortably in the average range (word reading 107.79, SD=15.24, range 82-145; text reading 104.36, SD=11.96, range 85-129). For text comprehension, the ASD group mean standard score was 79.88 (SD=13.83, range 69-113) in contrast to the TD group of 103.53 (SD=8.92, range 87-127).  The groups also differed in receptive vocabulary: for the ASD group the mean was 81.18 (SD=25.49, range 39-160) and the TD</w:t>
      </w:r>
      <w:proofErr w:type="gramStart"/>
      <w:r w:rsidRPr="0046692F">
        <w:t>,  101.92</w:t>
      </w:r>
      <w:proofErr w:type="gramEnd"/>
      <w:r w:rsidRPr="0046692F">
        <w:t xml:space="preserve"> ( SD=13.23, range 75-159). </w:t>
      </w:r>
      <w:proofErr w:type="spellStart"/>
      <w:r w:rsidRPr="0046692F">
        <w:t>Nonword</w:t>
      </w:r>
      <w:proofErr w:type="spellEnd"/>
      <w:r w:rsidRPr="0046692F">
        <w:t xml:space="preserve"> decoding raw scores were particularly variable for the ASD group (mean 11.50 out of 25, SD=8.04, range 0-25) in comparison to the TD group whose scores were towards the ceiling of the test (mean 20.85 out of 25, SD=3.95, range 9-25). TD peers significantly outperformed the children with ASD on all measures (Cohen’s </w:t>
      </w:r>
      <w:r w:rsidRPr="0046692F">
        <w:rPr>
          <w:i/>
        </w:rPr>
        <w:t>d</w:t>
      </w:r>
      <w:r w:rsidRPr="0046692F">
        <w:t xml:space="preserve">s: word reading, 1.14; text reading 0.87, text comprehension, 2.03; receptive vocabulary, 1.02; </w:t>
      </w:r>
      <w:proofErr w:type="spellStart"/>
      <w:r w:rsidRPr="0046692F">
        <w:t>nonword</w:t>
      </w:r>
      <w:proofErr w:type="spellEnd"/>
      <w:r w:rsidRPr="0046692F">
        <w:t xml:space="preserve"> decoding 1.59; all </w:t>
      </w:r>
      <w:proofErr w:type="spellStart"/>
      <w:r w:rsidRPr="0046692F">
        <w:rPr>
          <w:i/>
        </w:rPr>
        <w:t>p</w:t>
      </w:r>
      <w:r w:rsidRPr="0046692F">
        <w:t>s</w:t>
      </w:r>
      <w:proofErr w:type="spellEnd"/>
      <w:r w:rsidRPr="0046692F">
        <w:t xml:space="preserve"> &lt; .05). </w:t>
      </w:r>
    </w:p>
    <w:p w:rsidR="00281766" w:rsidRPr="0046692F" w:rsidRDefault="00281766" w:rsidP="00481AE9">
      <w:pPr>
        <w:pStyle w:val="ListParagraph"/>
        <w:numPr>
          <w:ilvl w:val="2"/>
          <w:numId w:val="5"/>
        </w:numPr>
        <w:spacing w:line="480" w:lineRule="auto"/>
        <w:rPr>
          <w:b/>
        </w:rPr>
      </w:pPr>
      <w:r w:rsidRPr="0046692F">
        <w:rPr>
          <w:b/>
        </w:rPr>
        <w:t xml:space="preserve">Discrepancies between component reading skills. </w:t>
      </w:r>
    </w:p>
    <w:p w:rsidR="00281766" w:rsidRPr="0046692F" w:rsidRDefault="00281766" w:rsidP="00481AE9">
      <w:pPr>
        <w:spacing w:line="480" w:lineRule="auto"/>
        <w:ind w:firstLine="360"/>
        <w:rPr>
          <w:i/>
        </w:rPr>
      </w:pPr>
      <w:r w:rsidRPr="0046692F">
        <w:t xml:space="preserve">We calculated the percentage of children who achieved standard scores of &gt;1 standard deviation (SD) and &gt;2 SDs below the test mean (i.e., of 100) on the measures of word reading, text reading accuracy and text comprehension. Notably, none of the TD children had text reading accuracy or comprehension scores in the below average range and only 2% had </w:t>
      </w:r>
      <w:r w:rsidRPr="0046692F">
        <w:lastRenderedPageBreak/>
        <w:t xml:space="preserve">word reading scores in the below average range. In contrast, 73% of the ASD group scored below average on the measure of text comprehension, with 45% scoring significantly below age appropriate levels. However, not all of these children can be considered as poor </w:t>
      </w:r>
      <w:proofErr w:type="spellStart"/>
      <w:r w:rsidRPr="0046692F">
        <w:t>comprehenders</w:t>
      </w:r>
      <w:proofErr w:type="spellEnd"/>
      <w:r w:rsidRPr="0046692F">
        <w:t xml:space="preserve"> since many also showed difficulties with reading accuracy. Indeed, 51% scored &gt; 1SD below the test mean on text reading accuracy (with 20% scoring &gt; 2SDs below) and 57% scored &gt; 1SD below the test mean on word reading (with 31% scoring &gt; 2SDs below). </w:t>
      </w:r>
    </w:p>
    <w:p w:rsidR="00281766" w:rsidRPr="0046692F" w:rsidRDefault="00281766" w:rsidP="00123A49">
      <w:pPr>
        <w:spacing w:line="480" w:lineRule="auto"/>
        <w:ind w:firstLine="720"/>
      </w:pPr>
      <w:r w:rsidRPr="0046692F">
        <w:t xml:space="preserve">Many children in the ASD group showed significant discrepancies between reading comprehension and word reading accuracy: 33% of the group obtained a discrepancy of more than 1 SD (mean discrepancy = 22.5 standard scores, SD = 7.24 standard scores); 8% a discrepancy of more than 2 SDs (mean discrepancy = 33.50 standard scores, SD = 3.11 standard scores) and only 1 child (2%) showed the reverse pattern obtaining a comprehension score 1 point in excess of their word reading accuracy score). By way of contrast, the majority of TD peers (90%) achieved a comprehension score within 1 SD of their accuracy score; 10% obtained a comprehension score between 1 – 2 SDs below text reading accuracy (mean discrepancy 16.6 standard scores; SD = 1.14 standard scores) and 37% showed reading comprehension standard scores in advance of reading accuracy. </w:t>
      </w:r>
    </w:p>
    <w:p w:rsidR="00281766" w:rsidRPr="0046692F" w:rsidRDefault="00281766" w:rsidP="000C69DD">
      <w:pPr>
        <w:spacing w:line="480" w:lineRule="auto"/>
        <w:ind w:firstLine="720"/>
      </w:pPr>
      <w:r w:rsidRPr="0046692F">
        <w:t xml:space="preserve">In the absence of a ‘gold standard’, the following criteria were used to define the ‘poor </w:t>
      </w:r>
      <w:proofErr w:type="spellStart"/>
      <w:r w:rsidRPr="0046692F">
        <w:t>comprehender</w:t>
      </w:r>
      <w:proofErr w:type="spellEnd"/>
      <w:r w:rsidRPr="0046692F">
        <w:t>’ profile (following Henderson et al., 2013): (</w:t>
      </w:r>
      <w:proofErr w:type="spellStart"/>
      <w:r w:rsidRPr="0046692F">
        <w:t>i</w:t>
      </w:r>
      <w:proofErr w:type="spellEnd"/>
      <w:r w:rsidRPr="0046692F">
        <w:t>) word reading and text reading accuracy in the average range, (ii) reading comprehension below a standard score of 89, and (iii) at least a 1 SD discrepancy between reading comprehension and word or text reading accuracy</w:t>
      </w:r>
      <w:r w:rsidRPr="0046692F">
        <w:rPr>
          <w:vertAlign w:val="superscript"/>
        </w:rPr>
        <w:t>1</w:t>
      </w:r>
      <w:r w:rsidRPr="0046692F">
        <w:t xml:space="preserve">). Among the 49 children in the ASD group, 24.49% could be classified as poor </w:t>
      </w:r>
      <w:proofErr w:type="spellStart"/>
      <w:r w:rsidRPr="0046692F">
        <w:t>comprehenders</w:t>
      </w:r>
      <w:proofErr w:type="spellEnd"/>
      <w:r w:rsidRPr="0046692F">
        <w:t>. In contrast, only one of the 49 TD controls (i.e., 2.04%) fulfilled these criteria. Together, these observations suggest that delays in reading comprehension relative to reading accuracy are common in children with ASD.</w:t>
      </w:r>
    </w:p>
    <w:p w:rsidR="00281766" w:rsidRPr="0046692F" w:rsidRDefault="00281766" w:rsidP="00481AE9">
      <w:pPr>
        <w:pStyle w:val="ListParagraph"/>
        <w:numPr>
          <w:ilvl w:val="2"/>
          <w:numId w:val="5"/>
        </w:numPr>
        <w:spacing w:line="480" w:lineRule="auto"/>
        <w:rPr>
          <w:b/>
        </w:rPr>
      </w:pPr>
      <w:r w:rsidRPr="0046692F">
        <w:rPr>
          <w:b/>
        </w:rPr>
        <w:lastRenderedPageBreak/>
        <w:t>Do children with ASD rely on different word-reading strategies than TD peers?</w:t>
      </w:r>
    </w:p>
    <w:p w:rsidR="00281766" w:rsidRPr="0046692F" w:rsidRDefault="00281766" w:rsidP="00481AE9">
      <w:pPr>
        <w:pStyle w:val="ListParagraph"/>
        <w:numPr>
          <w:ilvl w:val="3"/>
          <w:numId w:val="5"/>
        </w:numPr>
        <w:spacing w:line="480" w:lineRule="auto"/>
        <w:rPr>
          <w:b/>
        </w:rPr>
      </w:pPr>
      <w:r w:rsidRPr="0046692F">
        <w:rPr>
          <w:b/>
          <w:i/>
        </w:rPr>
        <w:t xml:space="preserve"> Discrepancies between word and </w:t>
      </w:r>
      <w:proofErr w:type="spellStart"/>
      <w:r w:rsidRPr="0046692F">
        <w:rPr>
          <w:b/>
          <w:i/>
        </w:rPr>
        <w:t>nonword</w:t>
      </w:r>
      <w:proofErr w:type="spellEnd"/>
      <w:r w:rsidRPr="0046692F">
        <w:rPr>
          <w:b/>
          <w:i/>
        </w:rPr>
        <w:t xml:space="preserve"> reading</w:t>
      </w:r>
      <w:r w:rsidRPr="0046692F">
        <w:rPr>
          <w:b/>
        </w:rPr>
        <w:t xml:space="preserve"> </w:t>
      </w:r>
    </w:p>
    <w:p w:rsidR="00281766" w:rsidRPr="0046692F" w:rsidRDefault="00281766" w:rsidP="00481AE9">
      <w:pPr>
        <w:spacing w:line="480" w:lineRule="auto"/>
        <w:ind w:firstLine="360"/>
      </w:pPr>
      <w:r w:rsidRPr="0046692F">
        <w:t xml:space="preserve">Although word and </w:t>
      </w:r>
      <w:proofErr w:type="spellStart"/>
      <w:r w:rsidRPr="0046692F">
        <w:t>nonword</w:t>
      </w:r>
      <w:proofErr w:type="spellEnd"/>
      <w:r w:rsidRPr="0046692F">
        <w:t xml:space="preserve"> reading were strongly correlated for both groups, low levels of </w:t>
      </w:r>
      <w:proofErr w:type="spellStart"/>
      <w:r w:rsidRPr="0046692F">
        <w:t>nonword</w:t>
      </w:r>
      <w:proofErr w:type="spellEnd"/>
      <w:r w:rsidRPr="0046692F">
        <w:t xml:space="preserve"> reading were particularly apparent in the ASD group with 8 children failing to read a single </w:t>
      </w:r>
      <w:proofErr w:type="spellStart"/>
      <w:r w:rsidRPr="0046692F">
        <w:t>nonword</w:t>
      </w:r>
      <w:proofErr w:type="spellEnd"/>
      <w:r w:rsidRPr="0046692F">
        <w:t xml:space="preserve">.  Nevertheless, all of these children achieved scores on the word reading test. </w:t>
      </w:r>
    </w:p>
    <w:p w:rsidR="00281766" w:rsidRDefault="00281766" w:rsidP="000C69DD">
      <w:pPr>
        <w:spacing w:line="480" w:lineRule="auto"/>
        <w:ind w:firstLine="720"/>
      </w:pPr>
      <w:r w:rsidRPr="0046692F">
        <w:t xml:space="preserve">To examine the discrepancy between word reading and </w:t>
      </w:r>
      <w:proofErr w:type="spellStart"/>
      <w:r w:rsidRPr="0046692F">
        <w:t>nonword</w:t>
      </w:r>
      <w:proofErr w:type="spellEnd"/>
      <w:r w:rsidRPr="0046692F">
        <w:t xml:space="preserve"> reading, 25 children in the ASD group were pair-wise matched to 25 TD children on raw word reading scores (each pair of participants differed by &lt;5 raw scores). Table </w:t>
      </w:r>
      <w:r w:rsidR="00FD0D9D">
        <w:t>1</w:t>
      </w:r>
      <w:r w:rsidRPr="0046692F">
        <w:t xml:space="preserve"> shows the mean scores on the standardised tests for these two groups. The ASD group obtained significantly lower </w:t>
      </w:r>
      <w:proofErr w:type="spellStart"/>
      <w:r w:rsidRPr="0046692F">
        <w:t>nonword</w:t>
      </w:r>
      <w:proofErr w:type="spellEnd"/>
      <w:r w:rsidRPr="0046692F">
        <w:t xml:space="preserve"> reading scores than TD peers despite being matched on word reading ability.  This suggests that word reading skills are not supported by adequate phonological decoding skills in ASD.</w:t>
      </w:r>
    </w:p>
    <w:p w:rsidR="00FD0D9D" w:rsidRPr="0046692F" w:rsidRDefault="00FD0D9D" w:rsidP="00FD0D9D">
      <w:pPr>
        <w:spacing w:line="480" w:lineRule="auto"/>
        <w:jc w:val="center"/>
      </w:pPr>
      <w:r>
        <w:t>&lt;Insert Table 1 about here&gt;</w:t>
      </w:r>
    </w:p>
    <w:p w:rsidR="00281766" w:rsidRPr="0046692F" w:rsidRDefault="00281766" w:rsidP="00481AE9">
      <w:pPr>
        <w:pStyle w:val="ListParagraph"/>
        <w:numPr>
          <w:ilvl w:val="3"/>
          <w:numId w:val="5"/>
        </w:numPr>
        <w:spacing w:line="480" w:lineRule="auto"/>
        <w:rPr>
          <w:b/>
          <w:i/>
        </w:rPr>
      </w:pPr>
      <w:r w:rsidRPr="0046692F">
        <w:rPr>
          <w:b/>
          <w:i/>
        </w:rPr>
        <w:t xml:space="preserve"> Are individual differences in reading comprehension predicted by the same skills in ASD as in typical development?</w:t>
      </w:r>
    </w:p>
    <w:p w:rsidR="00281766" w:rsidRDefault="00281766" w:rsidP="00123A49">
      <w:pPr>
        <w:spacing w:line="480" w:lineRule="auto"/>
        <w:ind w:firstLine="720"/>
      </w:pPr>
      <w:r w:rsidRPr="001D4DD7">
        <w:t xml:space="preserve">Table </w:t>
      </w:r>
      <w:r w:rsidR="00FD0D9D" w:rsidRPr="001D4DD7">
        <w:t>2</w:t>
      </w:r>
      <w:r w:rsidRPr="0046692F">
        <w:t xml:space="preserve"> shows correlations among raw scores on the standardised tests (partial correlations controlling for age are also presented); correlations which were significantly different in the ASD and TD group</w:t>
      </w:r>
      <w:bookmarkStart w:id="0" w:name="_GoBack"/>
      <w:bookmarkEnd w:id="0"/>
      <w:r w:rsidRPr="0046692F">
        <w:t xml:space="preserve">s, as reflected by Fishers r-to-z transformations, are shown using subscripts. Reading comprehension was strongly correlated with receptive vocabulary for both groups. Reading comprehension was also strongly correlated with word reading and text reading accuracy for both groups; however, these correlations were stronger for the ASD group than the TD peers.  Furthermore, the correlation between </w:t>
      </w:r>
      <w:proofErr w:type="spellStart"/>
      <w:r w:rsidRPr="0046692F">
        <w:t>nonword</w:t>
      </w:r>
      <w:proofErr w:type="spellEnd"/>
      <w:r w:rsidRPr="0046692F">
        <w:t xml:space="preserve"> reading and text comprehension was significantly stronger for the ASD group than the TD peers. Thus, </w:t>
      </w:r>
      <w:r w:rsidRPr="0046692F">
        <w:lastRenderedPageBreak/>
        <w:t xml:space="preserve">despite the relative strengths in word reading at a group level and the increased prevalence of the poor </w:t>
      </w:r>
      <w:proofErr w:type="spellStart"/>
      <w:r w:rsidRPr="0046692F">
        <w:t>comprehender</w:t>
      </w:r>
      <w:proofErr w:type="spellEnd"/>
      <w:r w:rsidRPr="0046692F">
        <w:t xml:space="preserve"> profile, for many children with ASD reading comprehension may be constrained by word-level decoding skills. </w:t>
      </w:r>
    </w:p>
    <w:p w:rsidR="00281766" w:rsidRPr="0046692F" w:rsidRDefault="00281766" w:rsidP="00606EBA">
      <w:pPr>
        <w:spacing w:line="480" w:lineRule="auto"/>
        <w:jc w:val="center"/>
        <w:rPr>
          <w:color w:val="FF0000"/>
        </w:rPr>
      </w:pPr>
      <w:r>
        <w:t xml:space="preserve">&lt;Insert </w:t>
      </w:r>
      <w:r w:rsidRPr="00FD0D9D">
        <w:t xml:space="preserve">Table </w:t>
      </w:r>
      <w:r w:rsidR="00FD0D9D">
        <w:t>2</w:t>
      </w:r>
      <w:r>
        <w:t xml:space="preserve"> about here&gt;</w:t>
      </w:r>
    </w:p>
    <w:p w:rsidR="00281766" w:rsidRDefault="00281766" w:rsidP="00123A49">
      <w:pPr>
        <w:spacing w:line="480" w:lineRule="auto"/>
        <w:ind w:firstLine="720"/>
      </w:pPr>
      <w:r w:rsidRPr="0046692F">
        <w:t xml:space="preserve">Hierarchical regression analyses were next performed to assess the contributions of age and foundation language and literacy skills (word recognition, phonological decoding and receptive vocabulary) to individual differences in reading comprehension for each group separately (see </w:t>
      </w:r>
      <w:r w:rsidRPr="00FD0D9D">
        <w:t xml:space="preserve">Table </w:t>
      </w:r>
      <w:r w:rsidR="003E5ABD" w:rsidRPr="00FD0D9D">
        <w:t>3</w:t>
      </w:r>
      <w:r w:rsidRPr="00FD0D9D">
        <w:t>).  In</w:t>
      </w:r>
      <w:r w:rsidRPr="0046692F">
        <w:t xml:space="preserve"> Model 1 the predictors were age, word reading, </w:t>
      </w:r>
      <w:proofErr w:type="spellStart"/>
      <w:r w:rsidRPr="0046692F">
        <w:t>nonword</w:t>
      </w:r>
      <w:proofErr w:type="spellEnd"/>
      <w:r w:rsidRPr="0046692F">
        <w:t xml:space="preserve"> reading and receptive vocabulary, entered at each step consecutively.  Age accounted for significant variance in reading comprehension for both groups, less so for the ASD group. Word reading accounted for significant variance in reading comprehension for both groups. </w:t>
      </w:r>
      <w:proofErr w:type="spellStart"/>
      <w:r w:rsidRPr="0046692F">
        <w:t>Nonword</w:t>
      </w:r>
      <w:proofErr w:type="spellEnd"/>
      <w:r w:rsidRPr="0046692F">
        <w:t xml:space="preserve"> reading accounted for unique variance in reading comprehension when word reading was controlled in the TD peers, but it did not account for variance in reading comprehension in the ASD group</w:t>
      </w:r>
      <w:r w:rsidR="00E10A54">
        <w:t xml:space="preserve"> (likely due to the large amount of variance accounted for by word reading in the ASD group)</w:t>
      </w:r>
      <w:r w:rsidRPr="0046692F">
        <w:t xml:space="preserve">.  </w:t>
      </w:r>
      <w:r w:rsidR="007E44EF">
        <w:t>Indeed, w</w:t>
      </w:r>
      <w:r w:rsidR="007E44EF" w:rsidRPr="0046692F">
        <w:t>hen word reading was omitted as a predictor (Model 2</w:t>
      </w:r>
      <w:r w:rsidR="007E44EF">
        <w:t>, Table 3</w:t>
      </w:r>
      <w:r w:rsidR="007E44EF" w:rsidRPr="0046692F">
        <w:t xml:space="preserve">), </w:t>
      </w:r>
      <w:proofErr w:type="spellStart"/>
      <w:r w:rsidR="007E44EF" w:rsidRPr="0046692F">
        <w:t>nonword</w:t>
      </w:r>
      <w:proofErr w:type="spellEnd"/>
      <w:r w:rsidR="007E44EF" w:rsidRPr="0046692F">
        <w:t xml:space="preserve"> reading accounted for significant unique variance in reading comprehension after receptive vocabulary was controlled for the ASD group but not for the TD group. </w:t>
      </w:r>
      <w:r w:rsidR="007E44EF">
        <w:t xml:space="preserve"> </w:t>
      </w:r>
      <w:r w:rsidRPr="0046692F">
        <w:t xml:space="preserve">Finally, receptive vocabulary accounted for significant unique variance in reading comprehension when word reading and </w:t>
      </w:r>
      <w:proofErr w:type="spellStart"/>
      <w:r w:rsidRPr="0046692F">
        <w:t>nonword</w:t>
      </w:r>
      <w:proofErr w:type="spellEnd"/>
      <w:r w:rsidRPr="0046692F">
        <w:t xml:space="preserve"> reading wer</w:t>
      </w:r>
      <w:r w:rsidR="00E10A54">
        <w:t xml:space="preserve">e controlled for both groups.  </w:t>
      </w:r>
    </w:p>
    <w:p w:rsidR="00FD0D9D" w:rsidRPr="0046692F" w:rsidRDefault="00FD0D9D" w:rsidP="00FD0D9D">
      <w:pPr>
        <w:spacing w:line="480" w:lineRule="auto"/>
        <w:jc w:val="center"/>
        <w:rPr>
          <w:color w:val="FF0000"/>
        </w:rPr>
      </w:pPr>
      <w:r>
        <w:t xml:space="preserve">&lt;Insert </w:t>
      </w:r>
      <w:r w:rsidRPr="00FD0D9D">
        <w:t xml:space="preserve">Table </w:t>
      </w:r>
      <w:r>
        <w:t>3 about here&gt;</w:t>
      </w:r>
    </w:p>
    <w:p w:rsidR="00281766" w:rsidRPr="0046692F" w:rsidRDefault="00281766" w:rsidP="00481AE9">
      <w:pPr>
        <w:pStyle w:val="ListParagraph"/>
        <w:numPr>
          <w:ilvl w:val="0"/>
          <w:numId w:val="5"/>
        </w:numPr>
        <w:spacing w:line="480" w:lineRule="auto"/>
        <w:jc w:val="center"/>
      </w:pPr>
      <w:r w:rsidRPr="0046692F">
        <w:t>DISCUSSION</w:t>
      </w:r>
    </w:p>
    <w:p w:rsidR="00281766" w:rsidRDefault="00281766" w:rsidP="00123A49">
      <w:pPr>
        <w:spacing w:line="480" w:lineRule="auto"/>
        <w:ind w:firstLine="720"/>
      </w:pPr>
      <w:r w:rsidRPr="0046692F">
        <w:t xml:space="preserve">This study investigated patterns of reading ability in a broad sample of children and adolescents with ASD and compared them to a group of TD children of similar age and gender. Of 54 children with ASD recruited; 91% had measurable reading skills. Consistent with previous research (Brown et al,. 2013; Jones et al., 2009; Mayes &amp; Calhoun, 2008; </w:t>
      </w:r>
      <w:r w:rsidRPr="0046692F">
        <w:lastRenderedPageBreak/>
        <w:t xml:space="preserve">Nation et al., 2006; Ricketts et al., 2013)  there was considerable variability within the ASD group and performance varied from floor to ceiling levels for all measures. </w:t>
      </w:r>
    </w:p>
    <w:p w:rsidR="00281766" w:rsidRPr="0046692F" w:rsidRDefault="00281766" w:rsidP="00123A49">
      <w:pPr>
        <w:spacing w:line="480" w:lineRule="auto"/>
        <w:ind w:firstLine="720"/>
      </w:pPr>
    </w:p>
    <w:p w:rsidR="00281766" w:rsidRPr="005003FF" w:rsidRDefault="00281766" w:rsidP="00123A49">
      <w:pPr>
        <w:spacing w:line="480" w:lineRule="auto"/>
        <w:rPr>
          <w:b/>
        </w:rPr>
      </w:pPr>
      <w:r w:rsidRPr="005003FF">
        <w:rPr>
          <w:b/>
        </w:rPr>
        <w:t xml:space="preserve">3.1. How discrepant are word reading and reading comprehension in ASD? </w:t>
      </w:r>
    </w:p>
    <w:p w:rsidR="00281766" w:rsidRDefault="00281766" w:rsidP="008E2E48">
      <w:pPr>
        <w:spacing w:line="480" w:lineRule="auto"/>
        <w:ind w:firstLine="360"/>
      </w:pPr>
      <w:r w:rsidRPr="0046692F">
        <w:t xml:space="preserve">Consistent with the hypotheses and a large body of research, the mean scores of the ASD group fell within the low average range for word reading accuracy but below this for reading comprehension. Indeed, a large proportion (73%) of children with ASD showed reading comprehension at least 1SD below the test mean, whereas none of the TD peers did. Beyond the description of group means, we investigated the heterogeneity in reading profiles in the groups. In keeping with the literature, there was an increased prevalence of the ‘poor </w:t>
      </w:r>
      <w:proofErr w:type="spellStart"/>
      <w:r w:rsidRPr="0046692F">
        <w:t>comprehender</w:t>
      </w:r>
      <w:proofErr w:type="spellEnd"/>
      <w:r w:rsidRPr="0046692F">
        <w:t>’ profile in the ASD group with 24% conforming to strict criteria. This estimate is comparable to Nation et al (2006) who reported that 35% of children with ASD showed discrepancies between reading comprehension and word recognition of greater than 1 SD. Thus, approximately 3 out of 10 children and adolescents with ASD have a significant impairment in reading comprehension despite reaching age appropriate levels of word reading. This heightened prevalence is striking considering recent prevalence estimates of around 5% in a representative sample (</w:t>
      </w:r>
      <w:proofErr w:type="spellStart"/>
      <w:r w:rsidRPr="0046692F">
        <w:t>Snowling</w:t>
      </w:r>
      <w:proofErr w:type="spellEnd"/>
      <w:r w:rsidRPr="0046692F">
        <w:t xml:space="preserve"> et al., 2009).   </w:t>
      </w:r>
    </w:p>
    <w:p w:rsidR="00281766" w:rsidRPr="0046692F" w:rsidRDefault="00281766" w:rsidP="008E2E48">
      <w:pPr>
        <w:spacing w:line="480" w:lineRule="auto"/>
        <w:ind w:firstLine="360"/>
      </w:pPr>
    </w:p>
    <w:p w:rsidR="00281766" w:rsidRPr="0046692F" w:rsidRDefault="00281766" w:rsidP="00481AE9">
      <w:pPr>
        <w:pStyle w:val="ListParagraph"/>
        <w:numPr>
          <w:ilvl w:val="1"/>
          <w:numId w:val="5"/>
        </w:numPr>
        <w:spacing w:line="480" w:lineRule="auto"/>
        <w:rPr>
          <w:b/>
        </w:rPr>
      </w:pPr>
      <w:r w:rsidRPr="0046692F">
        <w:rPr>
          <w:b/>
        </w:rPr>
        <w:t xml:space="preserve"> Do children with ASD rely on different mechanisms for word reading? </w:t>
      </w:r>
    </w:p>
    <w:p w:rsidR="00281766" w:rsidRPr="0046692F" w:rsidRDefault="00281766">
      <w:pPr>
        <w:spacing w:line="480" w:lineRule="auto"/>
        <w:ind w:firstLine="720"/>
      </w:pPr>
      <w:r w:rsidRPr="0046692F">
        <w:t xml:space="preserve">Despite relative strengths in word reading and strong correlations between word and </w:t>
      </w:r>
      <w:proofErr w:type="spellStart"/>
      <w:r w:rsidRPr="0046692F">
        <w:t>nonword</w:t>
      </w:r>
      <w:proofErr w:type="spellEnd"/>
      <w:r w:rsidRPr="0046692F">
        <w:t xml:space="preserve"> reading, some children with ASD in this sample showed significant difficulties with </w:t>
      </w:r>
      <w:proofErr w:type="spellStart"/>
      <w:r w:rsidRPr="0046692F">
        <w:t>nonword</w:t>
      </w:r>
      <w:proofErr w:type="spellEnd"/>
      <w:r w:rsidRPr="0046692F">
        <w:t xml:space="preserve"> reading (consistent with Nation et al., 2006). Moreover, when children with ASD were pair-wise matched to TD peers based on word reading, they performed significantly worse on the measure of </w:t>
      </w:r>
      <w:proofErr w:type="spellStart"/>
      <w:r w:rsidRPr="0046692F">
        <w:t>nonword</w:t>
      </w:r>
      <w:proofErr w:type="spellEnd"/>
      <w:r w:rsidRPr="0046692F">
        <w:t xml:space="preserve"> reading.  This suggests that word reading is not always aligned to </w:t>
      </w:r>
      <w:proofErr w:type="spellStart"/>
      <w:r w:rsidRPr="0046692F">
        <w:t>nonword</w:t>
      </w:r>
      <w:proofErr w:type="spellEnd"/>
      <w:r w:rsidRPr="0046692F">
        <w:t xml:space="preserve"> reading in ASD and hence, that some individuals with ASD may rely on </w:t>
      </w:r>
      <w:r w:rsidRPr="0046692F">
        <w:lastRenderedPageBreak/>
        <w:t xml:space="preserve">different (i.e., non-phonological) strategies for word reading. This finding is the more striking because it is often observed that aspects of word reading (as opposed to </w:t>
      </w:r>
      <w:proofErr w:type="spellStart"/>
      <w:r w:rsidRPr="0046692F">
        <w:t>nonword</w:t>
      </w:r>
      <w:proofErr w:type="spellEnd"/>
      <w:r w:rsidRPr="0046692F">
        <w:t xml:space="preserve"> reading) is somewhat impaired in poor </w:t>
      </w:r>
      <w:proofErr w:type="spellStart"/>
      <w:r w:rsidRPr="0046692F">
        <w:t>comprehenders</w:t>
      </w:r>
      <w:proofErr w:type="spellEnd"/>
      <w:r w:rsidRPr="0046692F">
        <w:t xml:space="preserve"> (Nation &amp; </w:t>
      </w:r>
      <w:proofErr w:type="spellStart"/>
      <w:r w:rsidRPr="0046692F">
        <w:t>Snowling</w:t>
      </w:r>
      <w:proofErr w:type="spellEnd"/>
      <w:r w:rsidRPr="0046692F">
        <w:t xml:space="preserve">, 1998; Nation et al., 2004).  It is plausible that impairments in oral language may be a cause of difficulties with phonological decoding in ASD (Nation et al., 2006; White et al., 2006) but this hypothesis awaits further investigation.  </w:t>
      </w:r>
    </w:p>
    <w:p w:rsidR="00281766" w:rsidRPr="0046692F" w:rsidRDefault="00281766" w:rsidP="00481AE9">
      <w:pPr>
        <w:pStyle w:val="ListParagraph"/>
        <w:numPr>
          <w:ilvl w:val="1"/>
          <w:numId w:val="5"/>
        </w:numPr>
        <w:spacing w:line="480" w:lineRule="auto"/>
        <w:rPr>
          <w:b/>
        </w:rPr>
      </w:pPr>
      <w:r w:rsidRPr="0046692F">
        <w:rPr>
          <w:b/>
        </w:rPr>
        <w:t xml:space="preserve"> Are individual differences in reading comprehension predicted by the same skills in ASD as in typical development?</w:t>
      </w:r>
    </w:p>
    <w:p w:rsidR="00281766" w:rsidRPr="0046692F" w:rsidRDefault="00281766" w:rsidP="00123A49">
      <w:pPr>
        <w:spacing w:line="480" w:lineRule="auto"/>
        <w:ind w:firstLine="360"/>
      </w:pPr>
      <w:r w:rsidRPr="0046692F">
        <w:t xml:space="preserve">Consistent with previous research (e.g., </w:t>
      </w:r>
      <w:proofErr w:type="spellStart"/>
      <w:r w:rsidRPr="0046692F">
        <w:t>Asberg</w:t>
      </w:r>
      <w:proofErr w:type="spellEnd"/>
      <w:r w:rsidRPr="0046692F">
        <w:t xml:space="preserve"> et al., 2010; Ricketts et al., 2013), individual differences in reading comprehension were strongly correlated with word and text reading accuracy.  In line with the simple view of reading, it is therefore likely that poor decoding skill is among the causes of deficits in reading comprehension in ASD. However, since a substantial number of the children with ASD had impairments in language comprehension as measured by a test of receptive vocabulary, this may be a more significant cause in this population. </w:t>
      </w:r>
    </w:p>
    <w:p w:rsidR="00281766" w:rsidRPr="0046692F" w:rsidRDefault="00281766" w:rsidP="00123A49">
      <w:pPr>
        <w:spacing w:line="480" w:lineRule="auto"/>
        <w:ind w:firstLine="360"/>
      </w:pPr>
      <w:r w:rsidRPr="0046692F">
        <w:t xml:space="preserve">A novel issue addressed by the present study was whether reading comprehension in ASD is constrained by a lack of basic proficiency with phonological decoding. Not only was </w:t>
      </w:r>
      <w:proofErr w:type="spellStart"/>
      <w:r w:rsidRPr="0046692F">
        <w:t>nonword</w:t>
      </w:r>
      <w:proofErr w:type="spellEnd"/>
      <w:r w:rsidRPr="0046692F">
        <w:t xml:space="preserve"> reading poorer in the ASD group than in the TD group, but also for them, it was a significant unique predictor of variance in reading comprehension skill whereas it was not for TD controls</w:t>
      </w:r>
      <w:r w:rsidR="00E10A54">
        <w:t xml:space="preserve"> (see Model 2, Table 3)</w:t>
      </w:r>
      <w:r w:rsidRPr="0046692F">
        <w:t xml:space="preserve">. These findings are intriguing and how to explain </w:t>
      </w:r>
      <w:proofErr w:type="gramStart"/>
      <w:r w:rsidRPr="0046692F">
        <w:t>them</w:t>
      </w:r>
      <w:proofErr w:type="gramEnd"/>
      <w:r w:rsidRPr="0046692F">
        <w:t xml:space="preserve"> remains unclear.  Our speculation is that, unlike typical readers who can use context to decipher unfamiliar words they encounter in text (Nation &amp; </w:t>
      </w:r>
      <w:proofErr w:type="spellStart"/>
      <w:r w:rsidRPr="0046692F">
        <w:t>Snowling</w:t>
      </w:r>
      <w:proofErr w:type="spellEnd"/>
      <w:r w:rsidRPr="0046692F">
        <w:t xml:space="preserve">, 1998), readers with ASD do not use context strategically; if this is true then it would follow that their ability to comprehend would be more closely tied to their decoding ability than is the case for typical </w:t>
      </w:r>
      <w:r w:rsidRPr="0046692F">
        <w:lastRenderedPageBreak/>
        <w:t xml:space="preserve">readers.  As we have seen, </w:t>
      </w:r>
      <w:proofErr w:type="spellStart"/>
      <w:r w:rsidRPr="0046692F">
        <w:t>nonword</w:t>
      </w:r>
      <w:proofErr w:type="spellEnd"/>
      <w:r w:rsidRPr="0046692F">
        <w:t xml:space="preserve"> reading, a measure of pure decoding is often poor, and hence a contributory factor to poor reading comprehension in children with ASD.  </w:t>
      </w:r>
    </w:p>
    <w:p w:rsidR="00281766" w:rsidRDefault="00281766" w:rsidP="00312B46">
      <w:pPr>
        <w:spacing w:line="480" w:lineRule="auto"/>
        <w:ind w:firstLine="720"/>
      </w:pPr>
      <w:r w:rsidRPr="0046692F">
        <w:t>Together, these findings are compatible with the view that oral language comprehension cannot exert its influence on reading automatically and efficiently until children have mastered the basic skills involved in word identification, including phonological decoding (</w:t>
      </w:r>
      <w:proofErr w:type="spellStart"/>
      <w:r w:rsidRPr="0046692F">
        <w:t>Vellutino</w:t>
      </w:r>
      <w:proofErr w:type="spellEnd"/>
      <w:r w:rsidRPr="0046692F">
        <w:t xml:space="preserve"> et al., 2007). When new words are encountered in print, a child with basic word reading skills can attempt to translate its written form (orthography) into its spoken form (phonology) and its meaning can often be inferred using information supplied by the surrounding text (Ricketts, Bishop, </w:t>
      </w:r>
      <w:proofErr w:type="spellStart"/>
      <w:r w:rsidRPr="0046692F">
        <w:t>Pimperton</w:t>
      </w:r>
      <w:proofErr w:type="spellEnd"/>
      <w:r w:rsidRPr="0046692F">
        <w:t xml:space="preserve"> &amp; Nation, 2011). However, when phonological decoding is slow and effortful, and particularly when the use of context does not bootstrap the process, encountering new words in text will inevitably interfere with comprehension (</w:t>
      </w:r>
      <w:proofErr w:type="spellStart"/>
      <w:r w:rsidRPr="0046692F">
        <w:t>Perfetti</w:t>
      </w:r>
      <w:proofErr w:type="spellEnd"/>
      <w:r w:rsidRPr="0046692F">
        <w:t xml:space="preserve">, 1985; </w:t>
      </w:r>
      <w:proofErr w:type="spellStart"/>
      <w:r w:rsidRPr="0046692F">
        <w:t>Perfetti</w:t>
      </w:r>
      <w:proofErr w:type="spellEnd"/>
      <w:r w:rsidRPr="0046692F">
        <w:t xml:space="preserve"> &amp; </w:t>
      </w:r>
      <w:proofErr w:type="spellStart"/>
      <w:r w:rsidRPr="0046692F">
        <w:t>Hogaboam</w:t>
      </w:r>
      <w:proofErr w:type="spellEnd"/>
      <w:r w:rsidRPr="0046692F">
        <w:t>, 1975).  During the process of learning to read it has long been assumed that children learn to modulate top-down (context based) and bottom-up (decoding based) processes in the service of reading comprehension (</w:t>
      </w:r>
      <w:proofErr w:type="spellStart"/>
      <w:r w:rsidRPr="0046692F">
        <w:t>LaBerge</w:t>
      </w:r>
      <w:proofErr w:type="spellEnd"/>
      <w:r w:rsidRPr="0046692F">
        <w:t xml:space="preserve"> &amp; Samuels, 1974), partly as a consequence of gaining proficiency over basic processes but also by a drive to monitor comprehension against a standard of coherence (</w:t>
      </w:r>
      <w:proofErr w:type="spellStart"/>
      <w:r w:rsidRPr="0046692F">
        <w:t>Perfetti</w:t>
      </w:r>
      <w:proofErr w:type="spellEnd"/>
      <w:r w:rsidRPr="0046692F">
        <w:t xml:space="preserve"> et al., 2005). This may not be the case for children and adolescents with ASD who have difficulties in executive control. Consistent with this, it has been shown that while ‘poor </w:t>
      </w:r>
      <w:proofErr w:type="spellStart"/>
      <w:r w:rsidRPr="0046692F">
        <w:t>comprehenders</w:t>
      </w:r>
      <w:proofErr w:type="spellEnd"/>
      <w:r w:rsidRPr="0046692F">
        <w:t xml:space="preserve">’ have difficulty activating vocabulary knowledge on-line (Henderson, </w:t>
      </w:r>
      <w:proofErr w:type="spellStart"/>
      <w:r w:rsidRPr="0046692F">
        <w:t>Snowling</w:t>
      </w:r>
      <w:proofErr w:type="spellEnd"/>
      <w:r w:rsidRPr="0046692F">
        <w:t xml:space="preserve"> &amp; Clarke, 2013), children with ASD are able to activate such  knowledge but have difficulties in maintaining activation of relevant information in order to form a coherent understanding of spoken language (Henderson, Clarke &amp; </w:t>
      </w:r>
      <w:proofErr w:type="spellStart"/>
      <w:r w:rsidRPr="0046692F">
        <w:t>Snowling</w:t>
      </w:r>
      <w:proofErr w:type="spellEnd"/>
      <w:r w:rsidRPr="0046692F">
        <w:t>, 2011).</w:t>
      </w:r>
    </w:p>
    <w:p w:rsidR="00281766" w:rsidRPr="0046692F" w:rsidRDefault="00281766" w:rsidP="00312B46">
      <w:pPr>
        <w:spacing w:line="480" w:lineRule="auto"/>
        <w:ind w:firstLine="720"/>
      </w:pPr>
    </w:p>
    <w:p w:rsidR="00281766" w:rsidRPr="0046692F" w:rsidRDefault="00281766" w:rsidP="00481AE9">
      <w:pPr>
        <w:pStyle w:val="ListParagraph"/>
        <w:numPr>
          <w:ilvl w:val="1"/>
          <w:numId w:val="5"/>
        </w:numPr>
        <w:spacing w:line="480" w:lineRule="auto"/>
        <w:rPr>
          <w:b/>
        </w:rPr>
      </w:pPr>
      <w:r w:rsidRPr="0046692F">
        <w:rPr>
          <w:b/>
        </w:rPr>
        <w:t xml:space="preserve"> Conclusions, implications, and future directions</w:t>
      </w:r>
    </w:p>
    <w:p w:rsidR="00281766" w:rsidRDefault="00281766" w:rsidP="00123A49">
      <w:pPr>
        <w:spacing w:line="480" w:lineRule="auto"/>
        <w:ind w:firstLine="720"/>
      </w:pPr>
      <w:r w:rsidRPr="0046692F">
        <w:lastRenderedPageBreak/>
        <w:t xml:space="preserve">According to </w:t>
      </w:r>
      <w:proofErr w:type="spellStart"/>
      <w:r w:rsidRPr="0046692F">
        <w:t>Towgood</w:t>
      </w:r>
      <w:proofErr w:type="spellEnd"/>
      <w:r w:rsidRPr="0046692F">
        <w:t xml:space="preserve"> et al (2009), variability is the most prominent feature of ASD. The present study has shown that this also applies to patterns of reading ability and suggests that individuals with ASD with concomitant language impairments, coupled</w:t>
      </w:r>
      <w:r>
        <w:t xml:space="preserve"> with the difficulties these children experience with executive control (Henderson et al., 2013)</w:t>
      </w:r>
      <w:r w:rsidRPr="009B49F9">
        <w:t xml:space="preserve"> </w:t>
      </w:r>
      <w:r>
        <w:t>are at risk of</w:t>
      </w:r>
      <w:r w:rsidRPr="009B49F9">
        <w:t xml:space="preserve"> severe difficulties with reading comprehension. Variance in phonological decoding was also a significant predictor of reading comprehension for the ASD group (but not for the TD peers). </w:t>
      </w:r>
      <w:r>
        <w:t>Thus,</w:t>
      </w:r>
      <w:r w:rsidRPr="009B49F9">
        <w:t xml:space="preserve"> relative strengths in word recognition in ASD may mask difficulties with phonological decoding which </w:t>
      </w:r>
      <w:r>
        <w:t>can</w:t>
      </w:r>
      <w:r w:rsidRPr="009B49F9">
        <w:t xml:space="preserve"> constrain the development of reading comprehension. </w:t>
      </w:r>
      <w:r w:rsidRPr="00C6087B">
        <w:t>This</w:t>
      </w:r>
      <w:r>
        <w:t xml:space="preserve"> finding offers a cautionary </w:t>
      </w:r>
      <w:r w:rsidRPr="00C6087B">
        <w:t xml:space="preserve">note for the assessment of reading in this population: reliance on tests of word recognition may overestimate children’s reading competence in other areas, most notably reading comprehension, but also </w:t>
      </w:r>
      <w:r>
        <w:t xml:space="preserve">phonological </w:t>
      </w:r>
      <w:r w:rsidRPr="00C6087B">
        <w:t xml:space="preserve">decoding ability. </w:t>
      </w:r>
      <w:r>
        <w:t xml:space="preserve"> </w:t>
      </w:r>
    </w:p>
    <w:p w:rsidR="00281766" w:rsidRPr="00EF3E7E" w:rsidRDefault="00281766" w:rsidP="00EF3E7E">
      <w:pPr>
        <w:spacing w:line="480" w:lineRule="auto"/>
        <w:ind w:firstLine="720"/>
      </w:pPr>
      <w:r>
        <w:t>A</w:t>
      </w:r>
      <w:r w:rsidRPr="009B49F9">
        <w:t xml:space="preserve"> limitation of the study is that </w:t>
      </w:r>
      <w:r>
        <w:t>it was concurrent and included children widely varying in age and experience. Nonverbal ability was not measured and only one measure of oral language was included; previously documented problems with grammar and syntax (</w:t>
      </w:r>
      <w:proofErr w:type="spellStart"/>
      <w:r>
        <w:t>Eigsti</w:t>
      </w:r>
      <w:proofErr w:type="spellEnd"/>
      <w:r>
        <w:t xml:space="preserve">, </w:t>
      </w:r>
      <w:proofErr w:type="spellStart"/>
      <w:r>
        <w:t>Bennetto</w:t>
      </w:r>
      <w:proofErr w:type="spellEnd"/>
      <w:r>
        <w:t xml:space="preserve">, &amp; </w:t>
      </w:r>
      <w:proofErr w:type="spellStart"/>
      <w:r>
        <w:t>Dadlani</w:t>
      </w:r>
      <w:proofErr w:type="spellEnd"/>
      <w:r>
        <w:t xml:space="preserve">, 2007; Roberts, Mabel, Rice &amp; </w:t>
      </w:r>
      <w:proofErr w:type="spellStart"/>
      <w:r>
        <w:t>Tager-Flusberg</w:t>
      </w:r>
      <w:proofErr w:type="spellEnd"/>
      <w:r>
        <w:t>, 2004) were not investigated.</w:t>
      </w:r>
      <w:r w:rsidRPr="009B49F9">
        <w:t xml:space="preserve"> Future research must take a longitudinal approach to </w:t>
      </w:r>
      <w:r>
        <w:t>investigate the</w:t>
      </w:r>
      <w:r w:rsidRPr="009B49F9">
        <w:t xml:space="preserve"> predictors of </w:t>
      </w:r>
      <w:r>
        <w:t xml:space="preserve">individual differences in </w:t>
      </w:r>
      <w:r w:rsidRPr="009B49F9">
        <w:t xml:space="preserve">reading development </w:t>
      </w:r>
      <w:r>
        <w:t>in order</w:t>
      </w:r>
      <w:r w:rsidRPr="009B49F9">
        <w:t xml:space="preserve"> to identify </w:t>
      </w:r>
      <w:r>
        <w:t xml:space="preserve">the distal and </w:t>
      </w:r>
      <w:r w:rsidRPr="00EF3E7E">
        <w:t xml:space="preserve">proximal causes of problems these children have in reading for meaning. Such research will be a vital step in developing theoretically motivated interventions. </w:t>
      </w:r>
    </w:p>
    <w:p w:rsidR="00281766" w:rsidRDefault="00281766">
      <w:pPr>
        <w:spacing w:after="200" w:line="276" w:lineRule="auto"/>
      </w:pPr>
    </w:p>
    <w:p w:rsidR="00281766" w:rsidRDefault="00281766" w:rsidP="00E7514F">
      <w:proofErr w:type="gramStart"/>
      <w:r>
        <w:t>Received June 29, 2013.</w:t>
      </w:r>
      <w:proofErr w:type="gramEnd"/>
    </w:p>
    <w:p w:rsidR="00281766" w:rsidRDefault="00281766" w:rsidP="00E7514F">
      <w:r>
        <w:t>Revision accepted June 11, 2014.</w:t>
      </w:r>
    </w:p>
    <w:p w:rsidR="00281766" w:rsidRDefault="00281766">
      <w:pPr>
        <w:spacing w:after="200" w:line="276" w:lineRule="auto"/>
      </w:pPr>
      <w:r>
        <w:br w:type="page"/>
      </w:r>
    </w:p>
    <w:p w:rsidR="00281766" w:rsidRPr="0046692F" w:rsidRDefault="00281766" w:rsidP="00EF3E7E">
      <w:pPr>
        <w:spacing w:after="200" w:line="480" w:lineRule="auto"/>
        <w:rPr>
          <w:b/>
        </w:rPr>
      </w:pPr>
      <w:r w:rsidRPr="0046692F">
        <w:rPr>
          <w:b/>
        </w:rPr>
        <w:lastRenderedPageBreak/>
        <w:t>Footnotes</w:t>
      </w:r>
    </w:p>
    <w:p w:rsidR="00281766" w:rsidRPr="00EF3E7E" w:rsidRDefault="00281766" w:rsidP="00EF3E7E">
      <w:pPr>
        <w:spacing w:after="200" w:line="480" w:lineRule="auto"/>
      </w:pPr>
      <w:r w:rsidRPr="00EF3E7E">
        <w:rPr>
          <w:vertAlign w:val="superscript"/>
        </w:rPr>
        <w:t>1</w:t>
      </w:r>
      <w:r w:rsidRPr="00EF3E7E">
        <w:t xml:space="preserve"> </w:t>
      </w:r>
      <w:r>
        <w:t>T</w:t>
      </w:r>
      <w:r w:rsidRPr="00EF3E7E">
        <w:rPr>
          <w:bCs/>
        </w:rPr>
        <w:t>here were two cases where a discrepancy between comprehension and  text reading accuracy was used over a discrepancy between reading comprehension and single word reading accuracy; in both cases there was a 14 standard score discrepancy between word reading accuracy and reading comprehension.</w:t>
      </w:r>
    </w:p>
    <w:p w:rsidR="00281766" w:rsidRPr="00EF3E7E" w:rsidRDefault="00281766" w:rsidP="00EF3E7E">
      <w:pPr>
        <w:spacing w:after="200" w:line="480" w:lineRule="auto"/>
      </w:pPr>
    </w:p>
    <w:p w:rsidR="00281766" w:rsidRDefault="00281766">
      <w:pPr>
        <w:spacing w:after="200" w:line="276" w:lineRule="auto"/>
        <w:rPr>
          <w:b/>
        </w:rPr>
      </w:pPr>
      <w:r>
        <w:rPr>
          <w:b/>
        </w:rPr>
        <w:br w:type="page"/>
      </w:r>
    </w:p>
    <w:p w:rsidR="00281766" w:rsidRPr="00C82E22" w:rsidRDefault="00281766" w:rsidP="00C82E22">
      <w:pPr>
        <w:spacing w:line="480" w:lineRule="auto"/>
        <w:jc w:val="center"/>
      </w:pPr>
      <w:r>
        <w:lastRenderedPageBreak/>
        <w:t>REFERENCES</w:t>
      </w:r>
    </w:p>
    <w:p w:rsidR="00281766" w:rsidRPr="00EF3E7E" w:rsidRDefault="00281766" w:rsidP="00EF3E7E">
      <w:pPr>
        <w:autoSpaceDE w:val="0"/>
        <w:autoSpaceDN w:val="0"/>
        <w:adjustRightInd w:val="0"/>
        <w:spacing w:line="480" w:lineRule="auto"/>
        <w:ind w:left="851" w:hanging="851"/>
        <w:rPr>
          <w:lang w:eastAsia="en-US"/>
        </w:rPr>
      </w:pPr>
      <w:proofErr w:type="spellStart"/>
      <w:r w:rsidRPr="00EF3E7E">
        <w:rPr>
          <w:lang w:eastAsia="en-US"/>
        </w:rPr>
        <w:t>Asberg</w:t>
      </w:r>
      <w:proofErr w:type="spellEnd"/>
      <w:r w:rsidRPr="00EF3E7E">
        <w:rPr>
          <w:lang w:eastAsia="en-US"/>
        </w:rPr>
        <w:t xml:space="preserve">, J., Kopp, S., Berg-Kelly, K., &amp; </w:t>
      </w:r>
      <w:proofErr w:type="spellStart"/>
      <w:r w:rsidRPr="00EF3E7E">
        <w:rPr>
          <w:lang w:eastAsia="en-US"/>
        </w:rPr>
        <w:t>Gillberg</w:t>
      </w:r>
      <w:proofErr w:type="spellEnd"/>
      <w:r w:rsidRPr="00EF3E7E">
        <w:rPr>
          <w:lang w:eastAsia="en-US"/>
        </w:rPr>
        <w:t xml:space="preserve">, C. (2010). Reading comprehension, word decoding and spelling in girls with autism spectrum disorders (ASD) or attention-deficit/hyperactivity disorder (AD/HD): Performance and predictors. </w:t>
      </w:r>
      <w:r w:rsidRPr="00EF3E7E">
        <w:rPr>
          <w:i/>
          <w:lang w:eastAsia="en-US"/>
        </w:rPr>
        <w:t>International Journal of Language &amp; Communication Disorders, 45</w:t>
      </w:r>
      <w:r w:rsidRPr="00EF3E7E">
        <w:rPr>
          <w:lang w:eastAsia="en-US"/>
        </w:rPr>
        <w:t>, 61–71.</w:t>
      </w:r>
    </w:p>
    <w:p w:rsidR="00281766" w:rsidRPr="00EF3E7E" w:rsidRDefault="00281766" w:rsidP="00EF3E7E">
      <w:pPr>
        <w:autoSpaceDE w:val="0"/>
        <w:autoSpaceDN w:val="0"/>
        <w:adjustRightInd w:val="0"/>
        <w:spacing w:line="480" w:lineRule="auto"/>
        <w:ind w:left="851" w:hanging="851"/>
      </w:pPr>
      <w:proofErr w:type="spellStart"/>
      <w:proofErr w:type="gramStart"/>
      <w:r w:rsidRPr="00EF3E7E">
        <w:t>Berument</w:t>
      </w:r>
      <w:proofErr w:type="spellEnd"/>
      <w:r w:rsidRPr="00EF3E7E">
        <w:t>, S.K., Rutter, M., Lord, C., Pickles, A., &amp; Bailey, A. (1999).</w:t>
      </w:r>
      <w:proofErr w:type="gramEnd"/>
      <w:r w:rsidRPr="00EF3E7E">
        <w:t xml:space="preserve"> Autism screening questionnaire: diagnostic validity. </w:t>
      </w:r>
      <w:r w:rsidRPr="00EF3E7E">
        <w:rPr>
          <w:i/>
        </w:rPr>
        <w:t>British Journal of Psychiatry, 175</w:t>
      </w:r>
      <w:r w:rsidRPr="00EF3E7E">
        <w:t>, 444-451.</w:t>
      </w:r>
    </w:p>
    <w:p w:rsidR="00281766" w:rsidRPr="009B49F9" w:rsidRDefault="00281766" w:rsidP="00EF3E7E">
      <w:pPr>
        <w:autoSpaceDE w:val="0"/>
        <w:autoSpaceDN w:val="0"/>
        <w:adjustRightInd w:val="0"/>
        <w:spacing w:line="480" w:lineRule="auto"/>
        <w:ind w:left="851" w:hanging="851"/>
        <w:rPr>
          <w:lang w:eastAsia="en-US"/>
        </w:rPr>
      </w:pPr>
      <w:proofErr w:type="gramStart"/>
      <w:r w:rsidRPr="00EF3E7E">
        <w:rPr>
          <w:lang w:eastAsia="en-US"/>
        </w:rPr>
        <w:t>Brock, J. (2011).</w:t>
      </w:r>
      <w:proofErr w:type="gramEnd"/>
      <w:r w:rsidRPr="00EF3E7E">
        <w:rPr>
          <w:lang w:eastAsia="en-US"/>
        </w:rPr>
        <w:t xml:space="preserve"> Commentary</w:t>
      </w:r>
      <w:r w:rsidRPr="009B49F9">
        <w:rPr>
          <w:lang w:eastAsia="en-US"/>
        </w:rPr>
        <w:t xml:space="preserve">: Complementary approaches to the developmental cognitive neuroscience of autism—reflections on </w:t>
      </w:r>
      <w:proofErr w:type="spellStart"/>
      <w:r w:rsidRPr="009B49F9">
        <w:rPr>
          <w:lang w:eastAsia="en-US"/>
        </w:rPr>
        <w:t>Pelphrey</w:t>
      </w:r>
      <w:proofErr w:type="spellEnd"/>
      <w:r w:rsidRPr="009B49F9">
        <w:rPr>
          <w:lang w:eastAsia="en-US"/>
        </w:rPr>
        <w:t xml:space="preserve"> et al. (2011). </w:t>
      </w:r>
      <w:r w:rsidRPr="009B49F9">
        <w:rPr>
          <w:i/>
          <w:lang w:eastAsia="en-US"/>
        </w:rPr>
        <w:t>Journal of Child Psychology and Psychiatry, 52</w:t>
      </w:r>
      <w:r w:rsidRPr="009B49F9">
        <w:rPr>
          <w:lang w:eastAsia="en-US"/>
        </w:rPr>
        <w:t>, 645–646.</w:t>
      </w:r>
    </w:p>
    <w:p w:rsidR="00281766" w:rsidRPr="009B49F9" w:rsidRDefault="00281766" w:rsidP="00123A49">
      <w:pPr>
        <w:autoSpaceDE w:val="0"/>
        <w:autoSpaceDN w:val="0"/>
        <w:adjustRightInd w:val="0"/>
        <w:spacing w:line="480" w:lineRule="auto"/>
        <w:ind w:left="851" w:hanging="851"/>
      </w:pPr>
      <w:proofErr w:type="gramStart"/>
      <w:r>
        <w:t xml:space="preserve">Brown, H. M., </w:t>
      </w:r>
      <w:proofErr w:type="spellStart"/>
      <w:r>
        <w:t>Oram-Cardy</w:t>
      </w:r>
      <w:proofErr w:type="spellEnd"/>
      <w:r>
        <w:t>, J.,</w:t>
      </w:r>
      <w:r w:rsidRPr="009B49F9">
        <w:t xml:space="preserve"> </w:t>
      </w:r>
      <w:r>
        <w:t xml:space="preserve">&amp; </w:t>
      </w:r>
      <w:r w:rsidRPr="009B49F9">
        <w:t>Johnson, A. (2013).</w:t>
      </w:r>
      <w:proofErr w:type="gramEnd"/>
      <w:r w:rsidRPr="009B49F9">
        <w:t xml:space="preserve"> </w:t>
      </w:r>
      <w:hyperlink r:id="rId11" w:tgtFrame="_blank" w:history="1">
        <w:proofErr w:type="gramStart"/>
        <w:r>
          <w:rPr>
            <w:rStyle w:val="Hyperlink"/>
            <w:color w:val="auto"/>
            <w:u w:val="none"/>
          </w:rPr>
          <w:t>A meta-analysis of the reading comprehension skills of individuals on the autism s</w:t>
        </w:r>
        <w:r w:rsidRPr="009B49F9">
          <w:rPr>
            <w:rStyle w:val="Hyperlink"/>
            <w:color w:val="auto"/>
            <w:u w:val="none"/>
          </w:rPr>
          <w:t>pectrum</w:t>
        </w:r>
      </w:hyperlink>
      <w:r w:rsidRPr="009B49F9">
        <w:t>.</w:t>
      </w:r>
      <w:proofErr w:type="gramEnd"/>
      <w:r w:rsidRPr="009B49F9">
        <w:t xml:space="preserve"> </w:t>
      </w:r>
      <w:r w:rsidRPr="009B49F9">
        <w:rPr>
          <w:i/>
        </w:rPr>
        <w:t>Journal of Autism and Developmental Disorders, 43</w:t>
      </w:r>
      <w:r w:rsidRPr="009B49F9">
        <w:t>, 932-955.</w:t>
      </w:r>
    </w:p>
    <w:p w:rsidR="00281766" w:rsidRPr="009B49F9" w:rsidRDefault="00281766" w:rsidP="00123A49">
      <w:pPr>
        <w:autoSpaceDE w:val="0"/>
        <w:autoSpaceDN w:val="0"/>
        <w:adjustRightInd w:val="0"/>
        <w:spacing w:line="480" w:lineRule="auto"/>
        <w:ind w:left="851" w:hanging="851"/>
        <w:rPr>
          <w:lang w:eastAsia="en-US"/>
        </w:rPr>
      </w:pPr>
      <w:proofErr w:type="gramStart"/>
      <w:r w:rsidRPr="009B49F9">
        <w:rPr>
          <w:lang w:eastAsia="en-US"/>
        </w:rPr>
        <w:t>Bishop, D. V. M.</w:t>
      </w:r>
      <w:r>
        <w:rPr>
          <w:lang w:eastAsia="en-US"/>
        </w:rPr>
        <w:t>,</w:t>
      </w:r>
      <w:r w:rsidRPr="009B49F9">
        <w:rPr>
          <w:lang w:eastAsia="en-US"/>
        </w:rPr>
        <w:t xml:space="preserve"> &amp; </w:t>
      </w:r>
      <w:proofErr w:type="spellStart"/>
      <w:r w:rsidRPr="009B49F9">
        <w:rPr>
          <w:lang w:eastAsia="en-US"/>
        </w:rPr>
        <w:t>Snowling</w:t>
      </w:r>
      <w:proofErr w:type="spellEnd"/>
      <w:r w:rsidRPr="009B49F9">
        <w:rPr>
          <w:lang w:eastAsia="en-US"/>
        </w:rPr>
        <w:t>, M. J. (2004) Developmental dyslexia and specific language impairment same or different?</w:t>
      </w:r>
      <w:proofErr w:type="gramEnd"/>
      <w:r w:rsidRPr="009B49F9">
        <w:rPr>
          <w:lang w:eastAsia="en-US"/>
        </w:rPr>
        <w:t xml:space="preserve"> </w:t>
      </w:r>
      <w:r w:rsidRPr="009B49F9">
        <w:rPr>
          <w:i/>
          <w:iCs/>
          <w:lang w:eastAsia="en-US"/>
        </w:rPr>
        <w:t xml:space="preserve">Psychological Bulletin, </w:t>
      </w:r>
      <w:r w:rsidRPr="009B49F9">
        <w:rPr>
          <w:i/>
          <w:lang w:eastAsia="en-US"/>
        </w:rPr>
        <w:t>130</w:t>
      </w:r>
      <w:r w:rsidRPr="009B49F9">
        <w:rPr>
          <w:lang w:eastAsia="en-US"/>
        </w:rPr>
        <w:t>, 858–886.</w:t>
      </w:r>
    </w:p>
    <w:p w:rsidR="00281766" w:rsidRPr="009B49F9" w:rsidRDefault="00281766" w:rsidP="00123A49">
      <w:pPr>
        <w:autoSpaceDE w:val="0"/>
        <w:autoSpaceDN w:val="0"/>
        <w:adjustRightInd w:val="0"/>
        <w:spacing w:line="480" w:lineRule="auto"/>
        <w:ind w:left="851" w:hanging="851"/>
        <w:rPr>
          <w:lang w:eastAsia="en-US"/>
        </w:rPr>
      </w:pPr>
      <w:r w:rsidRPr="009B49F9">
        <w:rPr>
          <w:lang w:eastAsia="en-US"/>
        </w:rPr>
        <w:t xml:space="preserve">Cain, K. (2010). </w:t>
      </w:r>
      <w:proofErr w:type="gramStart"/>
      <w:r w:rsidRPr="009B49F9">
        <w:rPr>
          <w:i/>
          <w:lang w:eastAsia="en-US"/>
        </w:rPr>
        <w:t>Reading development and difficulties</w:t>
      </w:r>
      <w:r w:rsidRPr="009B49F9">
        <w:rPr>
          <w:lang w:eastAsia="en-US"/>
        </w:rPr>
        <w:t>.</w:t>
      </w:r>
      <w:proofErr w:type="gramEnd"/>
      <w:r w:rsidRPr="009B49F9">
        <w:rPr>
          <w:lang w:eastAsia="en-US"/>
        </w:rPr>
        <w:t xml:space="preserve"> Oxford: Wiley-Blackwell.</w:t>
      </w:r>
    </w:p>
    <w:p w:rsidR="00281766" w:rsidRPr="009B49F9" w:rsidRDefault="00281766" w:rsidP="00123A49">
      <w:pPr>
        <w:autoSpaceDE w:val="0"/>
        <w:autoSpaceDN w:val="0"/>
        <w:adjustRightInd w:val="0"/>
        <w:spacing w:line="480" w:lineRule="auto"/>
        <w:ind w:left="851" w:hanging="851"/>
        <w:rPr>
          <w:lang w:eastAsia="en-US"/>
        </w:rPr>
      </w:pPr>
      <w:proofErr w:type="spellStart"/>
      <w:r w:rsidRPr="009B49F9">
        <w:rPr>
          <w:lang w:eastAsia="en-US"/>
        </w:rPr>
        <w:t>Catts</w:t>
      </w:r>
      <w:proofErr w:type="spellEnd"/>
      <w:r w:rsidRPr="009B49F9">
        <w:rPr>
          <w:lang w:eastAsia="en-US"/>
        </w:rPr>
        <w:t>, H. W.</w:t>
      </w:r>
      <w:proofErr w:type="gramStart"/>
      <w:r w:rsidRPr="009B49F9">
        <w:rPr>
          <w:lang w:eastAsia="en-US"/>
        </w:rPr>
        <w:t>,</w:t>
      </w:r>
      <w:proofErr w:type="spellStart"/>
      <w:r w:rsidRPr="009B49F9">
        <w:rPr>
          <w:lang w:eastAsia="en-US"/>
        </w:rPr>
        <w:t>Adlof</w:t>
      </w:r>
      <w:proofErr w:type="spellEnd"/>
      <w:proofErr w:type="gramEnd"/>
      <w:r w:rsidRPr="009B49F9">
        <w:rPr>
          <w:lang w:eastAsia="en-US"/>
        </w:rPr>
        <w:t>, S.</w:t>
      </w:r>
      <w:r>
        <w:rPr>
          <w:lang w:eastAsia="en-US"/>
        </w:rPr>
        <w:t xml:space="preserve"> </w:t>
      </w:r>
      <w:r w:rsidRPr="009B49F9">
        <w:rPr>
          <w:lang w:eastAsia="en-US"/>
        </w:rPr>
        <w:t>M.,</w:t>
      </w:r>
      <w:r>
        <w:rPr>
          <w:lang w:eastAsia="en-US"/>
        </w:rPr>
        <w:t xml:space="preserve"> </w:t>
      </w:r>
      <w:r w:rsidRPr="009B49F9">
        <w:rPr>
          <w:lang w:eastAsia="en-US"/>
        </w:rPr>
        <w:t>&amp;</w:t>
      </w:r>
      <w:r>
        <w:rPr>
          <w:lang w:eastAsia="en-US"/>
        </w:rPr>
        <w:t xml:space="preserve"> </w:t>
      </w:r>
      <w:proofErr w:type="spellStart"/>
      <w:r w:rsidRPr="009B49F9">
        <w:rPr>
          <w:lang w:eastAsia="en-US"/>
        </w:rPr>
        <w:t>Weismer</w:t>
      </w:r>
      <w:proofErr w:type="spellEnd"/>
      <w:r w:rsidRPr="009B49F9">
        <w:rPr>
          <w:lang w:eastAsia="en-US"/>
        </w:rPr>
        <w:t xml:space="preserve">, S. E. (2006). Language deficits in poor </w:t>
      </w:r>
      <w:proofErr w:type="spellStart"/>
      <w:r w:rsidRPr="009B49F9">
        <w:rPr>
          <w:lang w:eastAsia="en-US"/>
        </w:rPr>
        <w:t>comprehenders</w:t>
      </w:r>
      <w:proofErr w:type="gramStart"/>
      <w:r w:rsidRPr="009B49F9">
        <w:rPr>
          <w:lang w:eastAsia="en-US"/>
        </w:rPr>
        <w:t>:Acase</w:t>
      </w:r>
      <w:proofErr w:type="spellEnd"/>
      <w:proofErr w:type="gramEnd"/>
      <w:r w:rsidRPr="009B49F9">
        <w:rPr>
          <w:lang w:eastAsia="en-US"/>
        </w:rPr>
        <w:t xml:space="preserve"> for the simple view of reading. </w:t>
      </w:r>
      <w:r w:rsidRPr="009B49F9">
        <w:rPr>
          <w:i/>
          <w:lang w:eastAsia="en-US"/>
        </w:rPr>
        <w:t>Journal of Speech, Language, and Hearing Research, 49</w:t>
      </w:r>
      <w:r w:rsidRPr="009B49F9">
        <w:rPr>
          <w:lang w:eastAsia="en-US"/>
        </w:rPr>
        <w:t>, 278–293.</w:t>
      </w:r>
    </w:p>
    <w:p w:rsidR="00281766" w:rsidRPr="009B49F9" w:rsidRDefault="00281766" w:rsidP="00123A49">
      <w:pPr>
        <w:autoSpaceDE w:val="0"/>
        <w:autoSpaceDN w:val="0"/>
        <w:adjustRightInd w:val="0"/>
        <w:spacing w:line="480" w:lineRule="auto"/>
        <w:ind w:left="851" w:hanging="851"/>
        <w:rPr>
          <w:lang w:eastAsia="en-US"/>
        </w:rPr>
      </w:pPr>
      <w:proofErr w:type="gramStart"/>
      <w:r w:rsidRPr="009B49F9">
        <w:rPr>
          <w:lang w:eastAsia="en-US"/>
        </w:rPr>
        <w:t xml:space="preserve">Chen, R. S., &amp; </w:t>
      </w:r>
      <w:proofErr w:type="spellStart"/>
      <w:r w:rsidRPr="009B49F9">
        <w:rPr>
          <w:lang w:eastAsia="en-US"/>
        </w:rPr>
        <w:t>Vellutino</w:t>
      </w:r>
      <w:proofErr w:type="spellEnd"/>
      <w:r w:rsidRPr="009B49F9">
        <w:rPr>
          <w:lang w:eastAsia="en-US"/>
        </w:rPr>
        <w:t>, F. R. (1997).</w:t>
      </w:r>
      <w:proofErr w:type="gramEnd"/>
      <w:r w:rsidRPr="009B49F9">
        <w:rPr>
          <w:lang w:eastAsia="en-US"/>
        </w:rPr>
        <w:t xml:space="preserve"> Prediction of reading ability: A cross-validation study of the simple view of reading. </w:t>
      </w:r>
      <w:r w:rsidRPr="009B49F9">
        <w:rPr>
          <w:i/>
          <w:lang w:eastAsia="en-US"/>
        </w:rPr>
        <w:t>Journal of Literacy Research, 29</w:t>
      </w:r>
      <w:r w:rsidRPr="009B49F9">
        <w:rPr>
          <w:lang w:eastAsia="en-US"/>
        </w:rPr>
        <w:t>, 1–24.</w:t>
      </w:r>
    </w:p>
    <w:p w:rsidR="00281766" w:rsidRPr="009B49F9" w:rsidRDefault="00281766" w:rsidP="00123A49">
      <w:pPr>
        <w:autoSpaceDE w:val="0"/>
        <w:autoSpaceDN w:val="0"/>
        <w:adjustRightInd w:val="0"/>
        <w:spacing w:line="480" w:lineRule="auto"/>
        <w:ind w:left="851" w:hanging="851"/>
        <w:rPr>
          <w:lang w:eastAsia="en-US"/>
        </w:rPr>
      </w:pPr>
      <w:proofErr w:type="gramStart"/>
      <w:r w:rsidRPr="009B49F9">
        <w:rPr>
          <w:lang w:eastAsia="en-US"/>
        </w:rPr>
        <w:t>Cutting, L. E., &amp; Scarborough, H. S. (2006).</w:t>
      </w:r>
      <w:proofErr w:type="gramEnd"/>
      <w:r w:rsidRPr="009B49F9">
        <w:rPr>
          <w:lang w:eastAsia="en-US"/>
        </w:rPr>
        <w:t xml:space="preserve"> Prediction of reading comprehension: Relative contributions of word recognition, language proficiency, and other cognitive skills can depend on how comprehension is measured. </w:t>
      </w:r>
      <w:r w:rsidRPr="009B49F9">
        <w:rPr>
          <w:i/>
          <w:lang w:eastAsia="en-US"/>
        </w:rPr>
        <w:t>Scientific Studies of Reading, 10</w:t>
      </w:r>
      <w:r w:rsidRPr="009B49F9">
        <w:rPr>
          <w:lang w:eastAsia="en-US"/>
        </w:rPr>
        <w:t>, 277–299.</w:t>
      </w:r>
    </w:p>
    <w:p w:rsidR="00281766" w:rsidRPr="006C3CCC" w:rsidRDefault="00281766" w:rsidP="006C3CCC">
      <w:pPr>
        <w:spacing w:line="480" w:lineRule="auto"/>
        <w:ind w:left="851" w:hanging="851"/>
      </w:pPr>
      <w:proofErr w:type="gramStart"/>
      <w:r w:rsidRPr="006C3CCC">
        <w:lastRenderedPageBreak/>
        <w:t>Dunn, L.</w:t>
      </w:r>
      <w:r>
        <w:t xml:space="preserve"> </w:t>
      </w:r>
      <w:r w:rsidRPr="006C3CCC">
        <w:t>M., Dunn, L.</w:t>
      </w:r>
      <w:r>
        <w:t xml:space="preserve"> </w:t>
      </w:r>
      <w:r w:rsidRPr="006C3CCC">
        <w:t xml:space="preserve">M., </w:t>
      </w:r>
      <w:proofErr w:type="spellStart"/>
      <w:r w:rsidRPr="006C3CCC">
        <w:t>Whetton</w:t>
      </w:r>
      <w:proofErr w:type="spellEnd"/>
      <w:r w:rsidRPr="006C3CCC">
        <w:t>, C., &amp; Burley, J. (1997).</w:t>
      </w:r>
      <w:proofErr w:type="gramEnd"/>
      <w:r w:rsidRPr="006C3CCC">
        <w:t xml:space="preserve"> </w:t>
      </w:r>
      <w:r w:rsidRPr="006C3CCC">
        <w:rPr>
          <w:i/>
        </w:rPr>
        <w:t>The British picture vocabulary scale-II</w:t>
      </w:r>
      <w:r w:rsidRPr="006C3CCC">
        <w:t>. Windsor, UK: NFER-Nelson.</w:t>
      </w:r>
    </w:p>
    <w:p w:rsidR="00281766" w:rsidRPr="006C3CCC" w:rsidRDefault="00281766" w:rsidP="006C3CCC">
      <w:pPr>
        <w:spacing w:line="480" w:lineRule="auto"/>
        <w:ind w:left="851" w:hanging="851"/>
      </w:pPr>
      <w:proofErr w:type="spellStart"/>
      <w:proofErr w:type="gramStart"/>
      <w:r w:rsidRPr="006C3CCC">
        <w:rPr>
          <w:bCs/>
          <w:lang w:val="en-US"/>
        </w:rPr>
        <w:t>Eigsti</w:t>
      </w:r>
      <w:proofErr w:type="spellEnd"/>
      <w:r w:rsidRPr="006C3CCC">
        <w:rPr>
          <w:bCs/>
          <w:lang w:val="en-US"/>
        </w:rPr>
        <w:t xml:space="preserve">, I-M., </w:t>
      </w:r>
      <w:proofErr w:type="spellStart"/>
      <w:r w:rsidRPr="006C3CCC">
        <w:rPr>
          <w:bCs/>
          <w:lang w:val="en-US"/>
        </w:rPr>
        <w:t>Bennetto</w:t>
      </w:r>
      <w:proofErr w:type="spellEnd"/>
      <w:r w:rsidRPr="006C3CCC">
        <w:rPr>
          <w:bCs/>
          <w:lang w:val="en-US"/>
        </w:rPr>
        <w:t xml:space="preserve">, L., &amp; </w:t>
      </w:r>
      <w:proofErr w:type="spellStart"/>
      <w:r w:rsidRPr="006C3CCC">
        <w:rPr>
          <w:bCs/>
          <w:lang w:val="en-US"/>
        </w:rPr>
        <w:t>Dadlani</w:t>
      </w:r>
      <w:proofErr w:type="spellEnd"/>
      <w:r w:rsidRPr="006C3CCC">
        <w:rPr>
          <w:bCs/>
          <w:lang w:val="en-US"/>
        </w:rPr>
        <w:t>, M.</w:t>
      </w:r>
      <w:r>
        <w:rPr>
          <w:bCs/>
          <w:lang w:val="en-US"/>
        </w:rPr>
        <w:t xml:space="preserve"> </w:t>
      </w:r>
      <w:r w:rsidRPr="006C3CCC">
        <w:rPr>
          <w:bCs/>
          <w:lang w:val="en-US"/>
        </w:rPr>
        <w:t>B. (2007).</w:t>
      </w:r>
      <w:proofErr w:type="gramEnd"/>
      <w:r w:rsidRPr="006C3CCC">
        <w:rPr>
          <w:bCs/>
          <w:lang w:val="en-US"/>
        </w:rPr>
        <w:t xml:space="preserve"> Beyond pragmatics:</w:t>
      </w:r>
      <w:r w:rsidRPr="006C3CCC">
        <w:t xml:space="preserve"> Mo</w:t>
      </w:r>
      <w:proofErr w:type="spellStart"/>
      <w:r w:rsidRPr="006C3CCC">
        <w:rPr>
          <w:bCs/>
          <w:lang w:val="en-US"/>
        </w:rPr>
        <w:t>rphosyntactic</w:t>
      </w:r>
      <w:proofErr w:type="spellEnd"/>
      <w:r w:rsidRPr="006C3CCC">
        <w:rPr>
          <w:bCs/>
          <w:lang w:val="en-US"/>
        </w:rPr>
        <w:t xml:space="preserve"> development in autism. </w:t>
      </w:r>
      <w:r w:rsidRPr="006C3CCC">
        <w:rPr>
          <w:bCs/>
          <w:i/>
          <w:lang w:val="en-US"/>
        </w:rPr>
        <w:t>Journal of Autism and Developmental</w:t>
      </w:r>
      <w:r w:rsidRPr="006C3CCC">
        <w:rPr>
          <w:i/>
        </w:rPr>
        <w:t xml:space="preserve"> </w:t>
      </w:r>
      <w:r w:rsidRPr="006C3CCC">
        <w:rPr>
          <w:bCs/>
          <w:i/>
          <w:lang w:val="en-US"/>
        </w:rPr>
        <w:t>Disorders, 37</w:t>
      </w:r>
      <w:r w:rsidRPr="006C3CCC">
        <w:rPr>
          <w:bCs/>
          <w:lang w:val="en-US"/>
        </w:rPr>
        <w:t>, 1007-1023.</w:t>
      </w:r>
    </w:p>
    <w:p w:rsidR="00281766" w:rsidRPr="006C3CCC" w:rsidRDefault="00281766" w:rsidP="00123A49">
      <w:pPr>
        <w:spacing w:line="480" w:lineRule="auto"/>
        <w:ind w:left="851" w:hanging="851"/>
      </w:pPr>
      <w:proofErr w:type="gramStart"/>
      <w:r w:rsidRPr="006C3CCC">
        <w:t>Elliot, C.</w:t>
      </w:r>
      <w:r>
        <w:t xml:space="preserve"> </w:t>
      </w:r>
      <w:r w:rsidRPr="006C3CCC">
        <w:t>D., Smith, P., &amp; McCulloch, K. (1996).</w:t>
      </w:r>
      <w:proofErr w:type="gramEnd"/>
      <w:r w:rsidRPr="006C3CCC">
        <w:t xml:space="preserve"> </w:t>
      </w:r>
      <w:r w:rsidRPr="006C3CCC">
        <w:rPr>
          <w:i/>
        </w:rPr>
        <w:t>British ability scales (2</w:t>
      </w:r>
      <w:r w:rsidRPr="006C3CCC">
        <w:rPr>
          <w:i/>
          <w:vertAlign w:val="superscript"/>
        </w:rPr>
        <w:t>nd</w:t>
      </w:r>
      <w:r w:rsidRPr="006C3CCC">
        <w:rPr>
          <w:i/>
        </w:rPr>
        <w:t xml:space="preserve"> </w:t>
      </w:r>
      <w:proofErr w:type="gramStart"/>
      <w:r w:rsidRPr="006C3CCC">
        <w:rPr>
          <w:i/>
        </w:rPr>
        <w:t>ed</w:t>
      </w:r>
      <w:proofErr w:type="gramEnd"/>
      <w:r w:rsidRPr="006C3CCC">
        <w:rPr>
          <w:i/>
        </w:rPr>
        <w:t>.)</w:t>
      </w:r>
      <w:r w:rsidRPr="006C3CCC">
        <w:t xml:space="preserve">. Windsor, UK: NFER. </w:t>
      </w:r>
    </w:p>
    <w:p w:rsidR="00281766" w:rsidRPr="009B49F9" w:rsidRDefault="00281766" w:rsidP="00123A49">
      <w:pPr>
        <w:autoSpaceDE w:val="0"/>
        <w:autoSpaceDN w:val="0"/>
        <w:adjustRightInd w:val="0"/>
        <w:spacing w:line="480" w:lineRule="auto"/>
        <w:ind w:left="851" w:hanging="851"/>
        <w:rPr>
          <w:lang w:eastAsia="en-US"/>
        </w:rPr>
      </w:pPr>
      <w:proofErr w:type="gramStart"/>
      <w:r w:rsidRPr="009B49F9">
        <w:rPr>
          <w:lang w:eastAsia="en-US"/>
        </w:rPr>
        <w:t xml:space="preserve">Gough, P. B., &amp; </w:t>
      </w:r>
      <w:proofErr w:type="spellStart"/>
      <w:r w:rsidRPr="009B49F9">
        <w:rPr>
          <w:lang w:eastAsia="en-US"/>
        </w:rPr>
        <w:t>Tunmer</w:t>
      </w:r>
      <w:proofErr w:type="spellEnd"/>
      <w:r w:rsidRPr="009B49F9">
        <w:rPr>
          <w:lang w:eastAsia="en-US"/>
        </w:rPr>
        <w:t>, W. E. (1986).</w:t>
      </w:r>
      <w:proofErr w:type="gramEnd"/>
      <w:r w:rsidRPr="009B49F9">
        <w:rPr>
          <w:lang w:eastAsia="en-US"/>
        </w:rPr>
        <w:t xml:space="preserve"> </w:t>
      </w:r>
      <w:proofErr w:type="gramStart"/>
      <w:r w:rsidRPr="009B49F9">
        <w:rPr>
          <w:lang w:eastAsia="en-US"/>
        </w:rPr>
        <w:t>Decoding, reading, and reading disability.</w:t>
      </w:r>
      <w:proofErr w:type="gramEnd"/>
      <w:r w:rsidRPr="009B49F9">
        <w:rPr>
          <w:lang w:eastAsia="en-US"/>
        </w:rPr>
        <w:t xml:space="preserve"> </w:t>
      </w:r>
      <w:r w:rsidRPr="009B49F9">
        <w:rPr>
          <w:i/>
          <w:lang w:eastAsia="en-US"/>
        </w:rPr>
        <w:t>Remedial and Special Education, 7</w:t>
      </w:r>
      <w:r w:rsidRPr="009B49F9">
        <w:rPr>
          <w:lang w:eastAsia="en-US"/>
        </w:rPr>
        <w:t>, 6–10.</w:t>
      </w:r>
      <w:r w:rsidRPr="009B49F9">
        <w:t xml:space="preserve"> </w:t>
      </w:r>
    </w:p>
    <w:p w:rsidR="00281766" w:rsidRPr="009B49F9" w:rsidRDefault="00281766" w:rsidP="00123A49">
      <w:pPr>
        <w:spacing w:line="480" w:lineRule="auto"/>
        <w:ind w:left="851" w:hanging="851"/>
      </w:pPr>
      <w:proofErr w:type="gramStart"/>
      <w:r w:rsidRPr="009B49F9">
        <w:t>Frith, U.</w:t>
      </w:r>
      <w:r>
        <w:t>,</w:t>
      </w:r>
      <w:r w:rsidRPr="009B49F9">
        <w:t xml:space="preserve"> &amp; </w:t>
      </w:r>
      <w:proofErr w:type="spellStart"/>
      <w:r w:rsidRPr="009B49F9">
        <w:t>Snowling</w:t>
      </w:r>
      <w:proofErr w:type="spellEnd"/>
      <w:r w:rsidRPr="009B49F9">
        <w:t>, M. (1983).</w:t>
      </w:r>
      <w:proofErr w:type="gramEnd"/>
      <w:r w:rsidRPr="009B49F9">
        <w:t xml:space="preserve"> Reading for meaning and reading for sound in autistic and dyslexic children. </w:t>
      </w:r>
      <w:proofErr w:type="gramStart"/>
      <w:r w:rsidRPr="009B49F9">
        <w:rPr>
          <w:i/>
        </w:rPr>
        <w:t>Journal of Developmental Psychology, 1</w:t>
      </w:r>
      <w:r w:rsidRPr="009B49F9">
        <w:t>, 329, 342.</w:t>
      </w:r>
      <w:proofErr w:type="gramEnd"/>
      <w:r w:rsidRPr="009B49F9">
        <w:t xml:space="preserve"> </w:t>
      </w:r>
    </w:p>
    <w:p w:rsidR="00281766" w:rsidRPr="009B49F9" w:rsidRDefault="00281766" w:rsidP="00123A49">
      <w:pPr>
        <w:autoSpaceDE w:val="0"/>
        <w:autoSpaceDN w:val="0"/>
        <w:adjustRightInd w:val="0"/>
        <w:spacing w:line="480" w:lineRule="auto"/>
        <w:ind w:left="851" w:hanging="851"/>
        <w:rPr>
          <w:lang w:eastAsia="en-US"/>
        </w:rPr>
      </w:pPr>
      <w:proofErr w:type="spellStart"/>
      <w:proofErr w:type="gramStart"/>
      <w:r w:rsidRPr="009B49F9">
        <w:rPr>
          <w:lang w:eastAsia="en-US"/>
        </w:rPr>
        <w:t>Harlaar</w:t>
      </w:r>
      <w:proofErr w:type="spellEnd"/>
      <w:r w:rsidRPr="009B49F9">
        <w:rPr>
          <w:lang w:eastAsia="en-US"/>
        </w:rPr>
        <w:t xml:space="preserve">, N., Cutting, L., </w:t>
      </w:r>
      <w:proofErr w:type="spellStart"/>
      <w:r w:rsidRPr="009B49F9">
        <w:rPr>
          <w:lang w:eastAsia="en-US"/>
        </w:rPr>
        <w:t>Deater</w:t>
      </w:r>
      <w:proofErr w:type="spellEnd"/>
      <w:r w:rsidRPr="009B49F9">
        <w:rPr>
          <w:lang w:eastAsia="en-US"/>
        </w:rPr>
        <w:t xml:space="preserve">-Deckard, K., </w:t>
      </w:r>
      <w:proofErr w:type="spellStart"/>
      <w:r w:rsidRPr="009B49F9">
        <w:rPr>
          <w:lang w:eastAsia="en-US"/>
        </w:rPr>
        <w:t>DeThorne</w:t>
      </w:r>
      <w:proofErr w:type="spellEnd"/>
      <w:r w:rsidRPr="009B49F9">
        <w:rPr>
          <w:lang w:eastAsia="en-US"/>
        </w:rPr>
        <w:t xml:space="preserve">, L. S., Justice, L. M., </w:t>
      </w:r>
      <w:proofErr w:type="spellStart"/>
      <w:r w:rsidRPr="009B49F9">
        <w:rPr>
          <w:lang w:eastAsia="en-US"/>
        </w:rPr>
        <w:t>Schatschneider</w:t>
      </w:r>
      <w:proofErr w:type="spellEnd"/>
      <w:r w:rsidRPr="009B49F9">
        <w:rPr>
          <w:lang w:eastAsia="en-US"/>
        </w:rPr>
        <w:t>, C., et al. (2010).</w:t>
      </w:r>
      <w:proofErr w:type="gramEnd"/>
      <w:r w:rsidRPr="009B49F9">
        <w:rPr>
          <w:lang w:eastAsia="en-US"/>
        </w:rPr>
        <w:t xml:space="preserve"> </w:t>
      </w:r>
      <w:proofErr w:type="gramStart"/>
      <w:r w:rsidRPr="009B49F9">
        <w:rPr>
          <w:lang w:eastAsia="en-US"/>
        </w:rPr>
        <w:t>Predicting individual differences in reading comprehension: A twin study.</w:t>
      </w:r>
      <w:proofErr w:type="gramEnd"/>
      <w:r w:rsidRPr="009B49F9">
        <w:rPr>
          <w:lang w:eastAsia="en-US"/>
        </w:rPr>
        <w:t xml:space="preserve"> </w:t>
      </w:r>
      <w:r w:rsidRPr="009B49F9">
        <w:rPr>
          <w:i/>
          <w:lang w:eastAsia="en-US"/>
        </w:rPr>
        <w:t>Annals of Dyslexia, 60</w:t>
      </w:r>
      <w:r w:rsidRPr="009B49F9">
        <w:rPr>
          <w:lang w:eastAsia="en-US"/>
        </w:rPr>
        <w:t>, 265–288.</w:t>
      </w:r>
    </w:p>
    <w:p w:rsidR="00281766" w:rsidRPr="009B49F9" w:rsidRDefault="00281766" w:rsidP="00123A49">
      <w:pPr>
        <w:autoSpaceDE w:val="0"/>
        <w:autoSpaceDN w:val="0"/>
        <w:adjustRightInd w:val="0"/>
        <w:spacing w:line="480" w:lineRule="auto"/>
        <w:ind w:left="851" w:hanging="851"/>
        <w:rPr>
          <w:lang w:eastAsia="en-US"/>
        </w:rPr>
      </w:pPr>
      <w:proofErr w:type="gramStart"/>
      <w:r w:rsidRPr="009B49F9">
        <w:rPr>
          <w:lang w:eastAsia="en-US"/>
        </w:rPr>
        <w:t xml:space="preserve">Henderson, L. M., Clarke, P. J., &amp; </w:t>
      </w:r>
      <w:proofErr w:type="spellStart"/>
      <w:r w:rsidRPr="009B49F9">
        <w:rPr>
          <w:lang w:eastAsia="en-US"/>
        </w:rPr>
        <w:t>Snowling</w:t>
      </w:r>
      <w:proofErr w:type="spellEnd"/>
      <w:r w:rsidRPr="009B49F9">
        <w:rPr>
          <w:lang w:eastAsia="en-US"/>
        </w:rPr>
        <w:t>, M. J. (2011).</w:t>
      </w:r>
      <w:proofErr w:type="gramEnd"/>
      <w:r w:rsidRPr="009B49F9">
        <w:rPr>
          <w:lang w:eastAsia="en-US"/>
        </w:rPr>
        <w:t xml:space="preserve"> Accessing and selecting word meaning in autism spectrum disorder. </w:t>
      </w:r>
      <w:r w:rsidRPr="009B49F9">
        <w:rPr>
          <w:i/>
          <w:lang w:eastAsia="en-US"/>
        </w:rPr>
        <w:t>Journal of Child Psychology and Psychiatry, 52</w:t>
      </w:r>
      <w:r w:rsidRPr="009B49F9">
        <w:rPr>
          <w:lang w:eastAsia="en-US"/>
        </w:rPr>
        <w:t>, 964–973.</w:t>
      </w:r>
    </w:p>
    <w:p w:rsidR="00281766" w:rsidRPr="009B49F9" w:rsidRDefault="00281766" w:rsidP="00123A49">
      <w:pPr>
        <w:spacing w:line="480" w:lineRule="auto"/>
        <w:ind w:left="851" w:hanging="851"/>
      </w:pPr>
      <w:r w:rsidRPr="009B49F9">
        <w:t>Henderson, L.</w:t>
      </w:r>
      <w:r>
        <w:t xml:space="preserve"> </w:t>
      </w:r>
      <w:r w:rsidRPr="009B49F9">
        <w:t xml:space="preserve">M., </w:t>
      </w:r>
      <w:proofErr w:type="spellStart"/>
      <w:r w:rsidRPr="009B49F9">
        <w:t>Snowling</w:t>
      </w:r>
      <w:proofErr w:type="spellEnd"/>
      <w:r w:rsidRPr="009B49F9">
        <w:t>, M.</w:t>
      </w:r>
      <w:r>
        <w:t xml:space="preserve"> </w:t>
      </w:r>
      <w:r w:rsidRPr="009B49F9">
        <w:t xml:space="preserve">J., Clarke, P. (2013). Accessing, integrating and inhibiting word meaning in poor </w:t>
      </w:r>
      <w:proofErr w:type="spellStart"/>
      <w:r w:rsidRPr="009B49F9">
        <w:t>comprehenders</w:t>
      </w:r>
      <w:proofErr w:type="spellEnd"/>
      <w:r w:rsidRPr="009B49F9">
        <w:t xml:space="preserve">. </w:t>
      </w:r>
      <w:r w:rsidRPr="009B49F9">
        <w:rPr>
          <w:i/>
        </w:rPr>
        <w:t>Scientific Studies of Reading</w:t>
      </w:r>
      <w:r w:rsidRPr="009B49F9">
        <w:t xml:space="preserve">, 0, 1-22. </w:t>
      </w:r>
    </w:p>
    <w:p w:rsidR="00281766" w:rsidRPr="009B49F9" w:rsidRDefault="00281766" w:rsidP="00123A49">
      <w:pPr>
        <w:autoSpaceDE w:val="0"/>
        <w:autoSpaceDN w:val="0"/>
        <w:adjustRightInd w:val="0"/>
        <w:spacing w:line="480" w:lineRule="auto"/>
        <w:ind w:left="851" w:hanging="851"/>
        <w:rPr>
          <w:lang w:eastAsia="en-US"/>
        </w:rPr>
      </w:pPr>
      <w:r w:rsidRPr="009B49F9">
        <w:rPr>
          <w:lang w:eastAsia="en-US"/>
        </w:rPr>
        <w:t xml:space="preserve">Hoover, W. A., &amp; Gough, P. B. (1990). </w:t>
      </w:r>
      <w:proofErr w:type="gramStart"/>
      <w:r w:rsidRPr="009B49F9">
        <w:rPr>
          <w:lang w:eastAsia="en-US"/>
        </w:rPr>
        <w:t>The simple view of reading.</w:t>
      </w:r>
      <w:proofErr w:type="gramEnd"/>
      <w:r w:rsidRPr="009B49F9">
        <w:rPr>
          <w:lang w:eastAsia="en-US"/>
        </w:rPr>
        <w:t xml:space="preserve"> </w:t>
      </w:r>
      <w:r w:rsidRPr="009B49F9">
        <w:rPr>
          <w:i/>
          <w:lang w:eastAsia="en-US"/>
        </w:rPr>
        <w:t>Reading and Writing, 2</w:t>
      </w:r>
      <w:r w:rsidRPr="009B49F9">
        <w:rPr>
          <w:lang w:eastAsia="en-US"/>
        </w:rPr>
        <w:t>, 127–160.</w:t>
      </w:r>
    </w:p>
    <w:p w:rsidR="00281766" w:rsidRPr="009B49F9" w:rsidRDefault="00281766" w:rsidP="00123A49">
      <w:pPr>
        <w:autoSpaceDE w:val="0"/>
        <w:autoSpaceDN w:val="0"/>
        <w:adjustRightInd w:val="0"/>
        <w:spacing w:line="480" w:lineRule="auto"/>
        <w:ind w:left="851" w:hanging="851"/>
        <w:rPr>
          <w:lang w:eastAsia="en-US"/>
        </w:rPr>
      </w:pPr>
      <w:proofErr w:type="gramStart"/>
      <w:r w:rsidRPr="009B49F9">
        <w:rPr>
          <w:lang w:eastAsia="en-US"/>
        </w:rPr>
        <w:t xml:space="preserve">Jones, C. R. G., </w:t>
      </w:r>
      <w:proofErr w:type="spellStart"/>
      <w:r w:rsidRPr="009B49F9">
        <w:rPr>
          <w:lang w:eastAsia="en-US"/>
        </w:rPr>
        <w:t>Happe</w:t>
      </w:r>
      <w:proofErr w:type="spellEnd"/>
      <w:r w:rsidRPr="009B49F9">
        <w:rPr>
          <w:lang w:eastAsia="en-US"/>
        </w:rPr>
        <w:t xml:space="preserve">´, F., Golden, H., Marsden, A. J. S., </w:t>
      </w:r>
      <w:proofErr w:type="spellStart"/>
      <w:r w:rsidRPr="009B49F9">
        <w:rPr>
          <w:lang w:eastAsia="en-US"/>
        </w:rPr>
        <w:t>Tregay</w:t>
      </w:r>
      <w:proofErr w:type="spellEnd"/>
      <w:r w:rsidRPr="009B49F9">
        <w:rPr>
          <w:lang w:eastAsia="en-US"/>
        </w:rPr>
        <w:t xml:space="preserve">, J., </w:t>
      </w:r>
      <w:proofErr w:type="spellStart"/>
      <w:r w:rsidRPr="009B49F9">
        <w:rPr>
          <w:lang w:eastAsia="en-US"/>
        </w:rPr>
        <w:t>Simonoff</w:t>
      </w:r>
      <w:proofErr w:type="spellEnd"/>
      <w:r w:rsidRPr="009B49F9">
        <w:rPr>
          <w:lang w:eastAsia="en-US"/>
        </w:rPr>
        <w:t>, E., et al. (2009).</w:t>
      </w:r>
      <w:proofErr w:type="gramEnd"/>
      <w:r w:rsidRPr="009B49F9">
        <w:rPr>
          <w:lang w:eastAsia="en-US"/>
        </w:rPr>
        <w:t xml:space="preserve"> Reading and arithmetic in adolescents with autism spectrum disorders: Peaks and dips in attainment. </w:t>
      </w:r>
      <w:r w:rsidRPr="009B49F9">
        <w:rPr>
          <w:i/>
          <w:lang w:eastAsia="en-US"/>
        </w:rPr>
        <w:t>Neuropsychology, 23</w:t>
      </w:r>
      <w:r w:rsidRPr="009B49F9">
        <w:rPr>
          <w:lang w:eastAsia="en-US"/>
        </w:rPr>
        <w:t>, 718–728.</w:t>
      </w:r>
    </w:p>
    <w:p w:rsidR="00281766" w:rsidRPr="009B49F9" w:rsidRDefault="00281766" w:rsidP="00123A49">
      <w:pPr>
        <w:autoSpaceDE w:val="0"/>
        <w:autoSpaceDN w:val="0"/>
        <w:adjustRightInd w:val="0"/>
        <w:spacing w:line="480" w:lineRule="auto"/>
        <w:ind w:left="851" w:hanging="851"/>
        <w:rPr>
          <w:lang w:eastAsia="en-US"/>
        </w:rPr>
      </w:pPr>
      <w:proofErr w:type="gramStart"/>
      <w:r w:rsidRPr="009B49F9">
        <w:rPr>
          <w:lang w:eastAsia="en-US"/>
        </w:rPr>
        <w:lastRenderedPageBreak/>
        <w:t xml:space="preserve">Keenan, J. M., </w:t>
      </w:r>
      <w:proofErr w:type="spellStart"/>
      <w:r w:rsidRPr="009B49F9">
        <w:rPr>
          <w:lang w:eastAsia="en-US"/>
        </w:rPr>
        <w:t>Betjemann</w:t>
      </w:r>
      <w:proofErr w:type="spellEnd"/>
      <w:r w:rsidRPr="009B49F9">
        <w:rPr>
          <w:lang w:eastAsia="en-US"/>
        </w:rPr>
        <w:t>, R. S., &amp; Olson, R. K. (2008).</w:t>
      </w:r>
      <w:proofErr w:type="gramEnd"/>
      <w:r w:rsidRPr="009B49F9">
        <w:rPr>
          <w:lang w:eastAsia="en-US"/>
        </w:rPr>
        <w:t xml:space="preserve"> Reading comprehension tests vary in the skills they assess: Differential dependence on decoding and oral comprehension. </w:t>
      </w:r>
      <w:r w:rsidRPr="009B49F9">
        <w:rPr>
          <w:i/>
          <w:lang w:eastAsia="en-US"/>
        </w:rPr>
        <w:t>Scientific Studies of Reading, 12</w:t>
      </w:r>
      <w:r w:rsidRPr="009B49F9">
        <w:rPr>
          <w:lang w:eastAsia="en-US"/>
        </w:rPr>
        <w:t>, 281–300.</w:t>
      </w:r>
    </w:p>
    <w:p w:rsidR="00281766" w:rsidRPr="009B49F9" w:rsidRDefault="00281766" w:rsidP="00123A49">
      <w:pPr>
        <w:spacing w:line="480" w:lineRule="auto"/>
        <w:ind w:left="851" w:hanging="851"/>
      </w:pPr>
      <w:proofErr w:type="spellStart"/>
      <w:proofErr w:type="gramStart"/>
      <w:r w:rsidRPr="009B49F9">
        <w:t>LaBerge</w:t>
      </w:r>
      <w:proofErr w:type="spellEnd"/>
      <w:r w:rsidRPr="009B49F9">
        <w:t>, D., &amp; Samuels, S.J. (1974).</w:t>
      </w:r>
      <w:proofErr w:type="gramEnd"/>
      <w:r w:rsidRPr="009B49F9">
        <w:t xml:space="preserve"> </w:t>
      </w:r>
      <w:proofErr w:type="gramStart"/>
      <w:r w:rsidRPr="009B49F9">
        <w:t>Toward a theory of automatic information processing in reading.</w:t>
      </w:r>
      <w:proofErr w:type="gramEnd"/>
      <w:r w:rsidRPr="009B49F9">
        <w:t xml:space="preserve"> </w:t>
      </w:r>
      <w:r w:rsidRPr="009B49F9">
        <w:rPr>
          <w:i/>
        </w:rPr>
        <w:t>Cognitive Psychology, 6</w:t>
      </w:r>
      <w:r w:rsidRPr="009B49F9">
        <w:t xml:space="preserve">, 293-323. </w:t>
      </w:r>
    </w:p>
    <w:p w:rsidR="00281766" w:rsidRPr="009B49F9" w:rsidRDefault="00281766" w:rsidP="00123A49">
      <w:pPr>
        <w:spacing w:line="480" w:lineRule="auto"/>
        <w:ind w:left="851" w:hanging="851"/>
      </w:pPr>
      <w:r w:rsidRPr="009B49F9">
        <w:t>Lord</w:t>
      </w:r>
      <w:r>
        <w:t>,</w:t>
      </w:r>
      <w:r w:rsidRPr="009B49F9">
        <w:t xml:space="preserve"> C, </w:t>
      </w:r>
      <w:r>
        <w:t xml:space="preserve">&amp; </w:t>
      </w:r>
      <w:r w:rsidRPr="009B49F9">
        <w:t>Paul</w:t>
      </w:r>
      <w:r>
        <w:t>,</w:t>
      </w:r>
      <w:r w:rsidRPr="009B49F9">
        <w:t xml:space="preserve"> R. (1997). </w:t>
      </w:r>
      <w:r w:rsidRPr="009B49F9">
        <w:rPr>
          <w:i/>
        </w:rPr>
        <w:t>Language and communication in ASD</w:t>
      </w:r>
      <w:r>
        <w:t xml:space="preserve">. </w:t>
      </w:r>
      <w:proofErr w:type="gramStart"/>
      <w:r>
        <w:t>In D. J. Cohen &amp;</w:t>
      </w:r>
      <w:r w:rsidRPr="009B49F9">
        <w:t xml:space="preserve"> </w:t>
      </w:r>
      <w:r>
        <w:t xml:space="preserve">F. R. </w:t>
      </w:r>
      <w:proofErr w:type="spellStart"/>
      <w:r>
        <w:t>Volkmar</w:t>
      </w:r>
      <w:proofErr w:type="spellEnd"/>
      <w:r>
        <w:t xml:space="preserve"> (Ed</w:t>
      </w:r>
      <w:r w:rsidRPr="009B49F9">
        <w:t>s.</w:t>
      </w:r>
      <w:r>
        <w:t>),</w:t>
      </w:r>
      <w:r w:rsidRPr="009B49F9">
        <w:t xml:space="preserve"> </w:t>
      </w:r>
      <w:r w:rsidRPr="008C6FEF">
        <w:rPr>
          <w:rStyle w:val="ref-journal"/>
          <w:i/>
        </w:rPr>
        <w:t>Handbook of ASD and pervasive developmental disorders</w:t>
      </w:r>
      <w:r>
        <w:rPr>
          <w:rStyle w:val="ref-journal"/>
          <w:i/>
        </w:rPr>
        <w:t xml:space="preserve"> (Vol.</w:t>
      </w:r>
      <w:r>
        <w:rPr>
          <w:i/>
        </w:rPr>
        <w:t xml:space="preserve"> 2)</w:t>
      </w:r>
      <w:r>
        <w:t xml:space="preserve"> (pp. 195-225).</w:t>
      </w:r>
      <w:proofErr w:type="gramEnd"/>
      <w:r w:rsidRPr="008C6FEF">
        <w:rPr>
          <w:i/>
        </w:rPr>
        <w:t xml:space="preserve"> </w:t>
      </w:r>
      <w:r w:rsidRPr="009B49F9">
        <w:t>New York</w:t>
      </w:r>
      <w:r>
        <w:t>: John Wiley &amp; Sons</w:t>
      </w:r>
      <w:r w:rsidRPr="009B49F9">
        <w:t>.</w:t>
      </w:r>
    </w:p>
    <w:p w:rsidR="00281766" w:rsidRPr="009B49F9" w:rsidRDefault="00281766" w:rsidP="00123A49">
      <w:pPr>
        <w:spacing w:line="480" w:lineRule="auto"/>
        <w:ind w:left="851" w:hanging="851"/>
      </w:pPr>
      <w:proofErr w:type="gramStart"/>
      <w:r w:rsidRPr="009B49F9">
        <w:t>Mayes</w:t>
      </w:r>
      <w:r>
        <w:t>,</w:t>
      </w:r>
      <w:r w:rsidRPr="009B49F9">
        <w:t xml:space="preserve"> S.</w:t>
      </w:r>
      <w:r>
        <w:t xml:space="preserve"> </w:t>
      </w:r>
      <w:r w:rsidRPr="009B49F9">
        <w:t>D., &amp; Calhoun, S.L. (2008).</w:t>
      </w:r>
      <w:proofErr w:type="gramEnd"/>
      <w:r w:rsidRPr="009B49F9">
        <w:t xml:space="preserve"> </w:t>
      </w:r>
      <w:proofErr w:type="gramStart"/>
      <w:r w:rsidRPr="009B49F9">
        <w:t>WISC</w:t>
      </w:r>
      <w:r>
        <w:t>-IV and WIAT-II profiles in chi</w:t>
      </w:r>
      <w:r w:rsidRPr="009B49F9">
        <w:t>l</w:t>
      </w:r>
      <w:r>
        <w:t>d</w:t>
      </w:r>
      <w:r w:rsidRPr="009B49F9">
        <w:t>ren with high functioning autism.</w:t>
      </w:r>
      <w:proofErr w:type="gramEnd"/>
      <w:r w:rsidRPr="009B49F9">
        <w:t xml:space="preserve"> </w:t>
      </w:r>
      <w:r w:rsidRPr="009B49F9">
        <w:rPr>
          <w:i/>
        </w:rPr>
        <w:t>Journal of Autism and Developmental Disorders, 38</w:t>
      </w:r>
      <w:r w:rsidRPr="009B49F9">
        <w:t xml:space="preserve">, 428-439.  </w:t>
      </w:r>
    </w:p>
    <w:p w:rsidR="00281766" w:rsidRPr="009B49F9" w:rsidRDefault="00281766" w:rsidP="00123A49">
      <w:pPr>
        <w:spacing w:line="480" w:lineRule="auto"/>
        <w:ind w:left="851" w:hanging="851"/>
      </w:pPr>
      <w:proofErr w:type="spellStart"/>
      <w:proofErr w:type="gramStart"/>
      <w:r w:rsidRPr="009B49F9">
        <w:t>Minshew</w:t>
      </w:r>
      <w:proofErr w:type="spellEnd"/>
      <w:r>
        <w:t>,</w:t>
      </w:r>
      <w:r w:rsidRPr="009B49F9">
        <w:t xml:space="preserve"> N</w:t>
      </w:r>
      <w:r>
        <w:t xml:space="preserve">. </w:t>
      </w:r>
      <w:r w:rsidRPr="009B49F9">
        <w:t>J</w:t>
      </w:r>
      <w:r>
        <w:t>.</w:t>
      </w:r>
      <w:r w:rsidRPr="009B49F9">
        <w:t>, Goldstein</w:t>
      </w:r>
      <w:r>
        <w:t>,</w:t>
      </w:r>
      <w:r w:rsidRPr="009B49F9">
        <w:t xml:space="preserve"> G</w:t>
      </w:r>
      <w:r>
        <w:t>.</w:t>
      </w:r>
      <w:r w:rsidRPr="009B49F9">
        <w:t xml:space="preserve">, </w:t>
      </w:r>
      <w:r>
        <w:t xml:space="preserve">&amp; </w:t>
      </w:r>
      <w:r w:rsidRPr="009B49F9">
        <w:t>Siegel</w:t>
      </w:r>
      <w:r>
        <w:t>,</w:t>
      </w:r>
      <w:r w:rsidRPr="009B49F9">
        <w:t xml:space="preserve"> D</w:t>
      </w:r>
      <w:r>
        <w:t xml:space="preserve">. </w:t>
      </w:r>
      <w:r w:rsidRPr="009B49F9">
        <w:t>J. (1995).</w:t>
      </w:r>
      <w:proofErr w:type="gramEnd"/>
      <w:r w:rsidRPr="009B49F9">
        <w:t xml:space="preserve"> </w:t>
      </w:r>
      <w:proofErr w:type="gramStart"/>
      <w:r w:rsidRPr="009B49F9">
        <w:t>Speech and language in high-functioning autistic individuals.</w:t>
      </w:r>
      <w:proofErr w:type="gramEnd"/>
      <w:r w:rsidRPr="009B49F9">
        <w:t xml:space="preserve"> </w:t>
      </w:r>
      <w:r w:rsidRPr="009B49F9">
        <w:rPr>
          <w:rStyle w:val="ref-journal"/>
          <w:i/>
        </w:rPr>
        <w:t xml:space="preserve">Neuropsychology, </w:t>
      </w:r>
      <w:r w:rsidRPr="009B49F9">
        <w:rPr>
          <w:rStyle w:val="ref-vol"/>
          <w:i/>
        </w:rPr>
        <w:t>9</w:t>
      </w:r>
      <w:r w:rsidRPr="009B49F9">
        <w:t>, 255–261.</w:t>
      </w:r>
    </w:p>
    <w:p w:rsidR="00281766" w:rsidRPr="009B49F9" w:rsidRDefault="00281766" w:rsidP="00123A49">
      <w:pPr>
        <w:spacing w:line="480" w:lineRule="auto"/>
        <w:ind w:left="851" w:hanging="851"/>
      </w:pPr>
      <w:proofErr w:type="gramStart"/>
      <w:r w:rsidRPr="009B49F9">
        <w:t xml:space="preserve">Muter, V., Hulme, C., Stevenson, J., &amp; </w:t>
      </w:r>
      <w:proofErr w:type="spellStart"/>
      <w:r w:rsidRPr="009B49F9">
        <w:t>Snowling</w:t>
      </w:r>
      <w:proofErr w:type="spellEnd"/>
      <w:r w:rsidRPr="009B49F9">
        <w:t>, M.</w:t>
      </w:r>
      <w:r>
        <w:t xml:space="preserve"> </w:t>
      </w:r>
      <w:r w:rsidRPr="009B49F9">
        <w:t>J. (2004).</w:t>
      </w:r>
      <w:proofErr w:type="gramEnd"/>
      <w:r w:rsidRPr="009B49F9">
        <w:t xml:space="preserve"> Phonemes, Rimes, Vocabulary, and Grammatical skills as foundations of early reading development: Evidence from a longitudinal study. </w:t>
      </w:r>
      <w:r w:rsidRPr="009B49F9">
        <w:rPr>
          <w:i/>
        </w:rPr>
        <w:t>Developmental Psychology, 40</w:t>
      </w:r>
      <w:r w:rsidRPr="009B49F9">
        <w:t xml:space="preserve">, 665-681. </w:t>
      </w:r>
    </w:p>
    <w:p w:rsidR="00281766" w:rsidRPr="009B49F9" w:rsidRDefault="00281766" w:rsidP="00123A49">
      <w:pPr>
        <w:spacing w:line="480" w:lineRule="auto"/>
        <w:ind w:left="851" w:hanging="851"/>
      </w:pPr>
      <w:r w:rsidRPr="009B49F9">
        <w:t>Nation, K., &amp; Ang</w:t>
      </w:r>
      <w:r>
        <w:t xml:space="preserve">ell, P.  </w:t>
      </w:r>
      <w:proofErr w:type="gramStart"/>
      <w:r>
        <w:t xml:space="preserve">(2007). </w:t>
      </w:r>
      <w:r w:rsidRPr="009B49F9">
        <w:t>Learning to read and learning to comprehend.</w:t>
      </w:r>
      <w:proofErr w:type="gramEnd"/>
      <w:r w:rsidRPr="009B49F9">
        <w:t xml:space="preserve">  </w:t>
      </w:r>
      <w:r w:rsidRPr="009B49F9">
        <w:rPr>
          <w:i/>
        </w:rPr>
        <w:t xml:space="preserve">London Review of Education, 4, </w:t>
      </w:r>
      <w:r w:rsidRPr="009B49F9">
        <w:t>77-88.</w:t>
      </w:r>
    </w:p>
    <w:p w:rsidR="00281766" w:rsidRPr="009B49F9" w:rsidRDefault="00281766" w:rsidP="00123A49">
      <w:pPr>
        <w:spacing w:line="480" w:lineRule="auto"/>
        <w:ind w:left="851" w:hanging="851"/>
      </w:pPr>
      <w:r w:rsidRPr="009B49F9">
        <w:t>Nation, K., Clarke, P., Marsha</w:t>
      </w:r>
      <w:r>
        <w:t xml:space="preserve">ll, </w:t>
      </w:r>
      <w:proofErr w:type="gramStart"/>
      <w:r>
        <w:t>CM.,</w:t>
      </w:r>
      <w:proofErr w:type="gramEnd"/>
      <w:r>
        <w:t xml:space="preserve"> &amp; Durand, M.  (2004). </w:t>
      </w:r>
      <w:proofErr w:type="gramStart"/>
      <w:r w:rsidRPr="009B49F9">
        <w:t>Hidden</w:t>
      </w:r>
      <w:proofErr w:type="gramEnd"/>
      <w:r w:rsidRPr="009B49F9">
        <w:t xml:space="preserve"> language impairments in children:  parallels between poor reading comprehension and specific language impairment?  </w:t>
      </w:r>
      <w:r w:rsidRPr="009B49F9">
        <w:rPr>
          <w:i/>
        </w:rPr>
        <w:t>Journal of Speech, Language and Hearing Research</w:t>
      </w:r>
      <w:r w:rsidRPr="009B49F9">
        <w:t>, 47, 199-211.</w:t>
      </w:r>
    </w:p>
    <w:p w:rsidR="00281766" w:rsidRPr="009B49F9" w:rsidRDefault="00281766" w:rsidP="00123A49">
      <w:pPr>
        <w:spacing w:line="480" w:lineRule="auto"/>
        <w:ind w:left="851" w:hanging="851"/>
      </w:pPr>
      <w:proofErr w:type="gramStart"/>
      <w:r w:rsidRPr="009B49F9">
        <w:t>Nation, K., Clarke, P., Wright, B.</w:t>
      </w:r>
      <w:r>
        <w:t>,</w:t>
      </w:r>
      <w:r w:rsidRPr="009B49F9">
        <w:t xml:space="preserve"> &amp; Williams, C. (2006).</w:t>
      </w:r>
      <w:proofErr w:type="gramEnd"/>
      <w:r w:rsidRPr="009B49F9">
        <w:t xml:space="preserve">  </w:t>
      </w:r>
      <w:proofErr w:type="gramStart"/>
      <w:r w:rsidRPr="009B49F9">
        <w:t>Patterns of reading ability in children with autism.</w:t>
      </w:r>
      <w:proofErr w:type="gramEnd"/>
      <w:r w:rsidRPr="009B49F9">
        <w:t xml:space="preserve">  </w:t>
      </w:r>
      <w:r w:rsidRPr="009B49F9">
        <w:rPr>
          <w:i/>
        </w:rPr>
        <w:t xml:space="preserve">Journal of Autism and Developmental Disorders, </w:t>
      </w:r>
      <w:r w:rsidRPr="009B49F9">
        <w:t>36</w:t>
      </w:r>
      <w:r w:rsidRPr="009B49F9">
        <w:rPr>
          <w:i/>
        </w:rPr>
        <w:t xml:space="preserve">, </w:t>
      </w:r>
      <w:r w:rsidRPr="009B49F9">
        <w:t>911-919.</w:t>
      </w:r>
    </w:p>
    <w:p w:rsidR="00281766" w:rsidRPr="009B49F9" w:rsidRDefault="00281766" w:rsidP="00123A49">
      <w:pPr>
        <w:spacing w:line="480" w:lineRule="auto"/>
        <w:ind w:left="851" w:hanging="851"/>
      </w:pPr>
      <w:proofErr w:type="gramStart"/>
      <w:r w:rsidRPr="009B49F9">
        <w:t xml:space="preserve">Nation, K., &amp; </w:t>
      </w:r>
      <w:proofErr w:type="spellStart"/>
      <w:r w:rsidRPr="009B49F9">
        <w:t>Norbury</w:t>
      </w:r>
      <w:proofErr w:type="spellEnd"/>
      <w:r w:rsidRPr="009B49F9">
        <w:t>, C.</w:t>
      </w:r>
      <w:r>
        <w:t xml:space="preserve"> </w:t>
      </w:r>
      <w:r w:rsidRPr="009B49F9">
        <w:t>F. (2005).</w:t>
      </w:r>
      <w:proofErr w:type="gramEnd"/>
      <w:r w:rsidRPr="009B49F9">
        <w:t xml:space="preserve"> </w:t>
      </w:r>
      <w:r w:rsidRPr="009B49F9">
        <w:rPr>
          <w:bCs/>
        </w:rPr>
        <w:t>Why reading comprehension fails: Insights from developmental disorders.</w:t>
      </w:r>
      <w:r w:rsidRPr="009B49F9">
        <w:t xml:space="preserve"> </w:t>
      </w:r>
      <w:r w:rsidRPr="009B49F9">
        <w:rPr>
          <w:i/>
        </w:rPr>
        <w:t>Topics in Language Disorders, 25</w:t>
      </w:r>
      <w:r w:rsidRPr="009B49F9">
        <w:t>, 21-32.</w:t>
      </w:r>
    </w:p>
    <w:p w:rsidR="00281766" w:rsidRPr="009B49F9" w:rsidRDefault="00281766" w:rsidP="00123A49">
      <w:pPr>
        <w:spacing w:line="480" w:lineRule="auto"/>
        <w:ind w:left="851" w:hanging="851"/>
      </w:pPr>
      <w:proofErr w:type="gramStart"/>
      <w:r w:rsidRPr="009B49F9">
        <w:lastRenderedPageBreak/>
        <w:t>Nation, K.</w:t>
      </w:r>
      <w:r>
        <w:t>,</w:t>
      </w:r>
      <w:r w:rsidRPr="009B49F9">
        <w:t xml:space="preserve"> &amp; </w:t>
      </w:r>
      <w:proofErr w:type="spellStart"/>
      <w:r w:rsidRPr="009B49F9">
        <w:t>Snowling</w:t>
      </w:r>
      <w:proofErr w:type="spellEnd"/>
      <w:r w:rsidRPr="009B49F9">
        <w:t>, M. J. (1998).</w:t>
      </w:r>
      <w:proofErr w:type="gramEnd"/>
      <w:r w:rsidRPr="009B49F9">
        <w:t xml:space="preserve">  Semantic processing skills and the development of word recognition:  evidence from children with reading comprehension difficulties.  </w:t>
      </w:r>
      <w:r w:rsidRPr="009B49F9">
        <w:rPr>
          <w:i/>
        </w:rPr>
        <w:t>Journal of Memory and Language, 39</w:t>
      </w:r>
      <w:r w:rsidRPr="009B49F9">
        <w:t>, 85-101.</w:t>
      </w:r>
    </w:p>
    <w:p w:rsidR="00281766" w:rsidRPr="00312B46" w:rsidRDefault="00281766" w:rsidP="00123A49">
      <w:pPr>
        <w:autoSpaceDE w:val="0"/>
        <w:autoSpaceDN w:val="0"/>
        <w:adjustRightInd w:val="0"/>
        <w:spacing w:line="480" w:lineRule="auto"/>
        <w:ind w:left="851" w:hanging="851"/>
        <w:rPr>
          <w:lang w:eastAsia="en-US"/>
        </w:rPr>
      </w:pPr>
      <w:proofErr w:type="gramStart"/>
      <w:r w:rsidRPr="00312B46">
        <w:rPr>
          <w:lang w:eastAsia="en-US"/>
        </w:rPr>
        <w:t>Nation, K</w:t>
      </w:r>
      <w:r>
        <w:rPr>
          <w:lang w:eastAsia="en-US"/>
        </w:rPr>
        <w:t>.</w:t>
      </w:r>
      <w:r w:rsidRPr="00312B46">
        <w:rPr>
          <w:lang w:eastAsia="en-US"/>
        </w:rPr>
        <w:t xml:space="preserve">, &amp; </w:t>
      </w:r>
      <w:proofErr w:type="spellStart"/>
      <w:r w:rsidRPr="00312B46">
        <w:rPr>
          <w:lang w:eastAsia="en-US"/>
        </w:rPr>
        <w:t>Snowling</w:t>
      </w:r>
      <w:proofErr w:type="spellEnd"/>
      <w:r w:rsidRPr="00312B46">
        <w:rPr>
          <w:lang w:eastAsia="en-US"/>
        </w:rPr>
        <w:t>, M.</w:t>
      </w:r>
      <w:r>
        <w:rPr>
          <w:lang w:eastAsia="en-US"/>
        </w:rPr>
        <w:t xml:space="preserve"> </w:t>
      </w:r>
      <w:r w:rsidRPr="00312B46">
        <w:rPr>
          <w:lang w:eastAsia="en-US"/>
        </w:rPr>
        <w:t>J. (1998b).</w:t>
      </w:r>
      <w:proofErr w:type="gramEnd"/>
      <w:r w:rsidRPr="00312B46">
        <w:rPr>
          <w:lang w:eastAsia="en-US"/>
        </w:rPr>
        <w:t xml:space="preserve"> Individual differences in contextual facilitation: Evidence from dyslexia and poor reading comprehension. </w:t>
      </w:r>
      <w:proofErr w:type="gramStart"/>
      <w:r w:rsidRPr="00312B46">
        <w:rPr>
          <w:i/>
          <w:iCs/>
          <w:lang w:eastAsia="en-US"/>
        </w:rPr>
        <w:t>Child Development, 69</w:t>
      </w:r>
      <w:r w:rsidRPr="00312B46">
        <w:rPr>
          <w:lang w:eastAsia="en-US"/>
        </w:rPr>
        <w:t>, 996-1011.</w:t>
      </w:r>
      <w:proofErr w:type="gramEnd"/>
      <w:r w:rsidRPr="00312B46">
        <w:rPr>
          <w:lang w:eastAsia="en-US"/>
        </w:rPr>
        <w:t xml:space="preserve"> </w:t>
      </w:r>
    </w:p>
    <w:p w:rsidR="00281766" w:rsidRPr="009B49F9" w:rsidRDefault="00281766" w:rsidP="00123A49">
      <w:pPr>
        <w:autoSpaceDE w:val="0"/>
        <w:autoSpaceDN w:val="0"/>
        <w:adjustRightInd w:val="0"/>
        <w:spacing w:line="480" w:lineRule="auto"/>
        <w:ind w:left="851" w:hanging="851"/>
        <w:rPr>
          <w:i/>
          <w:iCs/>
          <w:lang w:eastAsia="en-US"/>
        </w:rPr>
      </w:pPr>
      <w:r w:rsidRPr="00312B46">
        <w:rPr>
          <w:lang w:eastAsia="en-US"/>
        </w:rPr>
        <w:t>Neale, M. D. (1997).</w:t>
      </w:r>
      <w:r w:rsidRPr="009B49F9">
        <w:rPr>
          <w:lang w:eastAsia="en-US"/>
        </w:rPr>
        <w:t xml:space="preserve"> </w:t>
      </w:r>
      <w:r w:rsidRPr="009B49F9">
        <w:rPr>
          <w:i/>
          <w:iCs/>
          <w:lang w:eastAsia="en-US"/>
        </w:rPr>
        <w:t>The Neale Analysis of Reading Ability—Revised (NARA–II)</w:t>
      </w:r>
      <w:r w:rsidRPr="009B49F9">
        <w:rPr>
          <w:lang w:eastAsia="en-US"/>
        </w:rPr>
        <w:t>. Windsor, England: NFER-Nelson.</w:t>
      </w:r>
    </w:p>
    <w:p w:rsidR="00281766" w:rsidRPr="009B49F9" w:rsidRDefault="00281766" w:rsidP="00123A49">
      <w:pPr>
        <w:spacing w:line="480" w:lineRule="auto"/>
        <w:ind w:left="851" w:hanging="851"/>
      </w:pPr>
      <w:proofErr w:type="spellStart"/>
      <w:proofErr w:type="gramStart"/>
      <w:r w:rsidRPr="009B49F9">
        <w:rPr>
          <w:lang w:val="en-US"/>
        </w:rPr>
        <w:t>Norbury</w:t>
      </w:r>
      <w:proofErr w:type="spellEnd"/>
      <w:r w:rsidRPr="009B49F9">
        <w:rPr>
          <w:lang w:val="en-US"/>
        </w:rPr>
        <w:t>, C. F., &amp; Nation, K. (2011).</w:t>
      </w:r>
      <w:proofErr w:type="gramEnd"/>
      <w:r w:rsidRPr="009B49F9">
        <w:rPr>
          <w:lang w:val="en-US"/>
        </w:rPr>
        <w:t xml:space="preserve">  </w:t>
      </w:r>
      <w:r>
        <w:rPr>
          <w:lang w:val="en-US"/>
        </w:rPr>
        <w:t>Understanding variability in reading comprehension in adolescents with autism spectrum disorders:  Interactions with language status and decoding s</w:t>
      </w:r>
      <w:r w:rsidRPr="009B49F9">
        <w:rPr>
          <w:lang w:val="en-US"/>
        </w:rPr>
        <w:t>kill.  </w:t>
      </w:r>
      <w:r w:rsidRPr="009B49F9">
        <w:rPr>
          <w:i/>
          <w:iCs/>
          <w:lang w:val="en-US"/>
        </w:rPr>
        <w:t xml:space="preserve">Scientific Studies of Reading, 15, </w:t>
      </w:r>
      <w:r w:rsidRPr="009B49F9">
        <w:rPr>
          <w:iCs/>
          <w:lang w:val="en-US"/>
        </w:rPr>
        <w:t>191-210.</w:t>
      </w:r>
    </w:p>
    <w:p w:rsidR="00281766" w:rsidRPr="009B49F9" w:rsidRDefault="00281766" w:rsidP="00123A49">
      <w:pPr>
        <w:spacing w:line="480" w:lineRule="auto"/>
        <w:ind w:left="851" w:hanging="851"/>
      </w:pPr>
      <w:proofErr w:type="spellStart"/>
      <w:proofErr w:type="gramStart"/>
      <w:r w:rsidRPr="009B49F9">
        <w:rPr>
          <w:lang w:eastAsia="en-US"/>
        </w:rPr>
        <w:t>Ozonoff</w:t>
      </w:r>
      <w:proofErr w:type="spellEnd"/>
      <w:r w:rsidRPr="009B49F9">
        <w:rPr>
          <w:lang w:eastAsia="en-US"/>
        </w:rPr>
        <w:t>, S. (1995).</w:t>
      </w:r>
      <w:proofErr w:type="gramEnd"/>
      <w:r w:rsidRPr="009B49F9">
        <w:rPr>
          <w:lang w:eastAsia="en-US"/>
        </w:rPr>
        <w:t xml:space="preserve"> </w:t>
      </w:r>
      <w:proofErr w:type="gramStart"/>
      <w:r w:rsidRPr="009B49F9">
        <w:rPr>
          <w:lang w:eastAsia="en-US"/>
        </w:rPr>
        <w:t>Reliability and validity of the Wisconsin Card Sorting Test in studies</w:t>
      </w:r>
      <w:r w:rsidRPr="009B49F9">
        <w:t xml:space="preserve"> </w:t>
      </w:r>
      <w:r w:rsidRPr="009B49F9">
        <w:rPr>
          <w:lang w:eastAsia="en-US"/>
        </w:rPr>
        <w:t>of autism.</w:t>
      </w:r>
      <w:proofErr w:type="gramEnd"/>
      <w:r w:rsidRPr="009B49F9">
        <w:rPr>
          <w:lang w:eastAsia="en-US"/>
        </w:rPr>
        <w:t xml:space="preserve"> </w:t>
      </w:r>
      <w:r w:rsidRPr="009B49F9">
        <w:rPr>
          <w:i/>
          <w:lang w:eastAsia="en-US"/>
        </w:rPr>
        <w:t>Neuropsychology, 9</w:t>
      </w:r>
      <w:r w:rsidRPr="009B49F9">
        <w:rPr>
          <w:lang w:eastAsia="en-US"/>
        </w:rPr>
        <w:t>, 491-500.</w:t>
      </w:r>
    </w:p>
    <w:p w:rsidR="00281766" w:rsidRPr="009B49F9" w:rsidRDefault="00281766" w:rsidP="00123A49">
      <w:pPr>
        <w:spacing w:line="480" w:lineRule="auto"/>
        <w:ind w:left="851" w:hanging="851"/>
      </w:pPr>
      <w:proofErr w:type="spellStart"/>
      <w:proofErr w:type="gramStart"/>
      <w:r w:rsidRPr="009B49F9">
        <w:rPr>
          <w:lang w:eastAsia="en-US"/>
        </w:rPr>
        <w:t>Ozonoff</w:t>
      </w:r>
      <w:proofErr w:type="spellEnd"/>
      <w:r w:rsidRPr="009B49F9">
        <w:rPr>
          <w:lang w:eastAsia="en-US"/>
        </w:rPr>
        <w:t xml:space="preserve">, S., &amp; </w:t>
      </w:r>
      <w:proofErr w:type="spellStart"/>
      <w:r w:rsidRPr="009B49F9">
        <w:rPr>
          <w:lang w:eastAsia="en-US"/>
        </w:rPr>
        <w:t>Strayer</w:t>
      </w:r>
      <w:proofErr w:type="spellEnd"/>
      <w:r w:rsidRPr="009B49F9">
        <w:rPr>
          <w:lang w:eastAsia="en-US"/>
        </w:rPr>
        <w:t>, D.</w:t>
      </w:r>
      <w:r>
        <w:rPr>
          <w:lang w:eastAsia="en-US"/>
        </w:rPr>
        <w:t xml:space="preserve"> </w:t>
      </w:r>
      <w:r w:rsidRPr="009B49F9">
        <w:rPr>
          <w:lang w:eastAsia="en-US"/>
        </w:rPr>
        <w:t>L. (2001).</w:t>
      </w:r>
      <w:proofErr w:type="gramEnd"/>
      <w:r w:rsidRPr="009B49F9">
        <w:rPr>
          <w:lang w:eastAsia="en-US"/>
        </w:rPr>
        <w:t xml:space="preserve"> </w:t>
      </w:r>
      <w:proofErr w:type="gramStart"/>
      <w:r w:rsidRPr="009B49F9">
        <w:rPr>
          <w:lang w:eastAsia="en-US"/>
        </w:rPr>
        <w:t>Further evidence of intact working memory in autism.</w:t>
      </w:r>
      <w:proofErr w:type="gramEnd"/>
      <w:r w:rsidRPr="009B49F9">
        <w:t xml:space="preserve"> </w:t>
      </w:r>
      <w:r w:rsidRPr="009B49F9">
        <w:rPr>
          <w:i/>
          <w:lang w:eastAsia="en-US"/>
        </w:rPr>
        <w:t>Journal of Autism and Developmental Disorders, 31</w:t>
      </w:r>
      <w:r w:rsidRPr="009B49F9">
        <w:rPr>
          <w:lang w:eastAsia="en-US"/>
        </w:rPr>
        <w:t>, 257-263</w:t>
      </w:r>
    </w:p>
    <w:p w:rsidR="00281766" w:rsidRPr="009B49F9" w:rsidRDefault="00281766" w:rsidP="00123A49">
      <w:pPr>
        <w:spacing w:line="480" w:lineRule="auto"/>
        <w:ind w:left="851" w:hanging="851"/>
      </w:pPr>
      <w:proofErr w:type="spellStart"/>
      <w:proofErr w:type="gramStart"/>
      <w:r w:rsidRPr="009B49F9">
        <w:t>Pascualvaca</w:t>
      </w:r>
      <w:proofErr w:type="spellEnd"/>
      <w:r w:rsidRPr="009B49F9">
        <w:t>, D.</w:t>
      </w:r>
      <w:r>
        <w:t xml:space="preserve"> </w:t>
      </w:r>
      <w:r w:rsidRPr="009B49F9">
        <w:t xml:space="preserve">M., </w:t>
      </w:r>
      <w:proofErr w:type="spellStart"/>
      <w:r w:rsidRPr="009B49F9">
        <w:t>Fantie</w:t>
      </w:r>
      <w:proofErr w:type="spellEnd"/>
      <w:r w:rsidRPr="009B49F9">
        <w:t>, B.</w:t>
      </w:r>
      <w:r>
        <w:t xml:space="preserve"> </w:t>
      </w:r>
      <w:r w:rsidRPr="009B49F9">
        <w:t xml:space="preserve">D., </w:t>
      </w:r>
      <w:proofErr w:type="spellStart"/>
      <w:r w:rsidRPr="009B49F9">
        <w:t>Papgeorgiou</w:t>
      </w:r>
      <w:proofErr w:type="spellEnd"/>
      <w:r w:rsidRPr="009B49F9">
        <w:t xml:space="preserve">, M., &amp; </w:t>
      </w:r>
      <w:proofErr w:type="spellStart"/>
      <w:r w:rsidRPr="009B49F9">
        <w:t>Mirsky</w:t>
      </w:r>
      <w:proofErr w:type="spellEnd"/>
      <w:r w:rsidRPr="009B49F9">
        <w:t>, A. (1998).</w:t>
      </w:r>
      <w:proofErr w:type="gramEnd"/>
      <w:r w:rsidRPr="009B49F9">
        <w:t xml:space="preserve"> Attentional capacities in children with autism: Is there a general deficit in shifting focus? </w:t>
      </w:r>
      <w:r w:rsidRPr="009B49F9">
        <w:rPr>
          <w:i/>
        </w:rPr>
        <w:t>Journal of Autism and Developmental Disorders, 28</w:t>
      </w:r>
      <w:r w:rsidRPr="009B49F9">
        <w:t>, 467-478.</w:t>
      </w:r>
    </w:p>
    <w:p w:rsidR="00281766" w:rsidRPr="009B49F9" w:rsidRDefault="00281766" w:rsidP="00123A49">
      <w:pPr>
        <w:spacing w:line="480" w:lineRule="auto"/>
        <w:ind w:left="851" w:hanging="851"/>
      </w:pPr>
      <w:proofErr w:type="spellStart"/>
      <w:proofErr w:type="gramStart"/>
      <w:r w:rsidRPr="009B49F9">
        <w:rPr>
          <w:lang w:eastAsia="en-US"/>
        </w:rPr>
        <w:t>Perfetti</w:t>
      </w:r>
      <w:proofErr w:type="spellEnd"/>
      <w:r w:rsidRPr="009B49F9">
        <w:rPr>
          <w:lang w:eastAsia="en-US"/>
        </w:rPr>
        <w:t xml:space="preserve">, C. A. (1985) </w:t>
      </w:r>
      <w:r w:rsidRPr="009B49F9">
        <w:rPr>
          <w:i/>
          <w:iCs/>
          <w:lang w:eastAsia="en-US"/>
        </w:rPr>
        <w:t>Reading ability</w:t>
      </w:r>
      <w:r>
        <w:rPr>
          <w:i/>
          <w:iCs/>
          <w:lang w:eastAsia="en-US"/>
        </w:rPr>
        <w:t>.</w:t>
      </w:r>
      <w:proofErr w:type="gramEnd"/>
      <w:r>
        <w:rPr>
          <w:i/>
          <w:iCs/>
          <w:lang w:eastAsia="en-US"/>
        </w:rPr>
        <w:t xml:space="preserve"> </w:t>
      </w:r>
      <w:r>
        <w:rPr>
          <w:lang w:eastAsia="en-US"/>
        </w:rPr>
        <w:t>New York:</w:t>
      </w:r>
      <w:r w:rsidRPr="009B49F9">
        <w:rPr>
          <w:lang w:eastAsia="en-US"/>
        </w:rPr>
        <w:t xml:space="preserve"> Oxford Universi</w:t>
      </w:r>
      <w:r>
        <w:rPr>
          <w:lang w:eastAsia="en-US"/>
        </w:rPr>
        <w:t>ty Press</w:t>
      </w:r>
      <w:r w:rsidRPr="009B49F9">
        <w:rPr>
          <w:lang w:eastAsia="en-US"/>
        </w:rPr>
        <w:t>.</w:t>
      </w:r>
    </w:p>
    <w:p w:rsidR="00281766" w:rsidRPr="009B49F9" w:rsidRDefault="00281766" w:rsidP="00123A49">
      <w:pPr>
        <w:spacing w:line="480" w:lineRule="auto"/>
        <w:ind w:left="851" w:hanging="851"/>
      </w:pPr>
      <w:proofErr w:type="spellStart"/>
      <w:proofErr w:type="gramStart"/>
      <w:r w:rsidRPr="009B49F9">
        <w:rPr>
          <w:bCs/>
        </w:rPr>
        <w:t>Perfetti</w:t>
      </w:r>
      <w:proofErr w:type="spellEnd"/>
      <w:r w:rsidRPr="009B49F9">
        <w:t xml:space="preserve"> ,</w:t>
      </w:r>
      <w:proofErr w:type="gramEnd"/>
      <w:r w:rsidRPr="009B49F9">
        <w:t xml:space="preserve"> C</w:t>
      </w:r>
      <w:r>
        <w:t xml:space="preserve">. </w:t>
      </w:r>
      <w:r w:rsidRPr="009B49F9">
        <w:t>A</w:t>
      </w:r>
      <w:r>
        <w:t>., &amp;</w:t>
      </w:r>
      <w:r w:rsidRPr="009B49F9">
        <w:t xml:space="preserve"> </w:t>
      </w:r>
      <w:proofErr w:type="spellStart"/>
      <w:r w:rsidRPr="009B49F9">
        <w:rPr>
          <w:bCs/>
        </w:rPr>
        <w:t>Hogaboam</w:t>
      </w:r>
      <w:proofErr w:type="spellEnd"/>
      <w:r w:rsidRPr="009B49F9">
        <w:t xml:space="preserve"> , T. (</w:t>
      </w:r>
      <w:r w:rsidRPr="009B49F9">
        <w:rPr>
          <w:bCs/>
        </w:rPr>
        <w:t>1975</w:t>
      </w:r>
      <w:r w:rsidRPr="009B49F9">
        <w:t xml:space="preserve">). </w:t>
      </w:r>
      <w:proofErr w:type="gramStart"/>
      <w:r w:rsidRPr="009B49F9">
        <w:t>The relationship between single word decoding and reading comprehension skill.</w:t>
      </w:r>
      <w:proofErr w:type="gramEnd"/>
      <w:r w:rsidRPr="009B49F9">
        <w:t xml:space="preserve"> </w:t>
      </w:r>
      <w:r w:rsidRPr="009B49F9">
        <w:rPr>
          <w:i/>
        </w:rPr>
        <w:t>Journal of Educational Psychology, 67</w:t>
      </w:r>
      <w:r w:rsidRPr="009B49F9">
        <w:t xml:space="preserve">, 461-469; </w:t>
      </w:r>
    </w:p>
    <w:p w:rsidR="00281766" w:rsidRPr="009B49F9" w:rsidRDefault="00281766" w:rsidP="00123A49">
      <w:pPr>
        <w:autoSpaceDE w:val="0"/>
        <w:autoSpaceDN w:val="0"/>
        <w:adjustRightInd w:val="0"/>
        <w:spacing w:line="480" w:lineRule="auto"/>
        <w:ind w:left="851" w:hanging="851"/>
        <w:rPr>
          <w:lang w:eastAsia="en-US"/>
        </w:rPr>
      </w:pPr>
      <w:proofErr w:type="spellStart"/>
      <w:proofErr w:type="gramStart"/>
      <w:r w:rsidRPr="009B49F9">
        <w:rPr>
          <w:lang w:eastAsia="en-US"/>
        </w:rPr>
        <w:t>Perfetti</w:t>
      </w:r>
      <w:proofErr w:type="spellEnd"/>
      <w:r w:rsidRPr="009B49F9">
        <w:rPr>
          <w:lang w:eastAsia="en-US"/>
        </w:rPr>
        <w:t>, C.</w:t>
      </w:r>
      <w:r>
        <w:rPr>
          <w:lang w:eastAsia="en-US"/>
        </w:rPr>
        <w:t xml:space="preserve"> </w:t>
      </w:r>
      <w:r w:rsidRPr="009B49F9">
        <w:rPr>
          <w:lang w:eastAsia="en-US"/>
        </w:rPr>
        <w:t xml:space="preserve">A., </w:t>
      </w:r>
      <w:r>
        <w:rPr>
          <w:lang w:eastAsia="en-US"/>
        </w:rPr>
        <w:t xml:space="preserve">&amp; </w:t>
      </w:r>
      <w:proofErr w:type="spellStart"/>
      <w:r w:rsidRPr="009B49F9">
        <w:rPr>
          <w:lang w:eastAsia="en-US"/>
        </w:rPr>
        <w:t>Landi</w:t>
      </w:r>
      <w:proofErr w:type="spellEnd"/>
      <w:r w:rsidRPr="009B49F9">
        <w:rPr>
          <w:lang w:eastAsia="en-US"/>
        </w:rPr>
        <w:t>,</w:t>
      </w:r>
      <w:r>
        <w:rPr>
          <w:lang w:eastAsia="en-US"/>
        </w:rPr>
        <w:t xml:space="preserve"> </w:t>
      </w:r>
      <w:r w:rsidRPr="009B49F9">
        <w:rPr>
          <w:lang w:eastAsia="en-US"/>
        </w:rPr>
        <w:t>N.,</w:t>
      </w:r>
      <w:r>
        <w:rPr>
          <w:lang w:eastAsia="en-US"/>
        </w:rPr>
        <w:t xml:space="preserve"> </w:t>
      </w:r>
      <w:r w:rsidRPr="009B49F9">
        <w:rPr>
          <w:lang w:eastAsia="en-US"/>
        </w:rPr>
        <w:t>&amp;</w:t>
      </w:r>
      <w:r>
        <w:rPr>
          <w:lang w:eastAsia="en-US"/>
        </w:rPr>
        <w:t xml:space="preserve"> O</w:t>
      </w:r>
      <w:r w:rsidRPr="009B49F9">
        <w:rPr>
          <w:lang w:eastAsia="en-US"/>
        </w:rPr>
        <w:t>akhill, J. (2005).</w:t>
      </w:r>
      <w:proofErr w:type="gramEnd"/>
      <w:r w:rsidRPr="009B49F9">
        <w:rPr>
          <w:lang w:eastAsia="en-US"/>
        </w:rPr>
        <w:t xml:space="preserve"> </w:t>
      </w:r>
      <w:proofErr w:type="gramStart"/>
      <w:r w:rsidRPr="009B49F9">
        <w:rPr>
          <w:i/>
          <w:lang w:eastAsia="en-US"/>
        </w:rPr>
        <w:t>The acquisition of reading comprehension skill.</w:t>
      </w:r>
      <w:proofErr w:type="gramEnd"/>
      <w:r w:rsidRPr="009B49F9">
        <w:rPr>
          <w:lang w:eastAsia="en-US"/>
        </w:rPr>
        <w:t xml:space="preserve"> In M. J.</w:t>
      </w:r>
      <w:r>
        <w:rPr>
          <w:lang w:eastAsia="en-US"/>
        </w:rPr>
        <w:t xml:space="preserve"> </w:t>
      </w:r>
      <w:r w:rsidRPr="009B49F9">
        <w:rPr>
          <w:lang w:eastAsia="en-US"/>
        </w:rPr>
        <w:t>S</w:t>
      </w:r>
      <w:r>
        <w:rPr>
          <w:lang w:eastAsia="en-US"/>
        </w:rPr>
        <w:t xml:space="preserve"> </w:t>
      </w:r>
      <w:proofErr w:type="spellStart"/>
      <w:r w:rsidRPr="009B49F9">
        <w:rPr>
          <w:lang w:eastAsia="en-US"/>
        </w:rPr>
        <w:t>nowling</w:t>
      </w:r>
      <w:proofErr w:type="spellEnd"/>
      <w:r w:rsidRPr="009B49F9">
        <w:rPr>
          <w:lang w:eastAsia="en-US"/>
        </w:rPr>
        <w:t>, C.</w:t>
      </w:r>
      <w:r>
        <w:rPr>
          <w:lang w:eastAsia="en-US"/>
        </w:rPr>
        <w:t xml:space="preserve"> </w:t>
      </w:r>
      <w:r w:rsidRPr="009B49F9">
        <w:rPr>
          <w:lang w:eastAsia="en-US"/>
        </w:rPr>
        <w:t>Hulme,</w:t>
      </w:r>
      <w:r>
        <w:rPr>
          <w:lang w:eastAsia="en-US"/>
        </w:rPr>
        <w:t xml:space="preserve"> </w:t>
      </w:r>
      <w:r w:rsidRPr="009B49F9">
        <w:rPr>
          <w:lang w:eastAsia="en-US"/>
        </w:rPr>
        <w:t>&amp;</w:t>
      </w:r>
      <w:r>
        <w:rPr>
          <w:lang w:eastAsia="en-US"/>
        </w:rPr>
        <w:t xml:space="preserve"> </w:t>
      </w:r>
      <w:r w:rsidRPr="009B49F9">
        <w:rPr>
          <w:lang w:eastAsia="en-US"/>
        </w:rPr>
        <w:t>M.</w:t>
      </w:r>
      <w:r>
        <w:rPr>
          <w:lang w:eastAsia="en-US"/>
        </w:rPr>
        <w:t xml:space="preserve"> </w:t>
      </w:r>
      <w:r w:rsidRPr="009B49F9">
        <w:rPr>
          <w:lang w:eastAsia="en-US"/>
        </w:rPr>
        <w:t xml:space="preserve">Seidenberg (Eds.), </w:t>
      </w:r>
      <w:proofErr w:type="gramStart"/>
      <w:r w:rsidRPr="004A67D2">
        <w:rPr>
          <w:i/>
          <w:lang w:eastAsia="en-US"/>
        </w:rPr>
        <w:t>The</w:t>
      </w:r>
      <w:proofErr w:type="gramEnd"/>
      <w:r w:rsidRPr="004A67D2">
        <w:rPr>
          <w:i/>
          <w:lang w:eastAsia="en-US"/>
        </w:rPr>
        <w:t xml:space="preserve"> science of reading.</w:t>
      </w:r>
      <w:r w:rsidRPr="009B49F9">
        <w:rPr>
          <w:lang w:eastAsia="en-US"/>
        </w:rPr>
        <w:t xml:space="preserve"> Oxford, UK: Blackwell.</w:t>
      </w:r>
    </w:p>
    <w:p w:rsidR="00281766" w:rsidRPr="00E26E6E" w:rsidRDefault="00281766" w:rsidP="00123A49">
      <w:pPr>
        <w:spacing w:line="480" w:lineRule="auto"/>
        <w:ind w:left="851" w:hanging="851"/>
      </w:pPr>
      <w:r w:rsidRPr="009B49F9">
        <w:lastRenderedPageBreak/>
        <w:t>Ricketts, J., Bishop, D.</w:t>
      </w:r>
      <w:r>
        <w:t xml:space="preserve"> </w:t>
      </w:r>
      <w:r w:rsidRPr="009B49F9">
        <w:t xml:space="preserve">V., </w:t>
      </w:r>
      <w:proofErr w:type="spellStart"/>
      <w:r w:rsidRPr="009B49F9">
        <w:t>Pimperton</w:t>
      </w:r>
      <w:proofErr w:type="spellEnd"/>
      <w:r w:rsidRPr="009B49F9">
        <w:t xml:space="preserve">, H., &amp; Nation, K. (2011). </w:t>
      </w:r>
      <w:proofErr w:type="gramStart"/>
      <w:r w:rsidRPr="009B49F9">
        <w:t>The role of self teaching in learning orthographic and semantic aspects of new words.</w:t>
      </w:r>
      <w:proofErr w:type="gramEnd"/>
      <w:r w:rsidRPr="009B49F9">
        <w:t xml:space="preserve"> </w:t>
      </w:r>
      <w:r w:rsidRPr="009B49F9">
        <w:rPr>
          <w:i/>
        </w:rPr>
        <w:t xml:space="preserve">Scientific Studies of </w:t>
      </w:r>
      <w:r w:rsidRPr="00E26E6E">
        <w:rPr>
          <w:i/>
        </w:rPr>
        <w:t>Reading, 15,</w:t>
      </w:r>
      <w:r w:rsidRPr="00E26E6E">
        <w:t xml:space="preserve"> 47-70.  </w:t>
      </w:r>
    </w:p>
    <w:p w:rsidR="00281766" w:rsidRPr="00E26E6E" w:rsidRDefault="00A619AF" w:rsidP="00123A49">
      <w:pPr>
        <w:spacing w:line="480" w:lineRule="auto"/>
        <w:ind w:left="851" w:hanging="851"/>
        <w:rPr>
          <w:rStyle w:val="readingname274e9623cc48c54a85fb418a9cebf21a"/>
        </w:rPr>
      </w:pPr>
      <w:hyperlink r:id="rId12" w:history="1">
        <w:r w:rsidR="00281766" w:rsidRPr="00E26E6E">
          <w:rPr>
            <w:rStyle w:val="personname"/>
          </w:rPr>
          <w:t>Ricketts, J.</w:t>
        </w:r>
      </w:hyperlink>
      <w:r w:rsidR="00281766" w:rsidRPr="00E26E6E">
        <w:t xml:space="preserve"> (2011) </w:t>
      </w:r>
      <w:hyperlink r:id="rId13" w:history="1">
        <w:r w:rsidR="00281766" w:rsidRPr="00E26E6E">
          <w:t>Research review: reading comprehension in developmental disorders of language and communication.</w:t>
        </w:r>
      </w:hyperlink>
      <w:r w:rsidR="00281766" w:rsidRPr="00E26E6E">
        <w:t xml:space="preserve"> </w:t>
      </w:r>
      <w:r w:rsidR="00281766" w:rsidRPr="00E26E6E">
        <w:rPr>
          <w:i/>
        </w:rPr>
        <w:t>Journal of Child Psychology and Psychiatry, 52</w:t>
      </w:r>
      <w:r w:rsidR="00281766">
        <w:rPr>
          <w:i/>
        </w:rPr>
        <w:t>,</w:t>
      </w:r>
      <w:r w:rsidR="00281766" w:rsidRPr="00E26E6E">
        <w:t xml:space="preserve"> 1111-1123.</w:t>
      </w:r>
      <w:r w:rsidR="00281766" w:rsidRPr="00E26E6E">
        <w:rPr>
          <w:rStyle w:val="readingname274e9623cc48c54a85fb418a9cebf21a"/>
        </w:rPr>
        <w:t xml:space="preserve"> </w:t>
      </w:r>
    </w:p>
    <w:p w:rsidR="00281766" w:rsidRPr="006C3CCC" w:rsidRDefault="00A619AF" w:rsidP="006C3CCC">
      <w:pPr>
        <w:spacing w:line="480" w:lineRule="auto"/>
        <w:ind w:left="851" w:hanging="851"/>
      </w:pPr>
      <w:hyperlink r:id="rId14" w:history="1">
        <w:proofErr w:type="gramStart"/>
        <w:r w:rsidR="00281766" w:rsidRPr="00E26E6E">
          <w:rPr>
            <w:rStyle w:val="personname"/>
          </w:rPr>
          <w:t>Ricketts, J.</w:t>
        </w:r>
      </w:hyperlink>
      <w:r w:rsidR="00281766" w:rsidRPr="00E26E6E">
        <w:t xml:space="preserve">, </w:t>
      </w:r>
      <w:r w:rsidR="00281766" w:rsidRPr="00E26E6E">
        <w:rPr>
          <w:rStyle w:val="personname"/>
        </w:rPr>
        <w:t>Jones, C. R. G.</w:t>
      </w:r>
      <w:r w:rsidR="00281766" w:rsidRPr="00E26E6E">
        <w:t xml:space="preserve">, </w:t>
      </w:r>
      <w:proofErr w:type="spellStart"/>
      <w:r w:rsidR="00281766" w:rsidRPr="00E26E6E">
        <w:rPr>
          <w:rStyle w:val="personname"/>
        </w:rPr>
        <w:t>Happé</w:t>
      </w:r>
      <w:proofErr w:type="spellEnd"/>
      <w:r w:rsidR="00281766" w:rsidRPr="00E26E6E">
        <w:rPr>
          <w:rStyle w:val="personname"/>
        </w:rPr>
        <w:t>, F.</w:t>
      </w:r>
      <w:r w:rsidR="00281766">
        <w:rPr>
          <w:rStyle w:val="personname"/>
        </w:rPr>
        <w:t>,</w:t>
      </w:r>
      <w:r w:rsidR="00281766" w:rsidRPr="00E26E6E">
        <w:t xml:space="preserve"> </w:t>
      </w:r>
      <w:r w:rsidR="00281766">
        <w:t>&amp;</w:t>
      </w:r>
      <w:r w:rsidR="00281766" w:rsidRPr="00E26E6E">
        <w:t xml:space="preserve"> </w:t>
      </w:r>
      <w:proofErr w:type="spellStart"/>
      <w:r w:rsidR="00281766" w:rsidRPr="00E26E6E">
        <w:rPr>
          <w:rStyle w:val="personname"/>
        </w:rPr>
        <w:t>Charman</w:t>
      </w:r>
      <w:proofErr w:type="spellEnd"/>
      <w:r w:rsidR="00281766" w:rsidRPr="00E26E6E">
        <w:rPr>
          <w:rStyle w:val="personname"/>
        </w:rPr>
        <w:t>, T.</w:t>
      </w:r>
      <w:r w:rsidR="00281766" w:rsidRPr="00E26E6E">
        <w:t xml:space="preserve"> (2013)</w:t>
      </w:r>
      <w:r w:rsidR="00281766">
        <w:t>.</w:t>
      </w:r>
      <w:proofErr w:type="gramEnd"/>
      <w:r w:rsidR="00281766" w:rsidRPr="00E26E6E">
        <w:t xml:space="preserve"> </w:t>
      </w:r>
      <w:hyperlink r:id="rId15" w:history="1">
        <w:proofErr w:type="gramStart"/>
        <w:r w:rsidR="00281766" w:rsidRPr="00E26E6E">
          <w:t>Reading comprehension in autism spectrum disorders: The role of oral language and social functioning.</w:t>
        </w:r>
        <w:proofErr w:type="gramEnd"/>
      </w:hyperlink>
      <w:r w:rsidR="00281766" w:rsidRPr="00E26E6E">
        <w:t xml:space="preserve"> </w:t>
      </w:r>
      <w:r w:rsidR="00281766" w:rsidRPr="00E26E6E">
        <w:rPr>
          <w:i/>
        </w:rPr>
        <w:t xml:space="preserve">Journal </w:t>
      </w:r>
      <w:r w:rsidR="00281766" w:rsidRPr="006C3CCC">
        <w:rPr>
          <w:i/>
        </w:rPr>
        <w:t>of Autism and Developmental Disorders, 43</w:t>
      </w:r>
      <w:r w:rsidR="00281766" w:rsidRPr="006C3CCC">
        <w:t xml:space="preserve">, 807-816. </w:t>
      </w:r>
    </w:p>
    <w:p w:rsidR="00281766" w:rsidRPr="006C3CCC" w:rsidRDefault="00281766" w:rsidP="006C3CCC">
      <w:pPr>
        <w:spacing w:line="480" w:lineRule="auto"/>
        <w:ind w:left="851" w:hanging="851"/>
      </w:pPr>
      <w:proofErr w:type="gramStart"/>
      <w:r w:rsidRPr="006C3CCC">
        <w:rPr>
          <w:bCs/>
          <w:lang w:val="en-US"/>
        </w:rPr>
        <w:t xml:space="preserve">Roberts, J., Mabel, A., Rice, L., &amp; </w:t>
      </w:r>
      <w:proofErr w:type="spellStart"/>
      <w:r w:rsidRPr="006C3CCC">
        <w:rPr>
          <w:bCs/>
          <w:lang w:val="en-US"/>
        </w:rPr>
        <w:t>Tager-Flusberg</w:t>
      </w:r>
      <w:proofErr w:type="spellEnd"/>
      <w:r w:rsidRPr="006C3CCC">
        <w:rPr>
          <w:bCs/>
          <w:lang w:val="en-US"/>
        </w:rPr>
        <w:t>, H. (2004).</w:t>
      </w:r>
      <w:proofErr w:type="gramEnd"/>
      <w:r w:rsidRPr="006C3CCC">
        <w:rPr>
          <w:bCs/>
          <w:lang w:val="en-US"/>
        </w:rPr>
        <w:t xml:space="preserve"> </w:t>
      </w:r>
      <w:proofErr w:type="gramStart"/>
      <w:r w:rsidRPr="006C3CCC">
        <w:rPr>
          <w:bCs/>
          <w:lang w:val="en-US"/>
        </w:rPr>
        <w:t>Tense marking in</w:t>
      </w:r>
      <w:r w:rsidRPr="006C3CCC">
        <w:rPr>
          <w:bCs/>
        </w:rPr>
        <w:t xml:space="preserve"> </w:t>
      </w:r>
      <w:r w:rsidRPr="006C3CCC">
        <w:rPr>
          <w:bCs/>
          <w:lang w:val="en-US"/>
        </w:rPr>
        <w:t>children with autism.</w:t>
      </w:r>
      <w:proofErr w:type="gramEnd"/>
      <w:r w:rsidRPr="006C3CCC">
        <w:rPr>
          <w:bCs/>
          <w:lang w:val="en-US"/>
        </w:rPr>
        <w:t xml:space="preserve"> </w:t>
      </w:r>
      <w:proofErr w:type="gramStart"/>
      <w:r w:rsidRPr="006C3CCC">
        <w:rPr>
          <w:bCs/>
          <w:i/>
          <w:lang w:val="en-US"/>
        </w:rPr>
        <w:t>Applied Psycholinguistics, 25</w:t>
      </w:r>
      <w:r w:rsidRPr="006C3CCC">
        <w:rPr>
          <w:bCs/>
          <w:lang w:val="en-US"/>
        </w:rPr>
        <w:t>, 429-448.</w:t>
      </w:r>
      <w:proofErr w:type="gramEnd"/>
    </w:p>
    <w:p w:rsidR="00281766" w:rsidRPr="00312B46" w:rsidRDefault="00281766" w:rsidP="006C3CCC">
      <w:pPr>
        <w:spacing w:line="480" w:lineRule="auto"/>
        <w:ind w:left="851" w:hanging="851"/>
      </w:pPr>
      <w:proofErr w:type="gramStart"/>
      <w:r w:rsidRPr="009B49F9">
        <w:t xml:space="preserve">Rutter, M., Le </w:t>
      </w:r>
      <w:proofErr w:type="spellStart"/>
      <w:r w:rsidRPr="009B49F9">
        <w:t>Couteur</w:t>
      </w:r>
      <w:proofErr w:type="spellEnd"/>
      <w:r w:rsidRPr="009B49F9">
        <w:t>, A., &amp; Lord, C. (2003).</w:t>
      </w:r>
      <w:proofErr w:type="gramEnd"/>
      <w:r w:rsidRPr="009B49F9">
        <w:t xml:space="preserve"> </w:t>
      </w:r>
      <w:r w:rsidRPr="007A36E0">
        <w:rPr>
          <w:i/>
        </w:rPr>
        <w:t>Autism Diagnostic Interview – Revised</w:t>
      </w:r>
      <w:r w:rsidRPr="009B49F9">
        <w:t xml:space="preserve"> (ADI-</w:t>
      </w:r>
      <w:r w:rsidRPr="00312B46">
        <w:t xml:space="preserve">R). </w:t>
      </w:r>
    </w:p>
    <w:p w:rsidR="00281766" w:rsidRPr="00312B46" w:rsidRDefault="00281766" w:rsidP="00312B46">
      <w:pPr>
        <w:spacing w:line="480" w:lineRule="auto"/>
        <w:ind w:left="851" w:hanging="851"/>
      </w:pPr>
      <w:proofErr w:type="spellStart"/>
      <w:proofErr w:type="gramStart"/>
      <w:r w:rsidRPr="00312B46">
        <w:rPr>
          <w:lang w:eastAsia="en-US"/>
        </w:rPr>
        <w:t>Snowling</w:t>
      </w:r>
      <w:proofErr w:type="spellEnd"/>
      <w:r w:rsidRPr="00312B46">
        <w:rPr>
          <w:lang w:eastAsia="en-US"/>
        </w:rPr>
        <w:t xml:space="preserve">, M. J., </w:t>
      </w:r>
      <w:proofErr w:type="spellStart"/>
      <w:r w:rsidRPr="00312B46">
        <w:rPr>
          <w:lang w:eastAsia="en-US"/>
        </w:rPr>
        <w:t>Stothard</w:t>
      </w:r>
      <w:proofErr w:type="spellEnd"/>
      <w:r w:rsidRPr="00312B46">
        <w:rPr>
          <w:lang w:eastAsia="en-US"/>
        </w:rPr>
        <w:t>, S. E., Clarke, P., Bowyer-Crane, C., Harrington, A., Truelove, E., &amp; Hulme, C. (2009).</w:t>
      </w:r>
      <w:proofErr w:type="gramEnd"/>
      <w:r w:rsidRPr="00312B46">
        <w:rPr>
          <w:lang w:eastAsia="en-US"/>
        </w:rPr>
        <w:t xml:space="preserve"> </w:t>
      </w:r>
      <w:proofErr w:type="gramStart"/>
      <w:r w:rsidRPr="00312B46">
        <w:rPr>
          <w:i/>
          <w:iCs/>
          <w:lang w:eastAsia="en-US"/>
        </w:rPr>
        <w:t>York Assessment of Reading for Comprehension</w:t>
      </w:r>
      <w:r w:rsidRPr="00312B46">
        <w:rPr>
          <w:lang w:eastAsia="en-US"/>
        </w:rPr>
        <w:t>.</w:t>
      </w:r>
      <w:proofErr w:type="gramEnd"/>
      <w:r w:rsidRPr="00312B46">
        <w:rPr>
          <w:lang w:eastAsia="en-US"/>
        </w:rPr>
        <w:t xml:space="preserve"> </w:t>
      </w:r>
      <w:proofErr w:type="gramStart"/>
      <w:r w:rsidRPr="00312B46">
        <w:rPr>
          <w:i/>
          <w:iCs/>
          <w:lang w:eastAsia="en-US"/>
        </w:rPr>
        <w:t>GL Assessment.</w:t>
      </w:r>
      <w:proofErr w:type="gramEnd"/>
    </w:p>
    <w:p w:rsidR="00281766" w:rsidRPr="009B49F9" w:rsidRDefault="00281766" w:rsidP="00123A49">
      <w:pPr>
        <w:spacing w:line="480" w:lineRule="auto"/>
        <w:ind w:left="851" w:hanging="851"/>
      </w:pPr>
      <w:proofErr w:type="spellStart"/>
      <w:proofErr w:type="gramStart"/>
      <w:r w:rsidRPr="00312B46">
        <w:t>Snowling</w:t>
      </w:r>
      <w:proofErr w:type="spellEnd"/>
      <w:r w:rsidRPr="00312B46">
        <w:t>, M.</w:t>
      </w:r>
      <w:r>
        <w:t xml:space="preserve"> </w:t>
      </w:r>
      <w:r w:rsidRPr="00312B46">
        <w:t xml:space="preserve">J., </w:t>
      </w:r>
      <w:proofErr w:type="spellStart"/>
      <w:r w:rsidRPr="00312B46">
        <w:t>Stothard</w:t>
      </w:r>
      <w:proofErr w:type="spellEnd"/>
      <w:r w:rsidRPr="00312B46">
        <w:t>, S.</w:t>
      </w:r>
      <w:r>
        <w:t xml:space="preserve"> </w:t>
      </w:r>
      <w:r w:rsidRPr="00312B46">
        <w:t>E., &amp; McLean, J. (1996).</w:t>
      </w:r>
      <w:proofErr w:type="gramEnd"/>
      <w:r w:rsidRPr="00312B46">
        <w:t xml:space="preserve"> </w:t>
      </w:r>
      <w:r w:rsidRPr="00312B46">
        <w:rPr>
          <w:i/>
        </w:rPr>
        <w:t>The Graded</w:t>
      </w:r>
      <w:r w:rsidRPr="009B49F9">
        <w:rPr>
          <w:i/>
        </w:rPr>
        <w:t xml:space="preserve"> Non-word Reading Test</w:t>
      </w:r>
      <w:r w:rsidRPr="009B49F9">
        <w:t xml:space="preserve">. Reading: Thames Valley Test Company. </w:t>
      </w:r>
    </w:p>
    <w:p w:rsidR="00281766" w:rsidRPr="009B49F9" w:rsidRDefault="00281766" w:rsidP="00123A49">
      <w:pPr>
        <w:autoSpaceDE w:val="0"/>
        <w:autoSpaceDN w:val="0"/>
        <w:adjustRightInd w:val="0"/>
        <w:spacing w:line="480" w:lineRule="auto"/>
        <w:ind w:left="851" w:hanging="851"/>
        <w:rPr>
          <w:lang w:eastAsia="en-US"/>
        </w:rPr>
      </w:pPr>
      <w:proofErr w:type="spellStart"/>
      <w:r w:rsidRPr="009B49F9">
        <w:rPr>
          <w:lang w:eastAsia="en-US"/>
        </w:rPr>
        <w:t>Stothard</w:t>
      </w:r>
      <w:proofErr w:type="spellEnd"/>
      <w:r w:rsidRPr="009B49F9">
        <w:rPr>
          <w:lang w:eastAsia="en-US"/>
        </w:rPr>
        <w:t>, S. E.</w:t>
      </w:r>
      <w:r>
        <w:rPr>
          <w:lang w:eastAsia="en-US"/>
        </w:rPr>
        <w:t>,</w:t>
      </w:r>
      <w:r w:rsidRPr="009B49F9">
        <w:rPr>
          <w:lang w:eastAsia="en-US"/>
        </w:rPr>
        <w:t xml:space="preserve"> &amp; Hulme, C. (1992) Reading comprehension difficulties in children: the role of language comprehension and working memory skills, </w:t>
      </w:r>
      <w:r w:rsidRPr="009B49F9">
        <w:rPr>
          <w:i/>
          <w:iCs/>
          <w:lang w:eastAsia="en-US"/>
        </w:rPr>
        <w:t xml:space="preserve">Reading &amp; Writing, </w:t>
      </w:r>
      <w:r w:rsidRPr="00EA624B">
        <w:rPr>
          <w:i/>
          <w:lang w:eastAsia="en-US"/>
        </w:rPr>
        <w:t>4,</w:t>
      </w:r>
      <w:r w:rsidRPr="009B49F9">
        <w:rPr>
          <w:lang w:eastAsia="en-US"/>
        </w:rPr>
        <w:t xml:space="preserve"> 245–256.</w:t>
      </w:r>
    </w:p>
    <w:p w:rsidR="00281766" w:rsidRPr="009B49F9" w:rsidRDefault="00281766" w:rsidP="00123A49">
      <w:pPr>
        <w:spacing w:line="480" w:lineRule="auto"/>
        <w:ind w:left="851" w:hanging="851"/>
      </w:pPr>
      <w:proofErr w:type="spellStart"/>
      <w:r w:rsidRPr="009B49F9">
        <w:t>Towgood</w:t>
      </w:r>
      <w:proofErr w:type="spellEnd"/>
      <w:r w:rsidRPr="009B49F9">
        <w:t>, K.</w:t>
      </w:r>
      <w:r>
        <w:t xml:space="preserve"> </w:t>
      </w:r>
      <w:r w:rsidRPr="009B49F9">
        <w:t xml:space="preserve">J., </w:t>
      </w:r>
      <w:proofErr w:type="spellStart"/>
      <w:r w:rsidRPr="009B49F9">
        <w:t>Meuwese</w:t>
      </w:r>
      <w:proofErr w:type="spellEnd"/>
      <w:r w:rsidRPr="009B49F9">
        <w:t>, J.</w:t>
      </w:r>
      <w:r>
        <w:t xml:space="preserve"> </w:t>
      </w:r>
      <w:r w:rsidRPr="009B49F9">
        <w:t>D.</w:t>
      </w:r>
      <w:r>
        <w:t xml:space="preserve"> </w:t>
      </w:r>
      <w:r w:rsidRPr="009B49F9">
        <w:t>I., Gilbert, S.</w:t>
      </w:r>
      <w:r>
        <w:t xml:space="preserve"> </w:t>
      </w:r>
      <w:r w:rsidRPr="009B49F9">
        <w:t>J., Turner, M.</w:t>
      </w:r>
      <w:r>
        <w:t xml:space="preserve"> </w:t>
      </w:r>
      <w:r w:rsidRPr="009B49F9">
        <w:t xml:space="preserve">S., </w:t>
      </w:r>
      <w:r>
        <w:t xml:space="preserve">&amp; </w:t>
      </w:r>
      <w:r w:rsidRPr="009B49F9">
        <w:t>Burgess, P.</w:t>
      </w:r>
      <w:r>
        <w:t xml:space="preserve"> </w:t>
      </w:r>
      <w:r w:rsidRPr="009B49F9">
        <w:t xml:space="preserve">W. (2009). Advantages of the multiple case series approach to the study of cognitive deficits in autism spectrum disorder. </w:t>
      </w:r>
      <w:proofErr w:type="spellStart"/>
      <w:r w:rsidRPr="009B49F9">
        <w:rPr>
          <w:i/>
        </w:rPr>
        <w:t>Neuropsychologia</w:t>
      </w:r>
      <w:proofErr w:type="spellEnd"/>
      <w:r w:rsidRPr="009B49F9">
        <w:rPr>
          <w:i/>
        </w:rPr>
        <w:t>, 47</w:t>
      </w:r>
      <w:r w:rsidRPr="009B49F9">
        <w:t xml:space="preserve">, 2981-2988. </w:t>
      </w:r>
    </w:p>
    <w:p w:rsidR="00281766" w:rsidRPr="009B49F9" w:rsidRDefault="00281766" w:rsidP="00123A49">
      <w:pPr>
        <w:spacing w:line="480" w:lineRule="auto"/>
        <w:ind w:left="851" w:hanging="851"/>
      </w:pPr>
      <w:proofErr w:type="spellStart"/>
      <w:proofErr w:type="gramStart"/>
      <w:r w:rsidRPr="009B49F9">
        <w:lastRenderedPageBreak/>
        <w:t>Vellutino</w:t>
      </w:r>
      <w:proofErr w:type="spellEnd"/>
      <w:r w:rsidRPr="009B49F9">
        <w:t>, F.</w:t>
      </w:r>
      <w:r>
        <w:t xml:space="preserve"> </w:t>
      </w:r>
      <w:r w:rsidRPr="009B49F9">
        <w:t>R., Fletcher, J.</w:t>
      </w:r>
      <w:r>
        <w:t xml:space="preserve"> </w:t>
      </w:r>
      <w:r w:rsidRPr="009B49F9">
        <w:t xml:space="preserve">M., </w:t>
      </w:r>
      <w:proofErr w:type="spellStart"/>
      <w:r w:rsidRPr="009B49F9">
        <w:t>Snowling</w:t>
      </w:r>
      <w:proofErr w:type="spellEnd"/>
      <w:r w:rsidRPr="009B49F9">
        <w:t>, M.</w:t>
      </w:r>
      <w:r>
        <w:t xml:space="preserve"> </w:t>
      </w:r>
      <w:r w:rsidRPr="009B49F9">
        <w:t>J., &amp; Scanlon, D.</w:t>
      </w:r>
      <w:r>
        <w:t xml:space="preserve"> </w:t>
      </w:r>
      <w:r w:rsidRPr="009B49F9">
        <w:t>M. (2004).</w:t>
      </w:r>
      <w:proofErr w:type="gramEnd"/>
      <w:r w:rsidRPr="009B49F9">
        <w:t xml:space="preserve"> Specific reading disability (dyslexia): What have we learned in the past four decades? </w:t>
      </w:r>
      <w:r w:rsidRPr="009B49F9">
        <w:rPr>
          <w:i/>
        </w:rPr>
        <w:t>Journal of Child Psychology and Psychiatry, 45</w:t>
      </w:r>
      <w:r w:rsidRPr="009B49F9">
        <w:t xml:space="preserve">, 2-40. </w:t>
      </w:r>
    </w:p>
    <w:p w:rsidR="00281766" w:rsidRPr="009B49F9" w:rsidRDefault="00281766" w:rsidP="00123A49">
      <w:pPr>
        <w:pStyle w:val="NormalWeb"/>
        <w:spacing w:line="480" w:lineRule="auto"/>
        <w:ind w:left="851" w:hanging="851"/>
        <w:rPr>
          <w:color w:val="auto"/>
        </w:rPr>
      </w:pPr>
      <w:proofErr w:type="spellStart"/>
      <w:r w:rsidRPr="00EA624B">
        <w:rPr>
          <w:color w:val="auto"/>
          <w:lang w:val="fr-FR"/>
        </w:rPr>
        <w:t>Vellutino</w:t>
      </w:r>
      <w:proofErr w:type="spellEnd"/>
      <w:r w:rsidRPr="00EA624B">
        <w:rPr>
          <w:color w:val="auto"/>
          <w:lang w:val="fr-FR"/>
        </w:rPr>
        <w:t xml:space="preserve">, F., </w:t>
      </w:r>
      <w:proofErr w:type="spellStart"/>
      <w:r w:rsidRPr="00EA624B">
        <w:rPr>
          <w:color w:val="auto"/>
          <w:lang w:val="fr-FR"/>
        </w:rPr>
        <w:t>Tunmer</w:t>
      </w:r>
      <w:proofErr w:type="spellEnd"/>
      <w:r w:rsidRPr="00EA624B">
        <w:rPr>
          <w:color w:val="auto"/>
          <w:lang w:val="fr-FR"/>
        </w:rPr>
        <w:t>, W. E., Jaccard, J.</w:t>
      </w:r>
      <w:r>
        <w:rPr>
          <w:color w:val="auto"/>
          <w:lang w:val="fr-FR"/>
        </w:rPr>
        <w:t xml:space="preserve"> </w:t>
      </w:r>
      <w:r w:rsidRPr="00EA624B">
        <w:rPr>
          <w:color w:val="auto"/>
          <w:lang w:val="fr-FR"/>
        </w:rPr>
        <w:t xml:space="preserve">J., &amp; Chen, R. (2007). </w:t>
      </w:r>
      <w:r w:rsidRPr="009B49F9">
        <w:rPr>
          <w:color w:val="auto"/>
        </w:rPr>
        <w:t xml:space="preserve">Components of reading ability: Multivariate evidence for a convergent skills model of reading development. </w:t>
      </w:r>
      <w:r w:rsidRPr="009B49F9">
        <w:rPr>
          <w:i/>
          <w:color w:val="auto"/>
        </w:rPr>
        <w:t>Scientific Studies of Reading, 11</w:t>
      </w:r>
      <w:r w:rsidRPr="009B49F9">
        <w:rPr>
          <w:color w:val="auto"/>
        </w:rPr>
        <w:t xml:space="preserve">, 3-32. </w:t>
      </w:r>
    </w:p>
    <w:p w:rsidR="00281766" w:rsidRPr="009B49F9" w:rsidRDefault="00281766" w:rsidP="00123A49">
      <w:pPr>
        <w:autoSpaceDE w:val="0"/>
        <w:autoSpaceDN w:val="0"/>
        <w:adjustRightInd w:val="0"/>
        <w:spacing w:line="480" w:lineRule="auto"/>
        <w:ind w:left="851" w:hanging="851"/>
        <w:rPr>
          <w:lang w:eastAsia="en-US"/>
        </w:rPr>
      </w:pPr>
      <w:proofErr w:type="spellStart"/>
      <w:proofErr w:type="gramStart"/>
      <w:r w:rsidRPr="009B49F9">
        <w:rPr>
          <w:lang w:eastAsia="en-US"/>
        </w:rPr>
        <w:t>Walenski</w:t>
      </w:r>
      <w:proofErr w:type="spellEnd"/>
      <w:r w:rsidRPr="009B49F9">
        <w:rPr>
          <w:lang w:eastAsia="en-US"/>
        </w:rPr>
        <w:t xml:space="preserve">, M., </w:t>
      </w:r>
      <w:proofErr w:type="spellStart"/>
      <w:r w:rsidRPr="009B49F9">
        <w:rPr>
          <w:lang w:eastAsia="en-US"/>
        </w:rPr>
        <w:t>Mostofsky</w:t>
      </w:r>
      <w:proofErr w:type="spellEnd"/>
      <w:r w:rsidRPr="009B49F9">
        <w:rPr>
          <w:lang w:eastAsia="en-US"/>
        </w:rPr>
        <w:t>, S. H., Gidley-Larson, J. C., &amp; Ullman, M. T. (2008).</w:t>
      </w:r>
      <w:proofErr w:type="gramEnd"/>
      <w:r w:rsidRPr="009B49F9">
        <w:rPr>
          <w:lang w:eastAsia="en-US"/>
        </w:rPr>
        <w:t xml:space="preserve"> Brief Report: Enhanced picture naming in autism. </w:t>
      </w:r>
      <w:r w:rsidRPr="009B49F9">
        <w:rPr>
          <w:i/>
          <w:iCs/>
          <w:lang w:eastAsia="en-US"/>
        </w:rPr>
        <w:t>Journal of Autism and Developmental Disorders,</w:t>
      </w:r>
      <w:r w:rsidRPr="009B49F9">
        <w:rPr>
          <w:lang w:eastAsia="en-US"/>
        </w:rPr>
        <w:t xml:space="preserve"> </w:t>
      </w:r>
      <w:r w:rsidRPr="009B49F9">
        <w:rPr>
          <w:i/>
          <w:iCs/>
          <w:lang w:eastAsia="en-US"/>
        </w:rPr>
        <w:t>38</w:t>
      </w:r>
      <w:r w:rsidRPr="009B49F9">
        <w:rPr>
          <w:lang w:eastAsia="en-US"/>
        </w:rPr>
        <w:t>, 1395-1399.</w:t>
      </w:r>
    </w:p>
    <w:p w:rsidR="00281766" w:rsidRPr="009B49F9" w:rsidRDefault="00281766" w:rsidP="00123A49">
      <w:pPr>
        <w:autoSpaceDE w:val="0"/>
        <w:autoSpaceDN w:val="0"/>
        <w:adjustRightInd w:val="0"/>
        <w:spacing w:line="480" w:lineRule="auto"/>
        <w:ind w:left="851" w:hanging="851"/>
        <w:rPr>
          <w:lang w:eastAsia="en-US"/>
        </w:rPr>
      </w:pPr>
      <w:proofErr w:type="gramStart"/>
      <w:r w:rsidRPr="009B49F9">
        <w:rPr>
          <w:lang w:eastAsia="en-US"/>
        </w:rPr>
        <w:t xml:space="preserve">White, S., Frith, U., Milne, E., Rosen, S., </w:t>
      </w:r>
      <w:proofErr w:type="spellStart"/>
      <w:r w:rsidRPr="009B49F9">
        <w:rPr>
          <w:lang w:eastAsia="en-US"/>
        </w:rPr>
        <w:t>Swettenham</w:t>
      </w:r>
      <w:proofErr w:type="spellEnd"/>
      <w:r w:rsidRPr="009B49F9">
        <w:rPr>
          <w:lang w:eastAsia="en-US"/>
        </w:rPr>
        <w:t>, J., &amp; Ramus, F. (2006).</w:t>
      </w:r>
      <w:proofErr w:type="gramEnd"/>
      <w:r w:rsidRPr="009B49F9">
        <w:rPr>
          <w:lang w:eastAsia="en-US"/>
        </w:rPr>
        <w:t xml:space="preserve"> A double dissociation between sensorimotor impairments and reading disability: A comparison of autistic and dyslexic children. </w:t>
      </w:r>
      <w:r w:rsidRPr="009B49F9">
        <w:rPr>
          <w:i/>
          <w:lang w:eastAsia="en-US"/>
        </w:rPr>
        <w:t>Cognitive Neuropsychology, 23</w:t>
      </w:r>
      <w:r w:rsidRPr="009B49F9">
        <w:rPr>
          <w:lang w:eastAsia="en-US"/>
        </w:rPr>
        <w:t>, 748–761.</w:t>
      </w:r>
    </w:p>
    <w:p w:rsidR="00281766" w:rsidRDefault="00281766" w:rsidP="00123A49">
      <w:pPr>
        <w:spacing w:after="200" w:line="276" w:lineRule="auto"/>
      </w:pPr>
      <w:r>
        <w:br w:type="page"/>
      </w:r>
    </w:p>
    <w:p w:rsidR="00281766" w:rsidRDefault="00281766" w:rsidP="00123A49">
      <w:pPr>
        <w:spacing w:after="200" w:line="480" w:lineRule="auto"/>
      </w:pPr>
      <w:proofErr w:type="gramStart"/>
      <w:r>
        <w:lastRenderedPageBreak/>
        <w:t>Figure 1.</w:t>
      </w:r>
      <w:proofErr w:type="gramEnd"/>
      <w:r>
        <w:t xml:space="preserve"> </w:t>
      </w:r>
      <w:proofErr w:type="gramStart"/>
      <w:r>
        <w:t xml:space="preserve">Box plots of standard scores for word reading, text reading and comprehension and receptive vocabulary and raw scores for </w:t>
      </w:r>
      <w:proofErr w:type="spellStart"/>
      <w:r>
        <w:t>nonword</w:t>
      </w:r>
      <w:proofErr w:type="spellEnd"/>
      <w:r>
        <w:t xml:space="preserve"> decoding, for the ASD and TD groups.</w:t>
      </w:r>
      <w:proofErr w:type="gramEnd"/>
      <w:r>
        <w:t xml:space="preserve"> </w:t>
      </w:r>
    </w:p>
    <w:p w:rsidR="00281766" w:rsidRDefault="00281766" w:rsidP="00123A49">
      <w:pPr>
        <w:spacing w:after="200" w:line="480" w:lineRule="auto"/>
      </w:pPr>
    </w:p>
    <w:p w:rsidR="00281766" w:rsidRDefault="00281766" w:rsidP="00123A49">
      <w:pPr>
        <w:spacing w:after="200" w:line="480" w:lineRule="auto"/>
        <w:ind w:left="851" w:hanging="851"/>
      </w:pPr>
    </w:p>
    <w:p w:rsidR="00281766" w:rsidRDefault="0015478C" w:rsidP="00123A49">
      <w:pPr>
        <w:autoSpaceDE w:val="0"/>
        <w:autoSpaceDN w:val="0"/>
        <w:adjustRightInd w:val="0"/>
        <w:rPr>
          <w:lang w:eastAsia="en-US"/>
        </w:rPr>
      </w:pPr>
      <w:r>
        <w:rPr>
          <w:noProof/>
        </w:rPr>
        <w:drawing>
          <wp:inline distT="0" distB="0" distL="0" distR="0">
            <wp:extent cx="5727700" cy="4584700"/>
            <wp:effectExtent l="0" t="0" r="1270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4584700"/>
                    </a:xfrm>
                    <a:prstGeom prst="rect">
                      <a:avLst/>
                    </a:prstGeom>
                    <a:noFill/>
                    <a:ln>
                      <a:noFill/>
                    </a:ln>
                  </pic:spPr>
                </pic:pic>
              </a:graphicData>
            </a:graphic>
          </wp:inline>
        </w:drawing>
      </w:r>
    </w:p>
    <w:p w:rsidR="00281766" w:rsidRDefault="00281766" w:rsidP="00123A49">
      <w:pPr>
        <w:autoSpaceDE w:val="0"/>
        <w:autoSpaceDN w:val="0"/>
        <w:adjustRightInd w:val="0"/>
        <w:rPr>
          <w:lang w:eastAsia="en-US"/>
        </w:rPr>
      </w:pPr>
    </w:p>
    <w:p w:rsidR="00281766" w:rsidRDefault="00281766" w:rsidP="00123A49">
      <w:pPr>
        <w:autoSpaceDE w:val="0"/>
        <w:autoSpaceDN w:val="0"/>
        <w:adjustRightInd w:val="0"/>
        <w:spacing w:line="400" w:lineRule="atLeast"/>
        <w:rPr>
          <w:lang w:eastAsia="en-US"/>
        </w:rPr>
      </w:pPr>
    </w:p>
    <w:p w:rsidR="00281766" w:rsidRDefault="00281766" w:rsidP="00123A49">
      <w:pPr>
        <w:spacing w:after="200" w:line="480" w:lineRule="auto"/>
        <w:ind w:left="851" w:hanging="851"/>
        <w:sectPr w:rsidR="00281766" w:rsidSect="00AB1F45">
          <w:headerReference w:type="default" r:id="rId17"/>
          <w:pgSz w:w="11906" w:h="16838"/>
          <w:pgMar w:top="1440" w:right="1440" w:bottom="1440" w:left="1440" w:header="708" w:footer="708" w:gutter="0"/>
          <w:cols w:space="708"/>
          <w:docGrid w:linePitch="360"/>
        </w:sectPr>
      </w:pPr>
    </w:p>
    <w:p w:rsidR="00281766" w:rsidRDefault="00281766" w:rsidP="00123A49">
      <w:pPr>
        <w:spacing w:after="200" w:line="276" w:lineRule="auto"/>
        <w:rPr>
          <w:b/>
        </w:rPr>
      </w:pPr>
    </w:p>
    <w:p w:rsidR="00FD0D9D" w:rsidRPr="00C6087B" w:rsidRDefault="00FD0D9D" w:rsidP="00FD0D9D">
      <w:pPr>
        <w:spacing w:line="480" w:lineRule="auto"/>
      </w:pPr>
      <w:proofErr w:type="gramStart"/>
      <w:r w:rsidRPr="00C6087B">
        <w:t xml:space="preserve">Table </w:t>
      </w:r>
      <w:r>
        <w:t>1</w:t>
      </w:r>
      <w:r w:rsidRPr="00C6087B">
        <w:t>.</w:t>
      </w:r>
      <w:proofErr w:type="gramEnd"/>
      <w:r w:rsidRPr="00C6087B">
        <w:t xml:space="preserve"> </w:t>
      </w:r>
      <w:r>
        <w:t>Performance on standardised measures of reading and language</w:t>
      </w:r>
      <w:r w:rsidRPr="00C6087B">
        <w:t xml:space="preserve"> for the ASD group and </w:t>
      </w:r>
      <w:r>
        <w:t>Reading Matched TD peers</w:t>
      </w:r>
      <w:r w:rsidRPr="00C6087B">
        <w:t xml:space="preserve">. </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3028"/>
        <w:gridCol w:w="2163"/>
        <w:gridCol w:w="1587"/>
        <w:gridCol w:w="2163"/>
        <w:gridCol w:w="2021"/>
        <w:gridCol w:w="1712"/>
        <w:gridCol w:w="1500"/>
      </w:tblGrid>
      <w:tr w:rsidR="00FD0D9D" w:rsidRPr="00C6087B" w:rsidTr="00003C67">
        <w:tc>
          <w:tcPr>
            <w:tcW w:w="1068" w:type="pct"/>
          </w:tcPr>
          <w:p w:rsidR="00FD0D9D" w:rsidRPr="00C6087B" w:rsidRDefault="00FD0D9D" w:rsidP="00003C67">
            <w:pPr>
              <w:spacing w:line="480" w:lineRule="auto"/>
            </w:pPr>
          </w:p>
        </w:tc>
        <w:tc>
          <w:tcPr>
            <w:tcW w:w="1323" w:type="pct"/>
            <w:gridSpan w:val="2"/>
          </w:tcPr>
          <w:p w:rsidR="00FD0D9D" w:rsidRPr="00C6087B" w:rsidRDefault="00FD0D9D" w:rsidP="00003C67">
            <w:pPr>
              <w:spacing w:line="480" w:lineRule="auto"/>
              <w:jc w:val="center"/>
            </w:pPr>
            <w:r w:rsidRPr="00C6087B">
              <w:t>ASD group (</w:t>
            </w:r>
            <w:r w:rsidRPr="00C6087B">
              <w:rPr>
                <w:i/>
              </w:rPr>
              <w:t>n</w:t>
            </w:r>
            <w:r w:rsidRPr="00C6087B">
              <w:t xml:space="preserve"> = 25)</w:t>
            </w:r>
          </w:p>
        </w:tc>
        <w:tc>
          <w:tcPr>
            <w:tcW w:w="1476" w:type="pct"/>
            <w:gridSpan w:val="2"/>
          </w:tcPr>
          <w:p w:rsidR="00FD0D9D" w:rsidRPr="00C6087B" w:rsidRDefault="00FD0D9D" w:rsidP="00003C67">
            <w:pPr>
              <w:spacing w:line="480" w:lineRule="auto"/>
              <w:jc w:val="center"/>
            </w:pPr>
            <w:r>
              <w:t>Reading Matched TD group</w:t>
            </w:r>
            <w:r w:rsidRPr="00C6087B">
              <w:t xml:space="preserve"> (</w:t>
            </w:r>
            <w:r w:rsidRPr="00C6087B">
              <w:rPr>
                <w:i/>
              </w:rPr>
              <w:t>n</w:t>
            </w:r>
            <w:r w:rsidRPr="00C6087B">
              <w:t xml:space="preserve"> = 25)</w:t>
            </w:r>
          </w:p>
        </w:tc>
        <w:tc>
          <w:tcPr>
            <w:tcW w:w="604" w:type="pct"/>
          </w:tcPr>
          <w:p w:rsidR="00FD0D9D" w:rsidRPr="00C6087B" w:rsidRDefault="00FD0D9D" w:rsidP="00003C67">
            <w:pPr>
              <w:spacing w:line="480" w:lineRule="auto"/>
              <w:jc w:val="center"/>
            </w:pPr>
          </w:p>
        </w:tc>
        <w:tc>
          <w:tcPr>
            <w:tcW w:w="529" w:type="pct"/>
          </w:tcPr>
          <w:p w:rsidR="00FD0D9D" w:rsidRPr="00C6087B" w:rsidRDefault="00FD0D9D" w:rsidP="00003C67">
            <w:pPr>
              <w:spacing w:line="480" w:lineRule="auto"/>
              <w:jc w:val="center"/>
            </w:pPr>
          </w:p>
        </w:tc>
      </w:tr>
      <w:tr w:rsidR="00FD0D9D" w:rsidRPr="00C6087B" w:rsidTr="00003C67">
        <w:tc>
          <w:tcPr>
            <w:tcW w:w="1068" w:type="pct"/>
          </w:tcPr>
          <w:p w:rsidR="00FD0D9D" w:rsidRPr="00C6087B" w:rsidRDefault="00FD0D9D" w:rsidP="00003C67">
            <w:pPr>
              <w:spacing w:line="480" w:lineRule="auto"/>
            </w:pPr>
          </w:p>
        </w:tc>
        <w:tc>
          <w:tcPr>
            <w:tcW w:w="763" w:type="pct"/>
          </w:tcPr>
          <w:p w:rsidR="00FD0D9D" w:rsidRPr="00C6087B" w:rsidRDefault="00FD0D9D" w:rsidP="00003C67">
            <w:pPr>
              <w:spacing w:line="480" w:lineRule="auto"/>
              <w:jc w:val="center"/>
            </w:pPr>
            <w:r w:rsidRPr="00C6087B">
              <w:t>Mean (SD)</w:t>
            </w:r>
          </w:p>
        </w:tc>
        <w:tc>
          <w:tcPr>
            <w:tcW w:w="560" w:type="pct"/>
          </w:tcPr>
          <w:p w:rsidR="00FD0D9D" w:rsidRPr="00C6087B" w:rsidRDefault="00FD0D9D" w:rsidP="00003C67">
            <w:pPr>
              <w:spacing w:line="480" w:lineRule="auto"/>
              <w:jc w:val="center"/>
            </w:pPr>
            <w:r w:rsidRPr="00C6087B">
              <w:t>Range</w:t>
            </w:r>
          </w:p>
        </w:tc>
        <w:tc>
          <w:tcPr>
            <w:tcW w:w="763" w:type="pct"/>
          </w:tcPr>
          <w:p w:rsidR="00FD0D9D" w:rsidRPr="00C6087B" w:rsidRDefault="00FD0D9D" w:rsidP="00003C67">
            <w:pPr>
              <w:spacing w:line="480" w:lineRule="auto"/>
              <w:jc w:val="center"/>
            </w:pPr>
            <w:r w:rsidRPr="00C6087B">
              <w:t>Mean (SD)</w:t>
            </w:r>
          </w:p>
        </w:tc>
        <w:tc>
          <w:tcPr>
            <w:tcW w:w="713" w:type="pct"/>
          </w:tcPr>
          <w:p w:rsidR="00FD0D9D" w:rsidRPr="00C6087B" w:rsidRDefault="00FD0D9D" w:rsidP="00003C67">
            <w:pPr>
              <w:spacing w:line="480" w:lineRule="auto"/>
              <w:jc w:val="center"/>
            </w:pPr>
            <w:r w:rsidRPr="00C6087B">
              <w:t>Range</w:t>
            </w:r>
          </w:p>
        </w:tc>
        <w:tc>
          <w:tcPr>
            <w:tcW w:w="604" w:type="pct"/>
          </w:tcPr>
          <w:p w:rsidR="00FD0D9D" w:rsidRPr="00C6087B" w:rsidRDefault="00FD0D9D" w:rsidP="00003C67">
            <w:pPr>
              <w:spacing w:line="480" w:lineRule="auto"/>
              <w:jc w:val="center"/>
              <w:rPr>
                <w:i/>
              </w:rPr>
            </w:pPr>
            <w:r w:rsidRPr="00C6087B">
              <w:rPr>
                <w:i/>
              </w:rPr>
              <w:t>F</w:t>
            </w:r>
          </w:p>
        </w:tc>
        <w:tc>
          <w:tcPr>
            <w:tcW w:w="529" w:type="pct"/>
          </w:tcPr>
          <w:p w:rsidR="00FD0D9D" w:rsidRPr="00C6087B" w:rsidRDefault="00FD0D9D" w:rsidP="00003C67">
            <w:pPr>
              <w:spacing w:line="480" w:lineRule="auto"/>
              <w:jc w:val="center"/>
              <w:rPr>
                <w:i/>
              </w:rPr>
            </w:pPr>
            <w:r>
              <w:rPr>
                <w:i/>
              </w:rPr>
              <w:t>d</w:t>
            </w:r>
          </w:p>
        </w:tc>
      </w:tr>
      <w:tr w:rsidR="00FD0D9D" w:rsidRPr="00C6087B" w:rsidTr="00003C67">
        <w:tc>
          <w:tcPr>
            <w:tcW w:w="1068" w:type="pct"/>
            <w:tcBorders>
              <w:bottom w:val="nil"/>
            </w:tcBorders>
          </w:tcPr>
          <w:p w:rsidR="00FD0D9D" w:rsidRPr="00C6087B" w:rsidRDefault="00FD0D9D" w:rsidP="00003C67">
            <w:pPr>
              <w:spacing w:line="480" w:lineRule="auto"/>
            </w:pPr>
            <w:r w:rsidRPr="00C6087B">
              <w:t>Age (years)</w:t>
            </w:r>
          </w:p>
        </w:tc>
        <w:tc>
          <w:tcPr>
            <w:tcW w:w="763" w:type="pct"/>
            <w:tcBorders>
              <w:bottom w:val="nil"/>
            </w:tcBorders>
          </w:tcPr>
          <w:p w:rsidR="00FD0D9D" w:rsidRPr="00C6087B" w:rsidRDefault="00FD0D9D" w:rsidP="00003C67">
            <w:pPr>
              <w:spacing w:line="480" w:lineRule="auto"/>
              <w:jc w:val="center"/>
            </w:pPr>
            <w:r w:rsidRPr="00C6087B">
              <w:t>12.29 (2.51)</w:t>
            </w:r>
          </w:p>
        </w:tc>
        <w:tc>
          <w:tcPr>
            <w:tcW w:w="560" w:type="pct"/>
            <w:tcBorders>
              <w:bottom w:val="nil"/>
            </w:tcBorders>
          </w:tcPr>
          <w:p w:rsidR="00FD0D9D" w:rsidRPr="00C6087B" w:rsidRDefault="00FD0D9D" w:rsidP="00003C67">
            <w:pPr>
              <w:spacing w:line="480" w:lineRule="auto"/>
              <w:jc w:val="center"/>
            </w:pPr>
            <w:r w:rsidRPr="00C6087B">
              <w:t>7 – 15.</w:t>
            </w:r>
            <w:r>
              <w:t>50</w:t>
            </w:r>
          </w:p>
        </w:tc>
        <w:tc>
          <w:tcPr>
            <w:tcW w:w="763" w:type="pct"/>
            <w:tcBorders>
              <w:bottom w:val="nil"/>
            </w:tcBorders>
          </w:tcPr>
          <w:p w:rsidR="00FD0D9D" w:rsidRPr="00C6087B" w:rsidRDefault="00FD0D9D" w:rsidP="00003C67">
            <w:pPr>
              <w:spacing w:line="480" w:lineRule="auto"/>
              <w:jc w:val="center"/>
            </w:pPr>
            <w:r w:rsidRPr="00C6087B">
              <w:t>11.</w:t>
            </w:r>
            <w:r>
              <w:t>54</w:t>
            </w:r>
            <w:r w:rsidRPr="00C6087B">
              <w:t xml:space="preserve"> (</w:t>
            </w:r>
            <w:r>
              <w:t>2.07</w:t>
            </w:r>
            <w:r w:rsidRPr="00C6087B">
              <w:t>)</w:t>
            </w:r>
          </w:p>
        </w:tc>
        <w:tc>
          <w:tcPr>
            <w:tcW w:w="713" w:type="pct"/>
            <w:tcBorders>
              <w:bottom w:val="nil"/>
            </w:tcBorders>
          </w:tcPr>
          <w:p w:rsidR="00FD0D9D" w:rsidRPr="00C6087B" w:rsidRDefault="00FD0D9D" w:rsidP="00003C67">
            <w:pPr>
              <w:spacing w:line="480" w:lineRule="auto"/>
              <w:jc w:val="center"/>
            </w:pPr>
            <w:r w:rsidRPr="00C6087B">
              <w:t>7.66 – 16.08</w:t>
            </w:r>
          </w:p>
        </w:tc>
        <w:tc>
          <w:tcPr>
            <w:tcW w:w="604" w:type="pct"/>
            <w:tcBorders>
              <w:bottom w:val="nil"/>
            </w:tcBorders>
          </w:tcPr>
          <w:p w:rsidR="00FD0D9D" w:rsidRPr="00C6087B" w:rsidRDefault="00FD0D9D" w:rsidP="00003C67">
            <w:pPr>
              <w:spacing w:line="480" w:lineRule="auto"/>
              <w:jc w:val="center"/>
            </w:pPr>
            <w:r>
              <w:t>1.31</w:t>
            </w:r>
          </w:p>
        </w:tc>
        <w:tc>
          <w:tcPr>
            <w:tcW w:w="529" w:type="pct"/>
            <w:tcBorders>
              <w:bottom w:val="nil"/>
            </w:tcBorders>
          </w:tcPr>
          <w:p w:rsidR="00FD0D9D" w:rsidRDefault="00FD0D9D" w:rsidP="00003C67">
            <w:pPr>
              <w:spacing w:line="480" w:lineRule="auto"/>
              <w:jc w:val="center"/>
            </w:pPr>
            <w:r>
              <w:t>0.33</w:t>
            </w:r>
          </w:p>
        </w:tc>
      </w:tr>
      <w:tr w:rsidR="00FD0D9D" w:rsidRPr="00C6087B" w:rsidTr="00003C67">
        <w:tc>
          <w:tcPr>
            <w:tcW w:w="1068" w:type="pct"/>
            <w:tcBorders>
              <w:top w:val="nil"/>
              <w:bottom w:val="nil"/>
            </w:tcBorders>
          </w:tcPr>
          <w:p w:rsidR="00FD0D9D" w:rsidRPr="00C6087B" w:rsidRDefault="00FD0D9D" w:rsidP="00003C67">
            <w:pPr>
              <w:spacing w:line="480" w:lineRule="auto"/>
            </w:pPr>
            <w:r w:rsidRPr="00C6087B">
              <w:t>Word Reading</w:t>
            </w:r>
            <w:r>
              <w:t xml:space="preserve"> (raw)</w:t>
            </w:r>
          </w:p>
        </w:tc>
        <w:tc>
          <w:tcPr>
            <w:tcW w:w="763" w:type="pct"/>
            <w:tcBorders>
              <w:top w:val="nil"/>
              <w:bottom w:val="nil"/>
            </w:tcBorders>
          </w:tcPr>
          <w:p w:rsidR="00FD0D9D" w:rsidRPr="00C6087B" w:rsidRDefault="00FD0D9D" w:rsidP="00003C67">
            <w:pPr>
              <w:spacing w:line="480" w:lineRule="auto"/>
              <w:jc w:val="center"/>
            </w:pPr>
            <w:r>
              <w:t>69.56 (12.58)</w:t>
            </w:r>
          </w:p>
        </w:tc>
        <w:tc>
          <w:tcPr>
            <w:tcW w:w="560" w:type="pct"/>
            <w:tcBorders>
              <w:top w:val="nil"/>
              <w:bottom w:val="nil"/>
            </w:tcBorders>
          </w:tcPr>
          <w:p w:rsidR="00FD0D9D" w:rsidRPr="00C6087B" w:rsidRDefault="00FD0D9D" w:rsidP="00003C67">
            <w:pPr>
              <w:spacing w:line="480" w:lineRule="auto"/>
              <w:jc w:val="center"/>
            </w:pPr>
            <w:r>
              <w:t>43-86</w:t>
            </w:r>
          </w:p>
        </w:tc>
        <w:tc>
          <w:tcPr>
            <w:tcW w:w="763" w:type="pct"/>
            <w:tcBorders>
              <w:top w:val="nil"/>
              <w:bottom w:val="nil"/>
            </w:tcBorders>
          </w:tcPr>
          <w:p w:rsidR="00FD0D9D" w:rsidRPr="00C6087B" w:rsidRDefault="00FD0D9D" w:rsidP="00003C67">
            <w:pPr>
              <w:spacing w:line="480" w:lineRule="auto"/>
              <w:jc w:val="center"/>
            </w:pPr>
            <w:r>
              <w:t>70.60 (11.52)</w:t>
            </w:r>
          </w:p>
        </w:tc>
        <w:tc>
          <w:tcPr>
            <w:tcW w:w="713" w:type="pct"/>
            <w:tcBorders>
              <w:top w:val="nil"/>
              <w:bottom w:val="nil"/>
            </w:tcBorders>
          </w:tcPr>
          <w:p w:rsidR="00FD0D9D" w:rsidRPr="00C6087B" w:rsidRDefault="00FD0D9D" w:rsidP="00003C67">
            <w:pPr>
              <w:spacing w:line="480" w:lineRule="auto"/>
              <w:jc w:val="center"/>
            </w:pPr>
            <w:r>
              <w:t>44-85</w:t>
            </w:r>
          </w:p>
        </w:tc>
        <w:tc>
          <w:tcPr>
            <w:tcW w:w="604" w:type="pct"/>
            <w:tcBorders>
              <w:top w:val="nil"/>
              <w:bottom w:val="nil"/>
            </w:tcBorders>
          </w:tcPr>
          <w:p w:rsidR="00FD0D9D" w:rsidRPr="00C6087B" w:rsidRDefault="00FD0D9D" w:rsidP="00003C67">
            <w:pPr>
              <w:spacing w:line="480" w:lineRule="auto"/>
              <w:jc w:val="center"/>
            </w:pPr>
            <w:r>
              <w:t>0.09</w:t>
            </w:r>
          </w:p>
        </w:tc>
        <w:tc>
          <w:tcPr>
            <w:tcW w:w="529" w:type="pct"/>
            <w:tcBorders>
              <w:top w:val="nil"/>
              <w:bottom w:val="nil"/>
            </w:tcBorders>
          </w:tcPr>
          <w:p w:rsidR="00FD0D9D" w:rsidRDefault="00FD0D9D" w:rsidP="00003C67">
            <w:pPr>
              <w:spacing w:line="480" w:lineRule="auto"/>
              <w:jc w:val="center"/>
            </w:pPr>
            <w:r>
              <w:t>0.09</w:t>
            </w:r>
          </w:p>
        </w:tc>
      </w:tr>
      <w:tr w:rsidR="00FD0D9D" w:rsidRPr="00C6087B" w:rsidTr="00003C67">
        <w:tc>
          <w:tcPr>
            <w:tcW w:w="1068" w:type="pct"/>
            <w:tcBorders>
              <w:top w:val="nil"/>
              <w:bottom w:val="nil"/>
            </w:tcBorders>
          </w:tcPr>
          <w:p w:rsidR="00FD0D9D" w:rsidRPr="00C6087B" w:rsidRDefault="00FD0D9D" w:rsidP="00003C67">
            <w:pPr>
              <w:spacing w:line="480" w:lineRule="auto"/>
            </w:pPr>
            <w:r>
              <w:t>Word Reading (</w:t>
            </w:r>
            <w:proofErr w:type="spellStart"/>
            <w:r>
              <w:t>ss</w:t>
            </w:r>
            <w:proofErr w:type="spellEnd"/>
            <w:r>
              <w:t>)</w:t>
            </w:r>
          </w:p>
        </w:tc>
        <w:tc>
          <w:tcPr>
            <w:tcW w:w="763" w:type="pct"/>
            <w:tcBorders>
              <w:top w:val="nil"/>
              <w:bottom w:val="nil"/>
            </w:tcBorders>
          </w:tcPr>
          <w:p w:rsidR="00FD0D9D" w:rsidRPr="00C6087B" w:rsidRDefault="00FD0D9D" w:rsidP="00003C67">
            <w:pPr>
              <w:spacing w:line="480" w:lineRule="auto"/>
              <w:jc w:val="center"/>
            </w:pPr>
            <w:r>
              <w:t>99.80 (22.42)</w:t>
            </w:r>
          </w:p>
        </w:tc>
        <w:tc>
          <w:tcPr>
            <w:tcW w:w="560" w:type="pct"/>
            <w:tcBorders>
              <w:top w:val="nil"/>
              <w:bottom w:val="nil"/>
            </w:tcBorders>
          </w:tcPr>
          <w:p w:rsidR="00FD0D9D" w:rsidRPr="00C6087B" w:rsidRDefault="00FD0D9D" w:rsidP="00003C67">
            <w:pPr>
              <w:spacing w:line="480" w:lineRule="auto"/>
              <w:jc w:val="center"/>
            </w:pPr>
            <w:r>
              <w:t>61-144</w:t>
            </w:r>
          </w:p>
        </w:tc>
        <w:tc>
          <w:tcPr>
            <w:tcW w:w="763" w:type="pct"/>
            <w:tcBorders>
              <w:top w:val="nil"/>
              <w:bottom w:val="nil"/>
            </w:tcBorders>
          </w:tcPr>
          <w:p w:rsidR="00FD0D9D" w:rsidRPr="00C6087B" w:rsidRDefault="00FD0D9D" w:rsidP="00003C67">
            <w:pPr>
              <w:spacing w:line="480" w:lineRule="auto"/>
              <w:jc w:val="center"/>
            </w:pPr>
            <w:r>
              <w:t>105.04 (13.95)</w:t>
            </w:r>
          </w:p>
        </w:tc>
        <w:tc>
          <w:tcPr>
            <w:tcW w:w="713" w:type="pct"/>
            <w:tcBorders>
              <w:top w:val="nil"/>
              <w:bottom w:val="nil"/>
            </w:tcBorders>
          </w:tcPr>
          <w:p w:rsidR="00FD0D9D" w:rsidRPr="00C6087B" w:rsidRDefault="00FD0D9D" w:rsidP="00003C67">
            <w:pPr>
              <w:spacing w:line="480" w:lineRule="auto"/>
              <w:jc w:val="center"/>
            </w:pPr>
            <w:r>
              <w:t>82-133</w:t>
            </w:r>
          </w:p>
        </w:tc>
        <w:tc>
          <w:tcPr>
            <w:tcW w:w="604" w:type="pct"/>
            <w:tcBorders>
              <w:top w:val="nil"/>
              <w:bottom w:val="nil"/>
            </w:tcBorders>
          </w:tcPr>
          <w:p w:rsidR="00FD0D9D" w:rsidRPr="00C6087B" w:rsidRDefault="00FD0D9D" w:rsidP="00003C67">
            <w:pPr>
              <w:spacing w:line="480" w:lineRule="auto"/>
              <w:jc w:val="center"/>
            </w:pPr>
            <w:r>
              <w:t>0.98</w:t>
            </w:r>
          </w:p>
        </w:tc>
        <w:tc>
          <w:tcPr>
            <w:tcW w:w="529" w:type="pct"/>
            <w:tcBorders>
              <w:top w:val="nil"/>
              <w:bottom w:val="nil"/>
            </w:tcBorders>
          </w:tcPr>
          <w:p w:rsidR="00FD0D9D" w:rsidRDefault="00FD0D9D" w:rsidP="00003C67">
            <w:pPr>
              <w:spacing w:line="480" w:lineRule="auto"/>
              <w:jc w:val="center"/>
            </w:pPr>
            <w:r>
              <w:t>0.28</w:t>
            </w:r>
          </w:p>
        </w:tc>
      </w:tr>
      <w:tr w:rsidR="00FD0D9D" w:rsidRPr="00C6087B" w:rsidTr="00003C67">
        <w:tc>
          <w:tcPr>
            <w:tcW w:w="1068" w:type="pct"/>
            <w:tcBorders>
              <w:top w:val="nil"/>
              <w:bottom w:val="nil"/>
            </w:tcBorders>
          </w:tcPr>
          <w:p w:rsidR="00FD0D9D" w:rsidRPr="00C6087B" w:rsidRDefault="00FD0D9D" w:rsidP="00003C67">
            <w:pPr>
              <w:spacing w:line="480" w:lineRule="auto"/>
            </w:pPr>
            <w:proofErr w:type="spellStart"/>
            <w:r w:rsidRPr="00C6087B">
              <w:t>Nonword</w:t>
            </w:r>
            <w:proofErr w:type="spellEnd"/>
            <w:r w:rsidRPr="00C6087B">
              <w:t xml:space="preserve"> Decoding</w:t>
            </w:r>
          </w:p>
        </w:tc>
        <w:tc>
          <w:tcPr>
            <w:tcW w:w="763" w:type="pct"/>
            <w:tcBorders>
              <w:top w:val="nil"/>
              <w:bottom w:val="nil"/>
            </w:tcBorders>
          </w:tcPr>
          <w:p w:rsidR="00FD0D9D" w:rsidRPr="00C6087B" w:rsidRDefault="00FD0D9D" w:rsidP="00003C67">
            <w:pPr>
              <w:spacing w:line="480" w:lineRule="auto"/>
              <w:jc w:val="center"/>
            </w:pPr>
            <w:r>
              <w:t>14.92</w:t>
            </w:r>
            <w:r w:rsidRPr="00C6087B">
              <w:t xml:space="preserve"> (</w:t>
            </w:r>
            <w:r>
              <w:t>6</w:t>
            </w:r>
            <w:r w:rsidRPr="00C6087B">
              <w:t>.</w:t>
            </w:r>
            <w:r>
              <w:t>92</w:t>
            </w:r>
            <w:r w:rsidRPr="00C6087B">
              <w:t>)</w:t>
            </w:r>
          </w:p>
        </w:tc>
        <w:tc>
          <w:tcPr>
            <w:tcW w:w="560" w:type="pct"/>
            <w:tcBorders>
              <w:top w:val="nil"/>
              <w:bottom w:val="nil"/>
            </w:tcBorders>
          </w:tcPr>
          <w:p w:rsidR="00FD0D9D" w:rsidRPr="00C6087B" w:rsidRDefault="00FD0D9D" w:rsidP="00003C67">
            <w:pPr>
              <w:spacing w:line="480" w:lineRule="auto"/>
              <w:jc w:val="center"/>
            </w:pPr>
            <w:r w:rsidRPr="00C6087B">
              <w:t>0 – 25</w:t>
            </w:r>
          </w:p>
        </w:tc>
        <w:tc>
          <w:tcPr>
            <w:tcW w:w="763" w:type="pct"/>
            <w:tcBorders>
              <w:top w:val="nil"/>
              <w:bottom w:val="nil"/>
            </w:tcBorders>
          </w:tcPr>
          <w:p w:rsidR="00FD0D9D" w:rsidRPr="00C6087B" w:rsidRDefault="00FD0D9D" w:rsidP="00003C67">
            <w:pPr>
              <w:spacing w:line="480" w:lineRule="auto"/>
              <w:jc w:val="center"/>
            </w:pPr>
            <w:r>
              <w:t>21.0</w:t>
            </w:r>
            <w:r w:rsidRPr="00C6087B">
              <w:t xml:space="preserve"> (</w:t>
            </w:r>
            <w:r>
              <w:t>3</w:t>
            </w:r>
            <w:r w:rsidRPr="00C6087B">
              <w:t>.</w:t>
            </w:r>
            <w:r>
              <w:t>70</w:t>
            </w:r>
            <w:r w:rsidRPr="00C6087B">
              <w:t>)</w:t>
            </w:r>
          </w:p>
        </w:tc>
        <w:tc>
          <w:tcPr>
            <w:tcW w:w="713" w:type="pct"/>
            <w:tcBorders>
              <w:top w:val="nil"/>
              <w:bottom w:val="nil"/>
            </w:tcBorders>
          </w:tcPr>
          <w:p w:rsidR="00FD0D9D" w:rsidRPr="00C6087B" w:rsidRDefault="00FD0D9D" w:rsidP="00003C67">
            <w:pPr>
              <w:spacing w:line="480" w:lineRule="auto"/>
              <w:jc w:val="center"/>
            </w:pPr>
            <w:r>
              <w:t>13</w:t>
            </w:r>
            <w:r w:rsidRPr="00C6087B">
              <w:t xml:space="preserve"> – 25</w:t>
            </w:r>
          </w:p>
        </w:tc>
        <w:tc>
          <w:tcPr>
            <w:tcW w:w="604" w:type="pct"/>
            <w:tcBorders>
              <w:top w:val="nil"/>
              <w:bottom w:val="nil"/>
            </w:tcBorders>
          </w:tcPr>
          <w:p w:rsidR="00FD0D9D" w:rsidRPr="00C6087B" w:rsidRDefault="00FD0D9D" w:rsidP="00003C67">
            <w:pPr>
              <w:spacing w:line="480" w:lineRule="auto"/>
              <w:jc w:val="center"/>
            </w:pPr>
            <w:r>
              <w:t>1</w:t>
            </w:r>
            <w:r w:rsidRPr="00C6087B">
              <w:t>5.</w:t>
            </w:r>
            <w:r>
              <w:t xml:space="preserve">03, </w:t>
            </w:r>
            <w:r w:rsidRPr="00862A4A">
              <w:rPr>
                <w:i/>
              </w:rPr>
              <w:t>p</w:t>
            </w:r>
            <w:r>
              <w:t>=.000</w:t>
            </w:r>
          </w:p>
        </w:tc>
        <w:tc>
          <w:tcPr>
            <w:tcW w:w="529" w:type="pct"/>
            <w:tcBorders>
              <w:top w:val="nil"/>
              <w:bottom w:val="nil"/>
            </w:tcBorders>
          </w:tcPr>
          <w:p w:rsidR="00FD0D9D" w:rsidRDefault="00FD0D9D" w:rsidP="00003C67">
            <w:pPr>
              <w:spacing w:line="480" w:lineRule="auto"/>
              <w:jc w:val="center"/>
            </w:pPr>
            <w:r>
              <w:t>1.10</w:t>
            </w:r>
          </w:p>
        </w:tc>
      </w:tr>
      <w:tr w:rsidR="00FD0D9D" w:rsidRPr="00C6087B" w:rsidTr="00003C67">
        <w:tc>
          <w:tcPr>
            <w:tcW w:w="1068" w:type="pct"/>
            <w:tcBorders>
              <w:top w:val="nil"/>
              <w:bottom w:val="nil"/>
            </w:tcBorders>
          </w:tcPr>
          <w:p w:rsidR="00FD0D9D" w:rsidRPr="00C6087B" w:rsidRDefault="00FD0D9D" w:rsidP="00003C67">
            <w:pPr>
              <w:spacing w:line="480" w:lineRule="auto"/>
            </w:pPr>
            <w:r>
              <w:t>Text Accuracy (raw)</w:t>
            </w:r>
          </w:p>
        </w:tc>
        <w:tc>
          <w:tcPr>
            <w:tcW w:w="763" w:type="pct"/>
            <w:tcBorders>
              <w:top w:val="nil"/>
              <w:bottom w:val="nil"/>
            </w:tcBorders>
          </w:tcPr>
          <w:p w:rsidR="00FD0D9D" w:rsidRDefault="00FD0D9D" w:rsidP="00003C67">
            <w:pPr>
              <w:spacing w:line="480" w:lineRule="auto"/>
              <w:jc w:val="center"/>
            </w:pPr>
            <w:r>
              <w:t>73.20 (22.41)</w:t>
            </w:r>
          </w:p>
        </w:tc>
        <w:tc>
          <w:tcPr>
            <w:tcW w:w="560" w:type="pct"/>
            <w:tcBorders>
              <w:top w:val="nil"/>
              <w:bottom w:val="nil"/>
            </w:tcBorders>
          </w:tcPr>
          <w:p w:rsidR="00FD0D9D" w:rsidRDefault="00FD0D9D" w:rsidP="00003C67">
            <w:pPr>
              <w:spacing w:line="480" w:lineRule="auto"/>
              <w:jc w:val="center"/>
            </w:pPr>
            <w:r>
              <w:t xml:space="preserve">30 – 100 </w:t>
            </w:r>
          </w:p>
        </w:tc>
        <w:tc>
          <w:tcPr>
            <w:tcW w:w="763" w:type="pct"/>
            <w:tcBorders>
              <w:top w:val="nil"/>
              <w:bottom w:val="nil"/>
            </w:tcBorders>
          </w:tcPr>
          <w:p w:rsidR="00FD0D9D" w:rsidRDefault="00FD0D9D" w:rsidP="00003C67">
            <w:pPr>
              <w:spacing w:line="480" w:lineRule="auto"/>
              <w:jc w:val="center"/>
            </w:pPr>
            <w:r>
              <w:t>70.04 (20.25)</w:t>
            </w:r>
          </w:p>
        </w:tc>
        <w:tc>
          <w:tcPr>
            <w:tcW w:w="713" w:type="pct"/>
            <w:tcBorders>
              <w:top w:val="nil"/>
              <w:bottom w:val="nil"/>
            </w:tcBorders>
          </w:tcPr>
          <w:p w:rsidR="00FD0D9D" w:rsidRDefault="00FD0D9D" w:rsidP="00003C67">
            <w:pPr>
              <w:spacing w:line="480" w:lineRule="auto"/>
              <w:jc w:val="center"/>
            </w:pPr>
            <w:r>
              <w:t xml:space="preserve">33 – 98 </w:t>
            </w:r>
          </w:p>
        </w:tc>
        <w:tc>
          <w:tcPr>
            <w:tcW w:w="604" w:type="pct"/>
            <w:tcBorders>
              <w:top w:val="nil"/>
              <w:bottom w:val="nil"/>
            </w:tcBorders>
          </w:tcPr>
          <w:p w:rsidR="00FD0D9D" w:rsidRDefault="00FD0D9D" w:rsidP="00003C67">
            <w:pPr>
              <w:spacing w:line="480" w:lineRule="auto"/>
              <w:jc w:val="center"/>
            </w:pPr>
            <w:r>
              <w:t xml:space="preserve">0.27 </w:t>
            </w:r>
          </w:p>
        </w:tc>
        <w:tc>
          <w:tcPr>
            <w:tcW w:w="529" w:type="pct"/>
            <w:tcBorders>
              <w:top w:val="nil"/>
              <w:bottom w:val="nil"/>
            </w:tcBorders>
          </w:tcPr>
          <w:p w:rsidR="00FD0D9D" w:rsidRDefault="00FD0D9D" w:rsidP="00003C67">
            <w:pPr>
              <w:spacing w:line="480" w:lineRule="auto"/>
              <w:jc w:val="center"/>
            </w:pPr>
            <w:r>
              <w:t>0.15</w:t>
            </w:r>
          </w:p>
        </w:tc>
      </w:tr>
      <w:tr w:rsidR="00FD0D9D" w:rsidRPr="00C6087B" w:rsidTr="00003C67">
        <w:tc>
          <w:tcPr>
            <w:tcW w:w="1068" w:type="pct"/>
            <w:tcBorders>
              <w:top w:val="nil"/>
              <w:bottom w:val="nil"/>
            </w:tcBorders>
          </w:tcPr>
          <w:p w:rsidR="00FD0D9D" w:rsidRPr="00C6087B" w:rsidRDefault="00FD0D9D" w:rsidP="00003C67">
            <w:pPr>
              <w:spacing w:line="480" w:lineRule="auto"/>
            </w:pPr>
            <w:r>
              <w:t>Text Accuracy (</w:t>
            </w:r>
            <w:proofErr w:type="spellStart"/>
            <w:r>
              <w:t>ss</w:t>
            </w:r>
            <w:proofErr w:type="spellEnd"/>
            <w:r>
              <w:t>)</w:t>
            </w:r>
          </w:p>
        </w:tc>
        <w:tc>
          <w:tcPr>
            <w:tcW w:w="763" w:type="pct"/>
            <w:tcBorders>
              <w:top w:val="nil"/>
              <w:bottom w:val="nil"/>
            </w:tcBorders>
          </w:tcPr>
          <w:p w:rsidR="00FD0D9D" w:rsidRDefault="00FD0D9D" w:rsidP="00003C67">
            <w:pPr>
              <w:spacing w:line="480" w:lineRule="auto"/>
              <w:jc w:val="center"/>
            </w:pPr>
            <w:r>
              <w:t>104.04 (17.69)</w:t>
            </w:r>
          </w:p>
        </w:tc>
        <w:tc>
          <w:tcPr>
            <w:tcW w:w="560" w:type="pct"/>
            <w:tcBorders>
              <w:top w:val="nil"/>
              <w:bottom w:val="nil"/>
            </w:tcBorders>
          </w:tcPr>
          <w:p w:rsidR="00FD0D9D" w:rsidRDefault="00FD0D9D" w:rsidP="00003C67">
            <w:pPr>
              <w:spacing w:line="480" w:lineRule="auto"/>
              <w:jc w:val="center"/>
            </w:pPr>
            <w:r>
              <w:t>69 – 126</w:t>
            </w:r>
          </w:p>
        </w:tc>
        <w:tc>
          <w:tcPr>
            <w:tcW w:w="763" w:type="pct"/>
            <w:tcBorders>
              <w:top w:val="nil"/>
              <w:bottom w:val="nil"/>
            </w:tcBorders>
          </w:tcPr>
          <w:p w:rsidR="00FD0D9D" w:rsidRDefault="00FD0D9D" w:rsidP="00003C67">
            <w:pPr>
              <w:spacing w:line="480" w:lineRule="auto"/>
              <w:jc w:val="center"/>
            </w:pPr>
            <w:r>
              <w:t>101.83 (11.02)</w:t>
            </w:r>
          </w:p>
        </w:tc>
        <w:tc>
          <w:tcPr>
            <w:tcW w:w="713" w:type="pct"/>
            <w:tcBorders>
              <w:top w:val="nil"/>
              <w:bottom w:val="nil"/>
            </w:tcBorders>
          </w:tcPr>
          <w:p w:rsidR="00FD0D9D" w:rsidRDefault="00FD0D9D" w:rsidP="00003C67">
            <w:pPr>
              <w:spacing w:line="480" w:lineRule="auto"/>
              <w:jc w:val="center"/>
            </w:pPr>
            <w:r>
              <w:t xml:space="preserve">85 – 122 </w:t>
            </w:r>
          </w:p>
        </w:tc>
        <w:tc>
          <w:tcPr>
            <w:tcW w:w="604" w:type="pct"/>
            <w:tcBorders>
              <w:top w:val="nil"/>
              <w:bottom w:val="nil"/>
            </w:tcBorders>
          </w:tcPr>
          <w:p w:rsidR="00FD0D9D" w:rsidRDefault="00FD0D9D" w:rsidP="00003C67">
            <w:pPr>
              <w:spacing w:line="480" w:lineRule="auto"/>
              <w:jc w:val="center"/>
            </w:pPr>
            <w:r>
              <w:t>0.27</w:t>
            </w:r>
          </w:p>
        </w:tc>
        <w:tc>
          <w:tcPr>
            <w:tcW w:w="529" w:type="pct"/>
            <w:tcBorders>
              <w:top w:val="nil"/>
              <w:bottom w:val="nil"/>
            </w:tcBorders>
          </w:tcPr>
          <w:p w:rsidR="00FD0D9D" w:rsidRDefault="00FD0D9D" w:rsidP="00003C67">
            <w:pPr>
              <w:spacing w:line="480" w:lineRule="auto"/>
              <w:jc w:val="center"/>
            </w:pPr>
            <w:r>
              <w:t>0.15</w:t>
            </w:r>
          </w:p>
        </w:tc>
      </w:tr>
      <w:tr w:rsidR="00FD0D9D" w:rsidRPr="00C6087B" w:rsidTr="00003C67">
        <w:tc>
          <w:tcPr>
            <w:tcW w:w="1068" w:type="pct"/>
            <w:tcBorders>
              <w:top w:val="nil"/>
              <w:bottom w:val="nil"/>
            </w:tcBorders>
          </w:tcPr>
          <w:p w:rsidR="00FD0D9D" w:rsidRPr="00C6087B" w:rsidRDefault="00FD0D9D" w:rsidP="00003C67">
            <w:pPr>
              <w:spacing w:line="480" w:lineRule="auto"/>
            </w:pPr>
            <w:r>
              <w:t>Text Comprehension (raw)</w:t>
            </w:r>
          </w:p>
        </w:tc>
        <w:tc>
          <w:tcPr>
            <w:tcW w:w="763" w:type="pct"/>
            <w:tcBorders>
              <w:top w:val="nil"/>
              <w:bottom w:val="nil"/>
            </w:tcBorders>
          </w:tcPr>
          <w:p w:rsidR="00FD0D9D" w:rsidRDefault="00FD0D9D" w:rsidP="00003C67">
            <w:pPr>
              <w:spacing w:line="480" w:lineRule="auto"/>
              <w:jc w:val="center"/>
            </w:pPr>
            <w:r>
              <w:t>21.36 (10.68)</w:t>
            </w:r>
          </w:p>
        </w:tc>
        <w:tc>
          <w:tcPr>
            <w:tcW w:w="560" w:type="pct"/>
            <w:tcBorders>
              <w:top w:val="nil"/>
              <w:bottom w:val="nil"/>
            </w:tcBorders>
          </w:tcPr>
          <w:p w:rsidR="00FD0D9D" w:rsidRPr="00C6087B" w:rsidRDefault="00FD0D9D" w:rsidP="00003C67">
            <w:pPr>
              <w:spacing w:line="480" w:lineRule="auto"/>
              <w:jc w:val="center"/>
            </w:pPr>
            <w:r>
              <w:t xml:space="preserve">5 – 39 </w:t>
            </w:r>
          </w:p>
        </w:tc>
        <w:tc>
          <w:tcPr>
            <w:tcW w:w="763" w:type="pct"/>
            <w:tcBorders>
              <w:top w:val="nil"/>
              <w:bottom w:val="nil"/>
            </w:tcBorders>
          </w:tcPr>
          <w:p w:rsidR="00FD0D9D" w:rsidRDefault="00FD0D9D" w:rsidP="00003C67">
            <w:pPr>
              <w:spacing w:line="480" w:lineRule="auto"/>
              <w:jc w:val="center"/>
            </w:pPr>
            <w:r>
              <w:t>28.46 (7.09)</w:t>
            </w:r>
          </w:p>
        </w:tc>
        <w:tc>
          <w:tcPr>
            <w:tcW w:w="713" w:type="pct"/>
            <w:tcBorders>
              <w:top w:val="nil"/>
              <w:bottom w:val="nil"/>
            </w:tcBorders>
          </w:tcPr>
          <w:p w:rsidR="00FD0D9D" w:rsidRDefault="00FD0D9D" w:rsidP="00003C67">
            <w:pPr>
              <w:spacing w:line="480" w:lineRule="auto"/>
              <w:jc w:val="center"/>
            </w:pPr>
            <w:r>
              <w:t xml:space="preserve">18 – 40 </w:t>
            </w:r>
          </w:p>
        </w:tc>
        <w:tc>
          <w:tcPr>
            <w:tcW w:w="604" w:type="pct"/>
            <w:tcBorders>
              <w:top w:val="nil"/>
              <w:bottom w:val="nil"/>
            </w:tcBorders>
          </w:tcPr>
          <w:p w:rsidR="00FD0D9D" w:rsidRDefault="00FD0D9D" w:rsidP="00003C67">
            <w:pPr>
              <w:spacing w:line="480" w:lineRule="auto"/>
              <w:jc w:val="center"/>
            </w:pPr>
            <w:r>
              <w:t xml:space="preserve">7.44, </w:t>
            </w:r>
            <w:r w:rsidRPr="00862A4A">
              <w:rPr>
                <w:i/>
              </w:rPr>
              <w:t>p</w:t>
            </w:r>
            <w:r>
              <w:t>=.009</w:t>
            </w:r>
          </w:p>
        </w:tc>
        <w:tc>
          <w:tcPr>
            <w:tcW w:w="529" w:type="pct"/>
            <w:tcBorders>
              <w:top w:val="nil"/>
              <w:bottom w:val="nil"/>
            </w:tcBorders>
          </w:tcPr>
          <w:p w:rsidR="00FD0D9D" w:rsidRDefault="00FD0D9D" w:rsidP="00003C67">
            <w:pPr>
              <w:spacing w:line="480" w:lineRule="auto"/>
              <w:jc w:val="center"/>
            </w:pPr>
            <w:r>
              <w:t>0.78</w:t>
            </w:r>
          </w:p>
        </w:tc>
      </w:tr>
      <w:tr w:rsidR="00FD0D9D" w:rsidRPr="00C6087B" w:rsidTr="00003C67">
        <w:tc>
          <w:tcPr>
            <w:tcW w:w="1068" w:type="pct"/>
            <w:tcBorders>
              <w:top w:val="nil"/>
              <w:bottom w:val="nil"/>
            </w:tcBorders>
          </w:tcPr>
          <w:p w:rsidR="00FD0D9D" w:rsidRPr="00C6087B" w:rsidRDefault="00FD0D9D" w:rsidP="00003C67">
            <w:pPr>
              <w:spacing w:line="480" w:lineRule="auto"/>
            </w:pPr>
            <w:r>
              <w:t>Text Comprehension (</w:t>
            </w:r>
            <w:proofErr w:type="spellStart"/>
            <w:r>
              <w:t>ss</w:t>
            </w:r>
            <w:proofErr w:type="spellEnd"/>
            <w:r>
              <w:t>)</w:t>
            </w:r>
          </w:p>
        </w:tc>
        <w:tc>
          <w:tcPr>
            <w:tcW w:w="763" w:type="pct"/>
            <w:tcBorders>
              <w:top w:val="nil"/>
              <w:bottom w:val="nil"/>
            </w:tcBorders>
          </w:tcPr>
          <w:p w:rsidR="00FD0D9D" w:rsidRDefault="00FD0D9D" w:rsidP="00003C67">
            <w:pPr>
              <w:spacing w:line="480" w:lineRule="auto"/>
              <w:jc w:val="center"/>
            </w:pPr>
            <w:r>
              <w:t>87 .72 (14.94)</w:t>
            </w:r>
          </w:p>
        </w:tc>
        <w:tc>
          <w:tcPr>
            <w:tcW w:w="560" w:type="pct"/>
            <w:tcBorders>
              <w:top w:val="nil"/>
              <w:bottom w:val="nil"/>
            </w:tcBorders>
          </w:tcPr>
          <w:p w:rsidR="00FD0D9D" w:rsidRPr="00C6087B" w:rsidRDefault="00FD0D9D" w:rsidP="00003C67">
            <w:pPr>
              <w:spacing w:line="480" w:lineRule="auto"/>
              <w:jc w:val="center"/>
            </w:pPr>
            <w:r>
              <w:t xml:space="preserve">69 – 113 </w:t>
            </w:r>
          </w:p>
        </w:tc>
        <w:tc>
          <w:tcPr>
            <w:tcW w:w="763" w:type="pct"/>
            <w:tcBorders>
              <w:top w:val="nil"/>
              <w:bottom w:val="nil"/>
            </w:tcBorders>
          </w:tcPr>
          <w:p w:rsidR="00FD0D9D" w:rsidRDefault="00FD0D9D" w:rsidP="00003C67">
            <w:pPr>
              <w:spacing w:line="480" w:lineRule="auto"/>
              <w:jc w:val="center"/>
            </w:pPr>
            <w:r>
              <w:t>101.38 (7.60)</w:t>
            </w:r>
          </w:p>
        </w:tc>
        <w:tc>
          <w:tcPr>
            <w:tcW w:w="713" w:type="pct"/>
            <w:tcBorders>
              <w:top w:val="nil"/>
              <w:bottom w:val="nil"/>
            </w:tcBorders>
          </w:tcPr>
          <w:p w:rsidR="00FD0D9D" w:rsidRDefault="00FD0D9D" w:rsidP="00003C67">
            <w:pPr>
              <w:spacing w:line="480" w:lineRule="auto"/>
              <w:jc w:val="center"/>
            </w:pPr>
            <w:r>
              <w:t xml:space="preserve">87-117 </w:t>
            </w:r>
          </w:p>
        </w:tc>
        <w:tc>
          <w:tcPr>
            <w:tcW w:w="604" w:type="pct"/>
            <w:tcBorders>
              <w:top w:val="nil"/>
              <w:bottom w:val="nil"/>
            </w:tcBorders>
          </w:tcPr>
          <w:p w:rsidR="00FD0D9D" w:rsidRDefault="00FD0D9D" w:rsidP="00003C67">
            <w:pPr>
              <w:spacing w:line="480" w:lineRule="auto"/>
              <w:jc w:val="center"/>
            </w:pPr>
            <w:r>
              <w:t xml:space="preserve">16.05, </w:t>
            </w:r>
            <w:r w:rsidRPr="00862A4A">
              <w:rPr>
                <w:i/>
              </w:rPr>
              <w:t>p</w:t>
            </w:r>
            <w:r>
              <w:t>=.000</w:t>
            </w:r>
          </w:p>
        </w:tc>
        <w:tc>
          <w:tcPr>
            <w:tcW w:w="529" w:type="pct"/>
            <w:tcBorders>
              <w:top w:val="nil"/>
              <w:bottom w:val="nil"/>
            </w:tcBorders>
          </w:tcPr>
          <w:p w:rsidR="00FD0D9D" w:rsidRDefault="00FD0D9D" w:rsidP="00003C67">
            <w:pPr>
              <w:spacing w:line="480" w:lineRule="auto"/>
              <w:jc w:val="center"/>
            </w:pPr>
            <w:r>
              <w:t>1.15</w:t>
            </w:r>
          </w:p>
        </w:tc>
      </w:tr>
      <w:tr w:rsidR="00FD0D9D" w:rsidRPr="00C6087B" w:rsidTr="00003C67">
        <w:tc>
          <w:tcPr>
            <w:tcW w:w="1068" w:type="pct"/>
            <w:tcBorders>
              <w:top w:val="nil"/>
              <w:bottom w:val="nil"/>
            </w:tcBorders>
          </w:tcPr>
          <w:p w:rsidR="00FD0D9D" w:rsidRDefault="00FD0D9D" w:rsidP="00003C67">
            <w:pPr>
              <w:spacing w:line="480" w:lineRule="auto"/>
            </w:pPr>
            <w:r>
              <w:t>Vocabulary (raw)</w:t>
            </w:r>
          </w:p>
        </w:tc>
        <w:tc>
          <w:tcPr>
            <w:tcW w:w="763" w:type="pct"/>
            <w:tcBorders>
              <w:top w:val="nil"/>
              <w:bottom w:val="nil"/>
            </w:tcBorders>
          </w:tcPr>
          <w:p w:rsidR="00FD0D9D" w:rsidRDefault="00FD0D9D" w:rsidP="00003C67">
            <w:pPr>
              <w:spacing w:line="480" w:lineRule="auto"/>
              <w:jc w:val="center"/>
            </w:pPr>
            <w:r>
              <w:t>99.17 (25.34)</w:t>
            </w:r>
          </w:p>
        </w:tc>
        <w:tc>
          <w:tcPr>
            <w:tcW w:w="560" w:type="pct"/>
            <w:tcBorders>
              <w:top w:val="nil"/>
              <w:bottom w:val="nil"/>
            </w:tcBorders>
          </w:tcPr>
          <w:p w:rsidR="00FD0D9D" w:rsidRDefault="00FD0D9D" w:rsidP="00003C67">
            <w:pPr>
              <w:spacing w:line="480" w:lineRule="auto"/>
              <w:jc w:val="center"/>
            </w:pPr>
            <w:r>
              <w:t xml:space="preserve">49 – 138 </w:t>
            </w:r>
          </w:p>
        </w:tc>
        <w:tc>
          <w:tcPr>
            <w:tcW w:w="763" w:type="pct"/>
            <w:tcBorders>
              <w:top w:val="nil"/>
              <w:bottom w:val="nil"/>
            </w:tcBorders>
          </w:tcPr>
          <w:p w:rsidR="00FD0D9D" w:rsidRDefault="00FD0D9D" w:rsidP="00003C67">
            <w:pPr>
              <w:spacing w:line="480" w:lineRule="auto"/>
              <w:jc w:val="center"/>
            </w:pPr>
            <w:r>
              <w:t>104.24 (15.77)</w:t>
            </w:r>
          </w:p>
        </w:tc>
        <w:tc>
          <w:tcPr>
            <w:tcW w:w="713" w:type="pct"/>
            <w:tcBorders>
              <w:top w:val="nil"/>
              <w:bottom w:val="nil"/>
            </w:tcBorders>
          </w:tcPr>
          <w:p w:rsidR="00FD0D9D" w:rsidRDefault="00FD0D9D" w:rsidP="00003C67">
            <w:pPr>
              <w:spacing w:line="480" w:lineRule="auto"/>
              <w:jc w:val="center"/>
            </w:pPr>
            <w:r>
              <w:t xml:space="preserve">76 – 129 </w:t>
            </w:r>
          </w:p>
        </w:tc>
        <w:tc>
          <w:tcPr>
            <w:tcW w:w="604" w:type="pct"/>
            <w:tcBorders>
              <w:top w:val="nil"/>
              <w:bottom w:val="nil"/>
            </w:tcBorders>
          </w:tcPr>
          <w:p w:rsidR="00FD0D9D" w:rsidRDefault="00FD0D9D" w:rsidP="00003C67">
            <w:pPr>
              <w:spacing w:line="480" w:lineRule="auto"/>
              <w:jc w:val="center"/>
            </w:pPr>
            <w:r>
              <w:t>0.71</w:t>
            </w:r>
          </w:p>
        </w:tc>
        <w:tc>
          <w:tcPr>
            <w:tcW w:w="529" w:type="pct"/>
            <w:tcBorders>
              <w:top w:val="nil"/>
              <w:bottom w:val="nil"/>
            </w:tcBorders>
          </w:tcPr>
          <w:p w:rsidR="00FD0D9D" w:rsidRDefault="00FD0D9D" w:rsidP="00003C67">
            <w:pPr>
              <w:spacing w:line="480" w:lineRule="auto"/>
              <w:jc w:val="center"/>
            </w:pPr>
            <w:r>
              <w:t>0.24</w:t>
            </w:r>
          </w:p>
        </w:tc>
      </w:tr>
      <w:tr w:rsidR="00FD0D9D" w:rsidRPr="00C6087B" w:rsidTr="00003C67">
        <w:tc>
          <w:tcPr>
            <w:tcW w:w="1068" w:type="pct"/>
            <w:tcBorders>
              <w:top w:val="nil"/>
            </w:tcBorders>
          </w:tcPr>
          <w:p w:rsidR="00FD0D9D" w:rsidRDefault="00FD0D9D" w:rsidP="00003C67">
            <w:pPr>
              <w:spacing w:line="480" w:lineRule="auto"/>
            </w:pPr>
            <w:r>
              <w:t>Vocabulary (</w:t>
            </w:r>
            <w:proofErr w:type="spellStart"/>
            <w:r>
              <w:t>ss</w:t>
            </w:r>
            <w:proofErr w:type="spellEnd"/>
            <w:r>
              <w:t>)</w:t>
            </w:r>
          </w:p>
        </w:tc>
        <w:tc>
          <w:tcPr>
            <w:tcW w:w="763" w:type="pct"/>
            <w:tcBorders>
              <w:top w:val="nil"/>
            </w:tcBorders>
          </w:tcPr>
          <w:p w:rsidR="00FD0D9D" w:rsidRDefault="00FD0D9D" w:rsidP="00003C67">
            <w:pPr>
              <w:spacing w:line="480" w:lineRule="auto"/>
              <w:jc w:val="center"/>
            </w:pPr>
            <w:r>
              <w:t>90.48 (22.53)</w:t>
            </w:r>
          </w:p>
        </w:tc>
        <w:tc>
          <w:tcPr>
            <w:tcW w:w="560" w:type="pct"/>
            <w:tcBorders>
              <w:top w:val="nil"/>
            </w:tcBorders>
          </w:tcPr>
          <w:p w:rsidR="00FD0D9D" w:rsidRDefault="00FD0D9D" w:rsidP="00003C67">
            <w:pPr>
              <w:spacing w:line="480" w:lineRule="auto"/>
              <w:jc w:val="center"/>
            </w:pPr>
            <w:r>
              <w:t xml:space="preserve">40 – 123 </w:t>
            </w:r>
          </w:p>
        </w:tc>
        <w:tc>
          <w:tcPr>
            <w:tcW w:w="763" w:type="pct"/>
            <w:tcBorders>
              <w:top w:val="nil"/>
            </w:tcBorders>
          </w:tcPr>
          <w:p w:rsidR="00FD0D9D" w:rsidRDefault="00FD0D9D" w:rsidP="00003C67">
            <w:pPr>
              <w:spacing w:line="480" w:lineRule="auto"/>
              <w:jc w:val="center"/>
            </w:pPr>
            <w:r>
              <w:t>98.72 (11.06)</w:t>
            </w:r>
          </w:p>
        </w:tc>
        <w:tc>
          <w:tcPr>
            <w:tcW w:w="713" w:type="pct"/>
            <w:tcBorders>
              <w:top w:val="nil"/>
            </w:tcBorders>
          </w:tcPr>
          <w:p w:rsidR="00FD0D9D" w:rsidRDefault="00FD0D9D" w:rsidP="00003C67">
            <w:pPr>
              <w:spacing w:line="480" w:lineRule="auto"/>
              <w:jc w:val="center"/>
            </w:pPr>
            <w:r>
              <w:t xml:space="preserve">75 – 118 </w:t>
            </w:r>
          </w:p>
        </w:tc>
        <w:tc>
          <w:tcPr>
            <w:tcW w:w="604" w:type="pct"/>
            <w:tcBorders>
              <w:top w:val="nil"/>
            </w:tcBorders>
          </w:tcPr>
          <w:p w:rsidR="00FD0D9D" w:rsidRDefault="00FD0D9D" w:rsidP="00003C67">
            <w:pPr>
              <w:spacing w:line="480" w:lineRule="auto"/>
              <w:jc w:val="center"/>
            </w:pPr>
            <w:r>
              <w:t>2.70</w:t>
            </w:r>
          </w:p>
        </w:tc>
        <w:tc>
          <w:tcPr>
            <w:tcW w:w="529" w:type="pct"/>
            <w:tcBorders>
              <w:top w:val="nil"/>
            </w:tcBorders>
          </w:tcPr>
          <w:p w:rsidR="00FD0D9D" w:rsidRDefault="00FD0D9D" w:rsidP="00003C67">
            <w:pPr>
              <w:spacing w:line="480" w:lineRule="auto"/>
              <w:jc w:val="center"/>
            </w:pPr>
            <w:r>
              <w:t>0.46</w:t>
            </w:r>
          </w:p>
        </w:tc>
      </w:tr>
    </w:tbl>
    <w:p w:rsidR="00FD0D9D" w:rsidRDefault="00FD0D9D" w:rsidP="00FD0D9D">
      <w:pPr>
        <w:rPr>
          <w:sz w:val="20"/>
          <w:szCs w:val="20"/>
        </w:rPr>
      </w:pPr>
    </w:p>
    <w:p w:rsidR="00FD0D9D" w:rsidRPr="00A56915" w:rsidRDefault="00FD0D9D" w:rsidP="00FD0D9D">
      <w:pPr>
        <w:rPr>
          <w:b/>
          <w:i/>
          <w:sz w:val="20"/>
          <w:szCs w:val="20"/>
        </w:rPr>
      </w:pPr>
      <w:r w:rsidRPr="00A56915">
        <w:rPr>
          <w:i/>
          <w:sz w:val="20"/>
          <w:szCs w:val="20"/>
        </w:rPr>
        <w:t xml:space="preserve">Note. Maximum raw scores are 90 and 25 for the word reading and </w:t>
      </w:r>
      <w:proofErr w:type="spellStart"/>
      <w:r w:rsidRPr="00A56915">
        <w:rPr>
          <w:i/>
          <w:sz w:val="20"/>
          <w:szCs w:val="20"/>
        </w:rPr>
        <w:t>nonword</w:t>
      </w:r>
      <w:proofErr w:type="spellEnd"/>
      <w:r w:rsidRPr="00A56915">
        <w:rPr>
          <w:i/>
          <w:sz w:val="20"/>
          <w:szCs w:val="20"/>
        </w:rPr>
        <w:t xml:space="preserve"> decoding tests, respectively. F values reflect one-way ANOVAs with Group as a between subjects variable and d values reflect Cohen’s d effect sizes. Standard deviations are reported in parentheses</w:t>
      </w:r>
    </w:p>
    <w:p w:rsidR="00FD0D9D" w:rsidRDefault="00FD0D9D" w:rsidP="00123A49">
      <w:pPr>
        <w:spacing w:line="480" w:lineRule="auto"/>
      </w:pPr>
    </w:p>
    <w:p w:rsidR="00281766" w:rsidRPr="00C6087B" w:rsidRDefault="00281766" w:rsidP="00123A49">
      <w:pPr>
        <w:spacing w:line="480" w:lineRule="auto"/>
      </w:pPr>
      <w:proofErr w:type="gramStart"/>
      <w:r w:rsidRPr="00C6087B">
        <w:lastRenderedPageBreak/>
        <w:t xml:space="preserve">Table </w:t>
      </w:r>
      <w:r w:rsidR="00FD0D9D">
        <w:t>2</w:t>
      </w:r>
      <w:r>
        <w:t>.</w:t>
      </w:r>
      <w:proofErr w:type="gramEnd"/>
      <w:r>
        <w:t xml:space="preserve"> Correlations between</w:t>
      </w:r>
      <w:r w:rsidRPr="00C6087B">
        <w:t xml:space="preserve"> </w:t>
      </w:r>
      <w:r>
        <w:t>standardised test scores</w:t>
      </w:r>
      <w:r w:rsidRPr="00C6087B">
        <w:t xml:space="preserve"> for the ASD group (and </w:t>
      </w:r>
      <w:r>
        <w:t>TD</w:t>
      </w:r>
      <w:r w:rsidRPr="00C6087B">
        <w:t xml:space="preserve"> </w:t>
      </w:r>
      <w:r>
        <w:t>peers</w:t>
      </w:r>
      <w:r w:rsidRPr="00C6087B">
        <w:t xml:space="preserve"> in parentheses). </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2356"/>
        <w:gridCol w:w="1236"/>
        <w:gridCol w:w="1316"/>
        <w:gridCol w:w="1316"/>
        <w:gridCol w:w="1296"/>
        <w:gridCol w:w="1036"/>
      </w:tblGrid>
      <w:tr w:rsidR="00281766" w:rsidRPr="00C6087B" w:rsidTr="00AB1F45">
        <w:tc>
          <w:tcPr>
            <w:tcW w:w="0" w:type="auto"/>
          </w:tcPr>
          <w:p w:rsidR="00281766" w:rsidRPr="00C6087B" w:rsidRDefault="00281766" w:rsidP="00AB1F45">
            <w:pPr>
              <w:spacing w:line="480" w:lineRule="auto"/>
            </w:pPr>
          </w:p>
        </w:tc>
        <w:tc>
          <w:tcPr>
            <w:tcW w:w="0" w:type="auto"/>
          </w:tcPr>
          <w:p w:rsidR="00281766" w:rsidRPr="00C6087B" w:rsidRDefault="00281766" w:rsidP="00AB1F45">
            <w:pPr>
              <w:spacing w:line="480" w:lineRule="auto"/>
            </w:pPr>
            <w:r>
              <w:t>1</w:t>
            </w:r>
          </w:p>
        </w:tc>
        <w:tc>
          <w:tcPr>
            <w:tcW w:w="0" w:type="auto"/>
          </w:tcPr>
          <w:p w:rsidR="00281766" w:rsidRPr="00C6087B" w:rsidRDefault="00281766" w:rsidP="00AB1F45">
            <w:pPr>
              <w:spacing w:line="480" w:lineRule="auto"/>
            </w:pPr>
            <w:r>
              <w:t>2</w:t>
            </w:r>
          </w:p>
        </w:tc>
        <w:tc>
          <w:tcPr>
            <w:tcW w:w="0" w:type="auto"/>
          </w:tcPr>
          <w:p w:rsidR="00281766" w:rsidRPr="00C6087B" w:rsidRDefault="00281766" w:rsidP="00AB1F45">
            <w:pPr>
              <w:spacing w:line="480" w:lineRule="auto"/>
            </w:pPr>
            <w:r>
              <w:t>3</w:t>
            </w:r>
          </w:p>
        </w:tc>
        <w:tc>
          <w:tcPr>
            <w:tcW w:w="0" w:type="auto"/>
          </w:tcPr>
          <w:p w:rsidR="00281766" w:rsidRPr="00C6087B" w:rsidRDefault="00281766" w:rsidP="00AB1F45">
            <w:pPr>
              <w:spacing w:line="480" w:lineRule="auto"/>
            </w:pPr>
            <w:r>
              <w:t>4</w:t>
            </w:r>
          </w:p>
        </w:tc>
        <w:tc>
          <w:tcPr>
            <w:tcW w:w="0" w:type="auto"/>
          </w:tcPr>
          <w:p w:rsidR="00281766" w:rsidRPr="00C6087B" w:rsidRDefault="00281766" w:rsidP="00AB1F45">
            <w:pPr>
              <w:spacing w:line="480" w:lineRule="auto"/>
            </w:pPr>
            <w:r>
              <w:t>5</w:t>
            </w:r>
          </w:p>
        </w:tc>
      </w:tr>
      <w:tr w:rsidR="00281766" w:rsidRPr="00C6087B" w:rsidTr="00AB1F45">
        <w:tc>
          <w:tcPr>
            <w:tcW w:w="0" w:type="auto"/>
            <w:tcBorders>
              <w:bottom w:val="nil"/>
            </w:tcBorders>
          </w:tcPr>
          <w:p w:rsidR="00281766" w:rsidRPr="00C6087B" w:rsidRDefault="00281766" w:rsidP="00AB1F45">
            <w:pPr>
              <w:spacing w:line="480" w:lineRule="auto"/>
            </w:pPr>
            <w:r w:rsidRPr="00C6087B">
              <w:t>Word Reading</w:t>
            </w:r>
          </w:p>
        </w:tc>
        <w:tc>
          <w:tcPr>
            <w:tcW w:w="0" w:type="auto"/>
            <w:tcBorders>
              <w:bottom w:val="nil"/>
            </w:tcBorders>
          </w:tcPr>
          <w:p w:rsidR="00281766" w:rsidRPr="00C6087B" w:rsidRDefault="00281766" w:rsidP="00AB1F45">
            <w:pPr>
              <w:spacing w:line="480" w:lineRule="auto"/>
            </w:pPr>
          </w:p>
        </w:tc>
        <w:tc>
          <w:tcPr>
            <w:tcW w:w="0" w:type="auto"/>
            <w:tcBorders>
              <w:bottom w:val="nil"/>
            </w:tcBorders>
          </w:tcPr>
          <w:p w:rsidR="00281766" w:rsidRPr="00C6087B" w:rsidRDefault="00281766" w:rsidP="00AB1F45">
            <w:pPr>
              <w:spacing w:line="480" w:lineRule="auto"/>
            </w:pPr>
            <w:r w:rsidRPr="00C6087B">
              <w:t>.7</w:t>
            </w:r>
            <w:r>
              <w:t>6</w:t>
            </w:r>
            <w:r w:rsidRPr="00C6087B">
              <w:t xml:space="preserve"> (.</w:t>
            </w:r>
            <w:r>
              <w:t>67</w:t>
            </w:r>
            <w:r w:rsidRPr="00C6087B">
              <w:t>)</w:t>
            </w:r>
          </w:p>
        </w:tc>
        <w:tc>
          <w:tcPr>
            <w:tcW w:w="0" w:type="auto"/>
            <w:tcBorders>
              <w:bottom w:val="nil"/>
            </w:tcBorders>
          </w:tcPr>
          <w:p w:rsidR="00281766" w:rsidRPr="00C6087B" w:rsidRDefault="00281766" w:rsidP="00AB1F45">
            <w:pPr>
              <w:spacing w:line="480" w:lineRule="auto"/>
            </w:pPr>
            <w:r w:rsidRPr="00C6087B">
              <w:t>.89 (.90)</w:t>
            </w:r>
          </w:p>
        </w:tc>
        <w:tc>
          <w:tcPr>
            <w:tcW w:w="0" w:type="auto"/>
            <w:tcBorders>
              <w:bottom w:val="nil"/>
            </w:tcBorders>
          </w:tcPr>
          <w:p w:rsidR="00281766" w:rsidRPr="00C6087B" w:rsidRDefault="00281766" w:rsidP="00AB1F45">
            <w:pPr>
              <w:spacing w:line="480" w:lineRule="auto"/>
            </w:pPr>
            <w:r w:rsidRPr="00C6087B">
              <w:t xml:space="preserve">.80 </w:t>
            </w:r>
            <w:r>
              <w:t xml:space="preserve"> </w:t>
            </w:r>
            <w:r w:rsidRPr="00C6087B">
              <w:t>(.75)</w:t>
            </w:r>
          </w:p>
        </w:tc>
        <w:tc>
          <w:tcPr>
            <w:tcW w:w="0" w:type="auto"/>
            <w:tcBorders>
              <w:bottom w:val="nil"/>
            </w:tcBorders>
          </w:tcPr>
          <w:p w:rsidR="00281766" w:rsidRPr="00C6087B" w:rsidRDefault="00281766" w:rsidP="00AB1F45">
            <w:pPr>
              <w:spacing w:line="480" w:lineRule="auto"/>
            </w:pPr>
            <w:r w:rsidRPr="00C6087B">
              <w:t>.65 (.67)</w:t>
            </w:r>
          </w:p>
        </w:tc>
      </w:tr>
      <w:tr w:rsidR="00281766" w:rsidRPr="00C6087B" w:rsidTr="00AB1F45">
        <w:tc>
          <w:tcPr>
            <w:tcW w:w="0" w:type="auto"/>
            <w:tcBorders>
              <w:top w:val="nil"/>
              <w:bottom w:val="nil"/>
            </w:tcBorders>
          </w:tcPr>
          <w:p w:rsidR="00281766" w:rsidRPr="00C6087B" w:rsidRDefault="00281766" w:rsidP="00AB1F45">
            <w:pPr>
              <w:spacing w:line="480" w:lineRule="auto"/>
            </w:pPr>
            <w:proofErr w:type="spellStart"/>
            <w:r w:rsidRPr="00C6087B">
              <w:t>Nonword</w:t>
            </w:r>
            <w:proofErr w:type="spellEnd"/>
            <w:r w:rsidRPr="00C6087B">
              <w:t xml:space="preserve"> Reading</w:t>
            </w:r>
          </w:p>
        </w:tc>
        <w:tc>
          <w:tcPr>
            <w:tcW w:w="0" w:type="auto"/>
            <w:tcBorders>
              <w:top w:val="nil"/>
              <w:bottom w:val="nil"/>
            </w:tcBorders>
          </w:tcPr>
          <w:p w:rsidR="00281766" w:rsidRPr="00C6087B" w:rsidRDefault="00281766" w:rsidP="00AB1F45">
            <w:pPr>
              <w:spacing w:line="480" w:lineRule="auto"/>
            </w:pPr>
            <w:r>
              <w:t>.74 (.62)</w:t>
            </w:r>
          </w:p>
        </w:tc>
        <w:tc>
          <w:tcPr>
            <w:tcW w:w="0" w:type="auto"/>
            <w:tcBorders>
              <w:top w:val="nil"/>
              <w:bottom w:val="nil"/>
            </w:tcBorders>
          </w:tcPr>
          <w:p w:rsidR="00281766" w:rsidRPr="00C6087B" w:rsidRDefault="00281766" w:rsidP="00AB1F45">
            <w:pPr>
              <w:spacing w:line="480" w:lineRule="auto"/>
            </w:pPr>
          </w:p>
        </w:tc>
        <w:tc>
          <w:tcPr>
            <w:tcW w:w="0" w:type="auto"/>
            <w:tcBorders>
              <w:top w:val="nil"/>
              <w:bottom w:val="nil"/>
            </w:tcBorders>
          </w:tcPr>
          <w:p w:rsidR="00281766" w:rsidRPr="00C6087B" w:rsidRDefault="00281766" w:rsidP="00AB1F45">
            <w:pPr>
              <w:spacing w:line="480" w:lineRule="auto"/>
            </w:pPr>
            <w:r w:rsidRPr="00C6087B">
              <w:t>.</w:t>
            </w:r>
            <w:r>
              <w:t>71</w:t>
            </w:r>
            <w:r w:rsidRPr="00C6087B">
              <w:t xml:space="preserve"> (.</w:t>
            </w:r>
            <w:r>
              <w:t>58</w:t>
            </w:r>
            <w:r w:rsidRPr="00C6087B">
              <w:t>)</w:t>
            </w:r>
          </w:p>
        </w:tc>
        <w:tc>
          <w:tcPr>
            <w:tcW w:w="0" w:type="auto"/>
            <w:tcBorders>
              <w:top w:val="nil"/>
              <w:bottom w:val="nil"/>
            </w:tcBorders>
          </w:tcPr>
          <w:p w:rsidR="00281766" w:rsidRPr="00150071" w:rsidRDefault="00281766" w:rsidP="00AB1F45">
            <w:pPr>
              <w:spacing w:line="480" w:lineRule="auto"/>
              <w:rPr>
                <w:vertAlign w:val="subscript"/>
              </w:rPr>
            </w:pPr>
            <w:r w:rsidRPr="00C6087B">
              <w:t>.</w:t>
            </w:r>
            <w:r>
              <w:t>61</w:t>
            </w:r>
            <w:r w:rsidRPr="00C6087B">
              <w:t xml:space="preserve"> </w:t>
            </w:r>
            <w:r>
              <w:t xml:space="preserve"> </w:t>
            </w:r>
            <w:r w:rsidRPr="00C6087B">
              <w:t>(.</w:t>
            </w:r>
            <w:r>
              <w:t>32</w:t>
            </w:r>
            <w:r w:rsidRPr="00C6087B">
              <w:t>)</w:t>
            </w:r>
            <w:r>
              <w:rPr>
                <w:vertAlign w:val="subscript"/>
              </w:rPr>
              <w:t>.04</w:t>
            </w:r>
          </w:p>
        </w:tc>
        <w:tc>
          <w:tcPr>
            <w:tcW w:w="0" w:type="auto"/>
            <w:tcBorders>
              <w:top w:val="nil"/>
              <w:bottom w:val="nil"/>
            </w:tcBorders>
          </w:tcPr>
          <w:p w:rsidR="00281766" w:rsidRPr="00C6087B" w:rsidRDefault="00281766" w:rsidP="00AB1F45">
            <w:pPr>
              <w:spacing w:line="480" w:lineRule="auto"/>
            </w:pPr>
            <w:r w:rsidRPr="00C6087B">
              <w:t>.</w:t>
            </w:r>
            <w:r>
              <w:t>42</w:t>
            </w:r>
            <w:r w:rsidRPr="00C6087B">
              <w:t xml:space="preserve"> (.3</w:t>
            </w:r>
            <w:r>
              <w:t>6</w:t>
            </w:r>
            <w:r w:rsidRPr="00C6087B">
              <w:t>)</w:t>
            </w:r>
          </w:p>
        </w:tc>
      </w:tr>
      <w:tr w:rsidR="00281766" w:rsidRPr="00C6087B" w:rsidTr="00AB1F45">
        <w:tc>
          <w:tcPr>
            <w:tcW w:w="0" w:type="auto"/>
            <w:tcBorders>
              <w:top w:val="nil"/>
              <w:bottom w:val="nil"/>
            </w:tcBorders>
          </w:tcPr>
          <w:p w:rsidR="00281766" w:rsidRPr="00C6087B" w:rsidRDefault="00281766" w:rsidP="00AB1F45">
            <w:pPr>
              <w:spacing w:line="480" w:lineRule="auto"/>
            </w:pPr>
            <w:r w:rsidRPr="00C6087B">
              <w:t xml:space="preserve">Text </w:t>
            </w:r>
            <w:r>
              <w:t>Accuracy</w:t>
            </w:r>
            <w:r w:rsidRPr="00C6087B">
              <w:t xml:space="preserve"> </w:t>
            </w:r>
          </w:p>
        </w:tc>
        <w:tc>
          <w:tcPr>
            <w:tcW w:w="0" w:type="auto"/>
            <w:tcBorders>
              <w:top w:val="nil"/>
              <w:bottom w:val="nil"/>
            </w:tcBorders>
          </w:tcPr>
          <w:p w:rsidR="00281766" w:rsidRPr="00C6087B" w:rsidRDefault="00281766" w:rsidP="00AB1F45">
            <w:pPr>
              <w:spacing w:line="480" w:lineRule="auto"/>
            </w:pPr>
            <w:r>
              <w:t>.89 (.85)</w:t>
            </w:r>
          </w:p>
        </w:tc>
        <w:tc>
          <w:tcPr>
            <w:tcW w:w="0" w:type="auto"/>
            <w:tcBorders>
              <w:top w:val="nil"/>
              <w:bottom w:val="nil"/>
            </w:tcBorders>
          </w:tcPr>
          <w:p w:rsidR="00281766" w:rsidRPr="00C6087B" w:rsidRDefault="00281766" w:rsidP="00AB1F45">
            <w:pPr>
              <w:spacing w:line="480" w:lineRule="auto"/>
            </w:pPr>
            <w:r>
              <w:t>.70 (.51)</w:t>
            </w:r>
          </w:p>
        </w:tc>
        <w:tc>
          <w:tcPr>
            <w:tcW w:w="0" w:type="auto"/>
            <w:tcBorders>
              <w:top w:val="nil"/>
              <w:bottom w:val="nil"/>
            </w:tcBorders>
          </w:tcPr>
          <w:p w:rsidR="00281766" w:rsidRPr="00C6087B" w:rsidRDefault="00281766" w:rsidP="00AB1F45">
            <w:pPr>
              <w:spacing w:line="480" w:lineRule="auto"/>
            </w:pPr>
          </w:p>
        </w:tc>
        <w:tc>
          <w:tcPr>
            <w:tcW w:w="0" w:type="auto"/>
            <w:tcBorders>
              <w:top w:val="nil"/>
              <w:bottom w:val="nil"/>
            </w:tcBorders>
          </w:tcPr>
          <w:p w:rsidR="00281766" w:rsidRPr="00150071" w:rsidRDefault="00281766" w:rsidP="00AB1F45">
            <w:pPr>
              <w:spacing w:line="480" w:lineRule="auto"/>
            </w:pPr>
            <w:r w:rsidRPr="00C6087B">
              <w:t>.89 (.74)</w:t>
            </w:r>
            <w:r>
              <w:rPr>
                <w:vertAlign w:val="subscript"/>
              </w:rPr>
              <w:t>.02</w:t>
            </w:r>
          </w:p>
        </w:tc>
        <w:tc>
          <w:tcPr>
            <w:tcW w:w="0" w:type="auto"/>
            <w:tcBorders>
              <w:top w:val="nil"/>
              <w:bottom w:val="nil"/>
            </w:tcBorders>
          </w:tcPr>
          <w:p w:rsidR="00281766" w:rsidRPr="00C6087B" w:rsidRDefault="00281766" w:rsidP="00AB1F45">
            <w:pPr>
              <w:spacing w:line="480" w:lineRule="auto"/>
            </w:pPr>
            <w:r w:rsidRPr="00C6087B">
              <w:t>.66 (.56)</w:t>
            </w:r>
          </w:p>
        </w:tc>
      </w:tr>
      <w:tr w:rsidR="00281766" w:rsidRPr="00C6087B" w:rsidTr="00AB1F45">
        <w:tc>
          <w:tcPr>
            <w:tcW w:w="0" w:type="auto"/>
            <w:tcBorders>
              <w:top w:val="nil"/>
              <w:bottom w:val="nil"/>
            </w:tcBorders>
          </w:tcPr>
          <w:p w:rsidR="00281766" w:rsidRPr="00C6087B" w:rsidRDefault="00281766" w:rsidP="00AB1F45">
            <w:pPr>
              <w:spacing w:line="480" w:lineRule="auto"/>
            </w:pPr>
            <w:r w:rsidRPr="00C6087B">
              <w:t>Text Com</w:t>
            </w:r>
            <w:r>
              <w:t>prehension</w:t>
            </w:r>
          </w:p>
        </w:tc>
        <w:tc>
          <w:tcPr>
            <w:tcW w:w="0" w:type="auto"/>
            <w:tcBorders>
              <w:top w:val="nil"/>
              <w:bottom w:val="nil"/>
            </w:tcBorders>
          </w:tcPr>
          <w:p w:rsidR="00281766" w:rsidRPr="00150071" w:rsidRDefault="00281766" w:rsidP="00AB1F45">
            <w:pPr>
              <w:spacing w:line="480" w:lineRule="auto"/>
              <w:rPr>
                <w:sz w:val="32"/>
                <w:vertAlign w:val="subscript"/>
              </w:rPr>
            </w:pPr>
            <w:r>
              <w:t>.78 (.61)</w:t>
            </w:r>
            <w:r>
              <w:rPr>
                <w:vertAlign w:val="subscript"/>
              </w:rPr>
              <w:t>.05</w:t>
            </w:r>
          </w:p>
        </w:tc>
        <w:tc>
          <w:tcPr>
            <w:tcW w:w="0" w:type="auto"/>
            <w:tcBorders>
              <w:top w:val="nil"/>
              <w:bottom w:val="nil"/>
            </w:tcBorders>
          </w:tcPr>
          <w:p w:rsidR="00281766" w:rsidRPr="00150071" w:rsidRDefault="00281766" w:rsidP="00AB1F45">
            <w:pPr>
              <w:spacing w:line="480" w:lineRule="auto"/>
              <w:rPr>
                <w:vertAlign w:val="subscript"/>
              </w:rPr>
            </w:pPr>
            <w:r>
              <w:t>.58 (.17)</w:t>
            </w:r>
            <w:r>
              <w:rPr>
                <w:vertAlign w:val="subscript"/>
              </w:rPr>
              <w:t>.009</w:t>
            </w:r>
          </w:p>
        </w:tc>
        <w:tc>
          <w:tcPr>
            <w:tcW w:w="0" w:type="auto"/>
            <w:tcBorders>
              <w:top w:val="nil"/>
              <w:bottom w:val="nil"/>
            </w:tcBorders>
          </w:tcPr>
          <w:p w:rsidR="00281766" w:rsidRPr="00150071" w:rsidRDefault="00281766" w:rsidP="00AB1F45">
            <w:pPr>
              <w:spacing w:line="480" w:lineRule="auto"/>
              <w:rPr>
                <w:vertAlign w:val="subscript"/>
              </w:rPr>
            </w:pPr>
            <w:r>
              <w:t>.89 (.62)</w:t>
            </w:r>
            <w:r>
              <w:rPr>
                <w:vertAlign w:val="subscript"/>
              </w:rPr>
              <w:t>.001</w:t>
            </w:r>
          </w:p>
        </w:tc>
        <w:tc>
          <w:tcPr>
            <w:tcW w:w="0" w:type="auto"/>
            <w:tcBorders>
              <w:top w:val="nil"/>
              <w:bottom w:val="nil"/>
            </w:tcBorders>
          </w:tcPr>
          <w:p w:rsidR="00281766" w:rsidRPr="00C6087B" w:rsidRDefault="00281766" w:rsidP="00AB1F45">
            <w:pPr>
              <w:spacing w:line="480" w:lineRule="auto"/>
            </w:pPr>
          </w:p>
        </w:tc>
        <w:tc>
          <w:tcPr>
            <w:tcW w:w="0" w:type="auto"/>
            <w:tcBorders>
              <w:top w:val="nil"/>
              <w:bottom w:val="nil"/>
            </w:tcBorders>
          </w:tcPr>
          <w:p w:rsidR="00281766" w:rsidRPr="00C6087B" w:rsidRDefault="00281766" w:rsidP="00AB1F45">
            <w:pPr>
              <w:spacing w:line="480" w:lineRule="auto"/>
            </w:pPr>
            <w:r w:rsidRPr="00C6087B">
              <w:t>.77 (.79)</w:t>
            </w:r>
          </w:p>
        </w:tc>
      </w:tr>
      <w:tr w:rsidR="00281766" w:rsidRPr="00C6087B" w:rsidTr="00AB1F45">
        <w:tc>
          <w:tcPr>
            <w:tcW w:w="0" w:type="auto"/>
            <w:tcBorders>
              <w:top w:val="nil"/>
            </w:tcBorders>
          </w:tcPr>
          <w:p w:rsidR="00281766" w:rsidRPr="00C6087B" w:rsidRDefault="00281766" w:rsidP="00AB1F45">
            <w:pPr>
              <w:spacing w:line="480" w:lineRule="auto"/>
            </w:pPr>
            <w:r>
              <w:t>Receptive Vocabulary</w:t>
            </w:r>
          </w:p>
        </w:tc>
        <w:tc>
          <w:tcPr>
            <w:tcW w:w="0" w:type="auto"/>
            <w:tcBorders>
              <w:top w:val="nil"/>
            </w:tcBorders>
          </w:tcPr>
          <w:p w:rsidR="00281766" w:rsidRPr="00C6087B" w:rsidRDefault="00281766" w:rsidP="00AB1F45">
            <w:pPr>
              <w:spacing w:line="480" w:lineRule="auto"/>
            </w:pPr>
            <w:r>
              <w:t>.61 (.48)</w:t>
            </w:r>
          </w:p>
        </w:tc>
        <w:tc>
          <w:tcPr>
            <w:tcW w:w="0" w:type="auto"/>
            <w:tcBorders>
              <w:top w:val="nil"/>
            </w:tcBorders>
          </w:tcPr>
          <w:p w:rsidR="00281766" w:rsidRPr="00C6087B" w:rsidRDefault="00281766" w:rsidP="00AB1F45">
            <w:pPr>
              <w:spacing w:line="480" w:lineRule="auto"/>
            </w:pPr>
            <w:r>
              <w:t>.37 (.20)</w:t>
            </w:r>
          </w:p>
        </w:tc>
        <w:tc>
          <w:tcPr>
            <w:tcW w:w="0" w:type="auto"/>
            <w:tcBorders>
              <w:top w:val="nil"/>
            </w:tcBorders>
          </w:tcPr>
          <w:p w:rsidR="00281766" w:rsidRPr="00150071" w:rsidRDefault="00281766" w:rsidP="00AB1F45">
            <w:pPr>
              <w:spacing w:line="480" w:lineRule="auto"/>
              <w:rPr>
                <w:vertAlign w:val="subscript"/>
              </w:rPr>
            </w:pPr>
            <w:r>
              <w:t>.64 (.35)</w:t>
            </w:r>
            <w:r w:rsidRPr="00150071">
              <w:rPr>
                <w:vertAlign w:val="subscript"/>
              </w:rPr>
              <w:t>.03</w:t>
            </w:r>
          </w:p>
        </w:tc>
        <w:tc>
          <w:tcPr>
            <w:tcW w:w="0" w:type="auto"/>
            <w:tcBorders>
              <w:top w:val="nil"/>
            </w:tcBorders>
          </w:tcPr>
          <w:p w:rsidR="00281766" w:rsidRPr="00C6087B" w:rsidRDefault="00B722D6" w:rsidP="00AB1F45">
            <w:pPr>
              <w:spacing w:line="480" w:lineRule="auto"/>
            </w:pPr>
            <w:r>
              <w:t>.74 (.66</w:t>
            </w:r>
            <w:r w:rsidR="00281766">
              <w:t>)</w:t>
            </w:r>
          </w:p>
        </w:tc>
        <w:tc>
          <w:tcPr>
            <w:tcW w:w="0" w:type="auto"/>
            <w:tcBorders>
              <w:top w:val="nil"/>
            </w:tcBorders>
          </w:tcPr>
          <w:p w:rsidR="00281766" w:rsidRPr="00C6087B" w:rsidRDefault="00281766" w:rsidP="00AB1F45">
            <w:pPr>
              <w:spacing w:line="480" w:lineRule="auto"/>
            </w:pPr>
          </w:p>
        </w:tc>
      </w:tr>
    </w:tbl>
    <w:p w:rsidR="00281766" w:rsidRDefault="00281766" w:rsidP="00A56915">
      <w:pPr>
        <w:autoSpaceDE w:val="0"/>
        <w:autoSpaceDN w:val="0"/>
        <w:adjustRightInd w:val="0"/>
        <w:rPr>
          <w:sz w:val="20"/>
          <w:szCs w:val="20"/>
        </w:rPr>
      </w:pPr>
    </w:p>
    <w:p w:rsidR="00281766" w:rsidRPr="00A56915" w:rsidRDefault="00281766" w:rsidP="00A56915">
      <w:pPr>
        <w:autoSpaceDE w:val="0"/>
        <w:autoSpaceDN w:val="0"/>
        <w:adjustRightInd w:val="0"/>
        <w:rPr>
          <w:sz w:val="20"/>
          <w:szCs w:val="20"/>
        </w:rPr>
      </w:pPr>
      <w:r w:rsidRPr="00A56915">
        <w:rPr>
          <w:sz w:val="20"/>
          <w:szCs w:val="20"/>
        </w:rPr>
        <w:t xml:space="preserve">Note. Simple correlations are above diagonal, partial correlations controlling for age below the diagonal. </w:t>
      </w:r>
    </w:p>
    <w:p w:rsidR="00281766" w:rsidRPr="00A56915" w:rsidRDefault="00281766" w:rsidP="00A56915">
      <w:pPr>
        <w:autoSpaceDE w:val="0"/>
        <w:autoSpaceDN w:val="0"/>
        <w:adjustRightInd w:val="0"/>
        <w:rPr>
          <w:sz w:val="20"/>
          <w:szCs w:val="20"/>
        </w:rPr>
      </w:pPr>
      <w:r w:rsidRPr="00A56915">
        <w:rPr>
          <w:sz w:val="20"/>
          <w:szCs w:val="20"/>
        </w:rPr>
        <w:t>Subscript = correlations between ASD and TD significantly different (p-value)</w:t>
      </w:r>
    </w:p>
    <w:p w:rsidR="00281766" w:rsidRDefault="00281766" w:rsidP="00123A49">
      <w:pPr>
        <w:spacing w:after="200" w:line="276" w:lineRule="auto"/>
      </w:pPr>
      <w:r>
        <w:br w:type="page"/>
      </w:r>
    </w:p>
    <w:p w:rsidR="00281766" w:rsidRDefault="00281766" w:rsidP="00123A49">
      <w:pPr>
        <w:spacing w:line="480" w:lineRule="auto"/>
      </w:pPr>
      <w:proofErr w:type="gramStart"/>
      <w:r>
        <w:lastRenderedPageBreak/>
        <w:t xml:space="preserve">Table </w:t>
      </w:r>
      <w:r w:rsidR="00FD0D9D">
        <w:t>3</w:t>
      </w:r>
      <w:r>
        <w:t>.</w:t>
      </w:r>
      <w:proofErr w:type="gramEnd"/>
      <w:r>
        <w:t xml:space="preserve"> </w:t>
      </w:r>
      <w:proofErr w:type="gramStart"/>
      <w:r>
        <w:t>Hierarchical regressions examining predictors of reading comprehension in children with ASD and TD peers.</w:t>
      </w:r>
      <w:proofErr w:type="gramEnd"/>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843"/>
        <w:gridCol w:w="643"/>
        <w:gridCol w:w="2356"/>
        <w:gridCol w:w="516"/>
        <w:gridCol w:w="1236"/>
        <w:gridCol w:w="1090"/>
        <w:gridCol w:w="222"/>
        <w:gridCol w:w="596"/>
        <w:gridCol w:w="772"/>
        <w:gridCol w:w="516"/>
        <w:gridCol w:w="1236"/>
        <w:gridCol w:w="1090"/>
        <w:gridCol w:w="596"/>
        <w:gridCol w:w="772"/>
      </w:tblGrid>
      <w:tr w:rsidR="003E5ABD" w:rsidRPr="00C6087B" w:rsidTr="00003C67">
        <w:tc>
          <w:tcPr>
            <w:tcW w:w="0" w:type="auto"/>
            <w:tcBorders>
              <w:bottom w:val="single" w:sz="4" w:space="0" w:color="auto"/>
            </w:tcBorders>
          </w:tcPr>
          <w:p w:rsidR="003E5ABD" w:rsidRPr="0055341D" w:rsidRDefault="003E5ABD" w:rsidP="00003C67">
            <w:pPr>
              <w:spacing w:line="480" w:lineRule="auto"/>
            </w:pPr>
          </w:p>
        </w:tc>
        <w:tc>
          <w:tcPr>
            <w:tcW w:w="0" w:type="auto"/>
            <w:tcBorders>
              <w:bottom w:val="single" w:sz="4" w:space="0" w:color="auto"/>
            </w:tcBorders>
          </w:tcPr>
          <w:p w:rsidR="003E5ABD" w:rsidRPr="0055341D" w:rsidRDefault="003E5ABD" w:rsidP="00003C67">
            <w:pPr>
              <w:spacing w:line="480" w:lineRule="auto"/>
              <w:jc w:val="center"/>
            </w:pPr>
          </w:p>
        </w:tc>
        <w:tc>
          <w:tcPr>
            <w:tcW w:w="0" w:type="auto"/>
            <w:tcBorders>
              <w:bottom w:val="single" w:sz="4" w:space="0" w:color="auto"/>
            </w:tcBorders>
          </w:tcPr>
          <w:p w:rsidR="003E5ABD" w:rsidRPr="0055341D" w:rsidRDefault="003E5ABD" w:rsidP="00003C67">
            <w:pPr>
              <w:spacing w:line="480" w:lineRule="auto"/>
              <w:jc w:val="center"/>
            </w:pPr>
          </w:p>
        </w:tc>
        <w:tc>
          <w:tcPr>
            <w:tcW w:w="0" w:type="auto"/>
            <w:gridSpan w:val="6"/>
            <w:tcBorders>
              <w:bottom w:val="single" w:sz="4" w:space="0" w:color="auto"/>
            </w:tcBorders>
          </w:tcPr>
          <w:p w:rsidR="003E5ABD" w:rsidRPr="0055341D" w:rsidRDefault="003E5ABD" w:rsidP="00003C67">
            <w:pPr>
              <w:spacing w:line="480" w:lineRule="auto"/>
              <w:jc w:val="center"/>
            </w:pPr>
            <w:r w:rsidRPr="0055341D">
              <w:t>ASD</w:t>
            </w:r>
          </w:p>
        </w:tc>
        <w:tc>
          <w:tcPr>
            <w:tcW w:w="0" w:type="auto"/>
            <w:gridSpan w:val="5"/>
            <w:tcBorders>
              <w:bottom w:val="single" w:sz="4" w:space="0" w:color="auto"/>
            </w:tcBorders>
          </w:tcPr>
          <w:p w:rsidR="003E5ABD" w:rsidRPr="0055341D" w:rsidRDefault="003E5ABD" w:rsidP="00003C67">
            <w:pPr>
              <w:spacing w:line="480" w:lineRule="auto"/>
              <w:jc w:val="center"/>
            </w:pPr>
            <w:r w:rsidRPr="0055341D">
              <w:t>TD peers</w:t>
            </w:r>
          </w:p>
        </w:tc>
      </w:tr>
      <w:tr w:rsidR="003E5ABD" w:rsidRPr="00C6087B" w:rsidTr="00003C67">
        <w:tc>
          <w:tcPr>
            <w:tcW w:w="0" w:type="auto"/>
            <w:tcBorders>
              <w:bottom w:val="single" w:sz="4" w:space="0" w:color="auto"/>
            </w:tcBorders>
          </w:tcPr>
          <w:p w:rsidR="003E5ABD" w:rsidRPr="00C6087B" w:rsidRDefault="003E5ABD" w:rsidP="00003C67">
            <w:pPr>
              <w:spacing w:line="480" w:lineRule="auto"/>
            </w:pPr>
            <w:r>
              <w:t>Model</w:t>
            </w:r>
          </w:p>
        </w:tc>
        <w:tc>
          <w:tcPr>
            <w:tcW w:w="0" w:type="auto"/>
            <w:tcBorders>
              <w:bottom w:val="single" w:sz="4" w:space="0" w:color="auto"/>
            </w:tcBorders>
          </w:tcPr>
          <w:p w:rsidR="003E5ABD" w:rsidRPr="00C6087B" w:rsidRDefault="003E5ABD" w:rsidP="00003C67">
            <w:pPr>
              <w:spacing w:line="480" w:lineRule="auto"/>
              <w:jc w:val="center"/>
            </w:pPr>
            <w:r>
              <w:t xml:space="preserve">Step </w:t>
            </w:r>
          </w:p>
        </w:tc>
        <w:tc>
          <w:tcPr>
            <w:tcW w:w="0" w:type="auto"/>
            <w:tcBorders>
              <w:bottom w:val="single" w:sz="4" w:space="0" w:color="auto"/>
            </w:tcBorders>
          </w:tcPr>
          <w:p w:rsidR="003E5ABD" w:rsidRPr="00C6087B" w:rsidRDefault="003E5ABD" w:rsidP="00003C67">
            <w:pPr>
              <w:spacing w:line="480" w:lineRule="auto"/>
              <w:jc w:val="center"/>
            </w:pPr>
            <w:r>
              <w:t>Variable</w:t>
            </w:r>
          </w:p>
        </w:tc>
        <w:tc>
          <w:tcPr>
            <w:tcW w:w="0" w:type="auto"/>
            <w:tcBorders>
              <w:bottom w:val="single" w:sz="4" w:space="0" w:color="auto"/>
            </w:tcBorders>
          </w:tcPr>
          <w:p w:rsidR="003E5ABD" w:rsidRPr="00C6087B" w:rsidRDefault="003E5ABD" w:rsidP="00003C67">
            <w:pPr>
              <w:spacing w:line="480" w:lineRule="auto"/>
              <w:jc w:val="center"/>
            </w:pPr>
            <w:r>
              <w:t xml:space="preserve">R2 </w:t>
            </w:r>
          </w:p>
        </w:tc>
        <w:tc>
          <w:tcPr>
            <w:tcW w:w="0" w:type="auto"/>
            <w:tcBorders>
              <w:bottom w:val="single" w:sz="4" w:space="0" w:color="auto"/>
            </w:tcBorders>
          </w:tcPr>
          <w:p w:rsidR="003E5ABD" w:rsidRPr="00C6087B" w:rsidRDefault="003E5ABD" w:rsidP="00003C67">
            <w:pPr>
              <w:spacing w:line="480" w:lineRule="auto"/>
              <w:jc w:val="center"/>
            </w:pPr>
            <w:r>
              <w:t>R2 change</w:t>
            </w:r>
          </w:p>
        </w:tc>
        <w:tc>
          <w:tcPr>
            <w:tcW w:w="0" w:type="auto"/>
            <w:tcBorders>
              <w:bottom w:val="single" w:sz="4" w:space="0" w:color="auto"/>
            </w:tcBorders>
          </w:tcPr>
          <w:p w:rsidR="003E5ABD" w:rsidRPr="00C6087B" w:rsidRDefault="003E5ABD" w:rsidP="00003C67">
            <w:pPr>
              <w:spacing w:line="480" w:lineRule="auto"/>
              <w:jc w:val="center"/>
            </w:pPr>
            <w:r>
              <w:t>F change</w:t>
            </w:r>
          </w:p>
        </w:tc>
        <w:tc>
          <w:tcPr>
            <w:tcW w:w="0" w:type="auto"/>
            <w:tcBorders>
              <w:bottom w:val="single" w:sz="4" w:space="0" w:color="auto"/>
            </w:tcBorders>
          </w:tcPr>
          <w:p w:rsidR="003E5ABD" w:rsidRPr="007C0E49" w:rsidRDefault="003E5ABD" w:rsidP="00003C67">
            <w:pPr>
              <w:spacing w:line="480" w:lineRule="auto"/>
              <w:jc w:val="center"/>
              <w:rPr>
                <w:i/>
              </w:rPr>
            </w:pPr>
          </w:p>
        </w:tc>
        <w:tc>
          <w:tcPr>
            <w:tcW w:w="0" w:type="auto"/>
            <w:tcBorders>
              <w:bottom w:val="single" w:sz="4" w:space="0" w:color="auto"/>
            </w:tcBorders>
          </w:tcPr>
          <w:p w:rsidR="003E5ABD" w:rsidRPr="007C0E49" w:rsidRDefault="003E5ABD" w:rsidP="00003C67">
            <w:pPr>
              <w:spacing w:line="480" w:lineRule="auto"/>
              <w:jc w:val="center"/>
              <w:rPr>
                <w:i/>
              </w:rPr>
            </w:pPr>
            <w:r w:rsidRPr="007C0E49">
              <w:rPr>
                <w:i/>
              </w:rPr>
              <w:t>β</w:t>
            </w:r>
          </w:p>
        </w:tc>
        <w:tc>
          <w:tcPr>
            <w:tcW w:w="0" w:type="auto"/>
            <w:tcBorders>
              <w:bottom w:val="single" w:sz="4" w:space="0" w:color="auto"/>
            </w:tcBorders>
          </w:tcPr>
          <w:p w:rsidR="003E5ABD" w:rsidRPr="00C6087B" w:rsidRDefault="003E5ABD" w:rsidP="00003C67">
            <w:pPr>
              <w:spacing w:line="480" w:lineRule="auto"/>
              <w:jc w:val="center"/>
              <w:rPr>
                <w:i/>
              </w:rPr>
            </w:pPr>
            <w:r>
              <w:rPr>
                <w:i/>
              </w:rPr>
              <w:t>p</w:t>
            </w:r>
          </w:p>
        </w:tc>
        <w:tc>
          <w:tcPr>
            <w:tcW w:w="0" w:type="auto"/>
            <w:tcBorders>
              <w:bottom w:val="single" w:sz="4" w:space="0" w:color="auto"/>
            </w:tcBorders>
          </w:tcPr>
          <w:p w:rsidR="003E5ABD" w:rsidRPr="00C6087B" w:rsidRDefault="003E5ABD" w:rsidP="00003C67">
            <w:pPr>
              <w:spacing w:line="480" w:lineRule="auto"/>
              <w:jc w:val="center"/>
            </w:pPr>
            <w:r>
              <w:t xml:space="preserve">R2 </w:t>
            </w:r>
          </w:p>
        </w:tc>
        <w:tc>
          <w:tcPr>
            <w:tcW w:w="0" w:type="auto"/>
            <w:tcBorders>
              <w:bottom w:val="single" w:sz="4" w:space="0" w:color="auto"/>
            </w:tcBorders>
          </w:tcPr>
          <w:p w:rsidR="003E5ABD" w:rsidRDefault="003E5ABD" w:rsidP="00003C67">
            <w:pPr>
              <w:spacing w:line="480" w:lineRule="auto"/>
              <w:jc w:val="center"/>
            </w:pPr>
            <w:r>
              <w:t>R2 change</w:t>
            </w:r>
          </w:p>
        </w:tc>
        <w:tc>
          <w:tcPr>
            <w:tcW w:w="0" w:type="auto"/>
            <w:tcBorders>
              <w:bottom w:val="single" w:sz="4" w:space="0" w:color="auto"/>
            </w:tcBorders>
          </w:tcPr>
          <w:p w:rsidR="003E5ABD" w:rsidRPr="00C6087B" w:rsidRDefault="003E5ABD" w:rsidP="00003C67">
            <w:pPr>
              <w:spacing w:line="480" w:lineRule="auto"/>
              <w:jc w:val="center"/>
            </w:pPr>
            <w:r>
              <w:t>F change</w:t>
            </w:r>
          </w:p>
        </w:tc>
        <w:tc>
          <w:tcPr>
            <w:tcW w:w="0" w:type="auto"/>
            <w:tcBorders>
              <w:bottom w:val="single" w:sz="4" w:space="0" w:color="auto"/>
            </w:tcBorders>
          </w:tcPr>
          <w:p w:rsidR="003E5ABD" w:rsidRPr="007C0E49" w:rsidRDefault="003E5ABD" w:rsidP="00003C67">
            <w:pPr>
              <w:spacing w:line="480" w:lineRule="auto"/>
              <w:jc w:val="center"/>
              <w:rPr>
                <w:i/>
              </w:rPr>
            </w:pPr>
            <w:r w:rsidRPr="007C0E49">
              <w:rPr>
                <w:i/>
              </w:rPr>
              <w:t>β</w:t>
            </w:r>
          </w:p>
        </w:tc>
        <w:tc>
          <w:tcPr>
            <w:tcW w:w="0" w:type="auto"/>
            <w:tcBorders>
              <w:bottom w:val="single" w:sz="4" w:space="0" w:color="auto"/>
            </w:tcBorders>
          </w:tcPr>
          <w:p w:rsidR="003E5ABD" w:rsidRPr="00C6087B" w:rsidRDefault="003E5ABD" w:rsidP="00003C67">
            <w:pPr>
              <w:spacing w:line="480" w:lineRule="auto"/>
              <w:jc w:val="center"/>
              <w:rPr>
                <w:i/>
              </w:rPr>
            </w:pPr>
            <w:r>
              <w:rPr>
                <w:i/>
              </w:rPr>
              <w:t>p</w:t>
            </w:r>
          </w:p>
        </w:tc>
      </w:tr>
      <w:tr w:rsidR="003E5ABD" w:rsidRPr="00B71EA8" w:rsidTr="00003C67">
        <w:tc>
          <w:tcPr>
            <w:tcW w:w="0" w:type="auto"/>
            <w:tcBorders>
              <w:top w:val="single" w:sz="4" w:space="0" w:color="auto"/>
              <w:bottom w:val="nil"/>
            </w:tcBorders>
          </w:tcPr>
          <w:p w:rsidR="003E5ABD" w:rsidRPr="00B71EA8" w:rsidRDefault="003E5ABD" w:rsidP="00003C67">
            <w:pPr>
              <w:spacing w:line="480" w:lineRule="auto"/>
            </w:pPr>
            <w:r>
              <w:t>1</w:t>
            </w:r>
          </w:p>
        </w:tc>
        <w:tc>
          <w:tcPr>
            <w:tcW w:w="0" w:type="auto"/>
            <w:tcBorders>
              <w:top w:val="single" w:sz="4" w:space="0" w:color="auto"/>
              <w:bottom w:val="nil"/>
            </w:tcBorders>
          </w:tcPr>
          <w:p w:rsidR="003E5ABD" w:rsidRPr="00B71EA8" w:rsidRDefault="003E5ABD" w:rsidP="00003C67">
            <w:pPr>
              <w:spacing w:line="480" w:lineRule="auto"/>
              <w:jc w:val="center"/>
            </w:pPr>
            <w:r>
              <w:t>1</w:t>
            </w:r>
          </w:p>
        </w:tc>
        <w:tc>
          <w:tcPr>
            <w:tcW w:w="0" w:type="auto"/>
            <w:tcBorders>
              <w:top w:val="single" w:sz="4" w:space="0" w:color="auto"/>
              <w:bottom w:val="nil"/>
            </w:tcBorders>
          </w:tcPr>
          <w:p w:rsidR="003E5ABD" w:rsidRPr="00B71EA8" w:rsidRDefault="003E5ABD" w:rsidP="00003C67">
            <w:pPr>
              <w:spacing w:line="480" w:lineRule="auto"/>
              <w:jc w:val="center"/>
            </w:pPr>
            <w:r>
              <w:t>Age</w:t>
            </w:r>
          </w:p>
        </w:tc>
        <w:tc>
          <w:tcPr>
            <w:tcW w:w="0" w:type="auto"/>
            <w:tcBorders>
              <w:top w:val="single" w:sz="4" w:space="0" w:color="auto"/>
              <w:bottom w:val="nil"/>
            </w:tcBorders>
          </w:tcPr>
          <w:p w:rsidR="003E5ABD" w:rsidRPr="00B71EA8" w:rsidRDefault="003E5ABD" w:rsidP="00003C67">
            <w:pPr>
              <w:spacing w:line="480" w:lineRule="auto"/>
              <w:jc w:val="center"/>
            </w:pPr>
            <w:r>
              <w:t>.10</w:t>
            </w:r>
          </w:p>
        </w:tc>
        <w:tc>
          <w:tcPr>
            <w:tcW w:w="0" w:type="auto"/>
            <w:tcBorders>
              <w:top w:val="single" w:sz="4" w:space="0" w:color="auto"/>
              <w:bottom w:val="nil"/>
            </w:tcBorders>
          </w:tcPr>
          <w:p w:rsidR="003E5ABD" w:rsidRDefault="003E5ABD" w:rsidP="00003C67">
            <w:pPr>
              <w:spacing w:line="480" w:lineRule="auto"/>
              <w:jc w:val="center"/>
            </w:pPr>
            <w:r>
              <w:t>.10</w:t>
            </w:r>
          </w:p>
        </w:tc>
        <w:tc>
          <w:tcPr>
            <w:tcW w:w="0" w:type="auto"/>
            <w:tcBorders>
              <w:top w:val="single" w:sz="4" w:space="0" w:color="auto"/>
              <w:bottom w:val="nil"/>
            </w:tcBorders>
          </w:tcPr>
          <w:p w:rsidR="003E5ABD" w:rsidRPr="00B71EA8" w:rsidRDefault="003E5ABD" w:rsidP="00003C67">
            <w:pPr>
              <w:spacing w:line="480" w:lineRule="auto"/>
              <w:jc w:val="center"/>
            </w:pPr>
            <w:r>
              <w:t>5.18</w:t>
            </w:r>
          </w:p>
        </w:tc>
        <w:tc>
          <w:tcPr>
            <w:tcW w:w="0" w:type="auto"/>
            <w:tcBorders>
              <w:top w:val="single" w:sz="4" w:space="0" w:color="auto"/>
              <w:bottom w:val="nil"/>
            </w:tcBorders>
          </w:tcPr>
          <w:p w:rsidR="003E5ABD" w:rsidRPr="00B71EA8" w:rsidRDefault="003E5ABD" w:rsidP="00003C67">
            <w:pPr>
              <w:spacing w:line="480" w:lineRule="auto"/>
              <w:jc w:val="center"/>
            </w:pPr>
          </w:p>
        </w:tc>
        <w:tc>
          <w:tcPr>
            <w:tcW w:w="0" w:type="auto"/>
            <w:tcBorders>
              <w:top w:val="single" w:sz="4" w:space="0" w:color="auto"/>
              <w:bottom w:val="nil"/>
            </w:tcBorders>
          </w:tcPr>
          <w:p w:rsidR="003E5ABD" w:rsidRPr="00B71EA8" w:rsidRDefault="003E5ABD" w:rsidP="00003C67">
            <w:pPr>
              <w:spacing w:line="480" w:lineRule="auto"/>
              <w:jc w:val="center"/>
            </w:pPr>
            <w:r>
              <w:t>.32</w:t>
            </w:r>
          </w:p>
        </w:tc>
        <w:tc>
          <w:tcPr>
            <w:tcW w:w="0" w:type="auto"/>
            <w:tcBorders>
              <w:top w:val="single" w:sz="4" w:space="0" w:color="auto"/>
              <w:bottom w:val="nil"/>
            </w:tcBorders>
          </w:tcPr>
          <w:p w:rsidR="003E5ABD" w:rsidRPr="00B71EA8" w:rsidRDefault="003E5ABD" w:rsidP="00003C67">
            <w:pPr>
              <w:spacing w:line="480" w:lineRule="auto"/>
              <w:jc w:val="center"/>
            </w:pPr>
            <w:r>
              <w:t>&lt;.05</w:t>
            </w:r>
          </w:p>
        </w:tc>
        <w:tc>
          <w:tcPr>
            <w:tcW w:w="0" w:type="auto"/>
            <w:tcBorders>
              <w:top w:val="single" w:sz="4" w:space="0" w:color="auto"/>
              <w:bottom w:val="nil"/>
            </w:tcBorders>
          </w:tcPr>
          <w:p w:rsidR="003E5ABD" w:rsidRPr="00B71EA8" w:rsidRDefault="003E5ABD" w:rsidP="00003C67">
            <w:pPr>
              <w:spacing w:line="480" w:lineRule="auto"/>
              <w:jc w:val="center"/>
            </w:pPr>
            <w:r>
              <w:t>.45</w:t>
            </w:r>
          </w:p>
        </w:tc>
        <w:tc>
          <w:tcPr>
            <w:tcW w:w="0" w:type="auto"/>
            <w:tcBorders>
              <w:top w:val="single" w:sz="4" w:space="0" w:color="auto"/>
              <w:bottom w:val="nil"/>
            </w:tcBorders>
          </w:tcPr>
          <w:p w:rsidR="003E5ABD" w:rsidRDefault="003E5ABD" w:rsidP="00003C67">
            <w:pPr>
              <w:spacing w:line="480" w:lineRule="auto"/>
              <w:jc w:val="center"/>
            </w:pPr>
            <w:r>
              <w:t>.45</w:t>
            </w:r>
          </w:p>
        </w:tc>
        <w:tc>
          <w:tcPr>
            <w:tcW w:w="0" w:type="auto"/>
            <w:tcBorders>
              <w:top w:val="single" w:sz="4" w:space="0" w:color="auto"/>
              <w:bottom w:val="nil"/>
            </w:tcBorders>
          </w:tcPr>
          <w:p w:rsidR="003E5ABD" w:rsidRPr="00B71EA8" w:rsidRDefault="003E5ABD" w:rsidP="00003C67">
            <w:pPr>
              <w:spacing w:line="480" w:lineRule="auto"/>
              <w:jc w:val="center"/>
            </w:pPr>
            <w:r>
              <w:t>35.82</w:t>
            </w:r>
          </w:p>
        </w:tc>
        <w:tc>
          <w:tcPr>
            <w:tcW w:w="0" w:type="auto"/>
            <w:tcBorders>
              <w:top w:val="single" w:sz="4" w:space="0" w:color="auto"/>
              <w:bottom w:val="nil"/>
            </w:tcBorders>
          </w:tcPr>
          <w:p w:rsidR="003E5ABD" w:rsidRPr="00B71EA8" w:rsidRDefault="003E5ABD" w:rsidP="00003C67">
            <w:pPr>
              <w:spacing w:line="480" w:lineRule="auto"/>
              <w:jc w:val="center"/>
            </w:pPr>
            <w:r>
              <w:t>.67</w:t>
            </w:r>
          </w:p>
        </w:tc>
        <w:tc>
          <w:tcPr>
            <w:tcW w:w="0" w:type="auto"/>
            <w:tcBorders>
              <w:top w:val="single" w:sz="4" w:space="0" w:color="auto"/>
              <w:bottom w:val="nil"/>
            </w:tcBorders>
          </w:tcPr>
          <w:p w:rsidR="003E5ABD" w:rsidRPr="00B71EA8" w:rsidRDefault="003E5ABD" w:rsidP="00003C67">
            <w:pPr>
              <w:spacing w:line="480" w:lineRule="auto"/>
              <w:jc w:val="center"/>
            </w:pPr>
            <w:r>
              <w:t>&lt;.001</w:t>
            </w:r>
          </w:p>
        </w:tc>
      </w:tr>
      <w:tr w:rsidR="003E5ABD" w:rsidRPr="00B71EA8" w:rsidTr="00003C67">
        <w:tc>
          <w:tcPr>
            <w:tcW w:w="0" w:type="auto"/>
            <w:tcBorders>
              <w:top w:val="nil"/>
              <w:bottom w:val="nil"/>
            </w:tcBorders>
          </w:tcPr>
          <w:p w:rsidR="003E5ABD" w:rsidRPr="00B71EA8" w:rsidRDefault="003E5ABD" w:rsidP="00003C67">
            <w:pPr>
              <w:spacing w:line="480" w:lineRule="auto"/>
            </w:pPr>
          </w:p>
        </w:tc>
        <w:tc>
          <w:tcPr>
            <w:tcW w:w="0" w:type="auto"/>
            <w:tcBorders>
              <w:top w:val="nil"/>
              <w:bottom w:val="nil"/>
            </w:tcBorders>
          </w:tcPr>
          <w:p w:rsidR="003E5ABD" w:rsidRPr="00B71EA8" w:rsidRDefault="003E5ABD" w:rsidP="00003C67">
            <w:pPr>
              <w:spacing w:line="480" w:lineRule="auto"/>
              <w:jc w:val="center"/>
            </w:pPr>
            <w:r>
              <w:t>2</w:t>
            </w:r>
          </w:p>
        </w:tc>
        <w:tc>
          <w:tcPr>
            <w:tcW w:w="0" w:type="auto"/>
            <w:tcBorders>
              <w:top w:val="nil"/>
              <w:bottom w:val="nil"/>
            </w:tcBorders>
          </w:tcPr>
          <w:p w:rsidR="003E5ABD" w:rsidRPr="00B71EA8" w:rsidRDefault="003E5ABD" w:rsidP="00003C67">
            <w:pPr>
              <w:spacing w:line="480" w:lineRule="auto"/>
              <w:jc w:val="center"/>
            </w:pPr>
            <w:r w:rsidRPr="00B71EA8">
              <w:t>Word Reading</w:t>
            </w:r>
          </w:p>
        </w:tc>
        <w:tc>
          <w:tcPr>
            <w:tcW w:w="0" w:type="auto"/>
            <w:tcBorders>
              <w:top w:val="nil"/>
              <w:bottom w:val="nil"/>
            </w:tcBorders>
          </w:tcPr>
          <w:p w:rsidR="003E5ABD" w:rsidRPr="00B71EA8" w:rsidRDefault="003E5ABD" w:rsidP="00003C67">
            <w:pPr>
              <w:spacing w:line="480" w:lineRule="auto"/>
              <w:jc w:val="center"/>
            </w:pPr>
            <w:r w:rsidRPr="00B71EA8">
              <w:t>.65</w:t>
            </w:r>
          </w:p>
        </w:tc>
        <w:tc>
          <w:tcPr>
            <w:tcW w:w="0" w:type="auto"/>
            <w:tcBorders>
              <w:top w:val="nil"/>
              <w:bottom w:val="nil"/>
            </w:tcBorders>
          </w:tcPr>
          <w:p w:rsidR="003E5ABD" w:rsidRPr="00B71EA8" w:rsidRDefault="003E5ABD" w:rsidP="00003C67">
            <w:pPr>
              <w:spacing w:line="480" w:lineRule="auto"/>
              <w:jc w:val="center"/>
            </w:pPr>
            <w:r>
              <w:t>.55</w:t>
            </w:r>
          </w:p>
        </w:tc>
        <w:tc>
          <w:tcPr>
            <w:tcW w:w="0" w:type="auto"/>
            <w:tcBorders>
              <w:top w:val="nil"/>
              <w:bottom w:val="nil"/>
            </w:tcBorders>
          </w:tcPr>
          <w:p w:rsidR="003E5ABD" w:rsidRPr="00B71EA8" w:rsidRDefault="003E5ABD" w:rsidP="00003C67">
            <w:pPr>
              <w:spacing w:line="480" w:lineRule="auto"/>
              <w:jc w:val="center"/>
            </w:pPr>
            <w:r>
              <w:t>69.43</w:t>
            </w:r>
          </w:p>
        </w:tc>
        <w:tc>
          <w:tcPr>
            <w:tcW w:w="0" w:type="auto"/>
            <w:tcBorders>
              <w:top w:val="nil"/>
              <w:bottom w:val="nil"/>
            </w:tcBorders>
          </w:tcPr>
          <w:p w:rsidR="003E5ABD" w:rsidRPr="00B71EA8" w:rsidRDefault="003E5ABD" w:rsidP="00003C67">
            <w:pPr>
              <w:spacing w:line="480" w:lineRule="auto"/>
              <w:jc w:val="center"/>
            </w:pPr>
          </w:p>
        </w:tc>
        <w:tc>
          <w:tcPr>
            <w:tcW w:w="0" w:type="auto"/>
            <w:tcBorders>
              <w:top w:val="nil"/>
              <w:bottom w:val="nil"/>
            </w:tcBorders>
          </w:tcPr>
          <w:p w:rsidR="003E5ABD" w:rsidRPr="00B71EA8" w:rsidRDefault="003E5ABD" w:rsidP="00003C67">
            <w:pPr>
              <w:spacing w:line="480" w:lineRule="auto"/>
              <w:jc w:val="center"/>
            </w:pPr>
            <w:r w:rsidRPr="00B71EA8">
              <w:t>.</w:t>
            </w:r>
            <w:r>
              <w:t>78</w:t>
            </w:r>
          </w:p>
        </w:tc>
        <w:tc>
          <w:tcPr>
            <w:tcW w:w="0" w:type="auto"/>
            <w:tcBorders>
              <w:top w:val="nil"/>
              <w:bottom w:val="nil"/>
            </w:tcBorders>
          </w:tcPr>
          <w:p w:rsidR="003E5ABD" w:rsidRPr="00B71EA8" w:rsidRDefault="003E5ABD" w:rsidP="00003C67">
            <w:pPr>
              <w:spacing w:line="480" w:lineRule="auto"/>
              <w:jc w:val="center"/>
            </w:pPr>
            <w:r w:rsidRPr="00B71EA8">
              <w:t>&lt;.001</w:t>
            </w:r>
          </w:p>
        </w:tc>
        <w:tc>
          <w:tcPr>
            <w:tcW w:w="0" w:type="auto"/>
            <w:tcBorders>
              <w:top w:val="nil"/>
              <w:bottom w:val="nil"/>
            </w:tcBorders>
          </w:tcPr>
          <w:p w:rsidR="003E5ABD" w:rsidRPr="00B71EA8" w:rsidRDefault="003E5ABD" w:rsidP="00003C67">
            <w:pPr>
              <w:spacing w:line="480" w:lineRule="auto"/>
              <w:jc w:val="center"/>
            </w:pPr>
            <w:r w:rsidRPr="00B71EA8">
              <w:t>.</w:t>
            </w:r>
            <w:r>
              <w:t>65</w:t>
            </w:r>
          </w:p>
        </w:tc>
        <w:tc>
          <w:tcPr>
            <w:tcW w:w="0" w:type="auto"/>
            <w:tcBorders>
              <w:top w:val="nil"/>
              <w:bottom w:val="nil"/>
            </w:tcBorders>
          </w:tcPr>
          <w:p w:rsidR="003E5ABD" w:rsidRPr="00B71EA8" w:rsidRDefault="003E5ABD" w:rsidP="00003C67">
            <w:pPr>
              <w:spacing w:line="480" w:lineRule="auto"/>
              <w:jc w:val="center"/>
            </w:pPr>
            <w:r>
              <w:t>.20</w:t>
            </w:r>
          </w:p>
        </w:tc>
        <w:tc>
          <w:tcPr>
            <w:tcW w:w="0" w:type="auto"/>
            <w:tcBorders>
              <w:top w:val="nil"/>
              <w:bottom w:val="nil"/>
            </w:tcBorders>
          </w:tcPr>
          <w:p w:rsidR="003E5ABD" w:rsidRPr="00B71EA8" w:rsidRDefault="003E5ABD" w:rsidP="00003C67">
            <w:pPr>
              <w:spacing w:line="480" w:lineRule="auto"/>
              <w:jc w:val="center"/>
            </w:pPr>
            <w:r>
              <w:t>24</w:t>
            </w:r>
            <w:r w:rsidRPr="00B71EA8">
              <w:t>.</w:t>
            </w:r>
            <w:r>
              <w:t>93</w:t>
            </w:r>
          </w:p>
        </w:tc>
        <w:tc>
          <w:tcPr>
            <w:tcW w:w="0" w:type="auto"/>
            <w:tcBorders>
              <w:top w:val="nil"/>
              <w:bottom w:val="nil"/>
            </w:tcBorders>
          </w:tcPr>
          <w:p w:rsidR="003E5ABD" w:rsidRPr="00B71EA8" w:rsidRDefault="003E5ABD" w:rsidP="00003C67">
            <w:pPr>
              <w:spacing w:line="480" w:lineRule="auto"/>
              <w:jc w:val="center"/>
            </w:pPr>
            <w:r w:rsidRPr="00B71EA8">
              <w:t>.</w:t>
            </w:r>
            <w:r>
              <w:t>55</w:t>
            </w:r>
          </w:p>
        </w:tc>
        <w:tc>
          <w:tcPr>
            <w:tcW w:w="0" w:type="auto"/>
            <w:tcBorders>
              <w:top w:val="nil"/>
              <w:bottom w:val="nil"/>
            </w:tcBorders>
          </w:tcPr>
          <w:p w:rsidR="003E5ABD" w:rsidRPr="00B71EA8" w:rsidRDefault="003E5ABD" w:rsidP="00003C67">
            <w:pPr>
              <w:spacing w:line="480" w:lineRule="auto"/>
              <w:jc w:val="center"/>
            </w:pPr>
            <w:r w:rsidRPr="00B71EA8">
              <w:t>&lt;.001</w:t>
            </w:r>
          </w:p>
        </w:tc>
      </w:tr>
      <w:tr w:rsidR="003E5ABD" w:rsidRPr="00B71EA8" w:rsidTr="00003C67">
        <w:tc>
          <w:tcPr>
            <w:tcW w:w="0" w:type="auto"/>
            <w:tcBorders>
              <w:top w:val="nil"/>
              <w:bottom w:val="nil"/>
            </w:tcBorders>
          </w:tcPr>
          <w:p w:rsidR="003E5ABD" w:rsidRPr="00B71EA8" w:rsidRDefault="003E5ABD" w:rsidP="00003C67">
            <w:pPr>
              <w:spacing w:line="480" w:lineRule="auto"/>
            </w:pPr>
          </w:p>
        </w:tc>
        <w:tc>
          <w:tcPr>
            <w:tcW w:w="0" w:type="auto"/>
            <w:tcBorders>
              <w:top w:val="nil"/>
              <w:bottom w:val="nil"/>
            </w:tcBorders>
          </w:tcPr>
          <w:p w:rsidR="003E5ABD" w:rsidRPr="00B71EA8" w:rsidRDefault="003E5ABD" w:rsidP="00003C67">
            <w:pPr>
              <w:spacing w:line="480" w:lineRule="auto"/>
              <w:jc w:val="center"/>
            </w:pPr>
            <w:r>
              <w:t>3</w:t>
            </w:r>
          </w:p>
        </w:tc>
        <w:tc>
          <w:tcPr>
            <w:tcW w:w="0" w:type="auto"/>
            <w:tcBorders>
              <w:top w:val="nil"/>
              <w:bottom w:val="nil"/>
            </w:tcBorders>
          </w:tcPr>
          <w:p w:rsidR="003E5ABD" w:rsidRPr="00B71EA8" w:rsidRDefault="003E5ABD" w:rsidP="00003C67">
            <w:pPr>
              <w:spacing w:line="480" w:lineRule="auto"/>
              <w:jc w:val="center"/>
            </w:pPr>
            <w:proofErr w:type="spellStart"/>
            <w:r>
              <w:t>Nonword</w:t>
            </w:r>
            <w:proofErr w:type="spellEnd"/>
            <w:r>
              <w:t xml:space="preserve"> Reading</w:t>
            </w:r>
          </w:p>
        </w:tc>
        <w:tc>
          <w:tcPr>
            <w:tcW w:w="0" w:type="auto"/>
            <w:tcBorders>
              <w:top w:val="nil"/>
              <w:bottom w:val="nil"/>
            </w:tcBorders>
          </w:tcPr>
          <w:p w:rsidR="003E5ABD" w:rsidRPr="00B71EA8" w:rsidRDefault="003E5ABD" w:rsidP="00003C67">
            <w:pPr>
              <w:spacing w:line="480" w:lineRule="auto"/>
              <w:jc w:val="center"/>
            </w:pPr>
            <w:r>
              <w:t>.65</w:t>
            </w:r>
          </w:p>
        </w:tc>
        <w:tc>
          <w:tcPr>
            <w:tcW w:w="0" w:type="auto"/>
            <w:tcBorders>
              <w:top w:val="nil"/>
              <w:bottom w:val="nil"/>
            </w:tcBorders>
          </w:tcPr>
          <w:p w:rsidR="003E5ABD" w:rsidRPr="00B71EA8" w:rsidRDefault="003E5ABD" w:rsidP="00003C67">
            <w:pPr>
              <w:spacing w:line="480" w:lineRule="auto"/>
              <w:jc w:val="center"/>
            </w:pPr>
            <w:r>
              <w:t>.00</w:t>
            </w:r>
          </w:p>
        </w:tc>
        <w:tc>
          <w:tcPr>
            <w:tcW w:w="0" w:type="auto"/>
            <w:tcBorders>
              <w:top w:val="nil"/>
              <w:bottom w:val="nil"/>
            </w:tcBorders>
          </w:tcPr>
          <w:p w:rsidR="003E5ABD" w:rsidRPr="00B71EA8" w:rsidRDefault="003E5ABD" w:rsidP="00003C67">
            <w:pPr>
              <w:spacing w:line="480" w:lineRule="auto"/>
              <w:jc w:val="center"/>
            </w:pPr>
            <w:r>
              <w:t>.001</w:t>
            </w:r>
          </w:p>
        </w:tc>
        <w:tc>
          <w:tcPr>
            <w:tcW w:w="0" w:type="auto"/>
            <w:tcBorders>
              <w:top w:val="nil"/>
              <w:bottom w:val="nil"/>
            </w:tcBorders>
          </w:tcPr>
          <w:p w:rsidR="003E5ABD" w:rsidRPr="00B71EA8" w:rsidRDefault="003E5ABD" w:rsidP="00003C67">
            <w:pPr>
              <w:spacing w:line="480" w:lineRule="auto"/>
              <w:jc w:val="center"/>
            </w:pPr>
          </w:p>
        </w:tc>
        <w:tc>
          <w:tcPr>
            <w:tcW w:w="0" w:type="auto"/>
            <w:tcBorders>
              <w:top w:val="nil"/>
              <w:bottom w:val="nil"/>
            </w:tcBorders>
          </w:tcPr>
          <w:p w:rsidR="003E5ABD" w:rsidRPr="00B71EA8" w:rsidRDefault="003E5ABD" w:rsidP="00003C67">
            <w:pPr>
              <w:spacing w:line="480" w:lineRule="auto"/>
              <w:jc w:val="center"/>
            </w:pPr>
            <w:r>
              <w:t>-.01</w:t>
            </w:r>
          </w:p>
        </w:tc>
        <w:tc>
          <w:tcPr>
            <w:tcW w:w="0" w:type="auto"/>
            <w:tcBorders>
              <w:top w:val="nil"/>
              <w:bottom w:val="nil"/>
            </w:tcBorders>
          </w:tcPr>
          <w:p w:rsidR="003E5ABD" w:rsidRPr="00B71EA8" w:rsidRDefault="003E5ABD" w:rsidP="00003C67">
            <w:pPr>
              <w:spacing w:line="480" w:lineRule="auto"/>
              <w:jc w:val="center"/>
            </w:pPr>
            <w:r>
              <w:t>.97</w:t>
            </w:r>
          </w:p>
        </w:tc>
        <w:tc>
          <w:tcPr>
            <w:tcW w:w="0" w:type="auto"/>
            <w:tcBorders>
              <w:top w:val="nil"/>
              <w:bottom w:val="nil"/>
            </w:tcBorders>
          </w:tcPr>
          <w:p w:rsidR="003E5ABD" w:rsidRPr="00B71EA8" w:rsidRDefault="003E5ABD" w:rsidP="00003C67">
            <w:pPr>
              <w:spacing w:line="480" w:lineRule="auto"/>
              <w:jc w:val="center"/>
            </w:pPr>
            <w:r>
              <w:t>.69</w:t>
            </w:r>
          </w:p>
        </w:tc>
        <w:tc>
          <w:tcPr>
            <w:tcW w:w="0" w:type="auto"/>
            <w:tcBorders>
              <w:top w:val="nil"/>
              <w:bottom w:val="nil"/>
            </w:tcBorders>
          </w:tcPr>
          <w:p w:rsidR="003E5ABD" w:rsidRPr="00B71EA8" w:rsidRDefault="003E5ABD" w:rsidP="00003C67">
            <w:pPr>
              <w:spacing w:line="480" w:lineRule="auto"/>
              <w:jc w:val="center"/>
            </w:pPr>
            <w:r>
              <w:t>.04</w:t>
            </w:r>
          </w:p>
        </w:tc>
        <w:tc>
          <w:tcPr>
            <w:tcW w:w="0" w:type="auto"/>
            <w:tcBorders>
              <w:top w:val="nil"/>
              <w:bottom w:val="nil"/>
            </w:tcBorders>
          </w:tcPr>
          <w:p w:rsidR="003E5ABD" w:rsidRPr="00B71EA8" w:rsidRDefault="003E5ABD" w:rsidP="00003C67">
            <w:pPr>
              <w:spacing w:line="480" w:lineRule="auto"/>
              <w:jc w:val="center"/>
            </w:pPr>
            <w:r>
              <w:t>5.27</w:t>
            </w:r>
          </w:p>
        </w:tc>
        <w:tc>
          <w:tcPr>
            <w:tcW w:w="0" w:type="auto"/>
            <w:tcBorders>
              <w:top w:val="nil"/>
              <w:bottom w:val="nil"/>
            </w:tcBorders>
          </w:tcPr>
          <w:p w:rsidR="003E5ABD" w:rsidRPr="00B71EA8" w:rsidRDefault="003E5ABD" w:rsidP="00003C67">
            <w:pPr>
              <w:spacing w:line="480" w:lineRule="auto"/>
              <w:jc w:val="center"/>
            </w:pPr>
            <w:r>
              <w:t>-.27</w:t>
            </w:r>
          </w:p>
        </w:tc>
        <w:tc>
          <w:tcPr>
            <w:tcW w:w="0" w:type="auto"/>
            <w:tcBorders>
              <w:top w:val="nil"/>
              <w:bottom w:val="nil"/>
            </w:tcBorders>
          </w:tcPr>
          <w:p w:rsidR="003E5ABD" w:rsidRPr="00B71EA8" w:rsidRDefault="003E5ABD" w:rsidP="00003C67">
            <w:pPr>
              <w:spacing w:line="480" w:lineRule="auto"/>
              <w:jc w:val="center"/>
            </w:pPr>
            <w:r>
              <w:t>&lt;.05</w:t>
            </w:r>
          </w:p>
        </w:tc>
      </w:tr>
      <w:tr w:rsidR="003E5ABD" w:rsidRPr="00B71EA8" w:rsidTr="00003C67">
        <w:tc>
          <w:tcPr>
            <w:tcW w:w="0" w:type="auto"/>
            <w:tcBorders>
              <w:top w:val="nil"/>
              <w:bottom w:val="single" w:sz="4" w:space="0" w:color="auto"/>
            </w:tcBorders>
          </w:tcPr>
          <w:p w:rsidR="003E5ABD" w:rsidRPr="00B71EA8" w:rsidRDefault="003E5ABD" w:rsidP="00003C67">
            <w:pPr>
              <w:spacing w:line="480" w:lineRule="auto"/>
            </w:pPr>
          </w:p>
        </w:tc>
        <w:tc>
          <w:tcPr>
            <w:tcW w:w="0" w:type="auto"/>
            <w:tcBorders>
              <w:top w:val="nil"/>
              <w:bottom w:val="single" w:sz="4" w:space="0" w:color="auto"/>
            </w:tcBorders>
          </w:tcPr>
          <w:p w:rsidR="003E5ABD" w:rsidRPr="00B71EA8" w:rsidRDefault="003E5ABD" w:rsidP="00003C67">
            <w:pPr>
              <w:spacing w:line="480" w:lineRule="auto"/>
              <w:jc w:val="center"/>
            </w:pPr>
            <w:r>
              <w:t>4</w:t>
            </w:r>
          </w:p>
        </w:tc>
        <w:tc>
          <w:tcPr>
            <w:tcW w:w="0" w:type="auto"/>
            <w:tcBorders>
              <w:top w:val="nil"/>
              <w:bottom w:val="single" w:sz="4" w:space="0" w:color="auto"/>
            </w:tcBorders>
          </w:tcPr>
          <w:p w:rsidR="003E5ABD" w:rsidRPr="00B71EA8" w:rsidRDefault="003E5ABD" w:rsidP="00003C67">
            <w:pPr>
              <w:spacing w:line="480" w:lineRule="auto"/>
              <w:jc w:val="center"/>
            </w:pPr>
            <w:r>
              <w:t>Receptive Vocabulary</w:t>
            </w:r>
          </w:p>
        </w:tc>
        <w:tc>
          <w:tcPr>
            <w:tcW w:w="0" w:type="auto"/>
            <w:tcBorders>
              <w:top w:val="nil"/>
              <w:bottom w:val="single" w:sz="4" w:space="0" w:color="auto"/>
            </w:tcBorders>
          </w:tcPr>
          <w:p w:rsidR="003E5ABD" w:rsidRPr="00B71EA8" w:rsidRDefault="003E5ABD" w:rsidP="00003C67">
            <w:pPr>
              <w:spacing w:line="480" w:lineRule="auto"/>
              <w:jc w:val="center"/>
            </w:pPr>
            <w:r>
              <w:t>.75</w:t>
            </w:r>
          </w:p>
        </w:tc>
        <w:tc>
          <w:tcPr>
            <w:tcW w:w="0" w:type="auto"/>
            <w:tcBorders>
              <w:top w:val="nil"/>
              <w:bottom w:val="single" w:sz="4" w:space="0" w:color="auto"/>
            </w:tcBorders>
          </w:tcPr>
          <w:p w:rsidR="003E5ABD" w:rsidRPr="00B71EA8" w:rsidRDefault="003E5ABD" w:rsidP="00003C67">
            <w:pPr>
              <w:spacing w:line="480" w:lineRule="auto"/>
              <w:jc w:val="center"/>
            </w:pPr>
            <w:r>
              <w:t>.10</w:t>
            </w:r>
          </w:p>
        </w:tc>
        <w:tc>
          <w:tcPr>
            <w:tcW w:w="0" w:type="auto"/>
            <w:tcBorders>
              <w:top w:val="nil"/>
              <w:bottom w:val="single" w:sz="4" w:space="0" w:color="auto"/>
            </w:tcBorders>
          </w:tcPr>
          <w:p w:rsidR="003E5ABD" w:rsidRPr="00B71EA8" w:rsidRDefault="003E5ABD" w:rsidP="00003C67">
            <w:pPr>
              <w:spacing w:line="480" w:lineRule="auto"/>
              <w:jc w:val="center"/>
            </w:pPr>
            <w:r>
              <w:t>16.82</w:t>
            </w:r>
          </w:p>
        </w:tc>
        <w:tc>
          <w:tcPr>
            <w:tcW w:w="0" w:type="auto"/>
            <w:tcBorders>
              <w:top w:val="nil"/>
              <w:bottom w:val="single" w:sz="4" w:space="0" w:color="auto"/>
            </w:tcBorders>
          </w:tcPr>
          <w:p w:rsidR="003E5ABD" w:rsidRPr="00B71EA8" w:rsidRDefault="003E5ABD" w:rsidP="00003C67">
            <w:pPr>
              <w:spacing w:line="480" w:lineRule="auto"/>
              <w:jc w:val="center"/>
            </w:pPr>
          </w:p>
        </w:tc>
        <w:tc>
          <w:tcPr>
            <w:tcW w:w="0" w:type="auto"/>
            <w:tcBorders>
              <w:top w:val="nil"/>
              <w:bottom w:val="single" w:sz="4" w:space="0" w:color="auto"/>
            </w:tcBorders>
          </w:tcPr>
          <w:p w:rsidR="003E5ABD" w:rsidRPr="00B71EA8" w:rsidRDefault="003E5ABD" w:rsidP="00003C67">
            <w:pPr>
              <w:spacing w:line="480" w:lineRule="auto"/>
              <w:jc w:val="center"/>
            </w:pPr>
            <w:r>
              <w:t>.43</w:t>
            </w:r>
          </w:p>
        </w:tc>
        <w:tc>
          <w:tcPr>
            <w:tcW w:w="0" w:type="auto"/>
            <w:tcBorders>
              <w:top w:val="nil"/>
              <w:bottom w:val="single" w:sz="4" w:space="0" w:color="auto"/>
            </w:tcBorders>
          </w:tcPr>
          <w:p w:rsidR="003E5ABD" w:rsidRPr="00B71EA8" w:rsidRDefault="003E5ABD" w:rsidP="00003C67">
            <w:pPr>
              <w:spacing w:line="480" w:lineRule="auto"/>
              <w:jc w:val="center"/>
            </w:pPr>
            <w:r>
              <w:t>&lt;.001</w:t>
            </w:r>
          </w:p>
        </w:tc>
        <w:tc>
          <w:tcPr>
            <w:tcW w:w="0" w:type="auto"/>
            <w:tcBorders>
              <w:top w:val="nil"/>
              <w:bottom w:val="single" w:sz="4" w:space="0" w:color="auto"/>
            </w:tcBorders>
          </w:tcPr>
          <w:p w:rsidR="003E5ABD" w:rsidRPr="00B71EA8" w:rsidRDefault="003E5ABD" w:rsidP="00003C67">
            <w:pPr>
              <w:spacing w:line="480" w:lineRule="auto"/>
              <w:jc w:val="center"/>
            </w:pPr>
            <w:r>
              <w:t>.77</w:t>
            </w:r>
          </w:p>
        </w:tc>
        <w:tc>
          <w:tcPr>
            <w:tcW w:w="0" w:type="auto"/>
            <w:tcBorders>
              <w:top w:val="nil"/>
              <w:bottom w:val="single" w:sz="4" w:space="0" w:color="auto"/>
            </w:tcBorders>
          </w:tcPr>
          <w:p w:rsidR="003E5ABD" w:rsidRPr="00B71EA8" w:rsidRDefault="003E5ABD" w:rsidP="00003C67">
            <w:pPr>
              <w:spacing w:line="480" w:lineRule="auto"/>
              <w:jc w:val="center"/>
            </w:pPr>
            <w:r>
              <w:t>.08</w:t>
            </w:r>
          </w:p>
        </w:tc>
        <w:tc>
          <w:tcPr>
            <w:tcW w:w="0" w:type="auto"/>
            <w:tcBorders>
              <w:top w:val="nil"/>
              <w:bottom w:val="single" w:sz="4" w:space="0" w:color="auto"/>
            </w:tcBorders>
          </w:tcPr>
          <w:p w:rsidR="003E5ABD" w:rsidRPr="00B71EA8" w:rsidRDefault="003E5ABD" w:rsidP="00003C67">
            <w:pPr>
              <w:spacing w:line="480" w:lineRule="auto"/>
              <w:jc w:val="center"/>
            </w:pPr>
            <w:r>
              <w:t>14.57</w:t>
            </w:r>
          </w:p>
        </w:tc>
        <w:tc>
          <w:tcPr>
            <w:tcW w:w="0" w:type="auto"/>
            <w:tcBorders>
              <w:top w:val="nil"/>
              <w:bottom w:val="single" w:sz="4" w:space="0" w:color="auto"/>
            </w:tcBorders>
          </w:tcPr>
          <w:p w:rsidR="003E5ABD" w:rsidRPr="00B71EA8" w:rsidRDefault="003E5ABD" w:rsidP="00003C67">
            <w:pPr>
              <w:spacing w:line="480" w:lineRule="auto"/>
              <w:jc w:val="center"/>
            </w:pPr>
            <w:r>
              <w:t>.41</w:t>
            </w:r>
          </w:p>
        </w:tc>
        <w:tc>
          <w:tcPr>
            <w:tcW w:w="0" w:type="auto"/>
            <w:tcBorders>
              <w:top w:val="nil"/>
              <w:bottom w:val="single" w:sz="4" w:space="0" w:color="auto"/>
            </w:tcBorders>
          </w:tcPr>
          <w:p w:rsidR="003E5ABD" w:rsidRPr="00B71EA8" w:rsidRDefault="003E5ABD" w:rsidP="00003C67">
            <w:pPr>
              <w:spacing w:line="480" w:lineRule="auto"/>
              <w:jc w:val="center"/>
            </w:pPr>
            <w:r>
              <w:t>&lt;.001</w:t>
            </w:r>
          </w:p>
        </w:tc>
      </w:tr>
      <w:tr w:rsidR="003E5ABD" w:rsidRPr="00C6087B" w:rsidTr="00003C67">
        <w:tc>
          <w:tcPr>
            <w:tcW w:w="0" w:type="auto"/>
            <w:tcBorders>
              <w:top w:val="single" w:sz="4" w:space="0" w:color="auto"/>
              <w:bottom w:val="nil"/>
            </w:tcBorders>
          </w:tcPr>
          <w:p w:rsidR="003E5ABD" w:rsidRDefault="003E5ABD" w:rsidP="00003C67">
            <w:pPr>
              <w:spacing w:line="480" w:lineRule="auto"/>
            </w:pPr>
            <w:r>
              <w:t>2</w:t>
            </w:r>
          </w:p>
        </w:tc>
        <w:tc>
          <w:tcPr>
            <w:tcW w:w="0" w:type="auto"/>
            <w:tcBorders>
              <w:top w:val="single" w:sz="4" w:space="0" w:color="auto"/>
              <w:bottom w:val="nil"/>
            </w:tcBorders>
          </w:tcPr>
          <w:p w:rsidR="003E5ABD" w:rsidRDefault="003E5ABD" w:rsidP="00003C67">
            <w:pPr>
              <w:spacing w:line="480" w:lineRule="auto"/>
              <w:jc w:val="center"/>
            </w:pPr>
            <w:r>
              <w:t>1</w:t>
            </w:r>
          </w:p>
        </w:tc>
        <w:tc>
          <w:tcPr>
            <w:tcW w:w="0" w:type="auto"/>
            <w:tcBorders>
              <w:top w:val="single" w:sz="4" w:space="0" w:color="auto"/>
              <w:bottom w:val="nil"/>
            </w:tcBorders>
          </w:tcPr>
          <w:p w:rsidR="003E5ABD" w:rsidRDefault="003E5ABD" w:rsidP="00003C67">
            <w:pPr>
              <w:spacing w:line="480" w:lineRule="auto"/>
              <w:jc w:val="center"/>
            </w:pPr>
            <w:r>
              <w:t>Age</w:t>
            </w:r>
          </w:p>
        </w:tc>
        <w:tc>
          <w:tcPr>
            <w:tcW w:w="0" w:type="auto"/>
            <w:tcBorders>
              <w:top w:val="single" w:sz="4" w:space="0" w:color="auto"/>
              <w:bottom w:val="nil"/>
            </w:tcBorders>
          </w:tcPr>
          <w:p w:rsidR="003E5ABD" w:rsidRDefault="003E5ABD" w:rsidP="00003C67">
            <w:pPr>
              <w:spacing w:line="480" w:lineRule="auto"/>
              <w:jc w:val="center"/>
            </w:pPr>
            <w:r>
              <w:t>.10</w:t>
            </w:r>
          </w:p>
        </w:tc>
        <w:tc>
          <w:tcPr>
            <w:tcW w:w="0" w:type="auto"/>
            <w:tcBorders>
              <w:top w:val="single" w:sz="4" w:space="0" w:color="auto"/>
              <w:bottom w:val="nil"/>
            </w:tcBorders>
          </w:tcPr>
          <w:p w:rsidR="003E5ABD" w:rsidRDefault="003E5ABD" w:rsidP="00003C67">
            <w:pPr>
              <w:spacing w:line="480" w:lineRule="auto"/>
              <w:jc w:val="center"/>
            </w:pPr>
            <w:r>
              <w:t>.10</w:t>
            </w:r>
          </w:p>
        </w:tc>
        <w:tc>
          <w:tcPr>
            <w:tcW w:w="0" w:type="auto"/>
            <w:tcBorders>
              <w:top w:val="single" w:sz="4" w:space="0" w:color="auto"/>
              <w:bottom w:val="nil"/>
            </w:tcBorders>
          </w:tcPr>
          <w:p w:rsidR="003E5ABD" w:rsidRDefault="003E5ABD" w:rsidP="00003C67">
            <w:pPr>
              <w:spacing w:line="480" w:lineRule="auto"/>
              <w:jc w:val="center"/>
            </w:pPr>
            <w:r>
              <w:t>5.18</w:t>
            </w:r>
          </w:p>
        </w:tc>
        <w:tc>
          <w:tcPr>
            <w:tcW w:w="0" w:type="auto"/>
            <w:tcBorders>
              <w:top w:val="single" w:sz="4" w:space="0" w:color="auto"/>
              <w:bottom w:val="nil"/>
            </w:tcBorders>
          </w:tcPr>
          <w:p w:rsidR="003E5ABD" w:rsidRDefault="003E5ABD" w:rsidP="00003C67">
            <w:pPr>
              <w:spacing w:line="480" w:lineRule="auto"/>
              <w:jc w:val="center"/>
            </w:pPr>
          </w:p>
        </w:tc>
        <w:tc>
          <w:tcPr>
            <w:tcW w:w="0" w:type="auto"/>
            <w:tcBorders>
              <w:top w:val="single" w:sz="4" w:space="0" w:color="auto"/>
              <w:bottom w:val="nil"/>
            </w:tcBorders>
          </w:tcPr>
          <w:p w:rsidR="003E5ABD" w:rsidRDefault="003E5ABD" w:rsidP="00003C67">
            <w:pPr>
              <w:spacing w:line="480" w:lineRule="auto"/>
              <w:jc w:val="center"/>
            </w:pPr>
            <w:r>
              <w:t>.32</w:t>
            </w:r>
          </w:p>
        </w:tc>
        <w:tc>
          <w:tcPr>
            <w:tcW w:w="0" w:type="auto"/>
            <w:tcBorders>
              <w:top w:val="single" w:sz="4" w:space="0" w:color="auto"/>
              <w:bottom w:val="nil"/>
            </w:tcBorders>
          </w:tcPr>
          <w:p w:rsidR="003E5ABD" w:rsidRDefault="003E5ABD" w:rsidP="00003C67">
            <w:pPr>
              <w:spacing w:line="480" w:lineRule="auto"/>
              <w:jc w:val="center"/>
            </w:pPr>
            <w:r>
              <w:t>&lt;.05</w:t>
            </w:r>
          </w:p>
        </w:tc>
        <w:tc>
          <w:tcPr>
            <w:tcW w:w="0" w:type="auto"/>
            <w:tcBorders>
              <w:top w:val="single" w:sz="4" w:space="0" w:color="auto"/>
              <w:bottom w:val="nil"/>
            </w:tcBorders>
          </w:tcPr>
          <w:p w:rsidR="003E5ABD" w:rsidRDefault="003E5ABD" w:rsidP="00003C67">
            <w:pPr>
              <w:spacing w:line="480" w:lineRule="auto"/>
              <w:jc w:val="center"/>
            </w:pPr>
            <w:r>
              <w:t>.45</w:t>
            </w:r>
          </w:p>
        </w:tc>
        <w:tc>
          <w:tcPr>
            <w:tcW w:w="0" w:type="auto"/>
            <w:tcBorders>
              <w:top w:val="single" w:sz="4" w:space="0" w:color="auto"/>
              <w:bottom w:val="nil"/>
            </w:tcBorders>
          </w:tcPr>
          <w:p w:rsidR="003E5ABD" w:rsidRDefault="003E5ABD" w:rsidP="00003C67">
            <w:pPr>
              <w:spacing w:line="480" w:lineRule="auto"/>
              <w:jc w:val="center"/>
            </w:pPr>
            <w:r>
              <w:t>.45</w:t>
            </w:r>
          </w:p>
        </w:tc>
        <w:tc>
          <w:tcPr>
            <w:tcW w:w="0" w:type="auto"/>
            <w:tcBorders>
              <w:top w:val="single" w:sz="4" w:space="0" w:color="auto"/>
              <w:bottom w:val="nil"/>
            </w:tcBorders>
          </w:tcPr>
          <w:p w:rsidR="003E5ABD" w:rsidRDefault="003E5ABD" w:rsidP="00003C67">
            <w:pPr>
              <w:spacing w:line="480" w:lineRule="auto"/>
              <w:jc w:val="center"/>
            </w:pPr>
            <w:r>
              <w:t>37.19</w:t>
            </w:r>
          </w:p>
        </w:tc>
        <w:tc>
          <w:tcPr>
            <w:tcW w:w="0" w:type="auto"/>
            <w:tcBorders>
              <w:top w:val="single" w:sz="4" w:space="0" w:color="auto"/>
              <w:bottom w:val="nil"/>
            </w:tcBorders>
          </w:tcPr>
          <w:p w:rsidR="003E5ABD" w:rsidRDefault="003E5ABD" w:rsidP="00003C67">
            <w:pPr>
              <w:spacing w:line="480" w:lineRule="auto"/>
              <w:jc w:val="center"/>
            </w:pPr>
            <w:r>
              <w:t>.67</w:t>
            </w:r>
          </w:p>
        </w:tc>
        <w:tc>
          <w:tcPr>
            <w:tcW w:w="0" w:type="auto"/>
            <w:tcBorders>
              <w:top w:val="single" w:sz="4" w:space="0" w:color="auto"/>
              <w:bottom w:val="nil"/>
            </w:tcBorders>
          </w:tcPr>
          <w:p w:rsidR="003E5ABD" w:rsidRDefault="003E5ABD" w:rsidP="00003C67">
            <w:pPr>
              <w:spacing w:line="480" w:lineRule="auto"/>
              <w:jc w:val="center"/>
            </w:pPr>
            <w:r>
              <w:t>&lt;.001</w:t>
            </w:r>
          </w:p>
        </w:tc>
      </w:tr>
      <w:tr w:rsidR="003E5ABD" w:rsidRPr="00C6087B" w:rsidTr="00003C67">
        <w:tc>
          <w:tcPr>
            <w:tcW w:w="0" w:type="auto"/>
            <w:tcBorders>
              <w:top w:val="nil"/>
              <w:bottom w:val="nil"/>
            </w:tcBorders>
          </w:tcPr>
          <w:p w:rsidR="003E5ABD" w:rsidRDefault="003E5ABD" w:rsidP="00003C67">
            <w:pPr>
              <w:spacing w:line="480" w:lineRule="auto"/>
            </w:pPr>
          </w:p>
        </w:tc>
        <w:tc>
          <w:tcPr>
            <w:tcW w:w="0" w:type="auto"/>
            <w:tcBorders>
              <w:top w:val="nil"/>
              <w:bottom w:val="nil"/>
            </w:tcBorders>
          </w:tcPr>
          <w:p w:rsidR="003E5ABD" w:rsidRDefault="003E5ABD" w:rsidP="00003C67">
            <w:pPr>
              <w:spacing w:line="480" w:lineRule="auto"/>
              <w:jc w:val="center"/>
            </w:pPr>
            <w:r>
              <w:t>2</w:t>
            </w:r>
          </w:p>
        </w:tc>
        <w:tc>
          <w:tcPr>
            <w:tcW w:w="0" w:type="auto"/>
            <w:tcBorders>
              <w:top w:val="nil"/>
              <w:bottom w:val="nil"/>
            </w:tcBorders>
          </w:tcPr>
          <w:p w:rsidR="003E5ABD" w:rsidRDefault="003E5ABD" w:rsidP="00003C67">
            <w:pPr>
              <w:spacing w:line="480" w:lineRule="auto"/>
              <w:jc w:val="center"/>
            </w:pPr>
            <w:r>
              <w:t>Receptive Vocabulary</w:t>
            </w:r>
          </w:p>
        </w:tc>
        <w:tc>
          <w:tcPr>
            <w:tcW w:w="0" w:type="auto"/>
            <w:tcBorders>
              <w:top w:val="nil"/>
              <w:bottom w:val="nil"/>
            </w:tcBorders>
          </w:tcPr>
          <w:p w:rsidR="003E5ABD" w:rsidRDefault="003E5ABD" w:rsidP="00003C67">
            <w:pPr>
              <w:spacing w:line="480" w:lineRule="auto"/>
              <w:jc w:val="center"/>
            </w:pPr>
            <w:r>
              <w:t>.59</w:t>
            </w:r>
          </w:p>
        </w:tc>
        <w:tc>
          <w:tcPr>
            <w:tcW w:w="0" w:type="auto"/>
            <w:tcBorders>
              <w:top w:val="nil"/>
              <w:bottom w:val="nil"/>
            </w:tcBorders>
          </w:tcPr>
          <w:p w:rsidR="003E5ABD" w:rsidRDefault="003E5ABD" w:rsidP="00003C67">
            <w:pPr>
              <w:spacing w:line="480" w:lineRule="auto"/>
              <w:jc w:val="center"/>
            </w:pPr>
            <w:r>
              <w:t>.49</w:t>
            </w:r>
          </w:p>
        </w:tc>
        <w:tc>
          <w:tcPr>
            <w:tcW w:w="0" w:type="auto"/>
            <w:tcBorders>
              <w:top w:val="nil"/>
              <w:bottom w:val="nil"/>
            </w:tcBorders>
          </w:tcPr>
          <w:p w:rsidR="003E5ABD" w:rsidRDefault="003E5ABD" w:rsidP="00003C67">
            <w:pPr>
              <w:spacing w:line="480" w:lineRule="auto"/>
              <w:jc w:val="center"/>
            </w:pPr>
            <w:r>
              <w:t>51.81</w:t>
            </w:r>
          </w:p>
        </w:tc>
        <w:tc>
          <w:tcPr>
            <w:tcW w:w="0" w:type="auto"/>
            <w:tcBorders>
              <w:top w:val="nil"/>
              <w:bottom w:val="nil"/>
            </w:tcBorders>
          </w:tcPr>
          <w:p w:rsidR="003E5ABD" w:rsidRDefault="003E5ABD" w:rsidP="00003C67">
            <w:pPr>
              <w:spacing w:line="480" w:lineRule="auto"/>
              <w:jc w:val="center"/>
            </w:pPr>
          </w:p>
        </w:tc>
        <w:tc>
          <w:tcPr>
            <w:tcW w:w="0" w:type="auto"/>
            <w:tcBorders>
              <w:top w:val="nil"/>
              <w:bottom w:val="nil"/>
            </w:tcBorders>
          </w:tcPr>
          <w:p w:rsidR="003E5ABD" w:rsidRDefault="003E5ABD" w:rsidP="00003C67">
            <w:pPr>
              <w:spacing w:line="480" w:lineRule="auto"/>
              <w:jc w:val="center"/>
            </w:pPr>
            <w:r>
              <w:t>.75</w:t>
            </w:r>
          </w:p>
        </w:tc>
        <w:tc>
          <w:tcPr>
            <w:tcW w:w="0" w:type="auto"/>
            <w:tcBorders>
              <w:top w:val="nil"/>
              <w:bottom w:val="nil"/>
            </w:tcBorders>
          </w:tcPr>
          <w:p w:rsidR="003E5ABD" w:rsidRDefault="003E5ABD" w:rsidP="00003C67">
            <w:pPr>
              <w:spacing w:line="480" w:lineRule="auto"/>
              <w:jc w:val="center"/>
            </w:pPr>
            <w:r>
              <w:t>&lt;.001</w:t>
            </w:r>
          </w:p>
        </w:tc>
        <w:tc>
          <w:tcPr>
            <w:tcW w:w="0" w:type="auto"/>
            <w:tcBorders>
              <w:top w:val="nil"/>
              <w:bottom w:val="nil"/>
            </w:tcBorders>
          </w:tcPr>
          <w:p w:rsidR="003E5ABD" w:rsidRDefault="003E5ABD" w:rsidP="00003C67">
            <w:pPr>
              <w:spacing w:line="480" w:lineRule="auto"/>
              <w:jc w:val="center"/>
            </w:pPr>
            <w:r>
              <w:t>.69</w:t>
            </w:r>
          </w:p>
        </w:tc>
        <w:tc>
          <w:tcPr>
            <w:tcW w:w="0" w:type="auto"/>
            <w:tcBorders>
              <w:top w:val="nil"/>
              <w:bottom w:val="nil"/>
            </w:tcBorders>
          </w:tcPr>
          <w:p w:rsidR="003E5ABD" w:rsidRDefault="003E5ABD" w:rsidP="00003C67">
            <w:pPr>
              <w:spacing w:line="480" w:lineRule="auto"/>
              <w:jc w:val="center"/>
            </w:pPr>
            <w:r>
              <w:t>.23</w:t>
            </w:r>
          </w:p>
        </w:tc>
        <w:tc>
          <w:tcPr>
            <w:tcW w:w="0" w:type="auto"/>
            <w:tcBorders>
              <w:top w:val="nil"/>
              <w:bottom w:val="nil"/>
            </w:tcBorders>
          </w:tcPr>
          <w:p w:rsidR="003E5ABD" w:rsidRDefault="003E5ABD" w:rsidP="00003C67">
            <w:pPr>
              <w:spacing w:line="480" w:lineRule="auto"/>
              <w:jc w:val="center"/>
            </w:pPr>
            <w:r>
              <w:t>32.66</w:t>
            </w:r>
          </w:p>
        </w:tc>
        <w:tc>
          <w:tcPr>
            <w:tcW w:w="0" w:type="auto"/>
            <w:tcBorders>
              <w:top w:val="nil"/>
              <w:bottom w:val="nil"/>
            </w:tcBorders>
          </w:tcPr>
          <w:p w:rsidR="003E5ABD" w:rsidRDefault="003E5ABD" w:rsidP="00003C67">
            <w:pPr>
              <w:spacing w:line="480" w:lineRule="auto"/>
              <w:jc w:val="center"/>
            </w:pPr>
            <w:r>
              <w:t>.60</w:t>
            </w:r>
          </w:p>
        </w:tc>
        <w:tc>
          <w:tcPr>
            <w:tcW w:w="0" w:type="auto"/>
            <w:tcBorders>
              <w:top w:val="nil"/>
              <w:bottom w:val="nil"/>
            </w:tcBorders>
          </w:tcPr>
          <w:p w:rsidR="003E5ABD" w:rsidRDefault="003E5ABD" w:rsidP="00003C67">
            <w:pPr>
              <w:spacing w:line="480" w:lineRule="auto"/>
              <w:jc w:val="center"/>
            </w:pPr>
            <w:r>
              <w:t>&lt;.001</w:t>
            </w:r>
          </w:p>
        </w:tc>
      </w:tr>
      <w:tr w:rsidR="003E5ABD" w:rsidRPr="00C6087B" w:rsidTr="00003C67">
        <w:tc>
          <w:tcPr>
            <w:tcW w:w="0" w:type="auto"/>
            <w:tcBorders>
              <w:top w:val="nil"/>
              <w:bottom w:val="single" w:sz="4" w:space="0" w:color="auto"/>
            </w:tcBorders>
          </w:tcPr>
          <w:p w:rsidR="003E5ABD" w:rsidRDefault="003E5ABD" w:rsidP="00003C67">
            <w:pPr>
              <w:spacing w:line="480" w:lineRule="auto"/>
            </w:pPr>
          </w:p>
        </w:tc>
        <w:tc>
          <w:tcPr>
            <w:tcW w:w="0" w:type="auto"/>
            <w:tcBorders>
              <w:top w:val="nil"/>
              <w:bottom w:val="single" w:sz="4" w:space="0" w:color="auto"/>
            </w:tcBorders>
          </w:tcPr>
          <w:p w:rsidR="003E5ABD" w:rsidRDefault="003E5ABD" w:rsidP="00003C67">
            <w:pPr>
              <w:spacing w:line="480" w:lineRule="auto"/>
              <w:jc w:val="center"/>
            </w:pPr>
            <w:r>
              <w:t>3</w:t>
            </w:r>
          </w:p>
        </w:tc>
        <w:tc>
          <w:tcPr>
            <w:tcW w:w="0" w:type="auto"/>
            <w:tcBorders>
              <w:top w:val="nil"/>
              <w:bottom w:val="single" w:sz="4" w:space="0" w:color="auto"/>
            </w:tcBorders>
          </w:tcPr>
          <w:p w:rsidR="003E5ABD" w:rsidRDefault="003E5ABD" w:rsidP="00003C67">
            <w:pPr>
              <w:spacing w:line="480" w:lineRule="auto"/>
              <w:jc w:val="center"/>
            </w:pPr>
            <w:proofErr w:type="spellStart"/>
            <w:r>
              <w:t>Nonword</w:t>
            </w:r>
            <w:proofErr w:type="spellEnd"/>
            <w:r>
              <w:t xml:space="preserve"> Reading</w:t>
            </w:r>
          </w:p>
        </w:tc>
        <w:tc>
          <w:tcPr>
            <w:tcW w:w="0" w:type="auto"/>
            <w:tcBorders>
              <w:top w:val="nil"/>
              <w:bottom w:val="single" w:sz="4" w:space="0" w:color="auto"/>
            </w:tcBorders>
          </w:tcPr>
          <w:p w:rsidR="003E5ABD" w:rsidRDefault="003E5ABD" w:rsidP="00003C67">
            <w:pPr>
              <w:spacing w:line="480" w:lineRule="auto"/>
              <w:jc w:val="center"/>
            </w:pPr>
            <w:r>
              <w:t>.69</w:t>
            </w:r>
          </w:p>
        </w:tc>
        <w:tc>
          <w:tcPr>
            <w:tcW w:w="0" w:type="auto"/>
            <w:tcBorders>
              <w:top w:val="nil"/>
              <w:bottom w:val="single" w:sz="4" w:space="0" w:color="auto"/>
            </w:tcBorders>
          </w:tcPr>
          <w:p w:rsidR="003E5ABD" w:rsidRDefault="003E5ABD" w:rsidP="00003C67">
            <w:pPr>
              <w:spacing w:line="480" w:lineRule="auto"/>
              <w:jc w:val="center"/>
            </w:pPr>
            <w:r>
              <w:t>.10</w:t>
            </w:r>
          </w:p>
        </w:tc>
        <w:tc>
          <w:tcPr>
            <w:tcW w:w="0" w:type="auto"/>
            <w:tcBorders>
              <w:top w:val="nil"/>
              <w:bottom w:val="single" w:sz="4" w:space="0" w:color="auto"/>
            </w:tcBorders>
          </w:tcPr>
          <w:p w:rsidR="003E5ABD" w:rsidRDefault="003E5ABD" w:rsidP="00003C67">
            <w:pPr>
              <w:spacing w:line="480" w:lineRule="auto"/>
              <w:jc w:val="center"/>
            </w:pPr>
            <w:r>
              <w:t>13.74</w:t>
            </w:r>
          </w:p>
        </w:tc>
        <w:tc>
          <w:tcPr>
            <w:tcW w:w="0" w:type="auto"/>
            <w:tcBorders>
              <w:top w:val="nil"/>
              <w:bottom w:val="single" w:sz="4" w:space="0" w:color="auto"/>
            </w:tcBorders>
          </w:tcPr>
          <w:p w:rsidR="003E5ABD" w:rsidRDefault="003E5ABD" w:rsidP="00003C67">
            <w:pPr>
              <w:spacing w:line="480" w:lineRule="auto"/>
              <w:jc w:val="center"/>
            </w:pPr>
          </w:p>
        </w:tc>
        <w:tc>
          <w:tcPr>
            <w:tcW w:w="0" w:type="auto"/>
            <w:tcBorders>
              <w:top w:val="nil"/>
              <w:bottom w:val="single" w:sz="4" w:space="0" w:color="auto"/>
            </w:tcBorders>
          </w:tcPr>
          <w:p w:rsidR="003E5ABD" w:rsidRDefault="003E5ABD" w:rsidP="00003C67">
            <w:pPr>
              <w:spacing w:line="480" w:lineRule="auto"/>
              <w:jc w:val="center"/>
            </w:pPr>
            <w:r>
              <w:t>.35</w:t>
            </w:r>
          </w:p>
        </w:tc>
        <w:tc>
          <w:tcPr>
            <w:tcW w:w="0" w:type="auto"/>
            <w:tcBorders>
              <w:top w:val="nil"/>
              <w:bottom w:val="single" w:sz="4" w:space="0" w:color="auto"/>
            </w:tcBorders>
          </w:tcPr>
          <w:p w:rsidR="003E5ABD" w:rsidRDefault="003E5ABD" w:rsidP="00003C67">
            <w:pPr>
              <w:spacing w:line="480" w:lineRule="auto"/>
              <w:jc w:val="center"/>
            </w:pPr>
            <w:r>
              <w:t>&lt;.001</w:t>
            </w:r>
          </w:p>
        </w:tc>
        <w:tc>
          <w:tcPr>
            <w:tcW w:w="0" w:type="auto"/>
            <w:tcBorders>
              <w:top w:val="nil"/>
              <w:bottom w:val="single" w:sz="4" w:space="0" w:color="auto"/>
            </w:tcBorders>
          </w:tcPr>
          <w:p w:rsidR="003E5ABD" w:rsidRDefault="003E5ABD" w:rsidP="00003C67">
            <w:pPr>
              <w:spacing w:line="480" w:lineRule="auto"/>
              <w:jc w:val="center"/>
            </w:pPr>
            <w:r>
              <w:t>.69</w:t>
            </w:r>
          </w:p>
        </w:tc>
        <w:tc>
          <w:tcPr>
            <w:tcW w:w="0" w:type="auto"/>
            <w:tcBorders>
              <w:top w:val="nil"/>
              <w:bottom w:val="single" w:sz="4" w:space="0" w:color="auto"/>
            </w:tcBorders>
          </w:tcPr>
          <w:p w:rsidR="003E5ABD" w:rsidRDefault="003E5ABD" w:rsidP="00003C67">
            <w:pPr>
              <w:spacing w:line="480" w:lineRule="auto"/>
              <w:jc w:val="center"/>
            </w:pPr>
            <w:r>
              <w:t>.00</w:t>
            </w:r>
          </w:p>
        </w:tc>
        <w:tc>
          <w:tcPr>
            <w:tcW w:w="0" w:type="auto"/>
            <w:tcBorders>
              <w:top w:val="nil"/>
              <w:bottom w:val="single" w:sz="4" w:space="0" w:color="auto"/>
            </w:tcBorders>
          </w:tcPr>
          <w:p w:rsidR="003E5ABD" w:rsidRDefault="003E5ABD" w:rsidP="00003C67">
            <w:pPr>
              <w:spacing w:line="480" w:lineRule="auto"/>
              <w:jc w:val="center"/>
            </w:pPr>
            <w:r>
              <w:t>0.065</w:t>
            </w:r>
          </w:p>
        </w:tc>
        <w:tc>
          <w:tcPr>
            <w:tcW w:w="0" w:type="auto"/>
            <w:tcBorders>
              <w:top w:val="nil"/>
              <w:bottom w:val="single" w:sz="4" w:space="0" w:color="auto"/>
            </w:tcBorders>
          </w:tcPr>
          <w:p w:rsidR="003E5ABD" w:rsidRDefault="003E5ABD" w:rsidP="00003C67">
            <w:pPr>
              <w:spacing w:line="480" w:lineRule="auto"/>
              <w:jc w:val="center"/>
            </w:pPr>
            <w:r>
              <w:t>.02</w:t>
            </w:r>
          </w:p>
        </w:tc>
        <w:tc>
          <w:tcPr>
            <w:tcW w:w="0" w:type="auto"/>
            <w:tcBorders>
              <w:top w:val="nil"/>
              <w:bottom w:val="single" w:sz="4" w:space="0" w:color="auto"/>
            </w:tcBorders>
          </w:tcPr>
          <w:p w:rsidR="003E5ABD" w:rsidRDefault="003E5ABD" w:rsidP="00003C67">
            <w:pPr>
              <w:spacing w:line="480" w:lineRule="auto"/>
              <w:jc w:val="center"/>
            </w:pPr>
            <w:r>
              <w:t>.80</w:t>
            </w:r>
          </w:p>
        </w:tc>
      </w:tr>
    </w:tbl>
    <w:p w:rsidR="00281766" w:rsidRPr="00A56915" w:rsidRDefault="00281766" w:rsidP="00123A49">
      <w:pPr>
        <w:spacing w:line="480" w:lineRule="auto"/>
        <w:rPr>
          <w:i/>
          <w:sz w:val="20"/>
          <w:szCs w:val="20"/>
        </w:rPr>
      </w:pPr>
      <w:r w:rsidRPr="00A56915">
        <w:rPr>
          <w:i/>
          <w:sz w:val="20"/>
          <w:szCs w:val="20"/>
        </w:rPr>
        <w:t xml:space="preserve">Note: β, standardised beta coefficients. </w:t>
      </w:r>
    </w:p>
    <w:p w:rsidR="00281766" w:rsidRDefault="00281766" w:rsidP="00123A49"/>
    <w:p w:rsidR="00281766" w:rsidRDefault="00281766" w:rsidP="00123A49"/>
    <w:p w:rsidR="003E5ABD" w:rsidRDefault="003E5ABD" w:rsidP="003E5ABD">
      <w:pPr>
        <w:ind w:firstLine="720"/>
      </w:pPr>
      <w:r w:rsidRPr="0046692F">
        <w:t xml:space="preserve"> </w:t>
      </w:r>
    </w:p>
    <w:p w:rsidR="00281766" w:rsidRDefault="00281766" w:rsidP="00123A49">
      <w:pPr>
        <w:spacing w:after="200" w:line="276" w:lineRule="auto"/>
        <w:rPr>
          <w:b/>
        </w:rPr>
      </w:pPr>
    </w:p>
    <w:p w:rsidR="00281766" w:rsidRDefault="00281766" w:rsidP="00123A49">
      <w:pPr>
        <w:spacing w:line="480" w:lineRule="auto"/>
        <w:rPr>
          <w:b/>
        </w:rPr>
        <w:sectPr w:rsidR="00281766" w:rsidSect="00AB1F45">
          <w:pgSz w:w="16838" w:h="11906" w:orient="landscape"/>
          <w:pgMar w:top="1440" w:right="1440" w:bottom="1440" w:left="1440" w:header="709" w:footer="709" w:gutter="0"/>
          <w:cols w:space="708"/>
          <w:docGrid w:linePitch="360"/>
        </w:sectPr>
      </w:pPr>
    </w:p>
    <w:p w:rsidR="00281766" w:rsidRDefault="00281766"/>
    <w:sectPr w:rsidR="00281766" w:rsidSect="00AB1F4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766" w:rsidRDefault="00281766">
      <w:r>
        <w:separator/>
      </w:r>
    </w:p>
  </w:endnote>
  <w:endnote w:type="continuationSeparator" w:id="0">
    <w:p w:rsidR="00281766" w:rsidRDefault="0028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766" w:rsidRDefault="00281766">
      <w:r>
        <w:separator/>
      </w:r>
    </w:p>
  </w:footnote>
  <w:footnote w:type="continuationSeparator" w:id="0">
    <w:p w:rsidR="00281766" w:rsidRDefault="00281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66" w:rsidRDefault="00281766">
    <w:pPr>
      <w:pStyle w:val="Header"/>
      <w:jc w:val="right"/>
    </w:pPr>
    <w:r>
      <w:t>Running Head: Comprehension in Autism</w:t>
    </w:r>
    <w:r>
      <w:tab/>
    </w:r>
    <w:r>
      <w:tab/>
      <w:t xml:space="preserve"> </w:t>
    </w:r>
    <w:r w:rsidR="00D7672A">
      <w:fldChar w:fldCharType="begin"/>
    </w:r>
    <w:r w:rsidR="0015478C">
      <w:instrText xml:space="preserve"> PAGE   \* MERGEFORMAT </w:instrText>
    </w:r>
    <w:r w:rsidR="00D7672A">
      <w:fldChar w:fldCharType="separate"/>
    </w:r>
    <w:r w:rsidR="00A619AF">
      <w:rPr>
        <w:noProof/>
      </w:rPr>
      <w:t>18</w:t>
    </w:r>
    <w:r w:rsidR="00D7672A">
      <w:rPr>
        <w:noProof/>
      </w:rPr>
      <w:fldChar w:fldCharType="end"/>
    </w:r>
  </w:p>
  <w:p w:rsidR="00281766" w:rsidRDefault="002817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2EA"/>
    <w:multiLevelType w:val="multilevel"/>
    <w:tmpl w:val="EA6E3964"/>
    <w:lvl w:ilvl="0">
      <w:start w:val="2"/>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
    <w:nsid w:val="416620A8"/>
    <w:multiLevelType w:val="hybridMultilevel"/>
    <w:tmpl w:val="B134A7CA"/>
    <w:lvl w:ilvl="0" w:tplc="53E6F63A">
      <w:start w:val="1"/>
      <w:numFmt w:val="decimal"/>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A00719B"/>
    <w:multiLevelType w:val="hybridMultilevel"/>
    <w:tmpl w:val="7454240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68C80899"/>
    <w:multiLevelType w:val="hybridMultilevel"/>
    <w:tmpl w:val="0A326208"/>
    <w:lvl w:ilvl="0" w:tplc="C7CA0FA2">
      <w:start w:val="1"/>
      <w:numFmt w:val="decimal"/>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6E674293"/>
    <w:multiLevelType w:val="multilevel"/>
    <w:tmpl w:val="979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404826"/>
    <w:multiLevelType w:val="multilevel"/>
    <w:tmpl w:val="8FCE647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i/>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3A49"/>
    <w:rsid w:val="0000543B"/>
    <w:rsid w:val="000B01E2"/>
    <w:rsid w:val="000C69DD"/>
    <w:rsid w:val="00123A49"/>
    <w:rsid w:val="00143298"/>
    <w:rsid w:val="00150071"/>
    <w:rsid w:val="0015478C"/>
    <w:rsid w:val="001D4DD7"/>
    <w:rsid w:val="001D528D"/>
    <w:rsid w:val="002123A3"/>
    <w:rsid w:val="00221B5E"/>
    <w:rsid w:val="0024359B"/>
    <w:rsid w:val="0024394F"/>
    <w:rsid w:val="00281766"/>
    <w:rsid w:val="00286ECA"/>
    <w:rsid w:val="002A5AFA"/>
    <w:rsid w:val="002B7920"/>
    <w:rsid w:val="002C4910"/>
    <w:rsid w:val="002D3CD7"/>
    <w:rsid w:val="002D5C42"/>
    <w:rsid w:val="002F4DBB"/>
    <w:rsid w:val="00302AC6"/>
    <w:rsid w:val="00312B46"/>
    <w:rsid w:val="00322415"/>
    <w:rsid w:val="00334A0D"/>
    <w:rsid w:val="00380015"/>
    <w:rsid w:val="003E5ABD"/>
    <w:rsid w:val="004018B9"/>
    <w:rsid w:val="004033B6"/>
    <w:rsid w:val="0041528C"/>
    <w:rsid w:val="00443E5F"/>
    <w:rsid w:val="00465953"/>
    <w:rsid w:val="0046692F"/>
    <w:rsid w:val="0047159A"/>
    <w:rsid w:val="00471BE3"/>
    <w:rsid w:val="00481AE9"/>
    <w:rsid w:val="00482A9C"/>
    <w:rsid w:val="00497C7A"/>
    <w:rsid w:val="004A67D2"/>
    <w:rsid w:val="005003FF"/>
    <w:rsid w:val="00500A40"/>
    <w:rsid w:val="005069AA"/>
    <w:rsid w:val="00527653"/>
    <w:rsid w:val="005336DC"/>
    <w:rsid w:val="00536931"/>
    <w:rsid w:val="005446B6"/>
    <w:rsid w:val="00551366"/>
    <w:rsid w:val="0055341D"/>
    <w:rsid w:val="00554251"/>
    <w:rsid w:val="00562FCB"/>
    <w:rsid w:val="005A294A"/>
    <w:rsid w:val="005F6E0A"/>
    <w:rsid w:val="00606EBA"/>
    <w:rsid w:val="00617CB3"/>
    <w:rsid w:val="00621249"/>
    <w:rsid w:val="00621A11"/>
    <w:rsid w:val="00633BCE"/>
    <w:rsid w:val="006465F9"/>
    <w:rsid w:val="00667110"/>
    <w:rsid w:val="00683F6C"/>
    <w:rsid w:val="00691A1D"/>
    <w:rsid w:val="00697D41"/>
    <w:rsid w:val="006B1CBE"/>
    <w:rsid w:val="006B256F"/>
    <w:rsid w:val="006C3CCC"/>
    <w:rsid w:val="006D41AB"/>
    <w:rsid w:val="007128F1"/>
    <w:rsid w:val="00737426"/>
    <w:rsid w:val="00737436"/>
    <w:rsid w:val="00742506"/>
    <w:rsid w:val="00757651"/>
    <w:rsid w:val="00766AF2"/>
    <w:rsid w:val="007945A8"/>
    <w:rsid w:val="007A36E0"/>
    <w:rsid w:val="007B63EE"/>
    <w:rsid w:val="007C0E49"/>
    <w:rsid w:val="007D28F5"/>
    <w:rsid w:val="007E2554"/>
    <w:rsid w:val="007E44EF"/>
    <w:rsid w:val="00862A4A"/>
    <w:rsid w:val="00877F16"/>
    <w:rsid w:val="008C1BDD"/>
    <w:rsid w:val="008C6FEF"/>
    <w:rsid w:val="008D2EAE"/>
    <w:rsid w:val="008E2E48"/>
    <w:rsid w:val="008E5AC8"/>
    <w:rsid w:val="008E7BBF"/>
    <w:rsid w:val="00903E36"/>
    <w:rsid w:val="00911F22"/>
    <w:rsid w:val="00935D54"/>
    <w:rsid w:val="00943AD9"/>
    <w:rsid w:val="009512AE"/>
    <w:rsid w:val="00986D41"/>
    <w:rsid w:val="009B49F9"/>
    <w:rsid w:val="00A14755"/>
    <w:rsid w:val="00A20721"/>
    <w:rsid w:val="00A37363"/>
    <w:rsid w:val="00A56915"/>
    <w:rsid w:val="00A619AF"/>
    <w:rsid w:val="00A63524"/>
    <w:rsid w:val="00A7657E"/>
    <w:rsid w:val="00A832DB"/>
    <w:rsid w:val="00A95C24"/>
    <w:rsid w:val="00AB1F45"/>
    <w:rsid w:val="00AC37C8"/>
    <w:rsid w:val="00AD2D87"/>
    <w:rsid w:val="00AE38D2"/>
    <w:rsid w:val="00AF684B"/>
    <w:rsid w:val="00B22AA7"/>
    <w:rsid w:val="00B35E6B"/>
    <w:rsid w:val="00B42793"/>
    <w:rsid w:val="00B62C91"/>
    <w:rsid w:val="00B71EA8"/>
    <w:rsid w:val="00B722D6"/>
    <w:rsid w:val="00B80DE9"/>
    <w:rsid w:val="00B966D7"/>
    <w:rsid w:val="00B96BF9"/>
    <w:rsid w:val="00BE0ADC"/>
    <w:rsid w:val="00BE3214"/>
    <w:rsid w:val="00BF2793"/>
    <w:rsid w:val="00C039CE"/>
    <w:rsid w:val="00C32AA3"/>
    <w:rsid w:val="00C6087B"/>
    <w:rsid w:val="00C82E22"/>
    <w:rsid w:val="00CF768E"/>
    <w:rsid w:val="00D53BE2"/>
    <w:rsid w:val="00D7672A"/>
    <w:rsid w:val="00D80D1A"/>
    <w:rsid w:val="00D825D1"/>
    <w:rsid w:val="00DC238B"/>
    <w:rsid w:val="00DD0852"/>
    <w:rsid w:val="00DD26BD"/>
    <w:rsid w:val="00E10A54"/>
    <w:rsid w:val="00E11E26"/>
    <w:rsid w:val="00E14A57"/>
    <w:rsid w:val="00E26E6E"/>
    <w:rsid w:val="00E7514F"/>
    <w:rsid w:val="00E778A5"/>
    <w:rsid w:val="00E902E3"/>
    <w:rsid w:val="00EA624B"/>
    <w:rsid w:val="00EF3E7E"/>
    <w:rsid w:val="00F064B4"/>
    <w:rsid w:val="00F73657"/>
    <w:rsid w:val="00FA6025"/>
    <w:rsid w:val="00FD0D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49"/>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23A49"/>
    <w:rPr>
      <w:rFonts w:cs="Times New Roman"/>
      <w:color w:val="0000FF"/>
      <w:u w:val="single"/>
    </w:rPr>
  </w:style>
  <w:style w:type="paragraph" w:styleId="ListParagraph">
    <w:name w:val="List Paragraph"/>
    <w:basedOn w:val="Normal"/>
    <w:uiPriority w:val="99"/>
    <w:qFormat/>
    <w:rsid w:val="00123A49"/>
    <w:pPr>
      <w:ind w:left="720"/>
      <w:contextualSpacing/>
    </w:pPr>
  </w:style>
  <w:style w:type="paragraph" w:styleId="BalloonText">
    <w:name w:val="Balloon Text"/>
    <w:basedOn w:val="Normal"/>
    <w:link w:val="BalloonTextChar"/>
    <w:uiPriority w:val="99"/>
    <w:semiHidden/>
    <w:rsid w:val="00123A4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3A49"/>
    <w:rPr>
      <w:rFonts w:ascii="Tahoma" w:hAnsi="Tahoma" w:cs="Tahoma"/>
      <w:sz w:val="16"/>
      <w:szCs w:val="16"/>
      <w:lang w:eastAsia="en-GB"/>
    </w:rPr>
  </w:style>
  <w:style w:type="character" w:styleId="FollowedHyperlink">
    <w:name w:val="FollowedHyperlink"/>
    <w:basedOn w:val="DefaultParagraphFont"/>
    <w:uiPriority w:val="99"/>
    <w:semiHidden/>
    <w:rsid w:val="00123A49"/>
    <w:rPr>
      <w:rFonts w:cs="Times New Roman"/>
      <w:color w:val="800080"/>
      <w:u w:val="single"/>
    </w:rPr>
  </w:style>
  <w:style w:type="paragraph" w:styleId="FootnoteText">
    <w:name w:val="footnote text"/>
    <w:basedOn w:val="Normal"/>
    <w:link w:val="FootnoteTextChar"/>
    <w:uiPriority w:val="99"/>
    <w:semiHidden/>
    <w:rsid w:val="00123A49"/>
    <w:rPr>
      <w:sz w:val="20"/>
      <w:szCs w:val="20"/>
    </w:rPr>
  </w:style>
  <w:style w:type="character" w:customStyle="1" w:styleId="FootnoteTextChar">
    <w:name w:val="Footnote Text Char"/>
    <w:basedOn w:val="DefaultParagraphFont"/>
    <w:link w:val="FootnoteText"/>
    <w:uiPriority w:val="99"/>
    <w:semiHidden/>
    <w:locked/>
    <w:rsid w:val="00123A49"/>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123A49"/>
    <w:rPr>
      <w:rFonts w:cs="Times New Roman"/>
      <w:vertAlign w:val="superscript"/>
    </w:rPr>
  </w:style>
  <w:style w:type="character" w:styleId="CommentReference">
    <w:name w:val="annotation reference"/>
    <w:basedOn w:val="DefaultParagraphFont"/>
    <w:uiPriority w:val="99"/>
    <w:semiHidden/>
    <w:rsid w:val="00123A49"/>
    <w:rPr>
      <w:rFonts w:cs="Times New Roman"/>
      <w:sz w:val="16"/>
      <w:szCs w:val="16"/>
    </w:rPr>
  </w:style>
  <w:style w:type="paragraph" w:styleId="CommentText">
    <w:name w:val="annotation text"/>
    <w:basedOn w:val="Normal"/>
    <w:link w:val="CommentTextChar"/>
    <w:uiPriority w:val="99"/>
    <w:semiHidden/>
    <w:rsid w:val="00123A49"/>
    <w:rPr>
      <w:sz w:val="20"/>
      <w:szCs w:val="20"/>
    </w:rPr>
  </w:style>
  <w:style w:type="character" w:customStyle="1" w:styleId="CommentTextChar">
    <w:name w:val="Comment Text Char"/>
    <w:basedOn w:val="DefaultParagraphFont"/>
    <w:link w:val="CommentText"/>
    <w:uiPriority w:val="99"/>
    <w:semiHidden/>
    <w:locked/>
    <w:rsid w:val="00123A49"/>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123A49"/>
    <w:rPr>
      <w:b/>
      <w:bCs/>
    </w:rPr>
  </w:style>
  <w:style w:type="character" w:customStyle="1" w:styleId="CommentSubjectChar">
    <w:name w:val="Comment Subject Char"/>
    <w:basedOn w:val="CommentTextChar"/>
    <w:link w:val="CommentSubject"/>
    <w:uiPriority w:val="99"/>
    <w:semiHidden/>
    <w:locked/>
    <w:rsid w:val="00123A49"/>
    <w:rPr>
      <w:rFonts w:ascii="Times New Roman" w:hAnsi="Times New Roman" w:cs="Times New Roman"/>
      <w:b/>
      <w:bCs/>
      <w:sz w:val="20"/>
      <w:szCs w:val="20"/>
      <w:lang w:eastAsia="en-GB"/>
    </w:rPr>
  </w:style>
  <w:style w:type="paragraph" w:styleId="NormalWeb">
    <w:name w:val="Normal (Web)"/>
    <w:basedOn w:val="Normal"/>
    <w:uiPriority w:val="99"/>
    <w:semiHidden/>
    <w:rsid w:val="00123A49"/>
    <w:pPr>
      <w:spacing w:before="100" w:beforeAutospacing="1" w:after="100" w:afterAutospacing="1"/>
    </w:pPr>
    <w:rPr>
      <w:color w:val="000000"/>
    </w:rPr>
  </w:style>
  <w:style w:type="character" w:styleId="Strong">
    <w:name w:val="Strong"/>
    <w:basedOn w:val="DefaultParagraphFont"/>
    <w:uiPriority w:val="99"/>
    <w:qFormat/>
    <w:rsid w:val="00123A49"/>
    <w:rPr>
      <w:rFonts w:cs="Times New Roman"/>
      <w:b/>
      <w:bCs/>
    </w:rPr>
  </w:style>
  <w:style w:type="character" w:customStyle="1" w:styleId="authors">
    <w:name w:val="authors"/>
    <w:basedOn w:val="DefaultParagraphFont"/>
    <w:uiPriority w:val="99"/>
    <w:rsid w:val="00123A49"/>
    <w:rPr>
      <w:rFonts w:cs="Times New Roman"/>
    </w:rPr>
  </w:style>
  <w:style w:type="character" w:customStyle="1" w:styleId="publicationyear">
    <w:name w:val="publicationyear"/>
    <w:basedOn w:val="DefaultParagraphFont"/>
    <w:uiPriority w:val="99"/>
    <w:rsid w:val="00123A49"/>
    <w:rPr>
      <w:rFonts w:cs="Times New Roman"/>
    </w:rPr>
  </w:style>
  <w:style w:type="character" w:customStyle="1" w:styleId="Title1">
    <w:name w:val="Title1"/>
    <w:basedOn w:val="DefaultParagraphFont"/>
    <w:uiPriority w:val="99"/>
    <w:rsid w:val="00123A49"/>
    <w:rPr>
      <w:rFonts w:cs="Times New Roman"/>
    </w:rPr>
  </w:style>
  <w:style w:type="character" w:customStyle="1" w:styleId="journal">
    <w:name w:val="journal"/>
    <w:basedOn w:val="DefaultParagraphFont"/>
    <w:uiPriority w:val="99"/>
    <w:rsid w:val="00123A49"/>
    <w:rPr>
      <w:rFonts w:cs="Times New Roman"/>
    </w:rPr>
  </w:style>
  <w:style w:type="character" w:customStyle="1" w:styleId="volume">
    <w:name w:val="volume"/>
    <w:basedOn w:val="DefaultParagraphFont"/>
    <w:uiPriority w:val="99"/>
    <w:rsid w:val="00123A49"/>
    <w:rPr>
      <w:rFonts w:cs="Times New Roman"/>
    </w:rPr>
  </w:style>
  <w:style w:type="character" w:customStyle="1" w:styleId="pages">
    <w:name w:val="pages"/>
    <w:basedOn w:val="DefaultParagraphFont"/>
    <w:uiPriority w:val="99"/>
    <w:rsid w:val="00123A49"/>
    <w:rPr>
      <w:rFonts w:cs="Times New Roman"/>
    </w:rPr>
  </w:style>
  <w:style w:type="character" w:customStyle="1" w:styleId="ref-journal">
    <w:name w:val="ref-journal"/>
    <w:basedOn w:val="DefaultParagraphFont"/>
    <w:uiPriority w:val="99"/>
    <w:rsid w:val="00123A49"/>
    <w:rPr>
      <w:rFonts w:cs="Times New Roman"/>
    </w:rPr>
  </w:style>
  <w:style w:type="character" w:customStyle="1" w:styleId="ref-vol">
    <w:name w:val="ref-vol"/>
    <w:basedOn w:val="DefaultParagraphFont"/>
    <w:uiPriority w:val="99"/>
    <w:rsid w:val="00123A49"/>
    <w:rPr>
      <w:rFonts w:cs="Times New Roman"/>
    </w:rPr>
  </w:style>
  <w:style w:type="paragraph" w:styleId="Header">
    <w:name w:val="header"/>
    <w:basedOn w:val="Normal"/>
    <w:link w:val="HeaderChar"/>
    <w:uiPriority w:val="99"/>
    <w:rsid w:val="00123A49"/>
    <w:pPr>
      <w:tabs>
        <w:tab w:val="center" w:pos="4513"/>
        <w:tab w:val="right" w:pos="9026"/>
      </w:tabs>
    </w:pPr>
  </w:style>
  <w:style w:type="character" w:customStyle="1" w:styleId="HeaderChar">
    <w:name w:val="Header Char"/>
    <w:basedOn w:val="DefaultParagraphFont"/>
    <w:link w:val="Header"/>
    <w:uiPriority w:val="99"/>
    <w:locked/>
    <w:rsid w:val="00123A49"/>
    <w:rPr>
      <w:rFonts w:ascii="Times New Roman" w:hAnsi="Times New Roman" w:cs="Times New Roman"/>
      <w:sz w:val="24"/>
      <w:szCs w:val="24"/>
      <w:lang w:eastAsia="en-GB"/>
    </w:rPr>
  </w:style>
  <w:style w:type="paragraph" w:styleId="Footer">
    <w:name w:val="footer"/>
    <w:basedOn w:val="Normal"/>
    <w:link w:val="FooterChar"/>
    <w:uiPriority w:val="99"/>
    <w:rsid w:val="00123A49"/>
    <w:pPr>
      <w:tabs>
        <w:tab w:val="center" w:pos="4513"/>
        <w:tab w:val="right" w:pos="9026"/>
      </w:tabs>
    </w:pPr>
  </w:style>
  <w:style w:type="character" w:customStyle="1" w:styleId="FooterChar">
    <w:name w:val="Footer Char"/>
    <w:basedOn w:val="DefaultParagraphFont"/>
    <w:link w:val="Footer"/>
    <w:uiPriority w:val="99"/>
    <w:locked/>
    <w:rsid w:val="00123A49"/>
    <w:rPr>
      <w:rFonts w:ascii="Times New Roman" w:hAnsi="Times New Roman" w:cs="Times New Roman"/>
      <w:sz w:val="24"/>
      <w:szCs w:val="24"/>
      <w:lang w:eastAsia="en-GB"/>
    </w:rPr>
  </w:style>
  <w:style w:type="character" w:customStyle="1" w:styleId="readingname274e9623cc48c54a85fb418a9cebf21a">
    <w:name w:val="reading_name_274e9623cc48c54a85fb418a9cebf21a"/>
    <w:basedOn w:val="DefaultParagraphFont"/>
    <w:uiPriority w:val="99"/>
    <w:rsid w:val="00123A49"/>
    <w:rPr>
      <w:rFonts w:cs="Times New Roman"/>
    </w:rPr>
  </w:style>
  <w:style w:type="character" w:customStyle="1" w:styleId="personname">
    <w:name w:val="person_name"/>
    <w:basedOn w:val="DefaultParagraphFont"/>
    <w:uiPriority w:val="99"/>
    <w:rsid w:val="00123A4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49"/>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23A49"/>
    <w:rPr>
      <w:rFonts w:cs="Times New Roman"/>
      <w:color w:val="0000FF"/>
      <w:u w:val="single"/>
    </w:rPr>
  </w:style>
  <w:style w:type="paragraph" w:styleId="ListParagraph">
    <w:name w:val="List Paragraph"/>
    <w:basedOn w:val="Normal"/>
    <w:uiPriority w:val="99"/>
    <w:qFormat/>
    <w:rsid w:val="00123A49"/>
    <w:pPr>
      <w:ind w:left="720"/>
      <w:contextualSpacing/>
    </w:pPr>
  </w:style>
  <w:style w:type="paragraph" w:styleId="BalloonText">
    <w:name w:val="Balloon Text"/>
    <w:basedOn w:val="Normal"/>
    <w:link w:val="BalloonTextChar"/>
    <w:uiPriority w:val="99"/>
    <w:semiHidden/>
    <w:rsid w:val="00123A49"/>
    <w:rPr>
      <w:rFonts w:ascii="Tahoma" w:hAnsi="Tahoma" w:cs="Tahoma"/>
      <w:sz w:val="16"/>
      <w:szCs w:val="16"/>
    </w:rPr>
  </w:style>
  <w:style w:type="character" w:customStyle="1" w:styleId="BalloonTextChar">
    <w:name w:val="Texte de bulles Car"/>
    <w:basedOn w:val="DefaultParagraphFont"/>
    <w:link w:val="BalloonText"/>
    <w:uiPriority w:val="99"/>
    <w:semiHidden/>
    <w:locked/>
    <w:rsid w:val="00123A49"/>
    <w:rPr>
      <w:rFonts w:ascii="Tahoma" w:hAnsi="Tahoma" w:cs="Tahoma"/>
      <w:sz w:val="16"/>
      <w:szCs w:val="16"/>
      <w:lang w:eastAsia="en-GB"/>
    </w:rPr>
  </w:style>
  <w:style w:type="character" w:styleId="FollowedHyperlink">
    <w:name w:val="FollowedHyperlink"/>
    <w:basedOn w:val="DefaultParagraphFont"/>
    <w:uiPriority w:val="99"/>
    <w:semiHidden/>
    <w:rsid w:val="00123A49"/>
    <w:rPr>
      <w:rFonts w:cs="Times New Roman"/>
      <w:color w:val="800080"/>
      <w:u w:val="single"/>
    </w:rPr>
  </w:style>
  <w:style w:type="paragraph" w:styleId="FootnoteText">
    <w:name w:val="footnote text"/>
    <w:basedOn w:val="Normal"/>
    <w:link w:val="FootnoteTextChar"/>
    <w:uiPriority w:val="99"/>
    <w:semiHidden/>
    <w:rsid w:val="00123A49"/>
    <w:rPr>
      <w:sz w:val="20"/>
      <w:szCs w:val="20"/>
    </w:rPr>
  </w:style>
  <w:style w:type="character" w:customStyle="1" w:styleId="FootnoteTextChar">
    <w:name w:val="Note de bas de page Car"/>
    <w:basedOn w:val="DefaultParagraphFont"/>
    <w:link w:val="FootnoteText"/>
    <w:uiPriority w:val="99"/>
    <w:semiHidden/>
    <w:locked/>
    <w:rsid w:val="00123A49"/>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123A49"/>
    <w:rPr>
      <w:rFonts w:cs="Times New Roman"/>
      <w:vertAlign w:val="superscript"/>
    </w:rPr>
  </w:style>
  <w:style w:type="character" w:styleId="CommentReference">
    <w:name w:val="annotation reference"/>
    <w:basedOn w:val="DefaultParagraphFont"/>
    <w:uiPriority w:val="99"/>
    <w:semiHidden/>
    <w:rsid w:val="00123A49"/>
    <w:rPr>
      <w:rFonts w:cs="Times New Roman"/>
      <w:sz w:val="16"/>
      <w:szCs w:val="16"/>
    </w:rPr>
  </w:style>
  <w:style w:type="paragraph" w:styleId="CommentText">
    <w:name w:val="annotation text"/>
    <w:basedOn w:val="Normal"/>
    <w:link w:val="CommentTextChar"/>
    <w:uiPriority w:val="99"/>
    <w:semiHidden/>
    <w:rsid w:val="00123A49"/>
    <w:rPr>
      <w:sz w:val="20"/>
      <w:szCs w:val="20"/>
    </w:rPr>
  </w:style>
  <w:style w:type="character" w:customStyle="1" w:styleId="CommentTextChar">
    <w:name w:val="Commentaire Car"/>
    <w:basedOn w:val="DefaultParagraphFont"/>
    <w:link w:val="CommentText"/>
    <w:uiPriority w:val="99"/>
    <w:semiHidden/>
    <w:locked/>
    <w:rsid w:val="00123A49"/>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123A49"/>
    <w:rPr>
      <w:b/>
      <w:bCs/>
    </w:rPr>
  </w:style>
  <w:style w:type="character" w:customStyle="1" w:styleId="CommentSubjectChar">
    <w:name w:val="Objet du commentaire Car"/>
    <w:basedOn w:val="CommentTextChar"/>
    <w:link w:val="CommentSubject"/>
    <w:uiPriority w:val="99"/>
    <w:semiHidden/>
    <w:locked/>
    <w:rsid w:val="00123A49"/>
    <w:rPr>
      <w:rFonts w:ascii="Times New Roman" w:hAnsi="Times New Roman" w:cs="Times New Roman"/>
      <w:b/>
      <w:bCs/>
      <w:sz w:val="20"/>
      <w:szCs w:val="20"/>
      <w:lang w:eastAsia="en-GB"/>
    </w:rPr>
  </w:style>
  <w:style w:type="paragraph" w:styleId="NormalWeb">
    <w:name w:val="Normal (Web)"/>
    <w:basedOn w:val="Normal"/>
    <w:uiPriority w:val="99"/>
    <w:semiHidden/>
    <w:rsid w:val="00123A49"/>
    <w:pPr>
      <w:spacing w:before="100" w:beforeAutospacing="1" w:after="100" w:afterAutospacing="1"/>
    </w:pPr>
    <w:rPr>
      <w:color w:val="000000"/>
    </w:rPr>
  </w:style>
  <w:style w:type="character" w:styleId="Strong">
    <w:name w:val="Strong"/>
    <w:basedOn w:val="DefaultParagraphFont"/>
    <w:uiPriority w:val="99"/>
    <w:qFormat/>
    <w:rsid w:val="00123A49"/>
    <w:rPr>
      <w:rFonts w:cs="Times New Roman"/>
      <w:b/>
      <w:bCs/>
    </w:rPr>
  </w:style>
  <w:style w:type="character" w:customStyle="1" w:styleId="authors">
    <w:name w:val="authors"/>
    <w:basedOn w:val="DefaultParagraphFont"/>
    <w:uiPriority w:val="99"/>
    <w:rsid w:val="00123A49"/>
    <w:rPr>
      <w:rFonts w:cs="Times New Roman"/>
    </w:rPr>
  </w:style>
  <w:style w:type="character" w:customStyle="1" w:styleId="publicationyear">
    <w:name w:val="publicationyear"/>
    <w:basedOn w:val="DefaultParagraphFont"/>
    <w:uiPriority w:val="99"/>
    <w:rsid w:val="00123A49"/>
    <w:rPr>
      <w:rFonts w:cs="Times New Roman"/>
    </w:rPr>
  </w:style>
  <w:style w:type="character" w:customStyle="1" w:styleId="Title1">
    <w:name w:val="Title1"/>
    <w:basedOn w:val="DefaultParagraphFont"/>
    <w:uiPriority w:val="99"/>
    <w:rsid w:val="00123A49"/>
    <w:rPr>
      <w:rFonts w:cs="Times New Roman"/>
    </w:rPr>
  </w:style>
  <w:style w:type="character" w:customStyle="1" w:styleId="journal">
    <w:name w:val="journal"/>
    <w:basedOn w:val="DefaultParagraphFont"/>
    <w:uiPriority w:val="99"/>
    <w:rsid w:val="00123A49"/>
    <w:rPr>
      <w:rFonts w:cs="Times New Roman"/>
    </w:rPr>
  </w:style>
  <w:style w:type="character" w:customStyle="1" w:styleId="volume">
    <w:name w:val="volume"/>
    <w:basedOn w:val="DefaultParagraphFont"/>
    <w:uiPriority w:val="99"/>
    <w:rsid w:val="00123A49"/>
    <w:rPr>
      <w:rFonts w:cs="Times New Roman"/>
    </w:rPr>
  </w:style>
  <w:style w:type="character" w:customStyle="1" w:styleId="pages">
    <w:name w:val="pages"/>
    <w:basedOn w:val="DefaultParagraphFont"/>
    <w:uiPriority w:val="99"/>
    <w:rsid w:val="00123A49"/>
    <w:rPr>
      <w:rFonts w:cs="Times New Roman"/>
    </w:rPr>
  </w:style>
  <w:style w:type="character" w:customStyle="1" w:styleId="ref-journal">
    <w:name w:val="ref-journal"/>
    <w:basedOn w:val="DefaultParagraphFont"/>
    <w:uiPriority w:val="99"/>
    <w:rsid w:val="00123A49"/>
    <w:rPr>
      <w:rFonts w:cs="Times New Roman"/>
    </w:rPr>
  </w:style>
  <w:style w:type="character" w:customStyle="1" w:styleId="ref-vol">
    <w:name w:val="ref-vol"/>
    <w:basedOn w:val="DefaultParagraphFont"/>
    <w:uiPriority w:val="99"/>
    <w:rsid w:val="00123A49"/>
    <w:rPr>
      <w:rFonts w:cs="Times New Roman"/>
    </w:rPr>
  </w:style>
  <w:style w:type="paragraph" w:styleId="Header">
    <w:name w:val="header"/>
    <w:basedOn w:val="Normal"/>
    <w:link w:val="HeaderChar"/>
    <w:uiPriority w:val="99"/>
    <w:rsid w:val="00123A49"/>
    <w:pPr>
      <w:tabs>
        <w:tab w:val="center" w:pos="4513"/>
        <w:tab w:val="right" w:pos="9026"/>
      </w:tabs>
    </w:pPr>
  </w:style>
  <w:style w:type="character" w:customStyle="1" w:styleId="HeaderChar">
    <w:name w:val="En-tête Car"/>
    <w:basedOn w:val="DefaultParagraphFont"/>
    <w:link w:val="Header"/>
    <w:uiPriority w:val="99"/>
    <w:locked/>
    <w:rsid w:val="00123A49"/>
    <w:rPr>
      <w:rFonts w:ascii="Times New Roman" w:hAnsi="Times New Roman" w:cs="Times New Roman"/>
      <w:sz w:val="24"/>
      <w:szCs w:val="24"/>
      <w:lang w:eastAsia="en-GB"/>
    </w:rPr>
  </w:style>
  <w:style w:type="paragraph" w:styleId="Footer">
    <w:name w:val="footer"/>
    <w:basedOn w:val="Normal"/>
    <w:link w:val="FooterChar"/>
    <w:uiPriority w:val="99"/>
    <w:rsid w:val="00123A49"/>
    <w:pPr>
      <w:tabs>
        <w:tab w:val="center" w:pos="4513"/>
        <w:tab w:val="right" w:pos="9026"/>
      </w:tabs>
    </w:pPr>
  </w:style>
  <w:style w:type="character" w:customStyle="1" w:styleId="FooterChar">
    <w:name w:val="Pied de page Car"/>
    <w:basedOn w:val="DefaultParagraphFont"/>
    <w:link w:val="Footer"/>
    <w:uiPriority w:val="99"/>
    <w:locked/>
    <w:rsid w:val="00123A49"/>
    <w:rPr>
      <w:rFonts w:ascii="Times New Roman" w:hAnsi="Times New Roman" w:cs="Times New Roman"/>
      <w:sz w:val="24"/>
      <w:szCs w:val="24"/>
      <w:lang w:eastAsia="en-GB"/>
    </w:rPr>
  </w:style>
  <w:style w:type="character" w:customStyle="1" w:styleId="readingname274e9623cc48c54a85fb418a9cebf21a">
    <w:name w:val="reading_name_274e9623cc48c54a85fb418a9cebf21a"/>
    <w:basedOn w:val="DefaultParagraphFont"/>
    <w:uiPriority w:val="99"/>
    <w:rsid w:val="00123A49"/>
    <w:rPr>
      <w:rFonts w:cs="Times New Roman"/>
    </w:rPr>
  </w:style>
  <w:style w:type="character" w:customStyle="1" w:styleId="personname">
    <w:name w:val="person_name"/>
    <w:basedOn w:val="DefaultParagraphFont"/>
    <w:uiPriority w:val="99"/>
    <w:rsid w:val="00123A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entaur.reading.ac.uk/2789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entaur.reading.ac.uk/view/creators/90004640.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etoc.mimas.ac.uk/wzgw?db=etoc&amp;terms=RN329146015&amp;field=zid" TargetMode="External"/><Relationship Id="rId5" Type="http://schemas.openxmlformats.org/officeDocument/2006/relationships/settings" Target="settings.xml"/><Relationship Id="rId15" Type="http://schemas.openxmlformats.org/officeDocument/2006/relationships/hyperlink" Target="http://centaur.reading.ac.uk/28906/"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sa-marie.henderson@york.ac.uk" TargetMode="External"/><Relationship Id="rId14" Type="http://schemas.openxmlformats.org/officeDocument/2006/relationships/hyperlink" Target="http://centaur.reading.ac.uk/view/creators/900046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E10DF-89C8-4392-BF27-CD7324A8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6961</Words>
  <Characters>38912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Reading comprehension impairments in autism spectrum disorders</vt:lpstr>
    </vt:vector>
  </TitlesOfParts>
  <Company>University of Oxford</Company>
  <LinksUpToDate>false</LinksUpToDate>
  <CharactersWithSpaces>45782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comprehension impairments in autism spectrum disorders</dc:title>
  <dc:subject/>
  <dc:creator>Lisa Henderson</dc:creator>
  <cp:keywords/>
  <dc:description/>
  <cp:lastModifiedBy>Administrator</cp:lastModifiedBy>
  <cp:revision>13</cp:revision>
  <dcterms:created xsi:type="dcterms:W3CDTF">2014-06-27T19:04:00Z</dcterms:created>
  <dcterms:modified xsi:type="dcterms:W3CDTF">2014-07-16T08:25:00Z</dcterms:modified>
</cp:coreProperties>
</file>