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5CF32" w14:textId="77777777" w:rsidR="00D91204" w:rsidRDefault="00D91204" w:rsidP="00083CAA">
      <w:pPr>
        <w:spacing w:after="0"/>
        <w:rPr>
          <w:b/>
        </w:rPr>
      </w:pPr>
    </w:p>
    <w:p w14:paraId="479A80F6" w14:textId="77777777" w:rsidR="00D91204" w:rsidRDefault="00D91204" w:rsidP="00083CAA">
      <w:pPr>
        <w:spacing w:after="0"/>
        <w:rPr>
          <w:b/>
        </w:rPr>
      </w:pPr>
    </w:p>
    <w:p w14:paraId="0D52485E" w14:textId="77777777" w:rsidR="00EE7082" w:rsidRDefault="00EE7082" w:rsidP="00083CAA">
      <w:pPr>
        <w:spacing w:after="0"/>
        <w:rPr>
          <w:sz w:val="26"/>
          <w:szCs w:val="26"/>
        </w:rPr>
      </w:pPr>
    </w:p>
    <w:p w14:paraId="28AF0050" w14:textId="77777777" w:rsidR="00083CAA" w:rsidRDefault="00D821E7" w:rsidP="00083CAA">
      <w:pPr>
        <w:spacing w:after="0"/>
        <w:rPr>
          <w:sz w:val="26"/>
          <w:szCs w:val="26"/>
        </w:rPr>
      </w:pPr>
      <w:bookmarkStart w:id="0" w:name="_GoBack"/>
      <w:r w:rsidRPr="005D4B7B">
        <w:rPr>
          <w:sz w:val="26"/>
          <w:szCs w:val="26"/>
        </w:rPr>
        <w:t>Poi</w:t>
      </w:r>
      <w:r w:rsidR="000D64B3" w:rsidRPr="005D4B7B">
        <w:rPr>
          <w:sz w:val="26"/>
          <w:szCs w:val="26"/>
        </w:rPr>
        <w:t>nt-of-</w:t>
      </w:r>
      <w:r w:rsidR="00D91204" w:rsidRPr="005D4B7B">
        <w:rPr>
          <w:sz w:val="26"/>
          <w:szCs w:val="26"/>
        </w:rPr>
        <w:t>care viral load testing for</w:t>
      </w:r>
      <w:r w:rsidRPr="005D4B7B">
        <w:rPr>
          <w:sz w:val="26"/>
          <w:szCs w:val="26"/>
        </w:rPr>
        <w:t xml:space="preserve"> sub-Saharan Africa: </w:t>
      </w:r>
      <w:r w:rsidR="00E138B5" w:rsidRPr="005D4B7B">
        <w:rPr>
          <w:sz w:val="26"/>
          <w:szCs w:val="26"/>
        </w:rPr>
        <w:t xml:space="preserve">informing a </w:t>
      </w:r>
      <w:r w:rsidRPr="005D4B7B">
        <w:rPr>
          <w:sz w:val="26"/>
          <w:szCs w:val="26"/>
        </w:rPr>
        <w:t>target product profile</w:t>
      </w:r>
    </w:p>
    <w:bookmarkEnd w:id="0"/>
    <w:p w14:paraId="5CABBF73" w14:textId="77777777" w:rsidR="000458AA" w:rsidRDefault="000458AA" w:rsidP="00083CAA">
      <w:pPr>
        <w:spacing w:after="0"/>
      </w:pPr>
    </w:p>
    <w:p w14:paraId="43DC7612" w14:textId="77777777" w:rsidR="000458AA" w:rsidRPr="00A82EB1" w:rsidRDefault="000458AA" w:rsidP="00083CAA">
      <w:pPr>
        <w:spacing w:after="0"/>
        <w:rPr>
          <w:color w:val="C0504D" w:themeColor="accent2"/>
        </w:rPr>
      </w:pPr>
    </w:p>
    <w:p w14:paraId="3B0B4242" w14:textId="77777777" w:rsidR="00A82EB1" w:rsidRPr="00A82EB1" w:rsidRDefault="00A82EB1" w:rsidP="00083CAA">
      <w:pPr>
        <w:spacing w:after="0"/>
        <w:rPr>
          <w:color w:val="C0504D" w:themeColor="accent2"/>
        </w:rPr>
      </w:pPr>
    </w:p>
    <w:p w14:paraId="6E5152FB" w14:textId="2FA056E0" w:rsidR="00A82EB1" w:rsidRDefault="00602522" w:rsidP="00083CAA">
      <w:pPr>
        <w:spacing w:after="0"/>
        <w:rPr>
          <w:rFonts w:cs="Tahoma"/>
          <w:lang w:val="en-US" w:eastAsia="ja-JP"/>
        </w:rPr>
      </w:pPr>
      <w:r>
        <w:rPr>
          <w:rFonts w:cs="Tahoma"/>
          <w:lang w:val="en-US" w:eastAsia="ja-JP"/>
        </w:rPr>
        <w:t>Andrew Phillips</w:t>
      </w:r>
      <w:r w:rsidR="00B9133F" w:rsidRPr="00B9133F">
        <w:rPr>
          <w:rFonts w:cs="Tahoma"/>
          <w:vertAlign w:val="superscript"/>
          <w:lang w:val="en-US" w:eastAsia="ja-JP"/>
        </w:rPr>
        <w:t>1</w:t>
      </w:r>
    </w:p>
    <w:p w14:paraId="641B10E2" w14:textId="65E67E48" w:rsidR="00602522" w:rsidRDefault="00602522" w:rsidP="00602522">
      <w:pPr>
        <w:spacing w:after="0"/>
        <w:rPr>
          <w:rFonts w:cs="Tahoma"/>
          <w:lang w:val="en-US" w:eastAsia="ja-JP"/>
        </w:rPr>
      </w:pPr>
      <w:r>
        <w:rPr>
          <w:rFonts w:cs="Tahoma"/>
          <w:lang w:val="en-US" w:eastAsia="ja-JP"/>
        </w:rPr>
        <w:t>Valentina Cambiano</w:t>
      </w:r>
      <w:r w:rsidR="00B9133F" w:rsidRPr="00B9133F">
        <w:rPr>
          <w:rFonts w:cs="Tahoma"/>
          <w:vertAlign w:val="superscript"/>
          <w:lang w:val="en-US" w:eastAsia="ja-JP"/>
        </w:rPr>
        <w:t>1</w:t>
      </w:r>
    </w:p>
    <w:p w14:paraId="7D638970" w14:textId="56878C29" w:rsidR="00602522" w:rsidRDefault="00602522" w:rsidP="00602522">
      <w:pPr>
        <w:spacing w:after="0"/>
        <w:rPr>
          <w:rFonts w:cs="Tahoma"/>
          <w:lang w:val="en-US" w:eastAsia="ja-JP"/>
        </w:rPr>
      </w:pPr>
      <w:proofErr w:type="spellStart"/>
      <w:r>
        <w:rPr>
          <w:rFonts w:cs="Tahoma"/>
          <w:lang w:val="en-US" w:eastAsia="ja-JP"/>
        </w:rPr>
        <w:t>Fumiyo</w:t>
      </w:r>
      <w:proofErr w:type="spellEnd"/>
      <w:r>
        <w:rPr>
          <w:rFonts w:cs="Tahoma"/>
          <w:lang w:val="en-US" w:eastAsia="ja-JP"/>
        </w:rPr>
        <w:t xml:space="preserve"> </w:t>
      </w:r>
      <w:r w:rsidRPr="00A82EB1">
        <w:rPr>
          <w:rFonts w:cs="Tahoma"/>
          <w:lang w:val="en-US" w:eastAsia="ja-JP"/>
        </w:rPr>
        <w:t>Nakagawa</w:t>
      </w:r>
      <w:r w:rsidR="00B9133F" w:rsidRPr="00B9133F">
        <w:rPr>
          <w:rFonts w:cs="Tahoma"/>
          <w:vertAlign w:val="superscript"/>
          <w:lang w:val="en-US" w:eastAsia="ja-JP"/>
        </w:rPr>
        <w:t>1</w:t>
      </w:r>
    </w:p>
    <w:p w14:paraId="34F0DE01" w14:textId="18DD7D62" w:rsidR="00602522" w:rsidRDefault="00602522" w:rsidP="00083CAA">
      <w:pPr>
        <w:spacing w:after="0"/>
        <w:rPr>
          <w:rFonts w:cs="Tahoma"/>
          <w:lang w:val="en-US" w:eastAsia="ja-JP"/>
        </w:rPr>
      </w:pPr>
      <w:r w:rsidRPr="00A82EB1">
        <w:rPr>
          <w:rFonts w:cs="Tahoma"/>
          <w:lang w:val="en-US" w:eastAsia="ja-JP"/>
        </w:rPr>
        <w:t>Deborah Ford</w:t>
      </w:r>
      <w:r w:rsidR="00B9133F">
        <w:rPr>
          <w:rFonts w:cs="Tahoma"/>
          <w:vertAlign w:val="superscript"/>
          <w:lang w:val="en-US" w:eastAsia="ja-JP"/>
        </w:rPr>
        <w:t>2</w:t>
      </w:r>
      <w:r w:rsidRPr="00A82EB1">
        <w:rPr>
          <w:rFonts w:cs="Tahoma"/>
          <w:lang w:val="en-US" w:eastAsia="ja-JP"/>
        </w:rPr>
        <w:t xml:space="preserve"> </w:t>
      </w:r>
    </w:p>
    <w:p w14:paraId="236120E3" w14:textId="54381DAD" w:rsidR="00602522" w:rsidRDefault="00602522" w:rsidP="00602522">
      <w:pPr>
        <w:spacing w:after="0"/>
        <w:rPr>
          <w:rFonts w:cs="Tahoma"/>
          <w:lang w:val="en-US" w:eastAsia="ja-JP"/>
        </w:rPr>
      </w:pPr>
      <w:proofErr w:type="spellStart"/>
      <w:r>
        <w:rPr>
          <w:rFonts w:cs="Tahoma"/>
          <w:lang w:val="en-US" w:eastAsia="ja-JP"/>
        </w:rPr>
        <w:t>Tsitsi</w:t>
      </w:r>
      <w:proofErr w:type="spellEnd"/>
      <w:r>
        <w:rPr>
          <w:rFonts w:cs="Tahoma"/>
          <w:lang w:val="en-US" w:eastAsia="ja-JP"/>
        </w:rPr>
        <w:t xml:space="preserve"> Apollo</w:t>
      </w:r>
      <w:r w:rsidR="00B9133F">
        <w:rPr>
          <w:rFonts w:cs="Tahoma"/>
          <w:vertAlign w:val="superscript"/>
          <w:lang w:val="en-US" w:eastAsia="ja-JP"/>
        </w:rPr>
        <w:t>3</w:t>
      </w:r>
    </w:p>
    <w:p w14:paraId="603772B0" w14:textId="6BE4CFEA" w:rsidR="00602522" w:rsidRDefault="00602522" w:rsidP="00602522">
      <w:pPr>
        <w:spacing w:after="0"/>
        <w:rPr>
          <w:rFonts w:cs="Tahoma"/>
          <w:lang w:val="en-US" w:eastAsia="ja-JP"/>
        </w:rPr>
      </w:pPr>
      <w:r>
        <w:rPr>
          <w:rFonts w:cs="Tahoma"/>
          <w:lang w:val="en-US" w:eastAsia="ja-JP"/>
        </w:rPr>
        <w:t>Joseph Murungu</w:t>
      </w:r>
      <w:r w:rsidR="00B9133F">
        <w:rPr>
          <w:rFonts w:cs="Tahoma"/>
          <w:vertAlign w:val="superscript"/>
          <w:lang w:val="en-US" w:eastAsia="ja-JP"/>
        </w:rPr>
        <w:t>3</w:t>
      </w:r>
    </w:p>
    <w:p w14:paraId="38132B53" w14:textId="31656A8E" w:rsidR="00A82EB1" w:rsidRDefault="00A82EB1" w:rsidP="00083CAA">
      <w:pPr>
        <w:spacing w:after="0"/>
        <w:rPr>
          <w:rFonts w:cs="Tahoma"/>
          <w:lang w:val="en-US" w:eastAsia="ja-JP"/>
        </w:rPr>
      </w:pPr>
      <w:r w:rsidRPr="00A82EB1">
        <w:rPr>
          <w:rFonts w:cs="Tahoma"/>
          <w:lang w:val="en-US" w:eastAsia="ja-JP"/>
        </w:rPr>
        <w:t>Christine Rousseau</w:t>
      </w:r>
      <w:r w:rsidR="00B9133F">
        <w:rPr>
          <w:rFonts w:cs="Tahoma"/>
          <w:vertAlign w:val="superscript"/>
          <w:lang w:val="en-US" w:eastAsia="ja-JP"/>
        </w:rPr>
        <w:t>4</w:t>
      </w:r>
      <w:r w:rsidRPr="00A82EB1">
        <w:rPr>
          <w:rFonts w:cs="Tahoma"/>
          <w:lang w:val="en-US" w:eastAsia="ja-JP"/>
        </w:rPr>
        <w:t xml:space="preserve"> </w:t>
      </w:r>
    </w:p>
    <w:p w14:paraId="76A26E57" w14:textId="460635DD" w:rsidR="00A82EB1" w:rsidRDefault="00A82EB1" w:rsidP="00083CAA">
      <w:pPr>
        <w:spacing w:after="0"/>
        <w:rPr>
          <w:rFonts w:cs="Tahoma"/>
          <w:lang w:val="en-US" w:eastAsia="ja-JP"/>
        </w:rPr>
      </w:pPr>
      <w:r w:rsidRPr="00A82EB1">
        <w:rPr>
          <w:rFonts w:cs="Tahoma"/>
          <w:lang w:val="en-US" w:eastAsia="ja-JP"/>
        </w:rPr>
        <w:t>Geoff Garnett</w:t>
      </w:r>
      <w:r w:rsidR="00B9133F">
        <w:rPr>
          <w:rFonts w:cs="Tahoma"/>
          <w:vertAlign w:val="superscript"/>
          <w:lang w:val="en-US" w:eastAsia="ja-JP"/>
        </w:rPr>
        <w:t>4</w:t>
      </w:r>
      <w:r w:rsidR="00C03697" w:rsidRPr="00A82EB1">
        <w:rPr>
          <w:rFonts w:cs="Tahoma"/>
          <w:lang w:val="en-US" w:eastAsia="ja-JP"/>
        </w:rPr>
        <w:t xml:space="preserve"> </w:t>
      </w:r>
      <w:r w:rsidRPr="00A82EB1">
        <w:rPr>
          <w:rFonts w:cs="Tahoma"/>
          <w:lang w:val="en-US" w:eastAsia="ja-JP"/>
        </w:rPr>
        <w:t xml:space="preserve"> </w:t>
      </w:r>
    </w:p>
    <w:p w14:paraId="3836A01D" w14:textId="689DF1E8" w:rsidR="00B9133F" w:rsidRDefault="00B9133F" w:rsidP="00B9133F">
      <w:pPr>
        <w:spacing w:after="0"/>
        <w:rPr>
          <w:rFonts w:cs="Tahoma"/>
          <w:lang w:val="en-US" w:eastAsia="ja-JP"/>
        </w:rPr>
      </w:pPr>
      <w:r w:rsidRPr="00A82EB1">
        <w:rPr>
          <w:rFonts w:cs="Tahoma"/>
          <w:lang w:val="en-US" w:eastAsia="ja-JP"/>
        </w:rPr>
        <w:t>Peter Ehrenkranz</w:t>
      </w:r>
      <w:r>
        <w:rPr>
          <w:rFonts w:cs="Tahoma"/>
          <w:vertAlign w:val="superscript"/>
          <w:lang w:val="en-US" w:eastAsia="ja-JP"/>
        </w:rPr>
        <w:t>4</w:t>
      </w:r>
    </w:p>
    <w:p w14:paraId="5C476002" w14:textId="2918F256" w:rsidR="00A82EB1" w:rsidRDefault="00A82EB1" w:rsidP="00083CAA">
      <w:pPr>
        <w:spacing w:after="0"/>
        <w:rPr>
          <w:rFonts w:cs="Tahoma"/>
          <w:lang w:val="en-US" w:eastAsia="ja-JP"/>
        </w:rPr>
      </w:pPr>
      <w:proofErr w:type="spellStart"/>
      <w:r w:rsidRPr="00A82EB1">
        <w:rPr>
          <w:rFonts w:cs="Tahoma"/>
          <w:lang w:val="en-US" w:eastAsia="ja-JP"/>
        </w:rPr>
        <w:t>Loveleen</w:t>
      </w:r>
      <w:proofErr w:type="spellEnd"/>
      <w:r w:rsidRPr="00A82EB1">
        <w:rPr>
          <w:rFonts w:cs="Tahoma"/>
          <w:lang w:val="en-US" w:eastAsia="ja-JP"/>
        </w:rPr>
        <w:t xml:space="preserve"> Bansi-</w:t>
      </w:r>
      <w:r w:rsidR="00C03697" w:rsidRPr="00A82EB1">
        <w:rPr>
          <w:rFonts w:cs="Tahoma"/>
          <w:lang w:val="en-US" w:eastAsia="ja-JP"/>
        </w:rPr>
        <w:t>Matharu</w:t>
      </w:r>
      <w:r w:rsidR="00B9133F" w:rsidRPr="00B9133F">
        <w:rPr>
          <w:rFonts w:cs="Tahoma"/>
          <w:vertAlign w:val="superscript"/>
          <w:lang w:val="en-US" w:eastAsia="ja-JP"/>
        </w:rPr>
        <w:t>1</w:t>
      </w:r>
    </w:p>
    <w:p w14:paraId="1A6350BA" w14:textId="1E9829B5" w:rsidR="00A82EB1" w:rsidRDefault="00A82EB1" w:rsidP="00083CAA">
      <w:pPr>
        <w:spacing w:after="0"/>
        <w:rPr>
          <w:rFonts w:cs="Tahoma"/>
          <w:lang w:val="en-US" w:eastAsia="ja-JP"/>
        </w:rPr>
      </w:pPr>
      <w:r w:rsidRPr="00A82EB1">
        <w:rPr>
          <w:rFonts w:cs="Tahoma"/>
          <w:lang w:val="en-US" w:eastAsia="ja-JP"/>
        </w:rPr>
        <w:t>Lara Vojnov</w:t>
      </w:r>
      <w:r w:rsidR="00B9133F">
        <w:rPr>
          <w:rFonts w:cs="Tahoma"/>
          <w:vertAlign w:val="superscript"/>
          <w:lang w:val="en-US" w:eastAsia="ja-JP"/>
        </w:rPr>
        <w:t>5</w:t>
      </w:r>
      <w:r w:rsidR="00B9133F" w:rsidRPr="00B9133F">
        <w:rPr>
          <w:rFonts w:cs="Tahoma"/>
          <w:lang w:val="en-US" w:eastAsia="ja-JP"/>
        </w:rPr>
        <w:t xml:space="preserve"> </w:t>
      </w:r>
    </w:p>
    <w:p w14:paraId="4CAC116C" w14:textId="560C708D" w:rsidR="00A82EB1" w:rsidRDefault="00C03697" w:rsidP="00083CAA">
      <w:pPr>
        <w:spacing w:after="0"/>
        <w:rPr>
          <w:rFonts w:cs="Tahoma"/>
          <w:lang w:val="en-US" w:eastAsia="ja-JP"/>
        </w:rPr>
      </w:pPr>
      <w:r w:rsidRPr="00A82EB1">
        <w:rPr>
          <w:rFonts w:cs="Tahoma"/>
          <w:lang w:val="en-US" w:eastAsia="ja-JP"/>
        </w:rPr>
        <w:t>Zachary Katz</w:t>
      </w:r>
      <w:r w:rsidR="00B9133F">
        <w:rPr>
          <w:rFonts w:cs="Tahoma"/>
          <w:vertAlign w:val="superscript"/>
          <w:lang w:val="en-US" w:eastAsia="ja-JP"/>
        </w:rPr>
        <w:t>5</w:t>
      </w:r>
    </w:p>
    <w:p w14:paraId="7BAA5B77" w14:textId="517C06B5" w:rsidR="00EC1F44" w:rsidRDefault="00A82EB1" w:rsidP="00083CAA">
      <w:pPr>
        <w:spacing w:after="0"/>
        <w:rPr>
          <w:rFonts w:cs="Tahoma"/>
          <w:lang w:val="en-US" w:eastAsia="ja-JP"/>
        </w:rPr>
      </w:pPr>
      <w:r>
        <w:rPr>
          <w:rFonts w:cs="Tahoma"/>
          <w:lang w:val="en-US" w:eastAsia="ja-JP"/>
        </w:rPr>
        <w:t>Rosanna Peeling</w:t>
      </w:r>
      <w:r w:rsidR="00B9133F">
        <w:rPr>
          <w:rFonts w:cs="Tahoma"/>
          <w:vertAlign w:val="superscript"/>
          <w:lang w:val="en-US" w:eastAsia="ja-JP"/>
        </w:rPr>
        <w:t>6</w:t>
      </w:r>
    </w:p>
    <w:p w14:paraId="2D66C53E" w14:textId="6BC14BA6" w:rsidR="00A82EB1" w:rsidRPr="00A82EB1" w:rsidRDefault="00A82EB1" w:rsidP="00083CAA">
      <w:pPr>
        <w:spacing w:after="0"/>
      </w:pPr>
      <w:r w:rsidRPr="00A82EB1">
        <w:rPr>
          <w:rFonts w:cs="Tahoma"/>
          <w:lang w:val="en-US" w:eastAsia="ja-JP"/>
        </w:rPr>
        <w:t>Paul Revill</w:t>
      </w:r>
      <w:r w:rsidR="00B9133F">
        <w:rPr>
          <w:rFonts w:cs="Tahoma"/>
          <w:vertAlign w:val="superscript"/>
          <w:lang w:val="en-US" w:eastAsia="ja-JP"/>
        </w:rPr>
        <w:t>7</w:t>
      </w:r>
    </w:p>
    <w:p w14:paraId="5183D6A5" w14:textId="77777777" w:rsidR="00083CAA" w:rsidRPr="00A82EB1" w:rsidRDefault="00083CAA" w:rsidP="00083CAA">
      <w:pPr>
        <w:spacing w:after="0"/>
        <w:rPr>
          <w:color w:val="808080" w:themeColor="background1" w:themeShade="80"/>
        </w:rPr>
      </w:pPr>
    </w:p>
    <w:p w14:paraId="49CE5FDE" w14:textId="0F0ED0F9" w:rsidR="000100D3" w:rsidRPr="00B9133F" w:rsidRDefault="00B9133F" w:rsidP="00083CAA">
      <w:pPr>
        <w:spacing w:after="0"/>
      </w:pPr>
      <w:r w:rsidRPr="00B9133F">
        <w:t>1. Department of Infection and Population Health, University College London</w:t>
      </w:r>
      <w:r w:rsidR="009F51D1">
        <w:t xml:space="preserve"> (UCL)</w:t>
      </w:r>
      <w:r w:rsidRPr="00B9133F">
        <w:t>, Rowland Hill Street, London NW3 2PF</w:t>
      </w:r>
      <w:r w:rsidR="009F51D1">
        <w:t>, UK.</w:t>
      </w:r>
    </w:p>
    <w:p w14:paraId="0D409F05" w14:textId="66D75A8D" w:rsidR="00EE7082" w:rsidRPr="00A82EB1" w:rsidRDefault="00B9133F" w:rsidP="00083CAA">
      <w:pPr>
        <w:spacing w:after="0"/>
      </w:pPr>
      <w:r>
        <w:t xml:space="preserve">2. </w:t>
      </w:r>
      <w:r w:rsidRPr="00B9133F">
        <w:t>MRC Clinical Trials Unit at UCL, In</w:t>
      </w:r>
      <w:r w:rsidRPr="00B9133F">
        <w:softHyphen/>
        <w:t>stitute of Clinical Trials &amp; Methodology, Aviation House, 125 Kingsway, London WC2B 6NH, UK.</w:t>
      </w:r>
    </w:p>
    <w:p w14:paraId="03212E5B" w14:textId="44A50D1F" w:rsidR="0017000D" w:rsidRPr="00B9133F" w:rsidRDefault="009F51D1" w:rsidP="00083CAA">
      <w:pPr>
        <w:spacing w:after="0"/>
      </w:pPr>
      <w:r>
        <w:t xml:space="preserve">3. </w:t>
      </w:r>
      <w:r w:rsidRPr="009F51D1">
        <w:t>Ministry of Health and Child Care, P. O CY 1122, Causeway, Harare, Zimbabwe.</w:t>
      </w:r>
    </w:p>
    <w:p w14:paraId="5803F57A" w14:textId="2B7FAC51" w:rsidR="00B9133F" w:rsidRDefault="009F51D1" w:rsidP="00083CAA">
      <w:pPr>
        <w:spacing w:after="0"/>
      </w:pPr>
      <w:r>
        <w:t xml:space="preserve">4. </w:t>
      </w:r>
      <w:r w:rsidRPr="009F51D1">
        <w:t>Bill and Melinda Gates Foundation, PO Box 23350, Seattle, Washington 98199, USA</w:t>
      </w:r>
      <w:r>
        <w:t>.</w:t>
      </w:r>
    </w:p>
    <w:p w14:paraId="6BE42C2D" w14:textId="5D3C87B3" w:rsidR="009F51D1" w:rsidRDefault="009F51D1" w:rsidP="00083CAA">
      <w:pPr>
        <w:spacing w:after="0"/>
      </w:pPr>
      <w:r>
        <w:t xml:space="preserve">5. </w:t>
      </w:r>
      <w:r w:rsidRPr="009F51D1">
        <w:t>Clinton Health Access Initiative, 383 Dorchester Avenue, Boston, Massachusetts 02127, USA.</w:t>
      </w:r>
    </w:p>
    <w:p w14:paraId="7A8FA2F6" w14:textId="5AA9FF96" w:rsidR="009F51D1" w:rsidRPr="00B9133F" w:rsidRDefault="009F51D1" w:rsidP="00083CAA">
      <w:pPr>
        <w:spacing w:after="0"/>
      </w:pPr>
      <w:r>
        <w:t xml:space="preserve">6. </w:t>
      </w:r>
      <w:r w:rsidRPr="009F51D1">
        <w:t>Clinical Research Department, London School of Hygiene and Tropical Medicine, Keppel St, London WC1E 7HT, UK</w:t>
      </w:r>
      <w:r>
        <w:t>.</w:t>
      </w:r>
    </w:p>
    <w:p w14:paraId="2AED2F99" w14:textId="2F9AA49E" w:rsidR="00B9133F" w:rsidRPr="00B9133F" w:rsidRDefault="009F51D1" w:rsidP="00083CAA">
      <w:pPr>
        <w:spacing w:after="0"/>
      </w:pPr>
      <w:r>
        <w:t>7</w:t>
      </w:r>
      <w:r w:rsidR="00B9133F">
        <w:t xml:space="preserve">. </w:t>
      </w:r>
      <w:r w:rsidR="00B9133F" w:rsidRPr="00B9133F">
        <w:t>Centre for Health Eco</w:t>
      </w:r>
      <w:r w:rsidR="00B9133F" w:rsidRPr="00B9133F">
        <w:softHyphen/>
        <w:t xml:space="preserve">nomics, University of York, </w:t>
      </w:r>
      <w:proofErr w:type="spellStart"/>
      <w:r w:rsidR="00B9133F" w:rsidRPr="00B9133F">
        <w:t>Heslington</w:t>
      </w:r>
      <w:proofErr w:type="spellEnd"/>
      <w:r w:rsidR="00B9133F" w:rsidRPr="00B9133F">
        <w:t>, York YO10 5DD, UK</w:t>
      </w:r>
      <w:r w:rsidR="00B9133F">
        <w:t>.</w:t>
      </w:r>
    </w:p>
    <w:p w14:paraId="6847D819" w14:textId="77777777" w:rsidR="00B9133F" w:rsidRPr="00A82EB1" w:rsidRDefault="00B9133F" w:rsidP="00083CAA">
      <w:pPr>
        <w:spacing w:after="0"/>
        <w:rPr>
          <w:color w:val="808080" w:themeColor="background1" w:themeShade="80"/>
        </w:rPr>
      </w:pPr>
    </w:p>
    <w:p w14:paraId="3E75C493" w14:textId="77777777" w:rsidR="007B61A9" w:rsidRPr="00A82EB1" w:rsidRDefault="007B61A9"/>
    <w:p w14:paraId="47031A1D" w14:textId="77777777" w:rsidR="00FB3470" w:rsidRPr="00A82EB1" w:rsidRDefault="00783033">
      <w:r w:rsidRPr="00A82EB1">
        <w:t>Running head:</w:t>
      </w:r>
      <w:r w:rsidR="006357D4" w:rsidRPr="00A82EB1">
        <w:t xml:space="preserve">  Modelling point-of-care viral load testing</w:t>
      </w:r>
    </w:p>
    <w:p w14:paraId="5D0D94CA" w14:textId="77777777" w:rsidR="00FB3470" w:rsidRPr="00A82EB1" w:rsidRDefault="00FB3470"/>
    <w:p w14:paraId="6D11E372" w14:textId="70568A96" w:rsidR="00712118" w:rsidRPr="00746661" w:rsidRDefault="00263480">
      <w:r w:rsidRPr="00B9133F">
        <w:t xml:space="preserve">Word count: </w:t>
      </w:r>
      <w:r w:rsidR="00035EC3" w:rsidRPr="00035EC3">
        <w:rPr>
          <w:highlight w:val="lightGray"/>
        </w:rPr>
        <w:t>2384</w:t>
      </w:r>
    </w:p>
    <w:p w14:paraId="624F72FD" w14:textId="77777777" w:rsidR="00712118" w:rsidRPr="00746661" w:rsidRDefault="00712118"/>
    <w:p w14:paraId="1CFB4761" w14:textId="130CF8CA" w:rsidR="005D4B7B" w:rsidRPr="00FB3470" w:rsidRDefault="005D4B7B">
      <w:r w:rsidRPr="00FB3470">
        <w:br w:type="page"/>
      </w:r>
    </w:p>
    <w:p w14:paraId="6EEE0431" w14:textId="77777777" w:rsidR="005D4B7B" w:rsidRPr="008C734B" w:rsidRDefault="005D4B7B">
      <w:r>
        <w:rPr>
          <w:b/>
        </w:rPr>
        <w:lastRenderedPageBreak/>
        <w:t>Abstract</w:t>
      </w:r>
      <w:r w:rsidR="008C734B">
        <w:rPr>
          <w:b/>
        </w:rPr>
        <w:t xml:space="preserve">   </w:t>
      </w:r>
      <w:r w:rsidR="00EE7082">
        <w:rPr>
          <w:b/>
        </w:rPr>
        <w:t>(</w:t>
      </w:r>
      <w:r w:rsidR="008C734B" w:rsidRPr="008C734B">
        <w:t>100 word limit</w:t>
      </w:r>
      <w:r w:rsidR="00EE7082">
        <w:t>)</w:t>
      </w:r>
    </w:p>
    <w:p w14:paraId="400645C6" w14:textId="78B713F2" w:rsidR="00391CCB" w:rsidRDefault="003E48BE" w:rsidP="001666B6">
      <w:pPr>
        <w:spacing w:after="0"/>
        <w:rPr>
          <w:color w:val="1F4E79"/>
          <w:sz w:val="21"/>
          <w:szCs w:val="21"/>
        </w:rPr>
      </w:pPr>
      <w:r w:rsidRPr="001F34F3">
        <w:t xml:space="preserve">Point-of-care (POC) viral load tests are being developed </w:t>
      </w:r>
      <w:r>
        <w:t>to</w:t>
      </w:r>
      <w:r w:rsidRPr="001F34F3">
        <w:t xml:space="preserve"> monitor </w:t>
      </w:r>
      <w:r>
        <w:t>patients</w:t>
      </w:r>
      <w:r w:rsidRPr="001F34F3">
        <w:t xml:space="preserve"> on anti</w:t>
      </w:r>
      <w:r>
        <w:t>retroviral therapy</w:t>
      </w:r>
      <w:r w:rsidRPr="001F34F3">
        <w:t xml:space="preserve"> </w:t>
      </w:r>
      <w:r>
        <w:t xml:space="preserve">(ART) </w:t>
      </w:r>
      <w:r w:rsidRPr="001F34F3">
        <w:t xml:space="preserve">in </w:t>
      </w:r>
      <w:r>
        <w:t>sub-</w:t>
      </w:r>
      <w:r w:rsidRPr="001F34F3">
        <w:t xml:space="preserve">Saharan Africa.  </w:t>
      </w:r>
      <w:r w:rsidR="001A1FC0">
        <w:t>Test design</w:t>
      </w:r>
      <w:r w:rsidR="006F39A1">
        <w:t xml:space="preserve"> involves </w:t>
      </w:r>
      <w:r w:rsidR="001A1FC0">
        <w:t xml:space="preserve">trade-offs between test </w:t>
      </w:r>
      <w:r w:rsidR="001A1FC0" w:rsidRPr="001F34F3">
        <w:t xml:space="preserve">attributes, including accuracy, complexity, robustness and cost.  </w:t>
      </w:r>
      <w:r w:rsidR="006F39A1">
        <w:t xml:space="preserve">With use of a </w:t>
      </w:r>
      <w:r w:rsidR="001F34F3" w:rsidRPr="001F34F3">
        <w:t>model of the HIV epidemic and ART programme in Zimbabwe</w:t>
      </w:r>
      <w:r w:rsidR="006F39A1">
        <w:t>, we find t</w:t>
      </w:r>
      <w:r w:rsidR="001F34F3" w:rsidRPr="001F34F3">
        <w:t xml:space="preserve">he </w:t>
      </w:r>
      <w:r w:rsidR="006F39A1">
        <w:t xml:space="preserve">attributes of a viral load testing approach most influential for </w:t>
      </w:r>
      <w:r w:rsidR="00263480">
        <w:t>cost-effectiveness</w:t>
      </w:r>
      <w:r w:rsidR="006F39A1">
        <w:t xml:space="preserve"> are avoidance of a high proportion of failed tests or results not received, use of an approach that be</w:t>
      </w:r>
      <w:r w:rsidR="00B03CCD">
        <w:t>st facilitates retention on ART</w:t>
      </w:r>
      <w:r w:rsidR="006F39A1">
        <w:t xml:space="preserve">, and the ability to facilitate greater use of differentiated care, including through expanding coverage of testing availability.  </w:t>
      </w:r>
    </w:p>
    <w:p w14:paraId="228517DD" w14:textId="77777777" w:rsidR="001666B6" w:rsidRPr="001666B6" w:rsidRDefault="001666B6" w:rsidP="001666B6">
      <w:pPr>
        <w:spacing w:after="0"/>
        <w:rPr>
          <w:color w:val="1F4E79"/>
          <w:sz w:val="21"/>
          <w:szCs w:val="21"/>
        </w:rPr>
      </w:pPr>
    </w:p>
    <w:p w14:paraId="73B10DEF" w14:textId="6A707EA3" w:rsidR="001666B6" w:rsidRDefault="001666B6">
      <w:pPr>
        <w:rPr>
          <w:b/>
        </w:rPr>
      </w:pPr>
      <w:r w:rsidRPr="00746661">
        <w:t xml:space="preserve">Keywords: HIV, </w:t>
      </w:r>
      <w:r>
        <w:t xml:space="preserve">viral load, point-of-care, diagnostics, monitoring, </w:t>
      </w:r>
      <w:r w:rsidRPr="00746661">
        <w:t>economic evaluation</w:t>
      </w:r>
      <w:r w:rsidRPr="00FB3470">
        <w:t xml:space="preserve">, </w:t>
      </w:r>
      <w:r>
        <w:t xml:space="preserve">cost-effectiveness, </w:t>
      </w:r>
      <w:r w:rsidRPr="00FB3470">
        <w:t>model, antiretroviral therapy</w:t>
      </w:r>
    </w:p>
    <w:p w14:paraId="66F130F4" w14:textId="77777777" w:rsidR="001666B6" w:rsidRDefault="001666B6" w:rsidP="00083CAA">
      <w:pPr>
        <w:spacing w:after="0"/>
        <w:rPr>
          <w:b/>
        </w:rPr>
      </w:pPr>
    </w:p>
    <w:p w14:paraId="4BAF8084" w14:textId="77777777" w:rsidR="00083CAA" w:rsidRDefault="00083CAA" w:rsidP="00083CAA">
      <w:pPr>
        <w:spacing w:after="0"/>
        <w:rPr>
          <w:b/>
        </w:rPr>
      </w:pPr>
      <w:r>
        <w:rPr>
          <w:b/>
        </w:rPr>
        <w:t>Introduction</w:t>
      </w:r>
    </w:p>
    <w:p w14:paraId="26E21BA6" w14:textId="77777777" w:rsidR="00083CAA" w:rsidRDefault="00083CAA" w:rsidP="00083CAA">
      <w:pPr>
        <w:spacing w:after="0"/>
      </w:pPr>
    </w:p>
    <w:p w14:paraId="4B4B8506" w14:textId="522B0E81" w:rsidR="00896E15" w:rsidRPr="00896E15" w:rsidRDefault="003E48BE" w:rsidP="000100D3">
      <w:pPr>
        <w:spacing w:after="0"/>
      </w:pPr>
      <w:r w:rsidRPr="00896E15">
        <w:t>Since 2013, the World Health Organization (WHO) recommend</w:t>
      </w:r>
      <w:r>
        <w:t>s viral load as the preferred approach for monitoring patients</w:t>
      </w:r>
      <w:r w:rsidRPr="00896E15">
        <w:t xml:space="preserve"> on </w:t>
      </w:r>
      <w:proofErr w:type="gramStart"/>
      <w:r w:rsidRPr="00896E15">
        <w:t>ART(</w:t>
      </w:r>
      <w:proofErr w:type="gramEnd"/>
      <w:r w:rsidRPr="00896E15">
        <w:t xml:space="preserve">1).  </w:t>
      </w:r>
      <w:r>
        <w:t>While i</w:t>
      </w:r>
      <w:r w:rsidRPr="00896E15">
        <w:t xml:space="preserve">n high income countries, tests are done on plasma samples obtained </w:t>
      </w:r>
      <w:r>
        <w:t>by</w:t>
      </w:r>
      <w:r w:rsidRPr="00896E15">
        <w:t xml:space="preserve"> venepuncture</w:t>
      </w:r>
      <w:r>
        <w:t>, in low income settings a more realistic option, particularly for</w:t>
      </w:r>
      <w:r w:rsidRPr="00896E15">
        <w:t xml:space="preserve"> more rural areas, is the use of dried blood spots (DBS), which are relatively easily collected and can be transported to regional l</w:t>
      </w:r>
      <w:r>
        <w:t>aboratories in stable condition</w:t>
      </w:r>
      <w:r w:rsidR="00896E15" w:rsidRPr="00896E15">
        <w:t xml:space="preserve">(1,2).   The </w:t>
      </w:r>
      <w:r w:rsidR="000B12BB">
        <w:t xml:space="preserve">intent is that the </w:t>
      </w:r>
      <w:r w:rsidR="00896E15" w:rsidRPr="00896E15">
        <w:t xml:space="preserve">result is received back at the clinic after a few weeks and acted upon at the next clinic visit.   Although this approach is increasingly being </w:t>
      </w:r>
      <w:proofErr w:type="gramStart"/>
      <w:r w:rsidR="00896E15" w:rsidRPr="00896E15">
        <w:t>adopted(</w:t>
      </w:r>
      <w:proofErr w:type="gramEnd"/>
      <w:r w:rsidR="00896E15" w:rsidRPr="00896E15">
        <w:t xml:space="preserve">3), there remains interest in development of tests which require minimal user training and can be performed in </w:t>
      </w:r>
      <w:r w:rsidR="00295D5A">
        <w:t xml:space="preserve">the </w:t>
      </w:r>
      <w:r w:rsidR="00896E15" w:rsidRPr="00896E15">
        <w:t xml:space="preserve">clinic while a patient is present (i.e. at point-of-care (POC))(4-7).  </w:t>
      </w:r>
      <w:r w:rsidR="000B12BB">
        <w:t>Several</w:t>
      </w:r>
      <w:r w:rsidR="00896E15" w:rsidRPr="00896E15">
        <w:t xml:space="preserve"> </w:t>
      </w:r>
      <w:r w:rsidR="000B12BB">
        <w:t>attributes</w:t>
      </w:r>
      <w:r w:rsidR="00896E15" w:rsidRPr="00896E15">
        <w:t xml:space="preserve"> need to be considered when designing </w:t>
      </w:r>
      <w:r w:rsidR="000B12BB">
        <w:t xml:space="preserve">such </w:t>
      </w:r>
      <w:r w:rsidR="00896E15" w:rsidRPr="00896E15">
        <w:t>test</w:t>
      </w:r>
      <w:r w:rsidR="000B12BB">
        <w:t>s</w:t>
      </w:r>
      <w:r w:rsidR="00896E15" w:rsidRPr="00896E15">
        <w:t xml:space="preserve">, including accuracy, whether the format allows easy use by </w:t>
      </w:r>
      <w:r w:rsidR="00295D5A">
        <w:t xml:space="preserve">lower cadres of </w:t>
      </w:r>
      <w:r w:rsidR="00896E15" w:rsidRPr="00896E15">
        <w:t>st</w:t>
      </w:r>
      <w:r w:rsidR="000B12BB">
        <w:t>aff and</w:t>
      </w:r>
      <w:r w:rsidR="00896E15" w:rsidRPr="00896E15">
        <w:t xml:space="preserve"> where there is not a reliable electrici</w:t>
      </w:r>
      <w:r w:rsidR="000B12BB">
        <w:t xml:space="preserve">ty supply.   Developers must balance </w:t>
      </w:r>
      <w:r w:rsidR="00896E15" w:rsidRPr="00896E15">
        <w:t xml:space="preserve">trade-offs between these attributes </w:t>
      </w:r>
      <w:r w:rsidR="000B12BB">
        <w:t>and with the</w:t>
      </w:r>
      <w:r w:rsidR="00896E15" w:rsidRPr="00896E15">
        <w:t xml:space="preserve"> cost at which a test can be produced.</w:t>
      </w:r>
      <w:r w:rsidR="000100D3">
        <w:t xml:space="preserve">  </w:t>
      </w:r>
      <w:r w:rsidR="00896E15" w:rsidRPr="00896E15">
        <w:t>Here we use a modelling approach to explore the impacts of different test attributes</w:t>
      </w:r>
      <w:r w:rsidR="006F39A1">
        <w:t xml:space="preserve"> on cost-effectiveness</w:t>
      </w:r>
      <w:r w:rsidR="000B12BB">
        <w:t xml:space="preserve"> and target test</w:t>
      </w:r>
      <w:r w:rsidR="00896E15" w:rsidRPr="00896E15">
        <w:t xml:space="preserve"> costs.  This builds upon previous work on POC viral load tests in relation to </w:t>
      </w:r>
      <w:r w:rsidR="00295D5A">
        <w:t xml:space="preserve">the </w:t>
      </w:r>
      <w:r w:rsidR="00896E15" w:rsidRPr="00896E15">
        <w:t xml:space="preserve">use of </w:t>
      </w:r>
      <w:proofErr w:type="gramStart"/>
      <w:r w:rsidR="00896E15" w:rsidRPr="00896E15">
        <w:t>DBS(</w:t>
      </w:r>
      <w:proofErr w:type="gramEnd"/>
      <w:r w:rsidR="00896E15" w:rsidRPr="00896E15">
        <w:t xml:space="preserve">8).  </w:t>
      </w:r>
    </w:p>
    <w:p w14:paraId="2B3B093A" w14:textId="77777777" w:rsidR="001E6FF3" w:rsidRPr="001E6FF3" w:rsidRDefault="001E6FF3" w:rsidP="0083714E">
      <w:pPr>
        <w:spacing w:after="0"/>
      </w:pPr>
    </w:p>
    <w:p w14:paraId="12DDCBF1" w14:textId="77777777" w:rsidR="00395BF4" w:rsidRDefault="00395BF4" w:rsidP="0083714E">
      <w:pPr>
        <w:spacing w:after="0"/>
        <w:rPr>
          <w:i/>
        </w:rPr>
      </w:pPr>
    </w:p>
    <w:p w14:paraId="61E5962B" w14:textId="77777777" w:rsidR="00083CAA" w:rsidRDefault="00F1121A" w:rsidP="00083CAA">
      <w:pPr>
        <w:spacing w:after="0"/>
        <w:rPr>
          <w:b/>
        </w:rPr>
      </w:pPr>
      <w:r>
        <w:rPr>
          <w:b/>
        </w:rPr>
        <w:t>Methods</w:t>
      </w:r>
    </w:p>
    <w:p w14:paraId="3FBEE39C" w14:textId="77777777" w:rsidR="003F6F40" w:rsidRDefault="003F6F40" w:rsidP="00083CAA">
      <w:pPr>
        <w:spacing w:after="0"/>
        <w:rPr>
          <w:b/>
        </w:rPr>
      </w:pPr>
    </w:p>
    <w:p w14:paraId="192EB868" w14:textId="58D853FD" w:rsidR="00896E15" w:rsidRPr="00295D5A" w:rsidRDefault="00896E15" w:rsidP="00896E15">
      <w:pPr>
        <w:rPr>
          <w:lang w:val="en-US"/>
        </w:rPr>
      </w:pPr>
      <w:r w:rsidRPr="00896E15">
        <w:rPr>
          <w:lang w:val="en-US"/>
        </w:rPr>
        <w:t>We use an existing individual</w:t>
      </w:r>
      <w:r w:rsidR="002A7DCA">
        <w:rPr>
          <w:lang w:val="en-US"/>
        </w:rPr>
        <w:t>-</w:t>
      </w:r>
      <w:r w:rsidRPr="00896E15">
        <w:rPr>
          <w:lang w:val="en-US"/>
        </w:rPr>
        <w:t>based stochastic model of heterosexual transmission, progression</w:t>
      </w:r>
      <w:r w:rsidR="00DC74CD">
        <w:rPr>
          <w:lang w:val="en-US"/>
        </w:rPr>
        <w:t xml:space="preserve"> and treatment of HIV infection, which </w:t>
      </w:r>
      <w:r w:rsidRPr="00896E15">
        <w:rPr>
          <w:lang w:val="en-US"/>
        </w:rPr>
        <w:t xml:space="preserve">incorporates </w:t>
      </w:r>
      <w:r w:rsidR="009C63D6">
        <w:rPr>
          <w:lang w:val="en-US"/>
        </w:rPr>
        <w:t xml:space="preserve">treatment adherence </w:t>
      </w:r>
      <w:r w:rsidRPr="00896E15">
        <w:rPr>
          <w:lang w:val="en-US"/>
        </w:rPr>
        <w:t>and acquisition and transmission of drug resistance mutations</w:t>
      </w:r>
      <w:r w:rsidR="00DC74CD">
        <w:rPr>
          <w:lang w:val="en-US"/>
        </w:rPr>
        <w:t xml:space="preserve"> </w:t>
      </w:r>
      <w:r w:rsidR="00DC74CD" w:rsidRPr="00896E15">
        <w:rPr>
          <w:lang w:val="en-US"/>
        </w:rPr>
        <w:t>((8); Supplementary Material)</w:t>
      </w:r>
      <w:r w:rsidRPr="00896E15">
        <w:rPr>
          <w:lang w:val="en-US"/>
        </w:rPr>
        <w:t xml:space="preserve">.  </w:t>
      </w:r>
      <w:r w:rsidR="00416DBE">
        <w:rPr>
          <w:lang w:val="en-US"/>
        </w:rPr>
        <w:t xml:space="preserve">The epidemic and ART program data simulated </w:t>
      </w:r>
      <w:r w:rsidR="00295D5A">
        <w:rPr>
          <w:lang w:val="en-US"/>
        </w:rPr>
        <w:t xml:space="preserve">are those from </w:t>
      </w:r>
      <w:r w:rsidR="00416DBE">
        <w:t>Zimbabwe</w:t>
      </w:r>
      <w:r w:rsidRPr="00896E15">
        <w:t xml:space="preserve"> (Supplementary Table S1, Figure S1)</w:t>
      </w:r>
      <w:r w:rsidRPr="00896E15">
        <w:rPr>
          <w:lang w:val="en-US"/>
        </w:rPr>
        <w:t>.</w:t>
      </w:r>
      <w:r w:rsidRPr="00896E15">
        <w:t xml:space="preserve">  We assumed that CD4 count monitoring </w:t>
      </w:r>
      <w:r w:rsidR="00965131">
        <w:t>i</w:t>
      </w:r>
      <w:r w:rsidRPr="00896E15">
        <w:t xml:space="preserve">s </w:t>
      </w:r>
      <w:r w:rsidR="00965131">
        <w:t xml:space="preserve">used </w:t>
      </w:r>
      <w:r w:rsidR="00271F9B" w:rsidRPr="00896E15">
        <w:t>prior to 2017</w:t>
      </w:r>
      <w:r w:rsidR="00271F9B">
        <w:t>,</w:t>
      </w:r>
      <w:r w:rsidR="00271F9B" w:rsidRPr="00896E15">
        <w:t xml:space="preserve"> </w:t>
      </w:r>
      <w:r w:rsidRPr="00896E15">
        <w:t xml:space="preserve">but </w:t>
      </w:r>
      <w:r w:rsidR="00965131">
        <w:t>that viral load monitoring using</w:t>
      </w:r>
      <w:r w:rsidRPr="00896E15">
        <w:t xml:space="preserve"> the </w:t>
      </w:r>
      <w:r w:rsidR="00965131">
        <w:t>WHO-</w:t>
      </w:r>
      <w:r w:rsidRPr="00896E15">
        <w:t xml:space="preserve">recommended 1000 cps/mL threshold for switching is </w:t>
      </w:r>
      <w:r w:rsidR="00965131">
        <w:t xml:space="preserve">then </w:t>
      </w:r>
      <w:r w:rsidRPr="00896E15">
        <w:t xml:space="preserve">introduced.  Measurement of viral load </w:t>
      </w:r>
      <w:r w:rsidRPr="00896E15">
        <w:rPr>
          <w:u w:val="single"/>
        </w:rPr>
        <w:t>&gt;</w:t>
      </w:r>
      <w:r w:rsidRPr="00896E15">
        <w:t xml:space="preserve">1000 cps/mL </w:t>
      </w:r>
      <w:r w:rsidR="00965131">
        <w:t>prompts</w:t>
      </w:r>
      <w:r w:rsidRPr="00896E15">
        <w:t xml:space="preserve"> enhanced adherence support</w:t>
      </w:r>
      <w:r w:rsidR="00B9133F">
        <w:t xml:space="preserve"> </w:t>
      </w:r>
      <w:r w:rsidRPr="00896E15">
        <w:t>with a follow-up measure taken after 3 months.  A measured v</w:t>
      </w:r>
      <w:proofErr w:type="spellStart"/>
      <w:r w:rsidRPr="00896E15">
        <w:rPr>
          <w:lang w:val="en-US"/>
        </w:rPr>
        <w:t>iral</w:t>
      </w:r>
      <w:proofErr w:type="spellEnd"/>
      <w:r w:rsidRPr="00896E15">
        <w:rPr>
          <w:lang w:val="en-US"/>
        </w:rPr>
        <w:t xml:space="preserve"> l</w:t>
      </w:r>
      <w:r w:rsidR="00965131">
        <w:rPr>
          <w:lang w:val="en-US"/>
        </w:rPr>
        <w:t>oad &lt;1</w:t>
      </w:r>
      <w:r w:rsidRPr="00896E15">
        <w:rPr>
          <w:lang w:val="en-US"/>
        </w:rPr>
        <w:t xml:space="preserve">000 cps/mL in the past year is assumed to lead to a reduction in non-ART </w:t>
      </w:r>
      <w:r w:rsidR="00295D5A">
        <w:rPr>
          <w:lang w:val="en-US"/>
        </w:rPr>
        <w:t>programmatic</w:t>
      </w:r>
      <w:r w:rsidRPr="00896E15">
        <w:rPr>
          <w:lang w:val="en-US"/>
        </w:rPr>
        <w:t xml:space="preserve"> costs due to </w:t>
      </w:r>
      <w:r w:rsidRPr="00896E15">
        <w:t xml:space="preserve">lowered frequency of clinic visits in people on first line ART </w:t>
      </w:r>
      <w:r w:rsidR="00AA15DA">
        <w:t>(</w:t>
      </w:r>
      <w:r w:rsidRPr="00896E15">
        <w:rPr>
          <w:i/>
        </w:rPr>
        <w:t>viral load-informed differentiated care</w:t>
      </w:r>
      <w:r w:rsidRPr="00896E15">
        <w:t>(8)</w:t>
      </w:r>
      <w:r w:rsidR="00AA15DA">
        <w:t>)</w:t>
      </w:r>
      <w:r w:rsidRPr="00896E15">
        <w:t xml:space="preserve">.  </w:t>
      </w:r>
    </w:p>
    <w:p w14:paraId="425DC7FC" w14:textId="442C9C36" w:rsidR="00295D5A" w:rsidRPr="009C20E3" w:rsidRDefault="00295D5A" w:rsidP="00295D5A">
      <w:pPr>
        <w:spacing w:after="0"/>
        <w:rPr>
          <w:color w:val="7F7F7F" w:themeColor="text1" w:themeTint="80"/>
        </w:rPr>
      </w:pPr>
      <w:r w:rsidRPr="00896E15">
        <w:lastRenderedPageBreak/>
        <w:t>A range of attributes relating to the viral load test</w:t>
      </w:r>
      <w:r>
        <w:t>ing approach</w:t>
      </w:r>
      <w:r w:rsidRPr="00896E15">
        <w:t xml:space="preserve"> </w:t>
      </w:r>
      <w:r>
        <w:t>we</w:t>
      </w:r>
      <w:r w:rsidRPr="00896E15">
        <w:t xml:space="preserve">re </w:t>
      </w:r>
      <w:r>
        <w:t>considered</w:t>
      </w:r>
      <w:r w:rsidRPr="00896E15">
        <w:t>, outlined in Table 1a.   We first simulate</w:t>
      </w:r>
      <w:r>
        <w:t>d</w:t>
      </w:r>
      <w:r w:rsidRPr="00896E15">
        <w:t xml:space="preserve"> o</w:t>
      </w:r>
      <w:r w:rsidR="00B9133F">
        <w:t>utcomes over the years 2017-2036</w:t>
      </w:r>
      <w:r w:rsidRPr="00896E15">
        <w:t xml:space="preserve"> based on a set of viral load testing attributes that </w:t>
      </w:r>
      <w:r>
        <w:t>we</w:t>
      </w:r>
      <w:r w:rsidRPr="00896E15">
        <w:t>re considered to approximate</w:t>
      </w:r>
      <w:r>
        <w:t xml:space="preserve"> the</w:t>
      </w:r>
      <w:r w:rsidRPr="00896E15">
        <w:t xml:space="preserve"> use of a DBS approach and the current situatio</w:t>
      </w:r>
      <w:r w:rsidR="00B9133F">
        <w:t>n in Zimbabwe (</w:t>
      </w:r>
      <w:r w:rsidRPr="00896E15">
        <w:t xml:space="preserve">“base </w:t>
      </w:r>
      <w:r>
        <w:t>DBS scenario”; Table 1a</w:t>
      </w:r>
      <w:r w:rsidRPr="00896E15">
        <w:t>).  We then explore</w:t>
      </w:r>
      <w:r>
        <w:t>d</w:t>
      </w:r>
      <w:r w:rsidRPr="00896E15">
        <w:t xml:space="preserve"> the effects of changes in the </w:t>
      </w:r>
      <w:r w:rsidR="00B9133F">
        <w:t>attribute values</w:t>
      </w:r>
      <w:r w:rsidRPr="00896E15">
        <w:t xml:space="preserve">, one-by-one, on population health.  Population health is measure using disability-adjusted life years (DALYs) incurred; a generic measure of the burden of disease in the population capturing both premature mortality and morbidity as a result of ill health.  </w:t>
      </w:r>
    </w:p>
    <w:p w14:paraId="3596B1AC" w14:textId="77777777" w:rsidR="00896E15" w:rsidRPr="00896E15" w:rsidRDefault="00896E15" w:rsidP="00896E15">
      <w:pPr>
        <w:spacing w:after="0"/>
        <w:rPr>
          <w:i/>
        </w:rPr>
      </w:pPr>
    </w:p>
    <w:p w14:paraId="712ADDD0" w14:textId="68C3C3E5" w:rsidR="00896E15" w:rsidRPr="00896E15" w:rsidRDefault="00896E15" w:rsidP="00896E15">
      <w:pPr>
        <w:spacing w:after="0"/>
      </w:pPr>
      <w:r w:rsidRPr="00896E15">
        <w:t xml:space="preserve">In the DBS </w:t>
      </w:r>
      <w:r w:rsidR="00EE2580">
        <w:t xml:space="preserve">base </w:t>
      </w:r>
      <w:r w:rsidRPr="00896E15">
        <w:t xml:space="preserve">scenario it is assumed </w:t>
      </w:r>
      <w:r w:rsidR="00295D5A">
        <w:t xml:space="preserve">that </w:t>
      </w:r>
      <w:r w:rsidRPr="00896E15">
        <w:t>75% of the population have access to viral load testing</w:t>
      </w:r>
      <w:r w:rsidR="00347806">
        <w:t>,</w:t>
      </w:r>
      <w:r w:rsidRPr="00896E15">
        <w:t xml:space="preserve"> while the remainder would continue to be monitored using CD4 count testing.  In previous modelling results, DALY outcomes from monitoring the CD4 count using a switch criteria based on a threshold of 200 /mm</w:t>
      </w:r>
      <w:r w:rsidRPr="00896E15">
        <w:rPr>
          <w:vertAlign w:val="superscript"/>
        </w:rPr>
        <w:t>3</w:t>
      </w:r>
      <w:r w:rsidRPr="00896E15">
        <w:t xml:space="preserve"> were not appreciably different from monitoring with viral </w:t>
      </w:r>
      <w:r w:rsidRPr="002A7DCA">
        <w:t>load</w:t>
      </w:r>
      <w:r w:rsidR="002A7DCA" w:rsidRPr="002A7DCA">
        <w:t>(8</w:t>
      </w:r>
      <w:r w:rsidRPr="002A7DCA">
        <w:t>).</w:t>
      </w:r>
      <w:r w:rsidRPr="00896E15">
        <w:t xml:space="preserve">   Here, </w:t>
      </w:r>
      <w:r w:rsidR="003F5AC0">
        <w:t xml:space="preserve">so that we can capture the effects of viral load </w:t>
      </w:r>
      <w:r w:rsidR="00295D5A">
        <w:t>testing</w:t>
      </w:r>
      <w:r w:rsidR="003F5AC0">
        <w:t xml:space="preserve"> as intended to be used, </w:t>
      </w:r>
      <w:r w:rsidRPr="00896E15">
        <w:t xml:space="preserve">we assume a </w:t>
      </w:r>
      <w:r w:rsidR="003F5AC0">
        <w:t>relatively high</w:t>
      </w:r>
      <w:r w:rsidRPr="00896E15">
        <w:t xml:space="preserve"> rate of switch to second line when the failure criteria have been met with viral</w:t>
      </w:r>
      <w:r w:rsidR="005F5B33">
        <w:t xml:space="preserve"> load monitoring (0.2 /3 months) which is</w:t>
      </w:r>
      <w:r w:rsidR="003F5AC0">
        <w:t xml:space="preserve"> greater</w:t>
      </w:r>
      <w:r w:rsidRPr="00896E15">
        <w:t xml:space="preserve"> than </w:t>
      </w:r>
      <w:r w:rsidR="003F5AC0">
        <w:t xml:space="preserve">the </w:t>
      </w:r>
      <w:r w:rsidR="003F5AC0" w:rsidRPr="00896E15">
        <w:t xml:space="preserve">0.001 /3 months </w:t>
      </w:r>
      <w:r w:rsidRPr="00896E15">
        <w:t xml:space="preserve">with CD4 count monitoring (based on the number of people on second line </w:t>
      </w:r>
      <w:proofErr w:type="gramStart"/>
      <w:r w:rsidRPr="00896E15">
        <w:t>ART(</w:t>
      </w:r>
      <w:proofErr w:type="gramEnd"/>
      <w:r w:rsidRPr="00896E15">
        <w:t xml:space="preserve">9)).     </w:t>
      </w:r>
    </w:p>
    <w:p w14:paraId="148C5599" w14:textId="77777777" w:rsidR="00896E15" w:rsidRDefault="00896E15" w:rsidP="007B55C3">
      <w:pPr>
        <w:spacing w:after="0"/>
        <w:rPr>
          <w:i/>
        </w:rPr>
      </w:pPr>
    </w:p>
    <w:p w14:paraId="66BC8ABF" w14:textId="77777777" w:rsidR="000177B5" w:rsidRDefault="00F32131" w:rsidP="007B55C3">
      <w:pPr>
        <w:spacing w:after="0"/>
        <w:rPr>
          <w:i/>
        </w:rPr>
      </w:pPr>
      <w:r w:rsidRPr="006A5669">
        <w:rPr>
          <w:i/>
        </w:rPr>
        <w:t>Economic considerations</w:t>
      </w:r>
      <w:r w:rsidR="006A5669">
        <w:rPr>
          <w:i/>
        </w:rPr>
        <w:t xml:space="preserve"> </w:t>
      </w:r>
    </w:p>
    <w:p w14:paraId="6A23BC1E" w14:textId="77777777" w:rsidR="00896E15" w:rsidRDefault="00896E15" w:rsidP="007B55C3">
      <w:pPr>
        <w:spacing w:after="0"/>
        <w:rPr>
          <w:i/>
        </w:rPr>
      </w:pPr>
    </w:p>
    <w:p w14:paraId="5477D4F9" w14:textId="3D6DB067" w:rsidR="00A816CD" w:rsidRDefault="00295D5A" w:rsidP="00295D5A">
      <w:r w:rsidRPr="00C97D66">
        <w:rPr>
          <w:highlight w:val="lightGray"/>
        </w:rPr>
        <w:t>Programme costs resulting from different viral load testing attributes were also considered</w:t>
      </w:r>
      <w:r w:rsidR="00A816CD" w:rsidRPr="00C97D66">
        <w:rPr>
          <w:highlight w:val="lightGray"/>
        </w:rPr>
        <w:t>, enabling assessment of c</w:t>
      </w:r>
      <w:r w:rsidRPr="00C97D66">
        <w:rPr>
          <w:highlight w:val="lightGray"/>
        </w:rPr>
        <w:t xml:space="preserve">ost-effectiveness on the basis of </w:t>
      </w:r>
      <w:r w:rsidRPr="00143747">
        <w:rPr>
          <w:i/>
          <w:highlight w:val="lightGray"/>
        </w:rPr>
        <w:t>net DALY</w:t>
      </w:r>
      <w:r w:rsidR="00143747" w:rsidRPr="00143747">
        <w:rPr>
          <w:i/>
          <w:highlight w:val="lightGray"/>
        </w:rPr>
        <w:t>s</w:t>
      </w:r>
      <w:r w:rsidR="00D31687" w:rsidRPr="00C97D66">
        <w:rPr>
          <w:highlight w:val="lightGray"/>
        </w:rPr>
        <w:t xml:space="preserve">.  This is a measure analogous to net health </w:t>
      </w:r>
      <w:r w:rsidR="00D31687" w:rsidRPr="00E534D9">
        <w:rPr>
          <w:highlight w:val="lightGray"/>
        </w:rPr>
        <w:t>benefit</w:t>
      </w:r>
      <w:r w:rsidR="00C97D66" w:rsidRPr="00E534D9">
        <w:rPr>
          <w:highlight w:val="lightGray"/>
        </w:rPr>
        <w:t xml:space="preserve"> (</w:t>
      </w:r>
      <w:r w:rsidR="00E534D9" w:rsidRPr="00E534D9">
        <w:rPr>
          <w:highlight w:val="lightGray"/>
        </w:rPr>
        <w:t>10</w:t>
      </w:r>
      <w:r w:rsidR="00C97D66" w:rsidRPr="00E534D9">
        <w:rPr>
          <w:highlight w:val="lightGray"/>
        </w:rPr>
        <w:t>)</w:t>
      </w:r>
      <w:r w:rsidR="00D31687" w:rsidRPr="00E534D9">
        <w:rPr>
          <w:highlight w:val="lightGray"/>
        </w:rPr>
        <w:t xml:space="preserve"> and </w:t>
      </w:r>
      <w:r w:rsidR="00A816CD" w:rsidRPr="00E534D9">
        <w:rPr>
          <w:highlight w:val="lightGray"/>
        </w:rPr>
        <w:t xml:space="preserve">compares </w:t>
      </w:r>
      <w:r w:rsidR="00A816CD" w:rsidRPr="00C97D66">
        <w:rPr>
          <w:highlight w:val="lightGray"/>
        </w:rPr>
        <w:t>the health gains from an intervention with the health losses associated with displaced or forgone intervention which can no longer be provided due to the commitment of limited healthcare resources</w:t>
      </w:r>
      <w:r w:rsidR="00696C8F" w:rsidRPr="00C97D66">
        <w:rPr>
          <w:highlight w:val="lightGray"/>
        </w:rPr>
        <w:t xml:space="preserve"> to the evaluated intervention</w:t>
      </w:r>
      <w:r w:rsidR="00A816CD" w:rsidRPr="00C97D66">
        <w:rPr>
          <w:highlight w:val="lightGray"/>
        </w:rPr>
        <w:t xml:space="preserve"> (i.e. it compares health gains to health opportunity costs).  The cost-effectiveness threshold (CET) is centra</w:t>
      </w:r>
      <w:r w:rsidR="00696C8F" w:rsidRPr="00C97D66">
        <w:rPr>
          <w:highlight w:val="lightGray"/>
        </w:rPr>
        <w:t>l to the estimation of net DALY</w:t>
      </w:r>
      <w:r w:rsidR="00143747">
        <w:rPr>
          <w:highlight w:val="lightGray"/>
        </w:rPr>
        <w:t>s</w:t>
      </w:r>
      <w:r w:rsidR="00A816CD" w:rsidRPr="00C97D66">
        <w:rPr>
          <w:highlight w:val="lightGray"/>
        </w:rPr>
        <w:t xml:space="preserve"> – it is an estimate of the cost-per-DALY-averted of interventions displaced/foregone at the margin when a new intervention in introduced (</w:t>
      </w:r>
      <w:r w:rsidR="00A816CD" w:rsidRPr="00C97D66">
        <w:rPr>
          <w:highlight w:val="lightGray"/>
          <w:lang w:val="en-US"/>
        </w:rPr>
        <w:t>1</w:t>
      </w:r>
      <w:r w:rsidR="00E534D9">
        <w:rPr>
          <w:highlight w:val="lightGray"/>
          <w:lang w:val="en-US"/>
        </w:rPr>
        <w:t>1</w:t>
      </w:r>
      <w:r w:rsidR="00A816CD" w:rsidRPr="00C97D66">
        <w:rPr>
          <w:highlight w:val="lightGray"/>
          <w:lang w:val="en-US"/>
        </w:rPr>
        <w:t>)</w:t>
      </w:r>
      <w:r w:rsidR="00A816CD" w:rsidRPr="00C97D66">
        <w:rPr>
          <w:highlight w:val="lightGray"/>
        </w:rPr>
        <w:t xml:space="preserve">.  </w:t>
      </w:r>
      <w:r w:rsidR="00696C8F" w:rsidRPr="00C97D66">
        <w:rPr>
          <w:highlight w:val="lightGray"/>
        </w:rPr>
        <w:t>Net DALY</w:t>
      </w:r>
      <w:r w:rsidR="00143747">
        <w:rPr>
          <w:highlight w:val="lightGray"/>
        </w:rPr>
        <w:t>s</w:t>
      </w:r>
      <w:r w:rsidR="00A816CD" w:rsidRPr="00C97D66">
        <w:rPr>
          <w:highlight w:val="lightGray"/>
        </w:rPr>
        <w:t xml:space="preserve"> </w:t>
      </w:r>
      <w:r w:rsidR="00696C8F" w:rsidRPr="00C97D66">
        <w:rPr>
          <w:highlight w:val="lightGray"/>
        </w:rPr>
        <w:t>is</w:t>
      </w:r>
      <w:r w:rsidR="00A816CD" w:rsidRPr="00C97D66">
        <w:rPr>
          <w:highlight w:val="lightGray"/>
        </w:rPr>
        <w:t xml:space="preserve"> then calculated as DALYs + costs/CET.  For most healthcare systems the CET is </w:t>
      </w:r>
      <w:r w:rsidR="00B76B26" w:rsidRPr="00C97D66">
        <w:rPr>
          <w:highlight w:val="lightGray"/>
        </w:rPr>
        <w:t>generally</w:t>
      </w:r>
      <w:r w:rsidR="00A816CD" w:rsidRPr="00C97D66">
        <w:rPr>
          <w:highlight w:val="lightGray"/>
        </w:rPr>
        <w:t xml:space="preserve"> not readily apparent but a value of $500 per DALY averted is thought to be realistic for HIV programmes in low-income settings in sub-Saharan Africa</w:t>
      </w:r>
      <w:r w:rsidR="00696C8F" w:rsidRPr="00C97D66">
        <w:rPr>
          <w:highlight w:val="lightGray"/>
        </w:rPr>
        <w:t xml:space="preserve"> because alternative</w:t>
      </w:r>
      <w:r w:rsidR="00A816CD" w:rsidRPr="00C97D66">
        <w:rPr>
          <w:highlight w:val="lightGray"/>
        </w:rPr>
        <w:t xml:space="preserve"> HIV </w:t>
      </w:r>
      <w:r w:rsidR="00696C8F" w:rsidRPr="00C97D66">
        <w:rPr>
          <w:highlight w:val="lightGray"/>
        </w:rPr>
        <w:t xml:space="preserve">policy </w:t>
      </w:r>
      <w:r w:rsidR="00A816CD" w:rsidRPr="00C97D66">
        <w:rPr>
          <w:highlight w:val="lightGray"/>
        </w:rPr>
        <w:t xml:space="preserve">interventions (e.g. expanded ART provision) </w:t>
      </w:r>
      <w:r w:rsidR="00696C8F" w:rsidRPr="00C97D66">
        <w:rPr>
          <w:highlight w:val="lightGray"/>
        </w:rPr>
        <w:t>offer health gains at about this</w:t>
      </w:r>
      <w:r w:rsidR="00A816CD" w:rsidRPr="00C97D66">
        <w:rPr>
          <w:highlight w:val="lightGray"/>
        </w:rPr>
        <w:t xml:space="preserve"> level (1</w:t>
      </w:r>
      <w:r w:rsidR="00E534D9">
        <w:rPr>
          <w:highlight w:val="lightGray"/>
        </w:rPr>
        <w:t>2</w:t>
      </w:r>
      <w:r w:rsidR="00A816CD" w:rsidRPr="00C97D66">
        <w:rPr>
          <w:highlight w:val="lightGray"/>
        </w:rPr>
        <w:t xml:space="preserve">).  The testing policy with the lowest </w:t>
      </w:r>
      <w:r w:rsidR="00B76B26" w:rsidRPr="00C97D66">
        <w:rPr>
          <w:highlight w:val="lightGray"/>
        </w:rPr>
        <w:t>net DALY</w:t>
      </w:r>
      <w:r w:rsidR="00143747">
        <w:rPr>
          <w:highlight w:val="lightGray"/>
        </w:rPr>
        <w:t>s</w:t>
      </w:r>
      <w:r w:rsidR="00B76B26" w:rsidRPr="00C97D66">
        <w:rPr>
          <w:highlight w:val="lightGray"/>
        </w:rPr>
        <w:t xml:space="preserve"> </w:t>
      </w:r>
      <w:r w:rsidR="00A816CD" w:rsidRPr="00C97D66">
        <w:rPr>
          <w:highlight w:val="lightGray"/>
        </w:rPr>
        <w:t xml:space="preserve">is deemed the cost-effective policy from amongst those evaluated since it leads to the greatest reduction in </w:t>
      </w:r>
      <w:r w:rsidR="00FE1062" w:rsidRPr="00C97D66">
        <w:rPr>
          <w:highlight w:val="lightGray"/>
        </w:rPr>
        <w:t xml:space="preserve">population </w:t>
      </w:r>
      <w:r w:rsidR="00A816CD" w:rsidRPr="00C97D66">
        <w:rPr>
          <w:highlight w:val="lightGray"/>
        </w:rPr>
        <w:t>burden of disease (i.e. lowest DALYs)</w:t>
      </w:r>
      <w:r w:rsidR="00FE1062" w:rsidRPr="00C97D66">
        <w:rPr>
          <w:highlight w:val="lightGray"/>
        </w:rPr>
        <w:t>.</w:t>
      </w:r>
      <w:r w:rsidR="00A816CD">
        <w:t xml:space="preserve"> </w:t>
      </w:r>
    </w:p>
    <w:p w14:paraId="4B93FCC6" w14:textId="77777777" w:rsidR="00C97D66" w:rsidRDefault="00295D5A" w:rsidP="00295D5A">
      <w:proofErr w:type="gramStart"/>
      <w:r w:rsidRPr="00C97D66">
        <w:rPr>
          <w:strike/>
          <w:highlight w:val="lightGray"/>
        </w:rPr>
        <w:t>burden</w:t>
      </w:r>
      <w:proofErr w:type="gramEnd"/>
      <w:r w:rsidRPr="00C97D66">
        <w:rPr>
          <w:strike/>
          <w:highlight w:val="lightGray"/>
        </w:rPr>
        <w:t xml:space="preserve"> (DALYs, plus costs divided by the cost-effectiveness threshold) associated with alternative tests.  The testing policy with the lowest net DALY burden was deemed cost-effective since it leads to the lowest level of disability/ill health in the population, considering the other possible uses of the resources to enhance population health.  The cost-effectiveness threshold plays an important role in determining net DALY burden and represents the opportunity costs of resources required to fund an intervention, in terms of the health gains those resources should be able to generate if used for alternative purposes in the public health care </w:t>
      </w:r>
      <w:proofErr w:type="gramStart"/>
      <w:r w:rsidRPr="00C97D66">
        <w:rPr>
          <w:strike/>
          <w:highlight w:val="lightGray"/>
        </w:rPr>
        <w:t>system</w:t>
      </w:r>
      <w:r w:rsidRPr="00C97D66">
        <w:rPr>
          <w:strike/>
          <w:highlight w:val="lightGray"/>
          <w:lang w:val="en-US"/>
        </w:rPr>
        <w:t>(</w:t>
      </w:r>
      <w:proofErr w:type="gramEnd"/>
      <w:r w:rsidRPr="00C97D66">
        <w:rPr>
          <w:strike/>
          <w:highlight w:val="lightGray"/>
          <w:lang w:val="en-US"/>
        </w:rPr>
        <w:t>10).</w:t>
      </w:r>
      <w:r w:rsidRPr="00C97D66">
        <w:rPr>
          <w:strike/>
          <w:highlight w:val="lightGray"/>
        </w:rPr>
        <w:t xml:space="preserve">   A value of $500 per DALY averted is thought to be realistic for low income settings in sub-Saharan </w:t>
      </w:r>
      <w:proofErr w:type="gramStart"/>
      <w:r w:rsidRPr="00C97D66">
        <w:rPr>
          <w:strike/>
          <w:highlight w:val="lightGray"/>
        </w:rPr>
        <w:t>Africa(</w:t>
      </w:r>
      <w:proofErr w:type="gramEnd"/>
      <w:r w:rsidRPr="00C97D66">
        <w:rPr>
          <w:strike/>
          <w:highlight w:val="lightGray"/>
        </w:rPr>
        <w:t>11)</w:t>
      </w:r>
      <w:r w:rsidRPr="00C97D66">
        <w:rPr>
          <w:i/>
          <w:strike/>
          <w:highlight w:val="lightGray"/>
        </w:rPr>
        <w:t>.</w:t>
      </w:r>
      <w:r w:rsidRPr="00896E15">
        <w:t xml:space="preserve">    </w:t>
      </w:r>
    </w:p>
    <w:p w14:paraId="08B53316" w14:textId="075526AD" w:rsidR="00295D5A" w:rsidRPr="00C97D66" w:rsidRDefault="00D31687" w:rsidP="00295D5A">
      <w:r w:rsidRPr="00C97D66">
        <w:rPr>
          <w:highlight w:val="lightGray"/>
        </w:rPr>
        <w:t xml:space="preserve">The </w:t>
      </w:r>
      <w:r w:rsidR="00FE1062" w:rsidRPr="00C97D66">
        <w:rPr>
          <w:highlight w:val="lightGray"/>
        </w:rPr>
        <w:t xml:space="preserve">opportunity cost of interventions displaced at the margin, represented by the </w:t>
      </w:r>
      <w:r w:rsidRPr="00C97D66">
        <w:rPr>
          <w:highlight w:val="lightGray"/>
        </w:rPr>
        <w:t>CET</w:t>
      </w:r>
      <w:r w:rsidR="00FE1062" w:rsidRPr="00C97D66">
        <w:rPr>
          <w:highlight w:val="lightGray"/>
        </w:rPr>
        <w:t>,</w:t>
      </w:r>
      <w:r w:rsidRPr="00C97D66">
        <w:rPr>
          <w:highlight w:val="lightGray"/>
        </w:rPr>
        <w:t xml:space="preserve"> also </w:t>
      </w:r>
      <w:r w:rsidR="00FE1062" w:rsidRPr="00C97D66">
        <w:rPr>
          <w:highlight w:val="lightGray"/>
        </w:rPr>
        <w:t xml:space="preserve">informs the price within which interventions must be delivered to offer population health improvement and be </w:t>
      </w:r>
      <w:r w:rsidRPr="00C97D66">
        <w:rPr>
          <w:highlight w:val="lightGray"/>
        </w:rPr>
        <w:t xml:space="preserve">deemed cost-effective.  </w:t>
      </w:r>
      <w:r w:rsidR="00295D5A" w:rsidRPr="00C97D66">
        <w:rPr>
          <w:highlight w:val="lightGray"/>
        </w:rPr>
        <w:t>F</w:t>
      </w:r>
      <w:r w:rsidR="00B9133F" w:rsidRPr="00C97D66">
        <w:rPr>
          <w:highlight w:val="lightGray"/>
        </w:rPr>
        <w:t>or each value of each viral load testing</w:t>
      </w:r>
      <w:r w:rsidR="00295D5A" w:rsidRPr="00C97D66">
        <w:rPr>
          <w:highlight w:val="lightGray"/>
        </w:rPr>
        <w:t xml:space="preserve"> </w:t>
      </w:r>
      <w:r w:rsidR="00B9133F" w:rsidRPr="00C97D66">
        <w:rPr>
          <w:highlight w:val="lightGray"/>
        </w:rPr>
        <w:t>attribute</w:t>
      </w:r>
      <w:r w:rsidR="00696C8F" w:rsidRPr="00C97D66">
        <w:rPr>
          <w:highlight w:val="lightGray"/>
        </w:rPr>
        <w:t>,</w:t>
      </w:r>
      <w:r w:rsidR="00B9133F" w:rsidRPr="00C97D66">
        <w:rPr>
          <w:highlight w:val="lightGray"/>
        </w:rPr>
        <w:t xml:space="preserve"> </w:t>
      </w:r>
      <w:r w:rsidR="00295D5A" w:rsidRPr="00C97D66">
        <w:rPr>
          <w:highlight w:val="lightGray"/>
        </w:rPr>
        <w:t xml:space="preserve">the upper-bound cost </w:t>
      </w:r>
      <w:r w:rsidR="00295D5A" w:rsidRPr="00C97D66">
        <w:rPr>
          <w:highlight w:val="lightGray"/>
        </w:rPr>
        <w:lastRenderedPageBreak/>
        <w:t xml:space="preserve">that the viral load test would need to be delivered </w:t>
      </w:r>
      <w:r w:rsidRPr="00C97D66">
        <w:rPr>
          <w:highlight w:val="lightGray"/>
        </w:rPr>
        <w:t>is provided</w:t>
      </w:r>
      <w:r w:rsidR="00295D5A" w:rsidRPr="00C97D66">
        <w:rPr>
          <w:highlight w:val="lightGray"/>
        </w:rPr>
        <w:t>.</w:t>
      </w:r>
      <w:r w:rsidR="00295D5A" w:rsidRPr="00896E15">
        <w:t xml:space="preserve">  A health system perspective </w:t>
      </w:r>
      <w:r w:rsidR="00295D5A">
        <w:t>wa</w:t>
      </w:r>
      <w:r w:rsidR="00295D5A" w:rsidRPr="00896E15">
        <w:t xml:space="preserve">s adopted and costs incurred by patients </w:t>
      </w:r>
      <w:r w:rsidR="00295D5A">
        <w:t>were</w:t>
      </w:r>
      <w:r w:rsidR="00295D5A" w:rsidRPr="00896E15">
        <w:t xml:space="preserve"> not included.  Both costs and DALYs-averted were discounted to present value using a 3% per annum discount rate.   </w:t>
      </w:r>
    </w:p>
    <w:p w14:paraId="709DAD74" w14:textId="61D42810" w:rsidR="000D3EF6" w:rsidRPr="00E27E04" w:rsidRDefault="000D3EF6" w:rsidP="000D3EF6">
      <w:pPr>
        <w:rPr>
          <w:rFonts w:eastAsia="Times New Roman"/>
        </w:rPr>
      </w:pPr>
      <w:r w:rsidRPr="00E27E04">
        <w:t xml:space="preserve">Unit costs (in $US at 2015 prices) are detailed in Supplementary Material.   Costs of viral load assays </w:t>
      </w:r>
      <w:r>
        <w:t>we</w:t>
      </w:r>
      <w:r w:rsidRPr="00E27E04">
        <w:t xml:space="preserve">re </w:t>
      </w:r>
      <w:r>
        <w:t xml:space="preserve">set at a base value of </w:t>
      </w:r>
      <w:r w:rsidRPr="00E27E04">
        <w:t>$22</w:t>
      </w:r>
      <w:r>
        <w:t>, based on costing using the DBS approach</w:t>
      </w:r>
      <w:r w:rsidRPr="00E27E04">
        <w:t xml:space="preserve">, counting all components of delivery (reagents, equipment, human resources, buildings, set up costs, </w:t>
      </w:r>
      <w:proofErr w:type="spellStart"/>
      <w:r w:rsidRPr="00E27E04">
        <w:t>etc</w:t>
      </w:r>
      <w:proofErr w:type="spellEnd"/>
      <w:r w:rsidRPr="00E27E04">
        <w:t xml:space="preserve"> – referred to as a “fully loaded” cost) (details in Supplementary Material).   Annual programme costs for clinic visits (not including drug or viral load / CD4 </w:t>
      </w:r>
      <w:r w:rsidR="00E534D9">
        <w:t>count tests) are $80 per year(13</w:t>
      </w:r>
      <w:r w:rsidRPr="00E27E04">
        <w:t>) with an assumed reduction to $40 per year following measurement of viral suppression because of reduced clinical visit frequency</w:t>
      </w:r>
      <w:r>
        <w:t xml:space="preserve"> within a differentiated care model</w:t>
      </w:r>
      <w:r w:rsidRPr="00E27E04">
        <w:t xml:space="preserve">(8).   Health utilities / disability weights to calculate DALYs averted were derived from a recent comprehensive </w:t>
      </w:r>
      <w:proofErr w:type="gramStart"/>
      <w:r w:rsidRPr="00E27E04">
        <w:t>study</w:t>
      </w:r>
      <w:r w:rsidR="00E534D9">
        <w:rPr>
          <w:lang w:val="en-US"/>
        </w:rPr>
        <w:t>(</w:t>
      </w:r>
      <w:proofErr w:type="gramEnd"/>
      <w:r w:rsidR="00E534D9">
        <w:rPr>
          <w:lang w:val="en-US"/>
        </w:rPr>
        <w:t>14</w:t>
      </w:r>
      <w:r w:rsidRPr="00E27E04">
        <w:rPr>
          <w:lang w:val="en-US"/>
        </w:rPr>
        <w:t>).</w:t>
      </w:r>
      <w:r w:rsidRPr="00E27E04">
        <w:rPr>
          <w:rFonts w:eastAsia="Times New Roman"/>
        </w:rPr>
        <w:t xml:space="preserve"> </w:t>
      </w:r>
    </w:p>
    <w:p w14:paraId="4DEFFF45" w14:textId="77777777" w:rsidR="001666B6" w:rsidRDefault="001666B6" w:rsidP="00D91204">
      <w:pPr>
        <w:rPr>
          <w:b/>
        </w:rPr>
      </w:pPr>
    </w:p>
    <w:p w14:paraId="0B20D2DC" w14:textId="77777777" w:rsidR="001666B6" w:rsidRDefault="001666B6" w:rsidP="00D91204">
      <w:pPr>
        <w:rPr>
          <w:b/>
        </w:rPr>
      </w:pPr>
    </w:p>
    <w:p w14:paraId="0AD01CC0" w14:textId="77777777" w:rsidR="00D91204" w:rsidRPr="00BD2EC5" w:rsidRDefault="00D91204" w:rsidP="00D91204">
      <w:r w:rsidRPr="00DA24DA">
        <w:rPr>
          <w:b/>
        </w:rPr>
        <w:t>Results</w:t>
      </w:r>
    </w:p>
    <w:p w14:paraId="6CEBB20A" w14:textId="4D39A98D" w:rsidR="00D96EF5" w:rsidRPr="006B6B6C" w:rsidRDefault="000D3EF6" w:rsidP="00EC12BD">
      <w:r w:rsidRPr="00257FF3">
        <w:t xml:space="preserve">The status of the simulated Zimbabwean adult population in 2014 is shown in Supplementary Table S1.   Figure 1a shows the effect on DALYs incurred over 20 years of </w:t>
      </w:r>
      <w:r w:rsidRPr="00C97D66">
        <w:rPr>
          <w:highlight w:val="lightGray"/>
        </w:rPr>
        <w:t>differences in attribute</w:t>
      </w:r>
      <w:r w:rsidRPr="00257FF3">
        <w:t xml:space="preserve"> values associated with viral load testing.  The delay associated with DBS testing ha</w:t>
      </w:r>
      <w:r>
        <w:t>d</w:t>
      </w:r>
      <w:r w:rsidRPr="00257FF3">
        <w:t xml:space="preserve"> a relatively modest influence on the number of DALYs incurred.  The sensitivity of the test for detecting a value above 10</w:t>
      </w:r>
      <w:r w:rsidR="00B9133F">
        <w:t>00 cp</w:t>
      </w:r>
      <w:r w:rsidRPr="00257FF3">
        <w:t xml:space="preserve">s/mL </w:t>
      </w:r>
      <w:r>
        <w:t>wa</w:t>
      </w:r>
      <w:r w:rsidRPr="00257FF3">
        <w:t xml:space="preserve">s more influential, with </w:t>
      </w:r>
      <w:r>
        <w:t xml:space="preserve">generally a </w:t>
      </w:r>
      <w:r w:rsidRPr="00257FF3">
        <w:t xml:space="preserve">higher sensitivity leading to a lower number of DALYs incurred; regardless of specificity, </w:t>
      </w:r>
      <w:r>
        <w:t>due to</w:t>
      </w:r>
      <w:r w:rsidRPr="00257FF3">
        <w:t xml:space="preserve"> enhanced adherence support and switching to second-line in those who require this. </w:t>
      </w:r>
      <w:r>
        <w:t xml:space="preserve">When the sensitivity was approximately 90% or above then a lower specificity was associated with a </w:t>
      </w:r>
      <w:r w:rsidR="009A2A8D">
        <w:t xml:space="preserve">lower </w:t>
      </w:r>
      <w:r>
        <w:t xml:space="preserve">number of DALYs </w:t>
      </w:r>
      <w:r w:rsidR="009A2A8D">
        <w:t>incurred,</w:t>
      </w:r>
      <w:r>
        <w:t xml:space="preserve"> reflecting that those with viral loads between 50 and 1000 copies/mL may also benefit from a switch to 2</w:t>
      </w:r>
      <w:r w:rsidRPr="00AA15DA">
        <w:rPr>
          <w:vertAlign w:val="superscript"/>
        </w:rPr>
        <w:t>nd</w:t>
      </w:r>
      <w:r>
        <w:t xml:space="preserve"> line.  </w:t>
      </w:r>
      <w:r w:rsidRPr="00257FF3">
        <w:t xml:space="preserve">  The </w:t>
      </w:r>
      <w:r w:rsidR="00D358C8" w:rsidRPr="00C97D66">
        <w:rPr>
          <w:highlight w:val="lightGray"/>
        </w:rPr>
        <w:t>viral load</w:t>
      </w:r>
      <w:r w:rsidR="00D358C8">
        <w:t xml:space="preserve"> </w:t>
      </w:r>
      <w:r w:rsidRPr="00257FF3">
        <w:t xml:space="preserve">threshold used is </w:t>
      </w:r>
      <w:r>
        <w:t xml:space="preserve">also </w:t>
      </w:r>
      <w:r w:rsidRPr="00257FF3">
        <w:t>moderately influential, with</w:t>
      </w:r>
      <w:r w:rsidR="009A2A8D">
        <w:t xml:space="preserve"> more</w:t>
      </w:r>
      <w:r w:rsidRPr="00257FF3">
        <w:t xml:space="preserve"> DALYs </w:t>
      </w:r>
      <w:r w:rsidR="009A2A8D">
        <w:t xml:space="preserve">averted </w:t>
      </w:r>
      <w:r w:rsidRPr="00257FF3">
        <w:t xml:space="preserve">the lower the threshold.  The proportion of tests which fail or the result lost </w:t>
      </w:r>
      <w:r>
        <w:t>wa</w:t>
      </w:r>
      <w:r w:rsidRPr="00257FF3">
        <w:t xml:space="preserve">s also influential, due to the </w:t>
      </w:r>
      <w:r>
        <w:t>in</w:t>
      </w:r>
      <w:r w:rsidRPr="00257FF3">
        <w:t>ability to act on viral load failure in a timely way</w:t>
      </w:r>
      <w:r>
        <w:t xml:space="preserve"> or at all</w:t>
      </w:r>
      <w:r w:rsidRPr="00257FF3">
        <w:t xml:space="preserve">.  The probability that viral load informed differentiated care </w:t>
      </w:r>
      <w:r>
        <w:t>wa</w:t>
      </w:r>
      <w:r w:rsidRPr="00257FF3">
        <w:t xml:space="preserve">s implemented </w:t>
      </w:r>
      <w:r>
        <w:t>did</w:t>
      </w:r>
      <w:r w:rsidRPr="00257FF3">
        <w:t xml:space="preserve"> not influence the DALYs, since we d</w:t>
      </w:r>
      <w:r>
        <w:t>id</w:t>
      </w:r>
      <w:r w:rsidRPr="00257FF3">
        <w:t xml:space="preserve"> not assume any positive or negative health effects of such a </w:t>
      </w:r>
      <w:r>
        <w:t>policy, only an impact on costs</w:t>
      </w:r>
      <w:r w:rsidR="00257FF3" w:rsidRPr="00257FF3">
        <w:t xml:space="preserve">.   The rate of switch to second-line ART in people </w:t>
      </w:r>
      <w:r w:rsidR="009A2A8D">
        <w:t>with first-</w:t>
      </w:r>
      <w:r w:rsidR="00257FF3" w:rsidRPr="00257FF3">
        <w:t xml:space="preserve">line failure </w:t>
      </w:r>
      <w:r w:rsidR="00DF3C26">
        <w:t>i</w:t>
      </w:r>
      <w:r w:rsidR="00257FF3" w:rsidRPr="00257FF3">
        <w:t xml:space="preserve">s </w:t>
      </w:r>
      <w:r w:rsidR="00DF3C26">
        <w:t xml:space="preserve">also </w:t>
      </w:r>
      <w:r w:rsidR="00257FF3" w:rsidRPr="00257FF3">
        <w:t xml:space="preserve">influential on DALYs incurred.  </w:t>
      </w:r>
      <w:r w:rsidR="006B6B6C" w:rsidRPr="00257FF3">
        <w:t xml:space="preserve">It is uncertain whether the </w:t>
      </w:r>
      <w:r w:rsidR="006B6B6C">
        <w:t>viral load testing format (laboratory based or POC</w:t>
      </w:r>
      <w:proofErr w:type="gramStart"/>
      <w:r w:rsidR="006B6B6C">
        <w:t>)</w:t>
      </w:r>
      <w:r w:rsidR="006B6B6C" w:rsidRPr="00257FF3">
        <w:t>will</w:t>
      </w:r>
      <w:proofErr w:type="gramEnd"/>
      <w:r w:rsidR="006B6B6C" w:rsidRPr="00257FF3">
        <w:t xml:space="preserve"> influence this parameter although it is plausible that if the result is available while the patient is present then a switch is more likely to be instigated</w:t>
      </w:r>
      <w:r w:rsidR="006B6B6C">
        <w:t xml:space="preserve"> compared to a laboratory result that is only available on a return visit.  </w:t>
      </w:r>
      <w:r w:rsidR="005A0D05" w:rsidRPr="00257FF3">
        <w:t>The extent to which a test can result in increased coverage of viral load positively influence</w:t>
      </w:r>
      <w:r w:rsidR="005A0D05">
        <w:t>d</w:t>
      </w:r>
      <w:r w:rsidR="005A0D05" w:rsidRPr="00257FF3">
        <w:t xml:space="preserve"> the DALY outcome, mostly through the </w:t>
      </w:r>
      <w:r w:rsidR="005A0D05">
        <w:t xml:space="preserve">assumed </w:t>
      </w:r>
      <w:r w:rsidR="005A0D05" w:rsidRPr="00257FF3">
        <w:t>greater rate of switch to second line</w:t>
      </w:r>
      <w:r w:rsidR="005A0D05">
        <w:t xml:space="preserve"> where viral load testing is used</w:t>
      </w:r>
      <w:r w:rsidR="005A0D05" w:rsidRPr="00257FF3">
        <w:t xml:space="preserve">.  </w:t>
      </w:r>
      <w:r w:rsidR="00F83FFF">
        <w:t>T</w:t>
      </w:r>
      <w:r w:rsidR="00F83FFF" w:rsidRPr="007D1A2D">
        <w:t>he rate of ART interruption / loss to follow-up</w:t>
      </w:r>
      <w:r w:rsidR="00257FF3" w:rsidRPr="00257FF3">
        <w:t xml:space="preserve"> </w:t>
      </w:r>
      <w:r w:rsidR="00F83FFF">
        <w:t xml:space="preserve">is highly influential although, again, it is uncertain </w:t>
      </w:r>
      <w:r w:rsidR="00F83FFF" w:rsidRPr="00257FF3">
        <w:t>whether the form of viral load testing will influence this parameter</w:t>
      </w:r>
      <w:r w:rsidR="00F83FFF">
        <w:t xml:space="preserve">.  </w:t>
      </w:r>
      <w:r w:rsidR="00257FF3" w:rsidRPr="00257FF3">
        <w:t xml:space="preserve"> </w:t>
      </w:r>
    </w:p>
    <w:p w14:paraId="291A149F" w14:textId="223409A6" w:rsidR="00257FF3" w:rsidRPr="00257FF3" w:rsidRDefault="00394787" w:rsidP="00257FF3">
      <w:r w:rsidRPr="00257FF3">
        <w:t>In Figure 1b we consider</w:t>
      </w:r>
      <w:r>
        <w:t>ed</w:t>
      </w:r>
      <w:r w:rsidRPr="00257FF3">
        <w:t xml:space="preserve"> the influence of each factor on the net </w:t>
      </w:r>
      <w:r w:rsidR="00143747">
        <w:t>DALYs</w:t>
      </w:r>
      <w:r>
        <w:t>, which took into account the opportunity costs of differences in cost in addition to the DALYs incurred</w:t>
      </w:r>
      <w:r w:rsidRPr="00257FF3">
        <w:t xml:space="preserve">.  The relative influence of the various factors </w:t>
      </w:r>
      <w:r>
        <w:t>wa</w:t>
      </w:r>
      <w:r w:rsidRPr="00257FF3">
        <w:t xml:space="preserve">s similar to </w:t>
      </w:r>
      <w:r>
        <w:t>Figure 1a</w:t>
      </w:r>
      <w:r w:rsidRPr="00257FF3">
        <w:t xml:space="preserve">, with a few exceptions.  </w:t>
      </w:r>
      <w:r>
        <w:t>Lower s</w:t>
      </w:r>
      <w:r w:rsidRPr="00257FF3">
        <w:t xml:space="preserve">pecificity </w:t>
      </w:r>
      <w:r>
        <w:t xml:space="preserve">was associated with a higher </w:t>
      </w:r>
      <w:r w:rsidRPr="00257FF3">
        <w:t xml:space="preserve">net </w:t>
      </w:r>
      <w:r w:rsidR="00143747">
        <w:t>DALYs</w:t>
      </w:r>
      <w:r w:rsidRPr="00257FF3">
        <w:t>, due to the additional cost of second-line drugs</w:t>
      </w:r>
      <w:r>
        <w:t>, and a sensitivity and specificity of approximately 90% was optimal</w:t>
      </w:r>
      <w:r w:rsidRPr="00257FF3">
        <w:t xml:space="preserve">.   The viral load threshold to define </w:t>
      </w:r>
      <w:r>
        <w:t xml:space="preserve">ART </w:t>
      </w:r>
      <w:r w:rsidRPr="00257FF3">
        <w:t xml:space="preserve">failure </w:t>
      </w:r>
      <w:r>
        <w:t>wa</w:t>
      </w:r>
      <w:r w:rsidRPr="00257FF3">
        <w:t xml:space="preserve">s less influential on net </w:t>
      </w:r>
      <w:r w:rsidR="00143747">
        <w:t>DALYs</w:t>
      </w:r>
      <w:r w:rsidRPr="00257FF3">
        <w:t xml:space="preserve"> than it </w:t>
      </w:r>
      <w:r>
        <w:t>wa</w:t>
      </w:r>
      <w:r w:rsidRPr="00257FF3">
        <w:t>s on DALYs, because use of higher thresholds reduce</w:t>
      </w:r>
      <w:r>
        <w:t>d</w:t>
      </w:r>
      <w:r w:rsidRPr="00257FF3">
        <w:t xml:space="preserve"> costs.  The proportion of tests that fail or are lost </w:t>
      </w:r>
      <w:r>
        <w:t>wa</w:t>
      </w:r>
      <w:r w:rsidRPr="00257FF3">
        <w:t xml:space="preserve">s even more influential on net </w:t>
      </w:r>
      <w:r w:rsidR="00143747">
        <w:t>DALYs</w:t>
      </w:r>
      <w:r w:rsidRPr="00257FF3">
        <w:t xml:space="preserve"> than on DALYs, due to the cost incurred with repeated attempts to successfully measure viral load.  The probability of implementing viral load informed differentiated care </w:t>
      </w:r>
      <w:r>
        <w:t>wa</w:t>
      </w:r>
      <w:r w:rsidRPr="00257FF3">
        <w:t xml:space="preserve">s also influential, due to the </w:t>
      </w:r>
      <w:r>
        <w:t xml:space="preserve">clinic </w:t>
      </w:r>
      <w:r w:rsidRPr="00257FF3">
        <w:t xml:space="preserve">cost savings involved.  The probability of switching to second line ART once the failure criteria are met </w:t>
      </w:r>
      <w:r>
        <w:t>wa</w:t>
      </w:r>
      <w:r w:rsidRPr="00257FF3">
        <w:t xml:space="preserve">s less influential on net </w:t>
      </w:r>
      <w:r w:rsidR="00143747">
        <w:t>DALYs</w:t>
      </w:r>
      <w:r w:rsidRPr="00257FF3">
        <w:t xml:space="preserve"> than on DALYs, again due to the higher costs of second line ART.  </w:t>
      </w:r>
      <w:r w:rsidR="00F83FFF" w:rsidRPr="00257FF3">
        <w:t xml:space="preserve"> </w:t>
      </w:r>
    </w:p>
    <w:p w14:paraId="764EC69C" w14:textId="4F0BBDB0" w:rsidR="00801350" w:rsidRDefault="00801350" w:rsidP="00801350">
      <w:r w:rsidRPr="00257FF3">
        <w:t xml:space="preserve">In Table </w:t>
      </w:r>
      <w:r>
        <w:t xml:space="preserve">1b </w:t>
      </w:r>
      <w:r w:rsidRPr="00257FF3">
        <w:t>we provide</w:t>
      </w:r>
      <w:r>
        <w:t>d</w:t>
      </w:r>
      <w:r w:rsidRPr="00257FF3">
        <w:t xml:space="preserve">, for each level of viral load testing attribute, the upper bound cost for a </w:t>
      </w:r>
      <w:r>
        <w:t xml:space="preserve">POC </w:t>
      </w:r>
      <w:r w:rsidRPr="00257FF3">
        <w:t xml:space="preserve">test to be considered cost-effective compared with the </w:t>
      </w:r>
      <w:r>
        <w:t xml:space="preserve">DBS </w:t>
      </w:r>
      <w:r w:rsidRPr="00257FF3">
        <w:t xml:space="preserve">base scenario.  For example, if a </w:t>
      </w:r>
      <w:r w:rsidR="006B6B6C">
        <w:t xml:space="preserve">POC </w:t>
      </w:r>
      <w:r w:rsidRPr="00257FF3">
        <w:t xml:space="preserve">test demonstrated </w:t>
      </w:r>
      <w:r>
        <w:t>an</w:t>
      </w:r>
      <w:r w:rsidRPr="00257FF3">
        <w:t xml:space="preserve"> increase </w:t>
      </w:r>
      <w:r>
        <w:t xml:space="preserve">in </w:t>
      </w:r>
      <w:r w:rsidRPr="00257FF3">
        <w:t>the probability of viral load informed differentiated care from 0.8 to 0.9 then, with no other difference compared with the DBS base scenario, it could cost $2</w:t>
      </w:r>
      <w:r>
        <w:t>4</w:t>
      </w:r>
      <w:r w:rsidRPr="00257FF3">
        <w:t xml:space="preserve"> and still be cost effective compared to the </w:t>
      </w:r>
      <w:r>
        <w:t xml:space="preserve">DBS </w:t>
      </w:r>
      <w:r w:rsidRPr="00257FF3">
        <w:t xml:space="preserve">base scenario with the $22 test cost.   Alternatively, if a POC test </w:t>
      </w:r>
      <w:r w:rsidRPr="007D1A2D">
        <w:t>demonstrated a halving of the rate of ART interruption / loss to follow-up compared with the DBS approach</w:t>
      </w:r>
      <w:r>
        <w:t xml:space="preserve">, </w:t>
      </w:r>
      <w:r w:rsidRPr="00257FF3">
        <w:t xml:space="preserve">with no other difference compared with the DBS base scenario, </w:t>
      </w:r>
      <w:r w:rsidRPr="007D1A2D">
        <w:t xml:space="preserve">then it would be cost effective up to </w:t>
      </w:r>
      <w:r>
        <w:t xml:space="preserve">a </w:t>
      </w:r>
      <w:r w:rsidRPr="007D1A2D">
        <w:t>cost of $41 per test.</w:t>
      </w:r>
      <w:r w:rsidRPr="00257FF3">
        <w:t xml:space="preserve">  </w:t>
      </w:r>
      <w:r>
        <w:t>Further, if the approach resulted in 100% coverage then a test could cost up to $28 and remain cost effective.  T</w:t>
      </w:r>
      <w:r w:rsidR="006B6B6C">
        <w:t>his is if the test replaced the $22 test in all - i</w:t>
      </w:r>
      <w:r>
        <w:t xml:space="preserve">f the test were used to fill the coverage “gap” then it could cost much more and remain cost effective.  </w:t>
      </w:r>
    </w:p>
    <w:p w14:paraId="6D86B64B" w14:textId="77777777" w:rsidR="002317E2" w:rsidRDefault="002317E2" w:rsidP="00801350"/>
    <w:p w14:paraId="5B513364" w14:textId="77777777" w:rsidR="00D91204" w:rsidRDefault="002A28EC" w:rsidP="00D91204">
      <w:pPr>
        <w:rPr>
          <w:b/>
        </w:rPr>
      </w:pPr>
      <w:r>
        <w:rPr>
          <w:b/>
        </w:rPr>
        <w:t>Disc</w:t>
      </w:r>
      <w:r w:rsidR="00D91204">
        <w:rPr>
          <w:b/>
        </w:rPr>
        <w:t>ussion</w:t>
      </w:r>
    </w:p>
    <w:p w14:paraId="1DABE205" w14:textId="61E087BC" w:rsidR="005B529E" w:rsidRPr="002317E2" w:rsidRDefault="00001AE0" w:rsidP="005B529E">
      <w:pPr>
        <w:rPr>
          <w:highlight w:val="lightGray"/>
          <w:lang w:val="en-US"/>
        </w:rPr>
      </w:pPr>
      <w:r w:rsidRPr="00001AE0">
        <w:t xml:space="preserve">Our </w:t>
      </w:r>
      <w:r w:rsidR="000458AA">
        <w:t xml:space="preserve">results indicate that the attributes of a viral load </w:t>
      </w:r>
      <w:r w:rsidR="006F39A1">
        <w:t>testing approach</w:t>
      </w:r>
      <w:r w:rsidR="000458AA">
        <w:t xml:space="preserve"> most influen</w:t>
      </w:r>
      <w:r w:rsidR="007D4528">
        <w:t>t</w:t>
      </w:r>
      <w:r w:rsidR="000458AA">
        <w:t xml:space="preserve">ial for </w:t>
      </w:r>
      <w:r w:rsidR="00263480">
        <w:t>cost-effectiveness</w:t>
      </w:r>
      <w:r w:rsidR="000458AA">
        <w:t xml:space="preserve"> are avoidance of a high proportion of failed</w:t>
      </w:r>
      <w:r w:rsidR="00A3605F">
        <w:t xml:space="preserve"> tests or results not </w:t>
      </w:r>
      <w:r w:rsidR="00A83E4B">
        <w:t xml:space="preserve">being </w:t>
      </w:r>
      <w:r w:rsidR="00A3605F">
        <w:t>received and</w:t>
      </w:r>
      <w:r w:rsidR="007D4528">
        <w:t>, so far as it can be influenced by the viral load monitoring strategy,</w:t>
      </w:r>
      <w:r w:rsidR="00A3605F">
        <w:t xml:space="preserve"> use of an approach that best facilitates</w:t>
      </w:r>
      <w:r w:rsidR="000458AA">
        <w:t xml:space="preserve"> </w:t>
      </w:r>
      <w:r w:rsidR="00A3605F">
        <w:t xml:space="preserve">retention </w:t>
      </w:r>
      <w:r w:rsidR="00A83E4B">
        <w:t>on ART</w:t>
      </w:r>
      <w:r w:rsidR="00A3605F">
        <w:t xml:space="preserve">.  Also of particular importance </w:t>
      </w:r>
      <w:r w:rsidR="00D952AA">
        <w:t>wa</w:t>
      </w:r>
      <w:r w:rsidR="00A3605F">
        <w:t>s the ability to facilitate greater use of differentiated care</w:t>
      </w:r>
      <w:r w:rsidR="00C71DC4">
        <w:t xml:space="preserve"> </w:t>
      </w:r>
      <w:r w:rsidR="00A3605F">
        <w:t>through expanding coverage of availability viral load testing.   These</w:t>
      </w:r>
      <w:r w:rsidR="007D4528">
        <w:t xml:space="preserve"> attributes are most likely </w:t>
      </w:r>
      <w:r w:rsidR="00D46F9E">
        <w:t>to be found with a robust POC</w:t>
      </w:r>
      <w:r w:rsidR="007D4528">
        <w:t xml:space="preserve"> viral load test that facilitates decision making while the patient is present</w:t>
      </w:r>
      <w:r w:rsidR="003208F3">
        <w:t xml:space="preserve">. </w:t>
      </w:r>
      <w:r w:rsidR="00A3605F">
        <w:t xml:space="preserve"> It is noteworthy that a three month del</w:t>
      </w:r>
      <w:r w:rsidR="007D4528">
        <w:t>ay in receiving a result does not result</w:t>
      </w:r>
      <w:r w:rsidR="00A3605F">
        <w:t xml:space="preserve"> in a significant negative impact, and also that </w:t>
      </w:r>
      <w:r w:rsidR="008D4A8C">
        <w:t>sensitivity</w:t>
      </w:r>
      <w:r w:rsidR="00A3605F">
        <w:t xml:space="preserve"> and specificity both in the region of 90% appears </w:t>
      </w:r>
      <w:r w:rsidR="00D952AA">
        <w:t>acceptable</w:t>
      </w:r>
      <w:r w:rsidR="00A3605F">
        <w:t>.  Due to the high</w:t>
      </w:r>
      <w:r w:rsidR="003208F3">
        <w:t>er</w:t>
      </w:r>
      <w:r w:rsidR="00A3605F">
        <w:t xml:space="preserve"> cost of second line drugs, the influence of t</w:t>
      </w:r>
      <w:r w:rsidR="003208F3">
        <w:t xml:space="preserve">he </w:t>
      </w:r>
      <w:r w:rsidR="00A3605F">
        <w:t xml:space="preserve">switching </w:t>
      </w:r>
      <w:r w:rsidR="003208F3">
        <w:t xml:space="preserve">rate </w:t>
      </w:r>
      <w:r w:rsidR="00A3605F">
        <w:t>in those wi</w:t>
      </w:r>
      <w:r w:rsidR="003208F3">
        <w:t>th first-</w:t>
      </w:r>
      <w:r w:rsidR="00A3605F">
        <w:t xml:space="preserve">line </w:t>
      </w:r>
      <w:r w:rsidR="003208F3">
        <w:t xml:space="preserve">ART </w:t>
      </w:r>
      <w:r w:rsidR="00A3605F">
        <w:t>failure was not one</w:t>
      </w:r>
      <w:r w:rsidR="00C71DC4">
        <w:t xml:space="preserve"> of the most important for cost-</w:t>
      </w:r>
      <w:r w:rsidR="00A3605F">
        <w:t xml:space="preserve">effectiveness.  </w:t>
      </w:r>
      <w:r w:rsidR="00C71DC4">
        <w:t>Our</w:t>
      </w:r>
      <w:r w:rsidRPr="00001AE0">
        <w:t xml:space="preserve"> results </w:t>
      </w:r>
      <w:r w:rsidR="00D952AA">
        <w:t xml:space="preserve">emphasize the need for POC viral load tests and may </w:t>
      </w:r>
      <w:r w:rsidR="00C71DC4">
        <w:t>inform the development</w:t>
      </w:r>
      <w:r w:rsidRPr="00001AE0">
        <w:t xml:space="preserve"> of tests </w:t>
      </w:r>
      <w:r w:rsidR="00D952AA">
        <w:t>as well as t</w:t>
      </w:r>
      <w:r w:rsidR="00C71DC4">
        <w:t xml:space="preserve">he design of </w:t>
      </w:r>
      <w:r w:rsidRPr="00001AE0">
        <w:t>future implementation studies and trials on viral load testing approaches</w:t>
      </w:r>
      <w:r w:rsidR="00A3605F">
        <w:t>.</w:t>
      </w:r>
      <w:r w:rsidR="002317E2">
        <w:t xml:space="preserve">  </w:t>
      </w:r>
      <w:r w:rsidR="002317E2" w:rsidRPr="002317E2">
        <w:rPr>
          <w:highlight w:val="lightGray"/>
          <w:lang w:val="en-US"/>
        </w:rPr>
        <w:t>Our results suggest that it is important for studies to consider</w:t>
      </w:r>
      <w:r w:rsidR="00314581" w:rsidRPr="002317E2">
        <w:rPr>
          <w:highlight w:val="lightGray"/>
          <w:lang w:val="en-US"/>
        </w:rPr>
        <w:t xml:space="preserve"> how POC </w:t>
      </w:r>
      <w:r w:rsidR="002317E2">
        <w:rPr>
          <w:highlight w:val="lightGray"/>
          <w:lang w:val="en-US"/>
        </w:rPr>
        <w:t>viral load</w:t>
      </w:r>
      <w:r w:rsidR="00314581" w:rsidRPr="002317E2">
        <w:rPr>
          <w:highlight w:val="lightGray"/>
          <w:lang w:val="en-US"/>
        </w:rPr>
        <w:t xml:space="preserve"> testing impact</w:t>
      </w:r>
      <w:r w:rsidR="002317E2" w:rsidRPr="002317E2">
        <w:rPr>
          <w:highlight w:val="lightGray"/>
          <w:lang w:val="en-US"/>
        </w:rPr>
        <w:t xml:space="preserve">s </w:t>
      </w:r>
      <w:r w:rsidR="00314581" w:rsidRPr="002317E2">
        <w:rPr>
          <w:highlight w:val="lightGray"/>
          <w:lang w:val="en-US"/>
        </w:rPr>
        <w:t xml:space="preserve">the patient care model, </w:t>
      </w:r>
      <w:r w:rsidR="002317E2" w:rsidRPr="002317E2">
        <w:rPr>
          <w:highlight w:val="lightGray"/>
          <w:lang w:val="en-US"/>
        </w:rPr>
        <w:t>such as</w:t>
      </w:r>
      <w:r w:rsidR="00314581" w:rsidRPr="002317E2">
        <w:rPr>
          <w:highlight w:val="lightGray"/>
          <w:lang w:val="en-US"/>
        </w:rPr>
        <w:t xml:space="preserve"> earlier switch to 2nd line or better retention in care. </w:t>
      </w:r>
      <w:r w:rsidR="002317E2">
        <w:rPr>
          <w:highlight w:val="lightGray"/>
          <w:lang w:val="en-US"/>
        </w:rPr>
        <w:t xml:space="preserve"> </w:t>
      </w:r>
      <w:r w:rsidR="00314581" w:rsidRPr="002317E2">
        <w:rPr>
          <w:highlight w:val="lightGray"/>
          <w:lang w:val="en-US"/>
        </w:rPr>
        <w:t xml:space="preserve">Whether these factors are indeed improved with POC testing will have to be evaluated in implementation studies, </w:t>
      </w:r>
      <w:r w:rsidR="002317E2" w:rsidRPr="002317E2">
        <w:rPr>
          <w:highlight w:val="lightGray"/>
          <w:lang w:val="en-US"/>
        </w:rPr>
        <w:t>and data could then be used to inform our cost-effectiveness modelling</w:t>
      </w:r>
      <w:r w:rsidR="00314581" w:rsidRPr="002317E2">
        <w:rPr>
          <w:highlight w:val="lightGray"/>
          <w:lang w:val="en-US"/>
        </w:rPr>
        <w:t xml:space="preserve">. </w:t>
      </w:r>
      <w:r w:rsidR="002317E2">
        <w:rPr>
          <w:highlight w:val="lightGray"/>
          <w:lang w:val="en-US"/>
        </w:rPr>
        <w:t xml:space="preserve"> It may prove to be important, for example, that the waiting time taken to receive a result from a POC assay is as low as possible.    </w:t>
      </w:r>
    </w:p>
    <w:p w14:paraId="39F5A131" w14:textId="13ABA0E5" w:rsidR="00314581" w:rsidRDefault="00035EC3" w:rsidP="005B529E">
      <w:pPr>
        <w:rPr>
          <w:lang w:val="en-US"/>
        </w:rPr>
      </w:pPr>
      <w:r>
        <w:rPr>
          <w:highlight w:val="lightGray"/>
          <w:lang w:val="en-US"/>
        </w:rPr>
        <w:t>Several POC viral load</w:t>
      </w:r>
      <w:r w:rsidR="00314581" w:rsidRPr="002317E2">
        <w:rPr>
          <w:highlight w:val="lightGray"/>
          <w:lang w:val="en-US"/>
        </w:rPr>
        <w:t xml:space="preserve"> assays have already been developed, e.g. by Cepheid, </w:t>
      </w:r>
      <w:proofErr w:type="spellStart"/>
      <w:r w:rsidR="00314581" w:rsidRPr="002317E2">
        <w:rPr>
          <w:highlight w:val="lightGray"/>
          <w:lang w:val="en-US"/>
        </w:rPr>
        <w:t>Liat</w:t>
      </w:r>
      <w:proofErr w:type="spellEnd"/>
      <w:r w:rsidR="00314581" w:rsidRPr="002317E2">
        <w:rPr>
          <w:highlight w:val="lightGray"/>
          <w:lang w:val="en-US"/>
        </w:rPr>
        <w:t xml:space="preserve">, </w:t>
      </w:r>
      <w:proofErr w:type="spellStart"/>
      <w:r w:rsidR="00314581" w:rsidRPr="002317E2">
        <w:rPr>
          <w:highlight w:val="lightGray"/>
          <w:lang w:val="en-US"/>
        </w:rPr>
        <w:t>Alere</w:t>
      </w:r>
      <w:proofErr w:type="spellEnd"/>
      <w:r w:rsidR="00314581" w:rsidRPr="002317E2">
        <w:rPr>
          <w:highlight w:val="lightGray"/>
          <w:lang w:val="en-US"/>
        </w:rPr>
        <w:t xml:space="preserve">, and some pilot studies have been completed. </w:t>
      </w:r>
      <w:r w:rsidR="002317E2" w:rsidRPr="002317E2">
        <w:rPr>
          <w:highlight w:val="lightGray"/>
          <w:lang w:val="en-US"/>
        </w:rPr>
        <w:t>M</w:t>
      </w:r>
      <w:r w:rsidR="00314581" w:rsidRPr="002317E2">
        <w:rPr>
          <w:highlight w:val="lightGray"/>
          <w:lang w:val="en-US"/>
        </w:rPr>
        <w:t>any of the</w:t>
      </w:r>
      <w:r w:rsidR="002317E2" w:rsidRPr="002317E2">
        <w:rPr>
          <w:highlight w:val="lightGray"/>
          <w:lang w:val="en-US"/>
        </w:rPr>
        <w:t>se</w:t>
      </w:r>
      <w:r w:rsidR="00314581" w:rsidRPr="002317E2">
        <w:rPr>
          <w:highlight w:val="lightGray"/>
          <w:lang w:val="en-US"/>
        </w:rPr>
        <w:t xml:space="preserve"> assays already meet high levels of accuracy, but </w:t>
      </w:r>
      <w:r w:rsidR="002317E2" w:rsidRPr="002317E2">
        <w:rPr>
          <w:highlight w:val="lightGray"/>
          <w:lang w:val="en-US"/>
        </w:rPr>
        <w:t xml:space="preserve">our results indicate that </w:t>
      </w:r>
      <w:r w:rsidR="00314581" w:rsidRPr="002317E2">
        <w:rPr>
          <w:highlight w:val="lightGray"/>
          <w:lang w:val="en-US"/>
        </w:rPr>
        <w:t xml:space="preserve">perhaps other parameters still need to be prioritized, </w:t>
      </w:r>
      <w:r>
        <w:rPr>
          <w:highlight w:val="lightGray"/>
          <w:lang w:val="en-US"/>
        </w:rPr>
        <w:t xml:space="preserve">such as </w:t>
      </w:r>
      <w:r w:rsidR="002317E2" w:rsidRPr="002317E2">
        <w:rPr>
          <w:highlight w:val="lightGray"/>
          <w:lang w:val="en-US"/>
        </w:rPr>
        <w:t xml:space="preserve">potential </w:t>
      </w:r>
      <w:r w:rsidR="00314581" w:rsidRPr="002317E2">
        <w:rPr>
          <w:highlight w:val="lightGray"/>
          <w:lang w:val="en-US"/>
        </w:rPr>
        <w:t>coverage and assay costs.</w:t>
      </w:r>
    </w:p>
    <w:p w14:paraId="4BFF6264" w14:textId="50119F97" w:rsidR="00001AE0" w:rsidRDefault="00001AE0" w:rsidP="00001AE0">
      <w:pPr>
        <w:spacing w:after="0"/>
      </w:pPr>
      <w:r w:rsidRPr="00001AE0">
        <w:t>WHO has established the ASSURED criteria for POC diagnostics (Affordable, Sensitive, Specific, User-friendly, Rapid/Robust, Equipment-free and Deliverable to end users</w:t>
      </w:r>
      <w:proofErr w:type="gramStart"/>
      <w:r w:rsidRPr="00001AE0">
        <w:t>)(</w:t>
      </w:r>
      <w:proofErr w:type="gramEnd"/>
      <w:r w:rsidRPr="00001AE0">
        <w:t>1</w:t>
      </w:r>
      <w:r w:rsidR="00E534D9">
        <w:t>5</w:t>
      </w:r>
      <w:r w:rsidRPr="00001AE0">
        <w:t xml:space="preserve">).   It has been </w:t>
      </w:r>
      <w:r w:rsidR="005E2D39">
        <w:t xml:space="preserve">suggested </w:t>
      </w:r>
      <w:r w:rsidRPr="00001AE0">
        <w:t xml:space="preserve">that the WHO preference for equipment-free POC tests presents a potential conflict with the need to deliver high sensitivity and </w:t>
      </w:r>
      <w:proofErr w:type="gramStart"/>
      <w:r w:rsidRPr="00001AE0">
        <w:t>specificity(</w:t>
      </w:r>
      <w:proofErr w:type="gramEnd"/>
      <w:r w:rsidRPr="00001AE0">
        <w:t>1</w:t>
      </w:r>
      <w:r w:rsidR="00E534D9">
        <w:t>6</w:t>
      </w:r>
      <w:r w:rsidRPr="00001AE0">
        <w:t xml:space="preserve">).  Our results suggest that the population health effects of reduced sensitivity and specificity, of an equivalent level to the DBS base scenario, for example, </w:t>
      </w:r>
      <w:r w:rsidR="00D46F9E" w:rsidRPr="00001AE0">
        <w:t>are modest compared to the potential benefits of</w:t>
      </w:r>
      <w:r w:rsidR="00D46F9E">
        <w:t xml:space="preserve"> increased access and </w:t>
      </w:r>
      <w:r w:rsidR="00D46F9E" w:rsidRPr="00001AE0">
        <w:t>ease of patient management</w:t>
      </w:r>
      <w:r w:rsidRPr="00001AE0">
        <w:t xml:space="preserve">. </w:t>
      </w:r>
      <w:r w:rsidR="00C97D66">
        <w:t xml:space="preserve"> </w:t>
      </w:r>
      <w:proofErr w:type="spellStart"/>
      <w:r w:rsidRPr="00C97D66">
        <w:rPr>
          <w:highlight w:val="lightGray"/>
        </w:rPr>
        <w:t>Weidemaier</w:t>
      </w:r>
      <w:proofErr w:type="spellEnd"/>
      <w:r w:rsidRPr="00C97D66">
        <w:rPr>
          <w:highlight w:val="lightGray"/>
        </w:rPr>
        <w:t xml:space="preserve"> et al argue that ASSURED criteria imply </w:t>
      </w:r>
      <w:r w:rsidR="00E534D9">
        <w:rPr>
          <w:highlight w:val="lightGray"/>
        </w:rPr>
        <w:t xml:space="preserve">that </w:t>
      </w:r>
      <w:r w:rsidRPr="00C97D66">
        <w:rPr>
          <w:highlight w:val="lightGray"/>
        </w:rPr>
        <w:t xml:space="preserve">resource capacities where interventions are ultimately </w:t>
      </w:r>
      <w:r w:rsidR="00E534D9">
        <w:rPr>
          <w:highlight w:val="lightGray"/>
        </w:rPr>
        <w:t xml:space="preserve">to be </w:t>
      </w:r>
      <w:r w:rsidRPr="00C97D66">
        <w:rPr>
          <w:highlight w:val="lightGray"/>
        </w:rPr>
        <w:t xml:space="preserve">used </w:t>
      </w:r>
      <w:r w:rsidR="00E534D9">
        <w:rPr>
          <w:highlight w:val="lightGray"/>
        </w:rPr>
        <w:t xml:space="preserve">should </w:t>
      </w:r>
      <w:r w:rsidRPr="00C97D66">
        <w:rPr>
          <w:highlight w:val="lightGray"/>
        </w:rPr>
        <w:t>be taken into consideration throughout the tech</w:t>
      </w:r>
      <w:r w:rsidRPr="00C97D66">
        <w:rPr>
          <w:highlight w:val="lightGray"/>
        </w:rPr>
        <w:softHyphen/>
        <w:t xml:space="preserve">nology development </w:t>
      </w:r>
      <w:proofErr w:type="gramStart"/>
      <w:r w:rsidRPr="00C97D66">
        <w:rPr>
          <w:highlight w:val="lightGray"/>
        </w:rPr>
        <w:t>process</w:t>
      </w:r>
      <w:r w:rsidRPr="00001AE0">
        <w:t>(</w:t>
      </w:r>
      <w:proofErr w:type="gramEnd"/>
      <w:r w:rsidRPr="00001AE0">
        <w:t>1</w:t>
      </w:r>
      <w:r w:rsidR="00E534D9">
        <w:t>6</w:t>
      </w:r>
      <w:r w:rsidRPr="00001AE0">
        <w:t xml:space="preserve">).  This study </w:t>
      </w:r>
      <w:r w:rsidR="002A24EB">
        <w:t xml:space="preserve">attempts </w:t>
      </w:r>
      <w:r w:rsidR="00EC428D" w:rsidRPr="00C97D66">
        <w:rPr>
          <w:highlight w:val="lightGray"/>
        </w:rPr>
        <w:t>to</w:t>
      </w:r>
      <w:r w:rsidR="00EC428D">
        <w:t xml:space="preserve"> </w:t>
      </w:r>
      <w:r w:rsidR="002A24EB">
        <w:t>facilitate this</w:t>
      </w:r>
      <w:r w:rsidRPr="00001AE0">
        <w:t xml:space="preserve"> for POC viral load</w:t>
      </w:r>
      <w:r w:rsidR="002A24EB">
        <w:t xml:space="preserve"> tests</w:t>
      </w:r>
      <w:r w:rsidRPr="00001AE0">
        <w:t>.</w:t>
      </w:r>
    </w:p>
    <w:p w14:paraId="1F6E7736" w14:textId="77777777" w:rsidR="0032629C" w:rsidRDefault="0032629C" w:rsidP="00001AE0">
      <w:pPr>
        <w:spacing w:after="0"/>
      </w:pPr>
    </w:p>
    <w:p w14:paraId="6A080555" w14:textId="6C28C658" w:rsidR="00E534D9" w:rsidRPr="005B529E" w:rsidRDefault="0032629C" w:rsidP="00E534D9">
      <w:pPr>
        <w:spacing w:after="0"/>
        <w:rPr>
          <w:lang w:val="en-US"/>
        </w:rPr>
      </w:pPr>
      <w:r>
        <w:t xml:space="preserve">We assigned a set of attribute values to the DBS base </w:t>
      </w:r>
      <w:r w:rsidR="008D4A8C">
        <w:t>scenario</w:t>
      </w:r>
      <w:r>
        <w:t xml:space="preserve"> but there remains uncertainty whether these can be achieved in practice.   </w:t>
      </w:r>
      <w:r w:rsidR="00E534D9" w:rsidRPr="00E534D9">
        <w:rPr>
          <w:highlight w:val="lightGray"/>
          <w:lang w:val="en-US"/>
        </w:rPr>
        <w:t xml:space="preserve">We considered compiling one or two plausible sets of attributes that might reflect a particular POC test.  We elected not to do this as any given choice of parameter sets appears extremely arbitrary as there are essentially no data yet available on real life implementation of true POC assays to inform the values.   </w:t>
      </w:r>
      <w:r w:rsidR="00E534D9">
        <w:t>As data become available on attributes of different testing approaches, our model can be used to compare cost-effectiveness both between POC tests and with the DBS alternative.</w:t>
      </w:r>
    </w:p>
    <w:p w14:paraId="686D7793" w14:textId="77777777" w:rsidR="003208F3" w:rsidRDefault="003208F3" w:rsidP="00D91204">
      <w:pPr>
        <w:rPr>
          <w:b/>
          <w:sz w:val="20"/>
          <w:szCs w:val="20"/>
        </w:rPr>
      </w:pPr>
    </w:p>
    <w:p w14:paraId="4A91235C" w14:textId="77777777" w:rsidR="0072012F" w:rsidRDefault="0072012F">
      <w:pPr>
        <w:rPr>
          <w:b/>
        </w:rPr>
      </w:pPr>
      <w:r>
        <w:rPr>
          <w:b/>
        </w:rPr>
        <w:br w:type="page"/>
      </w:r>
    </w:p>
    <w:p w14:paraId="3D065BE9" w14:textId="77777777" w:rsidR="0072012F" w:rsidRPr="0072012F" w:rsidRDefault="0072012F" w:rsidP="0072012F">
      <w:pPr>
        <w:rPr>
          <w:b/>
        </w:rPr>
      </w:pPr>
      <w:r w:rsidRPr="0072012F">
        <w:rPr>
          <w:b/>
        </w:rPr>
        <w:t>Funding Sources</w:t>
      </w:r>
    </w:p>
    <w:p w14:paraId="3800CB2B" w14:textId="77777777" w:rsidR="0072012F" w:rsidRPr="0072012F" w:rsidRDefault="0072012F" w:rsidP="0072012F">
      <w:r w:rsidRPr="0072012F">
        <w:t xml:space="preserve">Funding from the </w:t>
      </w:r>
      <w:r>
        <w:t>Bill &amp; Melinda Gates Foundation</w:t>
      </w:r>
      <w:r w:rsidRPr="0072012F">
        <w:t>. We thank colleagues supporting the Legion computing cluster (</w:t>
      </w:r>
      <w:proofErr w:type="spellStart"/>
      <w:r w:rsidRPr="0072012F">
        <w:t>Legion@UCL</w:t>
      </w:r>
      <w:proofErr w:type="spellEnd"/>
      <w:r w:rsidRPr="0072012F">
        <w:t xml:space="preserve">) for critical computing support. </w:t>
      </w:r>
    </w:p>
    <w:p w14:paraId="117EFC14" w14:textId="77777777" w:rsidR="0072012F" w:rsidRDefault="0072012F" w:rsidP="0072012F">
      <w:pPr>
        <w:rPr>
          <w:b/>
        </w:rPr>
      </w:pPr>
    </w:p>
    <w:p w14:paraId="4F993B5E" w14:textId="77777777" w:rsidR="0072012F" w:rsidRPr="0072012F" w:rsidRDefault="0072012F" w:rsidP="0072012F">
      <w:pPr>
        <w:rPr>
          <w:b/>
        </w:rPr>
      </w:pPr>
      <w:r w:rsidRPr="0072012F">
        <w:rPr>
          <w:b/>
        </w:rPr>
        <w:t>Author Contributions</w:t>
      </w:r>
    </w:p>
    <w:p w14:paraId="44877684" w14:textId="77777777" w:rsidR="0072012F" w:rsidRPr="0072012F" w:rsidRDefault="0072012F" w:rsidP="0072012F">
      <w:r w:rsidRPr="0072012F">
        <w:t xml:space="preserve">All authors contributed to defining the analysis concept and design, providing critical input to the conduct of the modelling analysis, and writing the manuscript.  AP, VC and FN developed the model and conducted the modelling analysis.  </w:t>
      </w:r>
    </w:p>
    <w:p w14:paraId="1BDA78FA" w14:textId="77777777" w:rsidR="0072012F" w:rsidRDefault="0072012F" w:rsidP="0072012F">
      <w:pPr>
        <w:rPr>
          <w:b/>
        </w:rPr>
      </w:pPr>
    </w:p>
    <w:p w14:paraId="275FCC30" w14:textId="77777777" w:rsidR="0072012F" w:rsidRPr="0072012F" w:rsidRDefault="0072012F" w:rsidP="0072012F">
      <w:pPr>
        <w:rPr>
          <w:b/>
        </w:rPr>
      </w:pPr>
      <w:r w:rsidRPr="0072012F">
        <w:rPr>
          <w:b/>
        </w:rPr>
        <w:t>Conflicts of Interests</w:t>
      </w:r>
    </w:p>
    <w:p w14:paraId="21291E36" w14:textId="77777777" w:rsidR="003208F3" w:rsidRPr="0072012F" w:rsidRDefault="0072012F" w:rsidP="0072012F">
      <w:pPr>
        <w:rPr>
          <w:sz w:val="20"/>
          <w:szCs w:val="20"/>
        </w:rPr>
      </w:pPr>
      <w:proofErr w:type="spellStart"/>
      <w:r w:rsidRPr="0072012F">
        <w:t>Dr.</w:t>
      </w:r>
      <w:proofErr w:type="spellEnd"/>
      <w:r w:rsidRPr="0072012F">
        <w:t xml:space="preserve"> Phil</w:t>
      </w:r>
      <w:r w:rsidR="008D4A8C">
        <w:t xml:space="preserve">lips reports grants from BMGF, </w:t>
      </w:r>
      <w:r w:rsidRPr="0072012F">
        <w:t xml:space="preserve">during the conduct of the study; personal fees from Gilead Sciences, personal fees from </w:t>
      </w:r>
      <w:proofErr w:type="spellStart"/>
      <w:r w:rsidRPr="0072012F">
        <w:t>Abbvie</w:t>
      </w:r>
      <w:proofErr w:type="spellEnd"/>
      <w:r w:rsidRPr="0072012F">
        <w:t>, personal fees from GSK Biologicals, personal fees from Ashfield Communications</w:t>
      </w:r>
      <w:proofErr w:type="gramStart"/>
      <w:r w:rsidRPr="0072012F">
        <w:t>,  outside</w:t>
      </w:r>
      <w:proofErr w:type="gramEnd"/>
      <w:r w:rsidRPr="0072012F">
        <w:t xml:space="preserve"> the submitted work.   </w:t>
      </w:r>
    </w:p>
    <w:p w14:paraId="4178D01D" w14:textId="77777777" w:rsidR="00AA15DA" w:rsidRDefault="00AA15DA" w:rsidP="00D91204">
      <w:pPr>
        <w:rPr>
          <w:b/>
          <w:sz w:val="20"/>
          <w:szCs w:val="20"/>
        </w:rPr>
      </w:pPr>
    </w:p>
    <w:p w14:paraId="52D4C1D9" w14:textId="77777777" w:rsidR="00AA15DA" w:rsidRDefault="00AA15DA" w:rsidP="00D91204">
      <w:pPr>
        <w:rPr>
          <w:b/>
          <w:sz w:val="20"/>
          <w:szCs w:val="20"/>
        </w:rPr>
      </w:pPr>
    </w:p>
    <w:p w14:paraId="471D8F74" w14:textId="77777777" w:rsidR="00AA15DA" w:rsidRDefault="00AA15DA" w:rsidP="00D91204">
      <w:pPr>
        <w:rPr>
          <w:b/>
          <w:sz w:val="20"/>
          <w:szCs w:val="20"/>
        </w:rPr>
      </w:pPr>
    </w:p>
    <w:p w14:paraId="54152503" w14:textId="77777777" w:rsidR="00FB3470" w:rsidRDefault="00FB3470">
      <w:pPr>
        <w:rPr>
          <w:b/>
        </w:rPr>
      </w:pPr>
      <w:r>
        <w:rPr>
          <w:b/>
        </w:rPr>
        <w:br w:type="page"/>
      </w:r>
    </w:p>
    <w:p w14:paraId="4A39D60E" w14:textId="77777777" w:rsidR="00D91204" w:rsidRPr="00F57963" w:rsidRDefault="00D91204" w:rsidP="00D91204">
      <w:pPr>
        <w:rPr>
          <w:sz w:val="20"/>
          <w:szCs w:val="20"/>
        </w:rPr>
      </w:pPr>
      <w:proofErr w:type="gramStart"/>
      <w:r w:rsidRPr="00AA15DA">
        <w:rPr>
          <w:b/>
        </w:rPr>
        <w:t>References</w:t>
      </w:r>
      <w:r w:rsidR="00F96E12" w:rsidRPr="00F57963">
        <w:rPr>
          <w:b/>
          <w:sz w:val="20"/>
          <w:szCs w:val="20"/>
        </w:rPr>
        <w:t xml:space="preserve">  </w:t>
      </w:r>
      <w:r w:rsidR="00F96E12" w:rsidRPr="006357D4">
        <w:rPr>
          <w:sz w:val="20"/>
          <w:szCs w:val="20"/>
        </w:rPr>
        <w:t>(</w:t>
      </w:r>
      <w:proofErr w:type="gramEnd"/>
      <w:r w:rsidR="00F96E12" w:rsidRPr="006357D4">
        <w:rPr>
          <w:sz w:val="20"/>
          <w:szCs w:val="20"/>
        </w:rPr>
        <w:t>limit 15 references for Brief Reports in JID)</w:t>
      </w:r>
    </w:p>
    <w:p w14:paraId="27D5BB7E" w14:textId="77777777" w:rsidR="00A06429" w:rsidRDefault="00A06429" w:rsidP="00A06429">
      <w:pPr>
        <w:pStyle w:val="ListParagraph"/>
        <w:numPr>
          <w:ilvl w:val="0"/>
          <w:numId w:val="7"/>
        </w:numPr>
        <w:rPr>
          <w:sz w:val="20"/>
          <w:szCs w:val="20"/>
        </w:rPr>
      </w:pPr>
      <w:r w:rsidRPr="00F57963">
        <w:rPr>
          <w:sz w:val="20"/>
          <w:szCs w:val="20"/>
        </w:rPr>
        <w:t xml:space="preserve">World Health Organisation. Technical and operational considerations for implementing HIV viral load testing.  Access to HIV diagnostics.  July 2014.  www.who.int </w:t>
      </w:r>
    </w:p>
    <w:p w14:paraId="4D869389" w14:textId="77777777" w:rsidR="00783033" w:rsidRPr="00783033" w:rsidRDefault="00783033" w:rsidP="00783033">
      <w:pPr>
        <w:pStyle w:val="ListParagraph"/>
        <w:numPr>
          <w:ilvl w:val="0"/>
          <w:numId w:val="7"/>
        </w:numPr>
        <w:autoSpaceDE w:val="0"/>
        <w:autoSpaceDN w:val="0"/>
        <w:adjustRightInd w:val="0"/>
        <w:rPr>
          <w:rFonts w:cs="ScalaLancetPro"/>
          <w:sz w:val="20"/>
          <w:szCs w:val="20"/>
        </w:rPr>
      </w:pPr>
      <w:r w:rsidRPr="00783033">
        <w:rPr>
          <w:rFonts w:cs="ScalaLancetPro"/>
          <w:sz w:val="20"/>
          <w:szCs w:val="20"/>
        </w:rPr>
        <w:t xml:space="preserve">Smit PW, </w:t>
      </w:r>
      <w:proofErr w:type="spellStart"/>
      <w:r w:rsidRPr="00783033">
        <w:rPr>
          <w:rFonts w:cs="ScalaLancetPro"/>
          <w:sz w:val="20"/>
          <w:szCs w:val="20"/>
        </w:rPr>
        <w:t>Sollis</w:t>
      </w:r>
      <w:proofErr w:type="spellEnd"/>
      <w:r w:rsidRPr="00783033">
        <w:rPr>
          <w:rFonts w:cs="ScalaLancetPro"/>
          <w:sz w:val="20"/>
          <w:szCs w:val="20"/>
        </w:rPr>
        <w:t xml:space="preserve"> KA, </w:t>
      </w:r>
      <w:proofErr w:type="spellStart"/>
      <w:r w:rsidRPr="00783033">
        <w:rPr>
          <w:rFonts w:cs="ScalaLancetPro"/>
          <w:sz w:val="20"/>
          <w:szCs w:val="20"/>
        </w:rPr>
        <w:t>Fiscus</w:t>
      </w:r>
      <w:proofErr w:type="spellEnd"/>
      <w:r w:rsidRPr="00783033">
        <w:rPr>
          <w:rFonts w:cs="ScalaLancetPro"/>
          <w:sz w:val="20"/>
          <w:szCs w:val="20"/>
        </w:rPr>
        <w:t xml:space="preserve"> S, Ford N, Vitoria M, et al. (2014) Systematic Review of the Use of Dried Blood Spots for Monitoring HIV Viral Load and for Early Infant Diagnosis. </w:t>
      </w:r>
      <w:proofErr w:type="spellStart"/>
      <w:r w:rsidRPr="00783033">
        <w:rPr>
          <w:rFonts w:cs="ScalaLancetPro"/>
          <w:sz w:val="20"/>
          <w:szCs w:val="20"/>
        </w:rPr>
        <w:t>PLoS</w:t>
      </w:r>
      <w:proofErr w:type="spellEnd"/>
      <w:r w:rsidRPr="00783033">
        <w:rPr>
          <w:rFonts w:cs="ScalaLancetPro"/>
          <w:sz w:val="20"/>
          <w:szCs w:val="20"/>
        </w:rPr>
        <w:t xml:space="preserve"> ONE 9(3): e86461. doi:10.1371/journal.pone.0086461</w:t>
      </w:r>
    </w:p>
    <w:p w14:paraId="3ED6C28A" w14:textId="77777777" w:rsidR="004D28F0" w:rsidRPr="004D28F0" w:rsidRDefault="004D28F0" w:rsidP="00345591">
      <w:pPr>
        <w:pStyle w:val="ListParagraph"/>
        <w:numPr>
          <w:ilvl w:val="0"/>
          <w:numId w:val="7"/>
        </w:numPr>
        <w:rPr>
          <w:sz w:val="20"/>
          <w:szCs w:val="20"/>
        </w:rPr>
      </w:pPr>
      <w:r w:rsidRPr="004D28F0">
        <w:rPr>
          <w:sz w:val="20"/>
          <w:szCs w:val="20"/>
        </w:rPr>
        <w:t>Operational and Service Delivery</w:t>
      </w:r>
      <w:r>
        <w:rPr>
          <w:sz w:val="20"/>
          <w:szCs w:val="20"/>
        </w:rPr>
        <w:t xml:space="preserve"> </w:t>
      </w:r>
      <w:r w:rsidRPr="004D28F0">
        <w:rPr>
          <w:sz w:val="20"/>
          <w:szCs w:val="20"/>
        </w:rPr>
        <w:t>Manual</w:t>
      </w:r>
      <w:r>
        <w:rPr>
          <w:sz w:val="20"/>
          <w:szCs w:val="20"/>
        </w:rPr>
        <w:t xml:space="preserve"> </w:t>
      </w:r>
      <w:r w:rsidRPr="004D28F0">
        <w:rPr>
          <w:sz w:val="20"/>
          <w:szCs w:val="20"/>
        </w:rPr>
        <w:t>for the Prevention, Care and Treatment of HIV in Zimbabwe AIDS &amp; TB Programme.  Ministry of Health and Child Care, Zimbabwe.  June 2015.</w:t>
      </w:r>
    </w:p>
    <w:p w14:paraId="4FF204D2" w14:textId="77777777" w:rsidR="00EC1F44" w:rsidRPr="00EC1F44" w:rsidRDefault="00EC1F44" w:rsidP="004D28F0">
      <w:pPr>
        <w:pStyle w:val="ListParagraph"/>
        <w:numPr>
          <w:ilvl w:val="0"/>
          <w:numId w:val="7"/>
        </w:numPr>
        <w:rPr>
          <w:sz w:val="20"/>
          <w:szCs w:val="20"/>
        </w:rPr>
      </w:pPr>
      <w:r w:rsidRPr="00EC1F44">
        <w:rPr>
          <w:sz w:val="20"/>
          <w:szCs w:val="20"/>
        </w:rPr>
        <w:t xml:space="preserve">Rowley CF.  Developments in CD4 and Viral Load Monitoring in Resource-Limited Settings.  </w:t>
      </w:r>
      <w:proofErr w:type="spellStart"/>
      <w:r w:rsidRPr="00EC1F44">
        <w:rPr>
          <w:sz w:val="20"/>
          <w:szCs w:val="20"/>
        </w:rPr>
        <w:t>Clin</w:t>
      </w:r>
      <w:proofErr w:type="spellEnd"/>
      <w:r w:rsidRPr="00EC1F44">
        <w:rPr>
          <w:sz w:val="20"/>
          <w:szCs w:val="20"/>
        </w:rPr>
        <w:t xml:space="preserve"> Infect </w:t>
      </w:r>
      <w:proofErr w:type="gramStart"/>
      <w:r w:rsidRPr="00EC1F44">
        <w:rPr>
          <w:sz w:val="20"/>
          <w:szCs w:val="20"/>
        </w:rPr>
        <w:t>Dis  2014</w:t>
      </w:r>
      <w:proofErr w:type="gramEnd"/>
      <w:r w:rsidRPr="00EC1F44">
        <w:rPr>
          <w:sz w:val="20"/>
          <w:szCs w:val="20"/>
        </w:rPr>
        <w:t>; 58:407-412.</w:t>
      </w:r>
    </w:p>
    <w:p w14:paraId="12AFBA38" w14:textId="77777777" w:rsidR="00EC1F44" w:rsidRPr="00EC1F44" w:rsidRDefault="00EC1F44" w:rsidP="00EC1F44">
      <w:pPr>
        <w:pStyle w:val="ListParagraph"/>
        <w:numPr>
          <w:ilvl w:val="0"/>
          <w:numId w:val="7"/>
        </w:numPr>
        <w:rPr>
          <w:sz w:val="20"/>
          <w:szCs w:val="20"/>
        </w:rPr>
      </w:pPr>
      <w:proofErr w:type="spellStart"/>
      <w:r w:rsidRPr="00EC1F44">
        <w:rPr>
          <w:sz w:val="20"/>
          <w:szCs w:val="20"/>
        </w:rPr>
        <w:t>Shafiee</w:t>
      </w:r>
      <w:proofErr w:type="spellEnd"/>
      <w:r w:rsidRPr="00EC1F44">
        <w:rPr>
          <w:sz w:val="20"/>
          <w:szCs w:val="20"/>
        </w:rPr>
        <w:t xml:space="preserve"> H,  Wang SQ, </w:t>
      </w:r>
      <w:proofErr w:type="spellStart"/>
      <w:r w:rsidRPr="00EC1F44">
        <w:rPr>
          <w:sz w:val="20"/>
          <w:szCs w:val="20"/>
        </w:rPr>
        <w:t>Inci</w:t>
      </w:r>
      <w:proofErr w:type="spellEnd"/>
      <w:r w:rsidRPr="00EC1F44">
        <w:rPr>
          <w:sz w:val="20"/>
          <w:szCs w:val="20"/>
        </w:rPr>
        <w:t xml:space="preserve"> F, Toy M, </w:t>
      </w:r>
      <w:proofErr w:type="spellStart"/>
      <w:r w:rsidRPr="00EC1F44">
        <w:rPr>
          <w:sz w:val="20"/>
          <w:szCs w:val="20"/>
        </w:rPr>
        <w:t>Henrich</w:t>
      </w:r>
      <w:proofErr w:type="spellEnd"/>
      <w:r w:rsidRPr="00EC1F44">
        <w:rPr>
          <w:sz w:val="20"/>
          <w:szCs w:val="20"/>
        </w:rPr>
        <w:t xml:space="preserve"> TJ, </w:t>
      </w:r>
      <w:proofErr w:type="spellStart"/>
      <w:r w:rsidRPr="00EC1F44">
        <w:rPr>
          <w:sz w:val="20"/>
          <w:szCs w:val="20"/>
        </w:rPr>
        <w:t>Kuritzkes</w:t>
      </w:r>
      <w:proofErr w:type="spellEnd"/>
      <w:r w:rsidRPr="00EC1F44">
        <w:rPr>
          <w:sz w:val="20"/>
          <w:szCs w:val="20"/>
        </w:rPr>
        <w:t xml:space="preserve"> DR, </w:t>
      </w:r>
      <w:proofErr w:type="spellStart"/>
      <w:r w:rsidRPr="00EC1F44">
        <w:rPr>
          <w:sz w:val="20"/>
          <w:szCs w:val="20"/>
        </w:rPr>
        <w:t>Demirci</w:t>
      </w:r>
      <w:proofErr w:type="spellEnd"/>
      <w:r w:rsidRPr="00EC1F44">
        <w:rPr>
          <w:sz w:val="20"/>
          <w:szCs w:val="20"/>
        </w:rPr>
        <w:t xml:space="preserve"> U. </w:t>
      </w:r>
      <w:proofErr w:type="spellStart"/>
      <w:r w:rsidRPr="00EC1F44">
        <w:rPr>
          <w:sz w:val="20"/>
          <w:szCs w:val="20"/>
        </w:rPr>
        <w:t>Shafiee</w:t>
      </w:r>
      <w:proofErr w:type="spellEnd"/>
      <w:r w:rsidRPr="00EC1F44">
        <w:rPr>
          <w:sz w:val="20"/>
          <w:szCs w:val="20"/>
        </w:rPr>
        <w:t xml:space="preserve"> H.   Emerging Technologies for Point-of-Care Management of HIV Infection.  Ann Rev Med 2015</w:t>
      </w:r>
      <w:proofErr w:type="gramStart"/>
      <w:r w:rsidRPr="00EC1F44">
        <w:rPr>
          <w:sz w:val="20"/>
          <w:szCs w:val="20"/>
        </w:rPr>
        <w:t>;  66</w:t>
      </w:r>
      <w:proofErr w:type="gramEnd"/>
      <w:r w:rsidRPr="00EC1F44">
        <w:rPr>
          <w:sz w:val="20"/>
          <w:szCs w:val="20"/>
        </w:rPr>
        <w:t xml:space="preserve">: 387-405.  </w:t>
      </w:r>
    </w:p>
    <w:p w14:paraId="7A87A638" w14:textId="77777777" w:rsidR="00EC1F44" w:rsidRDefault="00EC1F44" w:rsidP="00EC1F44">
      <w:pPr>
        <w:pStyle w:val="ListParagraph"/>
        <w:numPr>
          <w:ilvl w:val="0"/>
          <w:numId w:val="7"/>
        </w:numPr>
        <w:rPr>
          <w:sz w:val="20"/>
          <w:szCs w:val="20"/>
        </w:rPr>
      </w:pPr>
      <w:r w:rsidRPr="00EC1F44">
        <w:rPr>
          <w:sz w:val="20"/>
          <w:szCs w:val="20"/>
        </w:rPr>
        <w:t xml:space="preserve">Stevens W, </w:t>
      </w:r>
      <w:proofErr w:type="spellStart"/>
      <w:r w:rsidRPr="00EC1F44">
        <w:rPr>
          <w:sz w:val="20"/>
          <w:szCs w:val="20"/>
        </w:rPr>
        <w:t>Gous</w:t>
      </w:r>
      <w:proofErr w:type="spellEnd"/>
      <w:r w:rsidRPr="00EC1F44">
        <w:rPr>
          <w:sz w:val="20"/>
          <w:szCs w:val="20"/>
        </w:rPr>
        <w:t xml:space="preserve"> N, Ford N, Scott LE.  Feasibility of HIV point-of-care tests for resource-limited settings: challenges and solutions.  BMC Medicine 2014; 12  DOI 10.1186/s12916-014-0173-7</w:t>
      </w:r>
    </w:p>
    <w:p w14:paraId="4100B52B" w14:textId="77777777" w:rsidR="00EC1F44" w:rsidRPr="00EC1F44" w:rsidRDefault="00EC1F44" w:rsidP="00EC1F44">
      <w:pPr>
        <w:pStyle w:val="ListParagraph"/>
        <w:numPr>
          <w:ilvl w:val="0"/>
          <w:numId w:val="7"/>
        </w:numPr>
        <w:rPr>
          <w:sz w:val="20"/>
          <w:szCs w:val="20"/>
        </w:rPr>
      </w:pPr>
      <w:r w:rsidRPr="00F57963">
        <w:rPr>
          <w:sz w:val="20"/>
          <w:szCs w:val="20"/>
        </w:rPr>
        <w:t xml:space="preserve">UNITAID.  HIV/AIDS Diagnostics Technology Landscape.  </w:t>
      </w:r>
      <w:proofErr w:type="spellStart"/>
      <w:r w:rsidRPr="00F57963">
        <w:rPr>
          <w:sz w:val="20"/>
          <w:szCs w:val="20"/>
        </w:rPr>
        <w:t>Semi annual</w:t>
      </w:r>
      <w:proofErr w:type="spellEnd"/>
      <w:r w:rsidRPr="00F57963">
        <w:rPr>
          <w:sz w:val="20"/>
          <w:szCs w:val="20"/>
        </w:rPr>
        <w:t xml:space="preserve"> update. 2015.  www.unitaid.org</w:t>
      </w:r>
    </w:p>
    <w:p w14:paraId="53331227" w14:textId="77777777" w:rsidR="00F57963" w:rsidRPr="006357D4" w:rsidRDefault="00F57963" w:rsidP="00F57963">
      <w:pPr>
        <w:pStyle w:val="ListParagraph"/>
        <w:numPr>
          <w:ilvl w:val="0"/>
          <w:numId w:val="7"/>
        </w:numPr>
        <w:rPr>
          <w:sz w:val="20"/>
          <w:szCs w:val="20"/>
        </w:rPr>
      </w:pPr>
      <w:r w:rsidRPr="00F57963">
        <w:rPr>
          <w:sz w:val="20"/>
          <w:szCs w:val="20"/>
        </w:rPr>
        <w:t xml:space="preserve">Working Group on Modelling of Antiretroviral Therapy Monitoring Strategies in sub-Saharan Africa.  </w:t>
      </w:r>
      <w:r w:rsidRPr="00F57963">
        <w:rPr>
          <w:bCs/>
          <w:sz w:val="20"/>
          <w:szCs w:val="20"/>
        </w:rPr>
        <w:t xml:space="preserve">Sustainable </w:t>
      </w:r>
      <w:r w:rsidRPr="006357D4">
        <w:rPr>
          <w:bCs/>
          <w:sz w:val="20"/>
          <w:szCs w:val="20"/>
        </w:rPr>
        <w:t xml:space="preserve">HIV treatment in Africa through viral-load-informed differentiated care.  </w:t>
      </w:r>
      <w:r w:rsidRPr="006357D4">
        <w:rPr>
          <w:bCs/>
          <w:i/>
          <w:iCs/>
          <w:sz w:val="20"/>
          <w:szCs w:val="20"/>
        </w:rPr>
        <w:t xml:space="preserve">Nature </w:t>
      </w:r>
      <w:r w:rsidRPr="006357D4">
        <w:rPr>
          <w:b/>
          <w:bCs/>
          <w:sz w:val="20"/>
          <w:szCs w:val="20"/>
        </w:rPr>
        <w:t xml:space="preserve">528, </w:t>
      </w:r>
      <w:r w:rsidRPr="006357D4">
        <w:rPr>
          <w:bCs/>
          <w:sz w:val="20"/>
          <w:szCs w:val="20"/>
        </w:rPr>
        <w:t>SX-SXX (3 December 2015), DOI: 10.1038/nature16046</w:t>
      </w:r>
    </w:p>
    <w:p w14:paraId="638439BF" w14:textId="77777777" w:rsidR="00E534D9" w:rsidRPr="00E534D9" w:rsidRDefault="008A477B" w:rsidP="009821C3">
      <w:pPr>
        <w:pStyle w:val="ListParagraph"/>
        <w:numPr>
          <w:ilvl w:val="0"/>
          <w:numId w:val="7"/>
        </w:numPr>
        <w:rPr>
          <w:sz w:val="20"/>
          <w:szCs w:val="20"/>
        </w:rPr>
      </w:pPr>
      <w:proofErr w:type="spellStart"/>
      <w:r w:rsidRPr="00E534D9">
        <w:rPr>
          <w:bCs/>
          <w:sz w:val="20"/>
          <w:szCs w:val="20"/>
        </w:rPr>
        <w:t>MoHCC</w:t>
      </w:r>
      <w:proofErr w:type="spellEnd"/>
      <w:r w:rsidRPr="00E534D9">
        <w:rPr>
          <w:bCs/>
          <w:sz w:val="20"/>
          <w:szCs w:val="20"/>
        </w:rPr>
        <w:t xml:space="preserve"> Zimbabwe person communication </w:t>
      </w:r>
      <w:r w:rsidR="006357D4" w:rsidRPr="00E534D9">
        <w:rPr>
          <w:bCs/>
          <w:sz w:val="20"/>
          <w:szCs w:val="20"/>
        </w:rPr>
        <w:t xml:space="preserve">Joseph </w:t>
      </w:r>
      <w:proofErr w:type="spellStart"/>
      <w:r w:rsidR="006357D4" w:rsidRPr="00E534D9">
        <w:rPr>
          <w:bCs/>
          <w:sz w:val="20"/>
          <w:szCs w:val="20"/>
        </w:rPr>
        <w:t>Murungu</w:t>
      </w:r>
      <w:proofErr w:type="spellEnd"/>
      <w:r w:rsidR="006357D4" w:rsidRPr="00E534D9">
        <w:rPr>
          <w:bCs/>
          <w:sz w:val="20"/>
          <w:szCs w:val="20"/>
        </w:rPr>
        <w:t>.</w:t>
      </w:r>
    </w:p>
    <w:p w14:paraId="463B19EF" w14:textId="62A84D05" w:rsidR="00E534D9" w:rsidRPr="00E534D9" w:rsidRDefault="00E534D9" w:rsidP="009821C3">
      <w:pPr>
        <w:pStyle w:val="ListParagraph"/>
        <w:numPr>
          <w:ilvl w:val="0"/>
          <w:numId w:val="7"/>
        </w:numPr>
        <w:rPr>
          <w:sz w:val="20"/>
          <w:szCs w:val="20"/>
          <w:highlight w:val="lightGray"/>
        </w:rPr>
      </w:pPr>
      <w:r w:rsidRPr="00E534D9">
        <w:rPr>
          <w:highlight w:val="lightGray"/>
        </w:rPr>
        <w:t xml:space="preserve">Stinnett, Aaron A., and John </w:t>
      </w:r>
      <w:proofErr w:type="spellStart"/>
      <w:r w:rsidRPr="00E534D9">
        <w:rPr>
          <w:highlight w:val="lightGray"/>
        </w:rPr>
        <w:t>Mullahy</w:t>
      </w:r>
      <w:proofErr w:type="spellEnd"/>
      <w:r w:rsidRPr="00E534D9">
        <w:rPr>
          <w:highlight w:val="lightGray"/>
        </w:rPr>
        <w:t>. "Net health benefits a new framework for the analysis of uncertainty in cost-effectiveness analysis." Medical Decision Making 18.2 (1998): S68-S80.</w:t>
      </w:r>
    </w:p>
    <w:p w14:paraId="300DE337" w14:textId="77777777" w:rsidR="008A477B" w:rsidRPr="008A477B" w:rsidRDefault="008A477B" w:rsidP="008A477B">
      <w:pPr>
        <w:pStyle w:val="ListParagraph"/>
        <w:numPr>
          <w:ilvl w:val="0"/>
          <w:numId w:val="7"/>
        </w:numPr>
        <w:rPr>
          <w:sz w:val="20"/>
          <w:szCs w:val="20"/>
        </w:rPr>
      </w:pPr>
      <w:r w:rsidRPr="006357D4">
        <w:rPr>
          <w:sz w:val="20"/>
          <w:szCs w:val="20"/>
        </w:rPr>
        <w:t>Claxton, K., Walker</w:t>
      </w:r>
      <w:r w:rsidRPr="008A477B">
        <w:rPr>
          <w:sz w:val="20"/>
          <w:szCs w:val="20"/>
        </w:rPr>
        <w:t>, S., Palmer, S., Sculpher, M., ‘Appropriate Perspectives for Health Care Decisions’, Centre for Health Economics Research Paper 54, University of York, 2010.</w:t>
      </w:r>
    </w:p>
    <w:p w14:paraId="1FD27951" w14:textId="77777777" w:rsidR="008A477B" w:rsidRPr="008A477B" w:rsidRDefault="008A477B" w:rsidP="008A477B">
      <w:pPr>
        <w:pStyle w:val="ListParagraph"/>
        <w:numPr>
          <w:ilvl w:val="0"/>
          <w:numId w:val="7"/>
        </w:numPr>
        <w:rPr>
          <w:sz w:val="20"/>
          <w:szCs w:val="20"/>
        </w:rPr>
      </w:pPr>
      <w:r w:rsidRPr="008A477B">
        <w:rPr>
          <w:sz w:val="20"/>
          <w:szCs w:val="20"/>
        </w:rPr>
        <w:t xml:space="preserve">Woods E, Revill P, Sculpher M, Claxton K.  Country-Level Cost- Effectiveness Thresholds: Initial Estimates and the Need for Further Research.    </w:t>
      </w:r>
      <w:hyperlink r:id="rId5" w:history="1">
        <w:r w:rsidRPr="008A477B">
          <w:rPr>
            <w:rStyle w:val="Hyperlink"/>
            <w:sz w:val="20"/>
            <w:szCs w:val="20"/>
          </w:rPr>
          <w:t>https://www.york.ac.uk/media/che/documents/papers/researchpapers/CHERP109_cost-effectiveness_threshold_LMICs.pdf</w:t>
        </w:r>
      </w:hyperlink>
    </w:p>
    <w:p w14:paraId="6884E513" w14:textId="77777777" w:rsidR="008A477B" w:rsidRPr="008A477B" w:rsidRDefault="008A477B" w:rsidP="008A477B">
      <w:pPr>
        <w:pStyle w:val="ListParagraph"/>
        <w:numPr>
          <w:ilvl w:val="0"/>
          <w:numId w:val="7"/>
        </w:numPr>
        <w:rPr>
          <w:sz w:val="20"/>
          <w:szCs w:val="20"/>
        </w:rPr>
      </w:pPr>
      <w:proofErr w:type="spellStart"/>
      <w:r w:rsidRPr="008A477B">
        <w:rPr>
          <w:rFonts w:cs="ScalaLancetPro"/>
          <w:sz w:val="20"/>
          <w:szCs w:val="20"/>
        </w:rPr>
        <w:t>Tagar</w:t>
      </w:r>
      <w:proofErr w:type="spellEnd"/>
      <w:r w:rsidRPr="008A477B">
        <w:rPr>
          <w:rFonts w:cs="ScalaLancetPro"/>
          <w:sz w:val="20"/>
          <w:szCs w:val="20"/>
        </w:rPr>
        <w:t xml:space="preserve"> E, </w:t>
      </w:r>
      <w:proofErr w:type="spellStart"/>
      <w:r w:rsidRPr="008A477B">
        <w:rPr>
          <w:rFonts w:cs="ScalaLancetPro"/>
          <w:sz w:val="20"/>
          <w:szCs w:val="20"/>
        </w:rPr>
        <w:t>Sundaram</w:t>
      </w:r>
      <w:proofErr w:type="spellEnd"/>
      <w:r w:rsidRPr="008A477B">
        <w:rPr>
          <w:rFonts w:cs="ScalaLancetPro"/>
          <w:sz w:val="20"/>
          <w:szCs w:val="20"/>
        </w:rPr>
        <w:t xml:space="preserve"> M, </w:t>
      </w:r>
      <w:proofErr w:type="spellStart"/>
      <w:r w:rsidRPr="008A477B">
        <w:rPr>
          <w:rFonts w:cs="ScalaLancetPro"/>
          <w:sz w:val="20"/>
          <w:szCs w:val="20"/>
        </w:rPr>
        <w:t>Condliffe</w:t>
      </w:r>
      <w:proofErr w:type="spellEnd"/>
      <w:r w:rsidRPr="008A477B">
        <w:rPr>
          <w:rFonts w:cs="ScalaLancetPro"/>
          <w:sz w:val="20"/>
          <w:szCs w:val="20"/>
        </w:rPr>
        <w:t xml:space="preserve"> K, </w:t>
      </w:r>
      <w:proofErr w:type="spellStart"/>
      <w:r w:rsidRPr="008A477B">
        <w:rPr>
          <w:rFonts w:cs="ScalaLancetPro"/>
          <w:sz w:val="20"/>
          <w:szCs w:val="20"/>
        </w:rPr>
        <w:t>Matatiyo</w:t>
      </w:r>
      <w:proofErr w:type="spellEnd"/>
      <w:r w:rsidRPr="008A477B">
        <w:rPr>
          <w:rFonts w:cs="ScalaLancetPro"/>
          <w:sz w:val="20"/>
          <w:szCs w:val="20"/>
        </w:rPr>
        <w:t xml:space="preserve"> B, </w:t>
      </w:r>
      <w:proofErr w:type="spellStart"/>
      <w:r w:rsidRPr="008A477B">
        <w:rPr>
          <w:rFonts w:cs="ScalaLancetPro"/>
          <w:sz w:val="20"/>
          <w:szCs w:val="20"/>
        </w:rPr>
        <w:t>Chimbwandira</w:t>
      </w:r>
      <w:proofErr w:type="spellEnd"/>
      <w:r w:rsidRPr="008A477B">
        <w:rPr>
          <w:rFonts w:cs="ScalaLancetPro"/>
          <w:sz w:val="20"/>
          <w:szCs w:val="20"/>
        </w:rPr>
        <w:t xml:space="preserve"> F, et al. (2014) Multi-Country Analysis of Treatment Costs for HIV/AIDS (MATCH): Facility-Level ART Unit Cost Analysis in Ethiopia, Malawi, Rwanda, South Africa and Zambia. </w:t>
      </w:r>
      <w:proofErr w:type="spellStart"/>
      <w:r w:rsidRPr="008A477B">
        <w:rPr>
          <w:rFonts w:cs="ScalaLancetPro"/>
          <w:sz w:val="20"/>
          <w:szCs w:val="20"/>
        </w:rPr>
        <w:t>PLoS</w:t>
      </w:r>
      <w:proofErr w:type="spellEnd"/>
      <w:r w:rsidRPr="008A477B">
        <w:rPr>
          <w:rFonts w:cs="ScalaLancetPro"/>
          <w:sz w:val="20"/>
          <w:szCs w:val="20"/>
        </w:rPr>
        <w:t xml:space="preserve"> ONE 9(11): e108304. doi:10.1371/journal.pone.0108304</w:t>
      </w:r>
    </w:p>
    <w:p w14:paraId="4D550323" w14:textId="77777777" w:rsidR="004D28F0" w:rsidRPr="004D28F0" w:rsidRDefault="008A477B" w:rsidP="004D28F0">
      <w:pPr>
        <w:pStyle w:val="ListParagraph"/>
        <w:numPr>
          <w:ilvl w:val="0"/>
          <w:numId w:val="7"/>
        </w:numPr>
        <w:rPr>
          <w:sz w:val="20"/>
          <w:szCs w:val="20"/>
        </w:rPr>
      </w:pPr>
      <w:r w:rsidRPr="008A477B">
        <w:rPr>
          <w:rFonts w:cs="ScalaLancetPro"/>
          <w:sz w:val="20"/>
          <w:szCs w:val="20"/>
        </w:rPr>
        <w:t xml:space="preserve">Salomon JA, </w:t>
      </w:r>
      <w:proofErr w:type="spellStart"/>
      <w:r w:rsidRPr="008A477B">
        <w:rPr>
          <w:rFonts w:cs="ScalaLancetPro"/>
          <w:sz w:val="20"/>
          <w:szCs w:val="20"/>
        </w:rPr>
        <w:t>Vos</w:t>
      </w:r>
      <w:proofErr w:type="spellEnd"/>
      <w:r w:rsidRPr="008A477B">
        <w:rPr>
          <w:rFonts w:cs="ScalaLancetPro"/>
          <w:sz w:val="20"/>
          <w:szCs w:val="20"/>
        </w:rPr>
        <w:t xml:space="preserve"> T, Hogan DR, et al. Common values in </w:t>
      </w:r>
      <w:proofErr w:type="gramStart"/>
      <w:r w:rsidRPr="008A477B">
        <w:rPr>
          <w:rFonts w:cs="ScalaLancetPro"/>
          <w:sz w:val="20"/>
          <w:szCs w:val="20"/>
        </w:rPr>
        <w:t>assessing  health</w:t>
      </w:r>
      <w:proofErr w:type="gramEnd"/>
      <w:r w:rsidRPr="008A477B">
        <w:rPr>
          <w:rFonts w:cs="ScalaLancetPro"/>
          <w:sz w:val="20"/>
          <w:szCs w:val="20"/>
        </w:rPr>
        <w:t xml:space="preserve"> outcomes from disease and injury: disability weights measurement study for the Global Burden of Disease </w:t>
      </w:r>
      <w:r w:rsidRPr="004D28F0">
        <w:rPr>
          <w:rFonts w:cs="ScalaLancetPro"/>
          <w:sz w:val="20"/>
          <w:szCs w:val="20"/>
        </w:rPr>
        <w:t>Study 2010.  Lancet 2012; 380: 2129–4310.</w:t>
      </w:r>
    </w:p>
    <w:p w14:paraId="51662B82" w14:textId="77777777" w:rsidR="004D28F0" w:rsidRPr="004D28F0" w:rsidRDefault="004D28F0" w:rsidP="004D28F0">
      <w:pPr>
        <w:pStyle w:val="ListParagraph"/>
        <w:numPr>
          <w:ilvl w:val="0"/>
          <w:numId w:val="7"/>
        </w:numPr>
        <w:rPr>
          <w:rFonts w:cs="ScalaLancetPro"/>
          <w:sz w:val="20"/>
          <w:szCs w:val="20"/>
        </w:rPr>
      </w:pPr>
      <w:proofErr w:type="spellStart"/>
      <w:r w:rsidRPr="004D28F0">
        <w:rPr>
          <w:rFonts w:cs="ScalaLancetPro"/>
          <w:sz w:val="20"/>
          <w:szCs w:val="20"/>
        </w:rPr>
        <w:t>Kettler</w:t>
      </w:r>
      <w:proofErr w:type="spellEnd"/>
      <w:r w:rsidRPr="004D28F0">
        <w:rPr>
          <w:rFonts w:cs="ScalaLancetPro"/>
          <w:sz w:val="20"/>
          <w:szCs w:val="20"/>
        </w:rPr>
        <w:t xml:space="preserve"> H, White K, Hawkes S. Mapping the landscape of diagnostics for sexually transmitted infections. TDR/STI/IDE/04.1. www.who.int/tdr/publications/documents </w:t>
      </w:r>
    </w:p>
    <w:p w14:paraId="579FF33E" w14:textId="77777777" w:rsidR="008A477B" w:rsidRPr="008A477B" w:rsidRDefault="008A477B" w:rsidP="008A477B">
      <w:pPr>
        <w:pStyle w:val="ListParagraph"/>
        <w:numPr>
          <w:ilvl w:val="0"/>
          <w:numId w:val="7"/>
        </w:numPr>
        <w:rPr>
          <w:sz w:val="20"/>
          <w:szCs w:val="20"/>
        </w:rPr>
      </w:pPr>
      <w:proofErr w:type="spellStart"/>
      <w:r w:rsidRPr="004D28F0">
        <w:rPr>
          <w:sz w:val="20"/>
          <w:szCs w:val="20"/>
        </w:rPr>
        <w:t>Weidemaier</w:t>
      </w:r>
      <w:proofErr w:type="spellEnd"/>
      <w:r w:rsidRPr="004D28F0">
        <w:rPr>
          <w:sz w:val="20"/>
          <w:szCs w:val="20"/>
        </w:rPr>
        <w:t xml:space="preserve"> K, </w:t>
      </w:r>
      <w:proofErr w:type="spellStart"/>
      <w:r w:rsidRPr="004D28F0">
        <w:rPr>
          <w:sz w:val="20"/>
          <w:szCs w:val="20"/>
        </w:rPr>
        <w:t>Carrino</w:t>
      </w:r>
      <w:proofErr w:type="spellEnd"/>
      <w:r w:rsidRPr="004D28F0">
        <w:rPr>
          <w:sz w:val="20"/>
          <w:szCs w:val="20"/>
        </w:rPr>
        <w:t xml:space="preserve"> J, Curry A, Connor JH, </w:t>
      </w:r>
      <w:proofErr w:type="spellStart"/>
      <w:r w:rsidRPr="004D28F0">
        <w:rPr>
          <w:sz w:val="20"/>
          <w:szCs w:val="20"/>
        </w:rPr>
        <w:t>Liebmann</w:t>
      </w:r>
      <w:proofErr w:type="spellEnd"/>
      <w:r w:rsidRPr="004D28F0">
        <w:rPr>
          <w:sz w:val="20"/>
          <w:szCs w:val="20"/>
        </w:rPr>
        <w:t>-Vinson A.  Advancing rapid</w:t>
      </w:r>
      <w:r w:rsidRPr="008A477B">
        <w:rPr>
          <w:sz w:val="20"/>
          <w:szCs w:val="20"/>
        </w:rPr>
        <w:t xml:space="preserve"> point-of-care viral diagnostics to a clinical setting.  Future Virology 2015; 10:313-328</w:t>
      </w:r>
    </w:p>
    <w:p w14:paraId="54B5D5B3" w14:textId="77777777" w:rsidR="0047035A" w:rsidRPr="0047035A" w:rsidRDefault="0047035A">
      <w:pPr>
        <w:rPr>
          <w:sz w:val="20"/>
          <w:szCs w:val="20"/>
        </w:rPr>
      </w:pPr>
      <w:r w:rsidRPr="0047035A">
        <w:rPr>
          <w:color w:val="C0504D" w:themeColor="accent2"/>
          <w:sz w:val="20"/>
          <w:szCs w:val="20"/>
        </w:rPr>
        <w:br w:type="page"/>
      </w:r>
    </w:p>
    <w:p w14:paraId="5ED42684" w14:textId="77777777" w:rsidR="00D91204" w:rsidRPr="00F9400B" w:rsidRDefault="000D1C56" w:rsidP="00D35DC0">
      <w:pPr>
        <w:spacing w:after="0" w:line="240" w:lineRule="auto"/>
        <w:rPr>
          <w:sz w:val="18"/>
          <w:szCs w:val="18"/>
        </w:rPr>
      </w:pPr>
      <w:r w:rsidRPr="00996CAF">
        <w:rPr>
          <w:color w:val="C0504D" w:themeColor="accent2"/>
          <w:sz w:val="18"/>
          <w:szCs w:val="18"/>
        </w:rPr>
        <w:t>Table 1</w:t>
      </w:r>
      <w:r w:rsidR="009E151A">
        <w:rPr>
          <w:color w:val="C0504D" w:themeColor="accent2"/>
          <w:sz w:val="18"/>
          <w:szCs w:val="18"/>
        </w:rPr>
        <w:t>a</w:t>
      </w:r>
      <w:r w:rsidRPr="00996CAF">
        <w:rPr>
          <w:color w:val="C0504D" w:themeColor="accent2"/>
          <w:sz w:val="18"/>
          <w:szCs w:val="18"/>
        </w:rPr>
        <w:t>.</w:t>
      </w:r>
      <w:r w:rsidR="00302C7F" w:rsidRPr="00996CAF">
        <w:rPr>
          <w:color w:val="C0504D" w:themeColor="accent2"/>
          <w:sz w:val="18"/>
          <w:szCs w:val="18"/>
        </w:rPr>
        <w:t xml:space="preserve">  </w:t>
      </w:r>
      <w:r w:rsidR="00302C7F" w:rsidRPr="00996CAF">
        <w:rPr>
          <w:sz w:val="18"/>
          <w:szCs w:val="18"/>
        </w:rPr>
        <w:t>Key a</w:t>
      </w:r>
      <w:r w:rsidR="003208F3">
        <w:rPr>
          <w:sz w:val="18"/>
          <w:szCs w:val="18"/>
        </w:rPr>
        <w:t>ttributes of a v</w:t>
      </w:r>
      <w:r w:rsidR="00302C7F" w:rsidRPr="00996CAF">
        <w:rPr>
          <w:sz w:val="18"/>
          <w:szCs w:val="18"/>
        </w:rPr>
        <w:t>iral load testing</w:t>
      </w:r>
      <w:r w:rsidR="003208F3">
        <w:rPr>
          <w:sz w:val="18"/>
          <w:szCs w:val="18"/>
        </w:rPr>
        <w:t xml:space="preserve"> approach and values for attributes considered.  </w:t>
      </w:r>
    </w:p>
    <w:tbl>
      <w:tblPr>
        <w:tblStyle w:val="TableGrid"/>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1418"/>
        <w:gridCol w:w="1134"/>
        <w:gridCol w:w="850"/>
        <w:gridCol w:w="3544"/>
      </w:tblGrid>
      <w:tr w:rsidR="0075567D" w:rsidRPr="00A63AC0" w14:paraId="72DF54A8" w14:textId="77777777" w:rsidTr="00295E57">
        <w:tc>
          <w:tcPr>
            <w:tcW w:w="2410" w:type="dxa"/>
            <w:shd w:val="clear" w:color="auto" w:fill="FFFFFF" w:themeFill="background1"/>
          </w:tcPr>
          <w:p w14:paraId="0BD684C7" w14:textId="77777777" w:rsidR="0075567D" w:rsidRPr="009E151A" w:rsidRDefault="0075567D" w:rsidP="00823657">
            <w:pPr>
              <w:rPr>
                <w:color w:val="C0504D" w:themeColor="accent2"/>
                <w:sz w:val="16"/>
                <w:szCs w:val="16"/>
              </w:rPr>
            </w:pPr>
          </w:p>
          <w:p w14:paraId="3FB06C35" w14:textId="77777777" w:rsidR="003208F3" w:rsidRPr="00996CAF" w:rsidRDefault="003208F3" w:rsidP="003208F3">
            <w:pPr>
              <w:rPr>
                <w:color w:val="C0504D" w:themeColor="accent2"/>
                <w:sz w:val="16"/>
                <w:szCs w:val="16"/>
              </w:rPr>
            </w:pPr>
            <w:r>
              <w:rPr>
                <w:color w:val="C0504D" w:themeColor="accent2"/>
                <w:sz w:val="16"/>
                <w:szCs w:val="16"/>
              </w:rPr>
              <w:t xml:space="preserve">Attribute of </w:t>
            </w:r>
            <w:r w:rsidRPr="00996CAF">
              <w:rPr>
                <w:color w:val="C0504D" w:themeColor="accent2"/>
                <w:sz w:val="16"/>
                <w:szCs w:val="16"/>
              </w:rPr>
              <w:t>viral load testing</w:t>
            </w:r>
            <w:r>
              <w:rPr>
                <w:color w:val="C0504D" w:themeColor="accent2"/>
                <w:sz w:val="16"/>
                <w:szCs w:val="16"/>
              </w:rPr>
              <w:t xml:space="preserve"> approach</w:t>
            </w:r>
          </w:p>
          <w:p w14:paraId="6E3403A5" w14:textId="77777777" w:rsidR="00812BF3" w:rsidRDefault="00812BF3" w:rsidP="005D6C27">
            <w:pPr>
              <w:rPr>
                <w:color w:val="C0504D" w:themeColor="accent2"/>
                <w:sz w:val="16"/>
                <w:szCs w:val="16"/>
              </w:rPr>
            </w:pPr>
          </w:p>
          <w:p w14:paraId="5C7CBB57" w14:textId="77777777" w:rsidR="00812BF3" w:rsidRDefault="00812BF3" w:rsidP="005D6C27">
            <w:pPr>
              <w:rPr>
                <w:color w:val="C0504D" w:themeColor="accent2"/>
                <w:sz w:val="16"/>
                <w:szCs w:val="16"/>
              </w:rPr>
            </w:pPr>
          </w:p>
          <w:p w14:paraId="382BCFBF" w14:textId="77777777" w:rsidR="00812BF3" w:rsidRPr="009E151A" w:rsidRDefault="00812BF3" w:rsidP="005D6C27">
            <w:pPr>
              <w:rPr>
                <w:color w:val="C0504D" w:themeColor="accent2"/>
                <w:sz w:val="16"/>
                <w:szCs w:val="16"/>
              </w:rPr>
            </w:pPr>
          </w:p>
        </w:tc>
        <w:tc>
          <w:tcPr>
            <w:tcW w:w="1418" w:type="dxa"/>
            <w:shd w:val="clear" w:color="auto" w:fill="FFFFFF" w:themeFill="background1"/>
          </w:tcPr>
          <w:p w14:paraId="03CDB5BF" w14:textId="77777777" w:rsidR="0075567D" w:rsidRPr="009E151A" w:rsidRDefault="0075567D" w:rsidP="00823657">
            <w:pPr>
              <w:rPr>
                <w:color w:val="C0504D" w:themeColor="accent2"/>
                <w:sz w:val="16"/>
                <w:szCs w:val="16"/>
              </w:rPr>
            </w:pPr>
          </w:p>
          <w:p w14:paraId="05C20E52" w14:textId="77777777" w:rsidR="0075567D" w:rsidRPr="009E151A" w:rsidRDefault="00410534" w:rsidP="00823657">
            <w:pPr>
              <w:rPr>
                <w:color w:val="C0504D" w:themeColor="accent2"/>
                <w:sz w:val="16"/>
                <w:szCs w:val="16"/>
              </w:rPr>
            </w:pPr>
            <w:r w:rsidRPr="009E151A">
              <w:rPr>
                <w:color w:val="C0504D" w:themeColor="accent2"/>
                <w:sz w:val="16"/>
                <w:szCs w:val="16"/>
              </w:rPr>
              <w:t>V</w:t>
            </w:r>
            <w:r w:rsidR="005D6C27" w:rsidRPr="009E151A">
              <w:rPr>
                <w:color w:val="C0504D" w:themeColor="accent2"/>
                <w:sz w:val="16"/>
                <w:szCs w:val="16"/>
              </w:rPr>
              <w:t xml:space="preserve">alue </w:t>
            </w:r>
            <w:r w:rsidRPr="009E151A">
              <w:rPr>
                <w:color w:val="C0504D" w:themeColor="accent2"/>
                <w:sz w:val="16"/>
                <w:szCs w:val="16"/>
              </w:rPr>
              <w:t xml:space="preserve">in base </w:t>
            </w:r>
            <w:r w:rsidR="00EE2580" w:rsidRPr="006F39A1">
              <w:rPr>
                <w:color w:val="C0504D" w:themeColor="accent2"/>
                <w:sz w:val="16"/>
                <w:szCs w:val="16"/>
              </w:rPr>
              <w:t>scenario</w:t>
            </w:r>
            <w:r w:rsidR="0012562D" w:rsidRPr="006F39A1">
              <w:rPr>
                <w:color w:val="C0504D" w:themeColor="accent2"/>
                <w:sz w:val="16"/>
                <w:szCs w:val="16"/>
              </w:rPr>
              <w:t xml:space="preserve"> (using DBS)</w:t>
            </w:r>
          </w:p>
          <w:p w14:paraId="00AC2088" w14:textId="77777777" w:rsidR="0075567D" w:rsidRDefault="0075567D" w:rsidP="00823657">
            <w:pPr>
              <w:rPr>
                <w:color w:val="C0504D" w:themeColor="accent2"/>
                <w:sz w:val="16"/>
                <w:szCs w:val="16"/>
              </w:rPr>
            </w:pPr>
          </w:p>
          <w:p w14:paraId="6668B27B" w14:textId="77777777" w:rsidR="00812BF3" w:rsidRDefault="00812BF3" w:rsidP="00823657">
            <w:pPr>
              <w:rPr>
                <w:color w:val="C0504D" w:themeColor="accent2"/>
                <w:sz w:val="16"/>
                <w:szCs w:val="16"/>
              </w:rPr>
            </w:pPr>
          </w:p>
          <w:p w14:paraId="599417E9" w14:textId="77777777" w:rsidR="00812BF3" w:rsidRPr="009E151A" w:rsidRDefault="00812BF3" w:rsidP="00823657">
            <w:pPr>
              <w:rPr>
                <w:color w:val="C0504D" w:themeColor="accent2"/>
                <w:sz w:val="16"/>
                <w:szCs w:val="16"/>
              </w:rPr>
            </w:pPr>
          </w:p>
        </w:tc>
        <w:tc>
          <w:tcPr>
            <w:tcW w:w="1984" w:type="dxa"/>
            <w:gridSpan w:val="2"/>
            <w:shd w:val="clear" w:color="auto" w:fill="FFFFFF" w:themeFill="background1"/>
          </w:tcPr>
          <w:p w14:paraId="21663B49" w14:textId="77777777" w:rsidR="0075567D" w:rsidRPr="009E151A" w:rsidRDefault="0075567D" w:rsidP="00823657">
            <w:pPr>
              <w:rPr>
                <w:color w:val="C0504D" w:themeColor="accent2"/>
                <w:sz w:val="16"/>
                <w:szCs w:val="16"/>
              </w:rPr>
            </w:pPr>
          </w:p>
          <w:p w14:paraId="69FD19BD" w14:textId="77777777" w:rsidR="0075567D" w:rsidRPr="009E151A" w:rsidRDefault="00975C80" w:rsidP="00823657">
            <w:pPr>
              <w:rPr>
                <w:color w:val="C0504D" w:themeColor="accent2"/>
                <w:sz w:val="16"/>
                <w:szCs w:val="16"/>
              </w:rPr>
            </w:pPr>
            <w:r>
              <w:rPr>
                <w:color w:val="C0504D" w:themeColor="accent2"/>
                <w:sz w:val="16"/>
                <w:szCs w:val="16"/>
              </w:rPr>
              <w:t>Other values</w:t>
            </w:r>
            <w:r w:rsidR="005D6C27" w:rsidRPr="009E151A">
              <w:rPr>
                <w:color w:val="C0504D" w:themeColor="accent2"/>
                <w:sz w:val="16"/>
                <w:szCs w:val="16"/>
              </w:rPr>
              <w:t xml:space="preserve"> </w:t>
            </w:r>
            <w:r w:rsidR="0075567D" w:rsidRPr="009E151A">
              <w:rPr>
                <w:color w:val="C0504D" w:themeColor="accent2"/>
                <w:sz w:val="16"/>
                <w:szCs w:val="16"/>
              </w:rPr>
              <w:t xml:space="preserve">considered </w:t>
            </w:r>
          </w:p>
          <w:p w14:paraId="2DD146AC" w14:textId="77777777" w:rsidR="0075567D" w:rsidRPr="009E151A" w:rsidRDefault="0075567D" w:rsidP="00823657">
            <w:pPr>
              <w:rPr>
                <w:color w:val="C0504D" w:themeColor="accent2"/>
                <w:sz w:val="16"/>
                <w:szCs w:val="16"/>
              </w:rPr>
            </w:pPr>
          </w:p>
        </w:tc>
        <w:tc>
          <w:tcPr>
            <w:tcW w:w="3544" w:type="dxa"/>
            <w:shd w:val="clear" w:color="auto" w:fill="FFFFFF" w:themeFill="background1"/>
          </w:tcPr>
          <w:p w14:paraId="5090F43F" w14:textId="77777777" w:rsidR="0075567D" w:rsidRPr="009E151A" w:rsidRDefault="0075567D" w:rsidP="00823657">
            <w:pPr>
              <w:rPr>
                <w:color w:val="C0504D" w:themeColor="accent2"/>
                <w:sz w:val="16"/>
                <w:szCs w:val="16"/>
              </w:rPr>
            </w:pPr>
          </w:p>
          <w:p w14:paraId="63F704D4" w14:textId="77777777" w:rsidR="0075567D" w:rsidRPr="009E151A" w:rsidRDefault="00B85C94" w:rsidP="00823657">
            <w:pPr>
              <w:rPr>
                <w:color w:val="C0504D" w:themeColor="accent2"/>
                <w:sz w:val="16"/>
                <w:szCs w:val="16"/>
              </w:rPr>
            </w:pPr>
            <w:r w:rsidRPr="009E151A">
              <w:rPr>
                <w:color w:val="C0504D" w:themeColor="accent2"/>
                <w:sz w:val="16"/>
                <w:szCs w:val="16"/>
              </w:rPr>
              <w:t xml:space="preserve">Comment </w:t>
            </w:r>
          </w:p>
          <w:p w14:paraId="16812118" w14:textId="77777777" w:rsidR="0075567D" w:rsidRPr="009E151A" w:rsidRDefault="0075567D" w:rsidP="00823657">
            <w:pPr>
              <w:rPr>
                <w:color w:val="C0504D" w:themeColor="accent2"/>
                <w:sz w:val="16"/>
                <w:szCs w:val="16"/>
              </w:rPr>
            </w:pPr>
          </w:p>
        </w:tc>
      </w:tr>
      <w:tr w:rsidR="0075567D" w:rsidRPr="00A63AC0" w14:paraId="60B04E74" w14:textId="77777777" w:rsidTr="00295E57">
        <w:tc>
          <w:tcPr>
            <w:tcW w:w="2410" w:type="dxa"/>
          </w:tcPr>
          <w:p w14:paraId="7CBFA10C" w14:textId="77777777" w:rsidR="0075567D" w:rsidRPr="009E151A" w:rsidRDefault="0075567D" w:rsidP="00D35DC0">
            <w:pPr>
              <w:rPr>
                <w:sz w:val="16"/>
                <w:szCs w:val="16"/>
              </w:rPr>
            </w:pPr>
          </w:p>
          <w:p w14:paraId="5E92387A" w14:textId="77777777" w:rsidR="0075567D" w:rsidRPr="009E151A" w:rsidRDefault="0075567D" w:rsidP="00D35DC0">
            <w:pPr>
              <w:rPr>
                <w:color w:val="E36C0A" w:themeColor="accent6" w:themeShade="BF"/>
                <w:sz w:val="16"/>
                <w:szCs w:val="16"/>
              </w:rPr>
            </w:pPr>
            <w:r w:rsidRPr="009E151A">
              <w:rPr>
                <w:sz w:val="16"/>
                <w:szCs w:val="16"/>
              </w:rPr>
              <w:t>(</w:t>
            </w:r>
            <w:proofErr w:type="spellStart"/>
            <w:r w:rsidRPr="009E151A">
              <w:rPr>
                <w:sz w:val="16"/>
                <w:szCs w:val="16"/>
              </w:rPr>
              <w:t>i</w:t>
            </w:r>
            <w:proofErr w:type="spellEnd"/>
            <w:r w:rsidRPr="009E151A">
              <w:rPr>
                <w:sz w:val="16"/>
                <w:szCs w:val="16"/>
              </w:rPr>
              <w:t>) Delay in result</w:t>
            </w:r>
            <w:r w:rsidR="00372B75" w:rsidRPr="009E151A">
              <w:rPr>
                <w:sz w:val="16"/>
                <w:szCs w:val="16"/>
              </w:rPr>
              <w:t xml:space="preserve">  </w:t>
            </w:r>
          </w:p>
          <w:p w14:paraId="2A8D888C" w14:textId="77777777" w:rsidR="0075567D" w:rsidRPr="009E151A" w:rsidRDefault="0075567D" w:rsidP="00D35DC0">
            <w:pPr>
              <w:rPr>
                <w:sz w:val="16"/>
                <w:szCs w:val="16"/>
              </w:rPr>
            </w:pPr>
          </w:p>
        </w:tc>
        <w:tc>
          <w:tcPr>
            <w:tcW w:w="1418" w:type="dxa"/>
          </w:tcPr>
          <w:p w14:paraId="12BC2FBD" w14:textId="77777777" w:rsidR="0075567D" w:rsidRPr="009E151A" w:rsidRDefault="0075567D" w:rsidP="00D35DC0">
            <w:pPr>
              <w:rPr>
                <w:sz w:val="16"/>
                <w:szCs w:val="16"/>
              </w:rPr>
            </w:pPr>
          </w:p>
          <w:p w14:paraId="58802712" w14:textId="77777777" w:rsidR="0075567D" w:rsidRPr="009E151A" w:rsidRDefault="0075567D" w:rsidP="00D35DC0">
            <w:pPr>
              <w:rPr>
                <w:sz w:val="16"/>
                <w:szCs w:val="16"/>
              </w:rPr>
            </w:pPr>
            <w:r w:rsidRPr="009E151A">
              <w:rPr>
                <w:sz w:val="16"/>
                <w:szCs w:val="16"/>
              </w:rPr>
              <w:t>3 month delay</w:t>
            </w:r>
          </w:p>
        </w:tc>
        <w:tc>
          <w:tcPr>
            <w:tcW w:w="1984" w:type="dxa"/>
            <w:gridSpan w:val="2"/>
          </w:tcPr>
          <w:p w14:paraId="4767CD55" w14:textId="77777777" w:rsidR="0075567D" w:rsidRPr="009E151A" w:rsidRDefault="0075567D" w:rsidP="00D35DC0">
            <w:pPr>
              <w:rPr>
                <w:sz w:val="16"/>
                <w:szCs w:val="16"/>
              </w:rPr>
            </w:pPr>
          </w:p>
          <w:p w14:paraId="743D1004" w14:textId="77777777" w:rsidR="0075567D" w:rsidRPr="009E151A" w:rsidRDefault="0075567D" w:rsidP="00D35DC0">
            <w:pPr>
              <w:rPr>
                <w:sz w:val="16"/>
                <w:szCs w:val="16"/>
              </w:rPr>
            </w:pPr>
            <w:r w:rsidRPr="009E151A">
              <w:rPr>
                <w:sz w:val="16"/>
                <w:szCs w:val="16"/>
              </w:rPr>
              <w:t xml:space="preserve">No delay </w:t>
            </w:r>
          </w:p>
          <w:p w14:paraId="659C56FF" w14:textId="77777777" w:rsidR="0075567D" w:rsidRPr="009E151A" w:rsidRDefault="0075567D" w:rsidP="00D35DC0">
            <w:pPr>
              <w:rPr>
                <w:sz w:val="16"/>
                <w:szCs w:val="16"/>
              </w:rPr>
            </w:pPr>
          </w:p>
        </w:tc>
        <w:tc>
          <w:tcPr>
            <w:tcW w:w="3544" w:type="dxa"/>
          </w:tcPr>
          <w:p w14:paraId="39C2640E" w14:textId="77777777" w:rsidR="0075567D" w:rsidRPr="009E151A" w:rsidRDefault="0075567D" w:rsidP="00D35DC0">
            <w:pPr>
              <w:rPr>
                <w:sz w:val="16"/>
                <w:szCs w:val="16"/>
              </w:rPr>
            </w:pPr>
          </w:p>
          <w:p w14:paraId="71854ABE" w14:textId="550A1D90" w:rsidR="0075567D" w:rsidRPr="009E151A" w:rsidRDefault="0075567D" w:rsidP="00D35DC0">
            <w:pPr>
              <w:rPr>
                <w:sz w:val="16"/>
                <w:szCs w:val="16"/>
              </w:rPr>
            </w:pPr>
            <w:r w:rsidRPr="009E151A">
              <w:rPr>
                <w:sz w:val="16"/>
                <w:szCs w:val="16"/>
              </w:rPr>
              <w:t>By definition, any delay will be avoided with a POC test</w:t>
            </w:r>
            <w:r w:rsidR="00975C80">
              <w:rPr>
                <w:sz w:val="16"/>
                <w:szCs w:val="16"/>
              </w:rPr>
              <w:t xml:space="preserve"> and therefore the result will be available at the same visit</w:t>
            </w:r>
            <w:r w:rsidR="00975C80" w:rsidRPr="009E151A">
              <w:rPr>
                <w:sz w:val="16"/>
                <w:szCs w:val="16"/>
              </w:rPr>
              <w:t>.</w:t>
            </w:r>
          </w:p>
          <w:p w14:paraId="21915D2D" w14:textId="77777777" w:rsidR="0075567D" w:rsidRPr="009E151A" w:rsidRDefault="0075567D" w:rsidP="00D35DC0">
            <w:pPr>
              <w:rPr>
                <w:sz w:val="16"/>
                <w:szCs w:val="16"/>
              </w:rPr>
            </w:pPr>
          </w:p>
        </w:tc>
      </w:tr>
      <w:tr w:rsidR="006F39A1" w:rsidRPr="00A63AC0" w14:paraId="214B5BEB" w14:textId="77777777" w:rsidTr="00295E57">
        <w:tc>
          <w:tcPr>
            <w:tcW w:w="2410" w:type="dxa"/>
          </w:tcPr>
          <w:p w14:paraId="66BEA070" w14:textId="77777777" w:rsidR="006F39A1" w:rsidRPr="009E151A" w:rsidRDefault="006F39A1" w:rsidP="00372B75">
            <w:pPr>
              <w:rPr>
                <w:sz w:val="16"/>
                <w:szCs w:val="16"/>
              </w:rPr>
            </w:pPr>
          </w:p>
          <w:p w14:paraId="3A1DE2E5" w14:textId="77777777" w:rsidR="006F39A1" w:rsidRPr="009E151A" w:rsidRDefault="006F39A1" w:rsidP="00372B75">
            <w:pPr>
              <w:rPr>
                <w:sz w:val="16"/>
                <w:szCs w:val="16"/>
              </w:rPr>
            </w:pPr>
            <w:r w:rsidRPr="009E151A">
              <w:rPr>
                <w:sz w:val="16"/>
                <w:szCs w:val="16"/>
              </w:rPr>
              <w:t xml:space="preserve">(ii) Sensitivity / specificity relative to plasma for 1000 copies/mL cut-off  </w:t>
            </w:r>
          </w:p>
          <w:p w14:paraId="27964ED9" w14:textId="77777777" w:rsidR="006F39A1" w:rsidRPr="009E151A" w:rsidRDefault="006F39A1" w:rsidP="00372B75">
            <w:pPr>
              <w:rPr>
                <w:sz w:val="16"/>
                <w:szCs w:val="16"/>
              </w:rPr>
            </w:pPr>
          </w:p>
        </w:tc>
        <w:tc>
          <w:tcPr>
            <w:tcW w:w="1418" w:type="dxa"/>
          </w:tcPr>
          <w:p w14:paraId="4C5BA4A3" w14:textId="77777777" w:rsidR="006F39A1" w:rsidRPr="009E151A" w:rsidRDefault="006F39A1" w:rsidP="00372B75">
            <w:pPr>
              <w:rPr>
                <w:sz w:val="16"/>
                <w:szCs w:val="16"/>
              </w:rPr>
            </w:pPr>
          </w:p>
          <w:p w14:paraId="72C7D7D4" w14:textId="77777777" w:rsidR="006F39A1" w:rsidRPr="009E151A" w:rsidRDefault="006F39A1" w:rsidP="00372B75">
            <w:pPr>
              <w:rPr>
                <w:sz w:val="16"/>
                <w:szCs w:val="16"/>
              </w:rPr>
            </w:pPr>
            <w:r>
              <w:rPr>
                <w:sz w:val="16"/>
                <w:szCs w:val="16"/>
              </w:rPr>
              <w:t>84% / 89</w:t>
            </w:r>
            <w:r w:rsidRPr="009E151A">
              <w:rPr>
                <w:sz w:val="16"/>
                <w:szCs w:val="16"/>
              </w:rPr>
              <w:t>%</w:t>
            </w:r>
          </w:p>
        </w:tc>
        <w:tc>
          <w:tcPr>
            <w:tcW w:w="1134" w:type="dxa"/>
          </w:tcPr>
          <w:p w14:paraId="77AFDF51" w14:textId="77777777" w:rsidR="006F39A1" w:rsidRDefault="006F39A1" w:rsidP="00372B75">
            <w:pPr>
              <w:rPr>
                <w:sz w:val="16"/>
                <w:szCs w:val="16"/>
              </w:rPr>
            </w:pPr>
          </w:p>
          <w:p w14:paraId="311717A5" w14:textId="77777777" w:rsidR="00295E57" w:rsidRDefault="00295E57" w:rsidP="00295E57">
            <w:pPr>
              <w:spacing w:line="216" w:lineRule="auto"/>
              <w:rPr>
                <w:sz w:val="16"/>
                <w:szCs w:val="16"/>
              </w:rPr>
            </w:pPr>
            <w:r w:rsidRPr="00772706">
              <w:rPr>
                <w:sz w:val="16"/>
                <w:szCs w:val="16"/>
              </w:rPr>
              <w:t>58/96</w:t>
            </w:r>
          </w:p>
          <w:p w14:paraId="5DF2DA19" w14:textId="77777777" w:rsidR="00295E57" w:rsidRDefault="00295E57" w:rsidP="00295E57">
            <w:pPr>
              <w:spacing w:line="216" w:lineRule="auto"/>
              <w:rPr>
                <w:sz w:val="16"/>
                <w:szCs w:val="16"/>
              </w:rPr>
            </w:pPr>
            <w:r w:rsidRPr="00772706">
              <w:rPr>
                <w:sz w:val="16"/>
                <w:szCs w:val="16"/>
              </w:rPr>
              <w:t>60/99</w:t>
            </w:r>
          </w:p>
          <w:p w14:paraId="48A5E406" w14:textId="77777777" w:rsidR="00295E57" w:rsidRPr="00772706" w:rsidRDefault="00295E57" w:rsidP="00295E57">
            <w:pPr>
              <w:spacing w:line="216" w:lineRule="auto"/>
              <w:rPr>
                <w:sz w:val="16"/>
                <w:szCs w:val="16"/>
              </w:rPr>
            </w:pPr>
            <w:r w:rsidRPr="00772706">
              <w:rPr>
                <w:sz w:val="16"/>
                <w:szCs w:val="16"/>
              </w:rPr>
              <w:t>69/97</w:t>
            </w:r>
          </w:p>
          <w:p w14:paraId="1F298616" w14:textId="77777777" w:rsidR="00295E57" w:rsidRPr="00772706" w:rsidRDefault="00295E57" w:rsidP="00295E57">
            <w:pPr>
              <w:spacing w:line="216" w:lineRule="auto"/>
              <w:rPr>
                <w:sz w:val="16"/>
                <w:szCs w:val="16"/>
              </w:rPr>
            </w:pPr>
            <w:r w:rsidRPr="00772706">
              <w:rPr>
                <w:sz w:val="16"/>
                <w:szCs w:val="16"/>
              </w:rPr>
              <w:t>70/79</w:t>
            </w:r>
          </w:p>
          <w:p w14:paraId="1709AD8C" w14:textId="77777777" w:rsidR="00295E57" w:rsidRPr="00772706" w:rsidRDefault="00295E57" w:rsidP="00295E57">
            <w:pPr>
              <w:spacing w:line="216" w:lineRule="auto"/>
              <w:rPr>
                <w:sz w:val="16"/>
                <w:szCs w:val="16"/>
              </w:rPr>
            </w:pPr>
            <w:r w:rsidRPr="00772706">
              <w:rPr>
                <w:sz w:val="16"/>
                <w:szCs w:val="16"/>
              </w:rPr>
              <w:t>74/75</w:t>
            </w:r>
          </w:p>
          <w:p w14:paraId="69538622" w14:textId="77777777" w:rsidR="00295E57" w:rsidRPr="00772706" w:rsidRDefault="00295E57" w:rsidP="00295E57">
            <w:pPr>
              <w:spacing w:line="216" w:lineRule="auto"/>
              <w:rPr>
                <w:sz w:val="16"/>
                <w:szCs w:val="16"/>
              </w:rPr>
            </w:pPr>
            <w:r w:rsidRPr="00772706">
              <w:rPr>
                <w:sz w:val="16"/>
                <w:szCs w:val="16"/>
              </w:rPr>
              <w:t>78/93</w:t>
            </w:r>
          </w:p>
          <w:p w14:paraId="444DC1FC" w14:textId="77777777" w:rsidR="00295E57" w:rsidRPr="00772706" w:rsidRDefault="00295E57" w:rsidP="00295E57">
            <w:pPr>
              <w:spacing w:line="216" w:lineRule="auto"/>
              <w:rPr>
                <w:sz w:val="16"/>
                <w:szCs w:val="16"/>
              </w:rPr>
            </w:pPr>
            <w:r w:rsidRPr="00772706">
              <w:rPr>
                <w:sz w:val="16"/>
                <w:szCs w:val="16"/>
              </w:rPr>
              <w:t>79/71</w:t>
            </w:r>
          </w:p>
          <w:p w14:paraId="7617AF25" w14:textId="77777777" w:rsidR="00295E57" w:rsidRPr="00772706" w:rsidRDefault="00295E57" w:rsidP="00295E57">
            <w:pPr>
              <w:spacing w:line="216" w:lineRule="auto"/>
              <w:rPr>
                <w:sz w:val="16"/>
                <w:szCs w:val="16"/>
              </w:rPr>
            </w:pPr>
            <w:r w:rsidRPr="00772706">
              <w:rPr>
                <w:sz w:val="16"/>
                <w:szCs w:val="16"/>
              </w:rPr>
              <w:t>80/84</w:t>
            </w:r>
          </w:p>
          <w:p w14:paraId="05A70D0A" w14:textId="77777777" w:rsidR="00295E57" w:rsidRPr="00772706" w:rsidRDefault="00295E57" w:rsidP="00295E57">
            <w:pPr>
              <w:spacing w:line="216" w:lineRule="auto"/>
              <w:rPr>
                <w:sz w:val="16"/>
                <w:szCs w:val="16"/>
              </w:rPr>
            </w:pPr>
            <w:r w:rsidRPr="00772706">
              <w:rPr>
                <w:sz w:val="16"/>
                <w:szCs w:val="16"/>
              </w:rPr>
              <w:t>82/96</w:t>
            </w:r>
          </w:p>
          <w:p w14:paraId="74ABF000" w14:textId="77777777" w:rsidR="006F39A1" w:rsidRPr="00772706" w:rsidRDefault="006F39A1" w:rsidP="00295E57">
            <w:pPr>
              <w:spacing w:line="216" w:lineRule="auto"/>
              <w:rPr>
                <w:sz w:val="16"/>
                <w:szCs w:val="16"/>
              </w:rPr>
            </w:pPr>
          </w:p>
        </w:tc>
        <w:tc>
          <w:tcPr>
            <w:tcW w:w="850" w:type="dxa"/>
          </w:tcPr>
          <w:p w14:paraId="0323391F" w14:textId="77777777" w:rsidR="006F39A1" w:rsidRDefault="006F39A1" w:rsidP="006F39A1">
            <w:pPr>
              <w:rPr>
                <w:sz w:val="16"/>
                <w:szCs w:val="16"/>
              </w:rPr>
            </w:pPr>
          </w:p>
          <w:p w14:paraId="79531D52" w14:textId="77777777" w:rsidR="00295E57" w:rsidRPr="00772706" w:rsidRDefault="00295E57" w:rsidP="00295E57">
            <w:pPr>
              <w:spacing w:line="216" w:lineRule="auto"/>
              <w:rPr>
                <w:sz w:val="16"/>
                <w:szCs w:val="16"/>
              </w:rPr>
            </w:pPr>
            <w:r w:rsidRPr="00772706">
              <w:rPr>
                <w:sz w:val="16"/>
                <w:szCs w:val="16"/>
              </w:rPr>
              <w:t>84/89</w:t>
            </w:r>
          </w:p>
          <w:p w14:paraId="0498C270" w14:textId="77777777" w:rsidR="00295E57" w:rsidRPr="00772706" w:rsidRDefault="00295E57" w:rsidP="00295E57">
            <w:pPr>
              <w:spacing w:line="216" w:lineRule="auto"/>
              <w:rPr>
                <w:sz w:val="16"/>
                <w:szCs w:val="16"/>
              </w:rPr>
            </w:pPr>
            <w:r w:rsidRPr="00772706">
              <w:rPr>
                <w:sz w:val="16"/>
                <w:szCs w:val="16"/>
              </w:rPr>
              <w:t>89/93</w:t>
            </w:r>
          </w:p>
          <w:p w14:paraId="7367FF9A" w14:textId="77777777" w:rsidR="00295E57" w:rsidRPr="00772706" w:rsidRDefault="00295E57" w:rsidP="00295E57">
            <w:pPr>
              <w:spacing w:line="216" w:lineRule="auto"/>
              <w:rPr>
                <w:sz w:val="16"/>
                <w:szCs w:val="16"/>
              </w:rPr>
            </w:pPr>
            <w:r w:rsidRPr="00772706">
              <w:rPr>
                <w:sz w:val="16"/>
                <w:szCs w:val="16"/>
              </w:rPr>
              <w:t>90/85</w:t>
            </w:r>
          </w:p>
          <w:p w14:paraId="77C5AAA2" w14:textId="77777777" w:rsidR="00295E57" w:rsidRPr="00772706" w:rsidRDefault="00295E57" w:rsidP="00295E57">
            <w:pPr>
              <w:spacing w:line="216" w:lineRule="auto"/>
              <w:rPr>
                <w:sz w:val="16"/>
                <w:szCs w:val="16"/>
              </w:rPr>
            </w:pPr>
            <w:r w:rsidRPr="00772706">
              <w:rPr>
                <w:sz w:val="16"/>
                <w:szCs w:val="16"/>
              </w:rPr>
              <w:t>95/90</w:t>
            </w:r>
          </w:p>
          <w:p w14:paraId="752FF412" w14:textId="77777777" w:rsidR="00295E57" w:rsidRPr="00772706" w:rsidRDefault="00295E57" w:rsidP="00295E57">
            <w:pPr>
              <w:spacing w:line="216" w:lineRule="auto"/>
              <w:rPr>
                <w:sz w:val="16"/>
                <w:szCs w:val="16"/>
              </w:rPr>
            </w:pPr>
            <w:r w:rsidRPr="00772706">
              <w:rPr>
                <w:sz w:val="16"/>
                <w:szCs w:val="16"/>
              </w:rPr>
              <w:t>96/65</w:t>
            </w:r>
          </w:p>
          <w:p w14:paraId="4BB3540B" w14:textId="77777777" w:rsidR="00295E57" w:rsidRPr="00772706" w:rsidRDefault="00295E57" w:rsidP="00295E57">
            <w:pPr>
              <w:spacing w:line="216" w:lineRule="auto"/>
              <w:rPr>
                <w:sz w:val="16"/>
                <w:szCs w:val="16"/>
              </w:rPr>
            </w:pPr>
            <w:r w:rsidRPr="00772706">
              <w:rPr>
                <w:sz w:val="16"/>
                <w:szCs w:val="16"/>
              </w:rPr>
              <w:t>96/77</w:t>
            </w:r>
          </w:p>
          <w:p w14:paraId="39AC0D6D" w14:textId="77777777" w:rsidR="00295E57" w:rsidRPr="00772706" w:rsidRDefault="00295E57" w:rsidP="00295E57">
            <w:pPr>
              <w:spacing w:line="216" w:lineRule="auto"/>
              <w:rPr>
                <w:sz w:val="16"/>
                <w:szCs w:val="16"/>
              </w:rPr>
            </w:pPr>
            <w:r w:rsidRPr="00772706">
              <w:rPr>
                <w:sz w:val="16"/>
                <w:szCs w:val="16"/>
              </w:rPr>
              <w:t>99/69</w:t>
            </w:r>
          </w:p>
          <w:p w14:paraId="188BE9DD" w14:textId="77777777" w:rsidR="00295E57" w:rsidRPr="00772706" w:rsidRDefault="00295E57" w:rsidP="00295E57">
            <w:pPr>
              <w:spacing w:line="216" w:lineRule="auto"/>
              <w:rPr>
                <w:sz w:val="16"/>
                <w:szCs w:val="16"/>
              </w:rPr>
            </w:pPr>
            <w:r w:rsidRPr="00772706">
              <w:rPr>
                <w:sz w:val="16"/>
                <w:szCs w:val="16"/>
              </w:rPr>
              <w:t>100/100</w:t>
            </w:r>
          </w:p>
          <w:p w14:paraId="4A977FE7" w14:textId="77777777" w:rsidR="006F39A1" w:rsidRPr="00772706" w:rsidRDefault="006F39A1" w:rsidP="00772706">
            <w:pPr>
              <w:rPr>
                <w:sz w:val="16"/>
                <w:szCs w:val="16"/>
              </w:rPr>
            </w:pPr>
          </w:p>
          <w:p w14:paraId="311298BC" w14:textId="77777777" w:rsidR="006F39A1" w:rsidRPr="009E151A" w:rsidRDefault="006F39A1" w:rsidP="00772706">
            <w:pPr>
              <w:rPr>
                <w:sz w:val="16"/>
                <w:szCs w:val="16"/>
              </w:rPr>
            </w:pPr>
          </w:p>
        </w:tc>
        <w:tc>
          <w:tcPr>
            <w:tcW w:w="3544" w:type="dxa"/>
          </w:tcPr>
          <w:p w14:paraId="317A39A4" w14:textId="77777777" w:rsidR="006F39A1" w:rsidRPr="009E151A" w:rsidRDefault="006F39A1" w:rsidP="00372B75">
            <w:pPr>
              <w:rPr>
                <w:sz w:val="16"/>
                <w:szCs w:val="16"/>
              </w:rPr>
            </w:pPr>
          </w:p>
          <w:p w14:paraId="39021E26" w14:textId="77777777" w:rsidR="006F39A1" w:rsidRPr="009E151A" w:rsidRDefault="006F39A1" w:rsidP="00372B75">
            <w:pPr>
              <w:rPr>
                <w:sz w:val="16"/>
                <w:szCs w:val="16"/>
              </w:rPr>
            </w:pPr>
            <w:r w:rsidRPr="009E151A">
              <w:rPr>
                <w:sz w:val="16"/>
                <w:szCs w:val="16"/>
              </w:rPr>
              <w:t xml:space="preserve">If a plasma sample is used for a POC test then the accuracy of the test could be </w:t>
            </w:r>
            <w:r w:rsidRPr="006F39A1">
              <w:rPr>
                <w:sz w:val="16"/>
                <w:szCs w:val="16"/>
              </w:rPr>
              <w:t>higher than for DBS.  In calibrating any test it is useful to know whether to prioritize sensitivity or specificity</w:t>
            </w:r>
          </w:p>
        </w:tc>
      </w:tr>
      <w:tr w:rsidR="00372B75" w:rsidRPr="00A63AC0" w14:paraId="41729144" w14:textId="77777777" w:rsidTr="00295E57">
        <w:tc>
          <w:tcPr>
            <w:tcW w:w="2410" w:type="dxa"/>
          </w:tcPr>
          <w:p w14:paraId="6311FE1E" w14:textId="77777777" w:rsidR="00372B75" w:rsidRPr="009E151A" w:rsidRDefault="00372B75" w:rsidP="00372B75">
            <w:pPr>
              <w:rPr>
                <w:sz w:val="16"/>
                <w:szCs w:val="16"/>
              </w:rPr>
            </w:pPr>
          </w:p>
          <w:p w14:paraId="444EA422" w14:textId="0D871EDA" w:rsidR="00372B75" w:rsidRPr="009E151A" w:rsidRDefault="00A30F4C" w:rsidP="00372B75">
            <w:pPr>
              <w:rPr>
                <w:color w:val="E36C0A" w:themeColor="accent6" w:themeShade="BF"/>
                <w:sz w:val="16"/>
                <w:szCs w:val="16"/>
              </w:rPr>
            </w:pPr>
            <w:r w:rsidRPr="009E151A">
              <w:rPr>
                <w:sz w:val="16"/>
                <w:szCs w:val="16"/>
              </w:rPr>
              <w:t>(</w:t>
            </w:r>
            <w:r w:rsidR="00372B75" w:rsidRPr="009E151A">
              <w:rPr>
                <w:sz w:val="16"/>
                <w:szCs w:val="16"/>
              </w:rPr>
              <w:t>iii)  Viral load threshold used to define first-line ART failur</w:t>
            </w:r>
            <w:r w:rsidR="00CA162B">
              <w:rPr>
                <w:sz w:val="16"/>
                <w:szCs w:val="16"/>
              </w:rPr>
              <w:t>e (cut-off for qualitative or semi-quantitative assays</w:t>
            </w:r>
            <w:r w:rsidR="00372B75" w:rsidRPr="009E151A">
              <w:rPr>
                <w:sz w:val="16"/>
                <w:szCs w:val="16"/>
              </w:rPr>
              <w:t xml:space="preserve">) </w:t>
            </w:r>
            <w:r w:rsidR="008A0FFA" w:rsidRPr="009E151A">
              <w:rPr>
                <w:sz w:val="16"/>
                <w:szCs w:val="16"/>
              </w:rPr>
              <w:t xml:space="preserve"> </w:t>
            </w:r>
          </w:p>
          <w:p w14:paraId="17FB8106" w14:textId="77777777" w:rsidR="00372B75" w:rsidRPr="009E151A" w:rsidRDefault="00372B75" w:rsidP="00372B75">
            <w:pPr>
              <w:rPr>
                <w:sz w:val="16"/>
                <w:szCs w:val="16"/>
              </w:rPr>
            </w:pPr>
          </w:p>
        </w:tc>
        <w:tc>
          <w:tcPr>
            <w:tcW w:w="1418" w:type="dxa"/>
          </w:tcPr>
          <w:p w14:paraId="26918066" w14:textId="77777777" w:rsidR="00372B75" w:rsidRPr="009E151A" w:rsidRDefault="00372B75" w:rsidP="00372B75">
            <w:pPr>
              <w:rPr>
                <w:sz w:val="16"/>
                <w:szCs w:val="16"/>
              </w:rPr>
            </w:pPr>
          </w:p>
          <w:p w14:paraId="36F78BE4" w14:textId="77777777" w:rsidR="00372B75" w:rsidRPr="009E151A" w:rsidRDefault="00372B75" w:rsidP="00372B75">
            <w:pPr>
              <w:rPr>
                <w:sz w:val="16"/>
                <w:szCs w:val="16"/>
              </w:rPr>
            </w:pPr>
            <w:r w:rsidRPr="009E151A">
              <w:rPr>
                <w:sz w:val="16"/>
                <w:szCs w:val="16"/>
              </w:rPr>
              <w:t>1000 copies/mL</w:t>
            </w:r>
          </w:p>
        </w:tc>
        <w:tc>
          <w:tcPr>
            <w:tcW w:w="1984" w:type="dxa"/>
            <w:gridSpan w:val="2"/>
          </w:tcPr>
          <w:p w14:paraId="51BE8491" w14:textId="77777777" w:rsidR="00372B75" w:rsidRPr="009E151A" w:rsidRDefault="00372B75" w:rsidP="00372B75">
            <w:pPr>
              <w:rPr>
                <w:sz w:val="16"/>
                <w:szCs w:val="16"/>
              </w:rPr>
            </w:pPr>
          </w:p>
          <w:p w14:paraId="14F0873E" w14:textId="77777777" w:rsidR="00372B75" w:rsidRPr="009E151A" w:rsidRDefault="00372B75" w:rsidP="00372B75">
            <w:pPr>
              <w:rPr>
                <w:sz w:val="16"/>
                <w:szCs w:val="16"/>
              </w:rPr>
            </w:pPr>
            <w:r w:rsidRPr="009E151A">
              <w:rPr>
                <w:sz w:val="16"/>
                <w:szCs w:val="16"/>
              </w:rPr>
              <w:t>200, 500, 3000, 5000</w:t>
            </w:r>
          </w:p>
        </w:tc>
        <w:tc>
          <w:tcPr>
            <w:tcW w:w="3544" w:type="dxa"/>
          </w:tcPr>
          <w:p w14:paraId="6A8123D2" w14:textId="77777777" w:rsidR="00372B75" w:rsidRPr="009E151A" w:rsidRDefault="00372B75" w:rsidP="00372B75">
            <w:pPr>
              <w:rPr>
                <w:sz w:val="16"/>
                <w:szCs w:val="16"/>
              </w:rPr>
            </w:pPr>
          </w:p>
          <w:p w14:paraId="7748285F" w14:textId="77777777" w:rsidR="00372B75" w:rsidRPr="009E151A" w:rsidRDefault="00242A63" w:rsidP="00372B75">
            <w:pPr>
              <w:rPr>
                <w:sz w:val="16"/>
                <w:szCs w:val="16"/>
              </w:rPr>
            </w:pPr>
            <w:r>
              <w:rPr>
                <w:sz w:val="16"/>
                <w:szCs w:val="16"/>
              </w:rPr>
              <w:t>WHO failure threshold is 1000 copies/</w:t>
            </w:r>
            <w:proofErr w:type="spellStart"/>
            <w:r>
              <w:rPr>
                <w:sz w:val="16"/>
                <w:szCs w:val="16"/>
              </w:rPr>
              <w:t>mL.</w:t>
            </w:r>
            <w:proofErr w:type="spellEnd"/>
            <w:r>
              <w:rPr>
                <w:sz w:val="16"/>
                <w:szCs w:val="16"/>
              </w:rPr>
              <w:t xml:space="preserve"> </w:t>
            </w:r>
            <w:r w:rsidR="003932AD" w:rsidRPr="009E151A">
              <w:rPr>
                <w:sz w:val="16"/>
                <w:szCs w:val="16"/>
              </w:rPr>
              <w:t xml:space="preserve">  This choice of threshold is important if a </w:t>
            </w:r>
            <w:r w:rsidR="003932AD" w:rsidRPr="006F39A1">
              <w:rPr>
                <w:sz w:val="16"/>
                <w:szCs w:val="16"/>
              </w:rPr>
              <w:t>qualitative test is being developed that reads as positive or negative</w:t>
            </w:r>
            <w:r w:rsidR="004472AB" w:rsidRPr="006F39A1">
              <w:rPr>
                <w:sz w:val="16"/>
                <w:szCs w:val="16"/>
              </w:rPr>
              <w:t xml:space="preserve"> rather than providing a value</w:t>
            </w:r>
            <w:r w:rsidR="003932AD" w:rsidRPr="006F39A1">
              <w:rPr>
                <w:sz w:val="16"/>
                <w:szCs w:val="16"/>
              </w:rPr>
              <w:t>.</w:t>
            </w:r>
            <w:r w:rsidR="003932AD" w:rsidRPr="009E151A">
              <w:rPr>
                <w:sz w:val="16"/>
                <w:szCs w:val="16"/>
              </w:rPr>
              <w:t xml:space="preserve">     </w:t>
            </w:r>
            <w:r w:rsidR="00372B75" w:rsidRPr="009E151A">
              <w:rPr>
                <w:sz w:val="16"/>
                <w:szCs w:val="16"/>
              </w:rPr>
              <w:t xml:space="preserve">  </w:t>
            </w:r>
          </w:p>
          <w:p w14:paraId="2641B2BC" w14:textId="77777777" w:rsidR="009E151A" w:rsidRPr="009E151A" w:rsidRDefault="009E151A" w:rsidP="00372B75">
            <w:pPr>
              <w:rPr>
                <w:sz w:val="16"/>
                <w:szCs w:val="16"/>
              </w:rPr>
            </w:pPr>
          </w:p>
        </w:tc>
      </w:tr>
      <w:tr w:rsidR="00372B75" w:rsidRPr="00A63AC0" w14:paraId="7C97DA73" w14:textId="77777777" w:rsidTr="00295E57">
        <w:tc>
          <w:tcPr>
            <w:tcW w:w="2410" w:type="dxa"/>
          </w:tcPr>
          <w:p w14:paraId="633BB5AB" w14:textId="77777777" w:rsidR="00372B75" w:rsidRPr="009E151A" w:rsidRDefault="00372B75" w:rsidP="00372B75">
            <w:pPr>
              <w:rPr>
                <w:sz w:val="16"/>
                <w:szCs w:val="16"/>
              </w:rPr>
            </w:pPr>
          </w:p>
          <w:p w14:paraId="04B54468" w14:textId="77777777" w:rsidR="00372B75" w:rsidRPr="009E151A" w:rsidRDefault="00A30F4C" w:rsidP="00372B75">
            <w:pPr>
              <w:spacing w:line="216" w:lineRule="auto"/>
              <w:rPr>
                <w:sz w:val="16"/>
                <w:szCs w:val="16"/>
              </w:rPr>
            </w:pPr>
            <w:r w:rsidRPr="009E151A">
              <w:rPr>
                <w:sz w:val="16"/>
                <w:szCs w:val="16"/>
              </w:rPr>
              <w:t>(</w:t>
            </w:r>
            <w:r w:rsidR="00372B75" w:rsidRPr="009E151A">
              <w:rPr>
                <w:sz w:val="16"/>
                <w:szCs w:val="16"/>
              </w:rPr>
              <w:t>i</w:t>
            </w:r>
            <w:r w:rsidRPr="009E151A">
              <w:rPr>
                <w:sz w:val="16"/>
                <w:szCs w:val="16"/>
              </w:rPr>
              <w:t>v</w:t>
            </w:r>
            <w:r w:rsidR="00372B75" w:rsidRPr="009E151A">
              <w:rPr>
                <w:sz w:val="16"/>
                <w:szCs w:val="16"/>
              </w:rPr>
              <w:t>) Proportion of tests failed or result lost</w:t>
            </w:r>
            <w:r w:rsidR="00410534" w:rsidRPr="009E151A">
              <w:rPr>
                <w:color w:val="E36C0A" w:themeColor="accent6" w:themeShade="BF"/>
                <w:sz w:val="16"/>
                <w:szCs w:val="16"/>
              </w:rPr>
              <w:t xml:space="preserve"> </w:t>
            </w:r>
          </w:p>
          <w:p w14:paraId="390DF0BF" w14:textId="77777777" w:rsidR="00372B75" w:rsidRPr="009E151A" w:rsidRDefault="00372B75" w:rsidP="00372B75">
            <w:pPr>
              <w:rPr>
                <w:sz w:val="16"/>
                <w:szCs w:val="16"/>
              </w:rPr>
            </w:pPr>
          </w:p>
        </w:tc>
        <w:tc>
          <w:tcPr>
            <w:tcW w:w="1418" w:type="dxa"/>
          </w:tcPr>
          <w:p w14:paraId="66D9943E" w14:textId="77777777" w:rsidR="00372B75" w:rsidRPr="009E151A" w:rsidRDefault="00372B75" w:rsidP="00372B75">
            <w:pPr>
              <w:rPr>
                <w:sz w:val="16"/>
                <w:szCs w:val="16"/>
              </w:rPr>
            </w:pPr>
          </w:p>
          <w:p w14:paraId="44190BF4" w14:textId="77777777" w:rsidR="00372B75" w:rsidRPr="009E151A" w:rsidRDefault="00D132F2" w:rsidP="00372B75">
            <w:pPr>
              <w:rPr>
                <w:sz w:val="16"/>
                <w:szCs w:val="16"/>
              </w:rPr>
            </w:pPr>
            <w:r w:rsidRPr="009E151A">
              <w:rPr>
                <w:sz w:val="16"/>
                <w:szCs w:val="16"/>
              </w:rPr>
              <w:t>0.15</w:t>
            </w:r>
          </w:p>
        </w:tc>
        <w:tc>
          <w:tcPr>
            <w:tcW w:w="1984" w:type="dxa"/>
            <w:gridSpan w:val="2"/>
          </w:tcPr>
          <w:p w14:paraId="0FEC6C08" w14:textId="77777777" w:rsidR="00372B75" w:rsidRPr="009E151A" w:rsidRDefault="00372B75" w:rsidP="00372B75">
            <w:pPr>
              <w:rPr>
                <w:sz w:val="16"/>
                <w:szCs w:val="16"/>
              </w:rPr>
            </w:pPr>
          </w:p>
          <w:p w14:paraId="7BF920F4" w14:textId="001CFB0D" w:rsidR="00372B75" w:rsidRPr="009E151A" w:rsidRDefault="00D132F2" w:rsidP="00372B75">
            <w:pPr>
              <w:rPr>
                <w:sz w:val="16"/>
                <w:szCs w:val="16"/>
              </w:rPr>
            </w:pPr>
            <w:r w:rsidRPr="009E151A">
              <w:rPr>
                <w:sz w:val="16"/>
                <w:szCs w:val="16"/>
              </w:rPr>
              <w:t>0.8, 0.5, 0.3, 0</w:t>
            </w:r>
          </w:p>
          <w:p w14:paraId="1F723DBC" w14:textId="77777777" w:rsidR="00372B75" w:rsidRPr="009E151A" w:rsidRDefault="00372B75" w:rsidP="00372B75">
            <w:pPr>
              <w:rPr>
                <w:sz w:val="16"/>
                <w:szCs w:val="16"/>
              </w:rPr>
            </w:pPr>
          </w:p>
        </w:tc>
        <w:tc>
          <w:tcPr>
            <w:tcW w:w="3544" w:type="dxa"/>
          </w:tcPr>
          <w:p w14:paraId="7CB709F8" w14:textId="77777777" w:rsidR="00372B75" w:rsidRPr="009E151A" w:rsidRDefault="00372B75" w:rsidP="00372B75">
            <w:pPr>
              <w:rPr>
                <w:sz w:val="16"/>
                <w:szCs w:val="16"/>
              </w:rPr>
            </w:pPr>
          </w:p>
          <w:p w14:paraId="15066389" w14:textId="77777777" w:rsidR="00372B75" w:rsidRPr="009E151A" w:rsidRDefault="00372B75" w:rsidP="00372B75">
            <w:pPr>
              <w:rPr>
                <w:sz w:val="16"/>
                <w:szCs w:val="16"/>
              </w:rPr>
            </w:pPr>
            <w:r w:rsidRPr="009E151A">
              <w:rPr>
                <w:sz w:val="16"/>
                <w:szCs w:val="16"/>
              </w:rPr>
              <w:t xml:space="preserve">Likely </w:t>
            </w:r>
            <w:r w:rsidRPr="006F39A1">
              <w:rPr>
                <w:sz w:val="16"/>
                <w:szCs w:val="16"/>
              </w:rPr>
              <w:t>that most tests that are done using POC will actually be used</w:t>
            </w:r>
            <w:r w:rsidR="007E5855" w:rsidRPr="006F39A1">
              <w:rPr>
                <w:sz w:val="16"/>
                <w:szCs w:val="16"/>
              </w:rPr>
              <w:t xml:space="preserve"> since the patient is still present when the result is received</w:t>
            </w:r>
            <w:r w:rsidRPr="006F39A1">
              <w:rPr>
                <w:sz w:val="16"/>
                <w:szCs w:val="16"/>
              </w:rPr>
              <w:t>.  For DBS a higher proportion of tests will not get used</w:t>
            </w:r>
            <w:r w:rsidRPr="009E151A">
              <w:rPr>
                <w:sz w:val="16"/>
                <w:szCs w:val="16"/>
              </w:rPr>
              <w:t xml:space="preserve"> due to communication / linkage failures, leading to delay in informed decision-making and wasted costs.</w:t>
            </w:r>
            <w:r w:rsidR="00B85C94" w:rsidRPr="009E151A">
              <w:rPr>
                <w:sz w:val="16"/>
                <w:szCs w:val="16"/>
              </w:rPr>
              <w:t xml:space="preserve">  We assume if </w:t>
            </w:r>
            <w:r w:rsidR="007E5855">
              <w:rPr>
                <w:sz w:val="16"/>
                <w:szCs w:val="16"/>
              </w:rPr>
              <w:t xml:space="preserve">a </w:t>
            </w:r>
            <w:r w:rsidR="00B85C94" w:rsidRPr="009E151A">
              <w:rPr>
                <w:sz w:val="16"/>
                <w:szCs w:val="16"/>
              </w:rPr>
              <w:t>test fails then it is attempted again after 3 months.</w:t>
            </w:r>
          </w:p>
          <w:p w14:paraId="31253CBD" w14:textId="77777777" w:rsidR="00372B75" w:rsidRPr="009E151A" w:rsidRDefault="00372B75" w:rsidP="00372B75">
            <w:pPr>
              <w:rPr>
                <w:sz w:val="16"/>
                <w:szCs w:val="16"/>
              </w:rPr>
            </w:pPr>
          </w:p>
        </w:tc>
      </w:tr>
      <w:tr w:rsidR="00372B75" w:rsidRPr="00A63AC0" w14:paraId="43135068" w14:textId="77777777" w:rsidTr="00295E57">
        <w:tc>
          <w:tcPr>
            <w:tcW w:w="2410" w:type="dxa"/>
          </w:tcPr>
          <w:p w14:paraId="68A46C08" w14:textId="77777777" w:rsidR="00372B75" w:rsidRPr="009E151A" w:rsidRDefault="00372B75" w:rsidP="00372B75">
            <w:pPr>
              <w:rPr>
                <w:sz w:val="16"/>
                <w:szCs w:val="16"/>
              </w:rPr>
            </w:pPr>
          </w:p>
          <w:p w14:paraId="06D14B4C" w14:textId="77777777" w:rsidR="00372B75" w:rsidRPr="009E151A" w:rsidRDefault="00A30F4C" w:rsidP="00372B75">
            <w:pPr>
              <w:rPr>
                <w:sz w:val="16"/>
                <w:szCs w:val="16"/>
              </w:rPr>
            </w:pPr>
            <w:r w:rsidRPr="009E151A">
              <w:rPr>
                <w:sz w:val="16"/>
                <w:szCs w:val="16"/>
              </w:rPr>
              <w:t>(</w:t>
            </w:r>
            <w:r w:rsidR="00372B75" w:rsidRPr="009E151A">
              <w:rPr>
                <w:sz w:val="16"/>
                <w:szCs w:val="16"/>
              </w:rPr>
              <w:t xml:space="preserve">v) Probability of  differentiated care if VL &lt; 1000 </w:t>
            </w:r>
            <w:r w:rsidR="007D3187" w:rsidRPr="009E151A">
              <w:rPr>
                <w:sz w:val="16"/>
                <w:szCs w:val="16"/>
              </w:rPr>
              <w:t>being implemented</w:t>
            </w:r>
            <w:r w:rsidR="00372B75" w:rsidRPr="009E151A">
              <w:rPr>
                <w:sz w:val="16"/>
                <w:szCs w:val="16"/>
              </w:rPr>
              <w:t xml:space="preserve"> </w:t>
            </w:r>
          </w:p>
          <w:p w14:paraId="264254AA" w14:textId="77777777" w:rsidR="00372B75" w:rsidRPr="009E151A" w:rsidRDefault="00372B75" w:rsidP="00372B75">
            <w:pPr>
              <w:rPr>
                <w:sz w:val="16"/>
                <w:szCs w:val="16"/>
              </w:rPr>
            </w:pPr>
          </w:p>
        </w:tc>
        <w:tc>
          <w:tcPr>
            <w:tcW w:w="1418" w:type="dxa"/>
          </w:tcPr>
          <w:p w14:paraId="59B6BE1F" w14:textId="77777777" w:rsidR="00372B75" w:rsidRPr="009E151A" w:rsidRDefault="00372B75" w:rsidP="00372B75">
            <w:pPr>
              <w:rPr>
                <w:sz w:val="16"/>
                <w:szCs w:val="16"/>
              </w:rPr>
            </w:pPr>
          </w:p>
          <w:p w14:paraId="52A88639" w14:textId="72D7DE1D" w:rsidR="00372B75" w:rsidRPr="009E151A" w:rsidRDefault="00372B75" w:rsidP="00372B75">
            <w:pPr>
              <w:rPr>
                <w:sz w:val="16"/>
                <w:szCs w:val="16"/>
              </w:rPr>
            </w:pPr>
            <w:r w:rsidRPr="009E151A">
              <w:rPr>
                <w:sz w:val="16"/>
                <w:szCs w:val="16"/>
              </w:rPr>
              <w:t>0.8</w:t>
            </w:r>
          </w:p>
          <w:p w14:paraId="2632262E" w14:textId="77777777" w:rsidR="00372B75" w:rsidRPr="009E151A" w:rsidRDefault="00372B75" w:rsidP="00372B75">
            <w:pPr>
              <w:rPr>
                <w:sz w:val="16"/>
                <w:szCs w:val="16"/>
              </w:rPr>
            </w:pPr>
          </w:p>
        </w:tc>
        <w:tc>
          <w:tcPr>
            <w:tcW w:w="1984" w:type="dxa"/>
            <w:gridSpan w:val="2"/>
          </w:tcPr>
          <w:p w14:paraId="6CEF74A5" w14:textId="77777777" w:rsidR="00372B75" w:rsidRPr="009E151A" w:rsidRDefault="00372B75" w:rsidP="00372B75">
            <w:pPr>
              <w:rPr>
                <w:sz w:val="16"/>
                <w:szCs w:val="16"/>
              </w:rPr>
            </w:pPr>
          </w:p>
          <w:p w14:paraId="395AD826" w14:textId="77777777" w:rsidR="00372B75" w:rsidRPr="009E151A" w:rsidRDefault="0032629C" w:rsidP="00A12816">
            <w:pPr>
              <w:rPr>
                <w:sz w:val="16"/>
                <w:szCs w:val="16"/>
              </w:rPr>
            </w:pPr>
            <w:r>
              <w:rPr>
                <w:sz w:val="16"/>
                <w:szCs w:val="16"/>
              </w:rPr>
              <w:t>0.5, 0.6, 0.7, 0.9</w:t>
            </w:r>
          </w:p>
        </w:tc>
        <w:tc>
          <w:tcPr>
            <w:tcW w:w="3544" w:type="dxa"/>
          </w:tcPr>
          <w:p w14:paraId="6D230D88" w14:textId="77777777" w:rsidR="00372B75" w:rsidRPr="009E151A" w:rsidRDefault="00372B75" w:rsidP="00372B75">
            <w:pPr>
              <w:rPr>
                <w:sz w:val="16"/>
                <w:szCs w:val="16"/>
              </w:rPr>
            </w:pPr>
          </w:p>
          <w:p w14:paraId="74CB118A" w14:textId="77777777" w:rsidR="00372B75" w:rsidRPr="009E151A" w:rsidRDefault="00372B75" w:rsidP="00372B75">
            <w:pPr>
              <w:rPr>
                <w:sz w:val="16"/>
                <w:szCs w:val="16"/>
              </w:rPr>
            </w:pPr>
            <w:r w:rsidRPr="009E151A">
              <w:rPr>
                <w:sz w:val="16"/>
                <w:szCs w:val="16"/>
              </w:rPr>
              <w:t xml:space="preserve">POC test should enable viral load-informed </w:t>
            </w:r>
            <w:r w:rsidRPr="006F39A1">
              <w:rPr>
                <w:sz w:val="16"/>
                <w:szCs w:val="16"/>
              </w:rPr>
              <w:t>differentiated care because the date of a person’s next clinic appointment can be set with the person present, avoiding the need to call people later on</w:t>
            </w:r>
            <w:r w:rsidR="00BC5486" w:rsidRPr="006F39A1">
              <w:rPr>
                <w:sz w:val="16"/>
                <w:szCs w:val="16"/>
              </w:rPr>
              <w:t xml:space="preserve"> to adjust the timing of their next visit</w:t>
            </w:r>
            <w:r w:rsidRPr="006F39A1">
              <w:rPr>
                <w:sz w:val="16"/>
                <w:szCs w:val="16"/>
              </w:rPr>
              <w:t>.</w:t>
            </w:r>
            <w:r w:rsidRPr="009E151A">
              <w:rPr>
                <w:sz w:val="16"/>
                <w:szCs w:val="16"/>
              </w:rPr>
              <w:t xml:space="preserve"> </w:t>
            </w:r>
          </w:p>
          <w:p w14:paraId="2D6CD425" w14:textId="77777777" w:rsidR="00372B75" w:rsidRPr="009E151A" w:rsidRDefault="00372B75" w:rsidP="00372B75">
            <w:pPr>
              <w:rPr>
                <w:sz w:val="16"/>
                <w:szCs w:val="16"/>
              </w:rPr>
            </w:pPr>
          </w:p>
        </w:tc>
      </w:tr>
      <w:tr w:rsidR="00372B75" w:rsidRPr="00A63AC0" w14:paraId="09419534" w14:textId="77777777" w:rsidTr="00295E57">
        <w:tc>
          <w:tcPr>
            <w:tcW w:w="2410" w:type="dxa"/>
          </w:tcPr>
          <w:p w14:paraId="57006BC3" w14:textId="77777777" w:rsidR="00372B75" w:rsidRPr="009E151A" w:rsidRDefault="00372B75" w:rsidP="00372B75">
            <w:pPr>
              <w:rPr>
                <w:sz w:val="16"/>
                <w:szCs w:val="16"/>
              </w:rPr>
            </w:pPr>
          </w:p>
          <w:p w14:paraId="46330AB4" w14:textId="77777777" w:rsidR="00372B75" w:rsidRPr="009E151A" w:rsidRDefault="00A30F4C" w:rsidP="00372B75">
            <w:pPr>
              <w:rPr>
                <w:color w:val="E36C0A" w:themeColor="accent6" w:themeShade="BF"/>
                <w:sz w:val="16"/>
                <w:szCs w:val="16"/>
              </w:rPr>
            </w:pPr>
            <w:r w:rsidRPr="009E151A">
              <w:rPr>
                <w:sz w:val="16"/>
                <w:szCs w:val="16"/>
              </w:rPr>
              <w:t>(vi</w:t>
            </w:r>
            <w:r w:rsidR="00372B75" w:rsidRPr="009E151A">
              <w:rPr>
                <w:sz w:val="16"/>
                <w:szCs w:val="16"/>
              </w:rPr>
              <w:t xml:space="preserve">) </w:t>
            </w:r>
            <w:r w:rsidR="000B20FF" w:rsidRPr="009E151A">
              <w:rPr>
                <w:sz w:val="16"/>
                <w:szCs w:val="16"/>
              </w:rPr>
              <w:t>C</w:t>
            </w:r>
            <w:r w:rsidR="00372B75" w:rsidRPr="009E151A">
              <w:rPr>
                <w:sz w:val="16"/>
                <w:szCs w:val="16"/>
              </w:rPr>
              <w:t xml:space="preserve">overage of population with viral load testing  </w:t>
            </w:r>
          </w:p>
          <w:p w14:paraId="2F2E86B0" w14:textId="77777777" w:rsidR="00372B75" w:rsidRPr="009E151A" w:rsidRDefault="00372B75" w:rsidP="00372B75">
            <w:pPr>
              <w:rPr>
                <w:sz w:val="16"/>
                <w:szCs w:val="16"/>
              </w:rPr>
            </w:pPr>
          </w:p>
          <w:p w14:paraId="26F1EBF9" w14:textId="77777777" w:rsidR="00372B75" w:rsidRPr="009E151A" w:rsidRDefault="00372B75" w:rsidP="00372B75">
            <w:pPr>
              <w:rPr>
                <w:sz w:val="16"/>
                <w:szCs w:val="16"/>
              </w:rPr>
            </w:pPr>
          </w:p>
        </w:tc>
        <w:tc>
          <w:tcPr>
            <w:tcW w:w="1418" w:type="dxa"/>
          </w:tcPr>
          <w:p w14:paraId="29F687B9" w14:textId="77777777" w:rsidR="00372B75" w:rsidRPr="009E151A" w:rsidRDefault="00372B75" w:rsidP="00372B75">
            <w:pPr>
              <w:rPr>
                <w:sz w:val="16"/>
                <w:szCs w:val="16"/>
              </w:rPr>
            </w:pPr>
          </w:p>
          <w:p w14:paraId="71C19CFF" w14:textId="77777777" w:rsidR="00372B75" w:rsidRPr="009E151A" w:rsidRDefault="00372B75" w:rsidP="00372B75">
            <w:pPr>
              <w:rPr>
                <w:sz w:val="16"/>
                <w:szCs w:val="16"/>
              </w:rPr>
            </w:pPr>
            <w:r w:rsidRPr="009E151A">
              <w:rPr>
                <w:sz w:val="16"/>
                <w:szCs w:val="16"/>
              </w:rPr>
              <w:t>75% of population</w:t>
            </w:r>
          </w:p>
        </w:tc>
        <w:tc>
          <w:tcPr>
            <w:tcW w:w="1984" w:type="dxa"/>
            <w:gridSpan w:val="2"/>
          </w:tcPr>
          <w:p w14:paraId="2BB0C5D8" w14:textId="77777777" w:rsidR="00372B75" w:rsidRPr="009E151A" w:rsidRDefault="00372B75" w:rsidP="00372B75">
            <w:pPr>
              <w:rPr>
                <w:sz w:val="16"/>
                <w:szCs w:val="16"/>
              </w:rPr>
            </w:pPr>
          </w:p>
          <w:p w14:paraId="37A2B5D4" w14:textId="77777777" w:rsidR="00372B75" w:rsidRPr="009E151A" w:rsidRDefault="00372B75" w:rsidP="00372B75">
            <w:pPr>
              <w:rPr>
                <w:sz w:val="16"/>
                <w:szCs w:val="16"/>
              </w:rPr>
            </w:pPr>
            <w:r w:rsidRPr="009E151A">
              <w:rPr>
                <w:sz w:val="16"/>
                <w:szCs w:val="16"/>
              </w:rPr>
              <w:t>70%, 80%, 85%, 90%, 95%, 100%</w:t>
            </w:r>
          </w:p>
          <w:p w14:paraId="78264EFE" w14:textId="77777777" w:rsidR="00372B75" w:rsidRPr="009E151A" w:rsidRDefault="00372B75" w:rsidP="00372B75">
            <w:pPr>
              <w:rPr>
                <w:sz w:val="16"/>
                <w:szCs w:val="16"/>
              </w:rPr>
            </w:pPr>
          </w:p>
        </w:tc>
        <w:tc>
          <w:tcPr>
            <w:tcW w:w="3544" w:type="dxa"/>
          </w:tcPr>
          <w:p w14:paraId="70B16353" w14:textId="77777777" w:rsidR="00372B75" w:rsidRPr="009E151A" w:rsidRDefault="00372B75" w:rsidP="00372B75">
            <w:pPr>
              <w:rPr>
                <w:sz w:val="16"/>
                <w:szCs w:val="16"/>
              </w:rPr>
            </w:pPr>
          </w:p>
          <w:p w14:paraId="603C6D7F" w14:textId="77777777" w:rsidR="00372B75" w:rsidRPr="009E151A" w:rsidRDefault="00372B75" w:rsidP="006F39A1">
            <w:pPr>
              <w:rPr>
                <w:sz w:val="16"/>
                <w:szCs w:val="16"/>
              </w:rPr>
            </w:pPr>
            <w:r w:rsidRPr="009E151A">
              <w:rPr>
                <w:sz w:val="16"/>
                <w:szCs w:val="16"/>
              </w:rPr>
              <w:t xml:space="preserve">POC tests should enable greater access to (coverage of) viral load testing in a country, due to </w:t>
            </w:r>
            <w:r w:rsidR="006F39A1">
              <w:rPr>
                <w:sz w:val="16"/>
                <w:szCs w:val="16"/>
              </w:rPr>
              <w:t xml:space="preserve">being </w:t>
            </w:r>
            <w:r w:rsidRPr="009E151A">
              <w:rPr>
                <w:sz w:val="16"/>
                <w:szCs w:val="16"/>
              </w:rPr>
              <w:t>an a</w:t>
            </w:r>
            <w:r w:rsidR="00B85C94" w:rsidRPr="009E151A">
              <w:rPr>
                <w:sz w:val="16"/>
                <w:szCs w:val="16"/>
              </w:rPr>
              <w:t>d</w:t>
            </w:r>
            <w:r w:rsidR="0012562D">
              <w:rPr>
                <w:sz w:val="16"/>
                <w:szCs w:val="16"/>
              </w:rPr>
              <w:t>ditional option to DBS testing.</w:t>
            </w:r>
            <w:r w:rsidR="00B85C94" w:rsidRPr="009E151A">
              <w:rPr>
                <w:sz w:val="16"/>
                <w:szCs w:val="16"/>
              </w:rPr>
              <w:t xml:space="preserve"> </w:t>
            </w:r>
          </w:p>
        </w:tc>
      </w:tr>
      <w:tr w:rsidR="00372B75" w:rsidRPr="00A63AC0" w14:paraId="77EF49D5" w14:textId="77777777" w:rsidTr="00295E57">
        <w:tc>
          <w:tcPr>
            <w:tcW w:w="2410" w:type="dxa"/>
            <w:tcBorders>
              <w:bottom w:val="single" w:sz="4" w:space="0" w:color="auto"/>
            </w:tcBorders>
          </w:tcPr>
          <w:p w14:paraId="3405AD3B" w14:textId="77777777" w:rsidR="00372B75" w:rsidRPr="009E151A" w:rsidRDefault="00372B75" w:rsidP="00372B75">
            <w:pPr>
              <w:rPr>
                <w:sz w:val="16"/>
                <w:szCs w:val="16"/>
              </w:rPr>
            </w:pPr>
          </w:p>
          <w:p w14:paraId="58D372E5" w14:textId="77777777" w:rsidR="00372B75" w:rsidRPr="009E151A" w:rsidRDefault="00372B75" w:rsidP="00372B75">
            <w:pPr>
              <w:rPr>
                <w:sz w:val="16"/>
                <w:szCs w:val="16"/>
              </w:rPr>
            </w:pPr>
            <w:r w:rsidRPr="009E151A">
              <w:rPr>
                <w:sz w:val="16"/>
                <w:szCs w:val="16"/>
              </w:rPr>
              <w:t>(</w:t>
            </w:r>
            <w:r w:rsidR="00A30F4C" w:rsidRPr="009E151A">
              <w:rPr>
                <w:sz w:val="16"/>
                <w:szCs w:val="16"/>
              </w:rPr>
              <w:t>v</w:t>
            </w:r>
            <w:r w:rsidRPr="009E151A">
              <w:rPr>
                <w:sz w:val="16"/>
                <w:szCs w:val="16"/>
              </w:rPr>
              <w:t>ii) Probability of switch to second-line ART per 3 months once failure definition met</w:t>
            </w:r>
            <w:r w:rsidRPr="009E151A">
              <w:rPr>
                <w:color w:val="E36C0A" w:themeColor="accent6" w:themeShade="BF"/>
                <w:sz w:val="16"/>
                <w:szCs w:val="16"/>
              </w:rPr>
              <w:t xml:space="preserve"> </w:t>
            </w:r>
          </w:p>
          <w:p w14:paraId="42EB9974" w14:textId="77777777" w:rsidR="00372B75" w:rsidRPr="009E151A" w:rsidRDefault="00372B75" w:rsidP="00372B75">
            <w:pPr>
              <w:rPr>
                <w:sz w:val="16"/>
                <w:szCs w:val="16"/>
              </w:rPr>
            </w:pPr>
          </w:p>
        </w:tc>
        <w:tc>
          <w:tcPr>
            <w:tcW w:w="1418" w:type="dxa"/>
            <w:tcBorders>
              <w:bottom w:val="single" w:sz="4" w:space="0" w:color="auto"/>
            </w:tcBorders>
          </w:tcPr>
          <w:p w14:paraId="636ABDF2" w14:textId="77777777" w:rsidR="00372B75" w:rsidRPr="009E151A" w:rsidRDefault="00372B75" w:rsidP="00372B75">
            <w:pPr>
              <w:rPr>
                <w:sz w:val="16"/>
                <w:szCs w:val="16"/>
              </w:rPr>
            </w:pPr>
          </w:p>
          <w:p w14:paraId="1105DFB5" w14:textId="77777777" w:rsidR="00372B75" w:rsidRPr="009E151A" w:rsidRDefault="00372B75" w:rsidP="00372B75">
            <w:pPr>
              <w:rPr>
                <w:sz w:val="16"/>
                <w:szCs w:val="16"/>
              </w:rPr>
            </w:pPr>
            <w:r w:rsidRPr="009E151A">
              <w:rPr>
                <w:sz w:val="16"/>
                <w:szCs w:val="16"/>
              </w:rPr>
              <w:t>0.2 per 3 months</w:t>
            </w:r>
          </w:p>
        </w:tc>
        <w:tc>
          <w:tcPr>
            <w:tcW w:w="1984" w:type="dxa"/>
            <w:gridSpan w:val="2"/>
            <w:tcBorders>
              <w:bottom w:val="single" w:sz="4" w:space="0" w:color="auto"/>
            </w:tcBorders>
          </w:tcPr>
          <w:p w14:paraId="2963E0B9" w14:textId="77777777" w:rsidR="00372B75" w:rsidRPr="009E151A" w:rsidRDefault="00372B75" w:rsidP="00372B75">
            <w:pPr>
              <w:rPr>
                <w:sz w:val="16"/>
                <w:szCs w:val="16"/>
              </w:rPr>
            </w:pPr>
          </w:p>
          <w:p w14:paraId="77B0D4FF" w14:textId="77777777" w:rsidR="00372B75" w:rsidRPr="009E151A" w:rsidRDefault="00372B75" w:rsidP="00372B75">
            <w:pPr>
              <w:rPr>
                <w:rFonts w:cs="Courier New"/>
                <w:color w:val="000000"/>
                <w:sz w:val="16"/>
                <w:szCs w:val="16"/>
                <w:shd w:val="clear" w:color="auto" w:fill="FFFFFF"/>
              </w:rPr>
            </w:pPr>
            <w:r w:rsidRPr="009E151A">
              <w:rPr>
                <w:sz w:val="16"/>
                <w:szCs w:val="16"/>
              </w:rPr>
              <w:t>0.05, 0.10, 0.15, 0.25, 0.30, 0.35, 0.40, 0.60, 1.00</w:t>
            </w:r>
          </w:p>
          <w:p w14:paraId="55E838E4" w14:textId="77777777" w:rsidR="00372B75" w:rsidRPr="009E151A" w:rsidRDefault="00372B75" w:rsidP="00372B75">
            <w:pPr>
              <w:rPr>
                <w:sz w:val="16"/>
                <w:szCs w:val="16"/>
              </w:rPr>
            </w:pPr>
          </w:p>
        </w:tc>
        <w:tc>
          <w:tcPr>
            <w:tcW w:w="3544" w:type="dxa"/>
            <w:tcBorders>
              <w:bottom w:val="single" w:sz="4" w:space="0" w:color="auto"/>
            </w:tcBorders>
          </w:tcPr>
          <w:p w14:paraId="48DB5F37" w14:textId="77777777" w:rsidR="00372B75" w:rsidRPr="009E151A" w:rsidRDefault="00372B75" w:rsidP="00372B75">
            <w:pPr>
              <w:rPr>
                <w:sz w:val="16"/>
                <w:szCs w:val="16"/>
              </w:rPr>
            </w:pPr>
          </w:p>
          <w:p w14:paraId="22E09966" w14:textId="2C79E05E" w:rsidR="00372B75" w:rsidRPr="009E151A" w:rsidRDefault="00372B75" w:rsidP="00372B75">
            <w:pPr>
              <w:rPr>
                <w:sz w:val="16"/>
                <w:szCs w:val="16"/>
              </w:rPr>
            </w:pPr>
            <w:r w:rsidRPr="009E151A">
              <w:rPr>
                <w:sz w:val="16"/>
                <w:szCs w:val="16"/>
              </w:rPr>
              <w:t xml:space="preserve">Theoretically possible that a POC test will result in a more rapid switch, due to </w:t>
            </w:r>
            <w:r w:rsidRPr="006F39A1">
              <w:rPr>
                <w:sz w:val="16"/>
                <w:szCs w:val="16"/>
              </w:rPr>
              <w:t>ability to act on viral load result while patient present.</w:t>
            </w:r>
          </w:p>
          <w:p w14:paraId="1D699E6C" w14:textId="77777777" w:rsidR="00A361C4" w:rsidRPr="009E151A" w:rsidRDefault="00A361C4" w:rsidP="00372B75">
            <w:pPr>
              <w:rPr>
                <w:sz w:val="16"/>
                <w:szCs w:val="16"/>
              </w:rPr>
            </w:pPr>
          </w:p>
        </w:tc>
      </w:tr>
      <w:tr w:rsidR="000B20FF" w:rsidRPr="00A63AC0" w14:paraId="0622F7C0" w14:textId="77777777" w:rsidTr="00295E57">
        <w:tc>
          <w:tcPr>
            <w:tcW w:w="2410" w:type="dxa"/>
            <w:tcBorders>
              <w:top w:val="single" w:sz="4" w:space="0" w:color="auto"/>
              <w:bottom w:val="single" w:sz="4" w:space="0" w:color="auto"/>
            </w:tcBorders>
          </w:tcPr>
          <w:p w14:paraId="31F05DDA" w14:textId="77777777" w:rsidR="000B20FF" w:rsidRPr="009E151A" w:rsidRDefault="000B20FF" w:rsidP="000B20FF">
            <w:pPr>
              <w:rPr>
                <w:sz w:val="16"/>
                <w:szCs w:val="16"/>
              </w:rPr>
            </w:pPr>
          </w:p>
          <w:p w14:paraId="6D4D3634" w14:textId="77777777" w:rsidR="000B20FF" w:rsidRPr="009E151A" w:rsidRDefault="000B20FF" w:rsidP="000B20FF">
            <w:pPr>
              <w:rPr>
                <w:sz w:val="16"/>
                <w:szCs w:val="16"/>
              </w:rPr>
            </w:pPr>
            <w:r w:rsidRPr="009E151A">
              <w:rPr>
                <w:sz w:val="16"/>
                <w:szCs w:val="16"/>
              </w:rPr>
              <w:t>(v</w:t>
            </w:r>
            <w:r w:rsidR="00A30F4C" w:rsidRPr="009E151A">
              <w:rPr>
                <w:sz w:val="16"/>
                <w:szCs w:val="16"/>
              </w:rPr>
              <w:t>iii</w:t>
            </w:r>
            <w:r w:rsidRPr="009E151A">
              <w:rPr>
                <w:sz w:val="16"/>
                <w:szCs w:val="16"/>
              </w:rPr>
              <w:t xml:space="preserve">) Probability of ART interruption / loss to follow-up </w:t>
            </w:r>
            <w:r w:rsidRPr="009E151A">
              <w:rPr>
                <w:color w:val="E36C0A" w:themeColor="accent6" w:themeShade="BF"/>
                <w:sz w:val="16"/>
                <w:szCs w:val="16"/>
              </w:rPr>
              <w:t xml:space="preserve"> </w:t>
            </w:r>
          </w:p>
          <w:p w14:paraId="46256A11" w14:textId="77777777" w:rsidR="000B20FF" w:rsidRPr="009E151A" w:rsidRDefault="000B20FF" w:rsidP="000B20FF">
            <w:pPr>
              <w:rPr>
                <w:sz w:val="16"/>
                <w:szCs w:val="16"/>
              </w:rPr>
            </w:pPr>
          </w:p>
        </w:tc>
        <w:tc>
          <w:tcPr>
            <w:tcW w:w="1418" w:type="dxa"/>
            <w:tcBorders>
              <w:top w:val="single" w:sz="4" w:space="0" w:color="auto"/>
              <w:bottom w:val="single" w:sz="4" w:space="0" w:color="auto"/>
            </w:tcBorders>
          </w:tcPr>
          <w:p w14:paraId="2462EDB6" w14:textId="77777777" w:rsidR="000B20FF" w:rsidRPr="009E151A" w:rsidRDefault="000B20FF" w:rsidP="000B20FF">
            <w:pPr>
              <w:rPr>
                <w:sz w:val="16"/>
                <w:szCs w:val="16"/>
              </w:rPr>
            </w:pPr>
          </w:p>
          <w:p w14:paraId="0246294D" w14:textId="77777777" w:rsidR="000B20FF" w:rsidRPr="009E151A" w:rsidRDefault="000B20FF" w:rsidP="000B20FF">
            <w:pPr>
              <w:rPr>
                <w:sz w:val="16"/>
                <w:szCs w:val="16"/>
              </w:rPr>
            </w:pPr>
            <w:r w:rsidRPr="009E151A">
              <w:rPr>
                <w:sz w:val="16"/>
                <w:szCs w:val="16"/>
              </w:rPr>
              <w:t>0.020 per 3 months</w:t>
            </w:r>
          </w:p>
        </w:tc>
        <w:tc>
          <w:tcPr>
            <w:tcW w:w="1984" w:type="dxa"/>
            <w:gridSpan w:val="2"/>
            <w:tcBorders>
              <w:top w:val="single" w:sz="4" w:space="0" w:color="auto"/>
              <w:bottom w:val="single" w:sz="4" w:space="0" w:color="auto"/>
            </w:tcBorders>
          </w:tcPr>
          <w:p w14:paraId="58AB1BB4" w14:textId="77777777" w:rsidR="000B20FF" w:rsidRPr="009E151A" w:rsidRDefault="000B20FF" w:rsidP="000B20FF">
            <w:pPr>
              <w:rPr>
                <w:sz w:val="16"/>
                <w:szCs w:val="16"/>
              </w:rPr>
            </w:pPr>
          </w:p>
          <w:p w14:paraId="3752B317" w14:textId="77777777" w:rsidR="000B20FF" w:rsidRPr="009E151A" w:rsidRDefault="000B20FF" w:rsidP="000B20FF">
            <w:pPr>
              <w:rPr>
                <w:sz w:val="16"/>
                <w:szCs w:val="16"/>
              </w:rPr>
            </w:pPr>
            <w:r w:rsidRPr="009E151A">
              <w:rPr>
                <w:sz w:val="16"/>
                <w:szCs w:val="16"/>
              </w:rPr>
              <w:t>0.030, 0.025, 0.015, 0.010,  0.005</w:t>
            </w:r>
          </w:p>
          <w:p w14:paraId="7AAD5D02" w14:textId="77777777" w:rsidR="000B20FF" w:rsidRPr="009E151A" w:rsidRDefault="000B20FF" w:rsidP="000B20FF">
            <w:pPr>
              <w:rPr>
                <w:sz w:val="16"/>
                <w:szCs w:val="16"/>
              </w:rPr>
            </w:pPr>
          </w:p>
        </w:tc>
        <w:tc>
          <w:tcPr>
            <w:tcW w:w="3544" w:type="dxa"/>
            <w:tcBorders>
              <w:top w:val="single" w:sz="4" w:space="0" w:color="auto"/>
              <w:bottom w:val="single" w:sz="4" w:space="0" w:color="auto"/>
            </w:tcBorders>
          </w:tcPr>
          <w:p w14:paraId="67D605E4" w14:textId="77777777" w:rsidR="000B20FF" w:rsidRPr="009E151A" w:rsidRDefault="000B20FF" w:rsidP="000B20FF">
            <w:pPr>
              <w:rPr>
                <w:sz w:val="16"/>
                <w:szCs w:val="16"/>
              </w:rPr>
            </w:pPr>
          </w:p>
          <w:p w14:paraId="18ACF8E3" w14:textId="77777777" w:rsidR="000B20FF" w:rsidRPr="009E151A" w:rsidRDefault="000B20FF" w:rsidP="000B20FF">
            <w:pPr>
              <w:rPr>
                <w:sz w:val="16"/>
                <w:szCs w:val="16"/>
              </w:rPr>
            </w:pPr>
            <w:r w:rsidRPr="009E151A">
              <w:rPr>
                <w:sz w:val="16"/>
                <w:szCs w:val="16"/>
              </w:rPr>
              <w:t>Given the enabling of viral lo</w:t>
            </w:r>
            <w:r w:rsidR="00B85C94" w:rsidRPr="009E151A">
              <w:rPr>
                <w:sz w:val="16"/>
                <w:szCs w:val="16"/>
              </w:rPr>
              <w:t>ad informed differentiated care,</w:t>
            </w:r>
            <w:r w:rsidRPr="009E151A">
              <w:rPr>
                <w:sz w:val="16"/>
                <w:szCs w:val="16"/>
              </w:rPr>
              <w:t xml:space="preserve"> POC tests could result in lower rates of </w:t>
            </w:r>
            <w:r w:rsidRPr="006F39A1">
              <w:rPr>
                <w:sz w:val="16"/>
                <w:szCs w:val="16"/>
              </w:rPr>
              <w:t>disengagement from care</w:t>
            </w:r>
            <w:r w:rsidR="0012562D" w:rsidRPr="006F39A1">
              <w:rPr>
                <w:sz w:val="16"/>
                <w:szCs w:val="16"/>
              </w:rPr>
              <w:t xml:space="preserve">, although this is uncertain and </w:t>
            </w:r>
            <w:r w:rsidR="00B85C94" w:rsidRPr="006F39A1">
              <w:rPr>
                <w:sz w:val="16"/>
                <w:szCs w:val="16"/>
              </w:rPr>
              <w:t>needs to be assessed in studies</w:t>
            </w:r>
            <w:r w:rsidRPr="006F39A1">
              <w:rPr>
                <w:sz w:val="16"/>
                <w:szCs w:val="16"/>
              </w:rPr>
              <w:t>.</w:t>
            </w:r>
          </w:p>
          <w:p w14:paraId="3ED4D603" w14:textId="77777777" w:rsidR="000B20FF" w:rsidRPr="009E151A" w:rsidRDefault="000B20FF" w:rsidP="000B20FF">
            <w:pPr>
              <w:rPr>
                <w:sz w:val="16"/>
                <w:szCs w:val="16"/>
              </w:rPr>
            </w:pPr>
          </w:p>
        </w:tc>
      </w:tr>
    </w:tbl>
    <w:p w14:paraId="06873F3E" w14:textId="77777777" w:rsidR="00066F28" w:rsidRDefault="00066F28" w:rsidP="00066F28">
      <w:pPr>
        <w:spacing w:after="0" w:line="240" w:lineRule="auto"/>
        <w:rPr>
          <w:sz w:val="18"/>
          <w:szCs w:val="18"/>
        </w:rPr>
      </w:pPr>
    </w:p>
    <w:p w14:paraId="0D91F3BC" w14:textId="656DA4B8" w:rsidR="00066F28" w:rsidRPr="00066F28" w:rsidRDefault="00066F28" w:rsidP="00066F28">
      <w:pPr>
        <w:spacing w:after="0" w:line="240" w:lineRule="auto"/>
        <w:rPr>
          <w:sz w:val="16"/>
          <w:szCs w:val="16"/>
        </w:rPr>
      </w:pPr>
      <w:r w:rsidRPr="00066F28">
        <w:rPr>
          <w:sz w:val="16"/>
          <w:szCs w:val="16"/>
        </w:rPr>
        <w:t>(</w:t>
      </w:r>
      <w:proofErr w:type="spellStart"/>
      <w:r w:rsidRPr="00066F28">
        <w:rPr>
          <w:sz w:val="16"/>
          <w:szCs w:val="16"/>
        </w:rPr>
        <w:t>i</w:t>
      </w:r>
      <w:proofErr w:type="spellEnd"/>
      <w:r w:rsidRPr="00066F28">
        <w:rPr>
          <w:sz w:val="16"/>
          <w:szCs w:val="16"/>
        </w:rPr>
        <w:t xml:space="preserve">) </w:t>
      </w:r>
      <w:proofErr w:type="gramStart"/>
      <w:r w:rsidRPr="00066F28">
        <w:rPr>
          <w:sz w:val="16"/>
          <w:szCs w:val="16"/>
        </w:rPr>
        <w:t>delay</w:t>
      </w:r>
      <w:proofErr w:type="gramEnd"/>
      <w:r w:rsidRPr="00066F28">
        <w:rPr>
          <w:sz w:val="16"/>
          <w:szCs w:val="16"/>
        </w:rPr>
        <w:t xml:space="preserve"> may be up to 3 months  (ii) The sensitivity and specificity are not </w:t>
      </w:r>
      <w:r w:rsidR="00712118">
        <w:rPr>
          <w:sz w:val="16"/>
          <w:szCs w:val="16"/>
        </w:rPr>
        <w:t xml:space="preserve">input parameters </w:t>
      </w:r>
      <w:r w:rsidRPr="00066F28">
        <w:rPr>
          <w:sz w:val="16"/>
          <w:szCs w:val="16"/>
        </w:rPr>
        <w:t xml:space="preserve">– they are outputs which depend on the assumed standard deviation for the measurement variability and any offset (see Supplementary Material, section 9). </w:t>
      </w:r>
      <w:r>
        <w:rPr>
          <w:sz w:val="16"/>
          <w:szCs w:val="16"/>
        </w:rPr>
        <w:t xml:space="preserve">Values </w:t>
      </w:r>
      <w:r w:rsidRPr="00066F28">
        <w:rPr>
          <w:sz w:val="16"/>
          <w:szCs w:val="16"/>
        </w:rPr>
        <w:t xml:space="preserve">Informed by overview of various studies comparing VL values on DBS/plasma (e.g. </w:t>
      </w:r>
      <w:proofErr w:type="spellStart"/>
      <w:r w:rsidRPr="00066F28">
        <w:rPr>
          <w:sz w:val="16"/>
          <w:szCs w:val="16"/>
        </w:rPr>
        <w:t>Mavedzenge</w:t>
      </w:r>
      <w:proofErr w:type="spellEnd"/>
      <w:r w:rsidRPr="00066F28">
        <w:rPr>
          <w:sz w:val="16"/>
          <w:szCs w:val="16"/>
        </w:rPr>
        <w:t xml:space="preserve"> et al PLOS One 2015)</w:t>
      </w:r>
      <w:proofErr w:type="gramStart"/>
      <w:r w:rsidRPr="00066F28">
        <w:rPr>
          <w:sz w:val="16"/>
          <w:szCs w:val="16"/>
        </w:rPr>
        <w:t>;  World</w:t>
      </w:r>
      <w:proofErr w:type="gramEnd"/>
      <w:r w:rsidRPr="00066F28">
        <w:rPr>
          <w:sz w:val="16"/>
          <w:szCs w:val="16"/>
        </w:rPr>
        <w:t xml:space="preserve"> Health Organisation. Technical and operational considerations for implementing HIV viral load testing.  Access to HIV diagnostics.  July 2014.  </w:t>
      </w:r>
      <w:hyperlink r:id="rId6" w:history="1">
        <w:r w:rsidRPr="00066F28">
          <w:rPr>
            <w:rStyle w:val="Hyperlink"/>
            <w:sz w:val="16"/>
            <w:szCs w:val="16"/>
          </w:rPr>
          <w:t>www.who.int</w:t>
        </w:r>
      </w:hyperlink>
      <w:r w:rsidRPr="00066F28">
        <w:rPr>
          <w:sz w:val="16"/>
          <w:szCs w:val="16"/>
        </w:rPr>
        <w:t xml:space="preserve">; </w:t>
      </w:r>
      <w:r w:rsidR="00712118">
        <w:rPr>
          <w:sz w:val="16"/>
          <w:szCs w:val="16"/>
        </w:rPr>
        <w:t xml:space="preserve">Smit PW et al. 2014. </w:t>
      </w:r>
      <w:r w:rsidRPr="00066F28">
        <w:rPr>
          <w:sz w:val="16"/>
          <w:szCs w:val="16"/>
        </w:rPr>
        <w:t xml:space="preserve"> Systematic Review of the Use of Dried Blood Spots for Monitoring HIV Viral Load and for Early Infant Diagnosis. </w:t>
      </w:r>
      <w:proofErr w:type="spellStart"/>
      <w:r w:rsidRPr="00066F28">
        <w:rPr>
          <w:sz w:val="16"/>
          <w:szCs w:val="16"/>
        </w:rPr>
        <w:t>PLoS</w:t>
      </w:r>
      <w:proofErr w:type="spellEnd"/>
      <w:r w:rsidRPr="00066F28">
        <w:rPr>
          <w:sz w:val="16"/>
          <w:szCs w:val="16"/>
        </w:rPr>
        <w:t xml:space="preserve"> ONE 9(3): e86461. doi:10.1371/journal.pone.0086461 (iii) WHO 2013 Treatment Guidelines, www.who.int; (iv) this is failure due to technical reasons in the lab or failure for results to be successfully returned – the </w:t>
      </w:r>
      <w:r w:rsidR="009719E0">
        <w:rPr>
          <w:sz w:val="16"/>
          <w:szCs w:val="16"/>
        </w:rPr>
        <w:t xml:space="preserve">value is likely to vary by setting within countries as well as between countries – the value of </w:t>
      </w:r>
      <w:proofErr w:type="gramStart"/>
      <w:r w:rsidR="009719E0">
        <w:rPr>
          <w:sz w:val="16"/>
          <w:szCs w:val="16"/>
        </w:rPr>
        <w:t xml:space="preserve">0.15 </w:t>
      </w:r>
      <w:r w:rsidR="002365D0" w:rsidRPr="00066F28">
        <w:rPr>
          <w:sz w:val="16"/>
          <w:szCs w:val="16"/>
        </w:rPr>
        <w:t xml:space="preserve"> is</w:t>
      </w:r>
      <w:proofErr w:type="gramEnd"/>
      <w:r w:rsidR="002365D0" w:rsidRPr="00066F28">
        <w:rPr>
          <w:sz w:val="16"/>
          <w:szCs w:val="16"/>
        </w:rPr>
        <w:t xml:space="preserve"> </w:t>
      </w:r>
      <w:r w:rsidR="009719E0">
        <w:rPr>
          <w:sz w:val="16"/>
          <w:szCs w:val="16"/>
        </w:rPr>
        <w:t xml:space="preserve">a </w:t>
      </w:r>
      <w:r w:rsidR="002365D0" w:rsidRPr="00066F28">
        <w:rPr>
          <w:sz w:val="16"/>
          <w:szCs w:val="16"/>
        </w:rPr>
        <w:t xml:space="preserve">conservative </w:t>
      </w:r>
      <w:r w:rsidR="009719E0">
        <w:rPr>
          <w:sz w:val="16"/>
          <w:szCs w:val="16"/>
        </w:rPr>
        <w:t xml:space="preserve">estimate of what is </w:t>
      </w:r>
      <w:proofErr w:type="spellStart"/>
      <w:r w:rsidR="009719E0">
        <w:rPr>
          <w:sz w:val="16"/>
          <w:szCs w:val="16"/>
        </w:rPr>
        <w:t>achieveable</w:t>
      </w:r>
      <w:proofErr w:type="spellEnd"/>
      <w:r w:rsidR="009719E0">
        <w:rPr>
          <w:sz w:val="16"/>
          <w:szCs w:val="16"/>
        </w:rPr>
        <w:t xml:space="preserve"> with a DBS transport network </w:t>
      </w:r>
      <w:r w:rsidR="002365D0" w:rsidRPr="00066F28">
        <w:rPr>
          <w:sz w:val="16"/>
          <w:szCs w:val="16"/>
        </w:rPr>
        <w:t xml:space="preserve">(e.g. </w:t>
      </w:r>
      <w:proofErr w:type="spellStart"/>
      <w:r w:rsidR="002365D0" w:rsidRPr="00066F28">
        <w:rPr>
          <w:sz w:val="16"/>
          <w:szCs w:val="16"/>
        </w:rPr>
        <w:t>Chiduo</w:t>
      </w:r>
      <w:proofErr w:type="spellEnd"/>
      <w:r w:rsidR="002365D0" w:rsidRPr="00066F28">
        <w:rPr>
          <w:sz w:val="16"/>
          <w:szCs w:val="16"/>
        </w:rPr>
        <w:t xml:space="preserve"> MG et al. Early infant diagnosis of HIV in three regions in Tanzania; successes and challenges. BMC Public Health 2013, 13:910; Chatterjee A, </w:t>
      </w:r>
      <w:r w:rsidR="002365D0">
        <w:rPr>
          <w:sz w:val="16"/>
          <w:szCs w:val="16"/>
        </w:rPr>
        <w:t xml:space="preserve">et al. </w:t>
      </w:r>
      <w:r w:rsidR="002365D0" w:rsidRPr="00066F28">
        <w:rPr>
          <w:sz w:val="16"/>
          <w:szCs w:val="16"/>
        </w:rPr>
        <w:t>Implementing services for Early Infant Diagnosis (EID) of HIV: a comparative descriptive analysis of national programs in four countries. BMC Public Health 2011, 11:553; Current EID coverage in Zimbabwe; F Cowan (personal communication, CESHHAR, Zimbabwe))</w:t>
      </w:r>
      <w:r w:rsidR="0009624A">
        <w:rPr>
          <w:sz w:val="16"/>
          <w:szCs w:val="16"/>
        </w:rPr>
        <w:t xml:space="preserve"> – it is not yet certain if use of DBS for viral load testing can achieve similar results, since the number of tests to be done will be much higher</w:t>
      </w:r>
      <w:r w:rsidR="002365D0" w:rsidRPr="00066F28">
        <w:rPr>
          <w:sz w:val="16"/>
          <w:szCs w:val="16"/>
        </w:rPr>
        <w:t xml:space="preserve">; </w:t>
      </w:r>
      <w:r w:rsidR="00712118">
        <w:rPr>
          <w:sz w:val="16"/>
          <w:szCs w:val="16"/>
        </w:rPr>
        <w:t xml:space="preserve"> </w:t>
      </w:r>
      <w:r w:rsidRPr="00066F28">
        <w:rPr>
          <w:sz w:val="16"/>
          <w:szCs w:val="16"/>
        </w:rPr>
        <w:t xml:space="preserve"> (v) assumption</w:t>
      </w:r>
      <w:r w:rsidR="00D95FEB">
        <w:rPr>
          <w:sz w:val="16"/>
          <w:szCs w:val="16"/>
        </w:rPr>
        <w:t xml:space="preserve"> – 0.80 may be rather high for DBS and data are required to inform this</w:t>
      </w:r>
      <w:r w:rsidRPr="00066F28">
        <w:rPr>
          <w:sz w:val="16"/>
          <w:szCs w:val="16"/>
        </w:rPr>
        <w:t>;  (vi) coverage assumed to be 75% in base case</w:t>
      </w:r>
      <w:r w:rsidR="009719E0">
        <w:rPr>
          <w:sz w:val="16"/>
          <w:szCs w:val="16"/>
        </w:rPr>
        <w:t xml:space="preserve"> – this is closely linked to (iv) above and 75% is conservative for what is feasible for EID; an </w:t>
      </w:r>
      <w:r w:rsidR="00712118">
        <w:rPr>
          <w:sz w:val="16"/>
          <w:szCs w:val="16"/>
        </w:rPr>
        <w:t>a</w:t>
      </w:r>
      <w:r w:rsidR="00712118" w:rsidRPr="00066F28">
        <w:rPr>
          <w:sz w:val="16"/>
          <w:szCs w:val="16"/>
        </w:rPr>
        <w:t xml:space="preserve">ssumption is made, even for base </w:t>
      </w:r>
      <w:r w:rsidR="00712118">
        <w:rPr>
          <w:sz w:val="16"/>
          <w:szCs w:val="16"/>
        </w:rPr>
        <w:t>scenario</w:t>
      </w:r>
      <w:r w:rsidR="00712118" w:rsidRPr="00066F28">
        <w:rPr>
          <w:sz w:val="16"/>
          <w:szCs w:val="16"/>
        </w:rPr>
        <w:t xml:space="preserve"> DBS, that the probability of switch is higher with viral load monitoring than with CD4 count monitoring (0.001 per 3 months). </w:t>
      </w:r>
      <w:r w:rsidR="00712118">
        <w:rPr>
          <w:sz w:val="16"/>
          <w:szCs w:val="16"/>
        </w:rPr>
        <w:t xml:space="preserve"> </w:t>
      </w:r>
      <w:r w:rsidRPr="00066F28">
        <w:rPr>
          <w:sz w:val="16"/>
          <w:szCs w:val="16"/>
        </w:rPr>
        <w:t>(</w:t>
      </w:r>
      <w:proofErr w:type="gramStart"/>
      <w:r w:rsidRPr="00066F28">
        <w:rPr>
          <w:sz w:val="16"/>
          <w:szCs w:val="16"/>
        </w:rPr>
        <w:t>v</w:t>
      </w:r>
      <w:r w:rsidR="00712118">
        <w:rPr>
          <w:sz w:val="16"/>
          <w:szCs w:val="16"/>
        </w:rPr>
        <w:t>i</w:t>
      </w:r>
      <w:r w:rsidRPr="00066F28">
        <w:rPr>
          <w:sz w:val="16"/>
          <w:szCs w:val="16"/>
        </w:rPr>
        <w:t>i</w:t>
      </w:r>
      <w:proofErr w:type="gramEnd"/>
      <w:r w:rsidRPr="00066F28">
        <w:rPr>
          <w:sz w:val="16"/>
          <w:szCs w:val="16"/>
        </w:rPr>
        <w:t xml:space="preserve">) Differs by setting (e.g. </w:t>
      </w:r>
      <w:r w:rsidRPr="00066F28">
        <w:rPr>
          <w:bCs/>
          <w:sz w:val="16"/>
          <w:szCs w:val="16"/>
        </w:rPr>
        <w:t xml:space="preserve">Johnston, V., </w:t>
      </w:r>
      <w:r w:rsidR="00712118">
        <w:rPr>
          <w:bCs/>
          <w:sz w:val="16"/>
          <w:szCs w:val="16"/>
        </w:rPr>
        <w:t>et al</w:t>
      </w:r>
      <w:r w:rsidRPr="00066F28">
        <w:rPr>
          <w:bCs/>
          <w:sz w:val="16"/>
          <w:szCs w:val="16"/>
        </w:rPr>
        <w:t>. 2012.</w:t>
      </w:r>
      <w:r w:rsidR="00712118">
        <w:rPr>
          <w:bCs/>
          <w:sz w:val="16"/>
          <w:szCs w:val="16"/>
        </w:rPr>
        <w:t xml:space="preserve"> </w:t>
      </w:r>
      <w:proofErr w:type="gramStart"/>
      <w:r w:rsidR="00712118">
        <w:rPr>
          <w:bCs/>
          <w:sz w:val="16"/>
          <w:szCs w:val="16"/>
        </w:rPr>
        <w:t>JAIDS</w:t>
      </w:r>
      <w:r w:rsidRPr="00066F28">
        <w:rPr>
          <w:bCs/>
          <w:sz w:val="16"/>
          <w:szCs w:val="16"/>
        </w:rPr>
        <w:t>.,</w:t>
      </w:r>
      <w:proofErr w:type="gramEnd"/>
      <w:r w:rsidRPr="00066F28">
        <w:rPr>
          <w:bCs/>
          <w:sz w:val="16"/>
          <w:szCs w:val="16"/>
        </w:rPr>
        <w:t xml:space="preserve"> 61, (3) 370</w:t>
      </w:r>
      <w:r w:rsidR="00712118">
        <w:rPr>
          <w:bCs/>
          <w:sz w:val="16"/>
          <w:szCs w:val="16"/>
        </w:rPr>
        <w:t xml:space="preserve">-380 </w:t>
      </w:r>
      <w:r w:rsidRPr="00066F28">
        <w:rPr>
          <w:bCs/>
          <w:sz w:val="16"/>
          <w:szCs w:val="16"/>
        </w:rPr>
        <w:t>;</w:t>
      </w:r>
      <w:r w:rsidRPr="00066F28">
        <w:rPr>
          <w:sz w:val="16"/>
          <w:szCs w:val="16"/>
        </w:rPr>
        <w:t xml:space="preserve"> </w:t>
      </w:r>
      <w:r w:rsidR="00712118">
        <w:rPr>
          <w:bCs/>
          <w:sz w:val="16"/>
          <w:szCs w:val="16"/>
        </w:rPr>
        <w:t>Fox MP et al</w:t>
      </w:r>
      <w:r w:rsidRPr="00066F28">
        <w:rPr>
          <w:bCs/>
          <w:sz w:val="16"/>
          <w:szCs w:val="16"/>
        </w:rPr>
        <w:t xml:space="preserve">. </w:t>
      </w:r>
      <w:r w:rsidR="00712118">
        <w:rPr>
          <w:bCs/>
          <w:sz w:val="16"/>
          <w:szCs w:val="16"/>
        </w:rPr>
        <w:t xml:space="preserve">JAIDS </w:t>
      </w:r>
      <w:r w:rsidRPr="00066F28">
        <w:rPr>
          <w:bCs/>
          <w:sz w:val="16"/>
          <w:szCs w:val="16"/>
        </w:rPr>
        <w:t xml:space="preserve">2012. Rates and predictors of failure of first-line antiretroviral therapy and switch to second-line ART in South Africa. </w:t>
      </w:r>
      <w:proofErr w:type="spellStart"/>
      <w:proofErr w:type="gramStart"/>
      <w:r w:rsidRPr="00066F28">
        <w:rPr>
          <w:bCs/>
          <w:sz w:val="16"/>
          <w:szCs w:val="16"/>
        </w:rPr>
        <w:t>J.Acquir.Immune.Defic.Syndr</w:t>
      </w:r>
      <w:proofErr w:type="spellEnd"/>
      <w:r w:rsidRPr="00066F28">
        <w:rPr>
          <w:bCs/>
          <w:sz w:val="16"/>
          <w:szCs w:val="16"/>
        </w:rPr>
        <w:t>.,</w:t>
      </w:r>
      <w:proofErr w:type="gramEnd"/>
      <w:r w:rsidRPr="00066F28">
        <w:rPr>
          <w:bCs/>
          <w:sz w:val="16"/>
          <w:szCs w:val="16"/>
        </w:rPr>
        <w:t xml:space="preserve"> 60, (4) 428-437 available from: PM:22433846); </w:t>
      </w:r>
      <w:r w:rsidRPr="00066F28">
        <w:rPr>
          <w:sz w:val="16"/>
          <w:szCs w:val="16"/>
        </w:rPr>
        <w:t xml:space="preserve"> (vii</w:t>
      </w:r>
      <w:r w:rsidR="00712118">
        <w:rPr>
          <w:sz w:val="16"/>
          <w:szCs w:val="16"/>
        </w:rPr>
        <w:t>i</w:t>
      </w:r>
      <w:r w:rsidRPr="00066F28">
        <w:rPr>
          <w:sz w:val="16"/>
          <w:szCs w:val="16"/>
        </w:rPr>
        <w:t xml:space="preserve">) consistent with </w:t>
      </w:r>
      <w:proofErr w:type="spellStart"/>
      <w:r w:rsidRPr="00066F28">
        <w:rPr>
          <w:sz w:val="16"/>
          <w:szCs w:val="16"/>
        </w:rPr>
        <w:t>Kranzer</w:t>
      </w:r>
      <w:proofErr w:type="spellEnd"/>
      <w:r w:rsidRPr="00066F28">
        <w:rPr>
          <w:sz w:val="16"/>
          <w:szCs w:val="16"/>
        </w:rPr>
        <w:t xml:space="preserve">, K. &amp; Ford, N. 2011. Unstructured treatment interruption of antiretroviral therapy in clinical practice: a systematic review. </w:t>
      </w:r>
      <w:proofErr w:type="spellStart"/>
      <w:r w:rsidRPr="00066F28">
        <w:rPr>
          <w:i/>
          <w:sz w:val="16"/>
          <w:szCs w:val="16"/>
        </w:rPr>
        <w:t>Trop.Med.Int.Health</w:t>
      </w:r>
      <w:proofErr w:type="spellEnd"/>
      <w:r w:rsidR="00712118">
        <w:rPr>
          <w:sz w:val="16"/>
          <w:szCs w:val="16"/>
        </w:rPr>
        <w:t>, 16, (10) 1297-</w:t>
      </w:r>
      <w:proofErr w:type="gramStart"/>
      <w:r w:rsidR="00712118">
        <w:rPr>
          <w:sz w:val="16"/>
          <w:szCs w:val="16"/>
        </w:rPr>
        <w:t xml:space="preserve">1313 </w:t>
      </w:r>
      <w:r w:rsidRPr="00066F28">
        <w:rPr>
          <w:sz w:val="16"/>
          <w:szCs w:val="16"/>
        </w:rPr>
        <w:t xml:space="preserve"> </w:t>
      </w:r>
      <w:r w:rsidR="00712118">
        <w:rPr>
          <w:sz w:val="16"/>
          <w:szCs w:val="16"/>
        </w:rPr>
        <w:t>(</w:t>
      </w:r>
      <w:proofErr w:type="gramEnd"/>
      <w:r w:rsidR="00712118">
        <w:rPr>
          <w:sz w:val="16"/>
          <w:szCs w:val="16"/>
        </w:rPr>
        <w:t xml:space="preserve">see details in </w:t>
      </w:r>
      <w:proofErr w:type="spellStart"/>
      <w:r w:rsidR="00712118">
        <w:rPr>
          <w:sz w:val="16"/>
          <w:szCs w:val="16"/>
        </w:rPr>
        <w:t>Supp</w:t>
      </w:r>
      <w:proofErr w:type="spellEnd"/>
      <w:r w:rsidR="00712118">
        <w:rPr>
          <w:sz w:val="16"/>
          <w:szCs w:val="16"/>
        </w:rPr>
        <w:t xml:space="preserve"> Material</w:t>
      </w:r>
      <w:r w:rsidRPr="00066F28">
        <w:rPr>
          <w:sz w:val="16"/>
          <w:szCs w:val="16"/>
        </w:rPr>
        <w:t xml:space="preserve">). </w:t>
      </w:r>
      <w:r w:rsidR="00712118">
        <w:rPr>
          <w:sz w:val="16"/>
          <w:szCs w:val="16"/>
        </w:rPr>
        <w:t>This is base rate of interru</w:t>
      </w:r>
      <w:r w:rsidR="00472163">
        <w:rPr>
          <w:sz w:val="16"/>
          <w:szCs w:val="16"/>
        </w:rPr>
        <w:t>p</w:t>
      </w:r>
      <w:r w:rsidR="00712118">
        <w:rPr>
          <w:sz w:val="16"/>
          <w:szCs w:val="16"/>
        </w:rPr>
        <w:t xml:space="preserve">tion – increased within first 2 years of ART and in those with sub-optimal lifetime tendency to adhere (see details in </w:t>
      </w:r>
      <w:proofErr w:type="spellStart"/>
      <w:r w:rsidR="00712118">
        <w:rPr>
          <w:sz w:val="16"/>
          <w:szCs w:val="16"/>
        </w:rPr>
        <w:t>Supp</w:t>
      </w:r>
      <w:proofErr w:type="spellEnd"/>
      <w:r w:rsidR="00712118">
        <w:rPr>
          <w:sz w:val="16"/>
          <w:szCs w:val="16"/>
        </w:rPr>
        <w:t xml:space="preserve"> Material</w:t>
      </w:r>
      <w:r w:rsidR="00712118" w:rsidRPr="00066F28">
        <w:rPr>
          <w:sz w:val="16"/>
          <w:szCs w:val="16"/>
        </w:rPr>
        <w:t xml:space="preserve">). </w:t>
      </w:r>
      <w:r w:rsidR="00712118">
        <w:rPr>
          <w:sz w:val="16"/>
          <w:szCs w:val="16"/>
        </w:rPr>
        <w:t xml:space="preserve"> </w:t>
      </w:r>
      <w:r w:rsidRPr="00066F28">
        <w:rPr>
          <w:sz w:val="16"/>
          <w:szCs w:val="16"/>
        </w:rPr>
        <w:t xml:space="preserve"> </w:t>
      </w:r>
    </w:p>
    <w:p w14:paraId="33402E57" w14:textId="77777777" w:rsidR="00066F28" w:rsidRPr="00066F28" w:rsidRDefault="00066F28" w:rsidP="00066F28">
      <w:pPr>
        <w:spacing w:after="0" w:line="240" w:lineRule="auto"/>
        <w:rPr>
          <w:sz w:val="16"/>
          <w:szCs w:val="16"/>
        </w:rPr>
      </w:pPr>
    </w:p>
    <w:p w14:paraId="403E9E8A" w14:textId="77777777" w:rsidR="00066F28" w:rsidRDefault="00066F28" w:rsidP="00295E57">
      <w:pPr>
        <w:spacing w:before="120" w:after="0" w:line="240" w:lineRule="auto"/>
        <w:rPr>
          <w:sz w:val="18"/>
          <w:szCs w:val="18"/>
        </w:rPr>
      </w:pPr>
    </w:p>
    <w:p w14:paraId="3D54F34B" w14:textId="77777777" w:rsidR="003208F3" w:rsidRDefault="003208F3">
      <w:pPr>
        <w:rPr>
          <w:color w:val="C0504D" w:themeColor="accent2"/>
          <w:sz w:val="18"/>
          <w:szCs w:val="18"/>
        </w:rPr>
      </w:pPr>
      <w:r>
        <w:rPr>
          <w:color w:val="C0504D" w:themeColor="accent2"/>
          <w:sz w:val="18"/>
          <w:szCs w:val="18"/>
        </w:rPr>
        <w:br w:type="page"/>
      </w:r>
    </w:p>
    <w:p w14:paraId="7F0651F1" w14:textId="71E14C12" w:rsidR="009E151A" w:rsidRDefault="00B161DC" w:rsidP="009E151A">
      <w:pPr>
        <w:spacing w:after="0" w:line="216" w:lineRule="auto"/>
        <w:rPr>
          <w:sz w:val="18"/>
          <w:szCs w:val="18"/>
        </w:rPr>
      </w:pPr>
      <w:r>
        <w:rPr>
          <w:color w:val="C0504D" w:themeColor="accent2"/>
          <w:sz w:val="18"/>
          <w:szCs w:val="18"/>
        </w:rPr>
        <w:t>Table 1b</w:t>
      </w:r>
      <w:r w:rsidR="009E151A" w:rsidRPr="00996CAF">
        <w:rPr>
          <w:color w:val="C0504D" w:themeColor="accent2"/>
          <w:sz w:val="18"/>
          <w:szCs w:val="18"/>
        </w:rPr>
        <w:t xml:space="preserve">.  </w:t>
      </w:r>
      <w:r w:rsidR="009E151A" w:rsidRPr="00996CAF">
        <w:rPr>
          <w:sz w:val="18"/>
          <w:szCs w:val="18"/>
        </w:rPr>
        <w:t xml:space="preserve">Maximum cost of viral load test for net health benefit in the context of </w:t>
      </w:r>
      <w:r w:rsidR="003208F3">
        <w:rPr>
          <w:sz w:val="18"/>
          <w:szCs w:val="18"/>
        </w:rPr>
        <w:t xml:space="preserve">changes in values of each attribute of the </w:t>
      </w:r>
      <w:r w:rsidR="009E151A" w:rsidRPr="00996CAF">
        <w:rPr>
          <w:sz w:val="18"/>
          <w:szCs w:val="18"/>
        </w:rPr>
        <w:t xml:space="preserve">viral load testing </w:t>
      </w:r>
      <w:r w:rsidR="003208F3">
        <w:rPr>
          <w:sz w:val="18"/>
          <w:szCs w:val="18"/>
        </w:rPr>
        <w:t>approach</w:t>
      </w:r>
      <w:r w:rsidR="00862782">
        <w:rPr>
          <w:sz w:val="18"/>
          <w:szCs w:val="18"/>
        </w:rPr>
        <w:t>, changing the value of only one attribute at a time</w:t>
      </w:r>
      <w:r w:rsidR="009E151A">
        <w:rPr>
          <w:sz w:val="18"/>
          <w:szCs w:val="18"/>
        </w:rPr>
        <w:t xml:space="preserve">. </w:t>
      </w:r>
      <w:r w:rsidR="003208F3">
        <w:rPr>
          <w:sz w:val="18"/>
          <w:szCs w:val="18"/>
        </w:rPr>
        <w:t xml:space="preserve"> </w:t>
      </w:r>
    </w:p>
    <w:p w14:paraId="7DBBC7A2" w14:textId="77777777" w:rsidR="00417EEF" w:rsidRPr="007660BF" w:rsidRDefault="00417EEF" w:rsidP="009E151A">
      <w:pPr>
        <w:spacing w:after="0" w:line="216" w:lineRule="auto"/>
        <w:rPr>
          <w:sz w:val="20"/>
          <w:szCs w:val="20"/>
        </w:rPr>
      </w:pPr>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1063"/>
        <w:gridCol w:w="1489"/>
        <w:gridCol w:w="1134"/>
        <w:gridCol w:w="2835"/>
      </w:tblGrid>
      <w:tr w:rsidR="009E151A" w:rsidRPr="00996CAF" w14:paraId="4A2070DD" w14:textId="77777777" w:rsidTr="00862782">
        <w:tc>
          <w:tcPr>
            <w:tcW w:w="2977" w:type="dxa"/>
            <w:shd w:val="clear" w:color="auto" w:fill="FFFFFF" w:themeFill="background1"/>
          </w:tcPr>
          <w:p w14:paraId="3082989E" w14:textId="77777777" w:rsidR="009E151A" w:rsidRPr="00996CAF" w:rsidRDefault="009E151A" w:rsidP="000605F2">
            <w:pPr>
              <w:rPr>
                <w:color w:val="C0504D" w:themeColor="accent2"/>
                <w:sz w:val="16"/>
                <w:szCs w:val="16"/>
              </w:rPr>
            </w:pPr>
          </w:p>
          <w:p w14:paraId="1D25A7DD" w14:textId="77777777" w:rsidR="009E151A" w:rsidRPr="00996CAF" w:rsidRDefault="003208F3" w:rsidP="000605F2">
            <w:pPr>
              <w:rPr>
                <w:color w:val="C0504D" w:themeColor="accent2"/>
                <w:sz w:val="16"/>
                <w:szCs w:val="16"/>
              </w:rPr>
            </w:pPr>
            <w:r>
              <w:rPr>
                <w:color w:val="C0504D" w:themeColor="accent2"/>
                <w:sz w:val="16"/>
                <w:szCs w:val="16"/>
              </w:rPr>
              <w:t xml:space="preserve">Attribute of </w:t>
            </w:r>
            <w:r w:rsidR="009E151A" w:rsidRPr="00996CAF">
              <w:rPr>
                <w:color w:val="C0504D" w:themeColor="accent2"/>
                <w:sz w:val="16"/>
                <w:szCs w:val="16"/>
              </w:rPr>
              <w:t>viral load testing</w:t>
            </w:r>
            <w:r>
              <w:rPr>
                <w:color w:val="C0504D" w:themeColor="accent2"/>
                <w:sz w:val="16"/>
                <w:szCs w:val="16"/>
              </w:rPr>
              <w:t xml:space="preserve"> approach</w:t>
            </w:r>
          </w:p>
          <w:p w14:paraId="48A5812E" w14:textId="77777777" w:rsidR="009E151A" w:rsidRPr="00996CAF" w:rsidRDefault="009E151A" w:rsidP="000605F2">
            <w:pPr>
              <w:rPr>
                <w:color w:val="C0504D" w:themeColor="accent2"/>
                <w:sz w:val="16"/>
                <w:szCs w:val="16"/>
              </w:rPr>
            </w:pPr>
          </w:p>
        </w:tc>
        <w:tc>
          <w:tcPr>
            <w:tcW w:w="2552" w:type="dxa"/>
            <w:gridSpan w:val="2"/>
            <w:shd w:val="clear" w:color="auto" w:fill="FFFFFF" w:themeFill="background1"/>
          </w:tcPr>
          <w:p w14:paraId="1059AEE2" w14:textId="77777777" w:rsidR="009E151A" w:rsidRPr="00996CAF" w:rsidRDefault="009E151A" w:rsidP="000605F2">
            <w:pPr>
              <w:rPr>
                <w:color w:val="C0504D" w:themeColor="accent2"/>
                <w:sz w:val="16"/>
                <w:szCs w:val="16"/>
              </w:rPr>
            </w:pPr>
          </w:p>
          <w:p w14:paraId="5B96E087" w14:textId="77777777" w:rsidR="009E151A" w:rsidRPr="00996CAF" w:rsidRDefault="009E151A" w:rsidP="000605F2">
            <w:pPr>
              <w:rPr>
                <w:color w:val="C0504D" w:themeColor="accent2"/>
                <w:sz w:val="16"/>
                <w:szCs w:val="16"/>
              </w:rPr>
            </w:pPr>
            <w:r w:rsidRPr="00996CAF">
              <w:rPr>
                <w:color w:val="C0504D" w:themeColor="accent2"/>
                <w:sz w:val="16"/>
                <w:szCs w:val="16"/>
              </w:rPr>
              <w:t>Values for factor  considered</w:t>
            </w:r>
          </w:p>
          <w:p w14:paraId="46307F5F" w14:textId="77777777" w:rsidR="009E151A" w:rsidRPr="00996CAF" w:rsidRDefault="009E151A" w:rsidP="000605F2">
            <w:pPr>
              <w:rPr>
                <w:color w:val="C0504D" w:themeColor="accent2"/>
                <w:sz w:val="16"/>
                <w:szCs w:val="16"/>
              </w:rPr>
            </w:pPr>
          </w:p>
        </w:tc>
        <w:tc>
          <w:tcPr>
            <w:tcW w:w="3969" w:type="dxa"/>
            <w:gridSpan w:val="2"/>
            <w:shd w:val="clear" w:color="auto" w:fill="FFFFFF" w:themeFill="background1"/>
          </w:tcPr>
          <w:p w14:paraId="4D9341AB" w14:textId="77777777" w:rsidR="009E151A" w:rsidRPr="00996CAF" w:rsidRDefault="009E151A" w:rsidP="000605F2">
            <w:pPr>
              <w:rPr>
                <w:color w:val="C0504D" w:themeColor="accent2"/>
                <w:sz w:val="16"/>
                <w:szCs w:val="16"/>
              </w:rPr>
            </w:pPr>
          </w:p>
          <w:p w14:paraId="254B1504" w14:textId="5D42B8C5" w:rsidR="009E151A" w:rsidRPr="00996CAF" w:rsidRDefault="009E151A" w:rsidP="000605F2">
            <w:pPr>
              <w:rPr>
                <w:color w:val="C0504D" w:themeColor="accent2"/>
                <w:sz w:val="16"/>
                <w:szCs w:val="16"/>
              </w:rPr>
            </w:pPr>
            <w:r w:rsidRPr="00996CAF">
              <w:rPr>
                <w:color w:val="C0504D" w:themeColor="accent2"/>
                <w:sz w:val="16"/>
                <w:szCs w:val="16"/>
              </w:rPr>
              <w:t xml:space="preserve">Maximum fully-loaded cost of viral load test for reduced net </w:t>
            </w:r>
            <w:r w:rsidR="00143747">
              <w:rPr>
                <w:color w:val="C0504D" w:themeColor="accent2"/>
                <w:sz w:val="16"/>
                <w:szCs w:val="16"/>
              </w:rPr>
              <w:t>DALYs</w:t>
            </w:r>
            <w:r w:rsidRPr="00996CAF">
              <w:rPr>
                <w:color w:val="C0504D" w:themeColor="accent2"/>
                <w:sz w:val="16"/>
                <w:szCs w:val="16"/>
              </w:rPr>
              <w:t xml:space="preserve"> compared with base </w:t>
            </w:r>
            <w:r w:rsidR="00EE2580">
              <w:rPr>
                <w:color w:val="C0504D" w:themeColor="accent2"/>
                <w:sz w:val="16"/>
                <w:szCs w:val="16"/>
              </w:rPr>
              <w:t>scenario</w:t>
            </w:r>
            <w:r w:rsidRPr="00996CAF">
              <w:rPr>
                <w:color w:val="C0504D" w:themeColor="accent2"/>
                <w:sz w:val="16"/>
                <w:szCs w:val="16"/>
              </w:rPr>
              <w:t xml:space="preserve">  </w:t>
            </w:r>
          </w:p>
          <w:p w14:paraId="4C71F067" w14:textId="77777777" w:rsidR="009E151A" w:rsidRPr="00996CAF" w:rsidRDefault="009E151A" w:rsidP="000605F2">
            <w:pPr>
              <w:rPr>
                <w:color w:val="C0504D" w:themeColor="accent2"/>
                <w:sz w:val="16"/>
                <w:szCs w:val="16"/>
              </w:rPr>
            </w:pPr>
          </w:p>
        </w:tc>
      </w:tr>
      <w:tr w:rsidR="009E151A" w:rsidRPr="00996CAF" w14:paraId="12924C1A" w14:textId="77777777" w:rsidTr="00862782">
        <w:tc>
          <w:tcPr>
            <w:tcW w:w="2977" w:type="dxa"/>
          </w:tcPr>
          <w:p w14:paraId="5996B922" w14:textId="77777777" w:rsidR="009E151A" w:rsidRPr="00996CAF" w:rsidRDefault="009E151A" w:rsidP="000605F2">
            <w:pPr>
              <w:spacing w:line="216" w:lineRule="auto"/>
              <w:rPr>
                <w:sz w:val="16"/>
                <w:szCs w:val="16"/>
              </w:rPr>
            </w:pPr>
          </w:p>
          <w:p w14:paraId="064927F2" w14:textId="77777777" w:rsidR="009E151A" w:rsidRPr="00996CAF" w:rsidRDefault="009E151A" w:rsidP="000605F2">
            <w:pPr>
              <w:spacing w:line="216" w:lineRule="auto"/>
              <w:rPr>
                <w:sz w:val="16"/>
                <w:szCs w:val="16"/>
              </w:rPr>
            </w:pPr>
            <w:r w:rsidRPr="00996CAF">
              <w:rPr>
                <w:sz w:val="16"/>
                <w:szCs w:val="16"/>
              </w:rPr>
              <w:t>(</w:t>
            </w:r>
            <w:proofErr w:type="spellStart"/>
            <w:r w:rsidRPr="00996CAF">
              <w:rPr>
                <w:sz w:val="16"/>
                <w:szCs w:val="16"/>
              </w:rPr>
              <w:t>i</w:t>
            </w:r>
            <w:proofErr w:type="spellEnd"/>
            <w:r w:rsidRPr="00996CAF">
              <w:rPr>
                <w:sz w:val="16"/>
                <w:szCs w:val="16"/>
              </w:rPr>
              <w:t>) Delay in result</w:t>
            </w:r>
          </w:p>
          <w:p w14:paraId="3F8E132E" w14:textId="77777777" w:rsidR="009E151A" w:rsidRPr="00996CAF" w:rsidRDefault="009E151A" w:rsidP="000605F2">
            <w:pPr>
              <w:spacing w:line="216" w:lineRule="auto"/>
              <w:rPr>
                <w:sz w:val="16"/>
                <w:szCs w:val="16"/>
              </w:rPr>
            </w:pPr>
          </w:p>
        </w:tc>
        <w:tc>
          <w:tcPr>
            <w:tcW w:w="2552" w:type="dxa"/>
            <w:gridSpan w:val="2"/>
          </w:tcPr>
          <w:p w14:paraId="4882A241" w14:textId="77777777" w:rsidR="009E151A" w:rsidRPr="00996CAF" w:rsidRDefault="009E151A" w:rsidP="000605F2">
            <w:pPr>
              <w:spacing w:line="216" w:lineRule="auto"/>
              <w:rPr>
                <w:sz w:val="16"/>
                <w:szCs w:val="16"/>
              </w:rPr>
            </w:pPr>
          </w:p>
          <w:p w14:paraId="56976995" w14:textId="77777777" w:rsidR="009E151A" w:rsidRPr="00996CAF" w:rsidRDefault="009E151A" w:rsidP="000605F2">
            <w:pPr>
              <w:spacing w:line="216" w:lineRule="auto"/>
              <w:rPr>
                <w:sz w:val="16"/>
                <w:szCs w:val="16"/>
              </w:rPr>
            </w:pPr>
            <w:r w:rsidRPr="00996CAF">
              <w:rPr>
                <w:sz w:val="16"/>
                <w:szCs w:val="16"/>
              </w:rPr>
              <w:t xml:space="preserve">No delay </w:t>
            </w:r>
          </w:p>
          <w:p w14:paraId="09BA6E65" w14:textId="32CB0FA8" w:rsidR="009E151A" w:rsidRPr="00996CAF" w:rsidRDefault="009E151A" w:rsidP="000605F2">
            <w:pPr>
              <w:spacing w:line="216" w:lineRule="auto"/>
              <w:rPr>
                <w:sz w:val="16"/>
                <w:szCs w:val="16"/>
              </w:rPr>
            </w:pPr>
            <w:r w:rsidRPr="00996CAF">
              <w:rPr>
                <w:sz w:val="16"/>
                <w:szCs w:val="16"/>
              </w:rPr>
              <w:t>3 month delay*</w:t>
            </w:r>
          </w:p>
          <w:p w14:paraId="5029D66F" w14:textId="77777777" w:rsidR="009E151A" w:rsidRPr="00996CAF" w:rsidRDefault="009E151A" w:rsidP="000605F2">
            <w:pPr>
              <w:spacing w:line="216" w:lineRule="auto"/>
              <w:rPr>
                <w:sz w:val="16"/>
                <w:szCs w:val="16"/>
              </w:rPr>
            </w:pPr>
          </w:p>
        </w:tc>
        <w:tc>
          <w:tcPr>
            <w:tcW w:w="3969" w:type="dxa"/>
            <w:gridSpan w:val="2"/>
          </w:tcPr>
          <w:p w14:paraId="70142D93" w14:textId="77777777" w:rsidR="009E151A" w:rsidRPr="00F00920" w:rsidRDefault="009E151A" w:rsidP="000605F2">
            <w:pPr>
              <w:spacing w:line="216" w:lineRule="auto"/>
              <w:rPr>
                <w:sz w:val="16"/>
                <w:szCs w:val="16"/>
              </w:rPr>
            </w:pPr>
          </w:p>
          <w:p w14:paraId="512544A8" w14:textId="77777777" w:rsidR="009E151A" w:rsidRPr="00F00920" w:rsidRDefault="009E151A" w:rsidP="000605F2">
            <w:pPr>
              <w:spacing w:line="216" w:lineRule="auto"/>
              <w:rPr>
                <w:sz w:val="16"/>
                <w:szCs w:val="16"/>
              </w:rPr>
            </w:pPr>
            <w:r w:rsidRPr="00F00920">
              <w:rPr>
                <w:sz w:val="16"/>
                <w:szCs w:val="16"/>
              </w:rPr>
              <w:t>$23</w:t>
            </w:r>
          </w:p>
          <w:p w14:paraId="1DC7BC5F" w14:textId="560A17E4" w:rsidR="009E151A" w:rsidRPr="00F00920" w:rsidRDefault="009E151A" w:rsidP="005C796B">
            <w:pPr>
              <w:spacing w:line="216" w:lineRule="auto"/>
              <w:rPr>
                <w:sz w:val="16"/>
                <w:szCs w:val="16"/>
              </w:rPr>
            </w:pPr>
            <w:r w:rsidRPr="00F00920">
              <w:rPr>
                <w:sz w:val="16"/>
                <w:szCs w:val="16"/>
              </w:rPr>
              <w:t>$22</w:t>
            </w:r>
          </w:p>
        </w:tc>
      </w:tr>
      <w:tr w:rsidR="00862782" w:rsidRPr="00996CAF" w14:paraId="063185DC" w14:textId="77777777" w:rsidTr="00521095">
        <w:tc>
          <w:tcPr>
            <w:tcW w:w="2977" w:type="dxa"/>
          </w:tcPr>
          <w:p w14:paraId="117E2EC8" w14:textId="77777777" w:rsidR="00862782" w:rsidRPr="00996CAF" w:rsidRDefault="00862782" w:rsidP="000605F2">
            <w:pPr>
              <w:spacing w:line="216" w:lineRule="auto"/>
              <w:rPr>
                <w:sz w:val="16"/>
                <w:szCs w:val="16"/>
              </w:rPr>
            </w:pPr>
          </w:p>
          <w:p w14:paraId="30D55E03" w14:textId="77777777" w:rsidR="00862782" w:rsidRDefault="00862782" w:rsidP="000605F2">
            <w:pPr>
              <w:spacing w:line="216" w:lineRule="auto"/>
              <w:rPr>
                <w:sz w:val="16"/>
                <w:szCs w:val="16"/>
              </w:rPr>
            </w:pPr>
            <w:r w:rsidRPr="00996CAF">
              <w:rPr>
                <w:sz w:val="16"/>
                <w:szCs w:val="16"/>
              </w:rPr>
              <w:t xml:space="preserve">(ii) Sensitivity / specificity relative to </w:t>
            </w:r>
          </w:p>
          <w:p w14:paraId="04846B24" w14:textId="77777777" w:rsidR="00862782" w:rsidRPr="00996CAF" w:rsidRDefault="00862782" w:rsidP="000605F2">
            <w:pPr>
              <w:spacing w:line="216" w:lineRule="auto"/>
              <w:rPr>
                <w:sz w:val="16"/>
                <w:szCs w:val="16"/>
              </w:rPr>
            </w:pPr>
            <w:r w:rsidRPr="00996CAF">
              <w:rPr>
                <w:sz w:val="16"/>
                <w:szCs w:val="16"/>
              </w:rPr>
              <w:t>plasma for 1000 copies/mL cut-off</w:t>
            </w:r>
          </w:p>
          <w:p w14:paraId="670EF395" w14:textId="77777777" w:rsidR="00862782" w:rsidRPr="00996CAF" w:rsidRDefault="00862782" w:rsidP="000605F2">
            <w:pPr>
              <w:spacing w:line="216" w:lineRule="auto"/>
              <w:rPr>
                <w:sz w:val="16"/>
                <w:szCs w:val="16"/>
              </w:rPr>
            </w:pPr>
          </w:p>
        </w:tc>
        <w:tc>
          <w:tcPr>
            <w:tcW w:w="1063" w:type="dxa"/>
          </w:tcPr>
          <w:p w14:paraId="43A37B1D" w14:textId="77777777" w:rsidR="00862782" w:rsidRPr="00996CAF" w:rsidRDefault="00862782" w:rsidP="000605F2">
            <w:pPr>
              <w:spacing w:line="216" w:lineRule="auto"/>
              <w:rPr>
                <w:sz w:val="16"/>
                <w:szCs w:val="16"/>
              </w:rPr>
            </w:pPr>
          </w:p>
          <w:p w14:paraId="71B6D528" w14:textId="77777777" w:rsidR="00862782" w:rsidRPr="00996CAF" w:rsidRDefault="00862782" w:rsidP="000605F2">
            <w:pPr>
              <w:spacing w:line="216" w:lineRule="auto"/>
              <w:rPr>
                <w:sz w:val="16"/>
                <w:szCs w:val="16"/>
              </w:rPr>
            </w:pPr>
            <w:r w:rsidRPr="00295E57">
              <w:rPr>
                <w:sz w:val="16"/>
                <w:szCs w:val="16"/>
              </w:rPr>
              <w:t>Sensitivity / Specificity</w:t>
            </w:r>
            <w:r w:rsidRPr="00996CAF">
              <w:rPr>
                <w:sz w:val="16"/>
                <w:szCs w:val="16"/>
              </w:rPr>
              <w:t xml:space="preserve"> </w:t>
            </w:r>
          </w:p>
          <w:p w14:paraId="0E1C66A1" w14:textId="77777777" w:rsidR="00862782" w:rsidRPr="00772706" w:rsidRDefault="00862782" w:rsidP="00772706">
            <w:pPr>
              <w:spacing w:line="216" w:lineRule="auto"/>
              <w:rPr>
                <w:sz w:val="16"/>
                <w:szCs w:val="16"/>
              </w:rPr>
            </w:pPr>
          </w:p>
          <w:p w14:paraId="7299F525" w14:textId="77777777" w:rsidR="00862782" w:rsidRDefault="00862782" w:rsidP="00295E57">
            <w:pPr>
              <w:spacing w:line="216" w:lineRule="auto"/>
              <w:rPr>
                <w:sz w:val="16"/>
                <w:szCs w:val="16"/>
              </w:rPr>
            </w:pPr>
            <w:r w:rsidRPr="00772706">
              <w:rPr>
                <w:sz w:val="16"/>
                <w:szCs w:val="16"/>
              </w:rPr>
              <w:t>58/96</w:t>
            </w:r>
          </w:p>
          <w:p w14:paraId="175E714C" w14:textId="77777777" w:rsidR="00862782" w:rsidRDefault="00862782" w:rsidP="00295E57">
            <w:pPr>
              <w:spacing w:line="216" w:lineRule="auto"/>
              <w:rPr>
                <w:sz w:val="16"/>
                <w:szCs w:val="16"/>
              </w:rPr>
            </w:pPr>
            <w:r w:rsidRPr="00772706">
              <w:rPr>
                <w:sz w:val="16"/>
                <w:szCs w:val="16"/>
              </w:rPr>
              <w:t>60/99</w:t>
            </w:r>
          </w:p>
          <w:p w14:paraId="1D2D36F8" w14:textId="77777777" w:rsidR="00862782" w:rsidRPr="00772706" w:rsidRDefault="00862782" w:rsidP="00295E57">
            <w:pPr>
              <w:spacing w:line="216" w:lineRule="auto"/>
              <w:rPr>
                <w:sz w:val="16"/>
                <w:szCs w:val="16"/>
              </w:rPr>
            </w:pPr>
            <w:r w:rsidRPr="00772706">
              <w:rPr>
                <w:sz w:val="16"/>
                <w:szCs w:val="16"/>
              </w:rPr>
              <w:t>69/97</w:t>
            </w:r>
          </w:p>
          <w:p w14:paraId="6AA29112" w14:textId="77777777" w:rsidR="00862782" w:rsidRPr="00772706" w:rsidRDefault="00862782" w:rsidP="00295E57">
            <w:pPr>
              <w:spacing w:line="216" w:lineRule="auto"/>
              <w:rPr>
                <w:sz w:val="16"/>
                <w:szCs w:val="16"/>
              </w:rPr>
            </w:pPr>
            <w:r w:rsidRPr="00772706">
              <w:rPr>
                <w:sz w:val="16"/>
                <w:szCs w:val="16"/>
              </w:rPr>
              <w:t>70/79</w:t>
            </w:r>
          </w:p>
          <w:p w14:paraId="79A45C97" w14:textId="77777777" w:rsidR="00862782" w:rsidRPr="00772706" w:rsidRDefault="00862782" w:rsidP="00295E57">
            <w:pPr>
              <w:spacing w:line="216" w:lineRule="auto"/>
              <w:rPr>
                <w:sz w:val="16"/>
                <w:szCs w:val="16"/>
              </w:rPr>
            </w:pPr>
            <w:r w:rsidRPr="00772706">
              <w:rPr>
                <w:sz w:val="16"/>
                <w:szCs w:val="16"/>
              </w:rPr>
              <w:t>74/75</w:t>
            </w:r>
          </w:p>
          <w:p w14:paraId="31811321" w14:textId="77777777" w:rsidR="00862782" w:rsidRPr="00772706" w:rsidRDefault="00862782" w:rsidP="00295E57">
            <w:pPr>
              <w:spacing w:line="216" w:lineRule="auto"/>
              <w:rPr>
                <w:sz w:val="16"/>
                <w:szCs w:val="16"/>
              </w:rPr>
            </w:pPr>
            <w:r w:rsidRPr="00772706">
              <w:rPr>
                <w:sz w:val="16"/>
                <w:szCs w:val="16"/>
              </w:rPr>
              <w:t>78/93</w:t>
            </w:r>
          </w:p>
          <w:p w14:paraId="3FC79FA5" w14:textId="77777777" w:rsidR="00862782" w:rsidRPr="00772706" w:rsidRDefault="00862782" w:rsidP="00295E57">
            <w:pPr>
              <w:spacing w:line="216" w:lineRule="auto"/>
              <w:rPr>
                <w:sz w:val="16"/>
                <w:szCs w:val="16"/>
              </w:rPr>
            </w:pPr>
            <w:r w:rsidRPr="00772706">
              <w:rPr>
                <w:sz w:val="16"/>
                <w:szCs w:val="16"/>
              </w:rPr>
              <w:t>79/71</w:t>
            </w:r>
          </w:p>
          <w:p w14:paraId="684461CB" w14:textId="77777777" w:rsidR="00862782" w:rsidRDefault="00862782" w:rsidP="00295E57">
            <w:pPr>
              <w:spacing w:line="216" w:lineRule="auto"/>
              <w:rPr>
                <w:sz w:val="16"/>
                <w:szCs w:val="16"/>
              </w:rPr>
            </w:pPr>
            <w:r w:rsidRPr="00772706">
              <w:rPr>
                <w:sz w:val="16"/>
                <w:szCs w:val="16"/>
              </w:rPr>
              <w:t>80/84</w:t>
            </w:r>
          </w:p>
          <w:p w14:paraId="22689552" w14:textId="77777777" w:rsidR="00862782" w:rsidRPr="00772706" w:rsidRDefault="00862782" w:rsidP="00862782">
            <w:pPr>
              <w:spacing w:line="216" w:lineRule="auto"/>
              <w:rPr>
                <w:sz w:val="16"/>
                <w:szCs w:val="16"/>
              </w:rPr>
            </w:pPr>
            <w:r w:rsidRPr="00772706">
              <w:rPr>
                <w:sz w:val="16"/>
                <w:szCs w:val="16"/>
              </w:rPr>
              <w:t>82/96</w:t>
            </w:r>
          </w:p>
          <w:p w14:paraId="213525D6" w14:textId="77777777" w:rsidR="00862782" w:rsidRPr="00772706" w:rsidRDefault="00862782" w:rsidP="00295E57">
            <w:pPr>
              <w:spacing w:line="216" w:lineRule="auto"/>
              <w:rPr>
                <w:sz w:val="16"/>
                <w:szCs w:val="16"/>
              </w:rPr>
            </w:pPr>
          </w:p>
        </w:tc>
        <w:tc>
          <w:tcPr>
            <w:tcW w:w="1489" w:type="dxa"/>
          </w:tcPr>
          <w:p w14:paraId="0EF93B51" w14:textId="77777777" w:rsidR="00862782" w:rsidRDefault="00862782" w:rsidP="00295E57">
            <w:pPr>
              <w:spacing w:line="216" w:lineRule="auto"/>
              <w:rPr>
                <w:sz w:val="16"/>
                <w:szCs w:val="16"/>
              </w:rPr>
            </w:pPr>
          </w:p>
          <w:p w14:paraId="0A654B3A" w14:textId="77777777" w:rsidR="00862782" w:rsidRDefault="00862782" w:rsidP="00295E57">
            <w:pPr>
              <w:spacing w:line="216" w:lineRule="auto"/>
              <w:rPr>
                <w:sz w:val="16"/>
                <w:szCs w:val="16"/>
              </w:rPr>
            </w:pPr>
          </w:p>
          <w:p w14:paraId="6B039768" w14:textId="77777777" w:rsidR="00862782" w:rsidRDefault="00862782" w:rsidP="00295E57">
            <w:pPr>
              <w:spacing w:line="216" w:lineRule="auto"/>
              <w:rPr>
                <w:sz w:val="16"/>
                <w:szCs w:val="16"/>
              </w:rPr>
            </w:pPr>
          </w:p>
          <w:p w14:paraId="03D4587C" w14:textId="77777777" w:rsidR="00862782" w:rsidRDefault="00862782" w:rsidP="00295E57">
            <w:pPr>
              <w:spacing w:line="216" w:lineRule="auto"/>
              <w:rPr>
                <w:sz w:val="16"/>
                <w:szCs w:val="16"/>
              </w:rPr>
            </w:pPr>
          </w:p>
          <w:p w14:paraId="04534F83" w14:textId="46203227" w:rsidR="00862782" w:rsidRPr="00772706" w:rsidRDefault="00862782" w:rsidP="00295E57">
            <w:pPr>
              <w:spacing w:line="216" w:lineRule="auto"/>
              <w:rPr>
                <w:sz w:val="16"/>
                <w:szCs w:val="16"/>
              </w:rPr>
            </w:pPr>
            <w:r w:rsidRPr="00772706">
              <w:rPr>
                <w:sz w:val="16"/>
                <w:szCs w:val="16"/>
              </w:rPr>
              <w:t>84/89</w:t>
            </w:r>
            <w:r w:rsidR="005C796B">
              <w:rPr>
                <w:sz w:val="16"/>
                <w:szCs w:val="16"/>
              </w:rPr>
              <w:t>*</w:t>
            </w:r>
          </w:p>
          <w:p w14:paraId="0B1E0C7D" w14:textId="77777777" w:rsidR="00862782" w:rsidRPr="00772706" w:rsidRDefault="00862782" w:rsidP="00295E57">
            <w:pPr>
              <w:spacing w:line="216" w:lineRule="auto"/>
              <w:rPr>
                <w:sz w:val="16"/>
                <w:szCs w:val="16"/>
              </w:rPr>
            </w:pPr>
            <w:r w:rsidRPr="00772706">
              <w:rPr>
                <w:sz w:val="16"/>
                <w:szCs w:val="16"/>
              </w:rPr>
              <w:t>89/93</w:t>
            </w:r>
          </w:p>
          <w:p w14:paraId="1AD1DE38" w14:textId="77777777" w:rsidR="00862782" w:rsidRPr="00772706" w:rsidRDefault="00862782" w:rsidP="00295E57">
            <w:pPr>
              <w:spacing w:line="216" w:lineRule="auto"/>
              <w:rPr>
                <w:sz w:val="16"/>
                <w:szCs w:val="16"/>
              </w:rPr>
            </w:pPr>
            <w:r w:rsidRPr="00772706">
              <w:rPr>
                <w:sz w:val="16"/>
                <w:szCs w:val="16"/>
              </w:rPr>
              <w:t>90/85</w:t>
            </w:r>
          </w:p>
          <w:p w14:paraId="0046D6C6" w14:textId="77777777" w:rsidR="00862782" w:rsidRPr="00772706" w:rsidRDefault="00862782" w:rsidP="00295E57">
            <w:pPr>
              <w:spacing w:line="216" w:lineRule="auto"/>
              <w:rPr>
                <w:sz w:val="16"/>
                <w:szCs w:val="16"/>
              </w:rPr>
            </w:pPr>
            <w:r w:rsidRPr="00772706">
              <w:rPr>
                <w:sz w:val="16"/>
                <w:szCs w:val="16"/>
              </w:rPr>
              <w:t>95/90</w:t>
            </w:r>
          </w:p>
          <w:p w14:paraId="38AA27E5" w14:textId="77777777" w:rsidR="00862782" w:rsidRPr="00772706" w:rsidRDefault="00862782" w:rsidP="00295E57">
            <w:pPr>
              <w:spacing w:line="216" w:lineRule="auto"/>
              <w:rPr>
                <w:sz w:val="16"/>
                <w:szCs w:val="16"/>
              </w:rPr>
            </w:pPr>
            <w:r w:rsidRPr="00772706">
              <w:rPr>
                <w:sz w:val="16"/>
                <w:szCs w:val="16"/>
              </w:rPr>
              <w:t>96/65</w:t>
            </w:r>
          </w:p>
          <w:p w14:paraId="72C95E59" w14:textId="77777777" w:rsidR="00862782" w:rsidRPr="00772706" w:rsidRDefault="00862782" w:rsidP="00295E57">
            <w:pPr>
              <w:spacing w:line="216" w:lineRule="auto"/>
              <w:rPr>
                <w:sz w:val="16"/>
                <w:szCs w:val="16"/>
              </w:rPr>
            </w:pPr>
            <w:r w:rsidRPr="00772706">
              <w:rPr>
                <w:sz w:val="16"/>
                <w:szCs w:val="16"/>
              </w:rPr>
              <w:t>96/77</w:t>
            </w:r>
          </w:p>
          <w:p w14:paraId="3235629C" w14:textId="77777777" w:rsidR="00862782" w:rsidRPr="00772706" w:rsidRDefault="00862782" w:rsidP="00295E57">
            <w:pPr>
              <w:spacing w:line="216" w:lineRule="auto"/>
              <w:rPr>
                <w:sz w:val="16"/>
                <w:szCs w:val="16"/>
              </w:rPr>
            </w:pPr>
            <w:r w:rsidRPr="00772706">
              <w:rPr>
                <w:sz w:val="16"/>
                <w:szCs w:val="16"/>
              </w:rPr>
              <w:t>99/69</w:t>
            </w:r>
          </w:p>
          <w:p w14:paraId="4514D243" w14:textId="77777777" w:rsidR="00862782" w:rsidRPr="00772706" w:rsidRDefault="00862782" w:rsidP="00772706">
            <w:pPr>
              <w:spacing w:line="216" w:lineRule="auto"/>
              <w:rPr>
                <w:sz w:val="16"/>
                <w:szCs w:val="16"/>
              </w:rPr>
            </w:pPr>
            <w:r w:rsidRPr="00772706">
              <w:rPr>
                <w:sz w:val="16"/>
                <w:szCs w:val="16"/>
              </w:rPr>
              <w:t>100/100</w:t>
            </w:r>
          </w:p>
          <w:p w14:paraId="4AD33B24" w14:textId="77777777" w:rsidR="00862782" w:rsidRPr="00996CAF" w:rsidRDefault="00862782" w:rsidP="00772706">
            <w:pPr>
              <w:spacing w:line="216" w:lineRule="auto"/>
              <w:rPr>
                <w:sz w:val="16"/>
                <w:szCs w:val="16"/>
              </w:rPr>
            </w:pPr>
            <w:r w:rsidRPr="00772706">
              <w:rPr>
                <w:sz w:val="16"/>
                <w:szCs w:val="16"/>
              </w:rPr>
              <w:t xml:space="preserve">  </w:t>
            </w:r>
          </w:p>
        </w:tc>
        <w:tc>
          <w:tcPr>
            <w:tcW w:w="1134" w:type="dxa"/>
          </w:tcPr>
          <w:p w14:paraId="2490B603" w14:textId="77777777" w:rsidR="00862782" w:rsidRPr="00F00920" w:rsidRDefault="00862782" w:rsidP="000605F2">
            <w:pPr>
              <w:spacing w:line="216" w:lineRule="auto"/>
              <w:rPr>
                <w:color w:val="E5B8B7" w:themeColor="accent2" w:themeTint="66"/>
                <w:sz w:val="16"/>
                <w:szCs w:val="16"/>
              </w:rPr>
            </w:pPr>
          </w:p>
          <w:p w14:paraId="5EA35413" w14:textId="77777777" w:rsidR="00862782" w:rsidRPr="00F00920" w:rsidRDefault="00862782" w:rsidP="000605F2">
            <w:pPr>
              <w:spacing w:line="216" w:lineRule="auto"/>
              <w:rPr>
                <w:color w:val="E5B8B7" w:themeColor="accent2" w:themeTint="66"/>
                <w:sz w:val="16"/>
                <w:szCs w:val="16"/>
              </w:rPr>
            </w:pPr>
          </w:p>
          <w:p w14:paraId="3ADD4594" w14:textId="77777777" w:rsidR="00862782" w:rsidRPr="00F00920" w:rsidRDefault="00862782" w:rsidP="000605F2">
            <w:pPr>
              <w:spacing w:line="216" w:lineRule="auto"/>
              <w:rPr>
                <w:color w:val="E5B8B7" w:themeColor="accent2" w:themeTint="66"/>
                <w:sz w:val="16"/>
                <w:szCs w:val="16"/>
              </w:rPr>
            </w:pPr>
          </w:p>
          <w:p w14:paraId="55C30F16" w14:textId="77777777" w:rsidR="00862782" w:rsidRPr="00F00920" w:rsidRDefault="00862782" w:rsidP="000605F2">
            <w:pPr>
              <w:spacing w:line="216" w:lineRule="auto"/>
              <w:rPr>
                <w:sz w:val="16"/>
                <w:szCs w:val="16"/>
              </w:rPr>
            </w:pPr>
          </w:p>
          <w:p w14:paraId="3726B468"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21</w:t>
            </w:r>
          </w:p>
          <w:p w14:paraId="62E3C575"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20</w:t>
            </w:r>
          </w:p>
          <w:p w14:paraId="571B04E0"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20</w:t>
            </w:r>
          </w:p>
          <w:p w14:paraId="4296EA61" w14:textId="77777777" w:rsidR="00862782" w:rsidRPr="00F00920" w:rsidRDefault="00862782" w:rsidP="000605F2">
            <w:pPr>
              <w:spacing w:line="216" w:lineRule="auto"/>
              <w:rPr>
                <w:sz w:val="16"/>
                <w:szCs w:val="16"/>
              </w:rPr>
            </w:pPr>
            <w:r w:rsidRPr="00F00920">
              <w:rPr>
                <w:sz w:val="16"/>
                <w:szCs w:val="16"/>
              </w:rPr>
              <w:t>$</w:t>
            </w:r>
            <w:r w:rsidR="00CF2E02">
              <w:rPr>
                <w:sz w:val="16"/>
                <w:szCs w:val="16"/>
              </w:rPr>
              <w:t>19</w:t>
            </w:r>
          </w:p>
          <w:p w14:paraId="32AA5F62" w14:textId="77777777" w:rsidR="00862782" w:rsidRPr="00F00920" w:rsidRDefault="00862782" w:rsidP="000605F2">
            <w:pPr>
              <w:spacing w:line="216" w:lineRule="auto"/>
              <w:rPr>
                <w:sz w:val="16"/>
                <w:szCs w:val="16"/>
              </w:rPr>
            </w:pPr>
            <w:r w:rsidRPr="00F00920">
              <w:rPr>
                <w:sz w:val="16"/>
                <w:szCs w:val="16"/>
              </w:rPr>
              <w:t>$</w:t>
            </w:r>
            <w:r w:rsidR="001324FC">
              <w:rPr>
                <w:sz w:val="16"/>
                <w:szCs w:val="16"/>
              </w:rPr>
              <w:t>17</w:t>
            </w:r>
          </w:p>
          <w:p w14:paraId="4D1A0BC4"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20</w:t>
            </w:r>
          </w:p>
          <w:p w14:paraId="7B423DE2" w14:textId="77777777" w:rsidR="00862782" w:rsidRPr="00F00920" w:rsidRDefault="00862782" w:rsidP="000605F2">
            <w:pPr>
              <w:spacing w:line="216" w:lineRule="auto"/>
              <w:rPr>
                <w:sz w:val="16"/>
                <w:szCs w:val="16"/>
              </w:rPr>
            </w:pPr>
            <w:r w:rsidRPr="00F00920">
              <w:rPr>
                <w:sz w:val="16"/>
                <w:szCs w:val="16"/>
              </w:rPr>
              <w:t>$</w:t>
            </w:r>
            <w:r w:rsidR="00CF2E02">
              <w:rPr>
                <w:sz w:val="16"/>
                <w:szCs w:val="16"/>
              </w:rPr>
              <w:t>15</w:t>
            </w:r>
          </w:p>
          <w:p w14:paraId="374D0595" w14:textId="117B66B7" w:rsidR="00862782" w:rsidRPr="00F00920" w:rsidRDefault="00862782" w:rsidP="00862782">
            <w:pPr>
              <w:spacing w:line="216" w:lineRule="auto"/>
              <w:rPr>
                <w:sz w:val="16"/>
                <w:szCs w:val="16"/>
              </w:rPr>
            </w:pPr>
            <w:r w:rsidRPr="00F00920">
              <w:rPr>
                <w:sz w:val="16"/>
                <w:szCs w:val="16"/>
              </w:rPr>
              <w:t>$</w:t>
            </w:r>
            <w:r w:rsidR="005C796B">
              <w:rPr>
                <w:sz w:val="16"/>
                <w:szCs w:val="16"/>
              </w:rPr>
              <w:t>19</w:t>
            </w:r>
          </w:p>
          <w:p w14:paraId="20DBEFFC" w14:textId="77777777" w:rsidR="00862782" w:rsidRPr="00F00920" w:rsidRDefault="00862782" w:rsidP="00862782">
            <w:pPr>
              <w:spacing w:line="216" w:lineRule="auto"/>
              <w:rPr>
                <w:sz w:val="16"/>
                <w:szCs w:val="16"/>
              </w:rPr>
            </w:pPr>
            <w:r w:rsidRPr="00F00920">
              <w:rPr>
                <w:sz w:val="16"/>
                <w:szCs w:val="16"/>
              </w:rPr>
              <w:t>$</w:t>
            </w:r>
            <w:r w:rsidR="00F00920">
              <w:rPr>
                <w:sz w:val="16"/>
                <w:szCs w:val="16"/>
              </w:rPr>
              <w:t>21</w:t>
            </w:r>
          </w:p>
          <w:p w14:paraId="30925BA2" w14:textId="77777777" w:rsidR="00862782" w:rsidRPr="00F00920" w:rsidRDefault="00862782" w:rsidP="000605F2">
            <w:pPr>
              <w:spacing w:line="216" w:lineRule="auto"/>
              <w:rPr>
                <w:sz w:val="16"/>
                <w:szCs w:val="16"/>
              </w:rPr>
            </w:pPr>
          </w:p>
        </w:tc>
        <w:tc>
          <w:tcPr>
            <w:tcW w:w="2835" w:type="dxa"/>
          </w:tcPr>
          <w:p w14:paraId="79D21B75" w14:textId="77777777" w:rsidR="00862782" w:rsidRPr="00F00920" w:rsidRDefault="00862782" w:rsidP="000605F2">
            <w:pPr>
              <w:spacing w:line="216" w:lineRule="auto"/>
              <w:rPr>
                <w:sz w:val="16"/>
                <w:szCs w:val="16"/>
              </w:rPr>
            </w:pPr>
          </w:p>
          <w:p w14:paraId="0C744DE5" w14:textId="77777777" w:rsidR="00862782" w:rsidRPr="00F00920" w:rsidRDefault="00862782" w:rsidP="000605F2">
            <w:pPr>
              <w:spacing w:line="216" w:lineRule="auto"/>
              <w:rPr>
                <w:sz w:val="16"/>
                <w:szCs w:val="16"/>
              </w:rPr>
            </w:pPr>
          </w:p>
          <w:p w14:paraId="64DCFD5E" w14:textId="77777777" w:rsidR="00862782" w:rsidRPr="00F00920" w:rsidRDefault="00862782" w:rsidP="000605F2">
            <w:pPr>
              <w:spacing w:line="216" w:lineRule="auto"/>
              <w:rPr>
                <w:sz w:val="16"/>
                <w:szCs w:val="16"/>
              </w:rPr>
            </w:pPr>
          </w:p>
          <w:p w14:paraId="0CF0DB50" w14:textId="77777777" w:rsidR="00862782" w:rsidRPr="00F00920" w:rsidRDefault="00862782" w:rsidP="000605F2">
            <w:pPr>
              <w:spacing w:line="216" w:lineRule="auto"/>
              <w:rPr>
                <w:sz w:val="16"/>
                <w:szCs w:val="16"/>
              </w:rPr>
            </w:pPr>
          </w:p>
          <w:p w14:paraId="0F1A4F94" w14:textId="34A01894" w:rsidR="00862782" w:rsidRPr="00F00920" w:rsidRDefault="00862782" w:rsidP="000605F2">
            <w:pPr>
              <w:spacing w:line="216" w:lineRule="auto"/>
              <w:rPr>
                <w:sz w:val="16"/>
                <w:szCs w:val="16"/>
              </w:rPr>
            </w:pPr>
            <w:r w:rsidRPr="00F00920">
              <w:rPr>
                <w:sz w:val="16"/>
                <w:szCs w:val="16"/>
              </w:rPr>
              <w:t>$</w:t>
            </w:r>
            <w:r w:rsidR="005C796B">
              <w:rPr>
                <w:sz w:val="16"/>
                <w:szCs w:val="16"/>
              </w:rPr>
              <w:t>22</w:t>
            </w:r>
          </w:p>
          <w:p w14:paraId="7F6B8720"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21</w:t>
            </w:r>
          </w:p>
          <w:p w14:paraId="5B2BD6D3"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22</w:t>
            </w:r>
          </w:p>
          <w:p w14:paraId="3BDD54C3"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21</w:t>
            </w:r>
          </w:p>
          <w:p w14:paraId="35099D33"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15</w:t>
            </w:r>
          </w:p>
          <w:p w14:paraId="4CE077A2"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17</w:t>
            </w:r>
          </w:p>
          <w:p w14:paraId="5A5A4DFA" w14:textId="77777777" w:rsidR="00862782" w:rsidRPr="00F00920" w:rsidRDefault="00862782" w:rsidP="000605F2">
            <w:pPr>
              <w:spacing w:line="216" w:lineRule="auto"/>
              <w:rPr>
                <w:sz w:val="16"/>
                <w:szCs w:val="16"/>
              </w:rPr>
            </w:pPr>
            <w:r w:rsidRPr="00F00920">
              <w:rPr>
                <w:sz w:val="16"/>
                <w:szCs w:val="16"/>
              </w:rPr>
              <w:t>$</w:t>
            </w:r>
            <w:r w:rsidR="00F00920">
              <w:rPr>
                <w:sz w:val="16"/>
                <w:szCs w:val="16"/>
              </w:rPr>
              <w:t>20</w:t>
            </w:r>
          </w:p>
          <w:p w14:paraId="556E5EA3" w14:textId="77777777" w:rsidR="00862782" w:rsidRPr="00F00920" w:rsidRDefault="00862782" w:rsidP="000605F2">
            <w:pPr>
              <w:spacing w:line="216" w:lineRule="auto"/>
              <w:rPr>
                <w:color w:val="E5B8B7" w:themeColor="accent2" w:themeTint="66"/>
                <w:sz w:val="16"/>
                <w:szCs w:val="16"/>
              </w:rPr>
            </w:pPr>
            <w:r w:rsidRPr="00F00920">
              <w:rPr>
                <w:sz w:val="16"/>
                <w:szCs w:val="16"/>
              </w:rPr>
              <w:t>$</w:t>
            </w:r>
            <w:r w:rsidR="00521095">
              <w:rPr>
                <w:sz w:val="16"/>
                <w:szCs w:val="16"/>
              </w:rPr>
              <w:t>23</w:t>
            </w:r>
          </w:p>
        </w:tc>
      </w:tr>
      <w:tr w:rsidR="009E151A" w:rsidRPr="00996CAF" w14:paraId="48941B2F" w14:textId="77777777" w:rsidTr="00862782">
        <w:tc>
          <w:tcPr>
            <w:tcW w:w="2977" w:type="dxa"/>
          </w:tcPr>
          <w:p w14:paraId="34E8F8F4" w14:textId="77777777" w:rsidR="009E151A" w:rsidRPr="00996CAF" w:rsidRDefault="009E151A" w:rsidP="000605F2">
            <w:pPr>
              <w:spacing w:line="216" w:lineRule="auto"/>
              <w:rPr>
                <w:sz w:val="16"/>
                <w:szCs w:val="16"/>
              </w:rPr>
            </w:pPr>
          </w:p>
          <w:p w14:paraId="68A36CAC" w14:textId="77777777" w:rsidR="009E151A" w:rsidRDefault="009E151A" w:rsidP="000605F2">
            <w:pPr>
              <w:spacing w:line="216" w:lineRule="auto"/>
              <w:rPr>
                <w:sz w:val="16"/>
                <w:szCs w:val="16"/>
              </w:rPr>
            </w:pPr>
            <w:r w:rsidRPr="00996CAF">
              <w:rPr>
                <w:sz w:val="16"/>
                <w:szCs w:val="16"/>
              </w:rPr>
              <w:t xml:space="preserve">(iii)  Viral load threshold used to define </w:t>
            </w:r>
          </w:p>
          <w:p w14:paraId="608CFFFD" w14:textId="77777777" w:rsidR="009E151A" w:rsidRPr="00996CAF" w:rsidRDefault="009E151A" w:rsidP="000605F2">
            <w:pPr>
              <w:spacing w:line="216" w:lineRule="auto"/>
              <w:rPr>
                <w:sz w:val="16"/>
                <w:szCs w:val="16"/>
              </w:rPr>
            </w:pPr>
            <w:r w:rsidRPr="00996CAF">
              <w:rPr>
                <w:sz w:val="16"/>
                <w:szCs w:val="16"/>
              </w:rPr>
              <w:t>first-line ART failure (copies/mL)</w:t>
            </w:r>
          </w:p>
          <w:p w14:paraId="1C457044" w14:textId="77777777" w:rsidR="009E151A" w:rsidRDefault="009E151A" w:rsidP="000605F2">
            <w:pPr>
              <w:spacing w:line="216" w:lineRule="auto"/>
              <w:rPr>
                <w:sz w:val="16"/>
                <w:szCs w:val="16"/>
              </w:rPr>
            </w:pPr>
            <w:r w:rsidRPr="00996CAF">
              <w:rPr>
                <w:sz w:val="16"/>
                <w:szCs w:val="16"/>
              </w:rPr>
              <w:t>(cut-off for qualitative assay)</w:t>
            </w:r>
          </w:p>
          <w:p w14:paraId="2EF0B500" w14:textId="77777777" w:rsidR="00975C80" w:rsidRPr="00996CAF" w:rsidRDefault="00975C80" w:rsidP="000605F2">
            <w:pPr>
              <w:spacing w:line="216" w:lineRule="auto"/>
              <w:rPr>
                <w:sz w:val="16"/>
                <w:szCs w:val="16"/>
              </w:rPr>
            </w:pPr>
          </w:p>
        </w:tc>
        <w:tc>
          <w:tcPr>
            <w:tcW w:w="2552" w:type="dxa"/>
            <w:gridSpan w:val="2"/>
          </w:tcPr>
          <w:p w14:paraId="635C81BC" w14:textId="77777777" w:rsidR="009E151A" w:rsidRPr="00996CAF" w:rsidRDefault="009E151A" w:rsidP="000605F2">
            <w:pPr>
              <w:spacing w:line="216" w:lineRule="auto"/>
              <w:rPr>
                <w:sz w:val="16"/>
                <w:szCs w:val="16"/>
              </w:rPr>
            </w:pPr>
          </w:p>
          <w:p w14:paraId="6EEA0719" w14:textId="77777777" w:rsidR="009E151A" w:rsidRPr="00996CAF" w:rsidRDefault="009E151A" w:rsidP="000605F2">
            <w:pPr>
              <w:spacing w:line="216" w:lineRule="auto"/>
              <w:rPr>
                <w:sz w:val="16"/>
                <w:szCs w:val="16"/>
              </w:rPr>
            </w:pPr>
            <w:r w:rsidRPr="00996CAF">
              <w:rPr>
                <w:sz w:val="16"/>
                <w:szCs w:val="16"/>
              </w:rPr>
              <w:t>200</w:t>
            </w:r>
          </w:p>
          <w:p w14:paraId="231F4950" w14:textId="77777777" w:rsidR="009E151A" w:rsidRPr="00996CAF" w:rsidRDefault="009E151A" w:rsidP="000605F2">
            <w:pPr>
              <w:spacing w:line="216" w:lineRule="auto"/>
              <w:rPr>
                <w:sz w:val="16"/>
                <w:szCs w:val="16"/>
              </w:rPr>
            </w:pPr>
            <w:r w:rsidRPr="00996CAF">
              <w:rPr>
                <w:sz w:val="16"/>
                <w:szCs w:val="16"/>
              </w:rPr>
              <w:t>500</w:t>
            </w:r>
          </w:p>
          <w:p w14:paraId="024C4607" w14:textId="3E8EA2B6" w:rsidR="009E151A" w:rsidRPr="00996CAF" w:rsidRDefault="005C796B" w:rsidP="000605F2">
            <w:pPr>
              <w:spacing w:line="216" w:lineRule="auto"/>
              <w:rPr>
                <w:sz w:val="16"/>
                <w:szCs w:val="16"/>
              </w:rPr>
            </w:pPr>
            <w:r>
              <w:rPr>
                <w:sz w:val="16"/>
                <w:szCs w:val="16"/>
              </w:rPr>
              <w:t>1000*</w:t>
            </w:r>
          </w:p>
          <w:p w14:paraId="4327245A" w14:textId="77777777" w:rsidR="009E151A" w:rsidRPr="00996CAF" w:rsidRDefault="009E151A" w:rsidP="000605F2">
            <w:pPr>
              <w:spacing w:line="216" w:lineRule="auto"/>
              <w:rPr>
                <w:sz w:val="16"/>
                <w:szCs w:val="16"/>
              </w:rPr>
            </w:pPr>
            <w:r w:rsidRPr="00996CAF">
              <w:rPr>
                <w:sz w:val="16"/>
                <w:szCs w:val="16"/>
              </w:rPr>
              <w:t>3000</w:t>
            </w:r>
          </w:p>
          <w:p w14:paraId="4FAA782C" w14:textId="77777777" w:rsidR="009E151A" w:rsidRPr="00996CAF" w:rsidRDefault="009E151A" w:rsidP="000605F2">
            <w:pPr>
              <w:spacing w:line="216" w:lineRule="auto"/>
              <w:rPr>
                <w:sz w:val="16"/>
                <w:szCs w:val="16"/>
              </w:rPr>
            </w:pPr>
            <w:r w:rsidRPr="00996CAF">
              <w:rPr>
                <w:sz w:val="16"/>
                <w:szCs w:val="16"/>
              </w:rPr>
              <w:t>5000</w:t>
            </w:r>
          </w:p>
          <w:p w14:paraId="59D11AE8" w14:textId="77777777" w:rsidR="009E151A" w:rsidRPr="00996CAF" w:rsidRDefault="009E151A" w:rsidP="000605F2">
            <w:pPr>
              <w:spacing w:line="216" w:lineRule="auto"/>
              <w:rPr>
                <w:sz w:val="16"/>
                <w:szCs w:val="16"/>
              </w:rPr>
            </w:pPr>
          </w:p>
        </w:tc>
        <w:tc>
          <w:tcPr>
            <w:tcW w:w="3969" w:type="dxa"/>
            <w:gridSpan w:val="2"/>
          </w:tcPr>
          <w:p w14:paraId="460217D6" w14:textId="77777777" w:rsidR="009E151A" w:rsidRPr="00F00920" w:rsidRDefault="009E151A" w:rsidP="000605F2">
            <w:pPr>
              <w:spacing w:line="216" w:lineRule="auto"/>
              <w:rPr>
                <w:sz w:val="16"/>
                <w:szCs w:val="16"/>
              </w:rPr>
            </w:pPr>
          </w:p>
          <w:p w14:paraId="5959599D" w14:textId="77777777" w:rsidR="009E151A" w:rsidRPr="00F00920" w:rsidRDefault="009E151A" w:rsidP="000605F2">
            <w:pPr>
              <w:spacing w:line="216" w:lineRule="auto"/>
              <w:rPr>
                <w:sz w:val="16"/>
                <w:szCs w:val="16"/>
              </w:rPr>
            </w:pPr>
            <w:r w:rsidRPr="00F00920">
              <w:rPr>
                <w:sz w:val="16"/>
                <w:szCs w:val="16"/>
              </w:rPr>
              <w:t>$20</w:t>
            </w:r>
            <w:r w:rsidR="00975C80" w:rsidRPr="00F00920">
              <w:rPr>
                <w:sz w:val="16"/>
                <w:szCs w:val="16"/>
              </w:rPr>
              <w:t xml:space="preserve">   </w:t>
            </w:r>
          </w:p>
          <w:p w14:paraId="53CFB2F3" w14:textId="77777777" w:rsidR="009E151A" w:rsidRPr="00F00920" w:rsidRDefault="009E151A" w:rsidP="000605F2">
            <w:pPr>
              <w:spacing w:line="216" w:lineRule="auto"/>
              <w:rPr>
                <w:sz w:val="16"/>
                <w:szCs w:val="16"/>
              </w:rPr>
            </w:pPr>
            <w:r w:rsidRPr="00F00920">
              <w:rPr>
                <w:sz w:val="16"/>
                <w:szCs w:val="16"/>
              </w:rPr>
              <w:t>$23</w:t>
            </w:r>
          </w:p>
          <w:p w14:paraId="62110917" w14:textId="64D8D3F6" w:rsidR="009E151A" w:rsidRPr="00F00920" w:rsidRDefault="005C796B" w:rsidP="000605F2">
            <w:pPr>
              <w:spacing w:line="216" w:lineRule="auto"/>
              <w:rPr>
                <w:sz w:val="16"/>
                <w:szCs w:val="16"/>
              </w:rPr>
            </w:pPr>
            <w:r>
              <w:rPr>
                <w:sz w:val="16"/>
                <w:szCs w:val="16"/>
              </w:rPr>
              <w:t>$22</w:t>
            </w:r>
          </w:p>
          <w:p w14:paraId="42969803" w14:textId="77777777" w:rsidR="009E151A" w:rsidRPr="00F00920" w:rsidRDefault="009E151A" w:rsidP="000605F2">
            <w:pPr>
              <w:spacing w:line="216" w:lineRule="auto"/>
              <w:rPr>
                <w:sz w:val="16"/>
                <w:szCs w:val="16"/>
              </w:rPr>
            </w:pPr>
            <w:r w:rsidRPr="00F00920">
              <w:rPr>
                <w:sz w:val="16"/>
                <w:szCs w:val="16"/>
              </w:rPr>
              <w:t>$19</w:t>
            </w:r>
          </w:p>
          <w:p w14:paraId="26529112" w14:textId="77777777" w:rsidR="009E151A" w:rsidRPr="00F00920" w:rsidRDefault="009E151A" w:rsidP="000605F2">
            <w:pPr>
              <w:spacing w:line="216" w:lineRule="auto"/>
              <w:rPr>
                <w:sz w:val="16"/>
                <w:szCs w:val="16"/>
              </w:rPr>
            </w:pPr>
            <w:r w:rsidRPr="00F00920">
              <w:rPr>
                <w:sz w:val="16"/>
                <w:szCs w:val="16"/>
              </w:rPr>
              <w:t>$19</w:t>
            </w:r>
          </w:p>
        </w:tc>
      </w:tr>
      <w:tr w:rsidR="009E151A" w:rsidRPr="00996CAF" w14:paraId="04794B70" w14:textId="77777777" w:rsidTr="00862782">
        <w:tc>
          <w:tcPr>
            <w:tcW w:w="2977" w:type="dxa"/>
          </w:tcPr>
          <w:p w14:paraId="74E3A407" w14:textId="77777777" w:rsidR="009E151A" w:rsidRPr="00996CAF" w:rsidRDefault="009E151A" w:rsidP="000605F2">
            <w:pPr>
              <w:spacing w:line="216" w:lineRule="auto"/>
              <w:rPr>
                <w:sz w:val="16"/>
                <w:szCs w:val="16"/>
              </w:rPr>
            </w:pPr>
          </w:p>
          <w:p w14:paraId="5C188518" w14:textId="77777777" w:rsidR="008324C0" w:rsidRDefault="00A0429E" w:rsidP="000605F2">
            <w:pPr>
              <w:spacing w:line="216" w:lineRule="auto"/>
              <w:rPr>
                <w:sz w:val="16"/>
                <w:szCs w:val="16"/>
              </w:rPr>
            </w:pPr>
            <w:r w:rsidRPr="009E151A">
              <w:rPr>
                <w:sz w:val="16"/>
                <w:szCs w:val="16"/>
              </w:rPr>
              <w:t xml:space="preserve">(iv) Proportion of tests failed or result lost </w:t>
            </w:r>
          </w:p>
          <w:p w14:paraId="33B6E0EE" w14:textId="242BE75E" w:rsidR="009E151A" w:rsidRPr="00996CAF" w:rsidRDefault="005C796B" w:rsidP="000605F2">
            <w:pPr>
              <w:spacing w:line="216" w:lineRule="auto"/>
              <w:rPr>
                <w:sz w:val="16"/>
                <w:szCs w:val="16"/>
              </w:rPr>
            </w:pPr>
            <w:r>
              <w:rPr>
                <w:sz w:val="16"/>
                <w:szCs w:val="16"/>
              </w:rPr>
              <w:t>**</w:t>
            </w:r>
            <w:r w:rsidR="00A0429E" w:rsidRPr="009E151A">
              <w:rPr>
                <w:color w:val="E36C0A" w:themeColor="accent6" w:themeShade="BF"/>
                <w:sz w:val="16"/>
                <w:szCs w:val="16"/>
              </w:rPr>
              <w:t xml:space="preserve"> </w:t>
            </w:r>
          </w:p>
        </w:tc>
        <w:tc>
          <w:tcPr>
            <w:tcW w:w="2552" w:type="dxa"/>
            <w:gridSpan w:val="2"/>
          </w:tcPr>
          <w:p w14:paraId="09DFE3EE" w14:textId="77777777" w:rsidR="009E151A" w:rsidRPr="00996CAF" w:rsidRDefault="009E151A" w:rsidP="000605F2">
            <w:pPr>
              <w:spacing w:line="216" w:lineRule="auto"/>
              <w:rPr>
                <w:sz w:val="16"/>
                <w:szCs w:val="16"/>
              </w:rPr>
            </w:pPr>
          </w:p>
          <w:p w14:paraId="6D37D04A" w14:textId="77777777" w:rsidR="009E151A" w:rsidRPr="00996CAF" w:rsidRDefault="009E151A" w:rsidP="000605F2">
            <w:pPr>
              <w:spacing w:line="216" w:lineRule="auto"/>
              <w:rPr>
                <w:sz w:val="16"/>
                <w:szCs w:val="16"/>
              </w:rPr>
            </w:pPr>
            <w:r w:rsidRPr="00996CAF">
              <w:rPr>
                <w:sz w:val="16"/>
                <w:szCs w:val="16"/>
              </w:rPr>
              <w:t xml:space="preserve">0.80 </w:t>
            </w:r>
          </w:p>
          <w:p w14:paraId="113E94E1" w14:textId="77777777" w:rsidR="009E151A" w:rsidRPr="00996CAF" w:rsidRDefault="009E151A" w:rsidP="000605F2">
            <w:pPr>
              <w:spacing w:line="216" w:lineRule="auto"/>
              <w:rPr>
                <w:sz w:val="16"/>
                <w:szCs w:val="16"/>
              </w:rPr>
            </w:pPr>
            <w:r w:rsidRPr="00996CAF">
              <w:rPr>
                <w:sz w:val="16"/>
                <w:szCs w:val="16"/>
              </w:rPr>
              <w:t>0.50</w:t>
            </w:r>
          </w:p>
          <w:p w14:paraId="28E24818" w14:textId="77777777" w:rsidR="009E151A" w:rsidRPr="00996CAF" w:rsidRDefault="009E151A" w:rsidP="000605F2">
            <w:pPr>
              <w:spacing w:line="216" w:lineRule="auto"/>
              <w:rPr>
                <w:sz w:val="16"/>
                <w:szCs w:val="16"/>
              </w:rPr>
            </w:pPr>
            <w:r w:rsidRPr="00996CAF">
              <w:rPr>
                <w:sz w:val="16"/>
                <w:szCs w:val="16"/>
              </w:rPr>
              <w:t xml:space="preserve">0.30 </w:t>
            </w:r>
          </w:p>
          <w:p w14:paraId="0BF477B8" w14:textId="113550AC" w:rsidR="009E151A" w:rsidRPr="00996CAF" w:rsidRDefault="005C796B" w:rsidP="000605F2">
            <w:pPr>
              <w:spacing w:line="216" w:lineRule="auto"/>
              <w:rPr>
                <w:sz w:val="16"/>
                <w:szCs w:val="16"/>
              </w:rPr>
            </w:pPr>
            <w:r>
              <w:rPr>
                <w:sz w:val="16"/>
                <w:szCs w:val="16"/>
              </w:rPr>
              <w:t>0.15*</w:t>
            </w:r>
            <w:r w:rsidR="009E151A" w:rsidRPr="00996CAF">
              <w:rPr>
                <w:sz w:val="16"/>
                <w:szCs w:val="16"/>
              </w:rPr>
              <w:t xml:space="preserve"> </w:t>
            </w:r>
          </w:p>
          <w:p w14:paraId="3CA18DC2" w14:textId="77777777" w:rsidR="009E151A" w:rsidRPr="00996CAF" w:rsidRDefault="009E151A" w:rsidP="000605F2">
            <w:pPr>
              <w:spacing w:line="216" w:lineRule="auto"/>
              <w:rPr>
                <w:sz w:val="16"/>
                <w:szCs w:val="16"/>
              </w:rPr>
            </w:pPr>
            <w:r w:rsidRPr="00996CAF">
              <w:rPr>
                <w:sz w:val="16"/>
                <w:szCs w:val="16"/>
              </w:rPr>
              <w:t xml:space="preserve">0.00 </w:t>
            </w:r>
          </w:p>
          <w:p w14:paraId="1CC822FF" w14:textId="77777777" w:rsidR="009E151A" w:rsidRPr="00996CAF" w:rsidRDefault="009E151A" w:rsidP="000605F2">
            <w:pPr>
              <w:spacing w:line="216" w:lineRule="auto"/>
              <w:rPr>
                <w:sz w:val="16"/>
                <w:szCs w:val="16"/>
              </w:rPr>
            </w:pPr>
          </w:p>
        </w:tc>
        <w:tc>
          <w:tcPr>
            <w:tcW w:w="3969" w:type="dxa"/>
            <w:gridSpan w:val="2"/>
          </w:tcPr>
          <w:p w14:paraId="44F34A1B" w14:textId="77777777" w:rsidR="009E151A" w:rsidRPr="00F00920" w:rsidRDefault="009E151A" w:rsidP="000605F2">
            <w:pPr>
              <w:spacing w:line="216" w:lineRule="auto"/>
              <w:rPr>
                <w:sz w:val="16"/>
                <w:szCs w:val="16"/>
              </w:rPr>
            </w:pPr>
          </w:p>
          <w:p w14:paraId="446ED3DC" w14:textId="77777777" w:rsidR="009E151A" w:rsidRPr="00F00920" w:rsidRDefault="00276087" w:rsidP="000605F2">
            <w:pPr>
              <w:spacing w:line="216" w:lineRule="auto"/>
              <w:rPr>
                <w:sz w:val="16"/>
                <w:szCs w:val="16"/>
              </w:rPr>
            </w:pPr>
            <w:r w:rsidRPr="00F00920">
              <w:rPr>
                <w:sz w:val="16"/>
                <w:szCs w:val="16"/>
              </w:rPr>
              <w:t>$5</w:t>
            </w:r>
          </w:p>
          <w:p w14:paraId="6AC287E5" w14:textId="77777777" w:rsidR="009E151A" w:rsidRPr="00F00920" w:rsidRDefault="009E151A" w:rsidP="000605F2">
            <w:pPr>
              <w:spacing w:line="216" w:lineRule="auto"/>
              <w:rPr>
                <w:sz w:val="16"/>
                <w:szCs w:val="16"/>
              </w:rPr>
            </w:pPr>
            <w:r w:rsidRPr="00F00920">
              <w:rPr>
                <w:sz w:val="16"/>
                <w:szCs w:val="16"/>
              </w:rPr>
              <w:t>$1</w:t>
            </w:r>
            <w:r w:rsidR="00276087" w:rsidRPr="00F00920">
              <w:rPr>
                <w:sz w:val="16"/>
                <w:szCs w:val="16"/>
              </w:rPr>
              <w:t>6</w:t>
            </w:r>
          </w:p>
          <w:p w14:paraId="43E44863" w14:textId="77777777" w:rsidR="009E151A" w:rsidRPr="00F00920" w:rsidRDefault="00276087" w:rsidP="000605F2">
            <w:pPr>
              <w:spacing w:line="216" w:lineRule="auto"/>
              <w:rPr>
                <w:sz w:val="16"/>
                <w:szCs w:val="16"/>
              </w:rPr>
            </w:pPr>
            <w:r w:rsidRPr="00F00920">
              <w:rPr>
                <w:sz w:val="16"/>
                <w:szCs w:val="16"/>
              </w:rPr>
              <w:t>$19</w:t>
            </w:r>
          </w:p>
          <w:p w14:paraId="27B9E2E5" w14:textId="1239E7E6" w:rsidR="009E151A" w:rsidRPr="00F00920" w:rsidRDefault="005C796B" w:rsidP="000605F2">
            <w:pPr>
              <w:spacing w:line="216" w:lineRule="auto"/>
              <w:rPr>
                <w:sz w:val="16"/>
                <w:szCs w:val="16"/>
              </w:rPr>
            </w:pPr>
            <w:r>
              <w:rPr>
                <w:sz w:val="16"/>
                <w:szCs w:val="16"/>
              </w:rPr>
              <w:t>$22</w:t>
            </w:r>
            <w:r w:rsidR="009E151A" w:rsidRPr="00F00920">
              <w:rPr>
                <w:sz w:val="16"/>
                <w:szCs w:val="16"/>
              </w:rPr>
              <w:t xml:space="preserve"> </w:t>
            </w:r>
          </w:p>
          <w:p w14:paraId="2142385F" w14:textId="77777777" w:rsidR="009E151A" w:rsidRPr="00F00920" w:rsidRDefault="00276087" w:rsidP="000605F2">
            <w:pPr>
              <w:spacing w:line="216" w:lineRule="auto"/>
              <w:rPr>
                <w:sz w:val="16"/>
                <w:szCs w:val="16"/>
              </w:rPr>
            </w:pPr>
            <w:r w:rsidRPr="00F00920">
              <w:rPr>
                <w:sz w:val="16"/>
                <w:szCs w:val="16"/>
              </w:rPr>
              <w:t>$24</w:t>
            </w:r>
          </w:p>
        </w:tc>
      </w:tr>
      <w:tr w:rsidR="009E151A" w:rsidRPr="00996CAF" w14:paraId="7599E5FE" w14:textId="77777777" w:rsidTr="00862782">
        <w:tc>
          <w:tcPr>
            <w:tcW w:w="2977" w:type="dxa"/>
          </w:tcPr>
          <w:p w14:paraId="3C4FC0A2" w14:textId="77777777" w:rsidR="009E151A" w:rsidRPr="00996CAF" w:rsidRDefault="009E151A" w:rsidP="000605F2">
            <w:pPr>
              <w:spacing w:line="216" w:lineRule="auto"/>
              <w:rPr>
                <w:sz w:val="16"/>
                <w:szCs w:val="16"/>
              </w:rPr>
            </w:pPr>
          </w:p>
          <w:p w14:paraId="5A9DE27D" w14:textId="77777777" w:rsidR="009E151A" w:rsidRDefault="009E151A" w:rsidP="000605F2">
            <w:pPr>
              <w:spacing w:line="216" w:lineRule="auto"/>
              <w:rPr>
                <w:sz w:val="16"/>
                <w:szCs w:val="16"/>
              </w:rPr>
            </w:pPr>
            <w:r w:rsidRPr="00996CAF">
              <w:rPr>
                <w:sz w:val="16"/>
                <w:szCs w:val="16"/>
              </w:rPr>
              <w:t xml:space="preserve">(v) Probability of  differentiated care </w:t>
            </w:r>
          </w:p>
          <w:p w14:paraId="7606B4DE" w14:textId="77777777" w:rsidR="009E151A" w:rsidRPr="00996CAF" w:rsidRDefault="009E151A" w:rsidP="000605F2">
            <w:pPr>
              <w:spacing w:line="216" w:lineRule="auto"/>
              <w:rPr>
                <w:sz w:val="16"/>
                <w:szCs w:val="16"/>
              </w:rPr>
            </w:pPr>
            <w:r w:rsidRPr="00996CAF">
              <w:rPr>
                <w:sz w:val="16"/>
                <w:szCs w:val="16"/>
              </w:rPr>
              <w:t>if VL &lt; 1000</w:t>
            </w:r>
            <w:r>
              <w:rPr>
                <w:sz w:val="16"/>
                <w:szCs w:val="16"/>
              </w:rPr>
              <w:t xml:space="preserve"> being implemented</w:t>
            </w:r>
          </w:p>
          <w:p w14:paraId="7A559238" w14:textId="77777777" w:rsidR="009E151A" w:rsidRPr="00996CAF" w:rsidRDefault="009E151A" w:rsidP="000605F2">
            <w:pPr>
              <w:spacing w:line="216" w:lineRule="auto"/>
              <w:rPr>
                <w:sz w:val="16"/>
                <w:szCs w:val="16"/>
              </w:rPr>
            </w:pPr>
          </w:p>
        </w:tc>
        <w:tc>
          <w:tcPr>
            <w:tcW w:w="2552" w:type="dxa"/>
            <w:gridSpan w:val="2"/>
          </w:tcPr>
          <w:p w14:paraId="3FD76C00" w14:textId="77777777" w:rsidR="009E151A" w:rsidRPr="00996CAF" w:rsidRDefault="009E151A" w:rsidP="000605F2">
            <w:pPr>
              <w:spacing w:line="216" w:lineRule="auto"/>
              <w:rPr>
                <w:sz w:val="16"/>
                <w:szCs w:val="16"/>
              </w:rPr>
            </w:pPr>
          </w:p>
          <w:p w14:paraId="46570701" w14:textId="77777777" w:rsidR="009E151A" w:rsidRPr="00996CAF" w:rsidRDefault="009E151A" w:rsidP="000605F2">
            <w:pPr>
              <w:spacing w:line="216" w:lineRule="auto"/>
              <w:rPr>
                <w:sz w:val="16"/>
                <w:szCs w:val="16"/>
              </w:rPr>
            </w:pPr>
            <w:r w:rsidRPr="00996CAF">
              <w:rPr>
                <w:sz w:val="16"/>
                <w:szCs w:val="16"/>
              </w:rPr>
              <w:t xml:space="preserve">0.5 </w:t>
            </w:r>
          </w:p>
          <w:p w14:paraId="13B48463" w14:textId="77777777" w:rsidR="009E151A" w:rsidRPr="00996CAF" w:rsidRDefault="009E151A" w:rsidP="000605F2">
            <w:pPr>
              <w:spacing w:line="216" w:lineRule="auto"/>
              <w:rPr>
                <w:sz w:val="16"/>
                <w:szCs w:val="16"/>
              </w:rPr>
            </w:pPr>
            <w:r w:rsidRPr="00996CAF">
              <w:rPr>
                <w:sz w:val="16"/>
                <w:szCs w:val="16"/>
              </w:rPr>
              <w:t xml:space="preserve">0.6 </w:t>
            </w:r>
          </w:p>
          <w:p w14:paraId="0F478756" w14:textId="77777777" w:rsidR="009E151A" w:rsidRPr="00996CAF" w:rsidRDefault="009E151A" w:rsidP="000605F2">
            <w:pPr>
              <w:spacing w:line="216" w:lineRule="auto"/>
              <w:rPr>
                <w:sz w:val="16"/>
                <w:szCs w:val="16"/>
              </w:rPr>
            </w:pPr>
            <w:r w:rsidRPr="00996CAF">
              <w:rPr>
                <w:sz w:val="16"/>
                <w:szCs w:val="16"/>
              </w:rPr>
              <w:t xml:space="preserve">0.7 </w:t>
            </w:r>
          </w:p>
          <w:p w14:paraId="461F98A7" w14:textId="258AB925" w:rsidR="009E151A" w:rsidRPr="00996CAF" w:rsidRDefault="005C796B" w:rsidP="000605F2">
            <w:pPr>
              <w:spacing w:line="216" w:lineRule="auto"/>
              <w:rPr>
                <w:sz w:val="16"/>
                <w:szCs w:val="16"/>
              </w:rPr>
            </w:pPr>
            <w:r>
              <w:rPr>
                <w:sz w:val="16"/>
                <w:szCs w:val="16"/>
              </w:rPr>
              <w:t>0.8*</w:t>
            </w:r>
          </w:p>
          <w:p w14:paraId="4530112A" w14:textId="77777777" w:rsidR="009E151A" w:rsidRPr="00996CAF" w:rsidRDefault="009E151A" w:rsidP="000605F2">
            <w:pPr>
              <w:spacing w:line="216" w:lineRule="auto"/>
              <w:rPr>
                <w:sz w:val="16"/>
                <w:szCs w:val="16"/>
              </w:rPr>
            </w:pPr>
            <w:r w:rsidRPr="00996CAF">
              <w:rPr>
                <w:sz w:val="16"/>
                <w:szCs w:val="16"/>
              </w:rPr>
              <w:t xml:space="preserve">0.9 </w:t>
            </w:r>
          </w:p>
          <w:p w14:paraId="600F5192" w14:textId="77777777" w:rsidR="009E151A" w:rsidRPr="00996CAF" w:rsidRDefault="009E151A" w:rsidP="000605F2">
            <w:pPr>
              <w:spacing w:line="216" w:lineRule="auto"/>
              <w:rPr>
                <w:sz w:val="16"/>
                <w:szCs w:val="16"/>
              </w:rPr>
            </w:pPr>
          </w:p>
        </w:tc>
        <w:tc>
          <w:tcPr>
            <w:tcW w:w="3969" w:type="dxa"/>
            <w:gridSpan w:val="2"/>
          </w:tcPr>
          <w:p w14:paraId="46B93BA9" w14:textId="77777777" w:rsidR="009E151A" w:rsidRPr="00F00920" w:rsidRDefault="009E151A" w:rsidP="000605F2">
            <w:pPr>
              <w:spacing w:line="216" w:lineRule="auto"/>
              <w:rPr>
                <w:sz w:val="16"/>
                <w:szCs w:val="16"/>
              </w:rPr>
            </w:pPr>
          </w:p>
          <w:p w14:paraId="4B329245" w14:textId="77777777" w:rsidR="009E151A" w:rsidRPr="00F00920" w:rsidRDefault="009E151A" w:rsidP="000605F2">
            <w:pPr>
              <w:spacing w:line="216" w:lineRule="auto"/>
              <w:rPr>
                <w:sz w:val="16"/>
                <w:szCs w:val="16"/>
              </w:rPr>
            </w:pPr>
            <w:r w:rsidRPr="00F00920">
              <w:rPr>
                <w:sz w:val="16"/>
                <w:szCs w:val="16"/>
              </w:rPr>
              <w:t>$14</w:t>
            </w:r>
          </w:p>
          <w:p w14:paraId="6E222CAB" w14:textId="77777777" w:rsidR="009E151A" w:rsidRPr="00F00920" w:rsidRDefault="009E151A" w:rsidP="000605F2">
            <w:pPr>
              <w:spacing w:line="216" w:lineRule="auto"/>
              <w:rPr>
                <w:sz w:val="16"/>
                <w:szCs w:val="16"/>
              </w:rPr>
            </w:pPr>
            <w:r w:rsidRPr="00F00920">
              <w:rPr>
                <w:sz w:val="16"/>
                <w:szCs w:val="16"/>
              </w:rPr>
              <w:t>$16</w:t>
            </w:r>
          </w:p>
          <w:p w14:paraId="30188087" w14:textId="77777777" w:rsidR="009E151A" w:rsidRPr="00F00920" w:rsidRDefault="009E151A" w:rsidP="000605F2">
            <w:pPr>
              <w:spacing w:line="216" w:lineRule="auto"/>
              <w:rPr>
                <w:sz w:val="16"/>
                <w:szCs w:val="16"/>
              </w:rPr>
            </w:pPr>
            <w:r w:rsidRPr="00F00920">
              <w:rPr>
                <w:sz w:val="16"/>
                <w:szCs w:val="16"/>
              </w:rPr>
              <w:t>$19</w:t>
            </w:r>
          </w:p>
          <w:p w14:paraId="37077DCE" w14:textId="39FF8C5B" w:rsidR="009E151A" w:rsidRPr="00F00920" w:rsidRDefault="005C796B" w:rsidP="000605F2">
            <w:pPr>
              <w:spacing w:line="216" w:lineRule="auto"/>
              <w:rPr>
                <w:sz w:val="16"/>
                <w:szCs w:val="16"/>
              </w:rPr>
            </w:pPr>
            <w:r>
              <w:rPr>
                <w:sz w:val="16"/>
                <w:szCs w:val="16"/>
              </w:rPr>
              <w:t>$22</w:t>
            </w:r>
          </w:p>
          <w:p w14:paraId="35721B9B" w14:textId="77777777" w:rsidR="009E151A" w:rsidRPr="00F00920" w:rsidRDefault="009E151A" w:rsidP="00276087">
            <w:pPr>
              <w:spacing w:line="216" w:lineRule="auto"/>
              <w:rPr>
                <w:sz w:val="16"/>
                <w:szCs w:val="16"/>
              </w:rPr>
            </w:pPr>
            <w:r w:rsidRPr="00F00920">
              <w:rPr>
                <w:sz w:val="16"/>
                <w:szCs w:val="16"/>
              </w:rPr>
              <w:t>$2</w:t>
            </w:r>
            <w:r w:rsidR="00276087" w:rsidRPr="00F00920">
              <w:rPr>
                <w:sz w:val="16"/>
                <w:szCs w:val="16"/>
              </w:rPr>
              <w:t>4</w:t>
            </w:r>
          </w:p>
        </w:tc>
      </w:tr>
      <w:tr w:rsidR="009E151A" w:rsidRPr="00996CAF" w14:paraId="4F7772B1" w14:textId="77777777" w:rsidTr="00862782">
        <w:tc>
          <w:tcPr>
            <w:tcW w:w="2977" w:type="dxa"/>
          </w:tcPr>
          <w:p w14:paraId="2C193590" w14:textId="77777777" w:rsidR="009E151A" w:rsidRPr="00996CAF" w:rsidRDefault="009E151A" w:rsidP="000605F2">
            <w:pPr>
              <w:spacing w:line="216" w:lineRule="auto"/>
              <w:rPr>
                <w:sz w:val="16"/>
                <w:szCs w:val="16"/>
              </w:rPr>
            </w:pPr>
          </w:p>
          <w:p w14:paraId="5E28AB8E" w14:textId="77777777" w:rsidR="009E151A" w:rsidRPr="00996CAF" w:rsidRDefault="009E151A" w:rsidP="000605F2">
            <w:pPr>
              <w:spacing w:line="216" w:lineRule="auto"/>
              <w:rPr>
                <w:sz w:val="16"/>
                <w:szCs w:val="16"/>
              </w:rPr>
            </w:pPr>
            <w:r w:rsidRPr="00996CAF">
              <w:rPr>
                <w:sz w:val="16"/>
                <w:szCs w:val="16"/>
              </w:rPr>
              <w:t>(vi) Difference in coverage of population with viral load testing</w:t>
            </w:r>
          </w:p>
          <w:p w14:paraId="594A430C" w14:textId="77777777" w:rsidR="009E151A" w:rsidRPr="00996CAF" w:rsidRDefault="009E151A" w:rsidP="000605F2">
            <w:pPr>
              <w:spacing w:line="216" w:lineRule="auto"/>
              <w:rPr>
                <w:sz w:val="16"/>
                <w:szCs w:val="16"/>
              </w:rPr>
            </w:pPr>
          </w:p>
          <w:p w14:paraId="10FB02BF" w14:textId="77777777" w:rsidR="009E151A" w:rsidRPr="00996CAF" w:rsidRDefault="009E151A" w:rsidP="000605F2">
            <w:pPr>
              <w:spacing w:line="216" w:lineRule="auto"/>
              <w:rPr>
                <w:sz w:val="16"/>
                <w:szCs w:val="16"/>
              </w:rPr>
            </w:pPr>
          </w:p>
        </w:tc>
        <w:tc>
          <w:tcPr>
            <w:tcW w:w="2552" w:type="dxa"/>
            <w:gridSpan w:val="2"/>
          </w:tcPr>
          <w:p w14:paraId="08A515A2" w14:textId="77777777" w:rsidR="009E151A" w:rsidRPr="00996CAF" w:rsidRDefault="009E151A" w:rsidP="000605F2">
            <w:pPr>
              <w:spacing w:line="216" w:lineRule="auto"/>
              <w:rPr>
                <w:sz w:val="16"/>
                <w:szCs w:val="16"/>
              </w:rPr>
            </w:pPr>
            <w:r w:rsidRPr="00996CAF">
              <w:rPr>
                <w:sz w:val="16"/>
                <w:szCs w:val="16"/>
              </w:rPr>
              <w:t xml:space="preserve"> </w:t>
            </w:r>
          </w:p>
          <w:p w14:paraId="403B9CD4" w14:textId="77777777" w:rsidR="009E151A" w:rsidRPr="00996CAF" w:rsidRDefault="009E151A" w:rsidP="000605F2">
            <w:pPr>
              <w:spacing w:line="216" w:lineRule="auto"/>
              <w:rPr>
                <w:sz w:val="16"/>
                <w:szCs w:val="16"/>
              </w:rPr>
            </w:pPr>
            <w:r w:rsidRPr="00996CAF">
              <w:rPr>
                <w:sz w:val="16"/>
                <w:szCs w:val="16"/>
              </w:rPr>
              <w:t>70%</w:t>
            </w:r>
          </w:p>
          <w:p w14:paraId="49FC349A" w14:textId="774430F5" w:rsidR="009E151A" w:rsidRPr="00996CAF" w:rsidRDefault="005C796B" w:rsidP="00276087">
            <w:pPr>
              <w:spacing w:line="216" w:lineRule="auto"/>
              <w:rPr>
                <w:sz w:val="16"/>
                <w:szCs w:val="16"/>
              </w:rPr>
            </w:pPr>
            <w:r>
              <w:rPr>
                <w:sz w:val="16"/>
                <w:szCs w:val="16"/>
              </w:rPr>
              <w:t>75% *</w:t>
            </w:r>
          </w:p>
          <w:p w14:paraId="6B7ACBA3" w14:textId="77777777" w:rsidR="009E151A" w:rsidRPr="00996CAF" w:rsidRDefault="009E151A" w:rsidP="000605F2">
            <w:pPr>
              <w:spacing w:line="216" w:lineRule="auto"/>
              <w:rPr>
                <w:sz w:val="16"/>
                <w:szCs w:val="16"/>
              </w:rPr>
            </w:pPr>
            <w:r w:rsidRPr="00996CAF">
              <w:rPr>
                <w:sz w:val="16"/>
                <w:szCs w:val="16"/>
              </w:rPr>
              <w:t xml:space="preserve">80% </w:t>
            </w:r>
          </w:p>
          <w:p w14:paraId="60E3284B" w14:textId="77777777" w:rsidR="009E151A" w:rsidRPr="00996CAF" w:rsidRDefault="009E151A" w:rsidP="000605F2">
            <w:pPr>
              <w:spacing w:line="216" w:lineRule="auto"/>
              <w:rPr>
                <w:sz w:val="16"/>
                <w:szCs w:val="16"/>
              </w:rPr>
            </w:pPr>
            <w:r w:rsidRPr="00996CAF">
              <w:rPr>
                <w:sz w:val="16"/>
                <w:szCs w:val="16"/>
              </w:rPr>
              <w:t xml:space="preserve">85% </w:t>
            </w:r>
          </w:p>
          <w:p w14:paraId="058DBDA9" w14:textId="77777777" w:rsidR="009E151A" w:rsidRPr="00996CAF" w:rsidRDefault="009E151A" w:rsidP="000605F2">
            <w:pPr>
              <w:spacing w:line="216" w:lineRule="auto"/>
              <w:rPr>
                <w:sz w:val="16"/>
                <w:szCs w:val="16"/>
              </w:rPr>
            </w:pPr>
            <w:r w:rsidRPr="00996CAF">
              <w:rPr>
                <w:sz w:val="16"/>
                <w:szCs w:val="16"/>
              </w:rPr>
              <w:t xml:space="preserve">90% </w:t>
            </w:r>
          </w:p>
          <w:p w14:paraId="29B1ABE7" w14:textId="77777777" w:rsidR="009E151A" w:rsidRPr="00996CAF" w:rsidRDefault="009E151A" w:rsidP="000605F2">
            <w:pPr>
              <w:spacing w:line="216" w:lineRule="auto"/>
              <w:rPr>
                <w:sz w:val="16"/>
                <w:szCs w:val="16"/>
              </w:rPr>
            </w:pPr>
            <w:r w:rsidRPr="00996CAF">
              <w:rPr>
                <w:sz w:val="16"/>
                <w:szCs w:val="16"/>
              </w:rPr>
              <w:t xml:space="preserve">95% </w:t>
            </w:r>
          </w:p>
          <w:p w14:paraId="201C768A" w14:textId="77777777" w:rsidR="009E151A" w:rsidRPr="00996CAF" w:rsidRDefault="009E151A" w:rsidP="000605F2">
            <w:pPr>
              <w:spacing w:line="216" w:lineRule="auto"/>
              <w:rPr>
                <w:sz w:val="16"/>
                <w:szCs w:val="16"/>
              </w:rPr>
            </w:pPr>
            <w:r w:rsidRPr="00996CAF">
              <w:rPr>
                <w:sz w:val="16"/>
                <w:szCs w:val="16"/>
              </w:rPr>
              <w:t>100%</w:t>
            </w:r>
          </w:p>
          <w:p w14:paraId="7EFC59C1" w14:textId="77777777" w:rsidR="009E151A" w:rsidRPr="00996CAF" w:rsidRDefault="009E151A" w:rsidP="000605F2">
            <w:pPr>
              <w:spacing w:line="216" w:lineRule="auto"/>
              <w:rPr>
                <w:sz w:val="16"/>
                <w:szCs w:val="16"/>
              </w:rPr>
            </w:pPr>
          </w:p>
        </w:tc>
        <w:tc>
          <w:tcPr>
            <w:tcW w:w="3969" w:type="dxa"/>
            <w:gridSpan w:val="2"/>
          </w:tcPr>
          <w:p w14:paraId="320C4836" w14:textId="77777777" w:rsidR="009E151A" w:rsidRPr="00F00920" w:rsidRDefault="009E151A" w:rsidP="000605F2">
            <w:pPr>
              <w:rPr>
                <w:sz w:val="16"/>
                <w:szCs w:val="16"/>
              </w:rPr>
            </w:pPr>
          </w:p>
          <w:p w14:paraId="1C3B0647" w14:textId="77777777" w:rsidR="009E151A" w:rsidRPr="00F00920" w:rsidRDefault="009E151A" w:rsidP="00276087">
            <w:pPr>
              <w:spacing w:line="216" w:lineRule="auto"/>
              <w:rPr>
                <w:sz w:val="16"/>
                <w:szCs w:val="16"/>
              </w:rPr>
            </w:pPr>
            <w:r w:rsidRPr="00F00920">
              <w:rPr>
                <w:sz w:val="16"/>
                <w:szCs w:val="16"/>
              </w:rPr>
              <w:t>$20</w:t>
            </w:r>
          </w:p>
          <w:p w14:paraId="1F6C9049" w14:textId="6C8F2595" w:rsidR="009E151A" w:rsidRPr="00F00920" w:rsidRDefault="005C796B" w:rsidP="00276087">
            <w:pPr>
              <w:spacing w:line="216" w:lineRule="auto"/>
              <w:rPr>
                <w:sz w:val="16"/>
                <w:szCs w:val="16"/>
              </w:rPr>
            </w:pPr>
            <w:r>
              <w:rPr>
                <w:sz w:val="16"/>
                <w:szCs w:val="16"/>
              </w:rPr>
              <w:t>$22</w:t>
            </w:r>
          </w:p>
          <w:p w14:paraId="22E806BB" w14:textId="77777777" w:rsidR="009E151A" w:rsidRPr="00F00920" w:rsidRDefault="00276087" w:rsidP="00276087">
            <w:pPr>
              <w:spacing w:line="216" w:lineRule="auto"/>
              <w:rPr>
                <w:sz w:val="16"/>
                <w:szCs w:val="16"/>
              </w:rPr>
            </w:pPr>
            <w:r w:rsidRPr="00F00920">
              <w:rPr>
                <w:sz w:val="16"/>
                <w:szCs w:val="16"/>
              </w:rPr>
              <w:t>$23</w:t>
            </w:r>
          </w:p>
          <w:p w14:paraId="3A56EEFA" w14:textId="77777777" w:rsidR="009E151A" w:rsidRPr="00F00920" w:rsidRDefault="009E151A" w:rsidP="00276087">
            <w:pPr>
              <w:spacing w:line="216" w:lineRule="auto"/>
              <w:rPr>
                <w:sz w:val="16"/>
                <w:szCs w:val="16"/>
              </w:rPr>
            </w:pPr>
            <w:r w:rsidRPr="00F00920">
              <w:rPr>
                <w:sz w:val="16"/>
                <w:szCs w:val="16"/>
              </w:rPr>
              <w:t>$2</w:t>
            </w:r>
            <w:r w:rsidR="00276087" w:rsidRPr="00F00920">
              <w:rPr>
                <w:sz w:val="16"/>
                <w:szCs w:val="16"/>
              </w:rPr>
              <w:t>5</w:t>
            </w:r>
          </w:p>
          <w:p w14:paraId="341ACBC1" w14:textId="77777777" w:rsidR="009E151A" w:rsidRPr="00F00920" w:rsidRDefault="009E151A" w:rsidP="00276087">
            <w:pPr>
              <w:spacing w:line="216" w:lineRule="auto"/>
              <w:rPr>
                <w:sz w:val="16"/>
                <w:szCs w:val="16"/>
              </w:rPr>
            </w:pPr>
            <w:r w:rsidRPr="00F00920">
              <w:rPr>
                <w:sz w:val="16"/>
                <w:szCs w:val="16"/>
              </w:rPr>
              <w:t>$26</w:t>
            </w:r>
          </w:p>
          <w:p w14:paraId="03078A47" w14:textId="77777777" w:rsidR="009E151A" w:rsidRPr="00F00920" w:rsidRDefault="009E151A" w:rsidP="00276087">
            <w:pPr>
              <w:spacing w:line="216" w:lineRule="auto"/>
              <w:rPr>
                <w:sz w:val="16"/>
                <w:szCs w:val="16"/>
              </w:rPr>
            </w:pPr>
            <w:r w:rsidRPr="00F00920">
              <w:rPr>
                <w:sz w:val="16"/>
                <w:szCs w:val="16"/>
              </w:rPr>
              <w:t>$2</w:t>
            </w:r>
            <w:r w:rsidR="00276087" w:rsidRPr="00F00920">
              <w:rPr>
                <w:sz w:val="16"/>
                <w:szCs w:val="16"/>
              </w:rPr>
              <w:t>6</w:t>
            </w:r>
          </w:p>
          <w:p w14:paraId="53506D21" w14:textId="77777777" w:rsidR="00276087" w:rsidRPr="00F00920" w:rsidRDefault="00CC344B" w:rsidP="00CC344B">
            <w:pPr>
              <w:spacing w:line="216" w:lineRule="auto"/>
              <w:rPr>
                <w:sz w:val="16"/>
                <w:szCs w:val="16"/>
              </w:rPr>
            </w:pPr>
            <w:r w:rsidRPr="00F00920">
              <w:rPr>
                <w:sz w:val="16"/>
                <w:szCs w:val="16"/>
              </w:rPr>
              <w:t>$2</w:t>
            </w:r>
            <w:r w:rsidR="000B5A27" w:rsidRPr="00F00920">
              <w:rPr>
                <w:sz w:val="16"/>
                <w:szCs w:val="16"/>
              </w:rPr>
              <w:t>8</w:t>
            </w:r>
          </w:p>
        </w:tc>
      </w:tr>
      <w:tr w:rsidR="009E151A" w:rsidRPr="00996CAF" w14:paraId="246DFA64" w14:textId="77777777" w:rsidTr="00862782">
        <w:tc>
          <w:tcPr>
            <w:tcW w:w="2977" w:type="dxa"/>
          </w:tcPr>
          <w:p w14:paraId="3477C9C4" w14:textId="77777777" w:rsidR="009E151A" w:rsidRPr="00996CAF" w:rsidRDefault="009E151A" w:rsidP="000605F2">
            <w:pPr>
              <w:spacing w:line="216" w:lineRule="auto"/>
              <w:rPr>
                <w:sz w:val="16"/>
                <w:szCs w:val="16"/>
              </w:rPr>
            </w:pPr>
          </w:p>
          <w:p w14:paraId="72843965" w14:textId="77777777" w:rsidR="009E151A" w:rsidRDefault="009E151A" w:rsidP="000605F2">
            <w:pPr>
              <w:spacing w:line="216" w:lineRule="auto"/>
              <w:rPr>
                <w:sz w:val="16"/>
                <w:szCs w:val="16"/>
              </w:rPr>
            </w:pPr>
            <w:r w:rsidRPr="00996CAF">
              <w:rPr>
                <w:sz w:val="16"/>
                <w:szCs w:val="16"/>
              </w:rPr>
              <w:t xml:space="preserve">(vii) Probability of switch to second-line </w:t>
            </w:r>
          </w:p>
          <w:p w14:paraId="559AC5AF" w14:textId="77777777" w:rsidR="009E151A" w:rsidRPr="00996CAF" w:rsidRDefault="009E151A" w:rsidP="000605F2">
            <w:pPr>
              <w:spacing w:line="216" w:lineRule="auto"/>
              <w:rPr>
                <w:sz w:val="16"/>
                <w:szCs w:val="16"/>
              </w:rPr>
            </w:pPr>
            <w:r w:rsidRPr="00996CAF">
              <w:rPr>
                <w:sz w:val="16"/>
                <w:szCs w:val="16"/>
              </w:rPr>
              <w:t xml:space="preserve">ART per 3 months once failure definition met </w:t>
            </w:r>
          </w:p>
          <w:p w14:paraId="2D9EBD4A" w14:textId="77777777" w:rsidR="009E151A" w:rsidRPr="00996CAF" w:rsidRDefault="009E151A" w:rsidP="000605F2">
            <w:pPr>
              <w:spacing w:line="216" w:lineRule="auto"/>
              <w:rPr>
                <w:sz w:val="16"/>
                <w:szCs w:val="16"/>
              </w:rPr>
            </w:pPr>
          </w:p>
          <w:p w14:paraId="3DD09D3E" w14:textId="77777777" w:rsidR="009E151A" w:rsidRPr="00996CAF" w:rsidRDefault="009E151A" w:rsidP="000605F2">
            <w:pPr>
              <w:spacing w:line="216" w:lineRule="auto"/>
              <w:rPr>
                <w:sz w:val="16"/>
                <w:szCs w:val="16"/>
              </w:rPr>
            </w:pPr>
          </w:p>
        </w:tc>
        <w:tc>
          <w:tcPr>
            <w:tcW w:w="2552" w:type="dxa"/>
            <w:gridSpan w:val="2"/>
          </w:tcPr>
          <w:p w14:paraId="072D39CE" w14:textId="77777777" w:rsidR="009E151A" w:rsidRPr="00996CAF" w:rsidRDefault="009E151A" w:rsidP="000605F2">
            <w:pPr>
              <w:spacing w:line="216" w:lineRule="auto"/>
              <w:rPr>
                <w:sz w:val="16"/>
                <w:szCs w:val="16"/>
              </w:rPr>
            </w:pPr>
          </w:p>
          <w:p w14:paraId="6D0F44FD" w14:textId="77777777" w:rsidR="009E151A" w:rsidRPr="00996CAF" w:rsidRDefault="009E151A" w:rsidP="000605F2">
            <w:pPr>
              <w:spacing w:line="216" w:lineRule="auto"/>
              <w:rPr>
                <w:sz w:val="16"/>
                <w:szCs w:val="16"/>
              </w:rPr>
            </w:pPr>
            <w:r w:rsidRPr="00996CAF">
              <w:rPr>
                <w:sz w:val="16"/>
                <w:szCs w:val="16"/>
              </w:rPr>
              <w:t>0.05</w:t>
            </w:r>
          </w:p>
          <w:p w14:paraId="7DD67DBD" w14:textId="77777777" w:rsidR="009E151A" w:rsidRPr="00996CAF" w:rsidRDefault="009E151A" w:rsidP="000605F2">
            <w:pPr>
              <w:spacing w:line="216" w:lineRule="auto"/>
              <w:rPr>
                <w:sz w:val="16"/>
                <w:szCs w:val="16"/>
              </w:rPr>
            </w:pPr>
            <w:r w:rsidRPr="00996CAF">
              <w:rPr>
                <w:sz w:val="16"/>
                <w:szCs w:val="16"/>
              </w:rPr>
              <w:t xml:space="preserve">0.10 </w:t>
            </w:r>
          </w:p>
          <w:p w14:paraId="28A2C827" w14:textId="77777777" w:rsidR="009E151A" w:rsidRPr="00996CAF" w:rsidRDefault="009E151A" w:rsidP="000605F2">
            <w:pPr>
              <w:spacing w:line="216" w:lineRule="auto"/>
              <w:rPr>
                <w:sz w:val="16"/>
                <w:szCs w:val="16"/>
              </w:rPr>
            </w:pPr>
            <w:r w:rsidRPr="00996CAF">
              <w:rPr>
                <w:sz w:val="16"/>
                <w:szCs w:val="16"/>
              </w:rPr>
              <w:t xml:space="preserve">0.15 </w:t>
            </w:r>
          </w:p>
          <w:p w14:paraId="07E549D4" w14:textId="080C7A31" w:rsidR="009E151A" w:rsidRPr="00996CAF" w:rsidRDefault="005C796B" w:rsidP="000605F2">
            <w:pPr>
              <w:spacing w:line="216" w:lineRule="auto"/>
              <w:rPr>
                <w:sz w:val="16"/>
                <w:szCs w:val="16"/>
              </w:rPr>
            </w:pPr>
            <w:r>
              <w:rPr>
                <w:sz w:val="16"/>
                <w:szCs w:val="16"/>
              </w:rPr>
              <w:t>0.20*</w:t>
            </w:r>
          </w:p>
          <w:p w14:paraId="024DEC56" w14:textId="77777777" w:rsidR="009E151A" w:rsidRPr="00996CAF" w:rsidRDefault="009E151A" w:rsidP="000605F2">
            <w:pPr>
              <w:spacing w:line="216" w:lineRule="auto"/>
              <w:rPr>
                <w:sz w:val="16"/>
                <w:szCs w:val="16"/>
              </w:rPr>
            </w:pPr>
            <w:r w:rsidRPr="00996CAF">
              <w:rPr>
                <w:sz w:val="16"/>
                <w:szCs w:val="16"/>
              </w:rPr>
              <w:t xml:space="preserve">0.25 </w:t>
            </w:r>
          </w:p>
          <w:p w14:paraId="02705A11" w14:textId="77777777" w:rsidR="009E151A" w:rsidRPr="00996CAF" w:rsidRDefault="009E151A" w:rsidP="000605F2">
            <w:pPr>
              <w:spacing w:line="216" w:lineRule="auto"/>
              <w:rPr>
                <w:sz w:val="16"/>
                <w:szCs w:val="16"/>
              </w:rPr>
            </w:pPr>
            <w:r w:rsidRPr="00996CAF">
              <w:rPr>
                <w:sz w:val="16"/>
                <w:szCs w:val="16"/>
              </w:rPr>
              <w:t>0.30</w:t>
            </w:r>
          </w:p>
          <w:p w14:paraId="2B3BE1D8" w14:textId="77777777" w:rsidR="009E151A" w:rsidRPr="00996CAF" w:rsidRDefault="009E151A" w:rsidP="000605F2">
            <w:pPr>
              <w:spacing w:line="216" w:lineRule="auto"/>
              <w:rPr>
                <w:sz w:val="16"/>
                <w:szCs w:val="16"/>
              </w:rPr>
            </w:pPr>
            <w:r w:rsidRPr="00996CAF">
              <w:rPr>
                <w:sz w:val="16"/>
                <w:szCs w:val="16"/>
              </w:rPr>
              <w:t>0.40</w:t>
            </w:r>
          </w:p>
          <w:p w14:paraId="3353F7A1" w14:textId="77777777" w:rsidR="009E151A" w:rsidRPr="00996CAF" w:rsidRDefault="009E151A" w:rsidP="000605F2">
            <w:pPr>
              <w:spacing w:line="216" w:lineRule="auto"/>
              <w:rPr>
                <w:sz w:val="16"/>
                <w:szCs w:val="16"/>
              </w:rPr>
            </w:pPr>
            <w:r w:rsidRPr="00996CAF">
              <w:rPr>
                <w:sz w:val="16"/>
                <w:szCs w:val="16"/>
              </w:rPr>
              <w:t>0.60</w:t>
            </w:r>
          </w:p>
          <w:p w14:paraId="374F975B" w14:textId="77777777" w:rsidR="009E151A" w:rsidRPr="00996CAF" w:rsidRDefault="009E151A" w:rsidP="000605F2">
            <w:pPr>
              <w:spacing w:line="216" w:lineRule="auto"/>
              <w:rPr>
                <w:rFonts w:cs="Courier New"/>
                <w:color w:val="000000"/>
                <w:sz w:val="16"/>
                <w:szCs w:val="16"/>
                <w:shd w:val="clear" w:color="auto" w:fill="FFFFFF"/>
              </w:rPr>
            </w:pPr>
            <w:r w:rsidRPr="00996CAF">
              <w:rPr>
                <w:sz w:val="16"/>
                <w:szCs w:val="16"/>
              </w:rPr>
              <w:t>1.00</w:t>
            </w:r>
          </w:p>
          <w:p w14:paraId="036E5CEC" w14:textId="77777777" w:rsidR="009E151A" w:rsidRPr="00996CAF" w:rsidRDefault="009E151A" w:rsidP="000605F2">
            <w:pPr>
              <w:spacing w:line="216" w:lineRule="auto"/>
              <w:rPr>
                <w:sz w:val="16"/>
                <w:szCs w:val="16"/>
              </w:rPr>
            </w:pPr>
          </w:p>
        </w:tc>
        <w:tc>
          <w:tcPr>
            <w:tcW w:w="3969" w:type="dxa"/>
            <w:gridSpan w:val="2"/>
          </w:tcPr>
          <w:p w14:paraId="3BEF7B90" w14:textId="77777777" w:rsidR="009E151A" w:rsidRPr="00F00920" w:rsidRDefault="009E151A" w:rsidP="000605F2">
            <w:pPr>
              <w:spacing w:line="216" w:lineRule="auto"/>
              <w:rPr>
                <w:sz w:val="16"/>
                <w:szCs w:val="16"/>
              </w:rPr>
            </w:pPr>
          </w:p>
          <w:p w14:paraId="6D641522" w14:textId="77777777" w:rsidR="009E151A" w:rsidRPr="00F00920" w:rsidRDefault="009E151A" w:rsidP="000605F2">
            <w:pPr>
              <w:spacing w:line="216" w:lineRule="auto"/>
              <w:rPr>
                <w:sz w:val="16"/>
                <w:szCs w:val="16"/>
              </w:rPr>
            </w:pPr>
            <w:r w:rsidRPr="00F00920">
              <w:rPr>
                <w:sz w:val="16"/>
                <w:szCs w:val="16"/>
              </w:rPr>
              <w:t>$17</w:t>
            </w:r>
          </w:p>
          <w:p w14:paraId="338BA0AE" w14:textId="77777777" w:rsidR="009E151A" w:rsidRPr="00F00920" w:rsidRDefault="009E151A" w:rsidP="000605F2">
            <w:pPr>
              <w:spacing w:line="216" w:lineRule="auto"/>
              <w:rPr>
                <w:sz w:val="16"/>
                <w:szCs w:val="16"/>
              </w:rPr>
            </w:pPr>
            <w:r w:rsidRPr="00F00920">
              <w:rPr>
                <w:sz w:val="16"/>
                <w:szCs w:val="16"/>
              </w:rPr>
              <w:t>$20</w:t>
            </w:r>
          </w:p>
          <w:p w14:paraId="0E9FF946" w14:textId="77777777" w:rsidR="009E151A" w:rsidRPr="00F00920" w:rsidRDefault="009E151A" w:rsidP="000605F2">
            <w:pPr>
              <w:spacing w:line="216" w:lineRule="auto"/>
              <w:rPr>
                <w:sz w:val="16"/>
                <w:szCs w:val="16"/>
              </w:rPr>
            </w:pPr>
            <w:r w:rsidRPr="00F00920">
              <w:rPr>
                <w:sz w:val="16"/>
                <w:szCs w:val="16"/>
              </w:rPr>
              <w:t>$20</w:t>
            </w:r>
          </w:p>
          <w:p w14:paraId="2A2A9F8A" w14:textId="153CE7E4" w:rsidR="009E151A" w:rsidRPr="00F00920" w:rsidRDefault="005C796B" w:rsidP="000605F2">
            <w:pPr>
              <w:spacing w:line="216" w:lineRule="auto"/>
              <w:rPr>
                <w:sz w:val="16"/>
                <w:szCs w:val="16"/>
              </w:rPr>
            </w:pPr>
            <w:r>
              <w:rPr>
                <w:sz w:val="16"/>
                <w:szCs w:val="16"/>
              </w:rPr>
              <w:t>$22</w:t>
            </w:r>
          </w:p>
          <w:p w14:paraId="403731F2" w14:textId="77777777" w:rsidR="009E151A" w:rsidRPr="00F00920" w:rsidRDefault="009E151A" w:rsidP="000605F2">
            <w:pPr>
              <w:spacing w:line="216" w:lineRule="auto"/>
              <w:rPr>
                <w:sz w:val="16"/>
                <w:szCs w:val="16"/>
              </w:rPr>
            </w:pPr>
            <w:r w:rsidRPr="00F00920">
              <w:rPr>
                <w:sz w:val="16"/>
                <w:szCs w:val="16"/>
              </w:rPr>
              <w:t>$22</w:t>
            </w:r>
          </w:p>
          <w:p w14:paraId="2083EF53" w14:textId="77777777" w:rsidR="009E151A" w:rsidRPr="00F00920" w:rsidRDefault="009E151A" w:rsidP="000605F2">
            <w:pPr>
              <w:spacing w:line="216" w:lineRule="auto"/>
              <w:rPr>
                <w:sz w:val="16"/>
                <w:szCs w:val="16"/>
              </w:rPr>
            </w:pPr>
            <w:r w:rsidRPr="00F00920">
              <w:rPr>
                <w:sz w:val="16"/>
                <w:szCs w:val="16"/>
              </w:rPr>
              <w:t>$23</w:t>
            </w:r>
          </w:p>
          <w:p w14:paraId="008117E7" w14:textId="77777777" w:rsidR="009E151A" w:rsidRPr="00F00920" w:rsidRDefault="008324C0" w:rsidP="000605F2">
            <w:pPr>
              <w:spacing w:line="216" w:lineRule="auto"/>
              <w:rPr>
                <w:sz w:val="16"/>
                <w:szCs w:val="16"/>
              </w:rPr>
            </w:pPr>
            <w:r w:rsidRPr="00F00920">
              <w:rPr>
                <w:sz w:val="16"/>
                <w:szCs w:val="16"/>
              </w:rPr>
              <w:t>$23</w:t>
            </w:r>
            <w:r w:rsidR="009E50DE" w:rsidRPr="00F00920">
              <w:rPr>
                <w:sz w:val="16"/>
                <w:szCs w:val="16"/>
              </w:rPr>
              <w:t xml:space="preserve">  </w:t>
            </w:r>
          </w:p>
          <w:p w14:paraId="737E96BD" w14:textId="77777777" w:rsidR="009E151A" w:rsidRPr="00F00920" w:rsidRDefault="009E151A" w:rsidP="000605F2">
            <w:pPr>
              <w:spacing w:line="216" w:lineRule="auto"/>
              <w:rPr>
                <w:sz w:val="16"/>
                <w:szCs w:val="16"/>
              </w:rPr>
            </w:pPr>
            <w:r w:rsidRPr="00F00920">
              <w:rPr>
                <w:sz w:val="16"/>
                <w:szCs w:val="16"/>
              </w:rPr>
              <w:t>$23</w:t>
            </w:r>
          </w:p>
          <w:p w14:paraId="5A69B5BD" w14:textId="77777777" w:rsidR="009E151A" w:rsidRPr="00F00920" w:rsidRDefault="009E151A" w:rsidP="000605F2">
            <w:pPr>
              <w:spacing w:line="216" w:lineRule="auto"/>
              <w:rPr>
                <w:sz w:val="16"/>
                <w:szCs w:val="16"/>
              </w:rPr>
            </w:pPr>
            <w:r w:rsidRPr="00F00920">
              <w:rPr>
                <w:sz w:val="16"/>
                <w:szCs w:val="16"/>
              </w:rPr>
              <w:t>$25</w:t>
            </w:r>
          </w:p>
        </w:tc>
      </w:tr>
      <w:tr w:rsidR="009E151A" w:rsidRPr="00996CAF" w14:paraId="2FF84A63" w14:textId="77777777" w:rsidTr="00862782">
        <w:tc>
          <w:tcPr>
            <w:tcW w:w="2977" w:type="dxa"/>
          </w:tcPr>
          <w:p w14:paraId="2A2B82EE" w14:textId="77777777" w:rsidR="009E151A" w:rsidRPr="00996CAF" w:rsidRDefault="009E151A" w:rsidP="000605F2">
            <w:pPr>
              <w:spacing w:line="216" w:lineRule="auto"/>
              <w:rPr>
                <w:sz w:val="16"/>
                <w:szCs w:val="16"/>
              </w:rPr>
            </w:pPr>
          </w:p>
          <w:p w14:paraId="624AAB91" w14:textId="77777777" w:rsidR="009E151A" w:rsidRDefault="009E151A" w:rsidP="000605F2">
            <w:pPr>
              <w:spacing w:line="216" w:lineRule="auto"/>
              <w:rPr>
                <w:sz w:val="16"/>
                <w:szCs w:val="16"/>
              </w:rPr>
            </w:pPr>
            <w:r w:rsidRPr="00996CAF">
              <w:rPr>
                <w:sz w:val="16"/>
                <w:szCs w:val="16"/>
              </w:rPr>
              <w:t xml:space="preserve">(viii) Probability of ART interruption / loss </w:t>
            </w:r>
          </w:p>
          <w:p w14:paraId="65A4C1F9" w14:textId="38A711C5" w:rsidR="009E151A" w:rsidRPr="00996CAF" w:rsidRDefault="009E151A" w:rsidP="000605F2">
            <w:pPr>
              <w:spacing w:line="216" w:lineRule="auto"/>
              <w:rPr>
                <w:sz w:val="16"/>
                <w:szCs w:val="16"/>
              </w:rPr>
            </w:pPr>
            <w:r w:rsidRPr="00996CAF">
              <w:rPr>
                <w:sz w:val="16"/>
                <w:szCs w:val="16"/>
              </w:rPr>
              <w:t>to follow-</w:t>
            </w:r>
            <w:r w:rsidRPr="00C97D66">
              <w:rPr>
                <w:sz w:val="16"/>
                <w:szCs w:val="16"/>
                <w:highlight w:val="lightGray"/>
              </w:rPr>
              <w:t>up</w:t>
            </w:r>
            <w:r w:rsidR="00417EEF" w:rsidRPr="00C97D66">
              <w:rPr>
                <w:sz w:val="16"/>
                <w:szCs w:val="16"/>
                <w:highlight w:val="lightGray"/>
              </w:rPr>
              <w:t xml:space="preserve"> (per 3 months)</w:t>
            </w:r>
          </w:p>
          <w:p w14:paraId="7CB267A9" w14:textId="77777777" w:rsidR="009E151A" w:rsidRPr="00996CAF" w:rsidRDefault="009E151A" w:rsidP="000605F2">
            <w:pPr>
              <w:spacing w:line="216" w:lineRule="auto"/>
              <w:rPr>
                <w:sz w:val="16"/>
                <w:szCs w:val="16"/>
              </w:rPr>
            </w:pPr>
          </w:p>
        </w:tc>
        <w:tc>
          <w:tcPr>
            <w:tcW w:w="2552" w:type="dxa"/>
            <w:gridSpan w:val="2"/>
          </w:tcPr>
          <w:p w14:paraId="633FC869" w14:textId="77777777" w:rsidR="009E151A" w:rsidRPr="00996CAF" w:rsidRDefault="009E151A" w:rsidP="000605F2">
            <w:pPr>
              <w:spacing w:line="216" w:lineRule="auto"/>
              <w:rPr>
                <w:sz w:val="16"/>
                <w:szCs w:val="16"/>
              </w:rPr>
            </w:pPr>
          </w:p>
          <w:p w14:paraId="20F85477" w14:textId="77777777" w:rsidR="009E151A" w:rsidRPr="00996CAF" w:rsidRDefault="009E151A" w:rsidP="000605F2">
            <w:pPr>
              <w:spacing w:line="216" w:lineRule="auto"/>
              <w:rPr>
                <w:sz w:val="16"/>
                <w:szCs w:val="16"/>
              </w:rPr>
            </w:pPr>
            <w:r w:rsidRPr="00996CAF">
              <w:rPr>
                <w:sz w:val="16"/>
                <w:szCs w:val="16"/>
              </w:rPr>
              <w:t xml:space="preserve">0.030 </w:t>
            </w:r>
          </w:p>
          <w:p w14:paraId="71CD176B" w14:textId="77777777" w:rsidR="009E151A" w:rsidRPr="00996CAF" w:rsidRDefault="009E151A" w:rsidP="000605F2">
            <w:pPr>
              <w:spacing w:line="216" w:lineRule="auto"/>
              <w:rPr>
                <w:sz w:val="16"/>
                <w:szCs w:val="16"/>
              </w:rPr>
            </w:pPr>
            <w:r w:rsidRPr="00996CAF">
              <w:rPr>
                <w:sz w:val="16"/>
                <w:szCs w:val="16"/>
              </w:rPr>
              <w:t xml:space="preserve">0.025 </w:t>
            </w:r>
          </w:p>
          <w:p w14:paraId="64085AEE" w14:textId="06F0C746" w:rsidR="009E151A" w:rsidRPr="00996CAF" w:rsidRDefault="009E151A" w:rsidP="000605F2">
            <w:pPr>
              <w:spacing w:line="216" w:lineRule="auto"/>
              <w:rPr>
                <w:sz w:val="16"/>
                <w:szCs w:val="16"/>
              </w:rPr>
            </w:pPr>
            <w:r w:rsidRPr="00996CAF">
              <w:rPr>
                <w:sz w:val="16"/>
                <w:szCs w:val="16"/>
              </w:rPr>
              <w:t xml:space="preserve">0.020* </w:t>
            </w:r>
          </w:p>
          <w:p w14:paraId="2F954E6E" w14:textId="77777777" w:rsidR="009E151A" w:rsidRPr="00996CAF" w:rsidRDefault="009E151A" w:rsidP="000605F2">
            <w:pPr>
              <w:spacing w:line="216" w:lineRule="auto"/>
              <w:rPr>
                <w:sz w:val="16"/>
                <w:szCs w:val="16"/>
              </w:rPr>
            </w:pPr>
            <w:r w:rsidRPr="00996CAF">
              <w:rPr>
                <w:sz w:val="16"/>
                <w:szCs w:val="16"/>
              </w:rPr>
              <w:t xml:space="preserve">0.015 </w:t>
            </w:r>
          </w:p>
          <w:p w14:paraId="0DEE9001" w14:textId="77777777" w:rsidR="009E151A" w:rsidRPr="00996CAF" w:rsidRDefault="009E151A" w:rsidP="000605F2">
            <w:pPr>
              <w:spacing w:line="216" w:lineRule="auto"/>
              <w:rPr>
                <w:sz w:val="16"/>
                <w:szCs w:val="16"/>
              </w:rPr>
            </w:pPr>
            <w:r w:rsidRPr="00996CAF">
              <w:rPr>
                <w:sz w:val="16"/>
                <w:szCs w:val="16"/>
              </w:rPr>
              <w:t xml:space="preserve">0.010 </w:t>
            </w:r>
          </w:p>
          <w:p w14:paraId="14173921" w14:textId="77777777" w:rsidR="009E151A" w:rsidRPr="00996CAF" w:rsidRDefault="009E151A" w:rsidP="000605F2">
            <w:pPr>
              <w:spacing w:line="216" w:lineRule="auto"/>
              <w:rPr>
                <w:sz w:val="16"/>
                <w:szCs w:val="16"/>
              </w:rPr>
            </w:pPr>
            <w:r w:rsidRPr="00996CAF">
              <w:rPr>
                <w:sz w:val="16"/>
                <w:szCs w:val="16"/>
              </w:rPr>
              <w:t>0.005</w:t>
            </w:r>
          </w:p>
          <w:p w14:paraId="59F75465" w14:textId="77777777" w:rsidR="009E151A" w:rsidRPr="00996CAF" w:rsidRDefault="009E151A" w:rsidP="000605F2">
            <w:pPr>
              <w:spacing w:line="216" w:lineRule="auto"/>
              <w:rPr>
                <w:sz w:val="16"/>
                <w:szCs w:val="16"/>
              </w:rPr>
            </w:pPr>
          </w:p>
        </w:tc>
        <w:tc>
          <w:tcPr>
            <w:tcW w:w="3969" w:type="dxa"/>
            <w:gridSpan w:val="2"/>
          </w:tcPr>
          <w:p w14:paraId="006D8362" w14:textId="77777777" w:rsidR="009E151A" w:rsidRPr="00F00920" w:rsidRDefault="009E151A" w:rsidP="000605F2">
            <w:pPr>
              <w:spacing w:line="216" w:lineRule="auto"/>
              <w:rPr>
                <w:sz w:val="16"/>
                <w:szCs w:val="16"/>
              </w:rPr>
            </w:pPr>
          </w:p>
          <w:p w14:paraId="0455EE2B" w14:textId="77777777" w:rsidR="009E151A" w:rsidRPr="00F00920" w:rsidRDefault="009E151A" w:rsidP="000605F2">
            <w:pPr>
              <w:spacing w:line="216" w:lineRule="auto"/>
              <w:rPr>
                <w:sz w:val="16"/>
                <w:szCs w:val="16"/>
              </w:rPr>
            </w:pPr>
            <w:r w:rsidRPr="00F00920">
              <w:rPr>
                <w:sz w:val="16"/>
                <w:szCs w:val="16"/>
              </w:rPr>
              <w:t>$3</w:t>
            </w:r>
          </w:p>
          <w:p w14:paraId="6F9E9780" w14:textId="77777777" w:rsidR="009E151A" w:rsidRPr="00F00920" w:rsidRDefault="009E151A" w:rsidP="000605F2">
            <w:pPr>
              <w:spacing w:line="216" w:lineRule="auto"/>
              <w:rPr>
                <w:sz w:val="16"/>
                <w:szCs w:val="16"/>
              </w:rPr>
            </w:pPr>
            <w:r w:rsidRPr="00F00920">
              <w:rPr>
                <w:sz w:val="16"/>
                <w:szCs w:val="16"/>
              </w:rPr>
              <w:t>$14</w:t>
            </w:r>
          </w:p>
          <w:p w14:paraId="3226F176" w14:textId="10158317" w:rsidR="009E151A" w:rsidRPr="00F00920" w:rsidRDefault="005C796B" w:rsidP="000605F2">
            <w:pPr>
              <w:spacing w:line="216" w:lineRule="auto"/>
              <w:rPr>
                <w:sz w:val="16"/>
                <w:szCs w:val="16"/>
              </w:rPr>
            </w:pPr>
            <w:r>
              <w:rPr>
                <w:sz w:val="16"/>
                <w:szCs w:val="16"/>
              </w:rPr>
              <w:t>$22</w:t>
            </w:r>
          </w:p>
          <w:p w14:paraId="1B09FBEF" w14:textId="77777777" w:rsidR="009E151A" w:rsidRPr="00F00920" w:rsidRDefault="009E151A" w:rsidP="000605F2">
            <w:pPr>
              <w:spacing w:line="216" w:lineRule="auto"/>
              <w:rPr>
                <w:sz w:val="16"/>
                <w:szCs w:val="16"/>
              </w:rPr>
            </w:pPr>
            <w:r w:rsidRPr="00F00920">
              <w:rPr>
                <w:sz w:val="16"/>
                <w:szCs w:val="16"/>
              </w:rPr>
              <w:t>$29</w:t>
            </w:r>
          </w:p>
          <w:p w14:paraId="6912BEE9" w14:textId="77777777" w:rsidR="009E151A" w:rsidRPr="00F00920" w:rsidRDefault="009E151A" w:rsidP="000605F2">
            <w:pPr>
              <w:spacing w:line="216" w:lineRule="auto"/>
              <w:rPr>
                <w:sz w:val="16"/>
                <w:szCs w:val="16"/>
              </w:rPr>
            </w:pPr>
            <w:r w:rsidRPr="00F00920">
              <w:rPr>
                <w:sz w:val="16"/>
                <w:szCs w:val="16"/>
              </w:rPr>
              <w:t>$41</w:t>
            </w:r>
          </w:p>
          <w:p w14:paraId="0F32EE9A" w14:textId="77777777" w:rsidR="009E151A" w:rsidRPr="00F00920" w:rsidRDefault="009E151A" w:rsidP="000605F2">
            <w:pPr>
              <w:spacing w:line="216" w:lineRule="auto"/>
              <w:rPr>
                <w:sz w:val="16"/>
                <w:szCs w:val="16"/>
              </w:rPr>
            </w:pPr>
            <w:r w:rsidRPr="00F00920">
              <w:rPr>
                <w:sz w:val="16"/>
                <w:szCs w:val="16"/>
              </w:rPr>
              <w:t>$48</w:t>
            </w:r>
          </w:p>
        </w:tc>
      </w:tr>
      <w:tr w:rsidR="009E151A" w:rsidRPr="00996CAF" w14:paraId="28E672B5" w14:textId="77777777" w:rsidTr="00862782">
        <w:tc>
          <w:tcPr>
            <w:tcW w:w="2977" w:type="dxa"/>
          </w:tcPr>
          <w:p w14:paraId="634A7388" w14:textId="77777777" w:rsidR="009E151A" w:rsidRPr="00996CAF" w:rsidRDefault="009E151A" w:rsidP="000605F2">
            <w:pPr>
              <w:spacing w:line="216" w:lineRule="auto"/>
              <w:rPr>
                <w:sz w:val="16"/>
                <w:szCs w:val="16"/>
              </w:rPr>
            </w:pPr>
          </w:p>
        </w:tc>
        <w:tc>
          <w:tcPr>
            <w:tcW w:w="2552" w:type="dxa"/>
            <w:gridSpan w:val="2"/>
          </w:tcPr>
          <w:p w14:paraId="3A3F11C2" w14:textId="77777777" w:rsidR="009E151A" w:rsidRPr="00996CAF" w:rsidRDefault="009E151A" w:rsidP="000605F2">
            <w:pPr>
              <w:spacing w:line="216" w:lineRule="auto"/>
              <w:rPr>
                <w:sz w:val="16"/>
                <w:szCs w:val="16"/>
              </w:rPr>
            </w:pPr>
          </w:p>
        </w:tc>
        <w:tc>
          <w:tcPr>
            <w:tcW w:w="3969" w:type="dxa"/>
            <w:gridSpan w:val="2"/>
          </w:tcPr>
          <w:p w14:paraId="209901CA" w14:textId="77777777" w:rsidR="009E151A" w:rsidRPr="00996CAF" w:rsidRDefault="009E151A" w:rsidP="000605F2">
            <w:pPr>
              <w:spacing w:line="216" w:lineRule="auto"/>
              <w:rPr>
                <w:sz w:val="16"/>
                <w:szCs w:val="16"/>
              </w:rPr>
            </w:pPr>
          </w:p>
        </w:tc>
      </w:tr>
    </w:tbl>
    <w:p w14:paraId="2BCB58CE" w14:textId="6F55B95E" w:rsidR="009E151A" w:rsidRPr="00996CAF" w:rsidRDefault="009E151A" w:rsidP="009E151A">
      <w:pPr>
        <w:rPr>
          <w:sz w:val="16"/>
          <w:szCs w:val="16"/>
        </w:rPr>
      </w:pPr>
      <w:r w:rsidRPr="00996CAF">
        <w:rPr>
          <w:sz w:val="16"/>
          <w:szCs w:val="16"/>
        </w:rPr>
        <w:t xml:space="preserve">* </w:t>
      </w:r>
      <w:proofErr w:type="gramStart"/>
      <w:r w:rsidRPr="00996CAF">
        <w:rPr>
          <w:sz w:val="16"/>
          <w:szCs w:val="16"/>
        </w:rPr>
        <w:t>base</w:t>
      </w:r>
      <w:proofErr w:type="gramEnd"/>
      <w:r w:rsidRPr="00996CAF">
        <w:rPr>
          <w:sz w:val="16"/>
          <w:szCs w:val="16"/>
        </w:rPr>
        <w:t xml:space="preserve"> </w:t>
      </w:r>
      <w:r w:rsidR="00EE2580">
        <w:rPr>
          <w:sz w:val="16"/>
          <w:szCs w:val="16"/>
        </w:rPr>
        <w:t>scenario</w:t>
      </w:r>
      <w:r w:rsidRPr="00996CAF">
        <w:rPr>
          <w:sz w:val="16"/>
          <w:szCs w:val="16"/>
        </w:rPr>
        <w:t xml:space="preserve"> (VL cost $22);  ** assumed that there is a 90% chance that the cost of the test is nevertheless incurred</w:t>
      </w:r>
    </w:p>
    <w:p w14:paraId="23D8C012" w14:textId="44B455F7" w:rsidR="006D4352" w:rsidRPr="006D4352" w:rsidRDefault="00862782" w:rsidP="006D4352">
      <w:pPr>
        <w:spacing w:after="0" w:line="240" w:lineRule="auto"/>
        <w:rPr>
          <w:b/>
          <w:sz w:val="18"/>
          <w:szCs w:val="18"/>
        </w:rPr>
      </w:pPr>
      <w:r w:rsidRPr="00D2331E">
        <w:rPr>
          <w:color w:val="C0504D" w:themeColor="accent2"/>
          <w:sz w:val="18"/>
          <w:szCs w:val="18"/>
          <w:highlight w:val="lightGray"/>
        </w:rPr>
        <w:t>F</w:t>
      </w:r>
      <w:r w:rsidR="00D35DC0" w:rsidRPr="00D2331E">
        <w:rPr>
          <w:color w:val="C0504D" w:themeColor="accent2"/>
          <w:sz w:val="18"/>
          <w:szCs w:val="18"/>
          <w:highlight w:val="lightGray"/>
        </w:rPr>
        <w:t>igure 1</w:t>
      </w:r>
      <w:r w:rsidR="003077C7" w:rsidRPr="00D2331E">
        <w:rPr>
          <w:color w:val="C0504D" w:themeColor="accent2"/>
          <w:sz w:val="18"/>
          <w:szCs w:val="18"/>
          <w:highlight w:val="lightGray"/>
        </w:rPr>
        <w:t>a</w:t>
      </w:r>
      <w:r w:rsidR="00D35DC0" w:rsidRPr="00D2331E">
        <w:rPr>
          <w:b/>
          <w:color w:val="C0504D" w:themeColor="accent2"/>
          <w:sz w:val="18"/>
          <w:szCs w:val="18"/>
          <w:highlight w:val="lightGray"/>
        </w:rPr>
        <w:t>.</w:t>
      </w:r>
      <w:r w:rsidR="00D35DC0" w:rsidRPr="00996CAF">
        <w:rPr>
          <w:b/>
          <w:color w:val="C0504D" w:themeColor="accent2"/>
          <w:sz w:val="18"/>
          <w:szCs w:val="18"/>
        </w:rPr>
        <w:t xml:space="preserve">  </w:t>
      </w:r>
      <w:r w:rsidR="002A28EC" w:rsidRPr="00996CAF">
        <w:rPr>
          <w:b/>
          <w:color w:val="C0504D" w:themeColor="accent2"/>
          <w:sz w:val="18"/>
          <w:szCs w:val="18"/>
        </w:rPr>
        <w:t xml:space="preserve"> </w:t>
      </w:r>
      <w:r w:rsidR="004740CE">
        <w:rPr>
          <w:sz w:val="18"/>
          <w:szCs w:val="18"/>
        </w:rPr>
        <w:t xml:space="preserve">Comparison of health outcomes according to individual attributes of the viral load testing approach, shown as the difference in </w:t>
      </w:r>
      <w:r w:rsidR="004740CE" w:rsidRPr="00996CAF">
        <w:rPr>
          <w:sz w:val="18"/>
          <w:szCs w:val="18"/>
        </w:rPr>
        <w:t>DALY</w:t>
      </w:r>
      <w:r w:rsidR="004740CE">
        <w:rPr>
          <w:sz w:val="18"/>
          <w:szCs w:val="18"/>
        </w:rPr>
        <w:t>s</w:t>
      </w:r>
      <w:r w:rsidR="004740CE" w:rsidRPr="00996CAF">
        <w:rPr>
          <w:sz w:val="18"/>
          <w:szCs w:val="18"/>
        </w:rPr>
        <w:t xml:space="preserve"> </w:t>
      </w:r>
      <w:r w:rsidR="004740CE" w:rsidRPr="00CA2633">
        <w:rPr>
          <w:sz w:val="18"/>
          <w:szCs w:val="18"/>
        </w:rPr>
        <w:t>incurred compared with DBS base scenario.  The influence of the attribute is indicated by the range in difference in DALYs incurred for plausible values of the attribute.</w:t>
      </w:r>
      <w:r w:rsidR="0032629C" w:rsidRPr="00CA2633">
        <w:rPr>
          <w:sz w:val="18"/>
          <w:szCs w:val="18"/>
        </w:rPr>
        <w:t xml:space="preserve">  </w:t>
      </w:r>
      <w:r w:rsidR="0032629C" w:rsidRPr="00CA2633">
        <w:rPr>
          <w:i/>
          <w:sz w:val="18"/>
          <w:szCs w:val="18"/>
        </w:rPr>
        <w:t>Note: will be combined with Figure 1b in printed version.</w:t>
      </w:r>
      <w:r w:rsidR="00AD2F70" w:rsidRPr="00CA2633">
        <w:rPr>
          <w:i/>
          <w:sz w:val="18"/>
          <w:szCs w:val="18"/>
        </w:rPr>
        <w:t xml:space="preserve">   </w:t>
      </w:r>
      <w:r w:rsidR="00CA2633" w:rsidRPr="00CA2633">
        <w:rPr>
          <w:sz w:val="18"/>
          <w:szCs w:val="18"/>
        </w:rPr>
        <w:t>DALYS are per 3 months over</w:t>
      </w:r>
      <w:r w:rsidR="00CA2633">
        <w:rPr>
          <w:sz w:val="18"/>
          <w:szCs w:val="18"/>
        </w:rPr>
        <w:t xml:space="preserve"> 20 years from 2017, discounted at 3% per year.</w:t>
      </w:r>
    </w:p>
    <w:p w14:paraId="1FD966F7" w14:textId="6F050711" w:rsidR="00AA0ACE" w:rsidRDefault="00DC5B61">
      <w:r>
        <w:rPr>
          <w:noProof/>
          <w:lang w:val="en-US"/>
        </w:rPr>
        <w:drawing>
          <wp:anchor distT="0" distB="0" distL="114300" distR="114300" simplePos="0" relativeHeight="251661312" behindDoc="1" locked="0" layoutInCell="1" allowOverlap="1" wp14:anchorId="5730EA9A" wp14:editId="3F66BA4A">
            <wp:simplePos x="0" y="0"/>
            <wp:positionH relativeFrom="page">
              <wp:posOffset>21073</wp:posOffset>
            </wp:positionH>
            <wp:positionV relativeFrom="paragraph">
              <wp:posOffset>58007</wp:posOffset>
            </wp:positionV>
            <wp:extent cx="8241806" cy="5322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1806" cy="5322779"/>
                    </a:xfrm>
                    <a:prstGeom prst="rect">
                      <a:avLst/>
                    </a:prstGeom>
                    <a:noFill/>
                  </pic:spPr>
                </pic:pic>
              </a:graphicData>
            </a:graphic>
            <wp14:sizeRelH relativeFrom="page">
              <wp14:pctWidth>0</wp14:pctWidth>
            </wp14:sizeRelH>
            <wp14:sizeRelV relativeFrom="page">
              <wp14:pctHeight>0</wp14:pctHeight>
            </wp14:sizeRelV>
          </wp:anchor>
        </w:drawing>
      </w:r>
      <w:r w:rsidR="00AA0ACE">
        <w:br w:type="page"/>
      </w:r>
    </w:p>
    <w:p w14:paraId="724FD05E" w14:textId="66C34401" w:rsidR="002A28EC" w:rsidRDefault="003077C7" w:rsidP="0032629C">
      <w:pPr>
        <w:spacing w:after="0" w:line="240" w:lineRule="auto"/>
        <w:rPr>
          <w:sz w:val="18"/>
          <w:szCs w:val="18"/>
        </w:rPr>
      </w:pPr>
      <w:r w:rsidRPr="00D2331E">
        <w:rPr>
          <w:color w:val="C0504D" w:themeColor="accent2"/>
          <w:sz w:val="18"/>
          <w:szCs w:val="18"/>
          <w:highlight w:val="lightGray"/>
        </w:rPr>
        <w:t>Figure 1b</w:t>
      </w:r>
      <w:r w:rsidR="002A28EC" w:rsidRPr="00D2331E">
        <w:rPr>
          <w:color w:val="C0504D" w:themeColor="accent2"/>
          <w:sz w:val="18"/>
          <w:szCs w:val="18"/>
          <w:highlight w:val="lightGray"/>
        </w:rPr>
        <w:t>.</w:t>
      </w:r>
      <w:r w:rsidR="002A28EC" w:rsidRPr="00996CAF">
        <w:rPr>
          <w:b/>
          <w:color w:val="C0504D" w:themeColor="accent2"/>
          <w:sz w:val="18"/>
          <w:szCs w:val="18"/>
        </w:rPr>
        <w:t xml:space="preserve">   </w:t>
      </w:r>
      <w:r w:rsidR="004740CE">
        <w:rPr>
          <w:sz w:val="18"/>
          <w:szCs w:val="18"/>
        </w:rPr>
        <w:t>Comparison of cost-effectiveness according to individual attributes of the viral load testing approach, shown as the d</w:t>
      </w:r>
      <w:r w:rsidR="002A28EC" w:rsidRPr="00996CAF">
        <w:rPr>
          <w:sz w:val="18"/>
          <w:szCs w:val="18"/>
        </w:rPr>
        <w:t xml:space="preserve">ifference in net </w:t>
      </w:r>
      <w:r w:rsidR="00143747">
        <w:rPr>
          <w:sz w:val="18"/>
          <w:szCs w:val="18"/>
        </w:rPr>
        <w:t>DALYs</w:t>
      </w:r>
      <w:r w:rsidR="002A28EC" w:rsidRPr="00996CAF">
        <w:rPr>
          <w:sz w:val="18"/>
          <w:szCs w:val="18"/>
        </w:rPr>
        <w:t xml:space="preserve"> compared with DBS base </w:t>
      </w:r>
      <w:r w:rsidR="00EE2580">
        <w:rPr>
          <w:sz w:val="18"/>
          <w:szCs w:val="18"/>
        </w:rPr>
        <w:t>scenario</w:t>
      </w:r>
      <w:r w:rsidR="004740CE">
        <w:rPr>
          <w:sz w:val="18"/>
          <w:szCs w:val="18"/>
        </w:rPr>
        <w:t xml:space="preserve">.  The influence of the attribute is indicated by the range in difference in net </w:t>
      </w:r>
      <w:r w:rsidR="00143747">
        <w:rPr>
          <w:sz w:val="18"/>
          <w:szCs w:val="18"/>
        </w:rPr>
        <w:t>DALYs</w:t>
      </w:r>
      <w:r w:rsidR="004740CE">
        <w:rPr>
          <w:sz w:val="18"/>
          <w:szCs w:val="18"/>
        </w:rPr>
        <w:t xml:space="preserve"> for plausible values of the attribute.</w:t>
      </w:r>
    </w:p>
    <w:p w14:paraId="5A261E39" w14:textId="7F7AE45C" w:rsidR="002A28EC" w:rsidRPr="006D4352" w:rsidRDefault="00DC5B61">
      <w:pPr>
        <w:rPr>
          <w:noProof/>
          <w:sz w:val="18"/>
          <w:szCs w:val="18"/>
          <w:lang w:eastAsia="en-GB"/>
        </w:rPr>
      </w:pPr>
      <w:r>
        <w:rPr>
          <w:noProof/>
          <w:sz w:val="18"/>
          <w:szCs w:val="18"/>
          <w:lang w:val="en-US"/>
        </w:rPr>
        <w:drawing>
          <wp:anchor distT="0" distB="0" distL="114300" distR="114300" simplePos="0" relativeHeight="251660288" behindDoc="1" locked="0" layoutInCell="1" allowOverlap="1" wp14:anchorId="64438782" wp14:editId="5B3B4850">
            <wp:simplePos x="0" y="0"/>
            <wp:positionH relativeFrom="page">
              <wp:align>left</wp:align>
            </wp:positionH>
            <wp:positionV relativeFrom="paragraph">
              <wp:posOffset>68285</wp:posOffset>
            </wp:positionV>
            <wp:extent cx="8421783" cy="543917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1783" cy="5439179"/>
                    </a:xfrm>
                    <a:prstGeom prst="rect">
                      <a:avLst/>
                    </a:prstGeom>
                    <a:noFill/>
                  </pic:spPr>
                </pic:pic>
              </a:graphicData>
            </a:graphic>
            <wp14:sizeRelH relativeFrom="page">
              <wp14:pctWidth>0</wp14:pctWidth>
            </wp14:sizeRelH>
            <wp14:sizeRelV relativeFrom="page">
              <wp14:pctHeight>0</wp14:pctHeight>
            </wp14:sizeRelV>
          </wp:anchor>
        </w:drawing>
      </w:r>
    </w:p>
    <w:sectPr w:rsidR="002A28EC" w:rsidRPr="006D4352" w:rsidSect="00DE4858">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LancetPro">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60ECE7"/>
    <w:multiLevelType w:val="hybridMultilevel"/>
    <w:tmpl w:val="6AF757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4E15FC"/>
    <w:multiLevelType w:val="hybridMultilevel"/>
    <w:tmpl w:val="593CAA9C"/>
    <w:lvl w:ilvl="0" w:tplc="2F228582">
      <w:start w:val="1"/>
      <w:numFmt w:val="decimal"/>
      <w:lvlText w:val="%1."/>
      <w:lvlJc w:val="left"/>
      <w:pPr>
        <w:ind w:left="915" w:hanging="5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CE332F"/>
    <w:multiLevelType w:val="hybridMultilevel"/>
    <w:tmpl w:val="89449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B31C5"/>
    <w:multiLevelType w:val="multilevel"/>
    <w:tmpl w:val="39F8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C06AB"/>
    <w:multiLevelType w:val="multilevel"/>
    <w:tmpl w:val="01E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3A3494"/>
    <w:multiLevelType w:val="multilevel"/>
    <w:tmpl w:val="A510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40FBA"/>
    <w:multiLevelType w:val="hybridMultilevel"/>
    <w:tmpl w:val="0F00D65C"/>
    <w:lvl w:ilvl="0" w:tplc="74FEB4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46C2E"/>
    <w:multiLevelType w:val="multilevel"/>
    <w:tmpl w:val="F966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01155D"/>
    <w:multiLevelType w:val="hybridMultilevel"/>
    <w:tmpl w:val="89449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433D06"/>
    <w:multiLevelType w:val="multilevel"/>
    <w:tmpl w:val="A3D0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B960C4"/>
    <w:multiLevelType w:val="multilevel"/>
    <w:tmpl w:val="0EA899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E151EB"/>
    <w:multiLevelType w:val="hybridMultilevel"/>
    <w:tmpl w:val="A04E82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E3DE7"/>
    <w:multiLevelType w:val="hybridMultilevel"/>
    <w:tmpl w:val="49DA8FDC"/>
    <w:lvl w:ilvl="0" w:tplc="998AAC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B11EC"/>
    <w:multiLevelType w:val="multilevel"/>
    <w:tmpl w:val="7704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4314F"/>
    <w:multiLevelType w:val="hybridMultilevel"/>
    <w:tmpl w:val="5E847BBA"/>
    <w:lvl w:ilvl="0" w:tplc="ACC8EF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12D88"/>
    <w:multiLevelType w:val="hybridMultilevel"/>
    <w:tmpl w:val="0846B488"/>
    <w:lvl w:ilvl="0" w:tplc="6ECE67B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D70E7F"/>
    <w:multiLevelType w:val="multilevel"/>
    <w:tmpl w:val="B64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5"/>
  </w:num>
  <w:num w:numId="4">
    <w:abstractNumId w:val="14"/>
  </w:num>
  <w:num w:numId="5">
    <w:abstractNumId w:val="6"/>
  </w:num>
  <w:num w:numId="6">
    <w:abstractNumId w:val="11"/>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6"/>
  </w:num>
  <w:num w:numId="13">
    <w:abstractNumId w:val="7"/>
  </w:num>
  <w:num w:numId="14">
    <w:abstractNumId w:val="13"/>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AA"/>
    <w:rsid w:val="00000FA0"/>
    <w:rsid w:val="00001AE0"/>
    <w:rsid w:val="00004239"/>
    <w:rsid w:val="00005C49"/>
    <w:rsid w:val="000100D3"/>
    <w:rsid w:val="00014EEC"/>
    <w:rsid w:val="000177B5"/>
    <w:rsid w:val="00020323"/>
    <w:rsid w:val="00035EC3"/>
    <w:rsid w:val="000458AA"/>
    <w:rsid w:val="00051468"/>
    <w:rsid w:val="00051B46"/>
    <w:rsid w:val="00051E10"/>
    <w:rsid w:val="000558F4"/>
    <w:rsid w:val="00056635"/>
    <w:rsid w:val="000605F2"/>
    <w:rsid w:val="00060CB4"/>
    <w:rsid w:val="00065220"/>
    <w:rsid w:val="00066F28"/>
    <w:rsid w:val="000769E2"/>
    <w:rsid w:val="00083CAA"/>
    <w:rsid w:val="00084ACE"/>
    <w:rsid w:val="00086085"/>
    <w:rsid w:val="00086E7C"/>
    <w:rsid w:val="00095880"/>
    <w:rsid w:val="0009624A"/>
    <w:rsid w:val="00096411"/>
    <w:rsid w:val="000B12BB"/>
    <w:rsid w:val="000B20FF"/>
    <w:rsid w:val="000B5A27"/>
    <w:rsid w:val="000B685C"/>
    <w:rsid w:val="000C673C"/>
    <w:rsid w:val="000D1C56"/>
    <w:rsid w:val="000D3EF6"/>
    <w:rsid w:val="000D64B3"/>
    <w:rsid w:val="000D7261"/>
    <w:rsid w:val="000E4DF5"/>
    <w:rsid w:val="000E518B"/>
    <w:rsid w:val="000E6310"/>
    <w:rsid w:val="000F2C35"/>
    <w:rsid w:val="000F7241"/>
    <w:rsid w:val="00101352"/>
    <w:rsid w:val="00101F80"/>
    <w:rsid w:val="001050AD"/>
    <w:rsid w:val="0012562D"/>
    <w:rsid w:val="001324FC"/>
    <w:rsid w:val="001432FE"/>
    <w:rsid w:val="00143747"/>
    <w:rsid w:val="00154A5B"/>
    <w:rsid w:val="001666B6"/>
    <w:rsid w:val="0017000D"/>
    <w:rsid w:val="001825ED"/>
    <w:rsid w:val="001827FD"/>
    <w:rsid w:val="001A1FC0"/>
    <w:rsid w:val="001A318E"/>
    <w:rsid w:val="001A7793"/>
    <w:rsid w:val="001B79B5"/>
    <w:rsid w:val="001C0A51"/>
    <w:rsid w:val="001C41AB"/>
    <w:rsid w:val="001C58EB"/>
    <w:rsid w:val="001D11B6"/>
    <w:rsid w:val="001D524B"/>
    <w:rsid w:val="001E1D8D"/>
    <w:rsid w:val="001E3598"/>
    <w:rsid w:val="001E5250"/>
    <w:rsid w:val="001E53F0"/>
    <w:rsid w:val="001E6FF3"/>
    <w:rsid w:val="001F34F3"/>
    <w:rsid w:val="001F4311"/>
    <w:rsid w:val="002104AC"/>
    <w:rsid w:val="00222CFF"/>
    <w:rsid w:val="00226219"/>
    <w:rsid w:val="002317E2"/>
    <w:rsid w:val="002353AC"/>
    <w:rsid w:val="002365D0"/>
    <w:rsid w:val="00242A63"/>
    <w:rsid w:val="002463A7"/>
    <w:rsid w:val="0025098F"/>
    <w:rsid w:val="00257FF3"/>
    <w:rsid w:val="00260C3D"/>
    <w:rsid w:val="00263480"/>
    <w:rsid w:val="00264023"/>
    <w:rsid w:val="0026745A"/>
    <w:rsid w:val="00271F9B"/>
    <w:rsid w:val="00276087"/>
    <w:rsid w:val="00282973"/>
    <w:rsid w:val="00284C15"/>
    <w:rsid w:val="002854E0"/>
    <w:rsid w:val="00285747"/>
    <w:rsid w:val="00285CF0"/>
    <w:rsid w:val="0029104C"/>
    <w:rsid w:val="002914CE"/>
    <w:rsid w:val="00291D98"/>
    <w:rsid w:val="00294264"/>
    <w:rsid w:val="00295D5A"/>
    <w:rsid w:val="00295E57"/>
    <w:rsid w:val="002A0A96"/>
    <w:rsid w:val="002A24EB"/>
    <w:rsid w:val="002A28EC"/>
    <w:rsid w:val="002A67B6"/>
    <w:rsid w:val="002A7DCA"/>
    <w:rsid w:val="002B61A4"/>
    <w:rsid w:val="002C5232"/>
    <w:rsid w:val="002D3B7B"/>
    <w:rsid w:val="002E643F"/>
    <w:rsid w:val="00302C7F"/>
    <w:rsid w:val="003077C7"/>
    <w:rsid w:val="00314581"/>
    <w:rsid w:val="003208F3"/>
    <w:rsid w:val="00321328"/>
    <w:rsid w:val="0032629C"/>
    <w:rsid w:val="00327965"/>
    <w:rsid w:val="0033374E"/>
    <w:rsid w:val="0033731B"/>
    <w:rsid w:val="003412DE"/>
    <w:rsid w:val="00345591"/>
    <w:rsid w:val="00347806"/>
    <w:rsid w:val="003502FE"/>
    <w:rsid w:val="00351C34"/>
    <w:rsid w:val="00360D5F"/>
    <w:rsid w:val="00367466"/>
    <w:rsid w:val="0037185B"/>
    <w:rsid w:val="00372B75"/>
    <w:rsid w:val="00385121"/>
    <w:rsid w:val="00390012"/>
    <w:rsid w:val="00391CCB"/>
    <w:rsid w:val="003932AD"/>
    <w:rsid w:val="00394787"/>
    <w:rsid w:val="00395029"/>
    <w:rsid w:val="00395BF4"/>
    <w:rsid w:val="003A5B41"/>
    <w:rsid w:val="003C375E"/>
    <w:rsid w:val="003C7DEC"/>
    <w:rsid w:val="003D54C6"/>
    <w:rsid w:val="003E0ED9"/>
    <w:rsid w:val="003E2CB6"/>
    <w:rsid w:val="003E48BE"/>
    <w:rsid w:val="003E6555"/>
    <w:rsid w:val="003F3807"/>
    <w:rsid w:val="003F5AC0"/>
    <w:rsid w:val="003F6F40"/>
    <w:rsid w:val="004030D8"/>
    <w:rsid w:val="0040642A"/>
    <w:rsid w:val="004076F4"/>
    <w:rsid w:val="00410534"/>
    <w:rsid w:val="00413286"/>
    <w:rsid w:val="00416DBE"/>
    <w:rsid w:val="00417EEF"/>
    <w:rsid w:val="004348BD"/>
    <w:rsid w:val="00435A0C"/>
    <w:rsid w:val="00440098"/>
    <w:rsid w:val="004472AB"/>
    <w:rsid w:val="0045387F"/>
    <w:rsid w:val="00457C66"/>
    <w:rsid w:val="00462DF1"/>
    <w:rsid w:val="0047035A"/>
    <w:rsid w:val="00472163"/>
    <w:rsid w:val="00472A58"/>
    <w:rsid w:val="004740CE"/>
    <w:rsid w:val="00485BC4"/>
    <w:rsid w:val="00486C58"/>
    <w:rsid w:val="00492515"/>
    <w:rsid w:val="00497087"/>
    <w:rsid w:val="004A49CE"/>
    <w:rsid w:val="004B2B06"/>
    <w:rsid w:val="004B38DC"/>
    <w:rsid w:val="004C2E3E"/>
    <w:rsid w:val="004C3D76"/>
    <w:rsid w:val="004D07EC"/>
    <w:rsid w:val="004D28F0"/>
    <w:rsid w:val="004D6976"/>
    <w:rsid w:val="004E0484"/>
    <w:rsid w:val="004E627D"/>
    <w:rsid w:val="004F2EF1"/>
    <w:rsid w:val="004F4412"/>
    <w:rsid w:val="00503140"/>
    <w:rsid w:val="00504B0E"/>
    <w:rsid w:val="00514FC4"/>
    <w:rsid w:val="00520AEB"/>
    <w:rsid w:val="00521095"/>
    <w:rsid w:val="005220E9"/>
    <w:rsid w:val="00526E9E"/>
    <w:rsid w:val="00527ED2"/>
    <w:rsid w:val="00535598"/>
    <w:rsid w:val="00546D76"/>
    <w:rsid w:val="00552DD1"/>
    <w:rsid w:val="00552E1F"/>
    <w:rsid w:val="005631CB"/>
    <w:rsid w:val="0056440D"/>
    <w:rsid w:val="0059330E"/>
    <w:rsid w:val="00595D3D"/>
    <w:rsid w:val="005A0D05"/>
    <w:rsid w:val="005B0260"/>
    <w:rsid w:val="005B149C"/>
    <w:rsid w:val="005B529E"/>
    <w:rsid w:val="005B58E7"/>
    <w:rsid w:val="005C3C19"/>
    <w:rsid w:val="005C796B"/>
    <w:rsid w:val="005D4B7B"/>
    <w:rsid w:val="005D6C27"/>
    <w:rsid w:val="005E2A99"/>
    <w:rsid w:val="005E2D39"/>
    <w:rsid w:val="005F2FF1"/>
    <w:rsid w:val="005F5B33"/>
    <w:rsid w:val="00602522"/>
    <w:rsid w:val="00604CBB"/>
    <w:rsid w:val="00610135"/>
    <w:rsid w:val="0062733D"/>
    <w:rsid w:val="00627388"/>
    <w:rsid w:val="006357D4"/>
    <w:rsid w:val="00636AB4"/>
    <w:rsid w:val="00641156"/>
    <w:rsid w:val="00653D4B"/>
    <w:rsid w:val="0065765F"/>
    <w:rsid w:val="00660BE4"/>
    <w:rsid w:val="006646DC"/>
    <w:rsid w:val="00670714"/>
    <w:rsid w:val="006906AE"/>
    <w:rsid w:val="00692D42"/>
    <w:rsid w:val="00693487"/>
    <w:rsid w:val="006962F2"/>
    <w:rsid w:val="00696734"/>
    <w:rsid w:val="00696C8F"/>
    <w:rsid w:val="006A2166"/>
    <w:rsid w:val="006A39F9"/>
    <w:rsid w:val="006A3F97"/>
    <w:rsid w:val="006A5669"/>
    <w:rsid w:val="006A592C"/>
    <w:rsid w:val="006B2CE7"/>
    <w:rsid w:val="006B6B6C"/>
    <w:rsid w:val="006D4352"/>
    <w:rsid w:val="006D6B59"/>
    <w:rsid w:val="006E64F6"/>
    <w:rsid w:val="006F39A1"/>
    <w:rsid w:val="006F55B7"/>
    <w:rsid w:val="00702639"/>
    <w:rsid w:val="0070558A"/>
    <w:rsid w:val="00712118"/>
    <w:rsid w:val="0072012F"/>
    <w:rsid w:val="00722311"/>
    <w:rsid w:val="007276FD"/>
    <w:rsid w:val="007301E8"/>
    <w:rsid w:val="00733AE4"/>
    <w:rsid w:val="007340AF"/>
    <w:rsid w:val="00743157"/>
    <w:rsid w:val="00746661"/>
    <w:rsid w:val="00752F95"/>
    <w:rsid w:val="0075461E"/>
    <w:rsid w:val="0075566C"/>
    <w:rsid w:val="0075567D"/>
    <w:rsid w:val="0076368A"/>
    <w:rsid w:val="007660BF"/>
    <w:rsid w:val="00767FA9"/>
    <w:rsid w:val="00772706"/>
    <w:rsid w:val="00783033"/>
    <w:rsid w:val="007850A2"/>
    <w:rsid w:val="0078793E"/>
    <w:rsid w:val="007B55C3"/>
    <w:rsid w:val="007B61A9"/>
    <w:rsid w:val="007B76CB"/>
    <w:rsid w:val="007C05F2"/>
    <w:rsid w:val="007C3CF0"/>
    <w:rsid w:val="007D1A2D"/>
    <w:rsid w:val="007D3187"/>
    <w:rsid w:val="007D4528"/>
    <w:rsid w:val="007E0DEF"/>
    <w:rsid w:val="007E2130"/>
    <w:rsid w:val="007E4A79"/>
    <w:rsid w:val="007E5855"/>
    <w:rsid w:val="007F6479"/>
    <w:rsid w:val="00801350"/>
    <w:rsid w:val="00806EDD"/>
    <w:rsid w:val="00812BF3"/>
    <w:rsid w:val="00823326"/>
    <w:rsid w:val="00823657"/>
    <w:rsid w:val="00825730"/>
    <w:rsid w:val="008324C0"/>
    <w:rsid w:val="0083714E"/>
    <w:rsid w:val="008403D6"/>
    <w:rsid w:val="0084656E"/>
    <w:rsid w:val="008503E0"/>
    <w:rsid w:val="00860B30"/>
    <w:rsid w:val="00862782"/>
    <w:rsid w:val="008903AB"/>
    <w:rsid w:val="00896E15"/>
    <w:rsid w:val="008A0FFA"/>
    <w:rsid w:val="008A177E"/>
    <w:rsid w:val="008A37AA"/>
    <w:rsid w:val="008A477B"/>
    <w:rsid w:val="008B4DF3"/>
    <w:rsid w:val="008C51DE"/>
    <w:rsid w:val="008C60AF"/>
    <w:rsid w:val="008C6DF6"/>
    <w:rsid w:val="008C734B"/>
    <w:rsid w:val="008D06EF"/>
    <w:rsid w:val="008D1FB7"/>
    <w:rsid w:val="008D4A8C"/>
    <w:rsid w:val="008D558F"/>
    <w:rsid w:val="008E3EBA"/>
    <w:rsid w:val="008F5B9B"/>
    <w:rsid w:val="009117C9"/>
    <w:rsid w:val="00924C86"/>
    <w:rsid w:val="009269AC"/>
    <w:rsid w:val="00927017"/>
    <w:rsid w:val="00930008"/>
    <w:rsid w:val="00933EDA"/>
    <w:rsid w:val="0093601B"/>
    <w:rsid w:val="0094039D"/>
    <w:rsid w:val="0094149C"/>
    <w:rsid w:val="009451FA"/>
    <w:rsid w:val="00951757"/>
    <w:rsid w:val="00963546"/>
    <w:rsid w:val="00965131"/>
    <w:rsid w:val="009719E0"/>
    <w:rsid w:val="00975BAC"/>
    <w:rsid w:val="00975C80"/>
    <w:rsid w:val="00976309"/>
    <w:rsid w:val="009955E4"/>
    <w:rsid w:val="00996C05"/>
    <w:rsid w:val="00996CAF"/>
    <w:rsid w:val="009A2A8D"/>
    <w:rsid w:val="009A5296"/>
    <w:rsid w:val="009C20E3"/>
    <w:rsid w:val="009C5056"/>
    <w:rsid w:val="009C63D6"/>
    <w:rsid w:val="009E151A"/>
    <w:rsid w:val="009E50DE"/>
    <w:rsid w:val="009E6300"/>
    <w:rsid w:val="009F51D1"/>
    <w:rsid w:val="00A0429E"/>
    <w:rsid w:val="00A06429"/>
    <w:rsid w:val="00A070F9"/>
    <w:rsid w:val="00A12816"/>
    <w:rsid w:val="00A30F4C"/>
    <w:rsid w:val="00A33160"/>
    <w:rsid w:val="00A3605F"/>
    <w:rsid w:val="00A361C4"/>
    <w:rsid w:val="00A40362"/>
    <w:rsid w:val="00A430FE"/>
    <w:rsid w:val="00A43EB4"/>
    <w:rsid w:val="00A47DF7"/>
    <w:rsid w:val="00A51631"/>
    <w:rsid w:val="00A6075B"/>
    <w:rsid w:val="00A60E6C"/>
    <w:rsid w:val="00A60ED4"/>
    <w:rsid w:val="00A63AC0"/>
    <w:rsid w:val="00A63D30"/>
    <w:rsid w:val="00A6739F"/>
    <w:rsid w:val="00A67B48"/>
    <w:rsid w:val="00A733D7"/>
    <w:rsid w:val="00A75DD4"/>
    <w:rsid w:val="00A816CD"/>
    <w:rsid w:val="00A82EB1"/>
    <w:rsid w:val="00A83E4B"/>
    <w:rsid w:val="00A91104"/>
    <w:rsid w:val="00A940EB"/>
    <w:rsid w:val="00A94114"/>
    <w:rsid w:val="00AA0ACE"/>
    <w:rsid w:val="00AA15DA"/>
    <w:rsid w:val="00AB7115"/>
    <w:rsid w:val="00AB7C0D"/>
    <w:rsid w:val="00AC5521"/>
    <w:rsid w:val="00AD2F70"/>
    <w:rsid w:val="00AD6C06"/>
    <w:rsid w:val="00AF0BA3"/>
    <w:rsid w:val="00AF17E5"/>
    <w:rsid w:val="00AF4DEF"/>
    <w:rsid w:val="00B00A5F"/>
    <w:rsid w:val="00B011B1"/>
    <w:rsid w:val="00B01524"/>
    <w:rsid w:val="00B03CCD"/>
    <w:rsid w:val="00B05936"/>
    <w:rsid w:val="00B110F5"/>
    <w:rsid w:val="00B14F4F"/>
    <w:rsid w:val="00B161DC"/>
    <w:rsid w:val="00B276E5"/>
    <w:rsid w:val="00B31E4C"/>
    <w:rsid w:val="00B41FA9"/>
    <w:rsid w:val="00B52DDB"/>
    <w:rsid w:val="00B5623E"/>
    <w:rsid w:val="00B76347"/>
    <w:rsid w:val="00B76B26"/>
    <w:rsid w:val="00B76B84"/>
    <w:rsid w:val="00B82C41"/>
    <w:rsid w:val="00B85C94"/>
    <w:rsid w:val="00B90EDB"/>
    <w:rsid w:val="00B9133F"/>
    <w:rsid w:val="00B9408B"/>
    <w:rsid w:val="00BC0C87"/>
    <w:rsid w:val="00BC4856"/>
    <w:rsid w:val="00BC5486"/>
    <w:rsid w:val="00BC657F"/>
    <w:rsid w:val="00BD2EC5"/>
    <w:rsid w:val="00BD322C"/>
    <w:rsid w:val="00BD55BC"/>
    <w:rsid w:val="00BD7B15"/>
    <w:rsid w:val="00BE28CB"/>
    <w:rsid w:val="00BE6940"/>
    <w:rsid w:val="00BF6139"/>
    <w:rsid w:val="00BF7551"/>
    <w:rsid w:val="00BF7D35"/>
    <w:rsid w:val="00C005E1"/>
    <w:rsid w:val="00C00B7E"/>
    <w:rsid w:val="00C03697"/>
    <w:rsid w:val="00C17182"/>
    <w:rsid w:val="00C23C2E"/>
    <w:rsid w:val="00C2469D"/>
    <w:rsid w:val="00C41DFF"/>
    <w:rsid w:val="00C43C23"/>
    <w:rsid w:val="00C4464B"/>
    <w:rsid w:val="00C51DA9"/>
    <w:rsid w:val="00C51DEF"/>
    <w:rsid w:val="00C71456"/>
    <w:rsid w:val="00C71DC4"/>
    <w:rsid w:val="00C82734"/>
    <w:rsid w:val="00C82EDC"/>
    <w:rsid w:val="00C93034"/>
    <w:rsid w:val="00C95275"/>
    <w:rsid w:val="00C97D66"/>
    <w:rsid w:val="00CA162B"/>
    <w:rsid w:val="00CA2633"/>
    <w:rsid w:val="00CA4124"/>
    <w:rsid w:val="00CC344B"/>
    <w:rsid w:val="00CC3B7A"/>
    <w:rsid w:val="00CE46C1"/>
    <w:rsid w:val="00CF2E02"/>
    <w:rsid w:val="00CF4840"/>
    <w:rsid w:val="00D00296"/>
    <w:rsid w:val="00D10462"/>
    <w:rsid w:val="00D132F2"/>
    <w:rsid w:val="00D133EA"/>
    <w:rsid w:val="00D2331E"/>
    <w:rsid w:val="00D31687"/>
    <w:rsid w:val="00D34248"/>
    <w:rsid w:val="00D358C8"/>
    <w:rsid w:val="00D35DC0"/>
    <w:rsid w:val="00D41A0C"/>
    <w:rsid w:val="00D43473"/>
    <w:rsid w:val="00D457C9"/>
    <w:rsid w:val="00D469CC"/>
    <w:rsid w:val="00D46F9E"/>
    <w:rsid w:val="00D660DE"/>
    <w:rsid w:val="00D725BB"/>
    <w:rsid w:val="00D72E39"/>
    <w:rsid w:val="00D75900"/>
    <w:rsid w:val="00D821E7"/>
    <w:rsid w:val="00D91204"/>
    <w:rsid w:val="00D925E0"/>
    <w:rsid w:val="00D9445B"/>
    <w:rsid w:val="00D952AA"/>
    <w:rsid w:val="00D95FEB"/>
    <w:rsid w:val="00D96EF5"/>
    <w:rsid w:val="00DA04E7"/>
    <w:rsid w:val="00DA24DA"/>
    <w:rsid w:val="00DB242A"/>
    <w:rsid w:val="00DB6499"/>
    <w:rsid w:val="00DC0800"/>
    <w:rsid w:val="00DC09B6"/>
    <w:rsid w:val="00DC2AAF"/>
    <w:rsid w:val="00DC5B61"/>
    <w:rsid w:val="00DC74CD"/>
    <w:rsid w:val="00DD0AD4"/>
    <w:rsid w:val="00DE3A80"/>
    <w:rsid w:val="00DE3B6B"/>
    <w:rsid w:val="00DE4858"/>
    <w:rsid w:val="00DE7563"/>
    <w:rsid w:val="00DE79E9"/>
    <w:rsid w:val="00DF1BA7"/>
    <w:rsid w:val="00DF3C26"/>
    <w:rsid w:val="00E1112A"/>
    <w:rsid w:val="00E138B5"/>
    <w:rsid w:val="00E20DB9"/>
    <w:rsid w:val="00E2710B"/>
    <w:rsid w:val="00E278AA"/>
    <w:rsid w:val="00E27E04"/>
    <w:rsid w:val="00E313C5"/>
    <w:rsid w:val="00E3224C"/>
    <w:rsid w:val="00E476B6"/>
    <w:rsid w:val="00E534D9"/>
    <w:rsid w:val="00E6567D"/>
    <w:rsid w:val="00E7641A"/>
    <w:rsid w:val="00E838E6"/>
    <w:rsid w:val="00E8476B"/>
    <w:rsid w:val="00E84F21"/>
    <w:rsid w:val="00E9049D"/>
    <w:rsid w:val="00EA3810"/>
    <w:rsid w:val="00EA6500"/>
    <w:rsid w:val="00EB315F"/>
    <w:rsid w:val="00EC12BD"/>
    <w:rsid w:val="00EC1F44"/>
    <w:rsid w:val="00EC428D"/>
    <w:rsid w:val="00EC78D3"/>
    <w:rsid w:val="00EC7FA5"/>
    <w:rsid w:val="00EE2580"/>
    <w:rsid w:val="00EE6395"/>
    <w:rsid w:val="00EE7082"/>
    <w:rsid w:val="00F00920"/>
    <w:rsid w:val="00F06238"/>
    <w:rsid w:val="00F068C8"/>
    <w:rsid w:val="00F1121A"/>
    <w:rsid w:val="00F32131"/>
    <w:rsid w:val="00F329F0"/>
    <w:rsid w:val="00F32C81"/>
    <w:rsid w:val="00F54BE8"/>
    <w:rsid w:val="00F55828"/>
    <w:rsid w:val="00F57963"/>
    <w:rsid w:val="00F6029C"/>
    <w:rsid w:val="00F639B2"/>
    <w:rsid w:val="00F65399"/>
    <w:rsid w:val="00F65FC5"/>
    <w:rsid w:val="00F81145"/>
    <w:rsid w:val="00F83FFF"/>
    <w:rsid w:val="00F92981"/>
    <w:rsid w:val="00F9400B"/>
    <w:rsid w:val="00F96986"/>
    <w:rsid w:val="00F96E12"/>
    <w:rsid w:val="00FA342E"/>
    <w:rsid w:val="00FA6AAF"/>
    <w:rsid w:val="00FB3470"/>
    <w:rsid w:val="00FD370C"/>
    <w:rsid w:val="00FE1062"/>
    <w:rsid w:val="00FE475D"/>
    <w:rsid w:val="00FE5C5F"/>
    <w:rsid w:val="00FE63EA"/>
    <w:rsid w:val="00FE705F"/>
    <w:rsid w:val="00FF2E50"/>
    <w:rsid w:val="00FF40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2A02D"/>
  <w15:docId w15:val="{2BF8EE1D-0682-427F-883A-931F338A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62"/>
    <w:rPr>
      <w:rFonts w:ascii="Tahoma" w:hAnsi="Tahoma" w:cs="Tahoma"/>
      <w:sz w:val="16"/>
      <w:szCs w:val="16"/>
    </w:rPr>
  </w:style>
  <w:style w:type="paragraph" w:styleId="NormalWeb">
    <w:name w:val="Normal (Web)"/>
    <w:basedOn w:val="Normal"/>
    <w:uiPriority w:val="99"/>
    <w:unhideWhenUsed/>
    <w:rsid w:val="00692D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765F"/>
    <w:pPr>
      <w:ind w:left="720"/>
      <w:contextualSpacing/>
    </w:pPr>
  </w:style>
  <w:style w:type="paragraph" w:styleId="NoSpacing">
    <w:name w:val="No Spacing"/>
    <w:uiPriority w:val="1"/>
    <w:qFormat/>
    <w:rsid w:val="008A177E"/>
    <w:pPr>
      <w:spacing w:after="0" w:line="240" w:lineRule="auto"/>
    </w:pPr>
  </w:style>
  <w:style w:type="character" w:styleId="Hyperlink">
    <w:name w:val="Hyperlink"/>
    <w:basedOn w:val="DefaultParagraphFont"/>
    <w:uiPriority w:val="99"/>
    <w:unhideWhenUsed/>
    <w:rsid w:val="00BC657F"/>
    <w:rPr>
      <w:color w:val="0000FF" w:themeColor="hyperlink"/>
      <w:u w:val="single"/>
    </w:rPr>
  </w:style>
  <w:style w:type="character" w:customStyle="1" w:styleId="apple-converted-space">
    <w:name w:val="apple-converted-space"/>
    <w:basedOn w:val="DefaultParagraphFont"/>
    <w:rsid w:val="001F4311"/>
  </w:style>
  <w:style w:type="character" w:styleId="Emphasis">
    <w:name w:val="Emphasis"/>
    <w:basedOn w:val="DefaultParagraphFont"/>
    <w:uiPriority w:val="20"/>
    <w:qFormat/>
    <w:rsid w:val="001F4311"/>
    <w:rPr>
      <w:i/>
      <w:iCs/>
    </w:rPr>
  </w:style>
  <w:style w:type="character" w:styleId="CommentReference">
    <w:name w:val="annotation reference"/>
    <w:basedOn w:val="DefaultParagraphFont"/>
    <w:uiPriority w:val="99"/>
    <w:semiHidden/>
    <w:unhideWhenUsed/>
    <w:rsid w:val="00345591"/>
    <w:rPr>
      <w:sz w:val="16"/>
      <w:szCs w:val="16"/>
    </w:rPr>
  </w:style>
  <w:style w:type="paragraph" w:styleId="CommentText">
    <w:name w:val="annotation text"/>
    <w:basedOn w:val="Normal"/>
    <w:link w:val="CommentTextChar"/>
    <w:uiPriority w:val="99"/>
    <w:unhideWhenUsed/>
    <w:rsid w:val="00345591"/>
    <w:pPr>
      <w:spacing w:line="240" w:lineRule="auto"/>
    </w:pPr>
    <w:rPr>
      <w:sz w:val="20"/>
      <w:szCs w:val="20"/>
    </w:rPr>
  </w:style>
  <w:style w:type="character" w:customStyle="1" w:styleId="CommentTextChar">
    <w:name w:val="Comment Text Char"/>
    <w:basedOn w:val="DefaultParagraphFont"/>
    <w:link w:val="CommentText"/>
    <w:uiPriority w:val="99"/>
    <w:rsid w:val="00345591"/>
    <w:rPr>
      <w:sz w:val="20"/>
      <w:szCs w:val="20"/>
    </w:rPr>
  </w:style>
  <w:style w:type="paragraph" w:styleId="CommentSubject">
    <w:name w:val="annotation subject"/>
    <w:basedOn w:val="CommentText"/>
    <w:next w:val="CommentText"/>
    <w:link w:val="CommentSubjectChar"/>
    <w:uiPriority w:val="99"/>
    <w:semiHidden/>
    <w:unhideWhenUsed/>
    <w:rsid w:val="00B14F4F"/>
    <w:rPr>
      <w:b/>
      <w:bCs/>
    </w:rPr>
  </w:style>
  <w:style w:type="character" w:customStyle="1" w:styleId="CommentSubjectChar">
    <w:name w:val="Comment Subject Char"/>
    <w:basedOn w:val="CommentTextChar"/>
    <w:link w:val="CommentSubject"/>
    <w:uiPriority w:val="99"/>
    <w:semiHidden/>
    <w:rsid w:val="00B14F4F"/>
    <w:rPr>
      <w:b/>
      <w:bCs/>
      <w:sz w:val="20"/>
      <w:szCs w:val="20"/>
    </w:rPr>
  </w:style>
  <w:style w:type="character" w:styleId="LineNumber">
    <w:name w:val="line number"/>
    <w:basedOn w:val="DefaultParagraphFont"/>
    <w:uiPriority w:val="99"/>
    <w:semiHidden/>
    <w:unhideWhenUsed/>
    <w:rsid w:val="00DE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2695">
      <w:bodyDiv w:val="1"/>
      <w:marLeft w:val="0"/>
      <w:marRight w:val="0"/>
      <w:marTop w:val="0"/>
      <w:marBottom w:val="0"/>
      <w:divBdr>
        <w:top w:val="none" w:sz="0" w:space="0" w:color="auto"/>
        <w:left w:val="none" w:sz="0" w:space="0" w:color="auto"/>
        <w:bottom w:val="none" w:sz="0" w:space="0" w:color="auto"/>
        <w:right w:val="none" w:sz="0" w:space="0" w:color="auto"/>
      </w:divBdr>
    </w:div>
    <w:div w:id="140729823">
      <w:bodyDiv w:val="1"/>
      <w:marLeft w:val="0"/>
      <w:marRight w:val="0"/>
      <w:marTop w:val="0"/>
      <w:marBottom w:val="0"/>
      <w:divBdr>
        <w:top w:val="none" w:sz="0" w:space="0" w:color="auto"/>
        <w:left w:val="none" w:sz="0" w:space="0" w:color="auto"/>
        <w:bottom w:val="none" w:sz="0" w:space="0" w:color="auto"/>
        <w:right w:val="none" w:sz="0" w:space="0" w:color="auto"/>
      </w:divBdr>
    </w:div>
    <w:div w:id="153420889">
      <w:bodyDiv w:val="1"/>
      <w:marLeft w:val="0"/>
      <w:marRight w:val="0"/>
      <w:marTop w:val="0"/>
      <w:marBottom w:val="0"/>
      <w:divBdr>
        <w:top w:val="none" w:sz="0" w:space="0" w:color="auto"/>
        <w:left w:val="none" w:sz="0" w:space="0" w:color="auto"/>
        <w:bottom w:val="none" w:sz="0" w:space="0" w:color="auto"/>
        <w:right w:val="none" w:sz="0" w:space="0" w:color="auto"/>
      </w:divBdr>
    </w:div>
    <w:div w:id="277178593">
      <w:bodyDiv w:val="1"/>
      <w:marLeft w:val="0"/>
      <w:marRight w:val="0"/>
      <w:marTop w:val="0"/>
      <w:marBottom w:val="0"/>
      <w:divBdr>
        <w:top w:val="none" w:sz="0" w:space="0" w:color="auto"/>
        <w:left w:val="none" w:sz="0" w:space="0" w:color="auto"/>
        <w:bottom w:val="none" w:sz="0" w:space="0" w:color="auto"/>
        <w:right w:val="none" w:sz="0" w:space="0" w:color="auto"/>
      </w:divBdr>
    </w:div>
    <w:div w:id="366030967">
      <w:bodyDiv w:val="1"/>
      <w:marLeft w:val="0"/>
      <w:marRight w:val="0"/>
      <w:marTop w:val="0"/>
      <w:marBottom w:val="0"/>
      <w:divBdr>
        <w:top w:val="none" w:sz="0" w:space="0" w:color="auto"/>
        <w:left w:val="none" w:sz="0" w:space="0" w:color="auto"/>
        <w:bottom w:val="none" w:sz="0" w:space="0" w:color="auto"/>
        <w:right w:val="none" w:sz="0" w:space="0" w:color="auto"/>
      </w:divBdr>
    </w:div>
    <w:div w:id="452405753">
      <w:bodyDiv w:val="1"/>
      <w:marLeft w:val="0"/>
      <w:marRight w:val="0"/>
      <w:marTop w:val="0"/>
      <w:marBottom w:val="0"/>
      <w:divBdr>
        <w:top w:val="none" w:sz="0" w:space="0" w:color="auto"/>
        <w:left w:val="none" w:sz="0" w:space="0" w:color="auto"/>
        <w:bottom w:val="none" w:sz="0" w:space="0" w:color="auto"/>
        <w:right w:val="none" w:sz="0" w:space="0" w:color="auto"/>
      </w:divBdr>
    </w:div>
    <w:div w:id="493840197">
      <w:bodyDiv w:val="1"/>
      <w:marLeft w:val="0"/>
      <w:marRight w:val="0"/>
      <w:marTop w:val="0"/>
      <w:marBottom w:val="0"/>
      <w:divBdr>
        <w:top w:val="none" w:sz="0" w:space="0" w:color="auto"/>
        <w:left w:val="none" w:sz="0" w:space="0" w:color="auto"/>
        <w:bottom w:val="none" w:sz="0" w:space="0" w:color="auto"/>
        <w:right w:val="none" w:sz="0" w:space="0" w:color="auto"/>
      </w:divBdr>
    </w:div>
    <w:div w:id="581914212">
      <w:bodyDiv w:val="1"/>
      <w:marLeft w:val="0"/>
      <w:marRight w:val="0"/>
      <w:marTop w:val="0"/>
      <w:marBottom w:val="0"/>
      <w:divBdr>
        <w:top w:val="none" w:sz="0" w:space="0" w:color="auto"/>
        <w:left w:val="none" w:sz="0" w:space="0" w:color="auto"/>
        <w:bottom w:val="none" w:sz="0" w:space="0" w:color="auto"/>
        <w:right w:val="none" w:sz="0" w:space="0" w:color="auto"/>
      </w:divBdr>
    </w:div>
    <w:div w:id="601570757">
      <w:bodyDiv w:val="1"/>
      <w:marLeft w:val="0"/>
      <w:marRight w:val="0"/>
      <w:marTop w:val="0"/>
      <w:marBottom w:val="0"/>
      <w:divBdr>
        <w:top w:val="none" w:sz="0" w:space="0" w:color="auto"/>
        <w:left w:val="none" w:sz="0" w:space="0" w:color="auto"/>
        <w:bottom w:val="none" w:sz="0" w:space="0" w:color="auto"/>
        <w:right w:val="none" w:sz="0" w:space="0" w:color="auto"/>
      </w:divBdr>
    </w:div>
    <w:div w:id="647130560">
      <w:bodyDiv w:val="1"/>
      <w:marLeft w:val="0"/>
      <w:marRight w:val="0"/>
      <w:marTop w:val="0"/>
      <w:marBottom w:val="0"/>
      <w:divBdr>
        <w:top w:val="none" w:sz="0" w:space="0" w:color="auto"/>
        <w:left w:val="none" w:sz="0" w:space="0" w:color="auto"/>
        <w:bottom w:val="none" w:sz="0" w:space="0" w:color="auto"/>
        <w:right w:val="none" w:sz="0" w:space="0" w:color="auto"/>
      </w:divBdr>
    </w:div>
    <w:div w:id="927153857">
      <w:bodyDiv w:val="1"/>
      <w:marLeft w:val="0"/>
      <w:marRight w:val="0"/>
      <w:marTop w:val="0"/>
      <w:marBottom w:val="0"/>
      <w:divBdr>
        <w:top w:val="none" w:sz="0" w:space="0" w:color="auto"/>
        <w:left w:val="none" w:sz="0" w:space="0" w:color="auto"/>
        <w:bottom w:val="none" w:sz="0" w:space="0" w:color="auto"/>
        <w:right w:val="none" w:sz="0" w:space="0" w:color="auto"/>
      </w:divBdr>
    </w:div>
    <w:div w:id="1282421618">
      <w:bodyDiv w:val="1"/>
      <w:marLeft w:val="0"/>
      <w:marRight w:val="0"/>
      <w:marTop w:val="0"/>
      <w:marBottom w:val="0"/>
      <w:divBdr>
        <w:top w:val="none" w:sz="0" w:space="0" w:color="auto"/>
        <w:left w:val="none" w:sz="0" w:space="0" w:color="auto"/>
        <w:bottom w:val="none" w:sz="0" w:space="0" w:color="auto"/>
        <w:right w:val="none" w:sz="0" w:space="0" w:color="auto"/>
      </w:divBdr>
    </w:div>
    <w:div w:id="1548028714">
      <w:bodyDiv w:val="1"/>
      <w:marLeft w:val="0"/>
      <w:marRight w:val="0"/>
      <w:marTop w:val="0"/>
      <w:marBottom w:val="0"/>
      <w:divBdr>
        <w:top w:val="none" w:sz="0" w:space="0" w:color="auto"/>
        <w:left w:val="none" w:sz="0" w:space="0" w:color="auto"/>
        <w:bottom w:val="none" w:sz="0" w:space="0" w:color="auto"/>
        <w:right w:val="none" w:sz="0" w:space="0" w:color="auto"/>
      </w:divBdr>
    </w:div>
    <w:div w:id="1882356780">
      <w:bodyDiv w:val="1"/>
      <w:marLeft w:val="0"/>
      <w:marRight w:val="0"/>
      <w:marTop w:val="0"/>
      <w:marBottom w:val="0"/>
      <w:divBdr>
        <w:top w:val="none" w:sz="0" w:space="0" w:color="auto"/>
        <w:left w:val="none" w:sz="0" w:space="0" w:color="auto"/>
        <w:bottom w:val="none" w:sz="0" w:space="0" w:color="auto"/>
        <w:right w:val="none" w:sz="0" w:space="0" w:color="auto"/>
      </w:divBdr>
    </w:div>
    <w:div w:id="20027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 TargetMode="External"/><Relationship Id="rId5" Type="http://schemas.openxmlformats.org/officeDocument/2006/relationships/hyperlink" Target="https://www.york.ac.uk/media/che/documents/papers/researchpapers/CHERP109_cost-effectiveness_threshold_LMIC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BBD76A16.dotm</Template>
  <TotalTime>0</TotalTime>
  <Pages>13</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Paul Revill</cp:lastModifiedBy>
  <cp:revision>2</cp:revision>
  <dcterms:created xsi:type="dcterms:W3CDTF">2016-07-26T13:16:00Z</dcterms:created>
  <dcterms:modified xsi:type="dcterms:W3CDTF">2016-07-26T13:16:00Z</dcterms:modified>
</cp:coreProperties>
</file>