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87A" w:rsidRDefault="00BD187A" w:rsidP="007C3FDB">
      <w:pPr>
        <w:pStyle w:val="Heading1"/>
      </w:pPr>
    </w:p>
    <w:p w:rsidR="00BD187A" w:rsidRDefault="00BD187A" w:rsidP="007C3FDB">
      <w:pPr>
        <w:pStyle w:val="Heading1"/>
      </w:pPr>
    </w:p>
    <w:p w:rsidR="00BD187A" w:rsidRDefault="00BD187A" w:rsidP="007C3FDB">
      <w:pPr>
        <w:pStyle w:val="Heading1"/>
      </w:pPr>
    </w:p>
    <w:p w:rsidR="0041129C" w:rsidRDefault="0041129C" w:rsidP="00706FDF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Which numbers do you have in mind?</w:t>
      </w:r>
      <w:r w:rsidR="007C3FDB" w:rsidRPr="00706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C3FDB" w:rsidRPr="00706FDF" w:rsidRDefault="007C3FDB" w:rsidP="00706FDF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6FDF">
        <w:rPr>
          <w:rFonts w:ascii="Times New Roman" w:hAnsi="Times New Roman" w:cs="Times New Roman"/>
          <w:color w:val="000000" w:themeColor="text1"/>
          <w:sz w:val="24"/>
          <w:szCs w:val="24"/>
        </w:rPr>
        <w:t>Number generation is influenced by reading direction</w:t>
      </w:r>
    </w:p>
    <w:p w:rsidR="007C3FDB" w:rsidRPr="007C3FDB" w:rsidRDefault="007C3FDB" w:rsidP="00BD187A">
      <w:pPr>
        <w:jc w:val="center"/>
      </w:pPr>
    </w:p>
    <w:p w:rsidR="007C3FDB" w:rsidRPr="007C3FDB" w:rsidRDefault="006154A9" w:rsidP="00BD187A">
      <w:pPr>
        <w:pStyle w:val="BodyText"/>
        <w:tabs>
          <w:tab w:val="center" w:pos="4680"/>
        </w:tabs>
        <w:ind w:firstLine="0"/>
        <w:jc w:val="center"/>
      </w:pPr>
      <w:r w:rsidRPr="007C3FDB">
        <w:t>Silke M. Göbel¹</w:t>
      </w:r>
      <w:r>
        <w:t xml:space="preserve">, </w:t>
      </w:r>
      <w:proofErr w:type="spellStart"/>
      <w:r w:rsidR="007C3FDB" w:rsidRPr="007C3FDB">
        <w:t>Carolin</w:t>
      </w:r>
      <w:proofErr w:type="spellEnd"/>
      <w:r w:rsidR="007C3FDB" w:rsidRPr="007C3FDB">
        <w:t xml:space="preserve"> A. Maier¹</w:t>
      </w:r>
      <w:proofErr w:type="gramStart"/>
      <w:r w:rsidR="007C3FDB" w:rsidRPr="00BD187A">
        <w:rPr>
          <w:vertAlign w:val="superscript"/>
        </w:rPr>
        <w:t>,</w:t>
      </w:r>
      <w:r>
        <w:t>²</w:t>
      </w:r>
      <w:proofErr w:type="gramEnd"/>
      <w:r w:rsidR="007C3FDB" w:rsidRPr="007C3FDB">
        <w:t>, Samuel Shaki³</w:t>
      </w:r>
    </w:p>
    <w:p w:rsidR="00F10C13" w:rsidRPr="007C3FDB" w:rsidRDefault="007C3FDB" w:rsidP="00BD3FFB">
      <w:pPr>
        <w:pStyle w:val="BodyText"/>
        <w:tabs>
          <w:tab w:val="center" w:pos="4680"/>
        </w:tabs>
        <w:ind w:firstLine="0"/>
        <w:jc w:val="center"/>
      </w:pPr>
      <w:r w:rsidRPr="007C3FDB">
        <w:t xml:space="preserve">¹University of York, UK  ²University of </w:t>
      </w:r>
      <w:proofErr w:type="spellStart"/>
      <w:r w:rsidRPr="007C3FDB">
        <w:t>Tübingen</w:t>
      </w:r>
      <w:proofErr w:type="spellEnd"/>
      <w:r w:rsidRPr="007C3FDB">
        <w:t xml:space="preserve">, Germany ³Ariel </w:t>
      </w:r>
      <w:r w:rsidR="00BD3FFB">
        <w:t>University</w:t>
      </w:r>
      <w:r w:rsidRPr="007C3FDB">
        <w:t>, Israel</w:t>
      </w:r>
    </w:p>
    <w:p w:rsidR="007C3FDB" w:rsidRPr="007C3FDB" w:rsidRDefault="007C3FDB" w:rsidP="00BD187A">
      <w:pPr>
        <w:pStyle w:val="BodyText"/>
        <w:tabs>
          <w:tab w:val="center" w:pos="4680"/>
        </w:tabs>
        <w:ind w:firstLine="0"/>
        <w:jc w:val="center"/>
      </w:pPr>
    </w:p>
    <w:p w:rsidR="004E3C03" w:rsidRDefault="004E3C03" w:rsidP="007C3FDB">
      <w:pPr>
        <w:pStyle w:val="BodyText"/>
        <w:tabs>
          <w:tab w:val="center" w:pos="4680"/>
        </w:tabs>
        <w:ind w:firstLine="0"/>
        <w:jc w:val="center"/>
        <w:rPr>
          <w:b/>
        </w:rPr>
      </w:pPr>
    </w:p>
    <w:p w:rsidR="004E3C03" w:rsidRDefault="004E3C03" w:rsidP="007C3FDB">
      <w:pPr>
        <w:pStyle w:val="BodyText"/>
        <w:tabs>
          <w:tab w:val="center" w:pos="4680"/>
        </w:tabs>
        <w:ind w:firstLine="0"/>
        <w:jc w:val="center"/>
        <w:rPr>
          <w:b/>
        </w:rPr>
      </w:pPr>
    </w:p>
    <w:p w:rsidR="004E3C03" w:rsidRDefault="004E3C03" w:rsidP="007C3FDB">
      <w:pPr>
        <w:pStyle w:val="BodyText"/>
        <w:tabs>
          <w:tab w:val="center" w:pos="4680"/>
        </w:tabs>
        <w:ind w:firstLine="0"/>
        <w:jc w:val="center"/>
        <w:rPr>
          <w:b/>
        </w:rPr>
      </w:pPr>
    </w:p>
    <w:p w:rsidR="004E3C03" w:rsidRDefault="004E3C03" w:rsidP="007C3FDB">
      <w:pPr>
        <w:pStyle w:val="BodyText"/>
        <w:tabs>
          <w:tab w:val="center" w:pos="4680"/>
        </w:tabs>
        <w:ind w:firstLine="0"/>
        <w:jc w:val="center"/>
        <w:rPr>
          <w:b/>
        </w:rPr>
      </w:pPr>
    </w:p>
    <w:p w:rsidR="004E3C03" w:rsidRDefault="004E3C03" w:rsidP="007C3FDB">
      <w:pPr>
        <w:pStyle w:val="BodyText"/>
        <w:tabs>
          <w:tab w:val="center" w:pos="4680"/>
        </w:tabs>
        <w:ind w:firstLine="0"/>
        <w:jc w:val="center"/>
        <w:rPr>
          <w:b/>
        </w:rPr>
      </w:pPr>
    </w:p>
    <w:p w:rsidR="009E0329" w:rsidRDefault="009E0329" w:rsidP="007F2802">
      <w:pPr>
        <w:pStyle w:val="BodyText"/>
        <w:tabs>
          <w:tab w:val="center" w:pos="4680"/>
        </w:tabs>
        <w:spacing w:line="240" w:lineRule="auto"/>
        <w:ind w:firstLine="0"/>
        <w:rPr>
          <w:b/>
        </w:rPr>
      </w:pPr>
    </w:p>
    <w:p w:rsidR="004E3C03" w:rsidRDefault="007F2802" w:rsidP="007F2802">
      <w:pPr>
        <w:pStyle w:val="BodyText"/>
        <w:tabs>
          <w:tab w:val="center" w:pos="4680"/>
        </w:tabs>
        <w:spacing w:line="240" w:lineRule="auto"/>
        <w:ind w:firstLine="0"/>
        <w:rPr>
          <w:b/>
        </w:rPr>
      </w:pPr>
      <w:r>
        <w:rPr>
          <w:b/>
        </w:rPr>
        <w:t>Corresponding author:</w:t>
      </w:r>
    </w:p>
    <w:p w:rsidR="007F2802" w:rsidRDefault="007F2802" w:rsidP="007F2802">
      <w:pPr>
        <w:pStyle w:val="BodyText"/>
        <w:tabs>
          <w:tab w:val="center" w:pos="4680"/>
        </w:tabs>
        <w:spacing w:line="240" w:lineRule="auto"/>
        <w:ind w:firstLine="0"/>
        <w:rPr>
          <w:b/>
        </w:rPr>
      </w:pPr>
    </w:p>
    <w:p w:rsidR="007F2802" w:rsidRPr="007F2802" w:rsidRDefault="007F2802" w:rsidP="007F2802">
      <w:pPr>
        <w:pStyle w:val="BodyText"/>
        <w:tabs>
          <w:tab w:val="center" w:pos="4680"/>
        </w:tabs>
        <w:spacing w:line="240" w:lineRule="auto"/>
        <w:ind w:firstLine="0"/>
      </w:pPr>
      <w:r w:rsidRPr="007F2802">
        <w:t>Silke M. Göbel</w:t>
      </w:r>
    </w:p>
    <w:p w:rsidR="007F2802" w:rsidRPr="007F2802" w:rsidRDefault="007F2802" w:rsidP="007F2802">
      <w:pPr>
        <w:pStyle w:val="BodyText"/>
        <w:tabs>
          <w:tab w:val="center" w:pos="4680"/>
        </w:tabs>
        <w:spacing w:line="240" w:lineRule="auto"/>
        <w:ind w:firstLine="0"/>
      </w:pPr>
      <w:r w:rsidRPr="007F2802">
        <w:t>Department of Psychology</w:t>
      </w:r>
    </w:p>
    <w:p w:rsidR="007F2802" w:rsidRPr="007F2802" w:rsidRDefault="007F2802" w:rsidP="007F2802">
      <w:pPr>
        <w:pStyle w:val="BodyText"/>
        <w:tabs>
          <w:tab w:val="center" w:pos="4680"/>
        </w:tabs>
        <w:spacing w:line="240" w:lineRule="auto"/>
        <w:ind w:firstLine="0"/>
      </w:pPr>
      <w:r w:rsidRPr="007F2802">
        <w:t>University of York</w:t>
      </w:r>
    </w:p>
    <w:p w:rsidR="007F2802" w:rsidRPr="007F2802" w:rsidRDefault="007F2802" w:rsidP="007F2802">
      <w:pPr>
        <w:pStyle w:val="BodyText"/>
        <w:tabs>
          <w:tab w:val="center" w:pos="4680"/>
        </w:tabs>
        <w:spacing w:line="240" w:lineRule="auto"/>
        <w:ind w:firstLine="0"/>
      </w:pPr>
      <w:proofErr w:type="spellStart"/>
      <w:r w:rsidRPr="007F2802">
        <w:t>Heslington</w:t>
      </w:r>
      <w:proofErr w:type="spellEnd"/>
    </w:p>
    <w:p w:rsidR="007F2802" w:rsidRPr="007F2802" w:rsidRDefault="007F2802" w:rsidP="007F2802">
      <w:pPr>
        <w:pStyle w:val="BodyText"/>
        <w:tabs>
          <w:tab w:val="center" w:pos="4680"/>
        </w:tabs>
        <w:spacing w:line="240" w:lineRule="auto"/>
        <w:ind w:firstLine="0"/>
      </w:pPr>
      <w:r w:rsidRPr="007F2802">
        <w:t>York YO10 5DD</w:t>
      </w:r>
    </w:p>
    <w:p w:rsidR="007F2802" w:rsidRPr="007F2802" w:rsidRDefault="007F2802" w:rsidP="007F2802">
      <w:pPr>
        <w:pStyle w:val="BodyText"/>
        <w:tabs>
          <w:tab w:val="center" w:pos="4680"/>
        </w:tabs>
        <w:spacing w:line="240" w:lineRule="auto"/>
        <w:ind w:firstLine="0"/>
      </w:pPr>
      <w:r w:rsidRPr="007F2802">
        <w:t>silke.goebel@york.ac.uk</w:t>
      </w:r>
    </w:p>
    <w:p w:rsidR="004E3C03" w:rsidRDefault="004E3C03" w:rsidP="007C3FDB">
      <w:pPr>
        <w:pStyle w:val="BodyText"/>
        <w:tabs>
          <w:tab w:val="center" w:pos="4680"/>
        </w:tabs>
        <w:ind w:firstLine="0"/>
        <w:jc w:val="center"/>
        <w:rPr>
          <w:b/>
        </w:rPr>
      </w:pPr>
    </w:p>
    <w:p w:rsidR="004E3C03" w:rsidRDefault="004E3C03" w:rsidP="009E0329">
      <w:pPr>
        <w:pStyle w:val="BodyText"/>
        <w:tabs>
          <w:tab w:val="center" w:pos="4680"/>
        </w:tabs>
        <w:ind w:firstLine="0"/>
        <w:rPr>
          <w:b/>
        </w:rPr>
      </w:pPr>
    </w:p>
    <w:p w:rsidR="00EF0AD9" w:rsidRPr="00EF0AD9" w:rsidRDefault="009E0329" w:rsidP="00EF0AD9">
      <w:pPr>
        <w:pStyle w:val="BodyText"/>
        <w:tabs>
          <w:tab w:val="center" w:pos="4680"/>
        </w:tabs>
        <w:spacing w:line="240" w:lineRule="auto"/>
        <w:ind w:firstLine="0"/>
      </w:pPr>
      <w:r w:rsidRPr="00EF0AD9">
        <w:rPr>
          <w:u w:val="single"/>
        </w:rPr>
        <w:t>Word count</w:t>
      </w:r>
      <w:bookmarkStart w:id="0" w:name="_GoBack"/>
      <w:r w:rsidRPr="00EF0AD9">
        <w:rPr>
          <w:u w:val="single"/>
        </w:rPr>
        <w:t>:</w:t>
      </w:r>
      <w:r w:rsidR="00EF0AD9" w:rsidRPr="00EF0AD9">
        <w:t xml:space="preserve"> </w:t>
      </w:r>
      <w:r w:rsidR="00C416EF" w:rsidRPr="00EF0AD9">
        <w:t>2</w:t>
      </w:r>
      <w:r w:rsidR="00C416EF">
        <w:t>492</w:t>
      </w:r>
      <w:r w:rsidR="00C416EF" w:rsidRPr="00EF0AD9">
        <w:t xml:space="preserve"> </w:t>
      </w:r>
      <w:r w:rsidR="00EF0AD9" w:rsidRPr="00EF0AD9">
        <w:t>(</w:t>
      </w:r>
      <w:r w:rsidR="00EF0AD9">
        <w:t xml:space="preserve">all </w:t>
      </w:r>
      <w:bookmarkEnd w:id="0"/>
      <w:r w:rsidR="00EF0AD9">
        <w:t xml:space="preserve">text &amp; references, except </w:t>
      </w:r>
      <w:r w:rsidR="00EF0AD9" w:rsidRPr="00EF0AD9">
        <w:t xml:space="preserve">cover page &amp; </w:t>
      </w:r>
      <w:r w:rsidR="00EF0AD9">
        <w:t>a</w:t>
      </w:r>
      <w:r w:rsidR="00EF0AD9" w:rsidRPr="00EF0AD9">
        <w:t>cknowledgements</w:t>
      </w:r>
      <w:r w:rsidR="00EF0AD9">
        <w:t>)</w:t>
      </w:r>
    </w:p>
    <w:p w:rsidR="009E0329" w:rsidRDefault="009E0329" w:rsidP="009E0329">
      <w:pPr>
        <w:pStyle w:val="BodyText"/>
        <w:tabs>
          <w:tab w:val="center" w:pos="4680"/>
        </w:tabs>
        <w:ind w:firstLine="0"/>
        <w:rPr>
          <w:b/>
        </w:rPr>
      </w:pPr>
    </w:p>
    <w:p w:rsidR="004E3C03" w:rsidRDefault="004E3C03" w:rsidP="007C3FDB">
      <w:pPr>
        <w:pStyle w:val="BodyText"/>
        <w:tabs>
          <w:tab w:val="center" w:pos="4680"/>
        </w:tabs>
        <w:ind w:firstLine="0"/>
        <w:jc w:val="center"/>
        <w:rPr>
          <w:b/>
        </w:rPr>
      </w:pPr>
    </w:p>
    <w:p w:rsidR="00BD187A" w:rsidRDefault="00BD187A" w:rsidP="00BD187A">
      <w:pPr>
        <w:pStyle w:val="BodyText"/>
        <w:tabs>
          <w:tab w:val="center" w:pos="4680"/>
        </w:tabs>
        <w:ind w:firstLine="0"/>
        <w:rPr>
          <w:b/>
        </w:rPr>
      </w:pPr>
    </w:p>
    <w:p w:rsidR="004E3C03" w:rsidRDefault="004E3C03" w:rsidP="007C3FDB">
      <w:pPr>
        <w:pStyle w:val="BodyText"/>
        <w:tabs>
          <w:tab w:val="center" w:pos="4680"/>
        </w:tabs>
        <w:ind w:firstLine="0"/>
        <w:jc w:val="center"/>
        <w:rPr>
          <w:b/>
        </w:rPr>
      </w:pPr>
    </w:p>
    <w:p w:rsidR="007C3FDB" w:rsidRPr="007C3FDB" w:rsidRDefault="007C3FDB" w:rsidP="007C3FDB">
      <w:pPr>
        <w:pStyle w:val="BodyText"/>
        <w:tabs>
          <w:tab w:val="center" w:pos="4680"/>
        </w:tabs>
        <w:ind w:firstLine="0"/>
        <w:jc w:val="center"/>
        <w:rPr>
          <w:b/>
        </w:rPr>
      </w:pPr>
      <w:r w:rsidRPr="007C3FDB">
        <w:rPr>
          <w:b/>
        </w:rPr>
        <w:t>Abstract</w:t>
      </w:r>
    </w:p>
    <w:p w:rsidR="007C3FDB" w:rsidRDefault="007C3FDB" w:rsidP="007C3FDB">
      <w:pPr>
        <w:pStyle w:val="BodyText"/>
        <w:tabs>
          <w:tab w:val="center" w:pos="4680"/>
        </w:tabs>
        <w:ind w:firstLine="0"/>
      </w:pPr>
      <w:r w:rsidRPr="007C3FDB">
        <w:t xml:space="preserve">In Western participants small numbers are associated with left and larger numbers with right space. A biological account proposes that brain asymmetries lead to these </w:t>
      </w:r>
      <w:proofErr w:type="spellStart"/>
      <w:r w:rsidRPr="007C3FDB">
        <w:t>attentional</w:t>
      </w:r>
      <w:proofErr w:type="spellEnd"/>
      <w:r w:rsidRPr="007C3FDB">
        <w:t xml:space="preserve"> asymmetries in number space. In contrast, a cultural account proposes that the direction of this association is shaped by reading direction. We explored whether number generation is influenced by reading direction in </w:t>
      </w:r>
      <w:r w:rsidR="00EA5A34">
        <w:t>participants</w:t>
      </w:r>
      <w:r w:rsidR="00996605" w:rsidRPr="007C3FDB">
        <w:t xml:space="preserve"> </w:t>
      </w:r>
      <w:r w:rsidRPr="007C3FDB">
        <w:t xml:space="preserve">from a left-to-right (UK) </w:t>
      </w:r>
      <w:r w:rsidR="000463BE">
        <w:t>and</w:t>
      </w:r>
      <w:r w:rsidRPr="007C3FDB">
        <w:t xml:space="preserve"> a right-to-left </w:t>
      </w:r>
      <w:r w:rsidR="000463BE">
        <w:t xml:space="preserve">(Arab) </w:t>
      </w:r>
      <w:r w:rsidRPr="007C3FDB">
        <w:t xml:space="preserve">reading culture. </w:t>
      </w:r>
      <w:r>
        <w:t xml:space="preserve">Participants </w:t>
      </w:r>
      <w:r w:rsidR="00CE3E61">
        <w:t>generated numbers randomly while l</w:t>
      </w:r>
      <w:r>
        <w:t>y</w:t>
      </w:r>
      <w:r w:rsidR="00CE3E61">
        <w:t>ing</w:t>
      </w:r>
      <w:r>
        <w:t xml:space="preserve"> on their left</w:t>
      </w:r>
      <w:r w:rsidR="0027793D">
        <w:t xml:space="preserve"> </w:t>
      </w:r>
      <w:r w:rsidR="005976F2">
        <w:t>and</w:t>
      </w:r>
      <w:r>
        <w:t xml:space="preserve"> right side. </w:t>
      </w:r>
      <w:r w:rsidR="005976F2">
        <w:t>T</w:t>
      </w:r>
      <w:r>
        <w:t xml:space="preserve">he mean number generated by </w:t>
      </w:r>
      <w:r w:rsidR="00E561A8">
        <w:t>participants</w:t>
      </w:r>
      <w:r>
        <w:t xml:space="preserve"> from a left-to-right reading culture was smaller when they lay on their left than on their right side, the opposite was found for </w:t>
      </w:r>
      <w:r w:rsidR="00E561A8">
        <w:t>participants</w:t>
      </w:r>
      <w:r>
        <w:t xml:space="preserve"> from a right-to-left reading culture.</w:t>
      </w:r>
      <w:r w:rsidRPr="003A499A">
        <w:t xml:space="preserve"> </w:t>
      </w:r>
      <w:r>
        <w:t>Asymmetries in number space observed in number generation are more compatible with a cultural than biological account.</w:t>
      </w:r>
    </w:p>
    <w:p w:rsidR="007C387B" w:rsidRDefault="007C387B" w:rsidP="007C3FDB">
      <w:pPr>
        <w:pStyle w:val="BodyText"/>
        <w:tabs>
          <w:tab w:val="center" w:pos="4680"/>
        </w:tabs>
        <w:ind w:firstLine="0"/>
      </w:pPr>
    </w:p>
    <w:p w:rsidR="007C387B" w:rsidRPr="006E3EC1" w:rsidRDefault="007C387B" w:rsidP="007C3FDB">
      <w:pPr>
        <w:pStyle w:val="BodyText"/>
        <w:tabs>
          <w:tab w:val="center" w:pos="4680"/>
        </w:tabs>
        <w:ind w:firstLine="0"/>
      </w:pPr>
      <w:r w:rsidRPr="007C387B">
        <w:rPr>
          <w:u w:val="single"/>
        </w:rPr>
        <w:t>Keywords</w:t>
      </w:r>
      <w:r w:rsidRPr="006E3EC1">
        <w:rPr>
          <w:u w:val="single"/>
        </w:rPr>
        <w:t>:</w:t>
      </w:r>
      <w:r w:rsidR="006E3EC1" w:rsidRPr="006E3EC1">
        <w:t xml:space="preserve"> numerical cognition, spatial cognition, mental number line, cross-cultural</w:t>
      </w:r>
      <w:r w:rsidR="00775FAE">
        <w:t>, cognitive development</w:t>
      </w:r>
    </w:p>
    <w:p w:rsidR="007C3FDB" w:rsidRDefault="007C3FDB" w:rsidP="007C3FDB">
      <w:pPr>
        <w:pStyle w:val="BodyText"/>
        <w:tabs>
          <w:tab w:val="center" w:pos="4680"/>
        </w:tabs>
        <w:ind w:firstLine="0"/>
      </w:pPr>
    </w:p>
    <w:p w:rsidR="000E0938" w:rsidRDefault="000E0938">
      <w:pPr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b/>
        </w:rPr>
        <w:br w:type="page"/>
      </w:r>
    </w:p>
    <w:p w:rsidR="00996605" w:rsidRDefault="00996605" w:rsidP="000E0938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Which numbers do you have in mind?</w:t>
      </w:r>
      <w:r w:rsidR="000E0938" w:rsidRPr="000E09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E0938" w:rsidRPr="000E0938" w:rsidRDefault="000E0938" w:rsidP="000E0938">
      <w:pPr>
        <w:pStyle w:val="Heading1"/>
        <w:spacing w:before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0938">
        <w:rPr>
          <w:rFonts w:ascii="Times New Roman" w:hAnsi="Times New Roman" w:cs="Times New Roman"/>
          <w:color w:val="000000" w:themeColor="text1"/>
          <w:sz w:val="24"/>
          <w:szCs w:val="24"/>
        </w:rPr>
        <w:t>Number generation is influenced by reading direction</w:t>
      </w:r>
    </w:p>
    <w:p w:rsidR="00CE3E61" w:rsidRDefault="00CE3E61" w:rsidP="009D18AF">
      <w:pPr>
        <w:pStyle w:val="BodyText"/>
        <w:tabs>
          <w:tab w:val="center" w:pos="4680"/>
        </w:tabs>
        <w:ind w:firstLine="0"/>
      </w:pPr>
      <w:r>
        <w:t>S</w:t>
      </w:r>
      <w:r w:rsidR="009D18AF">
        <w:t xml:space="preserve">patially directional </w:t>
      </w:r>
      <w:r w:rsidR="009D18AF" w:rsidRPr="00116D4E">
        <w:t>motor actions</w:t>
      </w:r>
      <w:r>
        <w:t xml:space="preserve"> can influence higher cognition, for example </w:t>
      </w:r>
      <w:r w:rsidR="009D18AF">
        <w:t>number ge</w:t>
      </w:r>
      <w:r>
        <w:t xml:space="preserve">neration. Leftward </w:t>
      </w:r>
      <w:proofErr w:type="spellStart"/>
      <w:r>
        <w:t>headturns</w:t>
      </w:r>
      <w:proofErr w:type="spellEnd"/>
      <w:r>
        <w:t xml:space="preserve"> le</w:t>
      </w:r>
      <w:r w:rsidR="009D18AF">
        <w:t xml:space="preserve">d to smaller numbers being generated than rightward </w:t>
      </w:r>
      <w:proofErr w:type="spellStart"/>
      <w:r w:rsidR="009D18AF">
        <w:t>headturn</w:t>
      </w:r>
      <w:r>
        <w:t>s</w:t>
      </w:r>
      <w:proofErr w:type="spellEnd"/>
      <w:r w:rsidR="009D18AF">
        <w:t xml:space="preserve"> (</w:t>
      </w:r>
      <w:r w:rsidR="00783E92" w:rsidRPr="008241B4">
        <w:rPr>
          <w:lang w:val="de-DE"/>
        </w:rPr>
        <w:t>Loetscher</w:t>
      </w:r>
      <w:r w:rsidR="00EA5A34">
        <w:rPr>
          <w:lang w:val="de-DE"/>
        </w:rPr>
        <w:t xml:space="preserve"> et al.</w:t>
      </w:r>
      <w:r w:rsidR="00783E92">
        <w:rPr>
          <w:lang w:val="de-DE"/>
        </w:rPr>
        <w:t xml:space="preserve">, </w:t>
      </w:r>
      <w:r w:rsidR="00783E92" w:rsidRPr="008241B4">
        <w:rPr>
          <w:lang w:val="de-DE"/>
        </w:rPr>
        <w:t>2008</w:t>
      </w:r>
      <w:r w:rsidR="009D18AF">
        <w:t>), leftward passive movement o</w:t>
      </w:r>
      <w:r>
        <w:t>f participants facilitated</w:t>
      </w:r>
      <w:r w:rsidR="009D18AF">
        <w:t xml:space="preserve"> smaller number generation (</w:t>
      </w:r>
      <w:r w:rsidR="00F4153D">
        <w:rPr>
          <w:lang w:val="de-DE"/>
        </w:rPr>
        <w:t xml:space="preserve">Hartmann, Grabherr, &amp; Mast, </w:t>
      </w:r>
      <w:r w:rsidR="00F4153D" w:rsidRPr="008241B4">
        <w:rPr>
          <w:lang w:val="de-DE"/>
        </w:rPr>
        <w:t>2012</w:t>
      </w:r>
      <w:r w:rsidR="009D18AF">
        <w:t>) and</w:t>
      </w:r>
      <w:r>
        <w:t xml:space="preserve"> turning left when walking led</w:t>
      </w:r>
      <w:r w:rsidR="009D18AF">
        <w:t xml:space="preserve"> to smaller numbers being generated (</w:t>
      </w:r>
      <w:proofErr w:type="spellStart"/>
      <w:r w:rsidR="002E226F">
        <w:t>Shaki</w:t>
      </w:r>
      <w:proofErr w:type="spellEnd"/>
      <w:r w:rsidR="002E226F">
        <w:t xml:space="preserve"> &amp; Fischer, 2014</w:t>
      </w:r>
      <w:r w:rsidR="009D18AF">
        <w:t xml:space="preserve">). These effects are </w:t>
      </w:r>
      <w:r>
        <w:t xml:space="preserve">further </w:t>
      </w:r>
      <w:r w:rsidR="009D18AF">
        <w:t xml:space="preserve">examples of </w:t>
      </w:r>
      <w:r>
        <w:t>the well-known association between space and number. The most famous spatial numerical association (SNA) is</w:t>
      </w:r>
      <w:r w:rsidR="009D18AF">
        <w:t xml:space="preserve"> the SNARC effect (</w:t>
      </w:r>
      <w:proofErr w:type="spellStart"/>
      <w:r w:rsidR="009D18AF">
        <w:t>Dehaene</w:t>
      </w:r>
      <w:proofErr w:type="spellEnd"/>
      <w:r w:rsidR="009D18AF">
        <w:t xml:space="preserve">, </w:t>
      </w:r>
      <w:proofErr w:type="spellStart"/>
      <w:r w:rsidR="009D18AF">
        <w:t>Bossini</w:t>
      </w:r>
      <w:proofErr w:type="spellEnd"/>
      <w:r w:rsidR="009D18AF">
        <w:t xml:space="preserve">, &amp; </w:t>
      </w:r>
      <w:proofErr w:type="spellStart"/>
      <w:r w:rsidR="009D18AF">
        <w:t>Giraux</w:t>
      </w:r>
      <w:proofErr w:type="spellEnd"/>
      <w:r w:rsidR="009D18AF">
        <w:t xml:space="preserve">, 1993): in parity judgment participants are faster to respond with the left to small and the right hand to larger numbers. </w:t>
      </w:r>
    </w:p>
    <w:p w:rsidR="006079A2" w:rsidRDefault="006079A2" w:rsidP="009D18AF">
      <w:pPr>
        <w:pStyle w:val="BodyText"/>
        <w:tabs>
          <w:tab w:val="center" w:pos="4680"/>
        </w:tabs>
        <w:ind w:firstLine="0"/>
      </w:pPr>
    </w:p>
    <w:p w:rsidR="009D18AF" w:rsidRDefault="009D18AF" w:rsidP="00CC3EFE">
      <w:pPr>
        <w:pStyle w:val="BodyText"/>
        <w:tabs>
          <w:tab w:val="center" w:pos="4680"/>
        </w:tabs>
        <w:ind w:firstLine="0"/>
      </w:pPr>
      <w:r>
        <w:t xml:space="preserve">The </w:t>
      </w:r>
      <w:r w:rsidRPr="00E62BFB">
        <w:rPr>
          <w:i/>
        </w:rPr>
        <w:t>biological account</w:t>
      </w:r>
      <w:r w:rsidRPr="007C3FDB">
        <w:t xml:space="preserve"> </w:t>
      </w:r>
      <w:r w:rsidR="008A2726">
        <w:t xml:space="preserve">of SNAs </w:t>
      </w:r>
      <w:r w:rsidRPr="007C3FDB">
        <w:t xml:space="preserve">proposes that </w:t>
      </w:r>
      <w:r>
        <w:t xml:space="preserve">innate </w:t>
      </w:r>
      <w:r w:rsidRPr="007C3FDB">
        <w:t xml:space="preserve">brain asymmetries lead to </w:t>
      </w:r>
      <w:proofErr w:type="spellStart"/>
      <w:r w:rsidRPr="007C3FDB">
        <w:t>attentional</w:t>
      </w:r>
      <w:proofErr w:type="spellEnd"/>
      <w:r w:rsidRPr="007C3FDB">
        <w:t xml:space="preserve"> asymmetries in number space. </w:t>
      </w:r>
      <w:r w:rsidR="00190558">
        <w:t xml:space="preserve">Support for this account comes from </w:t>
      </w:r>
      <w:r w:rsidR="00996605">
        <w:t>n</w:t>
      </w:r>
      <w:r w:rsidR="002E226F">
        <w:t xml:space="preserve">eglect patients </w:t>
      </w:r>
      <w:r w:rsidR="00190558">
        <w:t xml:space="preserve">who </w:t>
      </w:r>
      <w:r w:rsidR="002E226F">
        <w:t>show</w:t>
      </w:r>
      <w:r>
        <w:t xml:space="preserve"> shifts in number bisection towards larger numbers after a right hemisphere lesion (</w:t>
      </w:r>
      <w:r w:rsidR="0045103D">
        <w:rPr>
          <w:lang w:val="de-DE"/>
        </w:rPr>
        <w:t>Zorzi, Priftis,</w:t>
      </w:r>
      <w:r w:rsidR="0045103D" w:rsidRPr="006A2A62">
        <w:rPr>
          <w:lang w:val="de-DE"/>
        </w:rPr>
        <w:t xml:space="preserve"> &amp; Umiltà</w:t>
      </w:r>
      <w:r w:rsidR="0045103D">
        <w:rPr>
          <w:lang w:val="de-DE"/>
        </w:rPr>
        <w:t>, 2002</w:t>
      </w:r>
      <w:r>
        <w:t>)</w:t>
      </w:r>
      <w:r w:rsidR="00996605">
        <w:t>,</w:t>
      </w:r>
      <w:r>
        <w:t xml:space="preserve"> </w:t>
      </w:r>
      <w:r w:rsidR="002E226F">
        <w:t xml:space="preserve">healthy participants </w:t>
      </w:r>
      <w:r w:rsidR="00996605">
        <w:t>who</w:t>
      </w:r>
      <w:r w:rsidR="00190558">
        <w:t xml:space="preserve"> </w:t>
      </w:r>
      <w:r w:rsidR="002E226F">
        <w:t>generate</w:t>
      </w:r>
      <w:r>
        <w:t xml:space="preserve"> smaller numbers during a task that increases right hemisphere activation (</w:t>
      </w:r>
      <w:proofErr w:type="spellStart"/>
      <w:r>
        <w:t>Loetscher</w:t>
      </w:r>
      <w:proofErr w:type="spellEnd"/>
      <w:r>
        <w:t xml:space="preserve"> </w:t>
      </w:r>
      <w:r w:rsidR="00267553">
        <w:t xml:space="preserve">&amp; </w:t>
      </w:r>
      <w:proofErr w:type="spellStart"/>
      <w:r w:rsidR="00267553">
        <w:t>Brugger</w:t>
      </w:r>
      <w:proofErr w:type="spellEnd"/>
      <w:r>
        <w:t>, 2007)</w:t>
      </w:r>
      <w:r w:rsidR="00190558">
        <w:t xml:space="preserve">, and  </w:t>
      </w:r>
      <w:r w:rsidR="00996605">
        <w:t xml:space="preserve">3-day-old </w:t>
      </w:r>
      <w:r w:rsidR="00190558">
        <w:t xml:space="preserve">chicks </w:t>
      </w:r>
      <w:r w:rsidR="00996605">
        <w:t xml:space="preserve">who prefer small </w:t>
      </w:r>
      <w:proofErr w:type="spellStart"/>
      <w:r w:rsidR="00996605">
        <w:t>numerosities</w:t>
      </w:r>
      <w:proofErr w:type="spellEnd"/>
      <w:r w:rsidR="00996605">
        <w:t xml:space="preserve"> on the left side </w:t>
      </w:r>
      <w:r w:rsidR="00190558">
        <w:t>(</w:t>
      </w:r>
      <w:proofErr w:type="spellStart"/>
      <w:r w:rsidR="00190558">
        <w:t>Rugani</w:t>
      </w:r>
      <w:proofErr w:type="spellEnd"/>
      <w:r w:rsidR="00190558">
        <w:t xml:space="preserve">, </w:t>
      </w:r>
      <w:proofErr w:type="spellStart"/>
      <w:r w:rsidR="00190558">
        <w:t>Vallortigara</w:t>
      </w:r>
      <w:proofErr w:type="spellEnd"/>
      <w:r w:rsidR="00190558">
        <w:t xml:space="preserve">, </w:t>
      </w:r>
      <w:proofErr w:type="spellStart"/>
      <w:r w:rsidR="00190558">
        <w:t>Priftis</w:t>
      </w:r>
      <w:proofErr w:type="spellEnd"/>
      <w:r w:rsidR="00190558">
        <w:t xml:space="preserve">, &amp; </w:t>
      </w:r>
      <w:proofErr w:type="spellStart"/>
      <w:r w:rsidR="00190558">
        <w:t>Regolin</w:t>
      </w:r>
      <w:proofErr w:type="spellEnd"/>
      <w:r w:rsidR="00190558">
        <w:t xml:space="preserve">, </w:t>
      </w:r>
      <w:r w:rsidR="00190558" w:rsidRPr="007C3FDB">
        <w:t>2</w:t>
      </w:r>
      <w:r w:rsidR="00190558">
        <w:t>015)</w:t>
      </w:r>
      <w:r>
        <w:t>.</w:t>
      </w:r>
    </w:p>
    <w:p w:rsidR="009D18AF" w:rsidRDefault="009D18AF" w:rsidP="009D18AF">
      <w:pPr>
        <w:pStyle w:val="BodyText"/>
        <w:tabs>
          <w:tab w:val="center" w:pos="4680"/>
        </w:tabs>
        <w:ind w:firstLine="0"/>
      </w:pPr>
    </w:p>
    <w:p w:rsidR="00695D9D" w:rsidRDefault="009D18AF" w:rsidP="00471274">
      <w:pPr>
        <w:pStyle w:val="BodyText"/>
        <w:tabs>
          <w:tab w:val="center" w:pos="4680"/>
        </w:tabs>
        <w:ind w:firstLine="0"/>
      </w:pPr>
      <w:r w:rsidRPr="007C3FDB">
        <w:t xml:space="preserve">In contrast, a </w:t>
      </w:r>
      <w:r w:rsidRPr="008335DF">
        <w:rPr>
          <w:i/>
        </w:rPr>
        <w:t>cultural account</w:t>
      </w:r>
      <w:r w:rsidRPr="007C3FDB">
        <w:t xml:space="preserve"> proposes that </w:t>
      </w:r>
      <w:r>
        <w:t>SNAs are</w:t>
      </w:r>
      <w:r w:rsidRPr="007C3FDB">
        <w:t xml:space="preserve"> shaped by </w:t>
      </w:r>
      <w:r>
        <w:t xml:space="preserve">experience, in particular by the culturally predominant </w:t>
      </w:r>
      <w:r w:rsidRPr="007C3FDB">
        <w:t xml:space="preserve">reading direction. </w:t>
      </w:r>
      <w:r w:rsidR="00471274">
        <w:t xml:space="preserve">This account </w:t>
      </w:r>
      <w:r w:rsidR="00E8395D">
        <w:t>is supported by</w:t>
      </w:r>
      <w:r w:rsidR="00471274">
        <w:t xml:space="preserve"> the </w:t>
      </w:r>
      <w:r w:rsidR="00E8395D">
        <w:t>presence</w:t>
      </w:r>
      <w:r w:rsidR="00471274">
        <w:t xml:space="preserve"> of </w:t>
      </w:r>
      <w:r w:rsidR="00E8395D">
        <w:t xml:space="preserve">a </w:t>
      </w:r>
      <w:r w:rsidR="00471274">
        <w:t xml:space="preserve">reverse </w:t>
      </w:r>
      <w:r>
        <w:t xml:space="preserve">SNARC effect in </w:t>
      </w:r>
      <w:r w:rsidR="002E226F">
        <w:t xml:space="preserve">right-to-left reading </w:t>
      </w:r>
      <w:r>
        <w:t>cultures (</w:t>
      </w:r>
      <w:proofErr w:type="spellStart"/>
      <w:r w:rsidR="00921718">
        <w:rPr>
          <w:szCs w:val="24"/>
          <w:shd w:val="clear" w:color="auto" w:fill="FFFFFF"/>
        </w:rPr>
        <w:t>Shaki</w:t>
      </w:r>
      <w:proofErr w:type="spellEnd"/>
      <w:r w:rsidR="00921718">
        <w:rPr>
          <w:szCs w:val="24"/>
          <w:shd w:val="clear" w:color="auto" w:fill="FFFFFF"/>
        </w:rPr>
        <w:t xml:space="preserve">, </w:t>
      </w:r>
      <w:r w:rsidR="00C62F1E" w:rsidRPr="002604FA">
        <w:rPr>
          <w:szCs w:val="24"/>
          <w:shd w:val="clear" w:color="auto" w:fill="FFFFFF"/>
        </w:rPr>
        <w:t>Fischer</w:t>
      </w:r>
      <w:r w:rsidR="00C62F1E">
        <w:rPr>
          <w:szCs w:val="24"/>
          <w:shd w:val="clear" w:color="auto" w:fill="FFFFFF"/>
        </w:rPr>
        <w:t>,</w:t>
      </w:r>
      <w:r w:rsidR="00921718">
        <w:rPr>
          <w:szCs w:val="24"/>
          <w:shd w:val="clear" w:color="auto" w:fill="FFFFFF"/>
        </w:rPr>
        <w:t xml:space="preserve"> &amp; </w:t>
      </w:r>
      <w:proofErr w:type="spellStart"/>
      <w:r w:rsidR="00921718">
        <w:rPr>
          <w:szCs w:val="24"/>
          <w:shd w:val="clear" w:color="auto" w:fill="FFFFFF"/>
        </w:rPr>
        <w:t>Petrusic</w:t>
      </w:r>
      <w:proofErr w:type="spellEnd"/>
      <w:r w:rsidR="00921718">
        <w:rPr>
          <w:szCs w:val="24"/>
          <w:shd w:val="clear" w:color="auto" w:fill="FFFFFF"/>
        </w:rPr>
        <w:t>,</w:t>
      </w:r>
      <w:r w:rsidR="00C62F1E">
        <w:rPr>
          <w:szCs w:val="24"/>
          <w:shd w:val="clear" w:color="auto" w:fill="FFFFFF"/>
        </w:rPr>
        <w:t xml:space="preserve"> </w:t>
      </w:r>
      <w:r w:rsidR="00921718">
        <w:rPr>
          <w:szCs w:val="24"/>
          <w:shd w:val="clear" w:color="auto" w:fill="FFFFFF"/>
        </w:rPr>
        <w:t>2009</w:t>
      </w:r>
      <w:r w:rsidR="00C62F1E" w:rsidRPr="00561EC8">
        <w:rPr>
          <w:szCs w:val="24"/>
          <w:shd w:val="clear" w:color="auto" w:fill="FFFFFF"/>
        </w:rPr>
        <w:t>)</w:t>
      </w:r>
      <w:r w:rsidR="00471274">
        <w:rPr>
          <w:szCs w:val="24"/>
          <w:shd w:val="clear" w:color="auto" w:fill="FFFFFF"/>
        </w:rPr>
        <w:t>, the preference of</w:t>
      </w:r>
      <w:r w:rsidR="00E8395D">
        <w:rPr>
          <w:szCs w:val="24"/>
          <w:shd w:val="clear" w:color="auto" w:fill="FFFFFF"/>
        </w:rPr>
        <w:t xml:space="preserve"> </w:t>
      </w:r>
      <w:r w:rsidR="00471274">
        <w:t>l</w:t>
      </w:r>
      <w:r>
        <w:t>iterate adults to count objects in line with their culturally p</w:t>
      </w:r>
      <w:r w:rsidR="002E226F">
        <w:t xml:space="preserve">redominant reading direction </w:t>
      </w:r>
      <w:r w:rsidR="00CE3E61">
        <w:t xml:space="preserve">while </w:t>
      </w:r>
      <w:r>
        <w:t xml:space="preserve">illiterate adults show no </w:t>
      </w:r>
      <w:r w:rsidR="00E8395D">
        <w:t xml:space="preserve">such </w:t>
      </w:r>
      <w:r>
        <w:t>preference (</w:t>
      </w:r>
      <w:proofErr w:type="spellStart"/>
      <w:r w:rsidR="00C62F1E" w:rsidRPr="007C3FDB">
        <w:t>Shaki</w:t>
      </w:r>
      <w:proofErr w:type="spellEnd"/>
      <w:r w:rsidR="00C62F1E" w:rsidRPr="007C3FDB">
        <w:t xml:space="preserve">, Fischer, &amp; Göbel, </w:t>
      </w:r>
      <w:r w:rsidR="00C62F1E">
        <w:t>2012</w:t>
      </w:r>
      <w:r>
        <w:t>)</w:t>
      </w:r>
      <w:r w:rsidR="00471274">
        <w:t xml:space="preserve">, and </w:t>
      </w:r>
      <w:r w:rsidR="00471274">
        <w:lastRenderedPageBreak/>
        <w:t xml:space="preserve">the </w:t>
      </w:r>
      <w:r w:rsidR="008B24EA">
        <w:t xml:space="preserve">influence of recent reading direction on the direction of the </w:t>
      </w:r>
      <w:r w:rsidR="00471274">
        <w:t xml:space="preserve">SNARC </w:t>
      </w:r>
      <w:r w:rsidR="008B24EA">
        <w:t>effect for bilingual</w:t>
      </w:r>
      <w:r w:rsidR="00471274">
        <w:t xml:space="preserve"> participants (</w:t>
      </w:r>
      <w:proofErr w:type="spellStart"/>
      <w:r w:rsidR="00471274">
        <w:t>Shaki</w:t>
      </w:r>
      <w:proofErr w:type="spellEnd"/>
      <w:r w:rsidR="00471274">
        <w:t xml:space="preserve"> &amp; Fischer, 2008)</w:t>
      </w:r>
      <w:r>
        <w:t>.</w:t>
      </w:r>
      <w:r w:rsidR="00C62F1E">
        <w:t xml:space="preserve"> </w:t>
      </w:r>
    </w:p>
    <w:p w:rsidR="00AE3A0C" w:rsidRDefault="00AE3A0C" w:rsidP="00471274">
      <w:pPr>
        <w:pStyle w:val="BodyText"/>
        <w:tabs>
          <w:tab w:val="center" w:pos="4680"/>
        </w:tabs>
        <w:ind w:firstLine="0"/>
      </w:pPr>
    </w:p>
    <w:p w:rsidR="009D18AF" w:rsidRDefault="00AE3A0C" w:rsidP="00540284">
      <w:pPr>
        <w:pStyle w:val="BodyText"/>
        <w:tabs>
          <w:tab w:val="center" w:pos="4680"/>
        </w:tabs>
        <w:ind w:firstLine="0"/>
      </w:pPr>
      <w:r>
        <w:t xml:space="preserve">Recently, </w:t>
      </w:r>
      <w:r w:rsidR="002E226F" w:rsidRPr="0027793D">
        <w:rPr>
          <w:lang w:val="de-DE"/>
        </w:rPr>
        <w:t>Rashidi-Ranjbar</w:t>
      </w:r>
      <w:r w:rsidR="002E226F">
        <w:t xml:space="preserve"> et al. (2014) </w:t>
      </w:r>
      <w:r w:rsidR="008B24EA">
        <w:t>tested the influence of</w:t>
      </w:r>
      <w:r>
        <w:t xml:space="preserve"> s</w:t>
      </w:r>
      <w:r w:rsidRPr="007C7D27">
        <w:t xml:space="preserve">patially directional motor actions </w:t>
      </w:r>
      <w:r>
        <w:t>(</w:t>
      </w:r>
      <w:r w:rsidR="008B24EA">
        <w:t xml:space="preserve">left and right </w:t>
      </w:r>
      <w:proofErr w:type="spellStart"/>
      <w:r w:rsidR="008B24EA">
        <w:t>headturns</w:t>
      </w:r>
      <w:proofErr w:type="spellEnd"/>
      <w:r w:rsidR="008B24EA">
        <w:t xml:space="preserve">; </w:t>
      </w:r>
      <w:r w:rsidRPr="008241B4">
        <w:rPr>
          <w:lang w:val="de-DE"/>
        </w:rPr>
        <w:t>Loetscher</w:t>
      </w:r>
      <w:r>
        <w:rPr>
          <w:lang w:val="de-DE"/>
        </w:rPr>
        <w:t xml:space="preserve"> et al., 2008</w:t>
      </w:r>
      <w:r>
        <w:t xml:space="preserve">) </w:t>
      </w:r>
      <w:r w:rsidR="0057045D">
        <w:t>on</w:t>
      </w:r>
      <w:r w:rsidR="009D18AF">
        <w:t xml:space="preserve"> number generation </w:t>
      </w:r>
      <w:r w:rsidR="002E3D38">
        <w:t>i</w:t>
      </w:r>
      <w:r w:rsidR="00F92517">
        <w:t xml:space="preserve">n right-to-left Farsi readers. </w:t>
      </w:r>
      <w:r w:rsidR="005358BC">
        <w:t xml:space="preserve">The authors interpret their failure to find </w:t>
      </w:r>
      <w:r w:rsidR="003A2E3B">
        <w:t xml:space="preserve">an </w:t>
      </w:r>
      <w:r w:rsidR="005358BC">
        <w:t>influence of spatial</w:t>
      </w:r>
      <w:r w:rsidR="009739C3">
        <w:t xml:space="preserve">ly directional </w:t>
      </w:r>
      <w:r w:rsidR="005358BC">
        <w:t>motor action</w:t>
      </w:r>
      <w:r w:rsidR="009739C3">
        <w:t>s</w:t>
      </w:r>
      <w:r w:rsidR="005358BC">
        <w:t xml:space="preserve"> on number generation as </w:t>
      </w:r>
      <w:r w:rsidR="00E02CE8">
        <w:t>further evidence</w:t>
      </w:r>
      <w:r w:rsidR="005358BC">
        <w:t xml:space="preserve"> </w:t>
      </w:r>
      <w:r w:rsidR="00A0068C">
        <w:t xml:space="preserve">that </w:t>
      </w:r>
      <w:r w:rsidR="00A0068C" w:rsidRPr="00406C2F">
        <w:t xml:space="preserve">mixed directional reading habits </w:t>
      </w:r>
      <w:r w:rsidR="008923A9">
        <w:t xml:space="preserve">of </w:t>
      </w:r>
      <w:r w:rsidR="00A0068C" w:rsidRPr="00406C2F">
        <w:t>text and numbers</w:t>
      </w:r>
      <w:r w:rsidR="008923A9">
        <w:t xml:space="preserve"> (Farsi: text is read right-to-left, numbers left-to-right</w:t>
      </w:r>
      <w:r w:rsidR="00E02CE8">
        <w:t>)</w:t>
      </w:r>
      <w:r w:rsidR="00A0068C" w:rsidRPr="00406C2F">
        <w:t xml:space="preserve"> cancel each other</w:t>
      </w:r>
      <w:r w:rsidR="00A0068C">
        <w:t xml:space="preserve"> </w:t>
      </w:r>
      <w:r w:rsidR="008923A9">
        <w:t xml:space="preserve">out </w:t>
      </w:r>
      <w:r w:rsidR="00A0068C">
        <w:t>(</w:t>
      </w:r>
      <w:proofErr w:type="spellStart"/>
      <w:r w:rsidR="00A0068C">
        <w:t>Shaki</w:t>
      </w:r>
      <w:proofErr w:type="spellEnd"/>
      <w:r w:rsidR="00A0068C">
        <w:t xml:space="preserve"> et al., 2009). </w:t>
      </w:r>
      <w:r w:rsidR="0057045D">
        <w:t xml:space="preserve"> </w:t>
      </w:r>
    </w:p>
    <w:p w:rsidR="009D18AF" w:rsidRDefault="009D18AF" w:rsidP="009D18AF">
      <w:pPr>
        <w:pStyle w:val="BodyText"/>
        <w:tabs>
          <w:tab w:val="center" w:pos="4680"/>
        </w:tabs>
        <w:ind w:firstLine="0"/>
      </w:pPr>
    </w:p>
    <w:p w:rsidR="009D18AF" w:rsidRPr="007C3FDB" w:rsidRDefault="009D18AF" w:rsidP="00D60D7F">
      <w:pPr>
        <w:pStyle w:val="BodyText"/>
        <w:tabs>
          <w:tab w:val="center" w:pos="4680"/>
        </w:tabs>
        <w:ind w:firstLine="0"/>
      </w:pPr>
      <w:r>
        <w:t>The aim of the current study was to explore</w:t>
      </w:r>
      <w:r w:rsidRPr="007C3FDB">
        <w:t xml:space="preserve"> </w:t>
      </w:r>
      <w:r>
        <w:t xml:space="preserve">further </w:t>
      </w:r>
      <w:r w:rsidRPr="007C3FDB">
        <w:t xml:space="preserve">whether </w:t>
      </w:r>
      <w:r>
        <w:t>the effect of spatial</w:t>
      </w:r>
      <w:r w:rsidR="00BE1EBC">
        <w:t>ly directional</w:t>
      </w:r>
      <w:r>
        <w:t xml:space="preserve"> cues (left/right body position) on </w:t>
      </w:r>
      <w:r w:rsidRPr="007C3FDB">
        <w:t>number generation is inf</w:t>
      </w:r>
      <w:r>
        <w:t>luenced by reading direction by directly comparing</w:t>
      </w:r>
      <w:r w:rsidRPr="007C3FDB">
        <w:t xml:space="preserve"> number generation in </w:t>
      </w:r>
      <w:r>
        <w:t>participants</w:t>
      </w:r>
      <w:r w:rsidRPr="007C3FDB">
        <w:t xml:space="preserve"> from a left-to-right reading culture (</w:t>
      </w:r>
      <w:r w:rsidR="00D60D7F">
        <w:t>English speakers</w:t>
      </w:r>
      <w:r w:rsidRPr="007C3FDB">
        <w:t xml:space="preserve">) to </w:t>
      </w:r>
      <w:r>
        <w:t>participants</w:t>
      </w:r>
      <w:r w:rsidRPr="007C3FDB">
        <w:t xml:space="preserve"> from a </w:t>
      </w:r>
      <w:r>
        <w:t xml:space="preserve">strictly </w:t>
      </w:r>
      <w:r w:rsidRPr="007C3FDB">
        <w:t>right-to-left reading culture (Arab</w:t>
      </w:r>
      <w:r w:rsidR="00D60D7F">
        <w:t>ic speakers</w:t>
      </w:r>
      <w:r w:rsidRPr="007C3FDB">
        <w:t>)</w:t>
      </w:r>
      <w:r w:rsidR="001C3AE2">
        <w:t xml:space="preserve">. </w:t>
      </w:r>
      <w:r w:rsidR="00D60D7F">
        <w:t xml:space="preserve"> </w:t>
      </w:r>
      <w:r w:rsidR="008B4907">
        <w:t>Previously, w</w:t>
      </w:r>
      <w:r w:rsidR="001C3AE2">
        <w:t>e demonstrated</w:t>
      </w:r>
      <w:r w:rsidR="00D60D7F">
        <w:t xml:space="preserve"> </w:t>
      </w:r>
      <w:r w:rsidR="001C3AE2">
        <w:t xml:space="preserve">a typical </w:t>
      </w:r>
      <w:r w:rsidR="00D60D7F">
        <w:t>SNARC</w:t>
      </w:r>
      <w:r w:rsidR="001C3AE2">
        <w:t xml:space="preserve"> effect in English speakers</w:t>
      </w:r>
      <w:r w:rsidR="00D60D7F">
        <w:t xml:space="preserve"> and</w:t>
      </w:r>
      <w:r w:rsidR="001C3AE2">
        <w:t xml:space="preserve"> a</w:t>
      </w:r>
      <w:r w:rsidR="00D60D7F">
        <w:t xml:space="preserve"> reverse SNARC effect</w:t>
      </w:r>
      <w:r w:rsidR="001C3AE2">
        <w:t xml:space="preserve"> in Arabic speakers </w:t>
      </w:r>
      <w:r w:rsidR="00D60D7F">
        <w:t>(</w:t>
      </w:r>
      <w:proofErr w:type="spellStart"/>
      <w:r w:rsidR="00D60D7F">
        <w:t>Shaki</w:t>
      </w:r>
      <w:proofErr w:type="spellEnd"/>
      <w:r w:rsidR="00D60D7F">
        <w:t xml:space="preserve"> et al., 2009)</w:t>
      </w:r>
      <w:r w:rsidRPr="007C3FDB">
        <w:t>.</w:t>
      </w:r>
      <w:r>
        <w:t xml:space="preserve"> In line with previous research (</w:t>
      </w:r>
      <w:proofErr w:type="spellStart"/>
      <w:r w:rsidR="008503C5">
        <w:t>Loetscher</w:t>
      </w:r>
      <w:proofErr w:type="spellEnd"/>
      <w:r w:rsidR="008503C5">
        <w:t xml:space="preserve"> et al., 2008</w:t>
      </w:r>
      <w:r>
        <w:t xml:space="preserve">) we expected participants from a </w:t>
      </w:r>
      <w:r w:rsidRPr="00BE1EBC">
        <w:rPr>
          <w:i/>
          <w:u w:val="single"/>
        </w:rPr>
        <w:t>left-to-right</w:t>
      </w:r>
      <w:r>
        <w:t xml:space="preserve"> reading culture to generate smaller numbers </w:t>
      </w:r>
      <w:r w:rsidR="00BE1EBC">
        <w:t xml:space="preserve">when lying </w:t>
      </w:r>
      <w:r>
        <w:t xml:space="preserve">on their </w:t>
      </w:r>
      <w:r w:rsidRPr="00BE1EBC">
        <w:rPr>
          <w:i/>
          <w:u w:val="single"/>
        </w:rPr>
        <w:t>left</w:t>
      </w:r>
      <w:r>
        <w:t xml:space="preserve"> side. The biological account predicts no difference between our two groups of participants. The cultural account</w:t>
      </w:r>
      <w:r w:rsidR="00BE1EBC">
        <w:t>,</w:t>
      </w:r>
      <w:r>
        <w:t xml:space="preserve"> in contrast</w:t>
      </w:r>
      <w:r w:rsidR="00BE1EBC">
        <w:t>,</w:t>
      </w:r>
      <w:r>
        <w:t xml:space="preserve"> predicts smaller numbers being generated in participants from the </w:t>
      </w:r>
      <w:r w:rsidRPr="00BE1EBC">
        <w:rPr>
          <w:i/>
          <w:u w:val="single"/>
        </w:rPr>
        <w:t>right-to-left</w:t>
      </w:r>
      <w:r>
        <w:t xml:space="preserve"> reading culture when they are </w:t>
      </w:r>
      <w:r w:rsidR="00BE1EBC">
        <w:t xml:space="preserve">lying </w:t>
      </w:r>
      <w:r>
        <w:t xml:space="preserve">on their </w:t>
      </w:r>
      <w:r w:rsidRPr="005C772E">
        <w:rPr>
          <w:i/>
          <w:u w:val="single"/>
        </w:rPr>
        <w:t>right</w:t>
      </w:r>
      <w:r>
        <w:t xml:space="preserve"> side. We also measured math ability and the SNARC effect where possible.</w:t>
      </w:r>
    </w:p>
    <w:p w:rsidR="00AF4EBA" w:rsidRDefault="00AF4EBA" w:rsidP="007C3FDB">
      <w:pPr>
        <w:pStyle w:val="BodyText"/>
        <w:tabs>
          <w:tab w:val="center" w:pos="4680"/>
        </w:tabs>
        <w:ind w:firstLine="0"/>
        <w:jc w:val="center"/>
        <w:rPr>
          <w:b/>
        </w:rPr>
      </w:pPr>
    </w:p>
    <w:p w:rsidR="00D159F4" w:rsidRDefault="00D159F4" w:rsidP="007C3FDB">
      <w:pPr>
        <w:pStyle w:val="BodyText"/>
        <w:tabs>
          <w:tab w:val="center" w:pos="4680"/>
        </w:tabs>
        <w:ind w:firstLine="0"/>
        <w:jc w:val="center"/>
        <w:rPr>
          <w:b/>
        </w:rPr>
      </w:pPr>
    </w:p>
    <w:p w:rsidR="00D159F4" w:rsidRDefault="00D159F4" w:rsidP="007C3FDB">
      <w:pPr>
        <w:pStyle w:val="BodyText"/>
        <w:tabs>
          <w:tab w:val="center" w:pos="4680"/>
        </w:tabs>
        <w:ind w:firstLine="0"/>
        <w:jc w:val="center"/>
        <w:rPr>
          <w:b/>
        </w:rPr>
      </w:pPr>
    </w:p>
    <w:p w:rsidR="007C3FDB" w:rsidRPr="007C3FDB" w:rsidRDefault="007C3FDB" w:rsidP="007C3FDB">
      <w:pPr>
        <w:pStyle w:val="BodyText"/>
        <w:tabs>
          <w:tab w:val="center" w:pos="4680"/>
        </w:tabs>
        <w:ind w:firstLine="0"/>
        <w:jc w:val="center"/>
        <w:rPr>
          <w:b/>
        </w:rPr>
      </w:pPr>
      <w:r w:rsidRPr="007C3FDB">
        <w:rPr>
          <w:b/>
        </w:rPr>
        <w:lastRenderedPageBreak/>
        <w:t>Method</w:t>
      </w:r>
    </w:p>
    <w:p w:rsidR="007C3FDB" w:rsidRPr="00E561A8" w:rsidRDefault="007C3FDB" w:rsidP="007C3FDB">
      <w:pPr>
        <w:pStyle w:val="BodyText"/>
        <w:tabs>
          <w:tab w:val="center" w:pos="4680"/>
        </w:tabs>
        <w:ind w:firstLine="0"/>
        <w:rPr>
          <w:i/>
        </w:rPr>
      </w:pPr>
      <w:r w:rsidRPr="00E561A8">
        <w:rPr>
          <w:i/>
        </w:rPr>
        <w:t>Participants</w:t>
      </w:r>
    </w:p>
    <w:p w:rsidR="00F9147A" w:rsidRPr="00F9147A" w:rsidRDefault="001D7AAB" w:rsidP="00F9147A">
      <w:pPr>
        <w:pStyle w:val="BodyText"/>
        <w:tabs>
          <w:tab w:val="center" w:pos="4680"/>
        </w:tabs>
        <w:ind w:firstLine="0"/>
      </w:pPr>
      <w:r w:rsidRPr="00F9147A">
        <w:rPr>
          <w:szCs w:val="24"/>
          <w:lang w:eastAsia="zh-HK"/>
        </w:rPr>
        <w:t xml:space="preserve">We </w:t>
      </w:r>
      <w:r w:rsidR="00187B8A">
        <w:rPr>
          <w:szCs w:val="24"/>
          <w:lang w:eastAsia="zh-HK"/>
        </w:rPr>
        <w:t>tested 55 British (</w:t>
      </w:r>
      <w:r w:rsidR="00A439A0" w:rsidRPr="006D7E00">
        <w:rPr>
          <w:i/>
        </w:rPr>
        <w:t>M</w:t>
      </w:r>
      <w:r w:rsidR="00A439A0" w:rsidRPr="006D7E00">
        <w:rPr>
          <w:i/>
          <w:vertAlign w:val="subscript"/>
        </w:rPr>
        <w:t>age</w:t>
      </w:r>
      <w:r w:rsidR="00A439A0" w:rsidRPr="00F9147A" w:rsidDel="00A439A0">
        <w:rPr>
          <w:szCs w:val="24"/>
          <w:lang w:eastAsia="zh-HK"/>
        </w:rPr>
        <w:t xml:space="preserve"> </w:t>
      </w:r>
      <w:r w:rsidRPr="00F9147A">
        <w:rPr>
          <w:szCs w:val="24"/>
          <w:lang w:eastAsia="zh-HK"/>
        </w:rPr>
        <w:t>= 20.13</w:t>
      </w:r>
      <w:r w:rsidR="00187B8A">
        <w:rPr>
          <w:szCs w:val="24"/>
          <w:lang w:eastAsia="zh-HK"/>
        </w:rPr>
        <w:t xml:space="preserve"> years</w:t>
      </w:r>
      <w:r w:rsidRPr="00F9147A">
        <w:rPr>
          <w:szCs w:val="24"/>
          <w:lang w:eastAsia="zh-HK"/>
        </w:rPr>
        <w:t>, SD = 2.26, 45 female), 65 Arab adults (</w:t>
      </w:r>
      <w:r w:rsidR="00A439A0" w:rsidRPr="006D7E00">
        <w:rPr>
          <w:i/>
        </w:rPr>
        <w:t>M</w:t>
      </w:r>
      <w:r w:rsidR="00A439A0" w:rsidRPr="006D7E00">
        <w:rPr>
          <w:i/>
          <w:vertAlign w:val="subscript"/>
        </w:rPr>
        <w:t>age</w:t>
      </w:r>
      <w:r w:rsidR="00A439A0" w:rsidRPr="00F9147A" w:rsidDel="00A439A0">
        <w:rPr>
          <w:szCs w:val="24"/>
          <w:lang w:eastAsia="zh-HK"/>
        </w:rPr>
        <w:t xml:space="preserve"> </w:t>
      </w:r>
      <w:r w:rsidRPr="00F9147A">
        <w:rPr>
          <w:szCs w:val="24"/>
          <w:lang w:eastAsia="zh-HK"/>
        </w:rPr>
        <w:t>= 24.31</w:t>
      </w:r>
      <w:r w:rsidR="00187B8A">
        <w:rPr>
          <w:szCs w:val="24"/>
          <w:lang w:eastAsia="zh-HK"/>
        </w:rPr>
        <w:t xml:space="preserve"> years</w:t>
      </w:r>
      <w:r w:rsidR="00617742">
        <w:rPr>
          <w:szCs w:val="24"/>
          <w:lang w:eastAsia="zh-HK"/>
        </w:rPr>
        <w:t xml:space="preserve">, SD = 3.4, 43 female), </w:t>
      </w:r>
      <w:r w:rsidRPr="00F9147A">
        <w:rPr>
          <w:szCs w:val="24"/>
          <w:lang w:eastAsia="zh-HK"/>
        </w:rPr>
        <w:t>89 British (range: 5-10</w:t>
      </w:r>
      <w:r w:rsidR="00187B8A">
        <w:rPr>
          <w:szCs w:val="24"/>
          <w:lang w:eastAsia="zh-HK"/>
        </w:rPr>
        <w:t xml:space="preserve"> years</w:t>
      </w:r>
      <w:r w:rsidRPr="00F9147A">
        <w:rPr>
          <w:szCs w:val="24"/>
          <w:lang w:eastAsia="zh-HK"/>
        </w:rPr>
        <w:t xml:space="preserve">, </w:t>
      </w:r>
      <w:r w:rsidR="00A439A0" w:rsidRPr="006D7E00">
        <w:rPr>
          <w:i/>
        </w:rPr>
        <w:t>M</w:t>
      </w:r>
      <w:r w:rsidR="00A439A0" w:rsidRPr="006D7E00">
        <w:rPr>
          <w:i/>
          <w:vertAlign w:val="subscript"/>
        </w:rPr>
        <w:t>age</w:t>
      </w:r>
      <w:r w:rsidR="00A439A0" w:rsidRPr="00F9147A" w:rsidDel="00A439A0">
        <w:rPr>
          <w:szCs w:val="24"/>
          <w:lang w:eastAsia="zh-HK"/>
        </w:rPr>
        <w:t xml:space="preserve"> </w:t>
      </w:r>
      <w:r w:rsidRPr="00F9147A">
        <w:rPr>
          <w:szCs w:val="24"/>
          <w:lang w:eastAsia="zh-HK"/>
        </w:rPr>
        <w:t>= 8.04</w:t>
      </w:r>
      <w:r w:rsidR="00A439A0">
        <w:rPr>
          <w:szCs w:val="24"/>
          <w:lang w:eastAsia="zh-HK"/>
        </w:rPr>
        <w:t>,</w:t>
      </w:r>
      <w:r w:rsidRPr="00F9147A">
        <w:rPr>
          <w:szCs w:val="24"/>
          <w:lang w:eastAsia="zh-HK"/>
        </w:rPr>
        <w:t xml:space="preserve"> SD = 1.64, 45 female</w:t>
      </w:r>
      <w:r w:rsidR="009D2A66" w:rsidRPr="00F9147A">
        <w:rPr>
          <w:szCs w:val="24"/>
          <w:lang w:eastAsia="zh-HK"/>
        </w:rPr>
        <w:t>) and 63</w:t>
      </w:r>
      <w:r w:rsidRPr="00F9147A">
        <w:rPr>
          <w:szCs w:val="24"/>
          <w:lang w:eastAsia="zh-HK"/>
        </w:rPr>
        <w:t xml:space="preserve"> Arab children (range: 5-11</w:t>
      </w:r>
      <w:r w:rsidR="00187B8A">
        <w:rPr>
          <w:szCs w:val="24"/>
          <w:lang w:eastAsia="zh-HK"/>
        </w:rPr>
        <w:t xml:space="preserve"> years</w:t>
      </w:r>
      <w:r w:rsidRPr="00F9147A">
        <w:rPr>
          <w:szCs w:val="24"/>
          <w:lang w:eastAsia="zh-HK"/>
        </w:rPr>
        <w:t xml:space="preserve">, </w:t>
      </w:r>
      <w:r w:rsidR="00A439A0" w:rsidRPr="006D7E00">
        <w:rPr>
          <w:i/>
        </w:rPr>
        <w:t>M</w:t>
      </w:r>
      <w:r w:rsidR="00A439A0" w:rsidRPr="006D7E00">
        <w:rPr>
          <w:i/>
          <w:vertAlign w:val="subscript"/>
        </w:rPr>
        <w:t>age</w:t>
      </w:r>
      <w:r w:rsidR="00A439A0" w:rsidRPr="00F9147A" w:rsidDel="00A439A0">
        <w:rPr>
          <w:szCs w:val="24"/>
          <w:lang w:eastAsia="zh-HK"/>
        </w:rPr>
        <w:t xml:space="preserve"> </w:t>
      </w:r>
      <w:r w:rsidRPr="00F9147A">
        <w:rPr>
          <w:szCs w:val="24"/>
          <w:lang w:eastAsia="zh-HK"/>
        </w:rPr>
        <w:t>= 7.5</w:t>
      </w:r>
      <w:r w:rsidR="00A439A0">
        <w:rPr>
          <w:szCs w:val="24"/>
          <w:lang w:eastAsia="zh-HK"/>
        </w:rPr>
        <w:t>4</w:t>
      </w:r>
      <w:r w:rsidRPr="00F9147A">
        <w:rPr>
          <w:szCs w:val="24"/>
          <w:lang w:eastAsia="zh-HK"/>
        </w:rPr>
        <w:t>, SD = 1.24, 44 female).</w:t>
      </w:r>
      <w:r w:rsidR="00F9147A" w:rsidRPr="00F9147A">
        <w:rPr>
          <w:szCs w:val="24"/>
          <w:lang w:eastAsia="zh-HK"/>
        </w:rPr>
        <w:t xml:space="preserve"> </w:t>
      </w:r>
      <w:r w:rsidR="00617742">
        <w:rPr>
          <w:szCs w:val="24"/>
          <w:lang w:eastAsia="zh-HK"/>
        </w:rPr>
        <w:t xml:space="preserve">All participants were native </w:t>
      </w:r>
      <w:r w:rsidR="00A439A0">
        <w:rPr>
          <w:szCs w:val="24"/>
          <w:lang w:eastAsia="zh-HK"/>
        </w:rPr>
        <w:t>English</w:t>
      </w:r>
      <w:r w:rsidR="00617742">
        <w:rPr>
          <w:szCs w:val="24"/>
          <w:lang w:eastAsia="zh-HK"/>
        </w:rPr>
        <w:t xml:space="preserve"> or Arabic speakers and tested in their native language</w:t>
      </w:r>
      <w:r w:rsidR="00F9147A" w:rsidRPr="003719C1">
        <w:rPr>
          <w:szCs w:val="24"/>
          <w:lang w:eastAsia="zh-HK"/>
        </w:rPr>
        <w:t xml:space="preserve">. </w:t>
      </w:r>
    </w:p>
    <w:p w:rsidR="007C3FDB" w:rsidRPr="007C3FDB" w:rsidRDefault="007C3FDB" w:rsidP="007C3FDB">
      <w:pPr>
        <w:pStyle w:val="BodyText"/>
        <w:tabs>
          <w:tab w:val="center" w:pos="4680"/>
        </w:tabs>
        <w:ind w:firstLine="0"/>
      </w:pPr>
    </w:p>
    <w:p w:rsidR="00617742" w:rsidRDefault="007C3FDB" w:rsidP="007C3FDB">
      <w:pPr>
        <w:pStyle w:val="BodyText"/>
        <w:tabs>
          <w:tab w:val="center" w:pos="4680"/>
        </w:tabs>
        <w:ind w:firstLine="0"/>
        <w:rPr>
          <w:i/>
        </w:rPr>
      </w:pPr>
      <w:r w:rsidRPr="007C3FDB">
        <w:rPr>
          <w:i/>
        </w:rPr>
        <w:t>Procedure</w:t>
      </w:r>
    </w:p>
    <w:p w:rsidR="00382900" w:rsidRPr="00617742" w:rsidRDefault="00276FEA" w:rsidP="007C3FDB">
      <w:pPr>
        <w:pStyle w:val="BodyText"/>
        <w:tabs>
          <w:tab w:val="center" w:pos="4680"/>
        </w:tabs>
        <w:ind w:firstLine="0"/>
        <w:rPr>
          <w:i/>
        </w:rPr>
      </w:pPr>
      <w:r w:rsidRPr="003719C1">
        <w:t>Participants were tested individually</w:t>
      </w:r>
      <w:r w:rsidR="002F1AEB">
        <w:t xml:space="preserve"> and</w:t>
      </w:r>
      <w:r w:rsidR="00382900">
        <w:t xml:space="preserve"> started with </w:t>
      </w:r>
      <w:r w:rsidR="00F848C4">
        <w:t>a</w:t>
      </w:r>
      <w:r w:rsidR="00382900">
        <w:t xml:space="preserve"> number generation task. Adults then perfo</w:t>
      </w:r>
      <w:r w:rsidR="00BE1EBC">
        <w:t>rmed a computerized parity judg</w:t>
      </w:r>
      <w:r w:rsidR="00382900">
        <w:t>ment task. Finally, a</w:t>
      </w:r>
      <w:r w:rsidR="00382900" w:rsidRPr="007C3FDB">
        <w:t>ll adults and British children were tested on a standardized arithmetic test (WRAT 4).</w:t>
      </w:r>
    </w:p>
    <w:p w:rsidR="003511FB" w:rsidRDefault="003511FB" w:rsidP="007C3FDB">
      <w:pPr>
        <w:pStyle w:val="BodyText"/>
        <w:tabs>
          <w:tab w:val="center" w:pos="4680"/>
        </w:tabs>
        <w:ind w:firstLine="0"/>
        <w:rPr>
          <w:i/>
        </w:rPr>
      </w:pPr>
    </w:p>
    <w:p w:rsidR="008865F8" w:rsidRDefault="008865F8" w:rsidP="007C3FDB">
      <w:pPr>
        <w:pStyle w:val="BodyText"/>
        <w:tabs>
          <w:tab w:val="center" w:pos="4680"/>
        </w:tabs>
        <w:ind w:firstLine="0"/>
      </w:pPr>
      <w:r w:rsidRPr="00382900">
        <w:rPr>
          <w:i/>
        </w:rPr>
        <w:t>Number generation task</w:t>
      </w:r>
      <w:r w:rsidR="00382900">
        <w:rPr>
          <w:i/>
        </w:rPr>
        <w:t>.</w:t>
      </w:r>
      <w:r>
        <w:t xml:space="preserve"> </w:t>
      </w:r>
      <w:r w:rsidR="007C3FDB" w:rsidRPr="007C3FDB">
        <w:t>Participants lay on the floor on their left, on their back (neutral) and on their right side. In each position</w:t>
      </w:r>
      <w:r w:rsidR="00D42CC8">
        <w:t>, eyes closed,</w:t>
      </w:r>
      <w:r w:rsidR="007C3FDB" w:rsidRPr="007C3FDB">
        <w:t xml:space="preserve"> participants generated 40 numbers randomly from 1-50, one every 2s to the sound of a metronome. The order of </w:t>
      </w:r>
      <w:r w:rsidR="00E61EC3">
        <w:t xml:space="preserve">body </w:t>
      </w:r>
      <w:r w:rsidR="007C3FDB" w:rsidRPr="007C3FDB">
        <w:t>position was counterbalanced between participants. We recorded each number</w:t>
      </w:r>
      <w:r w:rsidR="0049219D">
        <w:t xml:space="preserve"> </w:t>
      </w:r>
      <w:r w:rsidR="00782F21">
        <w:t xml:space="preserve">and </w:t>
      </w:r>
      <w:proofErr w:type="spellStart"/>
      <w:r w:rsidR="00782F21">
        <w:t>analysed</w:t>
      </w:r>
      <w:proofErr w:type="spellEnd"/>
      <w:r w:rsidR="00782F21">
        <w:t xml:space="preserve"> the mean numbers generated</w:t>
      </w:r>
      <w:r w:rsidR="00382900">
        <w:t xml:space="preserve"> </w:t>
      </w:r>
      <w:r w:rsidR="00782F21">
        <w:t xml:space="preserve">with a </w:t>
      </w:r>
      <w:r w:rsidR="006B3A7B">
        <w:t>repeated-</w:t>
      </w:r>
      <w:r w:rsidR="00782F21">
        <w:t>measures ANOVA with body position (left/right) as within</w:t>
      </w:r>
      <w:r w:rsidR="006B3A7B">
        <w:t>-subject factor</w:t>
      </w:r>
      <w:r w:rsidR="00782F21">
        <w:t xml:space="preserve"> and two between s</w:t>
      </w:r>
      <w:r w:rsidR="005602C7">
        <w:t xml:space="preserve">ubject factors (country: UK, Arab; age group: adults, </w:t>
      </w:r>
      <w:r w:rsidR="00782F21">
        <w:t>children).</w:t>
      </w:r>
    </w:p>
    <w:p w:rsidR="003511FB" w:rsidRDefault="003511FB" w:rsidP="0049219D">
      <w:pPr>
        <w:pStyle w:val="BodyText"/>
        <w:tabs>
          <w:tab w:val="center" w:pos="4680"/>
        </w:tabs>
        <w:ind w:firstLine="0"/>
        <w:rPr>
          <w:i/>
        </w:rPr>
      </w:pPr>
    </w:p>
    <w:p w:rsidR="007C3FDB" w:rsidRDefault="008865F8" w:rsidP="0049219D">
      <w:pPr>
        <w:pStyle w:val="BodyText"/>
        <w:tabs>
          <w:tab w:val="center" w:pos="4680"/>
        </w:tabs>
        <w:ind w:firstLine="0"/>
      </w:pPr>
      <w:r w:rsidRPr="00A24AAF">
        <w:rPr>
          <w:i/>
        </w:rPr>
        <w:t>Parity judgment task:</w:t>
      </w:r>
      <w:r w:rsidR="006154A9">
        <w:t xml:space="preserve"> </w:t>
      </w:r>
      <w:r w:rsidR="006154A9" w:rsidRPr="007C3FDB">
        <w:t xml:space="preserve">Participants saw Arabic digits 0-9 (British) or 1-9 (Arab) displayed </w:t>
      </w:r>
      <w:r w:rsidR="00E61EC3">
        <w:t>centrally on a computer</w:t>
      </w:r>
      <w:r w:rsidR="006154A9" w:rsidRPr="007C3FDB">
        <w:t xml:space="preserve"> screen, one at a time, and had to indicate whether the digit was odd or even by pressing a left</w:t>
      </w:r>
      <w:r w:rsidR="00F848C4">
        <w:t xml:space="preserve"> (1)</w:t>
      </w:r>
      <w:r w:rsidR="006154A9" w:rsidRPr="007C3FDB">
        <w:t xml:space="preserve"> or right </w:t>
      </w:r>
      <w:r w:rsidR="00F848C4">
        <w:t xml:space="preserve">(0) </w:t>
      </w:r>
      <w:r w:rsidR="006154A9" w:rsidRPr="007C3FDB">
        <w:t xml:space="preserve">response button </w:t>
      </w:r>
      <w:r w:rsidR="00F848C4">
        <w:t xml:space="preserve">with their left or right index finger </w:t>
      </w:r>
      <w:r w:rsidR="006154A9" w:rsidRPr="007C3FDB">
        <w:t>as quickly and accurately as possible. The ass</w:t>
      </w:r>
      <w:r w:rsidR="006154A9">
        <w:t>ociation of left/right response</w:t>
      </w:r>
      <w:r w:rsidR="006154A9" w:rsidRPr="007C3FDB">
        <w:t xml:space="preserve"> buttons to </w:t>
      </w:r>
      <w:r w:rsidR="006154A9" w:rsidRPr="007C3FDB">
        <w:lastRenderedPageBreak/>
        <w:t xml:space="preserve">odd/even numbers changed halfway through the task. </w:t>
      </w:r>
      <w:r w:rsidR="006154A9" w:rsidRPr="001B44BD">
        <w:t>We measured RT and accuracy and report results for digits 1-9.</w:t>
      </w:r>
      <w:r w:rsidR="00627BBB" w:rsidRPr="001B44BD">
        <w:t xml:space="preserve"> </w:t>
      </w:r>
    </w:p>
    <w:p w:rsidR="00A10714" w:rsidRPr="00F848C4" w:rsidRDefault="00A10714" w:rsidP="0049219D">
      <w:pPr>
        <w:pStyle w:val="BodyText"/>
        <w:tabs>
          <w:tab w:val="center" w:pos="4680"/>
        </w:tabs>
        <w:ind w:firstLine="0"/>
      </w:pPr>
    </w:p>
    <w:p w:rsidR="007C3FDB" w:rsidRPr="007C3FDB" w:rsidRDefault="007C3FDB" w:rsidP="007C3FDB">
      <w:pPr>
        <w:pStyle w:val="BodyText"/>
        <w:tabs>
          <w:tab w:val="center" w:pos="4680"/>
        </w:tabs>
        <w:ind w:firstLine="0"/>
        <w:jc w:val="center"/>
        <w:rPr>
          <w:b/>
        </w:rPr>
      </w:pPr>
      <w:r w:rsidRPr="007C3FDB">
        <w:rPr>
          <w:b/>
        </w:rPr>
        <w:t>Results</w:t>
      </w:r>
    </w:p>
    <w:p w:rsidR="007C3FDB" w:rsidRPr="00E561A8" w:rsidRDefault="007C3FDB" w:rsidP="007C3FDB">
      <w:pPr>
        <w:pStyle w:val="BodyText"/>
        <w:tabs>
          <w:tab w:val="center" w:pos="4680"/>
        </w:tabs>
        <w:ind w:firstLine="0"/>
        <w:rPr>
          <w:i/>
        </w:rPr>
      </w:pPr>
      <w:r w:rsidRPr="00E561A8">
        <w:rPr>
          <w:i/>
        </w:rPr>
        <w:t>Number generation</w:t>
      </w:r>
    </w:p>
    <w:p w:rsidR="008865F8" w:rsidRDefault="005602C7" w:rsidP="007C3FDB">
      <w:pPr>
        <w:pStyle w:val="BodyText"/>
        <w:tabs>
          <w:tab w:val="center" w:pos="4680"/>
        </w:tabs>
        <w:ind w:firstLine="0"/>
      </w:pPr>
      <w:r>
        <w:t>Twenty-four</w:t>
      </w:r>
      <w:r w:rsidR="00E561A8">
        <w:t xml:space="preserve"> participants </w:t>
      </w:r>
      <w:r w:rsidR="00E63576">
        <w:t>were</w:t>
      </w:r>
      <w:r w:rsidR="00E561A8">
        <w:t xml:space="preserve"> ex</w:t>
      </w:r>
      <w:r w:rsidR="00E63576">
        <w:t xml:space="preserve">cluded because of missing data </w:t>
      </w:r>
      <w:r>
        <w:t>or</w:t>
      </w:r>
      <w:r w:rsidR="00E561A8">
        <w:t xml:space="preserve"> </w:t>
      </w:r>
      <w:r w:rsidR="00E63576">
        <w:t>because</w:t>
      </w:r>
      <w:r w:rsidR="00E561A8">
        <w:t xml:space="preserve"> more than</w:t>
      </w:r>
      <w:r w:rsidR="008865F8" w:rsidRPr="007C3FDB">
        <w:t xml:space="preserve"> 25 % of </w:t>
      </w:r>
      <w:r w:rsidR="00E63576">
        <w:t xml:space="preserve">their </w:t>
      </w:r>
      <w:r w:rsidR="008865F8" w:rsidRPr="007C3FDB">
        <w:t xml:space="preserve">numbers generated </w:t>
      </w:r>
      <w:r w:rsidR="00E63576">
        <w:t>were</w:t>
      </w:r>
      <w:r w:rsidR="00E561A8">
        <w:t xml:space="preserve"> </w:t>
      </w:r>
      <w:r w:rsidR="008865F8" w:rsidRPr="007C3FDB">
        <w:t>part of systematic number sequences. We report data from the remaining 55 British adults (</w:t>
      </w:r>
      <w:r w:rsidR="008865F8" w:rsidRPr="006D7E00">
        <w:rPr>
          <w:i/>
        </w:rPr>
        <w:t>M</w:t>
      </w:r>
      <w:r w:rsidR="008865F8" w:rsidRPr="006D7E00">
        <w:rPr>
          <w:i/>
          <w:vertAlign w:val="subscript"/>
        </w:rPr>
        <w:t xml:space="preserve">age </w:t>
      </w:r>
      <w:r w:rsidR="008865F8" w:rsidRPr="007C3FDB">
        <w:t xml:space="preserve">= 20.13, </w:t>
      </w:r>
      <w:r w:rsidR="008865F8" w:rsidRPr="006D7E00">
        <w:rPr>
          <w:i/>
        </w:rPr>
        <w:t>SD</w:t>
      </w:r>
      <w:r w:rsidR="008865F8" w:rsidRPr="007C3FDB">
        <w:t xml:space="preserve"> = 2.26, 45 female), 60 Arab adu</w:t>
      </w:r>
      <w:r w:rsidR="008865F8">
        <w:t>lts (</w:t>
      </w:r>
      <w:r w:rsidR="008865F8" w:rsidRPr="006D7E00">
        <w:rPr>
          <w:i/>
        </w:rPr>
        <w:t>M</w:t>
      </w:r>
      <w:r w:rsidR="008865F8" w:rsidRPr="006D7E00">
        <w:rPr>
          <w:i/>
          <w:vertAlign w:val="subscript"/>
        </w:rPr>
        <w:t>age</w:t>
      </w:r>
      <w:r w:rsidR="008865F8" w:rsidRPr="007C3FDB">
        <w:t xml:space="preserve"> = 24.38, </w:t>
      </w:r>
      <w:r w:rsidR="008865F8" w:rsidRPr="006D7E00">
        <w:rPr>
          <w:i/>
        </w:rPr>
        <w:t>SD</w:t>
      </w:r>
      <w:r w:rsidR="008865F8" w:rsidRPr="007C3FDB">
        <w:t xml:space="preserve"> = 3.45, 41 female), 81 British </w:t>
      </w:r>
      <w:r w:rsidR="008865F8">
        <w:t>children (</w:t>
      </w:r>
      <w:r w:rsidR="008865F8" w:rsidRPr="006D7E00">
        <w:rPr>
          <w:i/>
        </w:rPr>
        <w:t>M</w:t>
      </w:r>
      <w:r w:rsidR="008865F8" w:rsidRPr="006D7E00">
        <w:rPr>
          <w:i/>
          <w:vertAlign w:val="subscript"/>
        </w:rPr>
        <w:t>age</w:t>
      </w:r>
      <w:r w:rsidR="008865F8" w:rsidRPr="007C3FDB">
        <w:t xml:space="preserve"> = 8.19, </w:t>
      </w:r>
      <w:r w:rsidR="008865F8" w:rsidRPr="006D7E00">
        <w:rPr>
          <w:i/>
        </w:rPr>
        <w:t>SD</w:t>
      </w:r>
      <w:r w:rsidR="008865F8" w:rsidRPr="007C3FDB">
        <w:t xml:space="preserve"> = 1.63, 43 female) and 52 Arab chil</w:t>
      </w:r>
      <w:r w:rsidR="008865F8">
        <w:t>dren (</w:t>
      </w:r>
      <w:r w:rsidR="008865F8" w:rsidRPr="006D7E00">
        <w:rPr>
          <w:i/>
        </w:rPr>
        <w:t>M</w:t>
      </w:r>
      <w:r w:rsidR="008865F8" w:rsidRPr="006D7E00">
        <w:rPr>
          <w:i/>
          <w:vertAlign w:val="subscript"/>
        </w:rPr>
        <w:t>age</w:t>
      </w:r>
      <w:r w:rsidR="008865F8" w:rsidRPr="007C3FDB">
        <w:t xml:space="preserve"> = 7.73</w:t>
      </w:r>
      <w:r w:rsidR="009D2A66">
        <w:t xml:space="preserve">, </w:t>
      </w:r>
      <w:r w:rsidR="008865F8" w:rsidRPr="006D7E00">
        <w:rPr>
          <w:i/>
        </w:rPr>
        <w:t>SD</w:t>
      </w:r>
      <w:r w:rsidR="008865F8" w:rsidRPr="007C3FDB">
        <w:t xml:space="preserve"> = 1.14, 34 female).</w:t>
      </w:r>
    </w:p>
    <w:p w:rsidR="00E561A8" w:rsidRDefault="00E561A8" w:rsidP="007C3FDB">
      <w:pPr>
        <w:pStyle w:val="BodyText"/>
        <w:tabs>
          <w:tab w:val="center" w:pos="4680"/>
        </w:tabs>
        <w:ind w:firstLine="0"/>
      </w:pPr>
      <w:r>
        <w:tab/>
      </w:r>
    </w:p>
    <w:p w:rsidR="00E561A8" w:rsidRDefault="00E561A8" w:rsidP="007C3FDB">
      <w:pPr>
        <w:pStyle w:val="BodyText"/>
        <w:tabs>
          <w:tab w:val="center" w:pos="4680"/>
        </w:tabs>
        <w:ind w:firstLine="0"/>
      </w:pPr>
      <w:r>
        <w:t>The</w:t>
      </w:r>
      <w:r w:rsidR="00782F21">
        <w:t xml:space="preserve"> </w:t>
      </w:r>
      <w:r w:rsidR="00E63576">
        <w:t xml:space="preserve">overall </w:t>
      </w:r>
      <w:r w:rsidR="00782F21">
        <w:t>mea</w:t>
      </w:r>
      <w:r>
        <w:t xml:space="preserve">n generated number </w:t>
      </w:r>
      <w:r w:rsidR="00E63576">
        <w:t>was</w:t>
      </w:r>
      <w:r w:rsidR="007C3FDB" w:rsidRPr="007C3FDB">
        <w:t xml:space="preserve"> 19.2 </w:t>
      </w:r>
      <w:r w:rsidR="00E63576">
        <w:t xml:space="preserve"> </w:t>
      </w:r>
      <w:r w:rsidR="007C3FDB" w:rsidRPr="007C3FDB">
        <w:t>(</w:t>
      </w:r>
      <w:r w:rsidR="007C3FDB" w:rsidRPr="006D7E00">
        <w:rPr>
          <w:i/>
        </w:rPr>
        <w:t>SD</w:t>
      </w:r>
      <w:r w:rsidR="007C3FDB" w:rsidRPr="007C3FDB">
        <w:t xml:space="preserve"> = 6.1</w:t>
      </w:r>
      <w:r w:rsidR="00E63576">
        <w:t>, range 4.7 -</w:t>
      </w:r>
      <w:r w:rsidR="00E63576" w:rsidRPr="007C3FDB">
        <w:t xml:space="preserve"> 29.8</w:t>
      </w:r>
      <w:r w:rsidR="007C3FDB" w:rsidRPr="007C3FDB">
        <w:t>). The average number generated was significantly higher in adults (</w:t>
      </w:r>
      <w:r w:rsidR="007C3FDB" w:rsidRPr="006D7E00">
        <w:rPr>
          <w:i/>
        </w:rPr>
        <w:t>M</w:t>
      </w:r>
      <w:r w:rsidR="007C3FDB" w:rsidRPr="007C3FDB">
        <w:t xml:space="preserve"> = 21.8) than in children (</w:t>
      </w:r>
      <w:r w:rsidR="007C3FDB" w:rsidRPr="006D7E00">
        <w:rPr>
          <w:i/>
        </w:rPr>
        <w:t>M</w:t>
      </w:r>
      <w:r w:rsidR="007C3FDB" w:rsidRPr="007C3FDB">
        <w:t xml:space="preserve"> = 16.9, </w:t>
      </w:r>
      <w:proofErr w:type="gramStart"/>
      <w:r w:rsidR="007C3FDB" w:rsidRPr="006D7E00">
        <w:rPr>
          <w:i/>
        </w:rPr>
        <w:t>F</w:t>
      </w:r>
      <w:r w:rsidR="007C3FDB" w:rsidRPr="007C3FDB">
        <w:t>(</w:t>
      </w:r>
      <w:proofErr w:type="gramEnd"/>
      <w:r w:rsidR="007C3FDB" w:rsidRPr="007C3FDB">
        <w:t xml:space="preserve">1,244) = 35.77, </w:t>
      </w:r>
      <w:r w:rsidR="007C3FDB" w:rsidRPr="006D7E00">
        <w:rPr>
          <w:i/>
        </w:rPr>
        <w:t>p</w:t>
      </w:r>
      <w:r w:rsidR="007C3FDB" w:rsidRPr="007C3FDB">
        <w:t xml:space="preserve"> &lt; 0.001) and also </w:t>
      </w:r>
      <w:r w:rsidR="006D7E00">
        <w:t>significant</w:t>
      </w:r>
      <w:r w:rsidR="007C3FDB" w:rsidRPr="007C3FDB">
        <w:t>ly higher in British (</w:t>
      </w:r>
      <w:r w:rsidR="007C3FDB" w:rsidRPr="006D7E00">
        <w:rPr>
          <w:i/>
        </w:rPr>
        <w:t>M</w:t>
      </w:r>
      <w:r w:rsidR="007C3FDB" w:rsidRPr="007C3FDB">
        <w:t xml:space="preserve"> = 22.4) than Arab participants (</w:t>
      </w:r>
      <w:r w:rsidR="007C3FDB" w:rsidRPr="006D7E00">
        <w:rPr>
          <w:i/>
        </w:rPr>
        <w:t>M</w:t>
      </w:r>
      <w:r w:rsidR="007C3FDB" w:rsidRPr="007C3FDB">
        <w:t xml:space="preserve"> = 15.4, </w:t>
      </w:r>
      <w:r w:rsidR="007C3FDB" w:rsidRPr="006D7E00">
        <w:rPr>
          <w:i/>
        </w:rPr>
        <w:t>F</w:t>
      </w:r>
      <w:r w:rsidR="007C3FDB" w:rsidRPr="007C3FDB">
        <w:t xml:space="preserve">(1,244) = 19.23, </w:t>
      </w:r>
      <w:r w:rsidR="007C3FDB" w:rsidRPr="006D7E00">
        <w:rPr>
          <w:i/>
        </w:rPr>
        <w:t>p</w:t>
      </w:r>
      <w:r w:rsidR="007C3FDB" w:rsidRPr="007C3FDB">
        <w:t xml:space="preserve"> &lt; 0.001). The difference between the overall average number generated</w:t>
      </w:r>
      <w:r w:rsidR="00E66E91">
        <w:t xml:space="preserve"> by British versus Arab partici</w:t>
      </w:r>
      <w:r w:rsidR="007C3FDB" w:rsidRPr="007C3FDB">
        <w:t>pants was significantly larger for children than adults (</w:t>
      </w:r>
      <w:proofErr w:type="gramStart"/>
      <w:r w:rsidR="007C3FDB" w:rsidRPr="006D7E00">
        <w:rPr>
          <w:i/>
        </w:rPr>
        <w:t>F</w:t>
      </w:r>
      <w:r w:rsidR="007C3FDB" w:rsidRPr="007C3FDB">
        <w:t>(</w:t>
      </w:r>
      <w:proofErr w:type="gramEnd"/>
      <w:r w:rsidR="007C3FDB" w:rsidRPr="007C3FDB">
        <w:t xml:space="preserve">1,244) = 22.9, </w:t>
      </w:r>
      <w:r w:rsidR="007C3FDB" w:rsidRPr="006D7E00">
        <w:rPr>
          <w:i/>
        </w:rPr>
        <w:t>p</w:t>
      </w:r>
      <w:r w:rsidR="007C3FDB" w:rsidRPr="007C3FDB">
        <w:t xml:space="preserve"> &lt; 0.001). </w:t>
      </w:r>
      <w:r w:rsidR="00D32609">
        <w:t xml:space="preserve"> </w:t>
      </w:r>
    </w:p>
    <w:p w:rsidR="00E561A8" w:rsidRDefault="00E561A8" w:rsidP="007C3FDB">
      <w:pPr>
        <w:pStyle w:val="BodyText"/>
        <w:tabs>
          <w:tab w:val="center" w:pos="4680"/>
        </w:tabs>
        <w:ind w:firstLine="0"/>
      </w:pPr>
    </w:p>
    <w:p w:rsidR="006110A9" w:rsidRDefault="007C3FDB" w:rsidP="007C3FDB">
      <w:pPr>
        <w:pStyle w:val="BodyText"/>
        <w:tabs>
          <w:tab w:val="center" w:pos="4680"/>
        </w:tabs>
        <w:ind w:firstLine="0"/>
      </w:pPr>
      <w:r w:rsidRPr="007C3FDB">
        <w:t>As predicted</w:t>
      </w:r>
      <w:r w:rsidR="005602C7">
        <w:t>,</w:t>
      </w:r>
      <w:r w:rsidRPr="007C3FDB">
        <w:t xml:space="preserve"> the effect of </w:t>
      </w:r>
      <w:r w:rsidR="00D32609">
        <w:t xml:space="preserve">body </w:t>
      </w:r>
      <w:r w:rsidRPr="007C3FDB">
        <w:t>location on number generation differed significantly between British and Arab participants (</w:t>
      </w:r>
      <w:r w:rsidRPr="006D7E00">
        <w:rPr>
          <w:i/>
        </w:rPr>
        <w:t>F</w:t>
      </w:r>
      <w:r w:rsidRPr="007C3FDB">
        <w:t xml:space="preserve">(1,244) = 11.14, </w:t>
      </w:r>
      <w:r w:rsidRPr="006D7E00">
        <w:rPr>
          <w:i/>
        </w:rPr>
        <w:t>p</w:t>
      </w:r>
      <w:r w:rsidRPr="007C3FDB">
        <w:t xml:space="preserve"> = 0.001</w:t>
      </w:r>
      <w:r w:rsidR="00DC38A8">
        <w:t>, see Figure 1</w:t>
      </w:r>
      <w:r w:rsidRPr="007C3FDB">
        <w:t>): while Arab participants generated significantly lower numbers lying on their right (</w:t>
      </w:r>
      <w:proofErr w:type="spellStart"/>
      <w:r w:rsidRPr="006D7E00">
        <w:rPr>
          <w:i/>
        </w:rPr>
        <w:t>M</w:t>
      </w:r>
      <w:r w:rsidRPr="006D7E00">
        <w:rPr>
          <w:i/>
          <w:vertAlign w:val="subscript"/>
        </w:rPr>
        <w:t>right</w:t>
      </w:r>
      <w:proofErr w:type="spellEnd"/>
      <w:r w:rsidRPr="006D7E00">
        <w:rPr>
          <w:vertAlign w:val="subscript"/>
        </w:rPr>
        <w:t xml:space="preserve"> </w:t>
      </w:r>
      <w:r w:rsidRPr="007C3FDB">
        <w:t>= 15.0) than left side (</w:t>
      </w:r>
      <w:proofErr w:type="spellStart"/>
      <w:r w:rsidRPr="006D7E00">
        <w:rPr>
          <w:i/>
        </w:rPr>
        <w:t>M</w:t>
      </w:r>
      <w:r w:rsidRPr="006D7E00">
        <w:rPr>
          <w:i/>
          <w:vertAlign w:val="subscript"/>
        </w:rPr>
        <w:t>left</w:t>
      </w:r>
      <w:proofErr w:type="spellEnd"/>
      <w:r w:rsidRPr="006D7E00">
        <w:rPr>
          <w:i/>
          <w:vertAlign w:val="subscript"/>
        </w:rPr>
        <w:t xml:space="preserve"> </w:t>
      </w:r>
      <w:r w:rsidRPr="007C3FDB">
        <w:t xml:space="preserve">= 15.8, </w:t>
      </w:r>
      <w:r w:rsidRPr="006D7E00">
        <w:rPr>
          <w:i/>
        </w:rPr>
        <w:t>t</w:t>
      </w:r>
      <w:r w:rsidRPr="007C3FDB">
        <w:t xml:space="preserve"> = 2.83, </w:t>
      </w:r>
      <w:proofErr w:type="spellStart"/>
      <w:r w:rsidRPr="006D7E00">
        <w:rPr>
          <w:i/>
        </w:rPr>
        <w:t>df</w:t>
      </w:r>
      <w:proofErr w:type="spellEnd"/>
      <w:r w:rsidRPr="007C3FDB">
        <w:t xml:space="preserve"> = 111, </w:t>
      </w:r>
      <w:r w:rsidRPr="006D7E00">
        <w:rPr>
          <w:i/>
        </w:rPr>
        <w:t>p</w:t>
      </w:r>
      <w:r w:rsidRPr="007C3FDB">
        <w:t xml:space="preserve"> = 0.006), this effect was reversed for British participants (</w:t>
      </w:r>
      <w:proofErr w:type="spellStart"/>
      <w:r w:rsidRPr="006D7E00">
        <w:rPr>
          <w:i/>
        </w:rPr>
        <w:t>M</w:t>
      </w:r>
      <w:r w:rsidRPr="006D7E00">
        <w:rPr>
          <w:i/>
          <w:vertAlign w:val="subscript"/>
        </w:rPr>
        <w:t>right</w:t>
      </w:r>
      <w:proofErr w:type="spellEnd"/>
      <w:r w:rsidRPr="006D7E00">
        <w:rPr>
          <w:i/>
        </w:rPr>
        <w:t xml:space="preserve"> </w:t>
      </w:r>
      <w:r w:rsidRPr="007C3FDB">
        <w:t xml:space="preserve"> = 22.8, </w:t>
      </w:r>
      <w:proofErr w:type="spellStart"/>
      <w:r w:rsidRPr="006D7E00">
        <w:rPr>
          <w:i/>
        </w:rPr>
        <w:t>M</w:t>
      </w:r>
      <w:r w:rsidRPr="006D7E00">
        <w:rPr>
          <w:i/>
          <w:vertAlign w:val="subscript"/>
        </w:rPr>
        <w:t>left</w:t>
      </w:r>
      <w:proofErr w:type="spellEnd"/>
      <w:r w:rsidRPr="006D7E00">
        <w:rPr>
          <w:vertAlign w:val="subscript"/>
        </w:rPr>
        <w:t xml:space="preserve"> </w:t>
      </w:r>
      <w:r w:rsidRPr="007C3FDB">
        <w:t xml:space="preserve">= 21.9, </w:t>
      </w:r>
      <w:r w:rsidRPr="006D7E00">
        <w:rPr>
          <w:i/>
        </w:rPr>
        <w:t>t</w:t>
      </w:r>
      <w:r w:rsidRPr="007C3FDB">
        <w:t xml:space="preserve"> = -2.68, </w:t>
      </w:r>
      <w:proofErr w:type="spellStart"/>
      <w:r w:rsidRPr="006D7E00">
        <w:rPr>
          <w:i/>
        </w:rPr>
        <w:t>df</w:t>
      </w:r>
      <w:proofErr w:type="spellEnd"/>
      <w:r w:rsidRPr="007C3FDB">
        <w:t xml:space="preserve"> = 135, </w:t>
      </w:r>
      <w:r w:rsidRPr="006D7E00">
        <w:rPr>
          <w:i/>
        </w:rPr>
        <w:t>p</w:t>
      </w:r>
      <w:r w:rsidR="00211A37">
        <w:t xml:space="preserve"> = 0.008).</w:t>
      </w:r>
      <w:r w:rsidR="00640C1D">
        <w:t xml:space="preserve"> This effect was not significantly modified by age group (</w:t>
      </w:r>
      <w:proofErr w:type="gramStart"/>
      <w:r w:rsidR="00640C1D" w:rsidRPr="00E63576">
        <w:rPr>
          <w:i/>
        </w:rPr>
        <w:t>F</w:t>
      </w:r>
      <w:r w:rsidR="00640C1D">
        <w:t>(</w:t>
      </w:r>
      <w:proofErr w:type="gramEnd"/>
      <w:r w:rsidR="00640C1D">
        <w:t xml:space="preserve">1,244) = 2.76, </w:t>
      </w:r>
      <w:r w:rsidR="00640C1D" w:rsidRPr="00E63576">
        <w:rPr>
          <w:i/>
        </w:rPr>
        <w:t>p</w:t>
      </w:r>
      <w:r w:rsidR="00640C1D">
        <w:t xml:space="preserve"> = 0.10).</w:t>
      </w:r>
    </w:p>
    <w:p w:rsidR="005602C7" w:rsidRDefault="005602C7" w:rsidP="007C3FDB">
      <w:pPr>
        <w:pStyle w:val="BodyText"/>
        <w:tabs>
          <w:tab w:val="center" w:pos="4680"/>
        </w:tabs>
        <w:ind w:firstLine="0"/>
      </w:pPr>
    </w:p>
    <w:p w:rsidR="006110A9" w:rsidRPr="007C3FDB" w:rsidRDefault="00E15300" w:rsidP="007C3FDB">
      <w:pPr>
        <w:pStyle w:val="BodyText"/>
        <w:tabs>
          <w:tab w:val="center" w:pos="4680"/>
        </w:tabs>
        <w:ind w:firstLine="0"/>
      </w:pPr>
      <w:r w:rsidRPr="00E15300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6" type="#_x0000_t202" style="position:absolute;margin-left:318.1pt;margin-top:50.3pt;width:27.9pt;height:1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" filled="f" stroked="f">
            <v:textbox>
              <w:txbxContent>
                <w:p w:rsidR="008B4907" w:rsidRDefault="008B4907" w:rsidP="005521C8">
                  <w:r>
                    <w:t>**</w:t>
                  </w:r>
                </w:p>
              </w:txbxContent>
            </v:textbox>
          </v:shape>
        </w:pict>
      </w:r>
      <w:r w:rsidRPr="00E15300">
        <w:rPr>
          <w:noProof/>
        </w:rPr>
        <w:pict>
          <v:shape id="Text Box 25" o:spid="_x0000_s1027" type="#_x0000_t202" style="position:absolute;margin-left:109.4pt;margin-top:8.8pt;width:27.9pt;height:1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" filled="f" stroked="f">
            <v:textbox>
              <w:txbxContent>
                <w:p w:rsidR="008B4907" w:rsidRDefault="008B4907">
                  <w:r>
                    <w:t>**</w:t>
                  </w:r>
                </w:p>
              </w:txbxContent>
            </v:textbox>
          </v:shape>
        </w:pict>
      </w:r>
      <w:r w:rsidRPr="00E1530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4" o:spid="_x0000_s1036" type="#_x0000_t32" style="position:absolute;margin-left:372.6pt;margin-top:66pt;width:0;height:7.45pt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"/>
        </w:pict>
      </w:r>
      <w:r w:rsidRPr="00E15300">
        <w:rPr>
          <w:noProof/>
        </w:rPr>
        <w:pict>
          <v:shape id="AutoShape 23" o:spid="_x0000_s1035" type="#_x0000_t32" style="position:absolute;margin-left:4in;margin-top:66pt;width:84.6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"/>
        </w:pict>
      </w:r>
      <w:r w:rsidRPr="00E15300">
        <w:rPr>
          <w:noProof/>
        </w:rPr>
        <w:pict>
          <v:shape id="AutoShape 22" o:spid="_x0000_s1034" type="#_x0000_t32" style="position:absolute;margin-left:4in;margin-top:66pt;width:0;height:7.45pt;flip:y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"/>
        </w:pict>
      </w:r>
      <w:r w:rsidRPr="00E15300">
        <w:rPr>
          <w:noProof/>
        </w:rPr>
        <w:pict>
          <v:shape id="AutoShape 20" o:spid="_x0000_s1033" type="#_x0000_t32" style="position:absolute;margin-left:159.35pt;margin-top:24.3pt;width:0;height:6.65pt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"/>
        </w:pict>
      </w:r>
      <w:r w:rsidRPr="00E15300">
        <w:rPr>
          <w:noProof/>
        </w:rPr>
        <w:pict>
          <v:shape id="AutoShape 19" o:spid="_x0000_s1032" type="#_x0000_t32" style="position:absolute;margin-left:75.95pt;margin-top:24.3pt;width:0;height:6.6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"/>
        </w:pict>
      </w:r>
      <w:r w:rsidRPr="00E15300">
        <w:rPr>
          <w:noProof/>
        </w:rPr>
        <w:pict>
          <v:shape id="AutoShape 18" o:spid="_x0000_s1031" type="#_x0000_t32" style="position:absolute;margin-left:75.95pt;margin-top:24.3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"/>
        </w:pict>
      </w:r>
      <w:r w:rsidRPr="00E15300">
        <w:rPr>
          <w:noProof/>
        </w:rPr>
        <w:pict>
          <v:shape id="AutoShape 17" o:spid="_x0000_s1030" type="#_x0000_t32" style="position:absolute;margin-left:75.95pt;margin-top:24.3pt;width:83.4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"/>
        </w:pict>
      </w:r>
      <w:r w:rsidR="006404DD">
        <w:rPr>
          <w:noProof/>
          <w:lang w:val="en-GB" w:eastAsia="en-GB"/>
        </w:rPr>
        <w:drawing>
          <wp:inline distT="0" distB="0" distL="0" distR="0">
            <wp:extent cx="2626186" cy="3132944"/>
            <wp:effectExtent l="19050" t="0" r="2714" b="0"/>
            <wp:docPr id="5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842" cy="313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04DD" w:rsidRPr="006404DD">
        <w:rPr>
          <w:noProof/>
          <w:lang w:eastAsia="en-GB"/>
        </w:rPr>
        <w:t xml:space="preserve"> </w:t>
      </w:r>
      <w:r w:rsidR="009F215C">
        <w:rPr>
          <w:noProof/>
          <w:lang w:val="en-GB" w:eastAsia="en-GB"/>
        </w:rPr>
        <w:drawing>
          <wp:inline distT="0" distB="0" distL="0" distR="0">
            <wp:extent cx="2657038" cy="3087974"/>
            <wp:effectExtent l="19050" t="0" r="0" b="0"/>
            <wp:docPr id="5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233" cy="308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93D" w:rsidRPr="00CB33C4" w:rsidRDefault="00CB33C4" w:rsidP="007C3FDB">
      <w:pPr>
        <w:pStyle w:val="BodyText"/>
        <w:tabs>
          <w:tab w:val="center" w:pos="4680"/>
        </w:tabs>
        <w:ind w:firstLine="0"/>
        <w:rPr>
          <w:color w:val="000000" w:themeColor="text1"/>
        </w:rPr>
      </w:pPr>
      <w:r w:rsidRPr="009C3609">
        <w:rPr>
          <w:i/>
          <w:color w:val="000000" w:themeColor="text1"/>
        </w:rPr>
        <w:t>Figure 1.</w:t>
      </w:r>
      <w:r>
        <w:rPr>
          <w:color w:val="000000" w:themeColor="text1"/>
        </w:rPr>
        <w:t xml:space="preserve"> Mean number generated lying on the left versus right side by country </w:t>
      </w:r>
      <w:r w:rsidR="00F21040">
        <w:rPr>
          <w:color w:val="000000" w:themeColor="text1"/>
        </w:rPr>
        <w:t>(error bars are confidence intervals)</w:t>
      </w:r>
    </w:p>
    <w:p w:rsidR="00F21040" w:rsidRDefault="00F21040" w:rsidP="007C3FDB">
      <w:pPr>
        <w:pStyle w:val="BodyText"/>
        <w:tabs>
          <w:tab w:val="center" w:pos="4680"/>
        </w:tabs>
        <w:ind w:firstLine="0"/>
        <w:rPr>
          <w:i/>
        </w:rPr>
      </w:pPr>
    </w:p>
    <w:p w:rsidR="007C3FDB" w:rsidRPr="0049219D" w:rsidRDefault="006152C7" w:rsidP="007C3FDB">
      <w:pPr>
        <w:pStyle w:val="BodyText"/>
        <w:tabs>
          <w:tab w:val="center" w:pos="4680"/>
        </w:tabs>
        <w:ind w:firstLine="0"/>
        <w:rPr>
          <w:i/>
        </w:rPr>
      </w:pPr>
      <w:r>
        <w:rPr>
          <w:i/>
        </w:rPr>
        <w:t>Parity judg</w:t>
      </w:r>
      <w:r w:rsidR="00627BBB" w:rsidRPr="0049219D">
        <w:rPr>
          <w:i/>
        </w:rPr>
        <w:t>ment</w:t>
      </w:r>
    </w:p>
    <w:p w:rsidR="008865F8" w:rsidRDefault="008865F8" w:rsidP="008865F8">
      <w:pPr>
        <w:pStyle w:val="BodyText"/>
        <w:tabs>
          <w:tab w:val="center" w:pos="4680"/>
        </w:tabs>
        <w:ind w:firstLine="0"/>
      </w:pPr>
      <w:r>
        <w:t>Six</w:t>
      </w:r>
      <w:r w:rsidRPr="007C3FDB">
        <w:t xml:space="preserve"> participants had to be excluded because </w:t>
      </w:r>
      <w:r w:rsidR="00EA3323">
        <w:t>accuracy rates were not significantly different from chance for at least three numbers.</w:t>
      </w:r>
      <w:r w:rsidRPr="007C3FDB">
        <w:t xml:space="preserve"> We report data from the remaining 55 British adu</w:t>
      </w:r>
      <w:r>
        <w:t>lts (</w:t>
      </w:r>
      <w:r w:rsidRPr="006D7E00">
        <w:rPr>
          <w:i/>
        </w:rPr>
        <w:t>M</w:t>
      </w:r>
      <w:r w:rsidRPr="006D7E00">
        <w:rPr>
          <w:i/>
          <w:vertAlign w:val="subscript"/>
        </w:rPr>
        <w:t>age</w:t>
      </w:r>
      <w:r w:rsidRPr="00003A6F">
        <w:rPr>
          <w:vertAlign w:val="subscript"/>
        </w:rPr>
        <w:t xml:space="preserve"> </w:t>
      </w:r>
      <w:r w:rsidRPr="007C3FDB">
        <w:t xml:space="preserve">= 20.13, </w:t>
      </w:r>
      <w:r w:rsidRPr="006D7E00">
        <w:rPr>
          <w:i/>
        </w:rPr>
        <w:t>SD</w:t>
      </w:r>
      <w:r w:rsidRPr="007C3FDB">
        <w:t xml:space="preserve"> = 2.26, 45 female) and 59 Arab adu</w:t>
      </w:r>
      <w:r>
        <w:t>lts (</w:t>
      </w:r>
      <w:r w:rsidRPr="006D7E00">
        <w:rPr>
          <w:i/>
        </w:rPr>
        <w:t>M</w:t>
      </w:r>
      <w:r w:rsidRPr="006D7E00">
        <w:rPr>
          <w:i/>
          <w:vertAlign w:val="subscript"/>
        </w:rPr>
        <w:t>age</w:t>
      </w:r>
      <w:r w:rsidRPr="007C3FDB">
        <w:t xml:space="preserve"> = 24.29, </w:t>
      </w:r>
      <w:r w:rsidRPr="006D7E00">
        <w:rPr>
          <w:i/>
        </w:rPr>
        <w:t>SD</w:t>
      </w:r>
      <w:r w:rsidRPr="007C3FDB">
        <w:t xml:space="preserve"> = 3.44, 40 female). </w:t>
      </w:r>
    </w:p>
    <w:p w:rsidR="006152C7" w:rsidRDefault="006152C7" w:rsidP="0026217E">
      <w:pPr>
        <w:pStyle w:val="BodyText"/>
        <w:tabs>
          <w:tab w:val="center" w:pos="4680"/>
        </w:tabs>
        <w:ind w:firstLine="0"/>
      </w:pPr>
    </w:p>
    <w:p w:rsidR="006021A5" w:rsidRDefault="0049219D" w:rsidP="006152C7">
      <w:pPr>
        <w:pStyle w:val="BodyText"/>
        <w:tabs>
          <w:tab w:val="center" w:pos="4680"/>
        </w:tabs>
        <w:ind w:firstLine="0"/>
      </w:pPr>
      <w:r>
        <w:t>Mean accuracy was high</w:t>
      </w:r>
      <w:r w:rsidR="00863DC2">
        <w:t xml:space="preserve"> (</w:t>
      </w:r>
      <w:r w:rsidR="00863DC2" w:rsidRPr="0026217E">
        <w:rPr>
          <w:i/>
        </w:rPr>
        <w:t>M</w:t>
      </w:r>
      <w:r w:rsidR="00863DC2">
        <w:t xml:space="preserve"> = 0.95</w:t>
      </w:r>
      <w:r w:rsidR="00621EE3">
        <w:t xml:space="preserve">, </w:t>
      </w:r>
      <w:r w:rsidR="00621EE3" w:rsidRPr="0026217E">
        <w:rPr>
          <w:i/>
        </w:rPr>
        <w:t>SD</w:t>
      </w:r>
      <w:r w:rsidR="00621EE3">
        <w:t xml:space="preserve"> = </w:t>
      </w:r>
      <w:r w:rsidR="0026217E">
        <w:t>0.04</w:t>
      </w:r>
      <w:r>
        <w:t xml:space="preserve">). </w:t>
      </w:r>
      <w:r w:rsidR="007C7C98">
        <w:t xml:space="preserve">The </w:t>
      </w:r>
      <w:r>
        <w:t xml:space="preserve">mean </w:t>
      </w:r>
      <w:r w:rsidR="007C7C98">
        <w:t>RT</w:t>
      </w:r>
      <w:r w:rsidR="00204F3F">
        <w:t xml:space="preserve"> after outlier correction</w:t>
      </w:r>
      <w:r w:rsidR="00627BBB">
        <w:t xml:space="preserve"> </w:t>
      </w:r>
      <w:r w:rsidR="00E63576">
        <w:t>(1.8% of correct trials) was</w:t>
      </w:r>
      <w:r w:rsidR="00627BBB">
        <w:t xml:space="preserve"> 686 </w:t>
      </w:r>
      <w:r w:rsidR="0026217E">
        <w:t>ms (</w:t>
      </w:r>
      <w:r w:rsidR="0026217E" w:rsidRPr="007C7C98">
        <w:rPr>
          <w:i/>
        </w:rPr>
        <w:t>SD</w:t>
      </w:r>
      <w:r w:rsidR="00627BBB">
        <w:t xml:space="preserve"> = 223</w:t>
      </w:r>
      <w:r w:rsidR="0026217E">
        <w:t>)</w:t>
      </w:r>
      <w:r w:rsidR="007C7C98">
        <w:t>.</w:t>
      </w:r>
      <w:r w:rsidR="00A66DF3" w:rsidRPr="00A66DF3">
        <w:t xml:space="preserve"> </w:t>
      </w:r>
      <w:r w:rsidR="00A10714">
        <w:t xml:space="preserve">We </w:t>
      </w:r>
      <w:r w:rsidR="00BD2D42">
        <w:t>analyzed</w:t>
      </w:r>
      <w:r w:rsidR="00A10714">
        <w:t xml:space="preserve"> SNARC regression slopes for individual participants</w:t>
      </w:r>
      <w:r w:rsidR="00A10714" w:rsidRPr="001B44BD">
        <w:t xml:space="preserve"> (</w:t>
      </w:r>
      <w:r w:rsidR="00DC38A8">
        <w:t xml:space="preserve">for </w:t>
      </w:r>
      <w:r w:rsidR="00A10714" w:rsidRPr="001B44BD">
        <w:t xml:space="preserve">method </w:t>
      </w:r>
      <w:r w:rsidR="00DC38A8">
        <w:t>see</w:t>
      </w:r>
      <w:r w:rsidR="00A10714" w:rsidRPr="001B44BD">
        <w:t xml:space="preserve"> </w:t>
      </w:r>
      <w:proofErr w:type="spellStart"/>
      <w:r w:rsidR="00A10714" w:rsidRPr="001B44BD">
        <w:t>Fias</w:t>
      </w:r>
      <w:proofErr w:type="spellEnd"/>
      <w:r w:rsidR="00A10714" w:rsidRPr="001B44BD">
        <w:t xml:space="preserve"> et al., 1996)</w:t>
      </w:r>
      <w:r w:rsidR="00A10714">
        <w:t xml:space="preserve">. </w:t>
      </w:r>
      <w:r w:rsidR="007C3FDB" w:rsidRPr="007C3FDB">
        <w:t xml:space="preserve">British adults </w:t>
      </w:r>
      <w:r w:rsidR="00F4070D">
        <w:t xml:space="preserve">showed a typical SNARC effect: they </w:t>
      </w:r>
      <w:r w:rsidR="007C3FDB" w:rsidRPr="007C3FDB">
        <w:t>were significantly faster to respond to small numbers with the left and larger numbers with the right hand (</w:t>
      </w:r>
      <w:r w:rsidR="00A10714">
        <w:rPr>
          <w:i/>
        </w:rPr>
        <w:t>b</w:t>
      </w:r>
      <w:r w:rsidR="007C3FDB" w:rsidRPr="007C3FDB">
        <w:t xml:space="preserve"> = -9.97, </w:t>
      </w:r>
      <w:r w:rsidR="007C3FDB" w:rsidRPr="006D7E00">
        <w:rPr>
          <w:i/>
        </w:rPr>
        <w:t>SD</w:t>
      </w:r>
      <w:r w:rsidR="006D7E00">
        <w:t xml:space="preserve"> = 12.5,</w:t>
      </w:r>
      <w:r w:rsidR="007C3FDB" w:rsidRPr="007C3FDB">
        <w:t xml:space="preserve"> </w:t>
      </w:r>
      <w:r w:rsidR="007C3FDB" w:rsidRPr="006D7E00">
        <w:rPr>
          <w:i/>
        </w:rPr>
        <w:t>t</w:t>
      </w:r>
      <w:r w:rsidR="007C3FDB" w:rsidRPr="007C3FDB">
        <w:t xml:space="preserve"> = -5.91, </w:t>
      </w:r>
      <w:proofErr w:type="spellStart"/>
      <w:r w:rsidR="007C3FDB" w:rsidRPr="006D7E00">
        <w:rPr>
          <w:i/>
        </w:rPr>
        <w:t>df</w:t>
      </w:r>
      <w:proofErr w:type="spellEnd"/>
      <w:r w:rsidR="007C3FDB" w:rsidRPr="007C3FDB">
        <w:t xml:space="preserve"> = 54, </w:t>
      </w:r>
      <w:r w:rsidR="007C3FDB" w:rsidRPr="006D7E00">
        <w:rPr>
          <w:i/>
        </w:rPr>
        <w:t>p</w:t>
      </w:r>
      <w:r w:rsidR="007C3FDB" w:rsidRPr="007C3FDB">
        <w:t xml:space="preserve"> &lt; 0.001), while Arab adults showed the </w:t>
      </w:r>
      <w:r w:rsidR="006152C7">
        <w:t>opposite</w:t>
      </w:r>
      <w:r w:rsidR="007C3FDB" w:rsidRPr="007C3FDB">
        <w:t xml:space="preserve"> association</w:t>
      </w:r>
      <w:r w:rsidR="00F4070D">
        <w:t xml:space="preserve">: they </w:t>
      </w:r>
      <w:r w:rsidR="00F4070D" w:rsidRPr="007C3FDB">
        <w:t>were significantly faster to respon</w:t>
      </w:r>
      <w:r w:rsidR="00F4070D">
        <w:t>d to small numbers with the</w:t>
      </w:r>
      <w:r w:rsidR="006B618F">
        <w:t>ir</w:t>
      </w:r>
      <w:r w:rsidR="00F4070D">
        <w:t xml:space="preserve"> right</w:t>
      </w:r>
      <w:r w:rsidR="00F4070D" w:rsidRPr="007C3FDB">
        <w:t xml:space="preserve"> and larger numbers with the</w:t>
      </w:r>
      <w:r w:rsidR="006B618F">
        <w:t>ir</w:t>
      </w:r>
      <w:r w:rsidR="00F4070D" w:rsidRPr="007C3FDB">
        <w:t xml:space="preserve"> </w:t>
      </w:r>
      <w:r w:rsidR="00F4070D">
        <w:t>lef</w:t>
      </w:r>
      <w:r w:rsidR="00F4070D" w:rsidRPr="007C3FDB">
        <w:t>t hand</w:t>
      </w:r>
      <w:r w:rsidR="007C3FDB" w:rsidRPr="007C3FDB">
        <w:t xml:space="preserve"> (</w:t>
      </w:r>
      <w:r w:rsidR="00A10714">
        <w:rPr>
          <w:i/>
        </w:rPr>
        <w:t>b</w:t>
      </w:r>
      <w:r w:rsidR="007C3FDB" w:rsidRPr="007C3FDB">
        <w:t xml:space="preserve"> = 21.8, </w:t>
      </w:r>
      <w:r w:rsidR="007C3FDB" w:rsidRPr="006D7E00">
        <w:rPr>
          <w:i/>
        </w:rPr>
        <w:t>SD</w:t>
      </w:r>
      <w:r w:rsidR="007C3FDB" w:rsidRPr="007C3FDB">
        <w:t xml:space="preserve"> = 83.1, </w:t>
      </w:r>
      <w:r w:rsidR="007C3FDB" w:rsidRPr="006D7E00">
        <w:rPr>
          <w:i/>
        </w:rPr>
        <w:t>t</w:t>
      </w:r>
      <w:r w:rsidR="007C3FDB" w:rsidRPr="007C3FDB">
        <w:t xml:space="preserve"> </w:t>
      </w:r>
      <w:r w:rsidR="007C3FDB" w:rsidRPr="007C3FDB">
        <w:lastRenderedPageBreak/>
        <w:t xml:space="preserve">= 2.02, </w:t>
      </w:r>
      <w:proofErr w:type="spellStart"/>
      <w:r w:rsidR="007C3FDB" w:rsidRPr="006D7E00">
        <w:rPr>
          <w:i/>
        </w:rPr>
        <w:t>df</w:t>
      </w:r>
      <w:proofErr w:type="spellEnd"/>
      <w:r w:rsidR="007C3FDB" w:rsidRPr="007C3FDB">
        <w:t xml:space="preserve"> = 58, </w:t>
      </w:r>
      <w:r w:rsidR="007C3FDB" w:rsidRPr="006D7E00">
        <w:rPr>
          <w:i/>
        </w:rPr>
        <w:t>p</w:t>
      </w:r>
      <w:r w:rsidR="007C3FDB" w:rsidRPr="007C3FDB">
        <w:t xml:space="preserve"> = 0.048). The SNARC </w:t>
      </w:r>
      <w:r w:rsidR="00A10714">
        <w:t>slopes</w:t>
      </w:r>
      <w:r w:rsidR="007C3FDB" w:rsidRPr="007C3FDB">
        <w:t xml:space="preserve"> differed significantly between British and Arab adults (</w:t>
      </w:r>
      <w:r w:rsidR="007C3FDB" w:rsidRPr="006D7E00">
        <w:rPr>
          <w:i/>
        </w:rPr>
        <w:t>t</w:t>
      </w:r>
      <w:r w:rsidR="007C3FDB" w:rsidRPr="007C3FDB">
        <w:t xml:space="preserve"> = -2.90, </w:t>
      </w:r>
      <w:proofErr w:type="spellStart"/>
      <w:r w:rsidR="007C3FDB" w:rsidRPr="006D7E00">
        <w:rPr>
          <w:i/>
        </w:rPr>
        <w:t>df</w:t>
      </w:r>
      <w:proofErr w:type="spellEnd"/>
      <w:r w:rsidR="00DD7F8D">
        <w:t xml:space="preserve"> = 60.81</w:t>
      </w:r>
      <w:r w:rsidR="007C3FDB" w:rsidRPr="007C3FDB">
        <w:t xml:space="preserve">, </w:t>
      </w:r>
      <w:r w:rsidR="007C3FDB" w:rsidRPr="006D7E00">
        <w:rPr>
          <w:i/>
        </w:rPr>
        <w:t>p</w:t>
      </w:r>
      <w:r w:rsidR="007C3FDB" w:rsidRPr="007C3FDB">
        <w:t xml:space="preserve"> = 0.005</w:t>
      </w:r>
      <w:r w:rsidR="00DC38A8">
        <w:t>, see Figure 2</w:t>
      </w:r>
      <w:r w:rsidR="007C3FDB" w:rsidRPr="007C3FDB">
        <w:t xml:space="preserve">). </w:t>
      </w:r>
    </w:p>
    <w:p w:rsidR="006152C7" w:rsidRDefault="006152C7" w:rsidP="006152C7">
      <w:pPr>
        <w:pStyle w:val="BodyText"/>
        <w:tabs>
          <w:tab w:val="center" w:pos="4680"/>
        </w:tabs>
        <w:ind w:firstLine="0"/>
      </w:pPr>
    </w:p>
    <w:p w:rsidR="006021A5" w:rsidRDefault="00AD64F6" w:rsidP="007C3FDB">
      <w:pPr>
        <w:pStyle w:val="BodyText"/>
        <w:tabs>
          <w:tab w:val="center" w:pos="4680"/>
        </w:tabs>
        <w:ind w:firstLine="0"/>
      </w:pPr>
      <w:r>
        <w:object w:dxaOrig="6794" w:dyaOrig="45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35pt;height:149.65pt" o:ole="">
            <v:imagedata r:id="rId10" o:title=""/>
          </v:shape>
          <o:OLEObject Type="Embed" ProgID="SigmaPlotGraphicObject.9" ShapeID="_x0000_i1025" DrawAspect="Content" ObjectID="_1495619785" r:id="rId11"/>
        </w:object>
      </w:r>
      <w:r>
        <w:object w:dxaOrig="6794" w:dyaOrig="4587">
          <v:shape id="_x0000_i1026" type="#_x0000_t75" style="width:221.35pt;height:149.65pt" o:ole="">
            <v:imagedata r:id="rId12" o:title=""/>
          </v:shape>
          <o:OLEObject Type="Embed" ProgID="SigmaPlotGraphicObject.9" ShapeID="_x0000_i1026" DrawAspect="Content" ObjectID="_1495619786" r:id="rId13"/>
        </w:object>
      </w:r>
    </w:p>
    <w:p w:rsidR="006021A5" w:rsidRDefault="00CB33C4" w:rsidP="007C3FDB">
      <w:pPr>
        <w:pStyle w:val="BodyText"/>
        <w:tabs>
          <w:tab w:val="center" w:pos="4680"/>
        </w:tabs>
        <w:ind w:firstLine="0"/>
        <w:rPr>
          <w:color w:val="000000" w:themeColor="text1"/>
        </w:rPr>
      </w:pPr>
      <w:r w:rsidRPr="00CB33C4">
        <w:rPr>
          <w:i/>
          <w:color w:val="000000" w:themeColor="text1"/>
        </w:rPr>
        <w:t>Figure 2.</w:t>
      </w:r>
      <w:r w:rsidR="006021A5" w:rsidRPr="00CB33C4">
        <w:rPr>
          <w:color w:val="000000" w:themeColor="text1"/>
        </w:rPr>
        <w:t xml:space="preserve"> </w:t>
      </w:r>
      <w:r>
        <w:rPr>
          <w:color w:val="000000" w:themeColor="text1"/>
        </w:rPr>
        <w:t>The difference between RTs of right and left hand plotted against number magnitude for (A) British and (B) Arab adults.</w:t>
      </w:r>
    </w:p>
    <w:p w:rsidR="001234CD" w:rsidRDefault="001234CD" w:rsidP="007C3FDB">
      <w:pPr>
        <w:pStyle w:val="BodyText"/>
        <w:tabs>
          <w:tab w:val="center" w:pos="4680"/>
        </w:tabs>
        <w:ind w:firstLine="0"/>
        <w:rPr>
          <w:b/>
        </w:rPr>
      </w:pPr>
    </w:p>
    <w:p w:rsidR="007C3FDB" w:rsidRPr="00BE752F" w:rsidRDefault="0002762F" w:rsidP="007C3FDB">
      <w:pPr>
        <w:pStyle w:val="BodyText"/>
        <w:tabs>
          <w:tab w:val="center" w:pos="4680"/>
        </w:tabs>
        <w:ind w:firstLine="0"/>
        <w:rPr>
          <w:i/>
        </w:rPr>
      </w:pPr>
      <w:r w:rsidRPr="00BE752F">
        <w:rPr>
          <w:i/>
        </w:rPr>
        <w:t>Arithmetic ability</w:t>
      </w:r>
    </w:p>
    <w:p w:rsidR="007C3FDB" w:rsidRPr="007C3FDB" w:rsidRDefault="007C3FDB" w:rsidP="007C3FDB">
      <w:pPr>
        <w:pStyle w:val="BodyText"/>
        <w:tabs>
          <w:tab w:val="center" w:pos="4680"/>
        </w:tabs>
        <w:ind w:firstLine="0"/>
      </w:pPr>
      <w:r w:rsidRPr="007C3FDB">
        <w:t>British adults</w:t>
      </w:r>
      <w:r w:rsidR="00EA4D58">
        <w:t xml:space="preserve"> </w:t>
      </w:r>
      <w:r w:rsidRPr="007C3FDB">
        <w:t>had significantly higher WRAT raw scores</w:t>
      </w:r>
      <w:r w:rsidR="00EA4D58">
        <w:t xml:space="preserve"> (r</w:t>
      </w:r>
      <w:r w:rsidR="00F84898">
        <w:t xml:space="preserve">ange 35-55, </w:t>
      </w:r>
      <w:r w:rsidR="00F84898" w:rsidRPr="00A439A0">
        <w:rPr>
          <w:i/>
        </w:rPr>
        <w:t>M</w:t>
      </w:r>
      <w:r w:rsidR="00F84898">
        <w:t xml:space="preserve"> = 47.3, </w:t>
      </w:r>
      <w:r w:rsidR="00F84898" w:rsidRPr="00A439A0">
        <w:rPr>
          <w:i/>
        </w:rPr>
        <w:t>SD</w:t>
      </w:r>
      <w:r w:rsidR="00F84898">
        <w:t xml:space="preserve"> = 5.2)</w:t>
      </w:r>
      <w:r w:rsidRPr="007C3FDB">
        <w:t xml:space="preserve"> than British children (</w:t>
      </w:r>
      <w:r w:rsidR="00EA4D58">
        <w:t xml:space="preserve">range 13-36, </w:t>
      </w:r>
      <w:r w:rsidR="00EA4D58" w:rsidRPr="00A439A0">
        <w:rPr>
          <w:i/>
        </w:rPr>
        <w:t>M</w:t>
      </w:r>
      <w:r w:rsidR="00EA4D58">
        <w:t xml:space="preserve"> = 26.6, </w:t>
      </w:r>
      <w:r w:rsidR="00EA4D58" w:rsidRPr="00A439A0">
        <w:rPr>
          <w:i/>
        </w:rPr>
        <w:t>SD</w:t>
      </w:r>
      <w:r w:rsidR="00EA4D58">
        <w:t xml:space="preserve"> = 5.2; </w:t>
      </w:r>
      <w:r w:rsidRPr="00E66E91">
        <w:rPr>
          <w:i/>
        </w:rPr>
        <w:t>t</w:t>
      </w:r>
      <w:r w:rsidR="00F22D8C">
        <w:t xml:space="preserve"> = 24.40</w:t>
      </w:r>
      <w:r w:rsidRPr="007C3FDB">
        <w:t xml:space="preserve">, </w:t>
      </w:r>
      <w:proofErr w:type="spellStart"/>
      <w:r w:rsidRPr="00E66E91">
        <w:rPr>
          <w:i/>
        </w:rPr>
        <w:t>df</w:t>
      </w:r>
      <w:proofErr w:type="spellEnd"/>
      <w:r w:rsidR="00F22D8C">
        <w:t xml:space="preserve"> = 125.23</w:t>
      </w:r>
      <w:r w:rsidRPr="007C3FDB">
        <w:t xml:space="preserve">, </w:t>
      </w:r>
      <w:r w:rsidRPr="00DC38A8">
        <w:rPr>
          <w:i/>
        </w:rPr>
        <w:t>p</w:t>
      </w:r>
      <w:r w:rsidRPr="007C3FDB">
        <w:t xml:space="preserve"> &lt; 0.001)</w:t>
      </w:r>
      <w:r w:rsidR="00EA4D58">
        <w:t>. British adults also outperformed</w:t>
      </w:r>
      <w:r w:rsidRPr="007C3FDB">
        <w:t xml:space="preserve"> Arab adults (</w:t>
      </w:r>
      <w:r w:rsidR="00EA4D58">
        <w:t xml:space="preserve">range </w:t>
      </w:r>
      <w:r w:rsidR="00F84898">
        <w:t xml:space="preserve">29-53, </w:t>
      </w:r>
      <w:r w:rsidR="00F84898" w:rsidRPr="00A439A0">
        <w:rPr>
          <w:i/>
        </w:rPr>
        <w:t>M</w:t>
      </w:r>
      <w:r w:rsidR="00F84898">
        <w:t xml:space="preserve"> = 41.0, </w:t>
      </w:r>
      <w:r w:rsidR="00F84898" w:rsidRPr="00A439A0">
        <w:rPr>
          <w:i/>
        </w:rPr>
        <w:t>SD</w:t>
      </w:r>
      <w:r w:rsidR="00F84898">
        <w:t xml:space="preserve"> = 6.7; </w:t>
      </w:r>
      <w:r w:rsidRPr="00E66E91">
        <w:rPr>
          <w:i/>
        </w:rPr>
        <w:t>t</w:t>
      </w:r>
      <w:r w:rsidR="00F22D8C">
        <w:t xml:space="preserve"> = -5.92</w:t>
      </w:r>
      <w:r w:rsidRPr="007C3FDB">
        <w:t xml:space="preserve">, </w:t>
      </w:r>
      <w:proofErr w:type="spellStart"/>
      <w:r w:rsidRPr="00E66E91">
        <w:rPr>
          <w:i/>
        </w:rPr>
        <w:t>df</w:t>
      </w:r>
      <w:proofErr w:type="spellEnd"/>
      <w:r w:rsidR="00F22D8C">
        <w:t xml:space="preserve"> = 104.75</w:t>
      </w:r>
      <w:r w:rsidRPr="007C3FDB">
        <w:t xml:space="preserve">, </w:t>
      </w:r>
      <w:r w:rsidRPr="00E66E91">
        <w:rPr>
          <w:i/>
        </w:rPr>
        <w:t>p</w:t>
      </w:r>
      <w:r w:rsidR="006152C7">
        <w:t xml:space="preserve"> &lt; 0.001) who outperformed </w:t>
      </w:r>
      <w:r w:rsidR="00F84898">
        <w:t>British c</w:t>
      </w:r>
      <w:r w:rsidR="00E232C6">
        <w:t>hildren (</w:t>
      </w:r>
      <w:r w:rsidR="00E232C6" w:rsidRPr="00E232C6">
        <w:rPr>
          <w:i/>
        </w:rPr>
        <w:t>t</w:t>
      </w:r>
      <w:r w:rsidR="00E232C6">
        <w:t xml:space="preserve"> = 13.80, </w:t>
      </w:r>
      <w:proofErr w:type="spellStart"/>
      <w:r w:rsidR="00E232C6" w:rsidRPr="00E232C6">
        <w:rPr>
          <w:i/>
        </w:rPr>
        <w:t>df</w:t>
      </w:r>
      <w:proofErr w:type="spellEnd"/>
      <w:r w:rsidR="00E232C6">
        <w:t xml:space="preserve"> = 107.68, </w:t>
      </w:r>
      <w:r w:rsidR="00E232C6" w:rsidRPr="00E232C6">
        <w:rPr>
          <w:i/>
        </w:rPr>
        <w:t>p</w:t>
      </w:r>
      <w:r w:rsidR="00E232C6">
        <w:t xml:space="preserve"> &lt; 0.001).</w:t>
      </w:r>
    </w:p>
    <w:p w:rsidR="00EA4FED" w:rsidRDefault="00EA4FED" w:rsidP="007C3FDB">
      <w:pPr>
        <w:pStyle w:val="BodyText"/>
        <w:tabs>
          <w:tab w:val="center" w:pos="4680"/>
        </w:tabs>
        <w:ind w:firstLine="0"/>
      </w:pPr>
    </w:p>
    <w:p w:rsidR="001D7AAB" w:rsidRPr="00B76F5E" w:rsidRDefault="001D7AAB" w:rsidP="001D7AAB">
      <w:pPr>
        <w:pStyle w:val="BodyText"/>
        <w:tabs>
          <w:tab w:val="center" w:pos="4680"/>
        </w:tabs>
        <w:ind w:firstLine="0"/>
        <w:rPr>
          <w:i/>
        </w:rPr>
      </w:pPr>
      <w:r w:rsidRPr="00B76F5E">
        <w:rPr>
          <w:i/>
        </w:rPr>
        <w:t>Relationship between tasks</w:t>
      </w:r>
    </w:p>
    <w:p w:rsidR="001D7AAB" w:rsidRPr="006C2970" w:rsidRDefault="001D7AAB" w:rsidP="001D7AAB">
      <w:pPr>
        <w:pStyle w:val="BodyText"/>
        <w:tabs>
          <w:tab w:val="center" w:pos="4680"/>
        </w:tabs>
        <w:ind w:firstLine="0"/>
      </w:pPr>
      <w:r w:rsidRPr="007C3FDB">
        <w:t>There was no significant correlation between the effect of space on number generation and the SNARC slope (</w:t>
      </w:r>
      <w:r w:rsidRPr="00E66E91">
        <w:rPr>
          <w:i/>
        </w:rPr>
        <w:t>r</w:t>
      </w:r>
      <w:r w:rsidRPr="007C3FDB">
        <w:t xml:space="preserve"> = 0.03, </w:t>
      </w:r>
      <w:r w:rsidRPr="00E66E91">
        <w:rPr>
          <w:i/>
        </w:rPr>
        <w:t>N</w:t>
      </w:r>
      <w:r w:rsidRPr="007C3FDB">
        <w:t xml:space="preserve"> = 114, </w:t>
      </w:r>
      <w:r w:rsidRPr="00E66E91">
        <w:rPr>
          <w:i/>
        </w:rPr>
        <w:t>p</w:t>
      </w:r>
      <w:r w:rsidRPr="007C3FDB">
        <w:t xml:space="preserve"> = 0.74)</w:t>
      </w:r>
      <w:r w:rsidR="007C0448">
        <w:t>, but participants with higher WRAT raw scores</w:t>
      </w:r>
      <w:r w:rsidR="007C0448" w:rsidRPr="006C2970">
        <w:t xml:space="preserve"> </w:t>
      </w:r>
      <w:r w:rsidR="007C0448">
        <w:t>generated overall higher numbers (</w:t>
      </w:r>
      <w:r w:rsidR="007C0448" w:rsidRPr="007C0448">
        <w:rPr>
          <w:i/>
        </w:rPr>
        <w:t>r</w:t>
      </w:r>
      <w:r w:rsidR="007C0448">
        <w:t xml:space="preserve"> = 0.3</w:t>
      </w:r>
      <w:r w:rsidR="00C12378">
        <w:t>1</w:t>
      </w:r>
      <w:r w:rsidR="007C0448">
        <w:t xml:space="preserve">, </w:t>
      </w:r>
      <w:r w:rsidR="007C0448" w:rsidRPr="007C0448">
        <w:rPr>
          <w:i/>
        </w:rPr>
        <w:t>N =</w:t>
      </w:r>
      <w:r w:rsidR="007C0448">
        <w:t xml:space="preserve"> 1</w:t>
      </w:r>
      <w:r w:rsidR="00C12378">
        <w:t>96</w:t>
      </w:r>
      <w:r w:rsidR="007C0448">
        <w:t xml:space="preserve">, </w:t>
      </w:r>
      <w:r w:rsidR="007C0448" w:rsidRPr="00C12378">
        <w:rPr>
          <w:i/>
        </w:rPr>
        <w:t>p</w:t>
      </w:r>
      <w:r w:rsidR="007C0448">
        <w:t xml:space="preserve"> &lt; 0.01)</w:t>
      </w:r>
      <w:r w:rsidR="00C12378">
        <w:t>.</w:t>
      </w:r>
    </w:p>
    <w:p w:rsidR="000163CB" w:rsidRDefault="000163CB" w:rsidP="00CB33C4">
      <w:pPr>
        <w:pStyle w:val="BodyText"/>
        <w:tabs>
          <w:tab w:val="center" w:pos="4680"/>
        </w:tabs>
        <w:ind w:firstLine="0"/>
        <w:jc w:val="center"/>
        <w:rPr>
          <w:b/>
        </w:rPr>
      </w:pPr>
    </w:p>
    <w:p w:rsidR="00D159F4" w:rsidRDefault="00D159F4" w:rsidP="00CB33C4">
      <w:pPr>
        <w:pStyle w:val="BodyText"/>
        <w:tabs>
          <w:tab w:val="center" w:pos="4680"/>
        </w:tabs>
        <w:ind w:firstLine="0"/>
        <w:jc w:val="center"/>
        <w:rPr>
          <w:b/>
        </w:rPr>
      </w:pPr>
    </w:p>
    <w:p w:rsidR="00D159F4" w:rsidRDefault="00D159F4" w:rsidP="00CB33C4">
      <w:pPr>
        <w:pStyle w:val="BodyText"/>
        <w:tabs>
          <w:tab w:val="center" w:pos="4680"/>
        </w:tabs>
        <w:ind w:firstLine="0"/>
        <w:jc w:val="center"/>
        <w:rPr>
          <w:b/>
        </w:rPr>
      </w:pPr>
    </w:p>
    <w:p w:rsidR="007C3FDB" w:rsidRPr="0002762F" w:rsidRDefault="007C3FDB" w:rsidP="00CB33C4">
      <w:pPr>
        <w:pStyle w:val="BodyText"/>
        <w:tabs>
          <w:tab w:val="center" w:pos="4680"/>
        </w:tabs>
        <w:ind w:firstLine="0"/>
        <w:jc w:val="center"/>
        <w:rPr>
          <w:b/>
        </w:rPr>
      </w:pPr>
      <w:r w:rsidRPr="0002762F">
        <w:rPr>
          <w:b/>
        </w:rPr>
        <w:lastRenderedPageBreak/>
        <w:t>Discussion</w:t>
      </w:r>
    </w:p>
    <w:p w:rsidR="00FB6F69" w:rsidRDefault="00CE5F03" w:rsidP="00FB6F69">
      <w:pPr>
        <w:pStyle w:val="BodyText"/>
        <w:tabs>
          <w:tab w:val="center" w:pos="4680"/>
        </w:tabs>
        <w:ind w:firstLine="0"/>
      </w:pPr>
      <w:r>
        <w:t>W</w:t>
      </w:r>
      <w:r w:rsidR="007C3FDB" w:rsidRPr="007C3FDB">
        <w:t xml:space="preserve">e found a significant effect of body position on the mean size of numbers generated. </w:t>
      </w:r>
      <w:r w:rsidR="000163CB">
        <w:t>T</w:t>
      </w:r>
      <w:r w:rsidR="007C3FDB" w:rsidRPr="007C3FDB">
        <w:t>his effect was culture-dependent and determined by the cultural</w:t>
      </w:r>
      <w:r w:rsidR="00A52E4B">
        <w:t>ly</w:t>
      </w:r>
      <w:r w:rsidR="007C3FDB" w:rsidRPr="007C3FDB">
        <w:t xml:space="preserve"> </w:t>
      </w:r>
      <w:r w:rsidR="00A52E4B">
        <w:t>pre</w:t>
      </w:r>
      <w:r w:rsidR="007C3FDB" w:rsidRPr="007C3FDB">
        <w:t xml:space="preserve">dominant reading direction. While Arab participants produced significantly smaller numbers when they were lying on their right side, British participants produced significantly larger numbers on their right side. </w:t>
      </w:r>
      <w:r w:rsidR="00D56EB0">
        <w:t>Our findings replicate previou</w:t>
      </w:r>
      <w:r w:rsidR="00054478">
        <w:t>s findings showing an influence</w:t>
      </w:r>
      <w:r w:rsidR="00D56EB0">
        <w:t xml:space="preserve"> of lateral head tu</w:t>
      </w:r>
      <w:r w:rsidR="00054478">
        <w:t>r</w:t>
      </w:r>
      <w:r w:rsidR="00D56EB0">
        <w:t>ns (</w:t>
      </w:r>
      <w:proofErr w:type="spellStart"/>
      <w:r w:rsidR="00FB6F69">
        <w:t>Loetscher</w:t>
      </w:r>
      <w:proofErr w:type="spellEnd"/>
      <w:r w:rsidR="00FB6F69">
        <w:t xml:space="preserve"> et al., 2008</w:t>
      </w:r>
      <w:r w:rsidR="00D56EB0">
        <w:t>) and passive body movement on number generation (</w:t>
      </w:r>
      <w:r w:rsidR="00FB6F69">
        <w:t>Hartmann et al., 201</w:t>
      </w:r>
      <w:r w:rsidR="00C36D8E">
        <w:t>2)</w:t>
      </w:r>
      <w:r w:rsidR="00D56EB0">
        <w:t xml:space="preserve"> </w:t>
      </w:r>
      <w:r w:rsidR="00C36D8E">
        <w:t xml:space="preserve">and </w:t>
      </w:r>
      <w:r w:rsidR="00FB6F69">
        <w:t xml:space="preserve">suggest that passive spatial cues from the vestibular system are enough to </w:t>
      </w:r>
      <w:r w:rsidR="00562143">
        <w:t xml:space="preserve">shift </w:t>
      </w:r>
      <w:proofErr w:type="spellStart"/>
      <w:r w:rsidR="00562143">
        <w:t>attentional</w:t>
      </w:r>
      <w:proofErr w:type="spellEnd"/>
      <w:r w:rsidR="00562143">
        <w:t xml:space="preserve"> allocation in SNAs</w:t>
      </w:r>
      <w:r w:rsidR="00FB6F69">
        <w:t xml:space="preserve">. </w:t>
      </w:r>
    </w:p>
    <w:p w:rsidR="00D159F4" w:rsidRDefault="00D159F4" w:rsidP="00532BC8">
      <w:pPr>
        <w:pStyle w:val="BodyText"/>
        <w:tabs>
          <w:tab w:val="center" w:pos="4680"/>
        </w:tabs>
        <w:ind w:firstLine="0"/>
      </w:pPr>
    </w:p>
    <w:p w:rsidR="00744FC7" w:rsidRDefault="00D56EB0" w:rsidP="00532BC8">
      <w:pPr>
        <w:pStyle w:val="BodyText"/>
        <w:tabs>
          <w:tab w:val="center" w:pos="4680"/>
        </w:tabs>
        <w:ind w:firstLine="0"/>
      </w:pPr>
      <w:r>
        <w:t>Our study goes</w:t>
      </w:r>
      <w:r w:rsidR="00562143">
        <w:t xml:space="preserve"> beyond previous research</w:t>
      </w:r>
      <w:r>
        <w:t xml:space="preserve"> by showing </w:t>
      </w:r>
      <w:r w:rsidR="00570213">
        <w:t xml:space="preserve">for the first time </w:t>
      </w:r>
      <w:r>
        <w:t xml:space="preserve">that </w:t>
      </w:r>
      <w:r w:rsidR="00562143">
        <w:t>the same</w:t>
      </w:r>
      <w:r w:rsidR="00570213">
        <w:t xml:space="preserve"> spatially direction</w:t>
      </w:r>
      <w:r w:rsidR="00562143">
        <w:t>al</w:t>
      </w:r>
      <w:r w:rsidR="00570213">
        <w:t xml:space="preserve"> cues </w:t>
      </w:r>
      <w:r w:rsidR="00054478">
        <w:t>lead to</w:t>
      </w:r>
      <w:r w:rsidR="00570213">
        <w:t xml:space="preserve"> the reverse effect on number generation in participants </w:t>
      </w:r>
      <w:r w:rsidR="00562143">
        <w:t>from a right-to-left reading culture</w:t>
      </w:r>
      <w:r w:rsidR="000803B3">
        <w:t>.</w:t>
      </w:r>
      <w:r w:rsidR="00562143">
        <w:t xml:space="preserve"> </w:t>
      </w:r>
      <w:r w:rsidR="00AE443F">
        <w:t xml:space="preserve">In addition, we demonstrate that the effect is </w:t>
      </w:r>
      <w:r w:rsidR="00570213">
        <w:t xml:space="preserve">already </w:t>
      </w:r>
      <w:r w:rsidR="00AE443F">
        <w:t xml:space="preserve">present </w:t>
      </w:r>
      <w:r w:rsidR="00570213">
        <w:t xml:space="preserve">in </w:t>
      </w:r>
      <w:r w:rsidR="00AE443F">
        <w:t>children. Interestingly,</w:t>
      </w:r>
      <w:r w:rsidR="00BE6854">
        <w:t xml:space="preserve"> the </w:t>
      </w:r>
      <w:r w:rsidR="00DA5C97">
        <w:t xml:space="preserve">broad level </w:t>
      </w:r>
      <w:r w:rsidR="00BE6854">
        <w:t>of</w:t>
      </w:r>
      <w:r w:rsidR="00532BC8">
        <w:t xml:space="preserve"> reading experience</w:t>
      </w:r>
      <w:r w:rsidR="00BE6854">
        <w:t xml:space="preserve"> did not influence the strength of this effect</w:t>
      </w:r>
      <w:r w:rsidR="00532BC8">
        <w:t>: children did not show a weaker effect than adults. However, the children tested here already had several years of reading instruction</w:t>
      </w:r>
      <w:r w:rsidR="00FF0167">
        <w:t>. A</w:t>
      </w:r>
      <w:r w:rsidR="00532BC8">
        <w:t xml:space="preserve"> more powerful</w:t>
      </w:r>
      <w:r w:rsidR="00FF0167">
        <w:t xml:space="preserve"> test of reading experience</w:t>
      </w:r>
      <w:r w:rsidR="00532BC8">
        <w:t xml:space="preserve"> </w:t>
      </w:r>
      <w:r w:rsidR="00FF0167">
        <w:t xml:space="preserve">would be </w:t>
      </w:r>
      <w:r w:rsidR="00532BC8">
        <w:t>to investigate the effect in beginning readers</w:t>
      </w:r>
      <w:r w:rsidR="00744FC7">
        <w:t xml:space="preserve"> and </w:t>
      </w:r>
      <w:r w:rsidR="00FF0167">
        <w:t>preliterate children.</w:t>
      </w:r>
    </w:p>
    <w:p w:rsidR="0014166B" w:rsidRDefault="0014166B" w:rsidP="0014166B">
      <w:pPr>
        <w:pStyle w:val="BodyText"/>
        <w:tabs>
          <w:tab w:val="center" w:pos="4680"/>
        </w:tabs>
        <w:ind w:firstLine="0"/>
      </w:pPr>
    </w:p>
    <w:p w:rsidR="00C4785F" w:rsidRDefault="0014166B" w:rsidP="007C3FDB">
      <w:pPr>
        <w:pStyle w:val="BodyText"/>
        <w:tabs>
          <w:tab w:val="center" w:pos="4680"/>
        </w:tabs>
        <w:ind w:firstLine="0"/>
        <w:rPr>
          <w:lang w:val="de-DE"/>
        </w:rPr>
      </w:pPr>
      <w:r>
        <w:t>I</w:t>
      </w:r>
      <w:r w:rsidRPr="007C3FDB">
        <w:t>n th</w:t>
      </w:r>
      <w:r w:rsidR="00CE5F03">
        <w:t>e parity judgment task, in line with previous research (</w:t>
      </w:r>
      <w:proofErr w:type="spellStart"/>
      <w:r w:rsidR="00021461">
        <w:t>Shaki</w:t>
      </w:r>
      <w:proofErr w:type="spellEnd"/>
      <w:r w:rsidR="00021461">
        <w:t xml:space="preserve"> et al., 2009</w:t>
      </w:r>
      <w:r w:rsidR="00CE5F03">
        <w:t xml:space="preserve">), </w:t>
      </w:r>
      <w:r w:rsidRPr="007C3FDB">
        <w:t>Arab adults responded faster to smaller numbers with their right hand while British adults responded faster to larger</w:t>
      </w:r>
      <w:r>
        <w:t xml:space="preserve"> numbers with their right hand. </w:t>
      </w:r>
      <w:r w:rsidR="00C36D8E">
        <w:t>Both effects</w:t>
      </w:r>
      <w:r w:rsidR="00F90C11">
        <w:t xml:space="preserve"> </w:t>
      </w:r>
      <w:r>
        <w:t xml:space="preserve">cannot be explained by a strictly biological account </w:t>
      </w:r>
      <w:r w:rsidR="00CC32C2">
        <w:t>expecting</w:t>
      </w:r>
      <w:r>
        <w:t xml:space="preserve"> no influence of reading direction. </w:t>
      </w:r>
      <w:r w:rsidRPr="007C3FDB">
        <w:t xml:space="preserve">Interestingly, the size of the </w:t>
      </w:r>
      <w:r w:rsidR="00226C04">
        <w:t>both effects</w:t>
      </w:r>
      <w:r w:rsidR="009605F6">
        <w:t xml:space="preserve"> </w:t>
      </w:r>
      <w:r w:rsidRPr="007C3FDB">
        <w:t xml:space="preserve">was not correlated. </w:t>
      </w:r>
      <w:r w:rsidR="0050001F">
        <w:t>This could be due to the relatively low reliability of the SNARC effect (</w:t>
      </w:r>
      <w:r w:rsidR="00C126D2">
        <w:rPr>
          <w:lang w:val="de-DE"/>
        </w:rPr>
        <w:t>Viarouge</w:t>
      </w:r>
      <w:r w:rsidR="00C126D2" w:rsidRPr="00C126D2">
        <w:rPr>
          <w:lang w:val="de-DE"/>
        </w:rPr>
        <w:t>, Hubbard, &amp; McCandliss, 2014</w:t>
      </w:r>
      <w:r w:rsidR="0050001F" w:rsidRPr="00C126D2">
        <w:t>) itself</w:t>
      </w:r>
      <w:r w:rsidR="0050001F">
        <w:t>. It also has b</w:t>
      </w:r>
      <w:r w:rsidR="00CC32C2">
        <w:t xml:space="preserve">een shown that </w:t>
      </w:r>
      <w:r w:rsidR="00D737CA">
        <w:lastRenderedPageBreak/>
        <w:t xml:space="preserve">the magnitude of </w:t>
      </w:r>
      <w:r w:rsidR="0086484A">
        <w:t>SNAs</w:t>
      </w:r>
      <w:r w:rsidR="0050001F">
        <w:t xml:space="preserve"> </w:t>
      </w:r>
      <w:r w:rsidR="00D737CA">
        <w:t>can be</w:t>
      </w:r>
      <w:r w:rsidR="0050001F">
        <w:t xml:space="preserve"> changed easily by contextual and strategic factors </w:t>
      </w:r>
      <w:r w:rsidR="0050001F" w:rsidRPr="00650EAC">
        <w:t>(</w:t>
      </w:r>
      <w:r w:rsidR="00C126D2" w:rsidRPr="00650EAC">
        <w:rPr>
          <w:rFonts w:ascii="Times" w:hAnsi="Times" w:cs="Times"/>
          <w:szCs w:val="24"/>
        </w:rPr>
        <w:t xml:space="preserve">Fischer, </w:t>
      </w:r>
      <w:proofErr w:type="spellStart"/>
      <w:r w:rsidR="00C126D2" w:rsidRPr="00650EAC">
        <w:rPr>
          <w:rFonts w:ascii="Times" w:hAnsi="Times" w:cs="Times"/>
          <w:szCs w:val="24"/>
        </w:rPr>
        <w:t>Shaki</w:t>
      </w:r>
      <w:proofErr w:type="spellEnd"/>
      <w:r w:rsidR="00C126D2" w:rsidRPr="00650EAC">
        <w:rPr>
          <w:rFonts w:ascii="Times" w:hAnsi="Times" w:cs="Times"/>
          <w:szCs w:val="24"/>
        </w:rPr>
        <w:t>, &amp; Cruise, 2009</w:t>
      </w:r>
      <w:r w:rsidR="00650EAC" w:rsidRPr="00650EAC">
        <w:t xml:space="preserve">; </w:t>
      </w:r>
      <w:r w:rsidR="00650EAC" w:rsidRPr="00650EAC">
        <w:rPr>
          <w:lang w:val="de-DE"/>
        </w:rPr>
        <w:t>Bächtold, Baumüller, &amp; Brugger, 1998).</w:t>
      </w:r>
      <w:r w:rsidR="00F90C11">
        <w:rPr>
          <w:lang w:val="de-DE"/>
        </w:rPr>
        <w:t xml:space="preserve"> </w:t>
      </w:r>
    </w:p>
    <w:p w:rsidR="00650EAC" w:rsidRDefault="00650EAC" w:rsidP="007C3FDB">
      <w:pPr>
        <w:pStyle w:val="BodyText"/>
        <w:tabs>
          <w:tab w:val="center" w:pos="4680"/>
        </w:tabs>
        <w:ind w:firstLine="0"/>
      </w:pPr>
    </w:p>
    <w:p w:rsidR="00FB7475" w:rsidRDefault="00832FE6" w:rsidP="007C3FDB">
      <w:pPr>
        <w:pStyle w:val="BodyText"/>
        <w:tabs>
          <w:tab w:val="center" w:pos="4680"/>
        </w:tabs>
        <w:ind w:firstLine="0"/>
      </w:pPr>
      <w:r>
        <w:t>Independent of body position</w:t>
      </w:r>
      <w:r w:rsidR="00CC32C2">
        <w:t>,</w:t>
      </w:r>
      <w:r>
        <w:t xml:space="preserve"> participants </w:t>
      </w:r>
      <w:r w:rsidR="00610F9F">
        <w:t xml:space="preserve">generated more numbers smaller than 25 than numbers larger than 25, i.e. they </w:t>
      </w:r>
      <w:r>
        <w:t xml:space="preserve">showed a small number bias (SNB, </w:t>
      </w:r>
      <w:proofErr w:type="spellStart"/>
      <w:r>
        <w:t>Loetscher</w:t>
      </w:r>
      <w:proofErr w:type="spellEnd"/>
      <w:r>
        <w:t xml:space="preserve"> &amp; </w:t>
      </w:r>
      <w:proofErr w:type="spellStart"/>
      <w:r>
        <w:t>Brugger</w:t>
      </w:r>
      <w:proofErr w:type="spellEnd"/>
      <w:r>
        <w:t>, 2007</w:t>
      </w:r>
      <w:r w:rsidR="00610F9F">
        <w:t>)</w:t>
      </w:r>
      <w:r>
        <w:t xml:space="preserve">. </w:t>
      </w:r>
      <w:r w:rsidR="00610F9F">
        <w:t>Reading direction has been suggested as a possible cause of this SNB in Western participants (</w:t>
      </w:r>
      <w:proofErr w:type="spellStart"/>
      <w:r w:rsidR="00B97DE2">
        <w:t>Loetscher</w:t>
      </w:r>
      <w:proofErr w:type="spellEnd"/>
      <w:r w:rsidR="00B97DE2">
        <w:t xml:space="preserve"> et al.</w:t>
      </w:r>
      <w:r w:rsidR="00610F9F">
        <w:t xml:space="preserve">, </w:t>
      </w:r>
      <w:r w:rsidR="00B97DE2">
        <w:t xml:space="preserve">2008) </w:t>
      </w:r>
      <w:r w:rsidR="00610F9F">
        <w:t xml:space="preserve">predicting a large number bias (LNB) in right-to-left reading cultures. </w:t>
      </w:r>
      <w:r>
        <w:t xml:space="preserve">In our study there was no evidence </w:t>
      </w:r>
      <w:r w:rsidR="00B97DE2">
        <w:t xml:space="preserve">for </w:t>
      </w:r>
      <w:r w:rsidR="00610F9F">
        <w:t>an LNB</w:t>
      </w:r>
      <w:r w:rsidR="00B97DE2">
        <w:t xml:space="preserve"> in right-to-left reading </w:t>
      </w:r>
      <w:r w:rsidR="00F90C11">
        <w:t>participants</w:t>
      </w:r>
      <w:r>
        <w:t xml:space="preserve">. In contrast, the SNB was </w:t>
      </w:r>
      <w:r w:rsidR="00B97DE2">
        <w:t xml:space="preserve">even </w:t>
      </w:r>
      <w:r>
        <w:t xml:space="preserve">stronger in Arab participants. However, this </w:t>
      </w:r>
      <w:r w:rsidR="00B97DE2">
        <w:t>effect is</w:t>
      </w:r>
      <w:r w:rsidR="00610F9F">
        <w:t xml:space="preserve"> </w:t>
      </w:r>
      <w:r w:rsidR="0086484A">
        <w:t>probably</w:t>
      </w:r>
      <w:r>
        <w:t xml:space="preserve"> driven by the association between </w:t>
      </w:r>
      <w:r w:rsidR="00610F9F">
        <w:t xml:space="preserve">overall </w:t>
      </w:r>
      <w:r>
        <w:t xml:space="preserve">number magnitude and performance on the </w:t>
      </w:r>
      <w:r w:rsidR="00D737CA">
        <w:t>mathematics</w:t>
      </w:r>
      <w:r>
        <w:t xml:space="preserve"> test. Participan</w:t>
      </w:r>
      <w:r w:rsidR="00610F9F">
        <w:t xml:space="preserve">ts with higher </w:t>
      </w:r>
      <w:r w:rsidR="00D737CA">
        <w:t xml:space="preserve">mathematics </w:t>
      </w:r>
      <w:r w:rsidR="00610F9F">
        <w:t xml:space="preserve">test scores </w:t>
      </w:r>
      <w:r>
        <w:t xml:space="preserve">generated overall larger numbers. This </w:t>
      </w:r>
      <w:r w:rsidR="00F6402B">
        <w:t xml:space="preserve">result </w:t>
      </w:r>
      <w:r>
        <w:t xml:space="preserve">is in contrast to recent findings by </w:t>
      </w:r>
      <w:proofErr w:type="spellStart"/>
      <w:r>
        <w:t>Towse</w:t>
      </w:r>
      <w:proofErr w:type="spellEnd"/>
      <w:r>
        <w:t xml:space="preserve">, </w:t>
      </w:r>
      <w:proofErr w:type="spellStart"/>
      <w:r>
        <w:t>Loetscher</w:t>
      </w:r>
      <w:proofErr w:type="spellEnd"/>
      <w:r>
        <w:t xml:space="preserve"> &amp; </w:t>
      </w:r>
      <w:proofErr w:type="spellStart"/>
      <w:r>
        <w:t>Brugger</w:t>
      </w:r>
      <w:proofErr w:type="spellEnd"/>
      <w:r>
        <w:t xml:space="preserve"> (2014)</w:t>
      </w:r>
      <w:r w:rsidR="00D737CA">
        <w:t xml:space="preserve"> who </w:t>
      </w:r>
      <w:r>
        <w:t>found a</w:t>
      </w:r>
      <w:r w:rsidR="00F6402B">
        <w:t>n</w:t>
      </w:r>
      <w:r>
        <w:t xml:space="preserve"> </w:t>
      </w:r>
      <w:r w:rsidR="003E38D4">
        <w:t>LNB</w:t>
      </w:r>
      <w:r>
        <w:t xml:space="preserve"> in children and showed that </w:t>
      </w:r>
      <w:r w:rsidR="00F6402B">
        <w:t xml:space="preserve">a </w:t>
      </w:r>
      <w:r>
        <w:t xml:space="preserve">SNB emerges </w:t>
      </w:r>
      <w:r w:rsidR="00F6402B">
        <w:t xml:space="preserve">in children </w:t>
      </w:r>
      <w:r>
        <w:t>with increasing age.</w:t>
      </w:r>
      <w:r w:rsidR="00610F9F">
        <w:t xml:space="preserve"> </w:t>
      </w:r>
      <w:r w:rsidR="00D737CA">
        <w:t>Th</w:t>
      </w:r>
      <w:r w:rsidR="00F90C11">
        <w:t>is</w:t>
      </w:r>
      <w:r w:rsidR="00610F9F">
        <w:t xml:space="preserve"> difference </w:t>
      </w:r>
      <w:r w:rsidR="00F6402B">
        <w:t xml:space="preserve">between their and our results </w:t>
      </w:r>
      <w:r w:rsidR="00610F9F">
        <w:t>might be due</w:t>
      </w:r>
      <w:r w:rsidR="00045FA1">
        <w:t xml:space="preserve"> to the </w:t>
      </w:r>
      <w:r w:rsidR="00F6402B">
        <w:t xml:space="preserve">number </w:t>
      </w:r>
      <w:r w:rsidR="00045FA1">
        <w:t>interval</w:t>
      </w:r>
      <w:r w:rsidR="00F6402B">
        <w:t>s</w:t>
      </w:r>
      <w:r w:rsidR="00045FA1">
        <w:t xml:space="preserve"> used</w:t>
      </w:r>
      <w:r w:rsidR="00D737CA">
        <w:t xml:space="preserve">: </w:t>
      </w:r>
      <w:proofErr w:type="spellStart"/>
      <w:r w:rsidR="00F6402B">
        <w:t>T</w:t>
      </w:r>
      <w:r w:rsidR="003E38D4">
        <w:t>owse</w:t>
      </w:r>
      <w:proofErr w:type="spellEnd"/>
      <w:r w:rsidR="003E38D4">
        <w:t xml:space="preserve"> et al</w:t>
      </w:r>
      <w:r w:rsidR="00F6402B">
        <w:t>. (2014)</w:t>
      </w:r>
      <w:r w:rsidR="003E38D4">
        <w:t xml:space="preserve"> </w:t>
      </w:r>
      <w:r w:rsidR="00F6402B">
        <w:t>used</w:t>
      </w:r>
      <w:r w:rsidR="003E38D4">
        <w:t xml:space="preserve"> number interval</w:t>
      </w:r>
      <w:r w:rsidR="00F6402B">
        <w:t>s up to</w:t>
      </w:r>
      <w:r w:rsidR="003E38D4">
        <w:t xml:space="preserve"> 1-9 while </w:t>
      </w:r>
      <w:r w:rsidR="00D737CA">
        <w:t>we used a</w:t>
      </w:r>
      <w:r w:rsidR="00F6402B">
        <w:t xml:space="preserve"> much larger </w:t>
      </w:r>
      <w:r w:rsidR="00D737CA">
        <w:t xml:space="preserve">interval </w:t>
      </w:r>
      <w:r w:rsidR="00F6402B">
        <w:t>(1-50)</w:t>
      </w:r>
      <w:r w:rsidR="003E38D4">
        <w:t>. We argue that for th</w:t>
      </w:r>
      <w:r w:rsidR="00F90C11">
        <w:t>e</w:t>
      </w:r>
      <w:r w:rsidR="003E38D4">
        <w:t xml:space="preserve"> larger</w:t>
      </w:r>
      <w:r w:rsidR="00F90C11">
        <w:t xml:space="preserve"> number</w:t>
      </w:r>
      <w:r w:rsidR="003E38D4">
        <w:t xml:space="preserve"> interval familiarity and expertise with numbers</w:t>
      </w:r>
      <w:r w:rsidR="00F90C11">
        <w:t xml:space="preserve"> in the interval</w:t>
      </w:r>
      <w:r w:rsidR="003E38D4">
        <w:t xml:space="preserve"> might be the driving factor </w:t>
      </w:r>
      <w:r w:rsidR="008B0E51">
        <w:t xml:space="preserve">while most children tested by </w:t>
      </w:r>
      <w:proofErr w:type="spellStart"/>
      <w:r w:rsidR="008B0E51">
        <w:t>Towse</w:t>
      </w:r>
      <w:proofErr w:type="spellEnd"/>
      <w:r w:rsidR="008B0E51">
        <w:t xml:space="preserve"> et al. (2014) will have been highly familiar with numbers 1 to 9</w:t>
      </w:r>
      <w:r w:rsidR="003E38D4">
        <w:t>.</w:t>
      </w:r>
    </w:p>
    <w:p w:rsidR="00D159F4" w:rsidRDefault="00D159F4" w:rsidP="007C3FDB">
      <w:pPr>
        <w:pStyle w:val="BodyText"/>
        <w:tabs>
          <w:tab w:val="center" w:pos="4680"/>
        </w:tabs>
        <w:ind w:firstLine="0"/>
      </w:pPr>
    </w:p>
    <w:p w:rsidR="007C3FDB" w:rsidRPr="007C3FDB" w:rsidRDefault="00C4785F" w:rsidP="007C3FDB">
      <w:pPr>
        <w:pStyle w:val="BodyText"/>
        <w:tabs>
          <w:tab w:val="center" w:pos="4680"/>
        </w:tabs>
        <w:ind w:firstLine="0"/>
      </w:pPr>
      <w:r>
        <w:tab/>
      </w:r>
      <w:r w:rsidR="00E97F46">
        <w:t>To conclude, our participants showed clear associations between number magnitude and space that were in line with their culturally predominant reading direction. O</w:t>
      </w:r>
      <w:r w:rsidR="007C3FDB" w:rsidRPr="007C3FDB">
        <w:t xml:space="preserve">ur results of asymmetries in number space observed in number generation and parity judgment are more compatible with a cultural than a biological account. </w:t>
      </w:r>
    </w:p>
    <w:p w:rsidR="007C3FDB" w:rsidRPr="007C3FDB" w:rsidRDefault="007C3FDB" w:rsidP="007C3FDB">
      <w:pPr>
        <w:pStyle w:val="BodyText"/>
        <w:tabs>
          <w:tab w:val="center" w:pos="4680"/>
        </w:tabs>
        <w:ind w:firstLine="0"/>
      </w:pPr>
    </w:p>
    <w:p w:rsidR="007C3FDB" w:rsidRDefault="007C3FDB" w:rsidP="007C3FDB">
      <w:pPr>
        <w:pStyle w:val="BodyText"/>
        <w:tabs>
          <w:tab w:val="center" w:pos="4680"/>
        </w:tabs>
        <w:ind w:firstLine="0"/>
      </w:pPr>
    </w:p>
    <w:p w:rsidR="008C3194" w:rsidRPr="008C3194" w:rsidRDefault="008C3194" w:rsidP="008C3194">
      <w:pPr>
        <w:pStyle w:val="ListParagraph"/>
        <w:spacing w:before="240" w:after="240"/>
        <w:ind w:left="0"/>
        <w:rPr>
          <w:rFonts w:ascii="Times New Roman" w:hAnsi="Times New Roman"/>
          <w:b/>
          <w:color w:val="000000" w:themeColor="text1"/>
        </w:rPr>
      </w:pPr>
      <w:r w:rsidRPr="008C3194">
        <w:rPr>
          <w:rFonts w:ascii="Times New Roman" w:hAnsi="Times New Roman"/>
          <w:b/>
          <w:color w:val="000000" w:themeColor="text1"/>
        </w:rPr>
        <w:lastRenderedPageBreak/>
        <w:t>Acknowledgements</w:t>
      </w:r>
    </w:p>
    <w:p w:rsidR="008C3194" w:rsidRPr="00DB177A" w:rsidRDefault="008C3194" w:rsidP="00DB177A">
      <w:pPr>
        <w:autoSpaceDE w:val="0"/>
        <w:autoSpaceDN w:val="0"/>
        <w:adjustRightInd w:val="0"/>
        <w:spacing w:before="240" w:line="480" w:lineRule="auto"/>
        <w:jc w:val="both"/>
        <w:rPr>
          <w:rFonts w:ascii="Times New Roman" w:hAnsi="Times New Roman"/>
          <w:highlight w:val="yellow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We thank the children, adults and schools who took part in this study </w:t>
      </w:r>
      <w:r w:rsidR="00732F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</w:t>
      </w:r>
      <w:proofErr w:type="spellStart"/>
      <w:r w:rsidR="00DB177A" w:rsidRPr="00DB177A">
        <w:rPr>
          <w:rFonts w:ascii="Times New Roman" w:hAnsi="Times New Roman" w:cs="Times New Roman"/>
          <w:sz w:val="24"/>
          <w:szCs w:val="24"/>
          <w:shd w:val="clear" w:color="auto" w:fill="FFFFFF"/>
        </w:rPr>
        <w:t>Yinwen</w:t>
      </w:r>
      <w:proofErr w:type="spellEnd"/>
      <w:r w:rsidR="00DB177A" w:rsidRPr="00DB17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B177A" w:rsidRPr="00A439A0">
        <w:rPr>
          <w:rFonts w:ascii="Times New Roman" w:hAnsi="Times New Roman" w:cs="Times New Roman"/>
          <w:sz w:val="24"/>
          <w:szCs w:val="24"/>
          <w:shd w:val="clear" w:color="auto" w:fill="FFFFFF"/>
        </w:rPr>
        <w:t>Ko</w:t>
      </w:r>
      <w:proofErr w:type="spellEnd"/>
      <w:proofErr w:type="gramEnd"/>
      <w:r w:rsidR="00DB177A" w:rsidRPr="00A43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F1780" w:rsidRPr="00A439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Hannah </w:t>
      </w:r>
      <w:proofErr w:type="spellStart"/>
      <w:r w:rsidR="001F1780" w:rsidRPr="00A439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Roome</w:t>
      </w:r>
      <w:proofErr w:type="spellEnd"/>
      <w:r w:rsidR="00DB177A" w:rsidRPr="00A439A0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, </w:t>
      </w:r>
      <w:r w:rsidR="00DB177A" w:rsidRPr="00A43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Sinead </w:t>
      </w:r>
      <w:proofErr w:type="spellStart"/>
      <w:r w:rsidR="00DB177A" w:rsidRPr="00A439A0">
        <w:rPr>
          <w:rFonts w:ascii="Times New Roman" w:hAnsi="Times New Roman" w:cs="Times New Roman"/>
          <w:sz w:val="24"/>
          <w:szCs w:val="24"/>
          <w:shd w:val="clear" w:color="auto" w:fill="FFFFFF"/>
        </w:rPr>
        <w:t>Allpress</w:t>
      </w:r>
      <w:proofErr w:type="spellEnd"/>
      <w:r w:rsidRPr="00A43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Courtney Poole for their assistance in </w:t>
      </w:r>
      <w:r w:rsidR="00732F3D" w:rsidRPr="00A439A0">
        <w:rPr>
          <w:rFonts w:ascii="Times New Roman" w:hAnsi="Times New Roman" w:cs="Times New Roman"/>
          <w:sz w:val="24"/>
          <w:szCs w:val="24"/>
          <w:shd w:val="clear" w:color="auto" w:fill="FFFFFF"/>
        </w:rPr>
        <w:t>data collection.</w:t>
      </w:r>
      <w:r w:rsidRPr="00A439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39A0">
        <w:rPr>
          <w:rFonts w:ascii="Times New Roman" w:eastAsia="Calibri" w:hAnsi="Times New Roman" w:cs="Times New Roman"/>
          <w:sz w:val="24"/>
          <w:szCs w:val="24"/>
        </w:rPr>
        <w:t>This study</w:t>
      </w:r>
      <w:r>
        <w:rPr>
          <w:rFonts w:ascii="Times New Roman" w:eastAsia="Calibri" w:hAnsi="Times New Roman" w:cs="Times New Roman"/>
          <w:sz w:val="24"/>
          <w:szCs w:val="24"/>
        </w:rPr>
        <w:t xml:space="preserve"> was funded by a British Academy/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Leverhulme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Small Research Grant (SG121544).</w:t>
      </w:r>
    </w:p>
    <w:p w:rsidR="008C3194" w:rsidRDefault="008C3194">
      <w:pPr>
        <w:rPr>
          <w:rFonts w:ascii="Times New Roman" w:eastAsia="Times New Roman" w:hAnsi="Times New Roman" w:cs="Times New Roman"/>
          <w:b/>
          <w:sz w:val="24"/>
          <w:szCs w:val="20"/>
          <w:lang w:val="en-US"/>
        </w:rPr>
      </w:pPr>
      <w:r>
        <w:rPr>
          <w:b/>
        </w:rPr>
        <w:br w:type="page"/>
      </w:r>
    </w:p>
    <w:p w:rsidR="007C3FDB" w:rsidRPr="0002762F" w:rsidRDefault="007C3FDB" w:rsidP="00C126D2">
      <w:pPr>
        <w:pStyle w:val="BodyText"/>
        <w:tabs>
          <w:tab w:val="center" w:pos="4680"/>
        </w:tabs>
        <w:ind w:hanging="567"/>
        <w:jc w:val="center"/>
        <w:rPr>
          <w:b/>
        </w:rPr>
      </w:pPr>
      <w:r w:rsidRPr="0002762F">
        <w:rPr>
          <w:b/>
        </w:rPr>
        <w:lastRenderedPageBreak/>
        <w:t>References</w:t>
      </w:r>
    </w:p>
    <w:p w:rsidR="00C126D2" w:rsidRPr="00C126D2" w:rsidRDefault="00C126D2" w:rsidP="00C126D2">
      <w:pPr>
        <w:pStyle w:val="BodyText"/>
        <w:tabs>
          <w:tab w:val="center" w:pos="4680"/>
        </w:tabs>
        <w:ind w:left="567" w:hanging="567"/>
        <w:rPr>
          <w:lang w:val="de-DE"/>
        </w:rPr>
      </w:pPr>
      <w:r w:rsidRPr="00C126D2">
        <w:rPr>
          <w:lang w:val="de-DE"/>
        </w:rPr>
        <w:t xml:space="preserve">Bächtold, D., Baumüller, M., &amp; Brugger, P. (1998). Stimulus–response compatibility in </w:t>
      </w:r>
    </w:p>
    <w:p w:rsidR="00C126D2" w:rsidRPr="00C126D2" w:rsidRDefault="00C126D2" w:rsidP="00C126D2">
      <w:pPr>
        <w:pStyle w:val="BodyText"/>
        <w:tabs>
          <w:tab w:val="center" w:pos="4680"/>
        </w:tabs>
        <w:ind w:left="567" w:hanging="567"/>
        <w:rPr>
          <w:lang w:val="de-DE"/>
        </w:rPr>
      </w:pPr>
      <w:r>
        <w:rPr>
          <w:lang w:val="de-DE"/>
        </w:rPr>
        <w:tab/>
      </w:r>
      <w:r w:rsidRPr="00C126D2">
        <w:rPr>
          <w:lang w:val="de-DE"/>
        </w:rPr>
        <w:t xml:space="preserve">representational space. </w:t>
      </w:r>
      <w:r w:rsidRPr="00C126D2">
        <w:rPr>
          <w:i/>
          <w:lang w:val="de-DE"/>
        </w:rPr>
        <w:t>Neuropsychologia</w:t>
      </w:r>
      <w:r>
        <w:rPr>
          <w:lang w:val="de-DE"/>
        </w:rPr>
        <w:t>,</w:t>
      </w:r>
      <w:r w:rsidRPr="00C126D2">
        <w:rPr>
          <w:lang w:val="de-DE"/>
        </w:rPr>
        <w:t xml:space="preserve"> 36, 731–735. </w:t>
      </w:r>
    </w:p>
    <w:p w:rsidR="00CF2650" w:rsidRPr="008241B4" w:rsidRDefault="00CF2650" w:rsidP="00F77E33">
      <w:pPr>
        <w:pStyle w:val="BodyText"/>
        <w:tabs>
          <w:tab w:val="center" w:pos="4680"/>
        </w:tabs>
        <w:ind w:left="567" w:hanging="567"/>
        <w:rPr>
          <w:lang w:val="de-DE"/>
        </w:rPr>
      </w:pPr>
      <w:r w:rsidRPr="008241B4">
        <w:rPr>
          <w:lang w:val="de-DE"/>
        </w:rPr>
        <w:t xml:space="preserve">Dehaene, S., Bossini, S., &amp; Giraux, P. (1993). The mental representation of parity and number magnitude. </w:t>
      </w:r>
      <w:r w:rsidRPr="008241B4">
        <w:rPr>
          <w:i/>
          <w:lang w:val="de-DE"/>
        </w:rPr>
        <w:t>Journal of Experimental Psychology: General</w:t>
      </w:r>
      <w:r w:rsidRPr="008241B4">
        <w:rPr>
          <w:lang w:val="de-DE"/>
        </w:rPr>
        <w:t>, 122,</w:t>
      </w:r>
      <w:r w:rsidR="00A87134" w:rsidRPr="008241B4">
        <w:rPr>
          <w:lang w:val="de-DE"/>
        </w:rPr>
        <w:t xml:space="preserve"> 371-396. </w:t>
      </w:r>
    </w:p>
    <w:p w:rsidR="00210BA8" w:rsidRDefault="00210BA8" w:rsidP="00C126D2">
      <w:pPr>
        <w:widowControl w:val="0"/>
        <w:autoSpaceDE w:val="0"/>
        <w:autoSpaceDN w:val="0"/>
        <w:adjustRightInd w:val="0"/>
        <w:spacing w:after="0" w:line="480" w:lineRule="auto"/>
        <w:ind w:left="567" w:hanging="567"/>
        <w:rPr>
          <w:rFonts w:ascii="Times" w:hAnsi="Times" w:cs="Times"/>
          <w:sz w:val="24"/>
          <w:szCs w:val="24"/>
          <w:lang w:val="en-US"/>
        </w:rPr>
      </w:pPr>
      <w:proofErr w:type="spellStart"/>
      <w:proofErr w:type="gramStart"/>
      <w:r>
        <w:rPr>
          <w:rFonts w:ascii="Times" w:hAnsi="Times" w:cs="Times"/>
          <w:sz w:val="24"/>
          <w:szCs w:val="24"/>
          <w:lang w:val="en-US"/>
        </w:rPr>
        <w:t>Fias</w:t>
      </w:r>
      <w:proofErr w:type="spellEnd"/>
      <w:r>
        <w:rPr>
          <w:rFonts w:ascii="Times" w:hAnsi="Times" w:cs="Times"/>
          <w:sz w:val="24"/>
          <w:szCs w:val="24"/>
          <w:lang w:val="en-US"/>
        </w:rPr>
        <w:t xml:space="preserve">, W., </w:t>
      </w:r>
      <w:proofErr w:type="spellStart"/>
      <w:r>
        <w:rPr>
          <w:rFonts w:ascii="Times" w:hAnsi="Times" w:cs="Times"/>
          <w:sz w:val="24"/>
          <w:szCs w:val="24"/>
          <w:lang w:val="en-US"/>
        </w:rPr>
        <w:t>Brysbaert</w:t>
      </w:r>
      <w:proofErr w:type="spellEnd"/>
      <w:r>
        <w:rPr>
          <w:rFonts w:ascii="Times" w:hAnsi="Times" w:cs="Times"/>
          <w:sz w:val="24"/>
          <w:szCs w:val="24"/>
          <w:lang w:val="en-US"/>
        </w:rPr>
        <w:t xml:space="preserve">, M., </w:t>
      </w:r>
      <w:proofErr w:type="spellStart"/>
      <w:r>
        <w:rPr>
          <w:rFonts w:ascii="Times" w:hAnsi="Times" w:cs="Times"/>
          <w:sz w:val="24"/>
          <w:szCs w:val="24"/>
          <w:lang w:val="en-US"/>
        </w:rPr>
        <w:t>Geypens</w:t>
      </w:r>
      <w:proofErr w:type="spellEnd"/>
      <w:r>
        <w:rPr>
          <w:rFonts w:ascii="Times" w:hAnsi="Times" w:cs="Times"/>
          <w:sz w:val="24"/>
          <w:szCs w:val="24"/>
          <w:lang w:val="en-US"/>
        </w:rPr>
        <w:t xml:space="preserve">, F., &amp; </w:t>
      </w:r>
      <w:proofErr w:type="spellStart"/>
      <w:r>
        <w:rPr>
          <w:rFonts w:ascii="Times" w:hAnsi="Times" w:cs="Times"/>
          <w:sz w:val="24"/>
          <w:szCs w:val="24"/>
          <w:lang w:val="en-US"/>
        </w:rPr>
        <w:t>d'Ydewalle</w:t>
      </w:r>
      <w:proofErr w:type="spellEnd"/>
      <w:r>
        <w:rPr>
          <w:rFonts w:ascii="Times" w:hAnsi="Times" w:cs="Times"/>
          <w:sz w:val="24"/>
          <w:szCs w:val="24"/>
          <w:lang w:val="en-US"/>
        </w:rPr>
        <w:t xml:space="preserve">, G. </w:t>
      </w:r>
      <w:r>
        <w:rPr>
          <w:rFonts w:ascii="Apple Symbols" w:hAnsi="Apple Symbols" w:cs="Apple Symbols"/>
          <w:sz w:val="24"/>
          <w:szCs w:val="24"/>
          <w:lang w:val="en-US"/>
        </w:rPr>
        <w:t>(</w:t>
      </w:r>
      <w:r>
        <w:rPr>
          <w:rFonts w:ascii="Times" w:hAnsi="Times" w:cs="Times"/>
          <w:sz w:val="24"/>
          <w:szCs w:val="24"/>
          <w:lang w:val="en-US"/>
        </w:rPr>
        <w:t>1996).</w:t>
      </w:r>
      <w:proofErr w:type="gramEnd"/>
      <w:r>
        <w:rPr>
          <w:rFonts w:ascii="Times" w:hAnsi="Times" w:cs="Times"/>
          <w:sz w:val="24"/>
          <w:szCs w:val="24"/>
          <w:lang w:val="en-US"/>
        </w:rPr>
        <w:t xml:space="preserve"> The importance of magnitude information in numerical processing: Evidence from the SNARC e</w:t>
      </w:r>
      <w:r w:rsidRPr="00210BA8">
        <w:rPr>
          <w:rFonts w:ascii="Times" w:hAnsi="Times" w:cs="Times"/>
          <w:sz w:val="24"/>
          <w:szCs w:val="24"/>
          <w:lang w:val="en-US"/>
        </w:rPr>
        <w:t>ff</w:t>
      </w:r>
      <w:r>
        <w:rPr>
          <w:rFonts w:ascii="Times" w:hAnsi="Times" w:cs="Times"/>
          <w:sz w:val="24"/>
          <w:szCs w:val="24"/>
          <w:lang w:val="en-US"/>
        </w:rPr>
        <w:t xml:space="preserve">ect. </w:t>
      </w:r>
      <w:r w:rsidRPr="00210BA8">
        <w:rPr>
          <w:rFonts w:ascii="Times" w:hAnsi="Times" w:cs="Times"/>
          <w:i/>
          <w:sz w:val="24"/>
          <w:szCs w:val="24"/>
          <w:lang w:val="en-US"/>
        </w:rPr>
        <w:t>Mathematical Cognition</w:t>
      </w:r>
      <w:r>
        <w:rPr>
          <w:rFonts w:ascii="Times" w:hAnsi="Times" w:cs="Times"/>
          <w:sz w:val="24"/>
          <w:szCs w:val="24"/>
          <w:lang w:val="en-US"/>
        </w:rPr>
        <w:t xml:space="preserve">, 2, 95-110. </w:t>
      </w:r>
    </w:p>
    <w:p w:rsidR="00C126D2" w:rsidRPr="00C126D2" w:rsidRDefault="00C126D2" w:rsidP="00C126D2">
      <w:pPr>
        <w:widowControl w:val="0"/>
        <w:autoSpaceDE w:val="0"/>
        <w:autoSpaceDN w:val="0"/>
        <w:adjustRightInd w:val="0"/>
        <w:spacing w:after="0" w:line="480" w:lineRule="auto"/>
        <w:ind w:left="567" w:hanging="567"/>
        <w:rPr>
          <w:rFonts w:ascii="Times" w:hAnsi="Times" w:cs="Times"/>
          <w:sz w:val="24"/>
          <w:szCs w:val="24"/>
          <w:lang w:val="en-US"/>
        </w:rPr>
      </w:pPr>
      <w:r w:rsidRPr="00C126D2">
        <w:rPr>
          <w:rFonts w:ascii="Times" w:hAnsi="Times" w:cs="Times"/>
          <w:sz w:val="24"/>
          <w:szCs w:val="24"/>
          <w:lang w:val="en-US"/>
        </w:rPr>
        <w:t xml:space="preserve">Fischer, M. H., </w:t>
      </w:r>
      <w:proofErr w:type="spellStart"/>
      <w:r w:rsidRPr="00C126D2">
        <w:rPr>
          <w:rFonts w:ascii="Times" w:hAnsi="Times" w:cs="Times"/>
          <w:sz w:val="24"/>
          <w:szCs w:val="24"/>
          <w:lang w:val="en-US"/>
        </w:rPr>
        <w:t>Shaki</w:t>
      </w:r>
      <w:proofErr w:type="spellEnd"/>
      <w:r w:rsidRPr="00C126D2">
        <w:rPr>
          <w:rFonts w:ascii="Times" w:hAnsi="Times" w:cs="Times"/>
          <w:sz w:val="24"/>
          <w:szCs w:val="24"/>
          <w:lang w:val="en-US"/>
        </w:rPr>
        <w:t xml:space="preserve">, S., &amp; Cruise, A. (2009). It takes just one word to quash a SNARC. </w:t>
      </w:r>
    </w:p>
    <w:p w:rsidR="00C126D2" w:rsidRPr="00C126D2" w:rsidRDefault="00C126D2" w:rsidP="00C126D2">
      <w:pPr>
        <w:widowControl w:val="0"/>
        <w:autoSpaceDE w:val="0"/>
        <w:autoSpaceDN w:val="0"/>
        <w:adjustRightInd w:val="0"/>
        <w:spacing w:after="0" w:line="480" w:lineRule="auto"/>
        <w:ind w:firstLine="567"/>
        <w:rPr>
          <w:rFonts w:ascii="Times" w:hAnsi="Times" w:cs="Times"/>
          <w:sz w:val="24"/>
          <w:szCs w:val="24"/>
          <w:lang w:val="en-US"/>
        </w:rPr>
      </w:pPr>
      <w:r w:rsidRPr="00C126D2">
        <w:rPr>
          <w:rFonts w:ascii="Times" w:hAnsi="Times" w:cs="Times"/>
          <w:i/>
          <w:sz w:val="24"/>
          <w:szCs w:val="24"/>
          <w:lang w:val="en-US"/>
        </w:rPr>
        <w:t>Experimental Psychology</w:t>
      </w:r>
      <w:r w:rsidRPr="00C126D2">
        <w:rPr>
          <w:rFonts w:ascii="Times" w:hAnsi="Times" w:cs="Times"/>
          <w:sz w:val="24"/>
          <w:szCs w:val="24"/>
          <w:lang w:val="en-US"/>
        </w:rPr>
        <w:t>, 56(5), 361-366.</w:t>
      </w:r>
    </w:p>
    <w:p w:rsidR="00BA2627" w:rsidRPr="008241B4" w:rsidRDefault="00BA2627" w:rsidP="00E77D2C">
      <w:pPr>
        <w:pStyle w:val="BodyText"/>
        <w:tabs>
          <w:tab w:val="center" w:pos="4680"/>
        </w:tabs>
        <w:ind w:left="567" w:hanging="567"/>
        <w:rPr>
          <w:lang w:val="de-DE"/>
        </w:rPr>
      </w:pPr>
      <w:r w:rsidRPr="008241B4">
        <w:rPr>
          <w:lang w:val="de-DE"/>
        </w:rPr>
        <w:t xml:space="preserve">Hartmann, M., Grabherr, L., &amp; Mast, F. W. (2012). Moving along the mental number line: Interactions between whole-body motion and numerical cognition. </w:t>
      </w:r>
      <w:r w:rsidRPr="008241B4">
        <w:rPr>
          <w:i/>
          <w:lang w:val="de-DE"/>
        </w:rPr>
        <w:t>Journal of Experimental Psychology: Human Perception and Performance</w:t>
      </w:r>
      <w:r w:rsidRPr="008241B4">
        <w:rPr>
          <w:lang w:val="de-DE"/>
        </w:rPr>
        <w:t>, 38(6), 1416.</w:t>
      </w:r>
    </w:p>
    <w:p w:rsidR="00124BE1" w:rsidRPr="008241B4" w:rsidRDefault="00124BE1" w:rsidP="00F77E33">
      <w:pPr>
        <w:pStyle w:val="BodyText"/>
        <w:tabs>
          <w:tab w:val="center" w:pos="4680"/>
        </w:tabs>
        <w:ind w:left="567" w:hanging="567"/>
        <w:rPr>
          <w:lang w:val="de-DE"/>
        </w:rPr>
      </w:pPr>
      <w:r w:rsidRPr="008241B4">
        <w:rPr>
          <w:lang w:val="de-DE"/>
        </w:rPr>
        <w:t xml:space="preserve">Loetscher, T., &amp; Brugger, P. (2007). Exploring number space by random digit generation. </w:t>
      </w:r>
      <w:r w:rsidRPr="008241B4">
        <w:rPr>
          <w:i/>
          <w:lang w:val="de-DE"/>
        </w:rPr>
        <w:t>Experimental Brain Research</w:t>
      </w:r>
      <w:r w:rsidRPr="008241B4">
        <w:rPr>
          <w:lang w:val="de-DE"/>
        </w:rPr>
        <w:t>, 180(4), 655-665.</w:t>
      </w:r>
    </w:p>
    <w:p w:rsidR="001431F3" w:rsidRDefault="00BA2627" w:rsidP="008B4907">
      <w:pPr>
        <w:pStyle w:val="BodyText"/>
        <w:tabs>
          <w:tab w:val="center" w:pos="4680"/>
        </w:tabs>
        <w:ind w:left="567" w:hanging="567"/>
        <w:rPr>
          <w:lang w:val="de-DE"/>
        </w:rPr>
      </w:pPr>
      <w:r w:rsidRPr="008241B4">
        <w:rPr>
          <w:lang w:val="de-DE"/>
        </w:rPr>
        <w:t xml:space="preserve">Loetscher, T., Schwarz, U., Schubiger, M., &amp; Brugger, P. (2008). Head turns bias the brain's internal random generator. </w:t>
      </w:r>
      <w:r w:rsidRPr="008241B4">
        <w:rPr>
          <w:i/>
          <w:lang w:val="de-DE"/>
        </w:rPr>
        <w:t>Current Biology</w:t>
      </w:r>
      <w:r w:rsidRPr="008241B4">
        <w:rPr>
          <w:lang w:val="de-DE"/>
        </w:rPr>
        <w:t>, 18(2), R60-R62.</w:t>
      </w:r>
    </w:p>
    <w:p w:rsidR="00390F36" w:rsidRPr="00A87134" w:rsidRDefault="00390F36" w:rsidP="00390F36">
      <w:pPr>
        <w:pStyle w:val="BodyText"/>
        <w:tabs>
          <w:tab w:val="center" w:pos="4680"/>
        </w:tabs>
        <w:ind w:left="567" w:hanging="567"/>
      </w:pPr>
      <w:r w:rsidRPr="0027793D">
        <w:rPr>
          <w:lang w:val="de-DE"/>
        </w:rPr>
        <w:t xml:space="preserve">Rashidi-Ranjbar, N., Goudarzvand, M., Jahangiri, S., Brugger, P., &amp; Loetscher, T. (2014). </w:t>
      </w:r>
      <w:r w:rsidRPr="00A87134">
        <w:t>No horizontal numerical ma</w:t>
      </w:r>
      <w:r>
        <w:t>pping in a culture with mixed-reading habits.</w:t>
      </w:r>
      <w:r w:rsidRPr="00A87134">
        <w:t xml:space="preserve"> </w:t>
      </w:r>
      <w:proofErr w:type="gramStart"/>
      <w:r w:rsidRPr="00A87134">
        <w:rPr>
          <w:i/>
        </w:rPr>
        <w:t>Frontiers in Human Neuroscience 8,</w:t>
      </w:r>
      <w:r w:rsidRPr="00A87134">
        <w:t xml:space="preserve"> 72.</w:t>
      </w:r>
      <w:proofErr w:type="gramEnd"/>
      <w:r>
        <w:t xml:space="preserve"> </w:t>
      </w:r>
      <w:proofErr w:type="spellStart"/>
      <w:proofErr w:type="gramStart"/>
      <w:r>
        <w:t>d</w:t>
      </w:r>
      <w:r w:rsidRPr="00A87134">
        <w:t>oi</w:t>
      </w:r>
      <w:proofErr w:type="spellEnd"/>
      <w:proofErr w:type="gramEnd"/>
      <w:r>
        <w:t xml:space="preserve">: </w:t>
      </w:r>
      <w:hyperlink r:id="rId14" w:tgtFrame="pmc_ext" w:history="1">
        <w:r w:rsidRPr="00A87134">
          <w:t>10.3389/fnhum.2014.00072</w:t>
        </w:r>
      </w:hyperlink>
    </w:p>
    <w:p w:rsidR="006F737C" w:rsidRPr="008241B4" w:rsidRDefault="007C3FDB" w:rsidP="00F77E33">
      <w:pPr>
        <w:pStyle w:val="BodyText"/>
        <w:tabs>
          <w:tab w:val="center" w:pos="4680"/>
        </w:tabs>
        <w:ind w:left="567" w:hanging="567"/>
        <w:rPr>
          <w:lang w:val="de-DE"/>
        </w:rPr>
      </w:pPr>
      <w:r w:rsidRPr="008241B4">
        <w:rPr>
          <w:lang w:val="de-DE"/>
        </w:rPr>
        <w:t>Rugani, R., Vallortigara, G., Priftis, K. and Regolin, L. (2015).</w:t>
      </w:r>
      <w:r w:rsidR="00CF2650" w:rsidRPr="008241B4">
        <w:rPr>
          <w:lang w:val="de-DE"/>
        </w:rPr>
        <w:t xml:space="preserve"> Number-space mapping in the </w:t>
      </w:r>
    </w:p>
    <w:p w:rsidR="007C3FDB" w:rsidRPr="008241B4" w:rsidRDefault="00F77E33" w:rsidP="00F77E33">
      <w:pPr>
        <w:pStyle w:val="BodyText"/>
        <w:tabs>
          <w:tab w:val="center" w:pos="4680"/>
        </w:tabs>
        <w:ind w:left="567" w:hanging="567"/>
        <w:rPr>
          <w:lang w:val="de-DE"/>
        </w:rPr>
      </w:pPr>
      <w:r w:rsidRPr="008241B4">
        <w:rPr>
          <w:lang w:val="de-DE"/>
        </w:rPr>
        <w:tab/>
      </w:r>
      <w:r w:rsidR="00CF2650" w:rsidRPr="008241B4">
        <w:rPr>
          <w:lang w:val="de-DE"/>
        </w:rPr>
        <w:t>newborn chick resembles humans’ mental number line.</w:t>
      </w:r>
      <w:r w:rsidR="007C3FDB" w:rsidRPr="008241B4">
        <w:rPr>
          <w:lang w:val="de-DE"/>
        </w:rPr>
        <w:t xml:space="preserve"> </w:t>
      </w:r>
      <w:r w:rsidR="007C3FDB" w:rsidRPr="008241B4">
        <w:rPr>
          <w:i/>
          <w:lang w:val="de-DE"/>
        </w:rPr>
        <w:t>Science</w:t>
      </w:r>
      <w:r w:rsidR="00CF2650" w:rsidRPr="008241B4">
        <w:rPr>
          <w:lang w:val="de-DE"/>
        </w:rPr>
        <w:t>, 347</w:t>
      </w:r>
      <w:r w:rsidR="007C3FDB" w:rsidRPr="008241B4">
        <w:rPr>
          <w:lang w:val="de-DE"/>
        </w:rPr>
        <w:t>,</w:t>
      </w:r>
      <w:r w:rsidR="00A87134" w:rsidRPr="008241B4">
        <w:rPr>
          <w:lang w:val="de-DE"/>
        </w:rPr>
        <w:t xml:space="preserve"> 534-536. doi: 10.1126/science.aaa1379</w:t>
      </w:r>
    </w:p>
    <w:p w:rsidR="00BA2627" w:rsidRPr="008241B4" w:rsidRDefault="00BA2627" w:rsidP="00F77E33">
      <w:pPr>
        <w:pStyle w:val="BodyText"/>
        <w:tabs>
          <w:tab w:val="center" w:pos="4680"/>
        </w:tabs>
        <w:ind w:left="567" w:hanging="567"/>
        <w:rPr>
          <w:lang w:val="de-DE"/>
        </w:rPr>
      </w:pPr>
      <w:r w:rsidRPr="008241B4">
        <w:rPr>
          <w:lang w:val="de-DE"/>
        </w:rPr>
        <w:t xml:space="preserve">Shaki, S., &amp; Fischer, M. H. (2014). Random walks on the mental number line. </w:t>
      </w:r>
      <w:r w:rsidR="008241B4" w:rsidRPr="008241B4">
        <w:rPr>
          <w:i/>
          <w:lang w:val="de-DE"/>
        </w:rPr>
        <w:t>Experimental Brain R</w:t>
      </w:r>
      <w:r w:rsidRPr="008241B4">
        <w:rPr>
          <w:i/>
          <w:lang w:val="de-DE"/>
        </w:rPr>
        <w:t>esearch</w:t>
      </w:r>
      <w:r w:rsidRPr="008241B4">
        <w:rPr>
          <w:lang w:val="de-DE"/>
        </w:rPr>
        <w:t>, 232(1), 43-49.</w:t>
      </w:r>
    </w:p>
    <w:p w:rsidR="00DE4420" w:rsidRPr="00D159F4" w:rsidRDefault="00127E99" w:rsidP="00F77E33">
      <w:pPr>
        <w:pStyle w:val="BodyText"/>
        <w:tabs>
          <w:tab w:val="center" w:pos="4680"/>
        </w:tabs>
        <w:ind w:left="567" w:hanging="567"/>
        <w:rPr>
          <w:lang w:val="de-DE"/>
        </w:rPr>
      </w:pPr>
      <w:r w:rsidRPr="00D159F4">
        <w:rPr>
          <w:lang w:val="de-DE"/>
        </w:rPr>
        <w:lastRenderedPageBreak/>
        <w:t xml:space="preserve">Shaki, S., &amp; Fischer, M. H. (2008). Reading space into numbers–a cross-linguistic comparison of the SNARC effect. </w:t>
      </w:r>
      <w:r w:rsidRPr="00D159F4">
        <w:rPr>
          <w:i/>
          <w:lang w:val="de-DE"/>
        </w:rPr>
        <w:t>Cognition</w:t>
      </w:r>
      <w:r w:rsidRPr="00D159F4">
        <w:rPr>
          <w:lang w:val="de-DE"/>
        </w:rPr>
        <w:t>, 108(2), 590-599.</w:t>
      </w:r>
    </w:p>
    <w:p w:rsidR="006F737C" w:rsidRPr="008241B4" w:rsidRDefault="007C3FDB" w:rsidP="00F77E33">
      <w:pPr>
        <w:pStyle w:val="BodyText"/>
        <w:tabs>
          <w:tab w:val="center" w:pos="4680"/>
        </w:tabs>
        <w:ind w:left="567" w:hanging="567"/>
        <w:rPr>
          <w:lang w:val="de-DE"/>
        </w:rPr>
      </w:pPr>
      <w:r w:rsidRPr="008241B4">
        <w:rPr>
          <w:lang w:val="de-DE"/>
        </w:rPr>
        <w:t>Shaki, S., Fischer, M. H., &amp; Göbel, S. M. (2012).</w:t>
      </w:r>
      <w:r w:rsidR="00CF2650" w:rsidRPr="008241B4">
        <w:rPr>
          <w:lang w:val="de-DE"/>
        </w:rPr>
        <w:t xml:space="preserve"> Direction counts: A comparative study of </w:t>
      </w:r>
    </w:p>
    <w:p w:rsidR="007C3FDB" w:rsidRPr="008241B4" w:rsidRDefault="00F77E33" w:rsidP="00F77E33">
      <w:pPr>
        <w:pStyle w:val="BodyText"/>
        <w:tabs>
          <w:tab w:val="center" w:pos="4680"/>
        </w:tabs>
        <w:ind w:left="567" w:hanging="567"/>
        <w:rPr>
          <w:lang w:val="de-DE"/>
        </w:rPr>
      </w:pPr>
      <w:r w:rsidRPr="008241B4">
        <w:rPr>
          <w:lang w:val="de-DE"/>
        </w:rPr>
        <w:tab/>
      </w:r>
      <w:r w:rsidR="00CF2650" w:rsidRPr="008241B4">
        <w:rPr>
          <w:lang w:val="de-DE"/>
        </w:rPr>
        <w:t>spatially directional counting biases in cultures with different reading directions.</w:t>
      </w:r>
      <w:r w:rsidR="007C3FDB" w:rsidRPr="008241B4">
        <w:rPr>
          <w:lang w:val="de-DE"/>
        </w:rPr>
        <w:t xml:space="preserve"> </w:t>
      </w:r>
      <w:r w:rsidR="007C3FDB" w:rsidRPr="008241B4">
        <w:rPr>
          <w:i/>
          <w:lang w:val="de-DE"/>
        </w:rPr>
        <w:t>Journal o</w:t>
      </w:r>
      <w:r w:rsidR="00CF2650" w:rsidRPr="008241B4">
        <w:rPr>
          <w:i/>
          <w:lang w:val="de-DE"/>
        </w:rPr>
        <w:t>f Experimental Child Psychology</w:t>
      </w:r>
      <w:r w:rsidR="00CF2650" w:rsidRPr="008241B4">
        <w:rPr>
          <w:lang w:val="de-DE"/>
        </w:rPr>
        <w:t xml:space="preserve">, </w:t>
      </w:r>
      <w:r w:rsidR="007C3FDB" w:rsidRPr="008241B4">
        <w:rPr>
          <w:lang w:val="de-DE"/>
        </w:rPr>
        <w:t>112,</w:t>
      </w:r>
      <w:r w:rsidR="00CF2650" w:rsidRPr="008241B4">
        <w:rPr>
          <w:lang w:val="de-DE"/>
        </w:rPr>
        <w:t xml:space="preserve"> 275–281. </w:t>
      </w:r>
      <w:hyperlink r:id="rId15" w:tgtFrame="doilink" w:history="1">
        <w:r w:rsidR="00CF2650" w:rsidRPr="008241B4">
          <w:rPr>
            <w:rFonts w:hint="eastAsia"/>
            <w:lang w:val="de-DE"/>
          </w:rPr>
          <w:t>doi:</w:t>
        </w:r>
        <w:r w:rsidRPr="008241B4">
          <w:rPr>
            <w:lang w:val="de-DE"/>
          </w:rPr>
          <w:t xml:space="preserve"> </w:t>
        </w:r>
        <w:r w:rsidR="00CF2650" w:rsidRPr="008241B4">
          <w:rPr>
            <w:rFonts w:hint="eastAsia"/>
            <w:lang w:val="de-DE"/>
          </w:rPr>
          <w:t>10.1016/j.jecp.2011.12.005</w:t>
        </w:r>
      </w:hyperlink>
    </w:p>
    <w:p w:rsidR="00921718" w:rsidRPr="002604FA" w:rsidRDefault="00921718" w:rsidP="00921718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2604FA">
        <w:rPr>
          <w:rFonts w:ascii="Times New Roman" w:hAnsi="Times New Roman" w:cs="Times New Roman"/>
          <w:sz w:val="24"/>
          <w:szCs w:val="24"/>
          <w:shd w:val="clear" w:color="auto" w:fill="FFFFFF"/>
        </w:rPr>
        <w:t>Shaki</w:t>
      </w:r>
      <w:proofErr w:type="spellEnd"/>
      <w:r w:rsidRPr="00260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S., Fischer, M. H., &amp; </w:t>
      </w:r>
      <w:proofErr w:type="spellStart"/>
      <w:r w:rsidRPr="002604FA">
        <w:rPr>
          <w:rFonts w:ascii="Times New Roman" w:hAnsi="Times New Roman" w:cs="Times New Roman"/>
          <w:sz w:val="24"/>
          <w:szCs w:val="24"/>
          <w:shd w:val="clear" w:color="auto" w:fill="FFFFFF"/>
        </w:rPr>
        <w:t>Petrusic</w:t>
      </w:r>
      <w:proofErr w:type="spellEnd"/>
      <w:r w:rsidRPr="002604FA">
        <w:rPr>
          <w:rFonts w:ascii="Times New Roman" w:hAnsi="Times New Roman" w:cs="Times New Roman"/>
          <w:sz w:val="24"/>
          <w:szCs w:val="24"/>
          <w:shd w:val="clear" w:color="auto" w:fill="FFFFFF"/>
        </w:rPr>
        <w:t>, W. M. (2009).</w:t>
      </w:r>
      <w:proofErr w:type="gramEnd"/>
      <w:r w:rsidRPr="00260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Reading habits for both words and numbers contribute to the SNARC effect. </w:t>
      </w:r>
      <w:proofErr w:type="spellStart"/>
      <w:r w:rsidRPr="007253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Psychonomic</w:t>
      </w:r>
      <w:proofErr w:type="spellEnd"/>
      <w:r w:rsidRPr="007253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Bulletin &amp; Review</w:t>
      </w:r>
      <w:r w:rsidRPr="00260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16, 328–331. </w:t>
      </w:r>
    </w:p>
    <w:p w:rsidR="00F26314" w:rsidRPr="008241B4" w:rsidRDefault="00F26314" w:rsidP="00F77E33">
      <w:pPr>
        <w:pStyle w:val="BodyText"/>
        <w:tabs>
          <w:tab w:val="center" w:pos="4680"/>
        </w:tabs>
        <w:ind w:left="567" w:hanging="567"/>
        <w:rPr>
          <w:lang w:val="de-DE"/>
        </w:rPr>
      </w:pPr>
      <w:r w:rsidRPr="008241B4">
        <w:rPr>
          <w:lang w:val="de-DE"/>
        </w:rPr>
        <w:t xml:space="preserve">Towse, J. N., Loetscher, T., &amp; Brugger, P. (2014). Not all numbers are equal: preferences and biases among children and adults when generating random sequences. </w:t>
      </w:r>
      <w:r w:rsidR="008241B4" w:rsidRPr="008241B4">
        <w:rPr>
          <w:i/>
          <w:lang w:val="de-DE"/>
        </w:rPr>
        <w:t>Frontiers in P</w:t>
      </w:r>
      <w:r w:rsidRPr="008241B4">
        <w:rPr>
          <w:i/>
          <w:lang w:val="de-DE"/>
        </w:rPr>
        <w:t>sychology,</w:t>
      </w:r>
      <w:r w:rsidRPr="008241B4">
        <w:rPr>
          <w:lang w:val="de-DE"/>
        </w:rPr>
        <w:t xml:space="preserve"> 5.</w:t>
      </w:r>
    </w:p>
    <w:p w:rsidR="00C126D2" w:rsidRDefault="00C126D2" w:rsidP="00F77E33">
      <w:pPr>
        <w:spacing w:after="0" w:line="480" w:lineRule="auto"/>
        <w:ind w:left="964" w:hanging="964"/>
        <w:rPr>
          <w:rFonts w:ascii="Times New Roman" w:eastAsia="Times New Roman" w:hAnsi="Times New Roman" w:cs="Times New Roman"/>
          <w:sz w:val="24"/>
          <w:szCs w:val="20"/>
          <w:lang w:val="de-DE"/>
        </w:rPr>
      </w:pPr>
      <w:r w:rsidRPr="00C126D2">
        <w:rPr>
          <w:rFonts w:ascii="Times New Roman" w:eastAsia="Times New Roman" w:hAnsi="Times New Roman" w:cs="Times New Roman"/>
          <w:sz w:val="24"/>
          <w:szCs w:val="20"/>
          <w:lang w:val="de-DE"/>
        </w:rPr>
        <w:t xml:space="preserve">Viarouge, A., Hubbard, E. M., &amp; McCandliss, B. D. (2014). The Cognitive Mechanisms of the SNARC Effect: An Individual Differences Approach. </w:t>
      </w:r>
      <w:r w:rsidRPr="00C126D2">
        <w:rPr>
          <w:rFonts w:ascii="Times New Roman" w:eastAsia="Times New Roman" w:hAnsi="Times New Roman" w:cs="Times New Roman"/>
          <w:i/>
          <w:sz w:val="24"/>
          <w:szCs w:val="20"/>
          <w:lang w:val="de-DE"/>
        </w:rPr>
        <w:t>PloS one</w:t>
      </w:r>
      <w:r w:rsidRPr="00C126D2">
        <w:rPr>
          <w:rFonts w:ascii="Times New Roman" w:eastAsia="Times New Roman" w:hAnsi="Times New Roman" w:cs="Times New Roman"/>
          <w:sz w:val="24"/>
          <w:szCs w:val="20"/>
          <w:lang w:val="de-DE"/>
        </w:rPr>
        <w:t>, 9(4), e95756.</w:t>
      </w:r>
      <w:r w:rsidRPr="006A2A62">
        <w:rPr>
          <w:rFonts w:ascii="Times New Roman" w:eastAsia="Times New Roman" w:hAnsi="Times New Roman" w:cs="Times New Roman"/>
          <w:sz w:val="24"/>
          <w:szCs w:val="20"/>
          <w:lang w:val="de-DE"/>
        </w:rPr>
        <w:t xml:space="preserve"> </w:t>
      </w:r>
    </w:p>
    <w:p w:rsidR="007C3FDB" w:rsidRPr="006A2A62" w:rsidRDefault="006A2A62" w:rsidP="00F77E33">
      <w:pPr>
        <w:spacing w:after="0" w:line="480" w:lineRule="auto"/>
        <w:ind w:left="964" w:hanging="96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2A62">
        <w:rPr>
          <w:rFonts w:ascii="Times New Roman" w:eastAsia="Times New Roman" w:hAnsi="Times New Roman" w:cs="Times New Roman"/>
          <w:sz w:val="24"/>
          <w:szCs w:val="20"/>
          <w:lang w:val="de-DE"/>
        </w:rPr>
        <w:t>Zorzi, M., Priftis, K., &amp; Umiltà, C. (2002). Brain damage: neglect disrupts the</w:t>
      </w:r>
      <w:r w:rsidRPr="0045103D">
        <w:rPr>
          <w:rFonts w:ascii="Times New Roman" w:eastAsia="Times New Roman" w:hAnsi="Times New Roman" w:cs="Times New Roman"/>
          <w:sz w:val="24"/>
          <w:szCs w:val="20"/>
          <w:lang w:val="de-DE"/>
        </w:rPr>
        <w:t xml:space="preserve"> mental</w:t>
      </w:r>
      <w:r>
        <w:rPr>
          <w:rFonts w:ascii="Arial" w:hAnsi="Arial" w:cs="Arial"/>
          <w:color w:val="1A1A1A"/>
          <w:sz w:val="26"/>
          <w:szCs w:val="26"/>
          <w:lang w:val="en-US"/>
        </w:rPr>
        <w:t xml:space="preserve"> </w:t>
      </w:r>
      <w:r w:rsidRPr="006A2A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number line. </w:t>
      </w:r>
      <w:r w:rsidRPr="006A2A6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Nature</w:t>
      </w:r>
      <w:r w:rsidRPr="006A2A62">
        <w:rPr>
          <w:rFonts w:ascii="Times New Roman" w:hAnsi="Times New Roman" w:cs="Times New Roman"/>
          <w:sz w:val="24"/>
          <w:szCs w:val="24"/>
          <w:shd w:val="clear" w:color="auto" w:fill="FFFFFF"/>
        </w:rPr>
        <w:t>, 417, 138-139.</w:t>
      </w:r>
    </w:p>
    <w:sectPr w:rsidR="007C3FDB" w:rsidRPr="006A2A62" w:rsidSect="00F10C13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907" w:rsidRDefault="008B4907" w:rsidP="004E3C03">
      <w:pPr>
        <w:spacing w:after="0" w:line="240" w:lineRule="auto"/>
      </w:pPr>
      <w:r>
        <w:separator/>
      </w:r>
    </w:p>
  </w:endnote>
  <w:endnote w:type="continuationSeparator" w:id="0">
    <w:p w:rsidR="008B4907" w:rsidRDefault="008B4907" w:rsidP="004E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Symbols">
    <w:altName w:val="Times New Roman"/>
    <w:charset w:val="00"/>
    <w:family w:val="auto"/>
    <w:pitch w:val="variable"/>
    <w:sig w:usb0="00000000" w:usb1="08007BEB" w:usb2="01840034" w:usb3="00000000" w:csb0="000001FB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907" w:rsidRDefault="008B4907" w:rsidP="004E3C03">
      <w:pPr>
        <w:spacing w:after="0" w:line="240" w:lineRule="auto"/>
      </w:pPr>
      <w:r>
        <w:separator/>
      </w:r>
    </w:p>
  </w:footnote>
  <w:footnote w:type="continuationSeparator" w:id="0">
    <w:p w:rsidR="008B4907" w:rsidRDefault="008B4907" w:rsidP="004E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907" w:rsidRDefault="00E15300">
    <w:pPr>
      <w:pStyle w:val="Header"/>
      <w:jc w:val="right"/>
    </w:pPr>
    <w:sdt>
      <w:sdtPr>
        <w:id w:val="5212152"/>
        <w:docPartObj>
          <w:docPartGallery w:val="Page Numbers (Top of Page)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0"/>
          <w:lang w:val="en-US"/>
        </w:rPr>
      </w:sdtEndPr>
      <w:sdtContent>
        <w:r w:rsidRPr="00BD187A">
          <w:rPr>
            <w:rFonts w:ascii="Times New Roman" w:eastAsia="Times New Roman" w:hAnsi="Times New Roman" w:cs="Times New Roman"/>
            <w:sz w:val="24"/>
            <w:szCs w:val="20"/>
            <w:lang w:val="en-US"/>
          </w:rPr>
          <w:fldChar w:fldCharType="begin"/>
        </w:r>
        <w:r w:rsidR="008B4907" w:rsidRPr="00BD187A">
          <w:rPr>
            <w:rFonts w:ascii="Times New Roman" w:eastAsia="Times New Roman" w:hAnsi="Times New Roman" w:cs="Times New Roman"/>
            <w:sz w:val="24"/>
            <w:szCs w:val="20"/>
            <w:lang w:val="en-US"/>
          </w:rPr>
          <w:instrText xml:space="preserve"> PAGE   \* MERGEFORMAT </w:instrText>
        </w:r>
        <w:r w:rsidRPr="00BD187A">
          <w:rPr>
            <w:rFonts w:ascii="Times New Roman" w:eastAsia="Times New Roman" w:hAnsi="Times New Roman" w:cs="Times New Roman"/>
            <w:sz w:val="24"/>
            <w:szCs w:val="20"/>
            <w:lang w:val="en-US"/>
          </w:rPr>
          <w:fldChar w:fldCharType="separate"/>
        </w:r>
        <w:r w:rsidR="00775FAE">
          <w:rPr>
            <w:rFonts w:ascii="Times New Roman" w:eastAsia="Times New Roman" w:hAnsi="Times New Roman" w:cs="Times New Roman"/>
            <w:noProof/>
            <w:sz w:val="24"/>
            <w:szCs w:val="20"/>
            <w:lang w:val="en-US"/>
          </w:rPr>
          <w:t>2</w:t>
        </w:r>
        <w:r w:rsidRPr="00BD187A">
          <w:rPr>
            <w:rFonts w:ascii="Times New Roman" w:eastAsia="Times New Roman" w:hAnsi="Times New Roman" w:cs="Times New Roman"/>
            <w:sz w:val="24"/>
            <w:szCs w:val="20"/>
            <w:lang w:val="en-US"/>
          </w:rPr>
          <w:fldChar w:fldCharType="end"/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0561C14"/>
    <w:multiLevelType w:val="hybridMultilevel"/>
    <w:tmpl w:val="A5D8D48C"/>
    <w:lvl w:ilvl="0" w:tplc="ABD0C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DC6C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4EC8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00E2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0C68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248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6C0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C51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E00E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FDB"/>
    <w:rsid w:val="00003A6F"/>
    <w:rsid w:val="000163CB"/>
    <w:rsid w:val="000205B8"/>
    <w:rsid w:val="00021461"/>
    <w:rsid w:val="0002762F"/>
    <w:rsid w:val="00043E6E"/>
    <w:rsid w:val="00044454"/>
    <w:rsid w:val="00045FA1"/>
    <w:rsid w:val="000463BE"/>
    <w:rsid w:val="000542DC"/>
    <w:rsid w:val="00054478"/>
    <w:rsid w:val="00064B45"/>
    <w:rsid w:val="00067CA5"/>
    <w:rsid w:val="000803B3"/>
    <w:rsid w:val="00096F10"/>
    <w:rsid w:val="000C0178"/>
    <w:rsid w:val="000C28E7"/>
    <w:rsid w:val="000C6DD7"/>
    <w:rsid w:val="000D239D"/>
    <w:rsid w:val="000D3292"/>
    <w:rsid w:val="000E0938"/>
    <w:rsid w:val="000F5331"/>
    <w:rsid w:val="001129F1"/>
    <w:rsid w:val="00116D4E"/>
    <w:rsid w:val="00117165"/>
    <w:rsid w:val="001234CD"/>
    <w:rsid w:val="00124BE1"/>
    <w:rsid w:val="00124F9B"/>
    <w:rsid w:val="00127E99"/>
    <w:rsid w:val="00137502"/>
    <w:rsid w:val="0014166B"/>
    <w:rsid w:val="001431F3"/>
    <w:rsid w:val="00161BBA"/>
    <w:rsid w:val="00187B8A"/>
    <w:rsid w:val="00190558"/>
    <w:rsid w:val="0019792D"/>
    <w:rsid w:val="001B44BD"/>
    <w:rsid w:val="001C3AE2"/>
    <w:rsid w:val="001D2463"/>
    <w:rsid w:val="001D7AAB"/>
    <w:rsid w:val="001F1780"/>
    <w:rsid w:val="0020111D"/>
    <w:rsid w:val="00202270"/>
    <w:rsid w:val="00204F3F"/>
    <w:rsid w:val="00210BA8"/>
    <w:rsid w:val="00211A37"/>
    <w:rsid w:val="002242BD"/>
    <w:rsid w:val="00226C04"/>
    <w:rsid w:val="002514B5"/>
    <w:rsid w:val="00253541"/>
    <w:rsid w:val="00261C8E"/>
    <w:rsid w:val="0026217E"/>
    <w:rsid w:val="00262446"/>
    <w:rsid w:val="00267553"/>
    <w:rsid w:val="00270892"/>
    <w:rsid w:val="00276FEA"/>
    <w:rsid w:val="0027793D"/>
    <w:rsid w:val="0029735D"/>
    <w:rsid w:val="002C6FA1"/>
    <w:rsid w:val="002E226F"/>
    <w:rsid w:val="002E3D38"/>
    <w:rsid w:val="002F1AEB"/>
    <w:rsid w:val="002F728A"/>
    <w:rsid w:val="003415E7"/>
    <w:rsid w:val="003511FB"/>
    <w:rsid w:val="003653BF"/>
    <w:rsid w:val="003824AB"/>
    <w:rsid w:val="00382900"/>
    <w:rsid w:val="00387D1F"/>
    <w:rsid w:val="00390F36"/>
    <w:rsid w:val="003A272C"/>
    <w:rsid w:val="003A2E3B"/>
    <w:rsid w:val="003D7E33"/>
    <w:rsid w:val="003E38D4"/>
    <w:rsid w:val="003E5C47"/>
    <w:rsid w:val="0041129C"/>
    <w:rsid w:val="00412834"/>
    <w:rsid w:val="00420941"/>
    <w:rsid w:val="004269F9"/>
    <w:rsid w:val="00433B9E"/>
    <w:rsid w:val="00447156"/>
    <w:rsid w:val="0044792E"/>
    <w:rsid w:val="00450FEA"/>
    <w:rsid w:val="0045103D"/>
    <w:rsid w:val="00470FC0"/>
    <w:rsid w:val="00471274"/>
    <w:rsid w:val="00481AE0"/>
    <w:rsid w:val="0049219D"/>
    <w:rsid w:val="004A54D8"/>
    <w:rsid w:val="004B3FE6"/>
    <w:rsid w:val="004D17C3"/>
    <w:rsid w:val="004E0D63"/>
    <w:rsid w:val="004E3C03"/>
    <w:rsid w:val="0050001F"/>
    <w:rsid w:val="0050203D"/>
    <w:rsid w:val="0050238C"/>
    <w:rsid w:val="00532BC8"/>
    <w:rsid w:val="005358BC"/>
    <w:rsid w:val="00540284"/>
    <w:rsid w:val="005521C8"/>
    <w:rsid w:val="005602C7"/>
    <w:rsid w:val="00562143"/>
    <w:rsid w:val="00570213"/>
    <w:rsid w:val="0057045D"/>
    <w:rsid w:val="005875B3"/>
    <w:rsid w:val="00593A19"/>
    <w:rsid w:val="005962CB"/>
    <w:rsid w:val="005976F2"/>
    <w:rsid w:val="005C3FC9"/>
    <w:rsid w:val="005D65E6"/>
    <w:rsid w:val="005E2466"/>
    <w:rsid w:val="005E6F68"/>
    <w:rsid w:val="005F00C4"/>
    <w:rsid w:val="005F7422"/>
    <w:rsid w:val="006021A5"/>
    <w:rsid w:val="0060475D"/>
    <w:rsid w:val="006079A2"/>
    <w:rsid w:val="00610F9F"/>
    <w:rsid w:val="006110A9"/>
    <w:rsid w:val="006152C7"/>
    <w:rsid w:val="006154A9"/>
    <w:rsid w:val="00617403"/>
    <w:rsid w:val="00617742"/>
    <w:rsid w:val="00617B0F"/>
    <w:rsid w:val="00621EE3"/>
    <w:rsid w:val="00627BBB"/>
    <w:rsid w:val="006404DD"/>
    <w:rsid w:val="00640C1D"/>
    <w:rsid w:val="00650EAC"/>
    <w:rsid w:val="00651AB9"/>
    <w:rsid w:val="00653619"/>
    <w:rsid w:val="006546D4"/>
    <w:rsid w:val="00655225"/>
    <w:rsid w:val="006937E6"/>
    <w:rsid w:val="00695D9D"/>
    <w:rsid w:val="006A2A62"/>
    <w:rsid w:val="006B3A7B"/>
    <w:rsid w:val="006B618F"/>
    <w:rsid w:val="006C0DED"/>
    <w:rsid w:val="006C2485"/>
    <w:rsid w:val="006C2970"/>
    <w:rsid w:val="006D7E00"/>
    <w:rsid w:val="006E3EC1"/>
    <w:rsid w:val="006F615C"/>
    <w:rsid w:val="006F737C"/>
    <w:rsid w:val="00706118"/>
    <w:rsid w:val="00706FDF"/>
    <w:rsid w:val="00732F3D"/>
    <w:rsid w:val="00740812"/>
    <w:rsid w:val="00744FC7"/>
    <w:rsid w:val="007754A8"/>
    <w:rsid w:val="00775FAE"/>
    <w:rsid w:val="00782F21"/>
    <w:rsid w:val="00783E92"/>
    <w:rsid w:val="00795FEE"/>
    <w:rsid w:val="007A2DC7"/>
    <w:rsid w:val="007B039F"/>
    <w:rsid w:val="007C0448"/>
    <w:rsid w:val="007C387B"/>
    <w:rsid w:val="007C3FDB"/>
    <w:rsid w:val="007C7C98"/>
    <w:rsid w:val="007C7D27"/>
    <w:rsid w:val="007F2802"/>
    <w:rsid w:val="00816881"/>
    <w:rsid w:val="008241B4"/>
    <w:rsid w:val="00832FE6"/>
    <w:rsid w:val="008335DF"/>
    <w:rsid w:val="00835DDF"/>
    <w:rsid w:val="008503C5"/>
    <w:rsid w:val="00850D1D"/>
    <w:rsid w:val="0086087E"/>
    <w:rsid w:val="00863DC2"/>
    <w:rsid w:val="0086484A"/>
    <w:rsid w:val="00864FB6"/>
    <w:rsid w:val="008865F8"/>
    <w:rsid w:val="00890201"/>
    <w:rsid w:val="008923A9"/>
    <w:rsid w:val="0089559E"/>
    <w:rsid w:val="008A2726"/>
    <w:rsid w:val="008B0E51"/>
    <w:rsid w:val="008B24EA"/>
    <w:rsid w:val="008B4907"/>
    <w:rsid w:val="008C3194"/>
    <w:rsid w:val="008C45EC"/>
    <w:rsid w:val="008D2CE8"/>
    <w:rsid w:val="008E57C0"/>
    <w:rsid w:val="0090244E"/>
    <w:rsid w:val="00921718"/>
    <w:rsid w:val="0095184A"/>
    <w:rsid w:val="009605F6"/>
    <w:rsid w:val="00971018"/>
    <w:rsid w:val="009739C3"/>
    <w:rsid w:val="009778DC"/>
    <w:rsid w:val="00987449"/>
    <w:rsid w:val="00996605"/>
    <w:rsid w:val="009A3AC5"/>
    <w:rsid w:val="009C3609"/>
    <w:rsid w:val="009D18AF"/>
    <w:rsid w:val="009D2A66"/>
    <w:rsid w:val="009E0329"/>
    <w:rsid w:val="009E1356"/>
    <w:rsid w:val="009E78A1"/>
    <w:rsid w:val="009F215C"/>
    <w:rsid w:val="00A0068C"/>
    <w:rsid w:val="00A03AA9"/>
    <w:rsid w:val="00A10714"/>
    <w:rsid w:val="00A16C93"/>
    <w:rsid w:val="00A24AAF"/>
    <w:rsid w:val="00A3586F"/>
    <w:rsid w:val="00A35F02"/>
    <w:rsid w:val="00A439A0"/>
    <w:rsid w:val="00A52E4B"/>
    <w:rsid w:val="00A66DF3"/>
    <w:rsid w:val="00A72B66"/>
    <w:rsid w:val="00A773AC"/>
    <w:rsid w:val="00A860D0"/>
    <w:rsid w:val="00A87134"/>
    <w:rsid w:val="00AB2A3C"/>
    <w:rsid w:val="00AC1EE7"/>
    <w:rsid w:val="00AC2A85"/>
    <w:rsid w:val="00AD64F6"/>
    <w:rsid w:val="00AE3A0C"/>
    <w:rsid w:val="00AE443F"/>
    <w:rsid w:val="00AE6457"/>
    <w:rsid w:val="00AF2588"/>
    <w:rsid w:val="00AF4EBA"/>
    <w:rsid w:val="00B11687"/>
    <w:rsid w:val="00B1220D"/>
    <w:rsid w:val="00B33A94"/>
    <w:rsid w:val="00B374E9"/>
    <w:rsid w:val="00B45783"/>
    <w:rsid w:val="00B5364F"/>
    <w:rsid w:val="00B624F6"/>
    <w:rsid w:val="00B740E6"/>
    <w:rsid w:val="00B76F5E"/>
    <w:rsid w:val="00B8247A"/>
    <w:rsid w:val="00B97DE2"/>
    <w:rsid w:val="00B97E3D"/>
    <w:rsid w:val="00BA2627"/>
    <w:rsid w:val="00BB6E71"/>
    <w:rsid w:val="00BC49BF"/>
    <w:rsid w:val="00BD187A"/>
    <w:rsid w:val="00BD2D42"/>
    <w:rsid w:val="00BD3FFB"/>
    <w:rsid w:val="00BD4ACE"/>
    <w:rsid w:val="00BE1EBC"/>
    <w:rsid w:val="00BE6854"/>
    <w:rsid w:val="00BE752F"/>
    <w:rsid w:val="00C04EE5"/>
    <w:rsid w:val="00C12378"/>
    <w:rsid w:val="00C126D2"/>
    <w:rsid w:val="00C166A8"/>
    <w:rsid w:val="00C2544C"/>
    <w:rsid w:val="00C32633"/>
    <w:rsid w:val="00C36D8E"/>
    <w:rsid w:val="00C416EF"/>
    <w:rsid w:val="00C4785F"/>
    <w:rsid w:val="00C62F1E"/>
    <w:rsid w:val="00C644CE"/>
    <w:rsid w:val="00C82556"/>
    <w:rsid w:val="00C850A7"/>
    <w:rsid w:val="00CA18AF"/>
    <w:rsid w:val="00CA69E2"/>
    <w:rsid w:val="00CB33C4"/>
    <w:rsid w:val="00CB35F0"/>
    <w:rsid w:val="00CC32C2"/>
    <w:rsid w:val="00CC3EFE"/>
    <w:rsid w:val="00CE37B8"/>
    <w:rsid w:val="00CE3E61"/>
    <w:rsid w:val="00CE5230"/>
    <w:rsid w:val="00CE5F03"/>
    <w:rsid w:val="00CF2650"/>
    <w:rsid w:val="00D01FE6"/>
    <w:rsid w:val="00D0226B"/>
    <w:rsid w:val="00D05D3E"/>
    <w:rsid w:val="00D128E6"/>
    <w:rsid w:val="00D159F4"/>
    <w:rsid w:val="00D15FEB"/>
    <w:rsid w:val="00D32609"/>
    <w:rsid w:val="00D335E9"/>
    <w:rsid w:val="00D34DB8"/>
    <w:rsid w:val="00D42CC8"/>
    <w:rsid w:val="00D4649F"/>
    <w:rsid w:val="00D56EB0"/>
    <w:rsid w:val="00D6087D"/>
    <w:rsid w:val="00D60D7F"/>
    <w:rsid w:val="00D62338"/>
    <w:rsid w:val="00D737CA"/>
    <w:rsid w:val="00D9424D"/>
    <w:rsid w:val="00D95921"/>
    <w:rsid w:val="00DA5C97"/>
    <w:rsid w:val="00DB177A"/>
    <w:rsid w:val="00DB27BF"/>
    <w:rsid w:val="00DC38A8"/>
    <w:rsid w:val="00DD55FC"/>
    <w:rsid w:val="00DD7F8D"/>
    <w:rsid w:val="00DE4420"/>
    <w:rsid w:val="00E02CE8"/>
    <w:rsid w:val="00E15300"/>
    <w:rsid w:val="00E232C6"/>
    <w:rsid w:val="00E244CD"/>
    <w:rsid w:val="00E3047B"/>
    <w:rsid w:val="00E3552B"/>
    <w:rsid w:val="00E552C8"/>
    <w:rsid w:val="00E55B2B"/>
    <w:rsid w:val="00E561A8"/>
    <w:rsid w:val="00E61EC3"/>
    <w:rsid w:val="00E63576"/>
    <w:rsid w:val="00E63D7B"/>
    <w:rsid w:val="00E66E91"/>
    <w:rsid w:val="00E73127"/>
    <w:rsid w:val="00E7365E"/>
    <w:rsid w:val="00E738AB"/>
    <w:rsid w:val="00E77D2C"/>
    <w:rsid w:val="00E8395D"/>
    <w:rsid w:val="00E96DAA"/>
    <w:rsid w:val="00E97F46"/>
    <w:rsid w:val="00EA3323"/>
    <w:rsid w:val="00EA4D58"/>
    <w:rsid w:val="00EA4FED"/>
    <w:rsid w:val="00EA5A34"/>
    <w:rsid w:val="00EC7E75"/>
    <w:rsid w:val="00ED04E5"/>
    <w:rsid w:val="00EE601A"/>
    <w:rsid w:val="00EF0AD9"/>
    <w:rsid w:val="00EF4C02"/>
    <w:rsid w:val="00F10C13"/>
    <w:rsid w:val="00F14ED7"/>
    <w:rsid w:val="00F21040"/>
    <w:rsid w:val="00F22D8C"/>
    <w:rsid w:val="00F26314"/>
    <w:rsid w:val="00F4070D"/>
    <w:rsid w:val="00F4153D"/>
    <w:rsid w:val="00F45218"/>
    <w:rsid w:val="00F4671B"/>
    <w:rsid w:val="00F6402B"/>
    <w:rsid w:val="00F710F9"/>
    <w:rsid w:val="00F77E33"/>
    <w:rsid w:val="00F84898"/>
    <w:rsid w:val="00F848C4"/>
    <w:rsid w:val="00F90C11"/>
    <w:rsid w:val="00F9147A"/>
    <w:rsid w:val="00F92517"/>
    <w:rsid w:val="00FA054A"/>
    <w:rsid w:val="00FB6F69"/>
    <w:rsid w:val="00FB7475"/>
    <w:rsid w:val="00FF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  <o:rules v:ext="edit">
        <o:r id="V:Rule8" type="connector" idref="#AutoShape 24"/>
        <o:r id="V:Rule9" type="connector" idref="#AutoShape 22"/>
        <o:r id="V:Rule10" type="connector" idref="#AutoShape 23"/>
        <o:r id="V:Rule11" type="connector" idref="#AutoShape 17"/>
        <o:r id="V:Rule12" type="connector" idref="#AutoShape 18"/>
        <o:r id="V:Rule13" type="connector" idref="#AutoShape 20"/>
        <o:r id="V:Rule14" type="connector" idref="#AutoShape 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13"/>
  </w:style>
  <w:style w:type="paragraph" w:styleId="Heading1">
    <w:name w:val="heading 1"/>
    <w:basedOn w:val="Normal"/>
    <w:next w:val="Normal"/>
    <w:link w:val="Heading1Char"/>
    <w:uiPriority w:val="9"/>
    <w:qFormat/>
    <w:rsid w:val="007C3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7C3FDB"/>
    <w:pPr>
      <w:spacing w:after="0" w:line="480" w:lineRule="auto"/>
      <w:ind w:firstLine="54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C3FD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3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C03"/>
  </w:style>
  <w:style w:type="paragraph" w:styleId="Footer">
    <w:name w:val="footer"/>
    <w:basedOn w:val="Normal"/>
    <w:link w:val="FooterChar"/>
    <w:uiPriority w:val="99"/>
    <w:semiHidden/>
    <w:unhideWhenUsed/>
    <w:rsid w:val="004E3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3C03"/>
  </w:style>
  <w:style w:type="paragraph" w:styleId="BalloonText">
    <w:name w:val="Balloon Text"/>
    <w:basedOn w:val="Normal"/>
    <w:link w:val="BalloonTextChar"/>
    <w:uiPriority w:val="99"/>
    <w:semiHidden/>
    <w:unhideWhenUsed/>
    <w:rsid w:val="004E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C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F265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87134"/>
  </w:style>
  <w:style w:type="character" w:customStyle="1" w:styleId="slug-doi">
    <w:name w:val="slug-doi"/>
    <w:basedOn w:val="DefaultParagraphFont"/>
    <w:rsid w:val="00A87134"/>
  </w:style>
  <w:style w:type="table" w:styleId="TableGrid">
    <w:name w:val="Table Grid"/>
    <w:basedOn w:val="TableNormal"/>
    <w:uiPriority w:val="59"/>
    <w:rsid w:val="00EF4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BodyText"/>
    <w:link w:val="BlockTextChar"/>
    <w:rsid w:val="007A2DC7"/>
    <w:pPr>
      <w:ind w:firstLine="0"/>
    </w:pPr>
  </w:style>
  <w:style w:type="character" w:customStyle="1" w:styleId="BlockTextChar">
    <w:name w:val="Block Text Char"/>
    <w:basedOn w:val="BodyTextChar"/>
    <w:link w:val="BlockText"/>
    <w:rsid w:val="007A2DC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1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1A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51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A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A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C3194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C13"/>
  </w:style>
  <w:style w:type="paragraph" w:styleId="Heading1">
    <w:name w:val="heading 1"/>
    <w:basedOn w:val="Normal"/>
    <w:next w:val="Normal"/>
    <w:link w:val="Heading1Char"/>
    <w:uiPriority w:val="9"/>
    <w:qFormat/>
    <w:rsid w:val="007C3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7C3FDB"/>
    <w:pPr>
      <w:spacing w:after="0" w:line="480" w:lineRule="auto"/>
      <w:ind w:firstLine="54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C3FD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E3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C03"/>
  </w:style>
  <w:style w:type="paragraph" w:styleId="Footer">
    <w:name w:val="footer"/>
    <w:basedOn w:val="Normal"/>
    <w:link w:val="FooterChar"/>
    <w:uiPriority w:val="99"/>
    <w:semiHidden/>
    <w:unhideWhenUsed/>
    <w:rsid w:val="004E3C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3C03"/>
  </w:style>
  <w:style w:type="paragraph" w:styleId="BalloonText">
    <w:name w:val="Balloon Text"/>
    <w:basedOn w:val="Normal"/>
    <w:link w:val="BalloonTextChar"/>
    <w:uiPriority w:val="99"/>
    <w:semiHidden/>
    <w:unhideWhenUsed/>
    <w:rsid w:val="004E3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C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F265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87134"/>
  </w:style>
  <w:style w:type="character" w:customStyle="1" w:styleId="slug-doi">
    <w:name w:val="slug-doi"/>
    <w:basedOn w:val="DefaultParagraphFont"/>
    <w:rsid w:val="00A87134"/>
  </w:style>
  <w:style w:type="table" w:styleId="TableGrid">
    <w:name w:val="Table Grid"/>
    <w:basedOn w:val="TableNormal"/>
    <w:uiPriority w:val="59"/>
    <w:rsid w:val="00EF4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BodyText"/>
    <w:link w:val="BlockTextChar"/>
    <w:rsid w:val="007A2DC7"/>
    <w:pPr>
      <w:ind w:firstLine="0"/>
    </w:pPr>
  </w:style>
  <w:style w:type="character" w:customStyle="1" w:styleId="BlockTextChar">
    <w:name w:val="Block Text Char"/>
    <w:basedOn w:val="BodyTextChar"/>
    <w:link w:val="BlockText"/>
    <w:rsid w:val="007A2DC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1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1AB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51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A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A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B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C3194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473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016/j.jecp.2011.12.005" TargetMode="External"/><Relationship Id="rId10" Type="http://schemas.openxmlformats.org/officeDocument/2006/relationships/image" Target="media/image3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dx.doi.org/10.3389%2Ffnhum.2014.000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3D597-0399-47BA-8EE9-7ADF3900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 Maier</dc:creator>
  <cp:lastModifiedBy>Silke</cp:lastModifiedBy>
  <cp:revision>4</cp:revision>
  <dcterms:created xsi:type="dcterms:W3CDTF">2015-06-12T12:03:00Z</dcterms:created>
  <dcterms:modified xsi:type="dcterms:W3CDTF">2015-06-12T12:10:00Z</dcterms:modified>
</cp:coreProperties>
</file>