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5B" w:rsidRDefault="0021545B" w:rsidP="0021545B">
      <w:pPr>
        <w:spacing w:after="0"/>
        <w:rPr>
          <w:sz w:val="32"/>
        </w:rPr>
      </w:pPr>
      <w:r>
        <w:rPr>
          <w:b/>
          <w:sz w:val="32"/>
        </w:rPr>
        <w:t>The Dispositions of Things</w:t>
      </w:r>
      <w:r>
        <w:rPr>
          <w:sz w:val="32"/>
        </w:rPr>
        <w:t xml:space="preserve"> </w:t>
      </w:r>
    </w:p>
    <w:p w:rsidR="0021545B" w:rsidRDefault="000C767B" w:rsidP="0021545B">
      <w:pPr>
        <w:pBdr>
          <w:bottom w:val="single" w:sz="4" w:space="1" w:color="auto"/>
        </w:pBdr>
        <w:spacing w:after="0"/>
        <w:rPr>
          <w:sz w:val="24"/>
          <w:szCs w:val="24"/>
        </w:rPr>
      </w:pPr>
      <w:r>
        <w:rPr>
          <w:sz w:val="24"/>
          <w:szCs w:val="24"/>
        </w:rPr>
        <w:t>The</w:t>
      </w:r>
      <w:r w:rsidR="0021545B" w:rsidRPr="0021545B">
        <w:rPr>
          <w:sz w:val="24"/>
          <w:szCs w:val="24"/>
        </w:rPr>
        <w:t xml:space="preserve"> non-human dimension of</w:t>
      </w:r>
      <w:r>
        <w:rPr>
          <w:sz w:val="24"/>
          <w:szCs w:val="24"/>
        </w:rPr>
        <w:t xml:space="preserve"> power </w:t>
      </w:r>
      <w:r w:rsidR="00650464">
        <w:rPr>
          <w:sz w:val="24"/>
          <w:szCs w:val="24"/>
        </w:rPr>
        <w:t xml:space="preserve">and ethics </w:t>
      </w:r>
      <w:r w:rsidR="00437749">
        <w:rPr>
          <w:sz w:val="24"/>
          <w:szCs w:val="24"/>
        </w:rPr>
        <w:t xml:space="preserve">in </w:t>
      </w:r>
      <w:r w:rsidR="0021545B" w:rsidRPr="0021545B">
        <w:rPr>
          <w:sz w:val="24"/>
          <w:szCs w:val="24"/>
        </w:rPr>
        <w:t>patient-centred medicine</w:t>
      </w:r>
    </w:p>
    <w:p w:rsidR="00C72E94" w:rsidRDefault="00C72E94" w:rsidP="0021545B">
      <w:pPr>
        <w:spacing w:after="0"/>
        <w:rPr>
          <w:b/>
        </w:rPr>
      </w:pPr>
    </w:p>
    <w:p w:rsidR="00C72E94" w:rsidRDefault="00C72E94" w:rsidP="0021545B">
      <w:pPr>
        <w:spacing w:after="0"/>
        <w:rPr>
          <w:b/>
        </w:rPr>
      </w:pPr>
      <w:r>
        <w:rPr>
          <w:b/>
        </w:rPr>
        <w:t>John Gardner, Alan Cribb</w:t>
      </w:r>
    </w:p>
    <w:p w:rsidR="00C72E94" w:rsidRDefault="00C72E94" w:rsidP="0021545B">
      <w:pPr>
        <w:spacing w:after="0"/>
        <w:rPr>
          <w:b/>
        </w:rPr>
      </w:pPr>
    </w:p>
    <w:p w:rsidR="0021545B" w:rsidRDefault="00414D6F" w:rsidP="0021545B">
      <w:pPr>
        <w:spacing w:after="0"/>
        <w:rPr>
          <w:b/>
        </w:rPr>
      </w:pPr>
      <w:r>
        <w:rPr>
          <w:b/>
        </w:rPr>
        <w:t>Abstract</w:t>
      </w:r>
    </w:p>
    <w:p w:rsidR="0021545B" w:rsidRPr="003E1B07" w:rsidRDefault="0021545B" w:rsidP="0021545B">
      <w:pPr>
        <w:spacing w:after="0"/>
        <w:jc w:val="both"/>
      </w:pPr>
      <w:r>
        <w:t>This paper explores power relations between clinician</w:t>
      </w:r>
      <w:r w:rsidR="009A1E07">
        <w:t>s</w:t>
      </w:r>
      <w:r>
        <w:t>, patients and families as clinicians engage in patient-centred ethical work.  Specifically, we draw on Actor-Network Theory to interrogate the role of non-human elements in distributing power rel</w:t>
      </w:r>
      <w:r w:rsidR="00632D27">
        <w:t>ations within clinical settings</w:t>
      </w:r>
      <w:bookmarkStart w:id="0" w:name="_GoBack"/>
      <w:bookmarkEnd w:id="0"/>
      <w:r>
        <w:t xml:space="preserve"> as clinicians attempt to manage the expectations of patients and families. Using</w:t>
      </w:r>
      <w:r w:rsidRPr="00906311">
        <w:t xml:space="preserve"> the activities of a multidisciplinary team providing deep brain stimulation to children with severe movement disorders as an example</w:t>
      </w:r>
      <w:r>
        <w:t xml:space="preserve">, we illustrate how a patient-centred tool is implicated in </w:t>
      </w:r>
      <w:r w:rsidR="005C0B3E">
        <w:t xml:space="preserve">establishing relations that constitute four modes of power: </w:t>
      </w:r>
      <w:r w:rsidR="005C0B3E" w:rsidRPr="005C0B3E">
        <w:rPr>
          <w:i/>
        </w:rPr>
        <w:t>power over</w:t>
      </w:r>
      <w:r w:rsidR="005C0B3E">
        <w:t xml:space="preserve">, </w:t>
      </w:r>
      <w:r w:rsidR="005C0B3E" w:rsidRPr="005C0B3E">
        <w:rPr>
          <w:i/>
        </w:rPr>
        <w:t>power to</w:t>
      </w:r>
      <w:r w:rsidR="005C0B3E">
        <w:t xml:space="preserve">, </w:t>
      </w:r>
      <w:r w:rsidR="005C0B3E" w:rsidRPr="005C0B3E">
        <w:rPr>
          <w:i/>
        </w:rPr>
        <w:t>power storage</w:t>
      </w:r>
      <w:r w:rsidR="005C0B3E">
        <w:t xml:space="preserve">, and </w:t>
      </w:r>
      <w:r w:rsidR="005C0B3E" w:rsidRPr="005C0B3E">
        <w:rPr>
          <w:i/>
        </w:rPr>
        <w:t>power/discretion</w:t>
      </w:r>
      <w:r w:rsidR="005C0B3E">
        <w:t xml:space="preserve">. </w:t>
      </w:r>
      <w:r w:rsidR="00900735">
        <w:t xml:space="preserve">We argue that understanding the role of non-human elements in structuring power relations can guide and inform bioethical discussions on the suitability of patient-centred approaches in clinical settings.   </w:t>
      </w:r>
    </w:p>
    <w:p w:rsidR="00A50B9A" w:rsidRDefault="00A50B9A" w:rsidP="0021545B">
      <w:pPr>
        <w:spacing w:after="0"/>
      </w:pPr>
    </w:p>
    <w:p w:rsidR="00A50B9A" w:rsidRPr="00A50B9A" w:rsidRDefault="00A50B9A" w:rsidP="0021545B">
      <w:pPr>
        <w:spacing w:after="0"/>
        <w:rPr>
          <w:b/>
        </w:rPr>
      </w:pPr>
      <w:r w:rsidRPr="00A50B9A">
        <w:rPr>
          <w:b/>
        </w:rPr>
        <w:t>Key words</w:t>
      </w:r>
    </w:p>
    <w:p w:rsidR="00A50B9A" w:rsidRDefault="00A50B9A" w:rsidP="0021545B">
      <w:pPr>
        <w:spacing w:after="0"/>
      </w:pPr>
      <w:r>
        <w:t xml:space="preserve">Actor-Network theory, </w:t>
      </w:r>
      <w:r w:rsidR="005F42BD">
        <w:t>E</w:t>
      </w:r>
      <w:r>
        <w:t xml:space="preserve">mpirical </w:t>
      </w:r>
      <w:r w:rsidR="005F42BD">
        <w:t>ethics; B</w:t>
      </w:r>
      <w:r>
        <w:t>ioethics</w:t>
      </w:r>
      <w:r w:rsidR="006A4FC1">
        <w:t xml:space="preserve">; </w:t>
      </w:r>
      <w:r w:rsidR="00754D73">
        <w:t>Shared decision-making</w:t>
      </w:r>
    </w:p>
    <w:p w:rsidR="00987945" w:rsidRDefault="00987945" w:rsidP="0021545B">
      <w:pPr>
        <w:spacing w:after="0"/>
      </w:pPr>
    </w:p>
    <w:p w:rsidR="00A50B9A" w:rsidRDefault="00A50B9A" w:rsidP="0021545B">
      <w:pPr>
        <w:spacing w:after="0"/>
      </w:pPr>
    </w:p>
    <w:p w:rsidR="00A50B9A" w:rsidRPr="006A4FC1" w:rsidRDefault="00A50B9A" w:rsidP="006A4FC1">
      <w:pPr>
        <w:pStyle w:val="ListParagraph"/>
        <w:numPr>
          <w:ilvl w:val="0"/>
          <w:numId w:val="1"/>
        </w:numPr>
        <w:spacing w:after="0"/>
        <w:jc w:val="both"/>
        <w:rPr>
          <w:b/>
        </w:rPr>
      </w:pPr>
      <w:r w:rsidRPr="006A4FC1">
        <w:rPr>
          <w:b/>
        </w:rPr>
        <w:t xml:space="preserve">Introduction </w:t>
      </w:r>
    </w:p>
    <w:p w:rsidR="00FA2B96" w:rsidRDefault="00FA2B96" w:rsidP="00FA2B96">
      <w:pPr>
        <w:spacing w:after="0"/>
        <w:jc w:val="both"/>
      </w:pPr>
      <w:r>
        <w:t>Dystonia is a disorder caused by abnormal activity in the basal ganglia area of the brain. It is characteri</w:t>
      </w:r>
      <w:r w:rsidR="00900735">
        <w:t>sed by uncontrolled, sustained and</w:t>
      </w:r>
      <w:r>
        <w:t xml:space="preserve"> intermittent muscular contraction, which in severe cases can result in painful, crippling body postures. Medications provide relief for some sufferers, but for others, particularly those with severe </w:t>
      </w:r>
      <w:r w:rsidR="000219B1">
        <w:t>dystonia</w:t>
      </w:r>
      <w:r>
        <w:t xml:space="preserve">, medications are ineffective or the side-effects </w:t>
      </w:r>
      <w:proofErr w:type="gramStart"/>
      <w:r>
        <w:t>are</w:t>
      </w:r>
      <w:proofErr w:type="gramEnd"/>
      <w:r>
        <w:t xml:space="preserve"> intolerable. Indeed, dystonia was recently identified as one of several neurological disorders for which there is </w:t>
      </w:r>
      <w:r w:rsidR="000219B1">
        <w:t>an</w:t>
      </w:r>
      <w:r>
        <w:t xml:space="preserve"> urgent need for new, more effective therapies (Nuffield Council on Bioethics 2013).</w:t>
      </w:r>
    </w:p>
    <w:p w:rsidR="00FA2B96" w:rsidRDefault="00FA2B96" w:rsidP="00FA2B96">
      <w:pPr>
        <w:spacing w:after="0"/>
        <w:jc w:val="both"/>
      </w:pPr>
      <w:r>
        <w:t xml:space="preserve">                There is hope among clinicians and suffer</w:t>
      </w:r>
      <w:r w:rsidR="00F049E4">
        <w:t>er</w:t>
      </w:r>
      <w:r>
        <w:t xml:space="preserve">s that deep brain stimulation </w:t>
      </w:r>
      <w:r w:rsidR="000219B1">
        <w:t xml:space="preserve">(DBS) </w:t>
      </w:r>
      <w:r>
        <w:t xml:space="preserve">will prove to be such a therapy. </w:t>
      </w:r>
      <w:r w:rsidR="000219B1">
        <w:t>DBS</w:t>
      </w:r>
      <w:r>
        <w:t xml:space="preserve"> involves the use of a pacemaker-like device to deliver constant electrical stimulation to areas deep within the brain. The </w:t>
      </w:r>
      <w:r w:rsidR="000219B1">
        <w:t>considerable effectiveness</w:t>
      </w:r>
      <w:r>
        <w:t xml:space="preserve"> of DBS in managing the symptoms of Parkinson’s led clinicians to explore DBS as technique for managing other neurological disorders, including dystonia. Worldwide, over a thousand individuals with predominantly primary dystonia h</w:t>
      </w:r>
      <w:r w:rsidR="00F049E4">
        <w:t xml:space="preserve">ave received DBS.  Many </w:t>
      </w:r>
      <w:r>
        <w:t xml:space="preserve">have experienced useful functional improvements, and some have experienced dramatic improvements. Yet, due to the novelty of the technique and uncertainties over its long term safety, DBS for dystonia is considered to occupy a realm between experimental therapy and routine clinical therapy (Nuffield Council on Bioethics 2013). Recently, a few clinical services have been established to deliver DBS specifically to children and young people with dystonia, including those with </w:t>
      </w:r>
      <w:r w:rsidR="00E261E7">
        <w:t xml:space="preserve">complex, </w:t>
      </w:r>
      <w:r>
        <w:t>secondary dystonia who, due the presence of other neurological pathologies, tend to respond more modestly to the technique</w:t>
      </w:r>
      <w:r w:rsidR="00E261E7">
        <w:t xml:space="preserve"> than those with ‘pure’ (primary) dystonia</w:t>
      </w:r>
      <w:r>
        <w:t xml:space="preserve"> (Marks et al. 2009).</w:t>
      </w:r>
    </w:p>
    <w:p w:rsidR="00FA2B96" w:rsidRDefault="00FA2B96" w:rsidP="00FA2B96">
      <w:pPr>
        <w:spacing w:after="0"/>
        <w:ind w:firstLine="720"/>
        <w:jc w:val="both"/>
      </w:pPr>
      <w:r>
        <w:t>This paper explores the activities of one of these teams</w:t>
      </w:r>
      <w:r w:rsidR="00C515C2">
        <w:t xml:space="preserve"> as </w:t>
      </w:r>
      <w:r w:rsidR="000219B1">
        <w:t>it</w:t>
      </w:r>
      <w:r w:rsidR="00C515C2">
        <w:t xml:space="preserve"> manage</w:t>
      </w:r>
      <w:r w:rsidR="000219B1">
        <w:t>s</w:t>
      </w:r>
      <w:r w:rsidR="00C515C2">
        <w:t xml:space="preserve"> the expectations of patients and families</w:t>
      </w:r>
      <w:r>
        <w:t xml:space="preserve">. The team, which we refer to as the Paediatric Motor Disorder Service (PMDS), is based at a children’s hospital in the UK. </w:t>
      </w:r>
      <w:r w:rsidR="000219B1">
        <w:t>It has a</w:t>
      </w:r>
      <w:r>
        <w:t xml:space="preserve"> multidisciplinary structure and includes neurologists, a specialist nurse, an occupational therapist, physiotherapists, a speech and language </w:t>
      </w:r>
      <w:r>
        <w:lastRenderedPageBreak/>
        <w:t xml:space="preserve">therapist, a clinical psychologist and an administrator.  This structure of the team, and indeed many aspects of the context within which they work, reflect a commitment to patient-centred healthcare. The team, for example, adopts a biopsychosocial perspective of disease, </w:t>
      </w:r>
      <w:r w:rsidR="000219B1">
        <w:t>according to which</w:t>
      </w:r>
      <w:r>
        <w:t xml:space="preserve"> illness is seen as having sociological and psychological dimensions that need to be recognised and accommodated during clinical interactions. The hospital within which the team works was specifically designed to encourage interdisciplinary, comprehensive care for families.  </w:t>
      </w:r>
    </w:p>
    <w:p w:rsidR="00FA2B96" w:rsidRDefault="00C515C2" w:rsidP="004447C1">
      <w:pPr>
        <w:spacing w:after="0"/>
        <w:ind w:firstLine="720"/>
        <w:jc w:val="both"/>
      </w:pPr>
      <w:r>
        <w:t>M</w:t>
      </w:r>
      <w:r w:rsidR="00FA2B96">
        <w:t>anaging the expectations of patients and families</w:t>
      </w:r>
      <w:r>
        <w:t xml:space="preserve"> is </w:t>
      </w:r>
      <w:r w:rsidR="000219B1">
        <w:t xml:space="preserve">a </w:t>
      </w:r>
      <w:r w:rsidR="001246CD">
        <w:t xml:space="preserve">key </w:t>
      </w:r>
      <w:r w:rsidR="000219B1">
        <w:t>challenge for the PMD</w:t>
      </w:r>
      <w:r>
        <w:t>S</w:t>
      </w:r>
      <w:r w:rsidR="00FA2B96">
        <w:t xml:space="preserve">. DBS has been the subject of media-generated hype (Gilbert and </w:t>
      </w:r>
      <w:proofErr w:type="spellStart"/>
      <w:r w:rsidR="00FA2B96">
        <w:t>Ovadia</w:t>
      </w:r>
      <w:proofErr w:type="spellEnd"/>
      <w:r w:rsidR="00FA2B96">
        <w:t xml:space="preserve"> 2011, Racine et al. 2007), and partly because of this, many families that arrive at the PMDS have high expectations about what DBS can offer; expectations that team members feel are unrealistic. </w:t>
      </w:r>
      <w:r w:rsidR="009E2C52">
        <w:t>Elsewhere, we have argued that the management of patient expectations by clinicians is an important part of biomedical innovation more generally</w:t>
      </w:r>
      <w:r w:rsidR="00E219FE">
        <w:t xml:space="preserve"> </w:t>
      </w:r>
      <w:r w:rsidR="00E219FE">
        <w:fldChar w:fldCharType="begin"/>
      </w:r>
      <w:r w:rsidR="00EB59A0">
        <w:instrText xml:space="preserve"> ADDIN EN.CITE &lt;EndNote&gt;&lt;Cite&gt;&lt;Author&gt;Gardner&lt;/Author&gt;&lt;Year&gt;2015&lt;/Year&gt;&lt;RecNum&gt;588&lt;/RecNum&gt;&lt;DisplayText&gt;(Gardner, Samuel, &amp;amp; Williams, 2015)&lt;/DisplayText&gt;&lt;record&gt;&lt;rec-number&gt;588&lt;/rec-number&gt;&lt;foreign-keys&gt;&lt;key app="EN" db-id="epdwds2e822dx1ezx215esw0exvr9wpr9vxf" timestamp="1431348945"&gt;588&lt;/key&gt;&lt;/foreign-keys&gt;&lt;ref-type name="Journal Article"&gt;17&lt;/ref-type&gt;&lt;contributors&gt;&lt;authors&gt;&lt;author&gt;Gardner, John&lt;/author&gt;&lt;author&gt;Samuel, Gabrielle&lt;/author&gt;&lt;author&gt;Williams, Clare&lt;/author&gt;&lt;/authors&gt;&lt;/contributors&gt;&lt;titles&gt;&lt;title&gt;Sociology of Low Expectations: Recalibration as Innovation Work in Biomedicine&lt;/title&gt;&lt;secondary-title&gt;Science, Technology &amp;amp; Human Values&lt;/secondary-title&gt;&lt;/titles&gt;&lt;periodical&gt;&lt;full-title&gt;Science, Technology &amp;amp; Human Values&lt;/full-title&gt;&lt;/periodical&gt;&lt;dates&gt;&lt;year&gt;2015&lt;/year&gt;&lt;pub-dates&gt;&lt;date&gt;May 11, 2015&lt;/date&gt;&lt;/pub-dates&gt;&lt;/dates&gt;&lt;urls&gt;&lt;related-urls&gt;&lt;url&gt;http://sth.sagepub.com/content/early/2015/05/08/0162243915585579.abstract&lt;/url&gt;&lt;/related-urls&gt;&lt;/urls&gt;&lt;electronic-resource-num&gt;10.1177/0162243915585579&lt;/electronic-resource-num&gt;&lt;/record&gt;&lt;/Cite&gt;&lt;/EndNote&gt;</w:instrText>
      </w:r>
      <w:r w:rsidR="00E219FE">
        <w:fldChar w:fldCharType="separate"/>
      </w:r>
      <w:r w:rsidR="00EB59A0">
        <w:rPr>
          <w:noProof/>
        </w:rPr>
        <w:t>(Gardner, Samuel, &amp; Williams, 2015)</w:t>
      </w:r>
      <w:r w:rsidR="00E219FE">
        <w:fldChar w:fldCharType="end"/>
      </w:r>
      <w:r w:rsidR="009E2C52">
        <w:t xml:space="preserve">. </w:t>
      </w:r>
      <w:r w:rsidR="00FA2B96">
        <w:t xml:space="preserve">In this paper we examine the team’s attempts to </w:t>
      </w:r>
      <w:r w:rsidR="009E2C52">
        <w:t>negotiate</w:t>
      </w:r>
      <w:r w:rsidR="00FA2B96">
        <w:t xml:space="preserve"> expectations </w:t>
      </w:r>
      <w:r w:rsidR="009E2C52">
        <w:t xml:space="preserve">with </w:t>
      </w:r>
      <w:r w:rsidR="00FA2B96">
        <w:t>patients and families</w:t>
      </w:r>
      <w:r w:rsidR="009E2C52">
        <w:t>, which we recognise as a</w:t>
      </w:r>
      <w:r w:rsidR="00FA2B96">
        <w:t xml:space="preserve"> form of ethical work</w:t>
      </w:r>
      <w:r w:rsidR="001246CD">
        <w:t xml:space="preserve"> </w:t>
      </w:r>
      <w:r w:rsidR="009E2C52">
        <w:t xml:space="preserve">that is </w:t>
      </w:r>
      <w:r w:rsidR="00650464">
        <w:t xml:space="preserve">both </w:t>
      </w:r>
      <w:r w:rsidR="009E2C52">
        <w:t xml:space="preserve">responsive to patient and family agendas </w:t>
      </w:r>
      <w:r w:rsidR="00650464">
        <w:t>and, at the same time,</w:t>
      </w:r>
      <w:r w:rsidR="009E2C52">
        <w:t xml:space="preserve"> increas</w:t>
      </w:r>
      <w:r w:rsidR="00650464">
        <w:t>es</w:t>
      </w:r>
      <w:r w:rsidR="009E2C52">
        <w:t xml:space="preserve"> alignment between family and team perspectives.</w:t>
      </w:r>
      <w:r w:rsidR="001246CD">
        <w:t xml:space="preserve"> </w:t>
      </w:r>
      <w:r w:rsidR="009E2C52">
        <w:t>W</w:t>
      </w:r>
      <w:r w:rsidR="00FA2B96">
        <w:t>e carefully examine the ‘goal se</w:t>
      </w:r>
      <w:r w:rsidR="00F6597D">
        <w:t xml:space="preserve">tting’ interactions </w:t>
      </w:r>
      <w:r w:rsidR="009E2C52">
        <w:t xml:space="preserve">through </w:t>
      </w:r>
      <w:r w:rsidR="00F6597D">
        <w:t>which this</w:t>
      </w:r>
      <w:r w:rsidR="00FA2B96">
        <w:t xml:space="preserve"> ethical work </w:t>
      </w:r>
      <w:r w:rsidR="009E2C52">
        <w:t>is conducted</w:t>
      </w:r>
      <w:r w:rsidR="00FA2B96">
        <w:t>, focusing particularly on the deployment and enactment of power relations between clinicians, patients and families. Specifically we examine the role of non-human elements in managing and deploying power relations</w:t>
      </w:r>
      <w:r w:rsidR="009E2C52">
        <w:t xml:space="preserve"> and enacting ethics</w:t>
      </w:r>
      <w:r w:rsidR="00FA2B96">
        <w:t>. In the process of managing</w:t>
      </w:r>
      <w:r w:rsidR="00F6597D">
        <w:t xml:space="preserve"> expectations, </w:t>
      </w:r>
      <w:r w:rsidR="00FA2B96">
        <w:t>team members</w:t>
      </w:r>
      <w:r w:rsidR="00F6597D">
        <w:t xml:space="preserve"> utilise a patient-centred tool </w:t>
      </w:r>
      <w:r w:rsidR="00FA2B96">
        <w:t>they have adopted from occupational therapy. We draw on observational and interview data to illus</w:t>
      </w:r>
      <w:r w:rsidR="004447C1">
        <w:t xml:space="preserve">trate how this tool designates relations that constitute </w:t>
      </w:r>
      <w:r w:rsidR="004C2F49">
        <w:t xml:space="preserve">the </w:t>
      </w:r>
      <w:r w:rsidR="004447C1">
        <w:t xml:space="preserve">modes of power delineated by John Law </w:t>
      </w:r>
      <w:r w:rsidR="00E42B4A">
        <w:fldChar w:fldCharType="begin"/>
      </w:r>
      <w:r w:rsidR="00EB59A0">
        <w:instrText xml:space="preserve"> ADDIN EN.CITE &lt;EndNote&gt;&lt;Cite ExcludeAuth="1"&gt;&lt;Author&gt;Law&lt;/Author&gt;&lt;Year&gt;1991&lt;/Year&gt;&lt;RecNum&gt;678&lt;/RecNum&gt;&lt;DisplayText&gt;(1991)&lt;/DisplayText&gt;&lt;record&gt;&lt;rec-number&gt;678&lt;/rec-number&gt;&lt;foreign-keys&gt;&lt;key app="EN" db-id="epdwds2e822dx1ezx215esw0exvr9wpr9vxf" timestamp="1435656281"&gt;678&lt;/key&gt;&lt;/foreign-keys&gt;&lt;ref-type name="Book Section"&gt;5&lt;/ref-type&gt;&lt;contributors&gt;&lt;authors&gt;&lt;author&gt;Law, John&lt;/author&gt;&lt;/authors&gt;&lt;secondary-authors&gt;&lt;author&gt;Law, John&lt;/author&gt;&lt;/secondary-authors&gt;&lt;/contributors&gt;&lt;titles&gt;&lt;title&gt;Power, Descretion and Strategy&lt;/title&gt;&lt;secondary-title&gt;A Sociology of Monsters: Essays on Power, Technology and Domination&lt;/secondary-title&gt;&lt;/titles&gt;&lt;pages&gt;175-201.&lt;/pages&gt;&lt;dates&gt;&lt;year&gt;1991&lt;/year&gt;&lt;/dates&gt;&lt;pub-location&gt;London&lt;/pub-location&gt;&lt;publisher&gt;Routledge&lt;/publisher&gt;&lt;urls&gt;&lt;/urls&gt;&lt;/record&gt;&lt;/Cite&gt;&lt;/EndNote&gt;</w:instrText>
      </w:r>
      <w:r w:rsidR="00E42B4A">
        <w:fldChar w:fldCharType="separate"/>
      </w:r>
      <w:r w:rsidR="00EB59A0">
        <w:rPr>
          <w:noProof/>
        </w:rPr>
        <w:t>(1991)</w:t>
      </w:r>
      <w:r w:rsidR="00E42B4A">
        <w:fldChar w:fldCharType="end"/>
      </w:r>
      <w:r w:rsidR="004447C1">
        <w:t xml:space="preserve">. These include </w:t>
      </w:r>
      <w:r w:rsidR="004447C1" w:rsidRPr="004447C1">
        <w:rPr>
          <w:i/>
        </w:rPr>
        <w:t>power over</w:t>
      </w:r>
      <w:r w:rsidR="004447C1">
        <w:t xml:space="preserve">, </w:t>
      </w:r>
      <w:r w:rsidR="004447C1" w:rsidRPr="004447C1">
        <w:rPr>
          <w:i/>
        </w:rPr>
        <w:t>power to</w:t>
      </w:r>
      <w:r w:rsidR="004447C1">
        <w:t xml:space="preserve">, </w:t>
      </w:r>
      <w:r w:rsidR="004447C1" w:rsidRPr="004C2F49">
        <w:rPr>
          <w:i/>
        </w:rPr>
        <w:t>power storage</w:t>
      </w:r>
      <w:r w:rsidR="004447C1">
        <w:t xml:space="preserve">, and </w:t>
      </w:r>
      <w:r w:rsidR="004447C1" w:rsidRPr="004447C1">
        <w:rPr>
          <w:i/>
        </w:rPr>
        <w:t>power/discretion</w:t>
      </w:r>
      <w:r w:rsidR="00FA2B96">
        <w:t xml:space="preserve">. </w:t>
      </w:r>
      <w:r w:rsidR="00650464">
        <w:t>Through this account</w:t>
      </w:r>
      <w:r w:rsidR="00FA2B96">
        <w:t xml:space="preserve"> we hope to make two important contributions. First, by drawing attention to the implicit normativity within patient-centred tools and by exploring patient-centred medicine ‘in-practice’, we shed light on how the movement is implicated in redrawing and reconfiguring power relations within clinical settings. </w:t>
      </w:r>
      <w:r w:rsidR="00FA2B96" w:rsidRPr="00373206">
        <w:t xml:space="preserve">Second, </w:t>
      </w:r>
      <w:r w:rsidR="00650464" w:rsidRPr="00373206">
        <w:t xml:space="preserve">in </w:t>
      </w:r>
      <w:r w:rsidR="00F81C99" w:rsidRPr="00373206">
        <w:t>so doing</w:t>
      </w:r>
      <w:r w:rsidR="00FA2B96" w:rsidRPr="00373206">
        <w:t xml:space="preserve">, we </w:t>
      </w:r>
      <w:r w:rsidR="00650464" w:rsidRPr="00373206">
        <w:t xml:space="preserve">highlight </w:t>
      </w:r>
      <w:r w:rsidR="00FA2B96" w:rsidRPr="00373206">
        <w:t xml:space="preserve">the implications for social scientists and bioethicists interested in identifying and facilitating ‘good ethical work’. </w:t>
      </w:r>
    </w:p>
    <w:p w:rsidR="00BE5291" w:rsidRDefault="00BE5291" w:rsidP="002803A4">
      <w:pPr>
        <w:spacing w:after="0"/>
        <w:ind w:firstLine="720"/>
        <w:jc w:val="both"/>
      </w:pPr>
    </w:p>
    <w:p w:rsidR="00242290" w:rsidRDefault="00D85CDD" w:rsidP="00D85CDD">
      <w:pPr>
        <w:pStyle w:val="ListParagraph"/>
        <w:numPr>
          <w:ilvl w:val="0"/>
          <w:numId w:val="1"/>
        </w:numPr>
        <w:spacing w:after="0"/>
        <w:jc w:val="both"/>
        <w:rPr>
          <w:b/>
        </w:rPr>
      </w:pPr>
      <w:r>
        <w:rPr>
          <w:b/>
        </w:rPr>
        <w:t>Power, and the patient-centred medicine movement</w:t>
      </w:r>
    </w:p>
    <w:p w:rsidR="00645F77" w:rsidRDefault="008B4132" w:rsidP="008B4132">
      <w:pPr>
        <w:spacing w:after="0"/>
        <w:jc w:val="both"/>
      </w:pPr>
      <w:r>
        <w:t xml:space="preserve">Within many countries, a greater level of patient-involvement in healthcare has become a policy imperative </w:t>
      </w:r>
      <w:r w:rsidR="00E42B4A">
        <w:fldChar w:fldCharType="begin">
          <w:fldData xml:space="preserve">PEVuZE5vdGU+PENpdGU+PEF1dGhvcj5UaG9tcHNvbjwvQXV0aG9yPjxZZWFyPjIwMDc8L1llYXI+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</w:fldData>
        </w:fldChar>
      </w:r>
      <w:r w:rsidR="00EB59A0">
        <w:instrText xml:space="preserve"> ADDIN EN.CITE </w:instrText>
      </w:r>
      <w:r w:rsidR="00EB59A0">
        <w:fldChar w:fldCharType="begin">
          <w:fldData xml:space="preserve">PEVuZE5vdGU+PENpdGU+PEF1dGhvcj5UaG9tcHNvbjwvQXV0aG9yPjxZZWFyPjIwMDc8L1llYXI+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</w:fldData>
        </w:fldChar>
      </w:r>
      <w:r w:rsidR="00EB59A0">
        <w:instrText xml:space="preserve"> ADDIN EN.CITE.DATA </w:instrText>
      </w:r>
      <w:r w:rsidR="00EB59A0">
        <w:fldChar w:fldCharType="end"/>
      </w:r>
      <w:r w:rsidR="00E42B4A">
        <w:fldChar w:fldCharType="separate"/>
      </w:r>
      <w:r w:rsidR="00EB59A0">
        <w:rPr>
          <w:noProof/>
        </w:rPr>
        <w:t>(Thompson, 2007)</w:t>
      </w:r>
      <w:r w:rsidR="00E42B4A">
        <w:fldChar w:fldCharType="end"/>
      </w:r>
      <w:r>
        <w:t xml:space="preserve">. </w:t>
      </w:r>
      <w:r w:rsidR="0042015F">
        <w:t>This is particularly so in the UK, in which</w:t>
      </w:r>
      <w:r w:rsidR="00C04A04">
        <w:t xml:space="preserve"> </w:t>
      </w:r>
      <w:r w:rsidR="0042015F">
        <w:t xml:space="preserve">successive reports and </w:t>
      </w:r>
      <w:r w:rsidR="000C59A1">
        <w:t>statements</w:t>
      </w:r>
      <w:r w:rsidR="0042015F">
        <w:t xml:space="preserve"> within the health policy arena have stressed t</w:t>
      </w:r>
      <w:r w:rsidR="00042F42">
        <w:t xml:space="preserve">he need for </w:t>
      </w:r>
      <w:r w:rsidR="004358A1">
        <w:t>“</w:t>
      </w:r>
      <w:r w:rsidR="00042F42">
        <w:t>patient-empowerment</w:t>
      </w:r>
      <w:r w:rsidR="004358A1">
        <w:t>”</w:t>
      </w:r>
      <w:r w:rsidR="0042015F">
        <w:t xml:space="preserve"> </w:t>
      </w:r>
      <w:r w:rsidR="00042F42">
        <w:t xml:space="preserve">which, it is argued, can help improve clinical outcomes and </w:t>
      </w:r>
      <w:r w:rsidR="000C59A1">
        <w:t>led to greater</w:t>
      </w:r>
      <w:r w:rsidR="00042F42">
        <w:t xml:space="preserve"> efficiencies</w:t>
      </w:r>
      <w:r w:rsidR="000C59A1">
        <w:t xml:space="preserve"> in healthcare systems </w:t>
      </w:r>
      <w:r w:rsidR="00E42B4A">
        <w:fldChar w:fldCharType="begin"/>
      </w:r>
      <w:r w:rsidR="00EB59A0">
        <w:instrText xml:space="preserve"> ADDIN EN.CITE &lt;EndNote&gt;&lt;Cite&gt;&lt;Author&gt;Department of Health&lt;/Author&gt;&lt;Year&gt;1999&lt;/Year&gt;&lt;RecNum&gt;690&lt;/RecNum&gt;&lt;DisplayText&gt;(Department of Health, 1999, 2003; NHS, 2013)&lt;/DisplayText&gt;&lt;record&gt;&lt;rec-number&gt;690&lt;/rec-number&gt;&lt;foreign-keys&gt;&lt;key app="EN" db-id="epdwds2e822dx1ezx215esw0exvr9wpr9vxf" timestamp="1436354110"&gt;690&lt;/key&gt;&lt;/foreign-keys&gt;&lt;ref-type name="Book"&gt;6&lt;/ref-type&gt;&lt;contributors&gt;&lt;authors&gt;&lt;author&gt;Department of Health,&lt;/author&gt;&lt;/authors&gt;&lt;/contributors&gt;&lt;titles&gt;&lt;title&gt;Patient and public involvement in the new NHS&lt;/title&gt;&lt;/titles&gt;&lt;dates&gt;&lt;year&gt;1999&lt;/year&gt;&lt;/dates&gt;&lt;pub-location&gt;London&lt;/pub-location&gt;&lt;publisher&gt;The Stationery Office&lt;/publisher&gt;&lt;urls&gt;&lt;/urls&gt;&lt;/record&gt;&lt;/Cite&gt;&lt;Cite&gt;&lt;Author&gt;Department of Health&lt;/Author&gt;&lt;Year&gt;2003&lt;/Year&gt;&lt;RecNum&gt;693&lt;/RecNum&gt;&lt;record&gt;&lt;rec-number&gt;693&lt;/rec-number&gt;&lt;foreign-keys&gt;&lt;key app="EN" db-id="epdwds2e822dx1ezx215esw0exvr9wpr9vxf" timestamp="1436354387"&gt;693&lt;/key&gt;&lt;/foreign-keys&gt;&lt;ref-type name="Book"&gt;6&lt;/ref-type&gt;&lt;contributors&gt;&lt;authors&gt;&lt;author&gt;Department of Health,&lt;/author&gt;&lt;/authors&gt;&lt;/contributors&gt;&lt;titles&gt;&lt;title&gt;Building on the best: Choice, responsiveness and equity in the NHS&lt;/title&gt;&lt;/titles&gt;&lt;dates&gt;&lt;year&gt;2003&lt;/year&gt;&lt;/dates&gt;&lt;pub-location&gt;London&lt;/pub-location&gt;&lt;publisher&gt;The Stationary Office &lt;/publisher&gt;&lt;urls&gt;&lt;/urls&gt;&lt;/record&gt;&lt;/Cite&gt;&lt;Cite&gt;&lt;Author&gt;NHS&lt;/Author&gt;&lt;Year&gt;2013&lt;/Year&gt;&lt;RecNum&gt;533&lt;/RecNum&gt;&lt;record&gt;&lt;rec-number&gt;533&lt;/rec-number&gt;&lt;foreign-keys&gt;&lt;key app="EN" db-id="epdwds2e822dx1ezx215esw0exvr9wpr9vxf" timestamp="1422971952"&gt;533&lt;/key&gt;&lt;/foreign-keys&gt;&lt;ref-type name="Pamphlet"&gt;24&lt;/ref-type&gt;&lt;contributors&gt;&lt;authors&gt;&lt;author&gt;NHS&lt;/author&gt;&lt;/authors&gt;&lt;secondary-authors&gt;&lt;author&gt;The Department of Health&lt;/author&gt;&lt;/secondary-authors&gt;&lt;/contributors&gt;&lt;titles&gt;&lt;title&gt;The NHS Constitution: The NHS Belongs to US All &lt;/title&gt;&lt;/titles&gt;&lt;dates&gt;&lt;year&gt;2013&lt;/year&gt;&lt;/dates&gt;&lt;pub-location&gt;London&lt;/pub-location&gt;&lt;publisher&gt;Crown&lt;/publisher&gt;&lt;urls&gt;&lt;/urls&gt;&lt;/record&gt;&lt;/Cite&gt;&lt;/EndNote&gt;</w:instrText>
      </w:r>
      <w:r w:rsidR="00E42B4A">
        <w:fldChar w:fldCharType="separate"/>
      </w:r>
      <w:r w:rsidR="00EB59A0">
        <w:rPr>
          <w:noProof/>
        </w:rPr>
        <w:t>(Department of Health, 1999, 2003; NHS, 2013)</w:t>
      </w:r>
      <w:r w:rsidR="00E42B4A">
        <w:fldChar w:fldCharType="end"/>
      </w:r>
      <w:r w:rsidR="00042F42">
        <w:t xml:space="preserve">. </w:t>
      </w:r>
      <w:r w:rsidR="0042015F">
        <w:t xml:space="preserve"> </w:t>
      </w:r>
      <w:r w:rsidR="00C04A04">
        <w:t xml:space="preserve">Similarly, an emerging body of work within the health sciences has endorsed a movement towards </w:t>
      </w:r>
      <w:r w:rsidR="00C04A04" w:rsidRPr="00630A6A">
        <w:rPr>
          <w:i/>
        </w:rPr>
        <w:t>patient-</w:t>
      </w:r>
      <w:proofErr w:type="spellStart"/>
      <w:r w:rsidR="00C04A04" w:rsidRPr="00630A6A">
        <w:rPr>
          <w:i/>
        </w:rPr>
        <w:t>centredness</w:t>
      </w:r>
      <w:proofErr w:type="spellEnd"/>
      <w:r w:rsidR="004D2057">
        <w:t xml:space="preserve"> in healthcare. </w:t>
      </w:r>
      <w:r w:rsidR="004D2057" w:rsidRPr="004D2057">
        <w:rPr>
          <w:i/>
        </w:rPr>
        <w:t>Patient-</w:t>
      </w:r>
      <w:proofErr w:type="spellStart"/>
      <w:r w:rsidR="004D2057" w:rsidRPr="004D2057">
        <w:rPr>
          <w:i/>
        </w:rPr>
        <w:t>centredness</w:t>
      </w:r>
      <w:proofErr w:type="spellEnd"/>
      <w:r w:rsidR="004D2057">
        <w:t xml:space="preserve"> is seldom clearly defined, but commentators  have suggested that it is generally equated with several key features</w:t>
      </w:r>
      <w:r w:rsidR="00563732">
        <w:t xml:space="preserve"> </w:t>
      </w:r>
      <w:r w:rsidR="00E42B4A">
        <w:fldChar w:fldCharType="begin"/>
      </w:r>
      <w:r w:rsidR="00EB59A0">
        <w:instrText xml:space="preserve"> ADDIN EN.CITE &lt;EndNote&gt;&lt;Cite&gt;&lt;Author&gt;Mead&lt;/Author&gt;&lt;Year&gt;2000&lt;/Year&gt;&lt;RecNum&gt;448&lt;/RecNum&gt;&lt;DisplayText&gt;(Mead &amp;amp; Bower, 2000)&lt;/DisplayText&gt;&lt;record&gt;&lt;rec-number&gt;448&lt;/rec-number&gt;&lt;foreign-keys&gt;&lt;key app="EN" db-id="epdwds2e822dx1ezx215esw0exvr9wpr9vxf" timestamp="1413375335"&gt;448&lt;/key&gt;&lt;/foreign-keys&gt;&lt;ref-type name="Journal Article"&gt;17&lt;/ref-type&gt;&lt;contributors&gt;&lt;authors&gt;&lt;author&gt;Mead, Nicola&lt;/author&gt;&lt;author&gt;Bower, Peter&lt;/author&gt;&lt;/authors&gt;&lt;/contributors&gt;&lt;titles&gt;&lt;title&gt;Patient-centredness: a conceptual framework and review of the empirical literature&lt;/title&gt;&lt;secondary-title&gt;Social Science &amp;amp; Medicine&lt;/secondary-title&gt;&lt;/titles&gt;&lt;periodical&gt;&lt;full-title&gt;Social Science &amp;amp; Medicine&lt;/full-title&gt;&lt;/periodical&gt;&lt;pages&gt;1087-1110&lt;/pages&gt;&lt;volume&gt;51&lt;/volume&gt;&lt;number&gt;7&lt;/number&gt;&lt;keywords&gt;&lt;keyword&gt;Patient-centred care&lt;/keyword&gt;&lt;keyword&gt;Process assessment&lt;/keyword&gt;&lt;keyword&gt;Literature review&lt;/keyword&gt;&lt;keyword&gt;Physician–patient relations&lt;/keyword&gt;&lt;keyword&gt;Quality of health care&lt;/keyword&gt;&lt;keyword&gt;Communication&lt;/keyword&gt;&lt;/keywords&gt;&lt;dates&gt;&lt;year&gt;2000&lt;/year&gt;&lt;pub-dates&gt;&lt;date&gt;10/1/&lt;/date&gt;&lt;/pub-dates&gt;&lt;/dates&gt;&lt;isbn&gt;0277-9536&lt;/isbn&gt;&lt;urls&gt;&lt;related-urls&gt;&lt;url&gt;http://www.sciencedirect.com/science/article/pii/S0277953600000988&lt;/url&gt;&lt;/related-urls&gt;&lt;/urls&gt;&lt;electronic-resource-num&gt;http://dx.doi.org/10.1016/S0277-9536(00)00098-8&lt;/electronic-resource-num&gt;&lt;/record&gt;&lt;/Cite&gt;&lt;/EndNote&gt;</w:instrText>
      </w:r>
      <w:r w:rsidR="00E42B4A">
        <w:fldChar w:fldCharType="separate"/>
      </w:r>
      <w:r w:rsidR="00EB59A0">
        <w:rPr>
          <w:noProof/>
        </w:rPr>
        <w:t>(Mead &amp; Bower, 2000)</w:t>
      </w:r>
      <w:r w:rsidR="00E42B4A">
        <w:fldChar w:fldCharType="end"/>
      </w:r>
      <w:r w:rsidR="004D2057">
        <w:t>. These include</w:t>
      </w:r>
      <w:r w:rsidR="00563732">
        <w:t>:</w:t>
      </w:r>
      <w:r w:rsidR="004D2057">
        <w:t xml:space="preserve"> the promotion of a biopsychosocial approach</w:t>
      </w:r>
      <w:r w:rsidR="00563732">
        <w:t xml:space="preserve"> to understanding health and illness as a means of mitigating the perceived shortcomings of the biomedical model; the championing of practices that recognise and accommodate the ‘patient-as-person’, in which t</w:t>
      </w:r>
      <w:r w:rsidR="00645F77">
        <w:t>he unique biography of patients</w:t>
      </w:r>
      <w:r w:rsidR="00563732">
        <w:t xml:space="preserve"> and th</w:t>
      </w:r>
      <w:r w:rsidR="00645F77">
        <w:t xml:space="preserve">eir perceptions of their illness </w:t>
      </w:r>
      <w:r w:rsidR="00563732">
        <w:t xml:space="preserve">are taken into account during clinical decision-making; and following from this, </w:t>
      </w:r>
      <w:r w:rsidR="00645F77">
        <w:t xml:space="preserve">a movement towards greater patient participation in clinical decision-making </w:t>
      </w:r>
      <w:r w:rsidR="00E42B4A">
        <w:fldChar w:fldCharType="begin"/>
      </w:r>
      <w:r w:rsidR="00EB59A0">
        <w:instrText xml:space="preserve"> ADDIN EN.CITE &lt;EndNote&gt;&lt;Cite&gt;&lt;Author&gt;Mead&lt;/Author&gt;&lt;Year&gt;2000&lt;/Year&gt;&lt;RecNum&gt;448&lt;/RecNum&gt;&lt;DisplayText&gt;(Mead &amp;amp; Bower, 2000)&lt;/DisplayText&gt;&lt;record&gt;&lt;rec-number&gt;448&lt;/rec-number&gt;&lt;foreign-keys&gt;&lt;key app="EN" db-id="epdwds2e822dx1ezx215esw0exvr9wpr9vxf" timestamp="1413375335"&gt;448&lt;/key&gt;&lt;/foreign-keys&gt;&lt;ref-type name="Journal Article"&gt;17&lt;/ref-type&gt;&lt;contributors&gt;&lt;authors&gt;&lt;author&gt;Mead, Nicola&lt;/author&gt;&lt;author&gt;Bower, Peter&lt;/author&gt;&lt;/authors&gt;&lt;/contributors&gt;&lt;titles&gt;&lt;title&gt;Patient-centredness: a conceptual framework and review of the empirical literature&lt;/title&gt;&lt;secondary-title&gt;Social Science &amp;amp; Medicine&lt;/secondary-title&gt;&lt;/titles&gt;&lt;periodical&gt;&lt;full-title&gt;Social Science &amp;amp; Medicine&lt;/full-title&gt;&lt;/periodical&gt;&lt;pages&gt;1087-1110&lt;/pages&gt;&lt;volume&gt;51&lt;/volume&gt;&lt;number&gt;7&lt;/number&gt;&lt;keywords&gt;&lt;keyword&gt;Patient-centred care&lt;/keyword&gt;&lt;keyword&gt;Process assessment&lt;/keyword&gt;&lt;keyword&gt;Literature review&lt;/keyword&gt;&lt;keyword&gt;Physician–patient relations&lt;/keyword&gt;&lt;keyword&gt;Quality of health care&lt;/keyword&gt;&lt;keyword&gt;Communication&lt;/keyword&gt;&lt;/keywords&gt;&lt;dates&gt;&lt;year&gt;2000&lt;/year&gt;&lt;pub-dates&gt;&lt;date&gt;10/1/&lt;/date&gt;&lt;/pub-dates&gt;&lt;/dates&gt;&lt;isbn&gt;0277-9536&lt;/isbn&gt;&lt;urls&gt;&lt;related-urls&gt;&lt;url&gt;http://www.sciencedirect.com/science/article/pii/S0277953600000988&lt;/url&gt;&lt;/related-urls&gt;&lt;/urls&gt;&lt;electronic-resource-num&gt;http://dx.doi.org/10.1016/S0277-9536(00)00098-8&lt;/electronic-resource-num&gt;&lt;/record&gt;&lt;/Cite&gt;&lt;/EndNote&gt;</w:instrText>
      </w:r>
      <w:r w:rsidR="00E42B4A">
        <w:fldChar w:fldCharType="separate"/>
      </w:r>
      <w:r w:rsidR="00EB59A0">
        <w:rPr>
          <w:noProof/>
        </w:rPr>
        <w:t>(Mead &amp; Bower, 2000)</w:t>
      </w:r>
      <w:r w:rsidR="00E42B4A">
        <w:fldChar w:fldCharType="end"/>
      </w:r>
      <w:r w:rsidR="00645F77">
        <w:t xml:space="preserve">. </w:t>
      </w:r>
    </w:p>
    <w:p w:rsidR="00834D75" w:rsidRDefault="00645F77" w:rsidP="008B4132">
      <w:pPr>
        <w:spacing w:after="0"/>
        <w:jc w:val="both"/>
      </w:pPr>
      <w:r>
        <w:tab/>
      </w:r>
      <w:r w:rsidR="00694D4A">
        <w:t xml:space="preserve">Calls for greater patient empowerment </w:t>
      </w:r>
      <w:r w:rsidR="00D02A7D">
        <w:t>can be seen as</w:t>
      </w:r>
      <w:r w:rsidR="00694D4A">
        <w:t xml:space="preserve"> a reflection of wider socio-political trends, such as the valorisation of individual choice and consumerism </w:t>
      </w:r>
      <w:r w:rsidR="00E42B4A">
        <w:fldChar w:fldCharType="begin">
          <w:fldData xml:space="preserve">PEVuZE5vdGU+PENpdGU+PEF1dGhvcj5UaG9tcHNvbjwvQXV0aG9yPjxZZWFyPjIwMDc8L1llYXI+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</w:fldData>
        </w:fldChar>
      </w:r>
      <w:r w:rsidR="00EB59A0">
        <w:instrText xml:space="preserve"> ADDIN EN.CITE </w:instrText>
      </w:r>
      <w:r w:rsidR="00EB59A0">
        <w:fldChar w:fldCharType="begin">
          <w:fldData xml:space="preserve">PEVuZE5vdGU+PENpdGU+PEF1dGhvcj5UaG9tcHNvbjwvQXV0aG9yPjxZZWFyPjIwMDc8L1llYXI+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</w:fldData>
        </w:fldChar>
      </w:r>
      <w:r w:rsidR="00EB59A0">
        <w:instrText xml:space="preserve"> ADDIN EN.CITE.DATA </w:instrText>
      </w:r>
      <w:r w:rsidR="00EB59A0">
        <w:fldChar w:fldCharType="end"/>
      </w:r>
      <w:r w:rsidR="00E42B4A">
        <w:fldChar w:fldCharType="separate"/>
      </w:r>
      <w:r w:rsidR="00EB59A0">
        <w:rPr>
          <w:noProof/>
        </w:rPr>
        <w:t>(Thompson, 2007)</w:t>
      </w:r>
      <w:r w:rsidR="00E42B4A">
        <w:fldChar w:fldCharType="end"/>
      </w:r>
      <w:r w:rsidR="00694D4A">
        <w:t xml:space="preserve">, </w:t>
      </w:r>
      <w:r w:rsidR="00D02A7D">
        <w:t>and greater lay scepticism toward professional authority. Generally</w:t>
      </w:r>
      <w:r w:rsidR="00582976">
        <w:t xml:space="preserve"> </w:t>
      </w:r>
      <w:r w:rsidR="00D02A7D">
        <w:t>patient-</w:t>
      </w:r>
      <w:proofErr w:type="spellStart"/>
      <w:r w:rsidR="00D02A7D">
        <w:t>centredness</w:t>
      </w:r>
      <w:proofErr w:type="spellEnd"/>
      <w:r w:rsidR="00D02A7D">
        <w:t xml:space="preserve"> and patient-</w:t>
      </w:r>
      <w:r w:rsidR="00D02A7D">
        <w:lastRenderedPageBreak/>
        <w:t>empowerm</w:t>
      </w:r>
      <w:r w:rsidR="00220D0F">
        <w:t>ent are framed as a rejection of</w:t>
      </w:r>
      <w:r w:rsidR="00D02A7D">
        <w:t xml:space="preserve"> </w:t>
      </w:r>
      <w:r w:rsidR="00220D0F">
        <w:t xml:space="preserve">the </w:t>
      </w:r>
      <w:r w:rsidR="00D02A7D">
        <w:t>medical paternalism</w:t>
      </w:r>
      <w:r w:rsidR="00220D0F">
        <w:t xml:space="preserve"> of the past, in which the </w:t>
      </w:r>
      <w:r w:rsidR="00AF1540">
        <w:t xml:space="preserve">clinician was presumed to understand what was in the patient’s interests, and in which the </w:t>
      </w:r>
      <w:r w:rsidR="00220D0F">
        <w:t>authority of the clinician was paramount</w:t>
      </w:r>
      <w:r w:rsidR="00DE37A3">
        <w:t xml:space="preserve">. </w:t>
      </w:r>
      <w:r w:rsidR="00834D75">
        <w:t>P</w:t>
      </w:r>
      <w:r w:rsidR="00AF1540">
        <w:t>atient-empowerment</w:t>
      </w:r>
      <w:r w:rsidR="00834D75">
        <w:t xml:space="preserve"> and patient-</w:t>
      </w:r>
      <w:proofErr w:type="spellStart"/>
      <w:r w:rsidR="00834D75">
        <w:t>centredness</w:t>
      </w:r>
      <w:proofErr w:type="spellEnd"/>
      <w:r w:rsidR="00AF1540">
        <w:t xml:space="preserve"> </w:t>
      </w:r>
      <w:r w:rsidR="00834D75">
        <w:t>are</w:t>
      </w:r>
      <w:r w:rsidR="00AF1540">
        <w:t xml:space="preserve">, in other words, </w:t>
      </w:r>
      <w:r w:rsidR="00DE37A3">
        <w:t>positioned as a needed rebalancing of the power dynamic between the clinician a</w:t>
      </w:r>
      <w:r w:rsidR="00834D75">
        <w:t>nd the patient; a move from clinical interactions in which</w:t>
      </w:r>
      <w:r w:rsidR="00E96E3F">
        <w:t xml:space="preserve"> the</w:t>
      </w:r>
      <w:r w:rsidR="00834D75">
        <w:t xml:space="preserve"> </w:t>
      </w:r>
      <w:r w:rsidR="00E96E3F">
        <w:t>clinician has</w:t>
      </w:r>
      <w:r w:rsidR="00834D75">
        <w:t xml:space="preserve"> ‘power over’ the patient, towards a more egalitarian dynamic. Patients and family members should be provided with a space to be active participants and have their concerns heard, and health care practices should, it is argued, be </w:t>
      </w:r>
      <w:r w:rsidR="00650464">
        <w:t xml:space="preserve">reoriented </w:t>
      </w:r>
      <w:r w:rsidR="00834D75">
        <w:t xml:space="preserve">so that such concerns are accommodated.  </w:t>
      </w:r>
    </w:p>
    <w:p w:rsidR="004F2CFA" w:rsidRDefault="00834D75" w:rsidP="008B4132">
      <w:pPr>
        <w:spacing w:after="0"/>
        <w:jc w:val="both"/>
      </w:pPr>
      <w:r>
        <w:tab/>
      </w:r>
      <w:r w:rsidR="0008080C">
        <w:t xml:space="preserve">Cribb </w:t>
      </w:r>
      <w:r>
        <w:t>has noted</w:t>
      </w:r>
      <w:r w:rsidR="00595907">
        <w:t xml:space="preserve"> that there</w:t>
      </w:r>
      <w:r>
        <w:t xml:space="preserve"> </w:t>
      </w:r>
      <w:r w:rsidR="00582976">
        <w:t>is a</w:t>
      </w:r>
      <w:r>
        <w:t xml:space="preserve"> gap between the ideal of patient-empowerment as it is promoted in health policy and the health science literature, and</w:t>
      </w:r>
      <w:r w:rsidR="00566FDF">
        <w:t xml:space="preserve"> actual health care practice.  It is, </w:t>
      </w:r>
      <w:r w:rsidR="0008080C">
        <w:t xml:space="preserve">Cribb </w:t>
      </w:r>
      <w:r w:rsidR="00566FDF">
        <w:t>suggest</w:t>
      </w:r>
      <w:r w:rsidR="004F0F32">
        <w:t>s</w:t>
      </w:r>
      <w:r w:rsidR="00566FDF">
        <w:t xml:space="preserve">, very difficult to translate the principle into practice, as it requires forging new habits, routines and protocols within settings that may already be under considerable strain. </w:t>
      </w:r>
      <w:r w:rsidR="00595907">
        <w:t>H</w:t>
      </w:r>
      <w:r w:rsidR="009D4FC7">
        <w:t xml:space="preserve">esitancy among some professionals may reflect legitimate ethical concerns about the contribution of patients in particular settings </w:t>
      </w:r>
      <w:r w:rsidR="0008080C">
        <w:fldChar w:fldCharType="begin"/>
      </w:r>
      <w:r w:rsidR="00EB59A0">
        <w:instrText xml:space="preserve"> ADDIN EN.CITE &lt;EndNote&gt;&lt;Cite&gt;&lt;Author&gt;Cribb&lt;/Author&gt;&lt;Year&gt;2011&lt;/Year&gt;&lt;RecNum&gt;554&lt;/RecNum&gt;&lt;DisplayText&gt;(Cribb, 2011)&lt;/DisplayText&gt;&lt;record&gt;&lt;rec-number&gt;554&lt;/rec-number&gt;&lt;foreign-keys&gt;&lt;key app="EN" db-id="epdwds2e822dx1ezx215esw0exvr9wpr9vxf" timestamp="1426157388"&gt;554&lt;/key&gt;&lt;/foreign-keys&gt;&lt;ref-type name="Report"&gt;27&lt;/ref-type&gt;&lt;contributors&gt;&lt;authors&gt;&lt;author&gt;Cribb, Alan&lt;/author&gt;&lt;/authors&gt;&lt;tertiary-authors&gt;&lt;author&gt;Royal Pharmaceutical Society&lt;/author&gt;&lt;/tertiary-authors&gt;&lt;/contributors&gt;&lt;titles&gt;&lt;title&gt;Involvement, Shared Decision-Making and Medicines&lt;/title&gt;&lt;/titles&gt;&lt;dates&gt;&lt;year&gt;2011&lt;/year&gt;&lt;/dates&gt;&lt;pub-location&gt;London&lt;/pub-location&gt;&lt;publisher&gt;Royal Pharmaceutical Society&lt;/publisher&gt;&lt;urls&gt;&lt;/urls&gt;&lt;/record&gt;&lt;/Cite&gt;&lt;/EndNote&gt;</w:instrText>
      </w:r>
      <w:r w:rsidR="0008080C">
        <w:fldChar w:fldCharType="separate"/>
      </w:r>
      <w:r w:rsidR="00EB59A0">
        <w:rPr>
          <w:noProof/>
        </w:rPr>
        <w:t>(Cribb, 2011)</w:t>
      </w:r>
      <w:r w:rsidR="0008080C">
        <w:fldChar w:fldCharType="end"/>
      </w:r>
      <w:r w:rsidR="009D4FC7">
        <w:t xml:space="preserve">.  </w:t>
      </w:r>
      <w:r w:rsidR="004F0F32">
        <w:t xml:space="preserve">Additionally, given the </w:t>
      </w:r>
      <w:r w:rsidR="004F2CFA">
        <w:t xml:space="preserve">vast </w:t>
      </w:r>
      <w:r w:rsidR="004F0F32">
        <w:t>variation in healthcare contexts, it is likely that what constitutes a desirable enactment of patient-centeredness and patient empowerment will</w:t>
      </w:r>
      <w:r w:rsidR="004F2CFA">
        <w:t xml:space="preserve"> differ</w:t>
      </w:r>
      <w:r w:rsidR="004F0F32">
        <w:t xml:space="preserve"> according the nature of the illness and the sociotechnical characteristics of the clinic setting</w:t>
      </w:r>
      <w:r w:rsidR="00BA73BB">
        <w:t xml:space="preserve">s. With this in mind, </w:t>
      </w:r>
      <w:r w:rsidR="004F2CFA">
        <w:t>and</w:t>
      </w:r>
      <w:r w:rsidR="00BA73BB">
        <w:t xml:space="preserve"> with the intention of </w:t>
      </w:r>
      <w:r w:rsidR="00E96E3F">
        <w:t>anticipating</w:t>
      </w:r>
      <w:r w:rsidR="00BA73BB">
        <w:t xml:space="preserve"> </w:t>
      </w:r>
      <w:r w:rsidR="00E96E3F">
        <w:t>the ethical implications of</w:t>
      </w:r>
      <w:r w:rsidR="00BA73BB">
        <w:t xml:space="preserve"> patient-</w:t>
      </w:r>
      <w:proofErr w:type="spellStart"/>
      <w:r w:rsidR="00BA73BB">
        <w:t>centredness</w:t>
      </w:r>
      <w:proofErr w:type="spellEnd"/>
      <w:r w:rsidR="00BA73BB">
        <w:t xml:space="preserve"> and patient-empowerment, we explore </w:t>
      </w:r>
      <w:r w:rsidR="004F2CFA">
        <w:t>a specific clinical context in which a patient-cent</w:t>
      </w:r>
      <w:r w:rsidR="000F1FD6">
        <w:t xml:space="preserve">red approach has been adopted. </w:t>
      </w:r>
      <w:proofErr w:type="spellStart"/>
      <w:r w:rsidR="004F2CFA">
        <w:t>Entwistle</w:t>
      </w:r>
      <w:proofErr w:type="spellEnd"/>
      <w:r w:rsidR="004F2CFA">
        <w:t xml:space="preserve"> and Watt </w:t>
      </w:r>
      <w:r w:rsidR="00E42B4A">
        <w:fldChar w:fldCharType="begin"/>
      </w:r>
      <w:r w:rsidR="004F2CFA">
        <w:instrText xml:space="preserve"> ADDIN EN.CITE &lt;EndNote&gt;&lt;Cite ExcludeAuth="1"&gt;&lt;Author&gt;Entwistle&lt;/Author&gt;&lt;Year&gt;2006&lt;/Year&gt;&lt;RecNum&gt;694&lt;/RecNum&gt;&lt;DisplayText&gt;(2006)&lt;/DisplayText&gt;&lt;record&gt;&lt;rec-number&gt;694&lt;/rec-number&gt;&lt;foreign-keys&gt;&lt;key app="EN" db-id="epdwds2e822dx1ezx215esw0exvr9wpr9vxf" timestamp="1436438338"&gt;694&lt;/key&gt;&lt;/foreign-keys&gt;&lt;ref-type name="Journal Article"&gt;17&lt;/ref-type&gt;&lt;contributors&gt;&lt;authors&gt;&lt;author&gt;Entwistle, V. A.&lt;/author&gt;&lt;author&gt;Watt, I. S.&lt;/author&gt;&lt;/authors&gt;&lt;/contributors&gt;&lt;auth-address&gt;Alliance for Self Care Research, Social Dimensions of Health Institute, University of Dundee, 11 Airlie Place, Dundee DD1 4HJ, UK. v.a.entwistle@dundee.ac.uk&lt;/auth-address&gt;&lt;titles&gt;&lt;title&gt;Patient involvement in treatment decision-making: the case for a broader conceptual framework&lt;/title&gt;&lt;secondary-title&gt;Patient Educ Couns&lt;/secondary-title&gt;&lt;/titles&gt;&lt;periodical&gt;&lt;full-title&gt;Patient Educ Couns&lt;/full-title&gt;&lt;/periodical&gt;&lt;pages&gt;268-78&lt;/pages&gt;&lt;volume&gt;63&lt;/volume&gt;&lt;number&gt;3&lt;/number&gt;&lt;edition&gt;2006/08/01&lt;/edition&gt;&lt;keywords&gt;&lt;keyword&gt;Decision Making&lt;/keyword&gt;&lt;keyword&gt;Humans&lt;/keyword&gt;&lt;keyword&gt;Models, Theoretical&lt;/keyword&gt;&lt;keyword&gt;Patient Participation&lt;/keyword&gt;&lt;keyword&gt;Physician-Patient Relations&lt;/keyword&gt;&lt;/keywords&gt;&lt;dates&gt;&lt;year&gt;2006&lt;/year&gt;&lt;pub-dates&gt;&lt;date&gt;Nov&lt;/date&gt;&lt;/pub-dates&gt;&lt;/dates&gt;&lt;isbn&gt;0738-3991 (Print)&amp;#xD;0738-3991 (Linking)&lt;/isbn&gt;&lt;accession-num&gt;16875797&lt;/accession-num&gt;&lt;urls&gt;&lt;/urls&gt;&lt;electronic-resource-num&gt;10.1016/j.pec.2006.05.002&lt;/electronic-resource-num&gt;&lt;remote-database-provider&gt;NLM&lt;/remote-database-provider&gt;&lt;language&gt;eng&lt;/language&gt;&lt;/record&gt;&lt;/Cite&gt;&lt;/EndNote&gt;</w:instrText>
      </w:r>
      <w:r w:rsidR="00E42B4A">
        <w:fldChar w:fldCharType="separate"/>
      </w:r>
      <w:r w:rsidR="004F2CFA">
        <w:rPr>
          <w:noProof/>
        </w:rPr>
        <w:t>(2006)</w:t>
      </w:r>
      <w:r w:rsidR="00E42B4A">
        <w:fldChar w:fldCharType="end"/>
      </w:r>
      <w:r w:rsidR="004F2CFA">
        <w:t xml:space="preserve"> have argued that any appraisal of patient-</w:t>
      </w:r>
      <w:proofErr w:type="spellStart"/>
      <w:r w:rsidR="004F2CFA">
        <w:t>centredness</w:t>
      </w:r>
      <w:proofErr w:type="spellEnd"/>
      <w:r w:rsidR="004F2CFA">
        <w:t xml:space="preserve"> and patient involvement should address the following points: </w:t>
      </w:r>
    </w:p>
    <w:p w:rsidR="004F2CFA" w:rsidRDefault="004F2CFA" w:rsidP="008B4132">
      <w:pPr>
        <w:spacing w:after="0"/>
        <w:jc w:val="both"/>
      </w:pPr>
    </w:p>
    <w:p w:rsidR="00595907" w:rsidRPr="004F2CFA" w:rsidRDefault="004F2CFA" w:rsidP="004F2CFA">
      <w:pPr>
        <w:spacing w:after="0"/>
        <w:ind w:left="720"/>
        <w:jc w:val="both"/>
      </w:pPr>
      <w:r>
        <w:t xml:space="preserve">What kinds of activities should individuals </w:t>
      </w:r>
      <w:proofErr w:type="gramStart"/>
      <w:r>
        <w:t>be</w:t>
      </w:r>
      <w:proofErr w:type="gramEnd"/>
      <w:r>
        <w:t xml:space="preserve"> involved in? What kinds of relationships and people should individuals </w:t>
      </w:r>
      <w:proofErr w:type="gramStart"/>
      <w:r>
        <w:t>be</w:t>
      </w:r>
      <w:proofErr w:type="gramEnd"/>
      <w:r>
        <w:t xml:space="preserve"> involved with? Who are we imagining are the agents of empowerment? </w:t>
      </w:r>
      <w:proofErr w:type="gramStart"/>
      <w:r>
        <w:t>i.e</w:t>
      </w:r>
      <w:proofErr w:type="gramEnd"/>
      <w:r>
        <w:t xml:space="preserve">. Who is supposed to initiate or support involvement for whom? </w:t>
      </w:r>
      <w:r w:rsidR="00E42B4A">
        <w:fldChar w:fldCharType="begin"/>
      </w:r>
      <w:r w:rsidR="00EB59A0">
        <w:instrText xml:space="preserve"> ADDIN EN.CITE &lt;EndNote&gt;&lt;Cite&gt;&lt;Author&gt;Cribb&lt;/Author&gt;&lt;Year&gt;2011&lt;/Year&gt;&lt;RecNum&gt;554&lt;/RecNum&gt;&lt;Pages&gt;11&lt;/Pages&gt;&lt;DisplayText&gt;(Cribb, 2011, p. 11)&lt;/DisplayText&gt;&lt;record&gt;&lt;rec-number&gt;554&lt;/rec-number&gt;&lt;foreign-keys&gt;&lt;key app="EN" db-id="epdwds2e822dx1ezx215esw0exvr9wpr9vxf" timestamp="1426157388"&gt;554&lt;/key&gt;&lt;/foreign-keys&gt;&lt;ref-type name="Report"&gt;27&lt;/ref-type&gt;&lt;contributors&gt;&lt;authors&gt;&lt;author&gt;Cribb, Alan&lt;/author&gt;&lt;/authors&gt;&lt;tertiary-authors&gt;&lt;author&gt;Royal Pharmaceutical Society&lt;/author&gt;&lt;/tertiary-authors&gt;&lt;/contributors&gt;&lt;titles&gt;&lt;title&gt;Involvement, Shared Decision-Making and Medicines&lt;/title&gt;&lt;/titles&gt;&lt;dates&gt;&lt;year&gt;2011&lt;/year&gt;&lt;/dates&gt;&lt;pub-location&gt;London&lt;/pub-location&gt;&lt;publisher&gt;Royal Pharmaceutical Society&lt;/publisher&gt;&lt;urls&gt;&lt;/urls&gt;&lt;/record&gt;&lt;/Cite&gt;&lt;/EndNote&gt;</w:instrText>
      </w:r>
      <w:r w:rsidR="00E42B4A">
        <w:fldChar w:fldCharType="separate"/>
      </w:r>
      <w:r w:rsidR="00EB59A0">
        <w:rPr>
          <w:noProof/>
        </w:rPr>
        <w:t>(Cribb, 2011, p. 11)</w:t>
      </w:r>
      <w:r w:rsidR="00E42B4A">
        <w:fldChar w:fldCharType="end"/>
      </w:r>
    </w:p>
    <w:p w:rsidR="00595907" w:rsidRDefault="00595907" w:rsidP="008B4132">
      <w:pPr>
        <w:spacing w:after="0"/>
        <w:jc w:val="both"/>
      </w:pPr>
    </w:p>
    <w:p w:rsidR="00694D64" w:rsidRDefault="00603BC8" w:rsidP="006624B4">
      <w:pPr>
        <w:spacing w:after="0"/>
        <w:jc w:val="both"/>
      </w:pPr>
      <w:r>
        <w:t xml:space="preserve">The premise of this paper is that in order to address these questions and thus identify those forms or patient involvement that might be most appropriate in a given setting, it is useful to explicitly address configurations of power, and it is necessary to explore how tools and non-human objects, are implicated in </w:t>
      </w:r>
      <w:r w:rsidR="007D4975">
        <w:t>these configurations of power.</w:t>
      </w:r>
      <w:r w:rsidR="00694D64">
        <w:t xml:space="preserve"> </w:t>
      </w:r>
    </w:p>
    <w:p w:rsidR="007D748C" w:rsidRDefault="00694D64" w:rsidP="00694D64">
      <w:pPr>
        <w:spacing w:after="0"/>
        <w:ind w:firstLine="720"/>
        <w:jc w:val="both"/>
      </w:pPr>
      <w:r>
        <w:t>Several s</w:t>
      </w:r>
      <w:r w:rsidRPr="00694D64">
        <w:t>ociological studies have examined the enactment of patient-</w:t>
      </w:r>
      <w:proofErr w:type="spellStart"/>
      <w:r w:rsidRPr="00694D64">
        <w:t>cent</w:t>
      </w:r>
      <w:r>
        <w:t>redness</w:t>
      </w:r>
      <w:proofErr w:type="spellEnd"/>
      <w:r>
        <w:t xml:space="preserve"> in clinical settings </w:t>
      </w:r>
      <w:r>
        <w:fldChar w:fldCharType="begin">
          <w:fldData xml:space="preserve">PEVuZE5vdGU+PENpdGU+PEF1dGhvcj5MaWJlcmF0aTwvQXV0aG9yPjxZZWFyPjIwMTU8L1llYXI+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=
</w:fldData>
        </w:fldChar>
      </w:r>
      <w:r w:rsidR="00EB59A0">
        <w:instrText xml:space="preserve"> ADDIN EN.CITE </w:instrText>
      </w:r>
      <w:r w:rsidR="00EB59A0">
        <w:fldChar w:fldCharType="begin">
          <w:fldData xml:space="preserve">PEVuZE5vdGU+PENpdGU+PEF1dGhvcj5MaWJlcmF0aTwvQXV0aG9yPjxZZWFyPjIwMTU8L1llYXI+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=
</w:fldData>
        </w:fldChar>
      </w:r>
      <w:r w:rsidR="00EB59A0">
        <w:instrText xml:space="preserve"> ADDIN EN.CITE.DATA </w:instrText>
      </w:r>
      <w:r w:rsidR="00EB59A0">
        <w:fldChar w:fldCharType="end"/>
      </w:r>
      <w:r>
        <w:fldChar w:fldCharType="separate"/>
      </w:r>
      <w:r w:rsidR="00EB59A0">
        <w:rPr>
          <w:noProof/>
        </w:rPr>
        <w:t>(Dubbin, Chang, &amp; Shim, 2013; Gardner, forthcoming; Liberati et al., 2015)</w:t>
      </w:r>
      <w:r>
        <w:fldChar w:fldCharType="end"/>
      </w:r>
      <w:r>
        <w:t xml:space="preserve">. </w:t>
      </w:r>
      <w:r w:rsidRPr="00694D64">
        <w:t xml:space="preserve">Using a </w:t>
      </w:r>
      <w:proofErr w:type="spellStart"/>
      <w:r w:rsidRPr="00694D64">
        <w:t>Bordieuian</w:t>
      </w:r>
      <w:proofErr w:type="spellEnd"/>
      <w:r w:rsidRPr="00694D64">
        <w:t xml:space="preserve"> analytical frame, Dubbin and colleagues </w:t>
      </w:r>
      <w:r>
        <w:t xml:space="preserve">(2013) </w:t>
      </w:r>
      <w:r w:rsidRPr="00694D64">
        <w:t>explored the</w:t>
      </w:r>
      <w:r>
        <w:t xml:space="preserve"> role of human agents’ cultural</w:t>
      </w:r>
      <w:r w:rsidRPr="00694D64">
        <w:t xml:space="preserve"> resources and dispositions in clinical practice, and noted that patient-centred interactions were often characterised by an asymmetrical power dynamic, in which the clinician was able to encourage particular patient behaviours.  We interrogate this power dynamic in depth, and we adopt </w:t>
      </w:r>
      <w:proofErr w:type="spellStart"/>
      <w:r w:rsidRPr="00694D64">
        <w:t>Liberati</w:t>
      </w:r>
      <w:proofErr w:type="spellEnd"/>
      <w:r w:rsidRPr="00694D64">
        <w:t xml:space="preserve"> and colleague’s </w:t>
      </w:r>
      <w:r>
        <w:t xml:space="preserve">(2015) </w:t>
      </w:r>
      <w:r w:rsidRPr="00694D64">
        <w:t xml:space="preserve">position that </w:t>
      </w:r>
      <w:r w:rsidR="003D4B4A">
        <w:t xml:space="preserve">the enactment of </w:t>
      </w:r>
      <w:r w:rsidRPr="00694D64">
        <w:t xml:space="preserve">patient </w:t>
      </w:r>
      <w:proofErr w:type="spellStart"/>
      <w:r w:rsidRPr="00694D64">
        <w:t>centredness</w:t>
      </w:r>
      <w:proofErr w:type="spellEnd"/>
      <w:r w:rsidRPr="00694D64">
        <w:t xml:space="preserve"> has an important materi</w:t>
      </w:r>
      <w:r>
        <w:t>al, non-human dimension.</w:t>
      </w:r>
      <w:r w:rsidR="007D4975">
        <w:t xml:space="preserve"> Indeed, in th</w:t>
      </w:r>
      <w:r w:rsidR="000F1FD6">
        <w:t>is paper we will illustrate how a particular patient-centred tool known as the Canadian Occupational Performance Measure (COPM) structures the activities of individuals in clinical settings and how it is implicated in initiating and supporting particular modes of patient involvement. Such tools</w:t>
      </w:r>
      <w:r w:rsidR="00044B99">
        <w:t xml:space="preserve"> </w:t>
      </w:r>
      <w:r w:rsidR="000F1FD6">
        <w:t xml:space="preserve">are actively </w:t>
      </w:r>
      <w:r w:rsidR="009604BE">
        <w:t xml:space="preserve">structuring power relations and </w:t>
      </w:r>
      <w:r w:rsidR="000F1FD6">
        <w:t>engaged in forms of ethical work, which may or may not be desirable</w:t>
      </w:r>
      <w:r w:rsidR="00DC7978">
        <w:t>,</w:t>
      </w:r>
      <w:r w:rsidR="000F1FD6">
        <w:t xml:space="preserve"> in other clinical settings. </w:t>
      </w:r>
      <w:r w:rsidR="007D748C">
        <w:tab/>
      </w:r>
    </w:p>
    <w:p w:rsidR="009A13FA" w:rsidRDefault="000F1FD6" w:rsidP="00A8474D">
      <w:pPr>
        <w:spacing w:after="0"/>
        <w:ind w:firstLine="720"/>
        <w:jc w:val="both"/>
      </w:pPr>
      <w:r>
        <w:t>Specifically, i</w:t>
      </w:r>
      <w:r w:rsidR="003936C0">
        <w:t>n this paper</w:t>
      </w:r>
      <w:r w:rsidR="007D4225">
        <w:t xml:space="preserve"> </w:t>
      </w:r>
      <w:r w:rsidR="003936C0">
        <w:t xml:space="preserve">we revive </w:t>
      </w:r>
      <w:r w:rsidR="00CA3516">
        <w:t>John</w:t>
      </w:r>
      <w:r w:rsidR="007D4225">
        <w:t xml:space="preserve"> Law’s </w:t>
      </w:r>
      <w:r w:rsidR="00116489">
        <w:t>taxonomy</w:t>
      </w:r>
      <w:r w:rsidR="007D4225">
        <w:t xml:space="preserve"> of power </w:t>
      </w:r>
      <w:r w:rsidR="00E42B4A">
        <w:fldChar w:fldCharType="begin"/>
      </w:r>
      <w:r w:rsidR="00EB59A0">
        <w:instrText xml:space="preserve"> ADDIN EN.CITE &lt;EndNote&gt;&lt;Cite ExcludeAuth="1"&gt;&lt;Author&gt;Law&lt;/Author&gt;&lt;Year&gt;1991&lt;/Year&gt;&lt;RecNum&gt;678&lt;/RecNum&gt;&lt;DisplayText&gt;(1991)&lt;/DisplayText&gt;&lt;record&gt;&lt;rec-number&gt;678&lt;/rec-number&gt;&lt;foreign-keys&gt;&lt;key app="EN" db-id="epdwds2e822dx1ezx215esw0exvr9wpr9vxf" timestamp="1435656281"&gt;678&lt;/key&gt;&lt;/foreign-keys&gt;&lt;ref-type name="Book Section"&gt;5&lt;/ref-type&gt;&lt;contributors&gt;&lt;authors&gt;&lt;author&gt;Law, John&lt;/author&gt;&lt;/authors&gt;&lt;secondary-authors&gt;&lt;author&gt;Law, John&lt;/author&gt;&lt;/secondary-authors&gt;&lt;/contributors&gt;&lt;titles&gt;&lt;title&gt;Power, Descretion and Strategy&lt;/title&gt;&lt;secondary-title&gt;A Sociology of Monsters: Essays on Power, Technology and Domination&lt;/secondary-title&gt;&lt;/titles&gt;&lt;pages&gt;175-201.&lt;/pages&gt;&lt;dates&gt;&lt;year&gt;1991&lt;/year&gt;&lt;/dates&gt;&lt;pub-location&gt;London&lt;/pub-location&gt;&lt;publisher&gt;Routledge&lt;/publisher&gt;&lt;urls&gt;&lt;/urls&gt;&lt;/record&gt;&lt;/Cite&gt;&lt;/EndNote&gt;</w:instrText>
      </w:r>
      <w:r w:rsidR="00E42B4A">
        <w:fldChar w:fldCharType="separate"/>
      </w:r>
      <w:r w:rsidR="00EB59A0">
        <w:rPr>
          <w:noProof/>
        </w:rPr>
        <w:t>(1991)</w:t>
      </w:r>
      <w:r w:rsidR="00E42B4A">
        <w:fldChar w:fldCharType="end"/>
      </w:r>
      <w:r w:rsidR="00A33901">
        <w:t xml:space="preserve"> and deploy </w:t>
      </w:r>
      <w:r w:rsidR="00CE295E">
        <w:t>it</w:t>
      </w:r>
      <w:r w:rsidR="000F39B0">
        <w:t xml:space="preserve"> as an ANT-inspired analytical lens</w:t>
      </w:r>
      <w:r w:rsidR="007D4225">
        <w:t xml:space="preserve">. </w:t>
      </w:r>
      <w:r w:rsidR="000F39B0">
        <w:t xml:space="preserve">Actor-Network theorists have argued that power should not be seen as a thing ‘in-itself’ and it should not be used as an </w:t>
      </w:r>
      <w:proofErr w:type="spellStart"/>
      <w:r w:rsidR="000F39B0" w:rsidRPr="000F39B0">
        <w:rPr>
          <w:i/>
        </w:rPr>
        <w:t>explanans</w:t>
      </w:r>
      <w:proofErr w:type="spellEnd"/>
      <w:r w:rsidR="00A33901">
        <w:t xml:space="preserve"> in its own right</w:t>
      </w:r>
      <w:r w:rsidR="000F39B0">
        <w:t xml:space="preserve">. Rather, power should be </w:t>
      </w:r>
      <w:r w:rsidR="000F39B0">
        <w:lastRenderedPageBreak/>
        <w:t>seen as a relational effect</w:t>
      </w:r>
      <w:r w:rsidR="00A33901">
        <w:t xml:space="preserve">; as the consequence of specific relations between entities brought about via ordering and assembling practices </w:t>
      </w:r>
      <w:r w:rsidR="00E42B4A">
        <w:fldChar w:fldCharType="begin"/>
      </w:r>
      <w:r w:rsidR="00EB59A0">
        <w:instrText xml:space="preserve"> ADDIN EN.CITE &lt;EndNote&gt;&lt;Cite&gt;&lt;Author&gt;Law&lt;/Author&gt;&lt;Year&gt;1991&lt;/Year&gt;&lt;RecNum&gt;197&lt;/RecNum&gt;&lt;DisplayText&gt;(Latour, 2005; J. Law, 1986, 1991)&lt;/DisplayText&gt;&lt;record&gt;&lt;rec-number&gt;197&lt;/rec-number&gt;&lt;foreign-keys&gt;&lt;key app="EN" db-id="epdwds2e822dx1ezx215esw0exvr9wpr9vxf" timestamp="0"&gt;197&lt;/key&gt;&lt;/foreign-keys&gt;&lt;ref-type name="Book"&gt;6&lt;/ref-type&gt;&lt;contributors&gt;&lt;authors&gt;&lt;author&gt;Law, J.&lt;/author&gt;&lt;/authors&gt;&lt;/contributors&gt;&lt;titles&gt;&lt;title&gt;A Sociology of monsters: essays on power, technology, and domination&lt;/title&gt;&lt;/titles&gt;&lt;dates&gt;&lt;year&gt;1991&lt;/year&gt;&lt;/dates&gt;&lt;publisher&gt;Routledge&lt;/publisher&gt;&lt;isbn&gt;9780415071390&lt;/isbn&gt;&lt;urls&gt;&lt;related-urls&gt;&lt;url&gt;http://books.google.co.uk/books?id=FsINAAAAQAAJ&lt;/url&gt;&lt;/related-urls&gt;&lt;/urls&gt;&lt;/record&gt;&lt;/Cite&gt;&lt;Cite&gt;&lt;Author&gt;Law&lt;/Author&gt;&lt;Year&gt;1986&lt;/Year&gt;&lt;RecNum&gt;687&lt;/RecNum&gt;&lt;record&gt;&lt;rec-number&gt;687&lt;/rec-number&gt;&lt;foreign-keys&gt;&lt;key app="EN" db-id="epdwds2e822dx1ezx215esw0exvr9wpr9vxf" timestamp="1436195427"&gt;687&lt;/key&gt;&lt;/foreign-keys&gt;&lt;ref-type name="Book"&gt;6&lt;/ref-type&gt;&lt;contributors&gt;&lt;authors&gt;&lt;author&gt;Law, J.&lt;/author&gt;&lt;/authors&gt;&lt;/contributors&gt;&lt;titles&gt;&lt;title&gt;Power, action, and belief: a new sociology of knowledge?&lt;/title&gt;&lt;/titles&gt;&lt;dates&gt;&lt;year&gt;1986&lt;/year&gt;&lt;/dates&gt;&lt;pub-location&gt;London&lt;/pub-location&gt;&lt;publisher&gt;Routledge &amp;amp; Kegan Paul&lt;/publisher&gt;&lt;isbn&gt;9780710208026&lt;/isbn&gt;&lt;urls&gt;&lt;related-urls&gt;&lt;url&gt;https://books.google.co.uk/books?id=Jc21AAAAIAAJ&lt;/url&gt;&lt;/related-urls&gt;&lt;/urls&gt;&lt;/record&gt;&lt;/Cite&gt;&lt;Cite&gt;&lt;Author&gt;Latour&lt;/Author&gt;&lt;Year&gt;2005&lt;/Year&gt;&lt;RecNum&gt;204&lt;/RecNum&gt;&lt;record&gt;&lt;rec-number&gt;204&lt;/rec-number&gt;&lt;foreign-keys&gt;&lt;key app="EN" db-id="epdwds2e822dx1ezx215esw0exvr9wpr9vxf" timestamp="0"&gt;204&lt;/key&gt;&lt;/foreign-keys&gt;&lt;ref-type name="Book"&gt;6&lt;/ref-type&gt;&lt;contributors&gt;&lt;authors&gt;&lt;author&gt;Latour, B.&lt;/author&gt;&lt;/authors&gt;&lt;/contributors&gt;&lt;titles&gt;&lt;title&gt;Reassembling the Social: An Introduction to Actor-Network Theory&lt;/title&gt;&lt;/titles&gt;&lt;dates&gt;&lt;year&gt;2005&lt;/year&gt;&lt;/dates&gt;&lt;pub-location&gt;Oxford&lt;/pub-location&gt;&lt;publisher&gt;Oxford University Press&lt;/publisher&gt;&lt;urls&gt;&lt;/urls&gt;&lt;/record&gt;&lt;/Cite&gt;&lt;/EndNote&gt;</w:instrText>
      </w:r>
      <w:r w:rsidR="00E42B4A">
        <w:fldChar w:fldCharType="separate"/>
      </w:r>
      <w:r w:rsidR="00EB59A0">
        <w:rPr>
          <w:noProof/>
        </w:rPr>
        <w:t>(Latour, 2005; J. Law, 1986, 1991)</w:t>
      </w:r>
      <w:r w:rsidR="00E42B4A">
        <w:fldChar w:fldCharType="end"/>
      </w:r>
      <w:r w:rsidR="00A33901">
        <w:t xml:space="preserve">.  </w:t>
      </w:r>
      <w:r w:rsidR="00D04E49">
        <w:t>In light of this tenet</w:t>
      </w:r>
      <w:r w:rsidR="00CE295E">
        <w:t xml:space="preserve"> Law has proposed four ‘modes of power’. First, there is </w:t>
      </w:r>
      <w:r w:rsidR="00CE295E">
        <w:rPr>
          <w:i/>
        </w:rPr>
        <w:t>power over</w:t>
      </w:r>
      <w:r w:rsidR="00CE295E">
        <w:t xml:space="preserve">, which describes circumstances in which </w:t>
      </w:r>
      <w:r w:rsidR="00465070">
        <w:t>a ‘powerful’</w:t>
      </w:r>
      <w:r w:rsidR="00CE295E">
        <w:t xml:space="preserve"> agent </w:t>
      </w:r>
      <w:r w:rsidR="00465070">
        <w:t xml:space="preserve">imposes </w:t>
      </w:r>
      <w:r w:rsidR="00DA07D8">
        <w:t xml:space="preserve">its interests </w:t>
      </w:r>
      <w:r w:rsidR="00465070">
        <w:t>upon others in such a</w:t>
      </w:r>
      <w:r w:rsidR="00DA07D8">
        <w:t xml:space="preserve"> way that may be contrary to those of the</w:t>
      </w:r>
      <w:r w:rsidR="00465070">
        <w:t xml:space="preserve"> </w:t>
      </w:r>
      <w:r w:rsidR="00DA07D8">
        <w:t>latter</w:t>
      </w:r>
      <w:r w:rsidR="00465070">
        <w:t xml:space="preserve"> </w:t>
      </w:r>
      <w:r w:rsidR="00E42B4A">
        <w:fldChar w:fldCharType="begin"/>
      </w:r>
      <w:r w:rsidR="00EB59A0">
        <w:instrText xml:space="preserve"> ADDIN EN.CITE &lt;EndNote&gt;&lt;Cite&gt;&lt;Author&gt;Law&lt;/Author&gt;&lt;Year&gt;1991&lt;/Year&gt;&lt;RecNum&gt;678&lt;/RecNum&gt;&lt;Pages&gt;168&lt;/Pages&gt;&lt;DisplayText&gt;(John Law, 1991, p. 168)&lt;/DisplayText&gt;&lt;record&gt;&lt;rec-number&gt;678&lt;/rec-number&gt;&lt;foreign-keys&gt;&lt;key app="EN" db-id="epdwds2e822dx1ezx215esw0exvr9wpr9vxf" timestamp="1435656281"&gt;678&lt;/key&gt;&lt;/foreign-keys&gt;&lt;ref-type name="Book Section"&gt;5&lt;/ref-type&gt;&lt;contributors&gt;&lt;authors&gt;&lt;author&gt;Law, John&lt;/author&gt;&lt;/authors&gt;&lt;secondary-authors&gt;&lt;author&gt;Law, John&lt;/author&gt;&lt;/secondary-authors&gt;&lt;/contributors&gt;&lt;titles&gt;&lt;title&gt;Power, Descretion and Strategy&lt;/title&gt;&lt;secondary-title&gt;A Sociology of Monsters: Essays on Power, Technology and Domination&lt;/secondary-title&gt;&lt;/titles&gt;&lt;pages&gt;175-201.&lt;/pages&gt;&lt;dates&gt;&lt;year&gt;1991&lt;/year&gt;&lt;/dates&gt;&lt;pub-location&gt;London&lt;/pub-location&gt;&lt;publisher&gt;Routledge&lt;/publisher&gt;&lt;urls&gt;&lt;/urls&gt;&lt;/record&gt;&lt;/Cite&gt;&lt;/EndNote&gt;</w:instrText>
      </w:r>
      <w:r w:rsidR="00E42B4A">
        <w:fldChar w:fldCharType="separate"/>
      </w:r>
      <w:r w:rsidR="00EB59A0">
        <w:rPr>
          <w:noProof/>
        </w:rPr>
        <w:t>(John Law, 1991, p. 168)</w:t>
      </w:r>
      <w:r w:rsidR="00E42B4A">
        <w:fldChar w:fldCharType="end"/>
      </w:r>
      <w:r w:rsidR="00465070">
        <w:t xml:space="preserve">. </w:t>
      </w:r>
      <w:r w:rsidR="00694347">
        <w:t>It is this mode of power that has been said to characterise ‘paternalistic’ medical authority</w:t>
      </w:r>
      <w:r w:rsidR="009B3204">
        <w:t xml:space="preserve">. </w:t>
      </w:r>
      <w:r w:rsidR="0065116D">
        <w:t xml:space="preserve">The second mode, which is not necessarily distinct from the first, is </w:t>
      </w:r>
      <w:r w:rsidR="0065116D">
        <w:rPr>
          <w:i/>
        </w:rPr>
        <w:t>power to</w:t>
      </w:r>
      <w:r w:rsidR="00995A5E">
        <w:t xml:space="preserve">, </w:t>
      </w:r>
      <w:r w:rsidR="006624B4">
        <w:t>referring</w:t>
      </w:r>
      <w:r w:rsidR="00995A5E">
        <w:t xml:space="preserve"> to the way in which agents are </w:t>
      </w:r>
      <w:r w:rsidR="00995A5E" w:rsidRPr="00995A5E">
        <w:rPr>
          <w:i/>
        </w:rPr>
        <w:t>enabled</w:t>
      </w:r>
      <w:r w:rsidR="00995A5E">
        <w:rPr>
          <w:i/>
        </w:rPr>
        <w:t xml:space="preserve"> </w:t>
      </w:r>
      <w:r w:rsidR="00995A5E">
        <w:t>and empowered via their immersion within a socio-technical collective</w:t>
      </w:r>
      <w:r w:rsidR="00E91C51">
        <w:t xml:space="preserve"> </w:t>
      </w:r>
      <w:r w:rsidR="00E42B4A">
        <w:fldChar w:fldCharType="begin"/>
      </w:r>
      <w:r w:rsidR="00EB59A0">
        <w:instrText xml:space="preserve"> ADDIN EN.CITE &lt;EndNote&gt;&lt;Cite&gt;&lt;Author&gt;Law&lt;/Author&gt;&lt;Year&gt;1991&lt;/Year&gt;&lt;RecNum&gt;678&lt;/RecNum&gt;&lt;Pages&gt;167&lt;/Pages&gt;&lt;DisplayText&gt;(John Law, 1991, p. 167)&lt;/DisplayText&gt;&lt;record&gt;&lt;rec-number&gt;678&lt;/rec-number&gt;&lt;foreign-keys&gt;&lt;key app="EN" db-id="epdwds2e822dx1ezx215esw0exvr9wpr9vxf" timestamp="1435656281"&gt;678&lt;/key&gt;&lt;/foreign-keys&gt;&lt;ref-type name="Book Section"&gt;5&lt;/ref-type&gt;&lt;contributors&gt;&lt;authors&gt;&lt;author&gt;Law, John&lt;/author&gt;&lt;/authors&gt;&lt;secondary-authors&gt;&lt;author&gt;Law, John&lt;/author&gt;&lt;/secondary-authors&gt;&lt;/contributors&gt;&lt;titles&gt;&lt;title&gt;Power, Descretion and Strategy&lt;/title&gt;&lt;secondary-title&gt;A Sociology of Monsters: Essays on Power, Technology and Domination&lt;/secondary-title&gt;&lt;/titles&gt;&lt;pages&gt;175-201.&lt;/pages&gt;&lt;dates&gt;&lt;year&gt;1991&lt;/year&gt;&lt;/dates&gt;&lt;pub-location&gt;London&lt;/pub-location&gt;&lt;publisher&gt;Routledge&lt;/publisher&gt;&lt;urls&gt;&lt;/urls&gt;&lt;/record&gt;&lt;/Cite&gt;&lt;/EndNote&gt;</w:instrText>
      </w:r>
      <w:r w:rsidR="00E42B4A">
        <w:fldChar w:fldCharType="separate"/>
      </w:r>
      <w:r w:rsidR="00EB59A0">
        <w:rPr>
          <w:noProof/>
        </w:rPr>
        <w:t>(John Law, 1991, p. 167)</w:t>
      </w:r>
      <w:r w:rsidR="00E42B4A">
        <w:fldChar w:fldCharType="end"/>
      </w:r>
      <w:r w:rsidR="00995A5E">
        <w:t xml:space="preserve">. For example, agents </w:t>
      </w:r>
      <w:r w:rsidR="00694347">
        <w:t xml:space="preserve">may </w:t>
      </w:r>
      <w:r w:rsidR="00DA07D8">
        <w:t xml:space="preserve">strategically </w:t>
      </w:r>
      <w:r w:rsidR="00995A5E">
        <w:t xml:space="preserve">arrogate and deploy dominant </w:t>
      </w:r>
      <w:r w:rsidR="00694347">
        <w:t xml:space="preserve">medical </w:t>
      </w:r>
      <w:r w:rsidR="00995A5E">
        <w:t xml:space="preserve">discourses in a process of </w:t>
      </w:r>
      <w:r w:rsidR="00DA1124">
        <w:t>self-</w:t>
      </w:r>
      <w:r w:rsidR="00995A5E">
        <w:t>affirmation</w:t>
      </w:r>
      <w:r w:rsidR="009A1E07">
        <w:t xml:space="preserve"> </w:t>
      </w:r>
      <w:r w:rsidR="00E42B4A">
        <w:fldChar w:fldCharType="begin"/>
      </w:r>
      <w:r w:rsidR="00EB59A0">
        <w:instrText xml:space="preserve"> ADDIN EN.CITE &lt;EndNote&gt;&lt;Cite&gt;&lt;Author&gt;Rabinow&lt;/Author&gt;&lt;Year&gt;2008&lt;/Year&gt;&lt;RecNum&gt;31&lt;/RecNum&gt;&lt;DisplayText&gt;(Rabinow, 2008)&lt;/DisplayText&gt;&lt;record&gt;&lt;rec-number&gt;31&lt;/rec-number&gt;&lt;foreign-keys&gt;&lt;key app="EN" db-id="epdwds2e822dx1ezx215esw0exvr9wpr9vxf" timestamp="0"&gt;31&lt;/key&gt;&lt;/foreign-keys&gt;&lt;ref-type name="Book Section"&gt;5&lt;/ref-type&gt;&lt;contributors&gt;&lt;authors&gt;&lt;author&gt;Rabinow, Paul&lt;/author&gt;&lt;/authors&gt;&lt;/contributors&gt;&lt;titles&gt;&lt;title&gt;Artificiality and Enlightenment: From Sociobiology to Biosociality&lt;/title&gt;&lt;secondary-title&gt;Anthropologies of Modernity&lt;/secondary-title&gt;&lt;/titles&gt;&lt;pages&gt;179-193&lt;/pages&gt;&lt;keywords&gt;&lt;keyword&gt;artificiality&lt;/keyword&gt;&lt;keyword&gt;enlightenment&lt;/keyword&gt;&lt;keyword&gt;sociobiology&lt;/keyword&gt;&lt;keyword&gt;biosociality&lt;/keyword&gt;&lt;keyword&gt;theorization&lt;/keyword&gt;&lt;/keywords&gt;&lt;dates&gt;&lt;year&gt;2008&lt;/year&gt;&lt;/dates&gt;&lt;publisher&gt;Blackwell Publishing Ltd&lt;/publisher&gt;&lt;isbn&gt;9780470775875&lt;/isbn&gt;&lt;urls&gt;&lt;related-urls&gt;&lt;url&gt;http://dx.doi.org/10.1002/9780470775875.ch7&lt;/url&gt;&lt;/related-urls&gt;&lt;/urls&gt;&lt;electronic-resource-num&gt;10.1002/9780470775875.ch7&lt;/electronic-resource-num&gt;&lt;/record&gt;&lt;/Cite&gt;&lt;/EndNote&gt;</w:instrText>
      </w:r>
      <w:r w:rsidR="00E42B4A">
        <w:fldChar w:fldCharType="separate"/>
      </w:r>
      <w:r w:rsidR="00EB59A0">
        <w:rPr>
          <w:noProof/>
        </w:rPr>
        <w:t>(Rabinow, 2008)</w:t>
      </w:r>
      <w:r w:rsidR="00E42B4A">
        <w:fldChar w:fldCharType="end"/>
      </w:r>
      <w:r w:rsidR="00DA1124">
        <w:t>. This parallels</w:t>
      </w:r>
      <w:r w:rsidR="006C269E">
        <w:t xml:space="preserve"> </w:t>
      </w:r>
      <w:r w:rsidR="00DA1124">
        <w:t>what Foucault referred to as the productive capacity of power</w:t>
      </w:r>
      <w:r w:rsidR="006624B4">
        <w:t xml:space="preserve">, and it also aligns with Foucault’s </w:t>
      </w:r>
      <w:r w:rsidR="00442313">
        <w:t>characterisation</w:t>
      </w:r>
      <w:r w:rsidR="006624B4">
        <w:t xml:space="preserve"> of power as being</w:t>
      </w:r>
      <w:r w:rsidR="00442313">
        <w:t xml:space="preserve"> fluid and</w:t>
      </w:r>
      <w:r w:rsidR="006624B4">
        <w:t xml:space="preserve"> infused throughout all social relations</w:t>
      </w:r>
      <w:r w:rsidR="00694347">
        <w:t xml:space="preserve"> </w:t>
      </w:r>
      <w:r w:rsidR="00E42B4A">
        <w:fldChar w:fldCharType="begin"/>
      </w:r>
      <w:r w:rsidR="00EB59A0">
        <w:instrText xml:space="preserve"> ADDIN EN.CITE &lt;EndNote&gt;&lt;Cite&gt;&lt;Author&gt;Foucault&lt;/Author&gt;&lt;Year&gt;1991&lt;/Year&gt;&lt;RecNum&gt;47&lt;/RecNum&gt;&lt;DisplayText&gt;(Foucault, 1991)&lt;/DisplayText&gt;&lt;record&gt;&lt;rec-number&gt;47&lt;/rec-number&gt;&lt;foreign-keys&gt;&lt;key app="EN" db-id="epdwds2e822dx1ezx215esw0exvr9wpr9vxf" timestamp="0"&gt;47&lt;/key&gt;&lt;/foreign-keys&gt;&lt;ref-type name="Book"&gt;6&lt;/ref-type&gt;&lt;contributors&gt;&lt;authors&gt;&lt;author&gt;Foucault, Michel&lt;/author&gt;&lt;/authors&gt;&lt;/contributors&gt;&lt;titles&gt;&lt;title&gt;Discipline and Punish: The Birth of the Prison&lt;/title&gt;&lt;/titles&gt;&lt;dates&gt;&lt;year&gt;1991&lt;/year&gt;&lt;/dates&gt;&lt;pub-location&gt;London&lt;/pub-location&gt;&lt;publisher&gt;Penguin&lt;/publisher&gt;&lt;urls&gt;&lt;/urls&gt;&lt;/record&gt;&lt;/Cite&gt;&lt;/EndNote&gt;</w:instrText>
      </w:r>
      <w:r w:rsidR="00E42B4A">
        <w:fldChar w:fldCharType="separate"/>
      </w:r>
      <w:r w:rsidR="00EB59A0">
        <w:rPr>
          <w:noProof/>
        </w:rPr>
        <w:t>(Foucault, 1991)</w:t>
      </w:r>
      <w:r w:rsidR="00E42B4A">
        <w:fldChar w:fldCharType="end"/>
      </w:r>
      <w:r w:rsidR="006624B4">
        <w:t xml:space="preserve">. </w:t>
      </w:r>
      <w:r w:rsidR="00442313">
        <w:t>Law argues that this fluidity does not exclude the potential for more rigid power arrangements</w:t>
      </w:r>
      <w:r w:rsidR="006C269E">
        <w:t xml:space="preserve">, however. Hence, </w:t>
      </w:r>
      <w:r w:rsidR="00442313">
        <w:t>the third mode</w:t>
      </w:r>
      <w:r w:rsidR="006C269E">
        <w:t xml:space="preserve"> </w:t>
      </w:r>
      <w:r w:rsidR="00442313">
        <w:t xml:space="preserve">is </w:t>
      </w:r>
      <w:r w:rsidR="00442313">
        <w:rPr>
          <w:i/>
        </w:rPr>
        <w:t>power storage</w:t>
      </w:r>
      <w:r w:rsidR="00442313">
        <w:t>. This refers to circumstances in which socio-technical relations</w:t>
      </w:r>
      <w:r w:rsidR="006C269E">
        <w:t xml:space="preserve">, and thus their </w:t>
      </w:r>
      <w:r w:rsidR="006C269E" w:rsidRPr="006C269E">
        <w:rPr>
          <w:i/>
        </w:rPr>
        <w:t>power over</w:t>
      </w:r>
      <w:r w:rsidR="006C269E">
        <w:t xml:space="preserve"> and/or </w:t>
      </w:r>
      <w:r w:rsidR="006C269E" w:rsidRPr="006C269E">
        <w:rPr>
          <w:i/>
        </w:rPr>
        <w:t>power to</w:t>
      </w:r>
      <w:r w:rsidR="006C269E">
        <w:t xml:space="preserve"> effects, have acquired a degree of stability</w:t>
      </w:r>
      <w:r w:rsidR="00E91C51">
        <w:t xml:space="preserve"> </w:t>
      </w:r>
      <w:r w:rsidR="00E42B4A">
        <w:fldChar w:fldCharType="begin"/>
      </w:r>
      <w:r w:rsidR="00EB59A0">
        <w:instrText xml:space="preserve"> ADDIN EN.CITE &lt;EndNote&gt;&lt;Cite&gt;&lt;Author&gt;Law&lt;/Author&gt;&lt;Year&gt;1991&lt;/Year&gt;&lt;RecNum&gt;678&lt;/RecNum&gt;&lt;Pages&gt;168-169&lt;/Pages&gt;&lt;DisplayText&gt;(John Law, 1991, pp. 168-169)&lt;/DisplayText&gt;&lt;record&gt;&lt;rec-number&gt;678&lt;/rec-number&gt;&lt;foreign-keys&gt;&lt;key app="EN" db-id="epdwds2e822dx1ezx215esw0exvr9wpr9vxf" timestamp="1435656281"&gt;678&lt;/key&gt;&lt;/foreign-keys&gt;&lt;ref-type name="Book Section"&gt;5&lt;/ref-type&gt;&lt;contributors&gt;&lt;authors&gt;&lt;author&gt;Law, John&lt;/author&gt;&lt;/authors&gt;&lt;secondary-authors&gt;&lt;author&gt;Law, John&lt;/author&gt;&lt;/secondary-authors&gt;&lt;/contributors&gt;&lt;titles&gt;&lt;title&gt;Power, Descretion and Strategy&lt;/title&gt;&lt;secondary-title&gt;A Sociology of Monsters: Essays on Power, Technology and Domination&lt;/secondary-title&gt;&lt;/titles&gt;&lt;pages&gt;175-201.&lt;/pages&gt;&lt;dates&gt;&lt;year&gt;1991&lt;/year&gt;&lt;/dates&gt;&lt;pub-location&gt;London&lt;/pub-location&gt;&lt;publisher&gt;Routledge&lt;/publisher&gt;&lt;urls&gt;&lt;/urls&gt;&lt;/record&gt;&lt;/Cite&gt;&lt;/EndNote&gt;</w:instrText>
      </w:r>
      <w:r w:rsidR="00E42B4A">
        <w:fldChar w:fldCharType="separate"/>
      </w:r>
      <w:r w:rsidR="00EB59A0">
        <w:rPr>
          <w:noProof/>
        </w:rPr>
        <w:t>(John Law, 1991, pp. 168-169)</w:t>
      </w:r>
      <w:r w:rsidR="00E42B4A">
        <w:fldChar w:fldCharType="end"/>
      </w:r>
      <w:r w:rsidR="006C269E">
        <w:t>. Agents, for example, may be</w:t>
      </w:r>
      <w:r w:rsidR="00E91C51">
        <w:t>come</w:t>
      </w:r>
      <w:r w:rsidR="006C269E">
        <w:t xml:space="preserve"> embedded in resilient socio-technical networks with highly asymmetrical power dynamics: such </w:t>
      </w:r>
      <w:r w:rsidR="00E91C51">
        <w:t>situations constitute a state of domination</w:t>
      </w:r>
      <w:r w:rsidR="00DA07D8">
        <w:t xml:space="preserve">. An example of this is Latimer’s </w:t>
      </w:r>
      <w:r w:rsidR="00E42B4A">
        <w:fldChar w:fldCharType="begin"/>
      </w:r>
      <w:r w:rsidR="00E339D3">
        <w:instrText xml:space="preserve"> ADDIN EN.CITE &lt;EndNote&gt;&lt;Cite ExcludeAuth="1"&gt;&lt;Author&gt;Latimer&lt;/Author&gt;&lt;Year&gt;1997&lt;/Year&gt;&lt;RecNum&gt;557&lt;/RecNum&gt;&lt;DisplayText&gt;(1997)&lt;/DisplayText&gt;&lt;record&gt;&lt;rec-number&gt;557&lt;/rec-number&gt;&lt;foreign-keys&gt;&lt;key app="EN" db-id="epdwds2e822dx1ezx215esw0exvr9wpr9vxf" timestamp="1426869821"&gt;557&lt;/key&gt;&lt;/foreign-keys&gt;&lt;ref-type name="Journal Article"&gt;17&lt;/ref-type&gt;&lt;contributors&gt;&lt;authors&gt;&lt;author&gt;Latimer, J.&lt;/author&gt;&lt;/authors&gt;&lt;/contributors&gt;&lt;titles&gt;&lt;title&gt;Giving patients a future: the constituting of classes in an acute medical unit&lt;/title&gt;&lt;secondary-title&gt;Sociology of Health &amp;amp; Illness&lt;/secondary-title&gt;&lt;/titles&gt;&lt;periodical&gt;&lt;full-title&gt;Sociol Health Illn&lt;/full-title&gt;&lt;abbr-1&gt;Sociology of health &amp;amp; illness&lt;/abbr-1&gt;&lt;/periodical&gt;&lt;pages&gt;160-185&lt;/pages&gt;&lt;volume&gt;19&lt;/volume&gt;&lt;number&gt;2&lt;/number&gt;&lt;dates&gt;&lt;year&gt;1997&lt;/year&gt;&lt;/dates&gt;&lt;publisher&gt;Blackwell Publishing Ltd&lt;/publisher&gt;&lt;isbn&gt;1467-9566&lt;/isbn&gt;&lt;urls&gt;&lt;related-urls&gt;&lt;url&gt;http://dx.doi.org/10.1111/1467-9566.ep10934396&lt;/url&gt;&lt;/related-urls&gt;&lt;/urls&gt;&lt;electronic-resource-num&gt;10.1111/1467-9566.ep10934396&lt;/electronic-resource-num&gt;&lt;/record&gt;&lt;/Cite&gt;&lt;/EndNote&gt;</w:instrText>
      </w:r>
      <w:r w:rsidR="00E42B4A">
        <w:fldChar w:fldCharType="separate"/>
      </w:r>
      <w:r w:rsidR="00F00276">
        <w:rPr>
          <w:noProof/>
        </w:rPr>
        <w:t>(1997)</w:t>
      </w:r>
      <w:r w:rsidR="00E42B4A">
        <w:fldChar w:fldCharType="end"/>
      </w:r>
      <w:r w:rsidR="00F00276">
        <w:t xml:space="preserve"> </w:t>
      </w:r>
      <w:r w:rsidR="00DA07D8">
        <w:t>a</w:t>
      </w:r>
      <w:r w:rsidR="00D55101">
        <w:t>ccount of an acute medical unit</w:t>
      </w:r>
      <w:r w:rsidR="00DA07D8">
        <w:t xml:space="preserve"> </w:t>
      </w:r>
      <w:r w:rsidR="00D55101">
        <w:t>in</w:t>
      </w:r>
      <w:r w:rsidR="00DA07D8">
        <w:t xml:space="preserve"> which people were configured as </w:t>
      </w:r>
      <w:r w:rsidR="00DA07D8" w:rsidRPr="00DA07D8">
        <w:rPr>
          <w:i/>
        </w:rPr>
        <w:t>particular types of patients</w:t>
      </w:r>
      <w:r w:rsidR="00DA07D8">
        <w:t xml:space="preserve"> vi</w:t>
      </w:r>
      <w:r w:rsidR="00A8474D">
        <w:t>a organisational routines, which thus had the effect or producing and reproducing social hierarchies and divisions.</w:t>
      </w:r>
      <w:r w:rsidR="006C269E">
        <w:t xml:space="preserve"> </w:t>
      </w:r>
      <w:r w:rsidR="00E91C51">
        <w:t xml:space="preserve">And fourth, agents </w:t>
      </w:r>
      <w:r w:rsidR="0098491D">
        <w:t xml:space="preserve">within socio-technical networks, particularly those who benefit from such arrangements, possess the capacity to refrain from action, and choose between alternative actions which may each have their own </w:t>
      </w:r>
      <w:r w:rsidR="0098491D" w:rsidRPr="0098491D">
        <w:rPr>
          <w:i/>
        </w:rPr>
        <w:t>power over</w:t>
      </w:r>
      <w:r w:rsidR="0098491D">
        <w:t>/</w:t>
      </w:r>
      <w:r w:rsidR="0098491D" w:rsidRPr="0098491D">
        <w:rPr>
          <w:i/>
        </w:rPr>
        <w:t>power to</w:t>
      </w:r>
      <w:r w:rsidR="0098491D">
        <w:t xml:space="preserve"> consequences. This is </w:t>
      </w:r>
      <w:r w:rsidR="0098491D" w:rsidRPr="0098491D">
        <w:rPr>
          <w:i/>
        </w:rPr>
        <w:t>power/discretion</w:t>
      </w:r>
      <w:r w:rsidR="00FC3D18">
        <w:t xml:space="preserve"> </w:t>
      </w:r>
      <w:r w:rsidR="00E42B4A">
        <w:fldChar w:fldCharType="begin"/>
      </w:r>
      <w:r w:rsidR="00EB59A0">
        <w:instrText xml:space="preserve"> ADDIN EN.CITE &lt;EndNote&gt;&lt;Cite&gt;&lt;Author&gt;Law&lt;/Author&gt;&lt;Year&gt;1991&lt;/Year&gt;&lt;RecNum&gt;678&lt;/RecNum&gt;&lt;Pages&gt;170-171&lt;/Pages&gt;&lt;DisplayText&gt;(John Law, 1991, pp. 170-171)&lt;/DisplayText&gt;&lt;record&gt;&lt;rec-number&gt;678&lt;/rec-number&gt;&lt;foreign-keys&gt;&lt;key app="EN" db-id="epdwds2e822dx1ezx215esw0exvr9wpr9vxf" timestamp="1435656281"&gt;678&lt;/key&gt;&lt;/foreign-keys&gt;&lt;ref-type name="Book Section"&gt;5&lt;/ref-type&gt;&lt;contributors&gt;&lt;authors&gt;&lt;author&gt;Law, John&lt;/author&gt;&lt;/authors&gt;&lt;secondary-authors&gt;&lt;author&gt;Law, John&lt;/author&gt;&lt;/secondary-authors&gt;&lt;/contributors&gt;&lt;titles&gt;&lt;title&gt;Power, Descretion and Strategy&lt;/title&gt;&lt;secondary-title&gt;A Sociology of Monsters: Essays on Power, Technology and Domination&lt;/secondary-title&gt;&lt;/titles&gt;&lt;pages&gt;175-201.&lt;/pages&gt;&lt;dates&gt;&lt;year&gt;1991&lt;/year&gt;&lt;/dates&gt;&lt;pub-location&gt;London&lt;/pub-location&gt;&lt;publisher&gt;Routledge&lt;/publisher&gt;&lt;urls&gt;&lt;/urls&gt;&lt;/record&gt;&lt;/Cite&gt;&lt;/EndNote&gt;</w:instrText>
      </w:r>
      <w:r w:rsidR="00E42B4A">
        <w:fldChar w:fldCharType="separate"/>
      </w:r>
      <w:r w:rsidR="00EB59A0">
        <w:rPr>
          <w:noProof/>
        </w:rPr>
        <w:t>(John Law, 1991, pp. 170-171)</w:t>
      </w:r>
      <w:r w:rsidR="00E42B4A">
        <w:fldChar w:fldCharType="end"/>
      </w:r>
      <w:r w:rsidR="0098491D">
        <w:rPr>
          <w:i/>
        </w:rPr>
        <w:t>.</w:t>
      </w:r>
      <w:r w:rsidR="0098491D">
        <w:t xml:space="preserve"> </w:t>
      </w:r>
      <w:r w:rsidR="009A13FA">
        <w:t>Agents do not</w:t>
      </w:r>
      <w:r w:rsidR="00E42306">
        <w:t xml:space="preserve"> </w:t>
      </w:r>
      <w:r w:rsidR="0022144A">
        <w:t xml:space="preserve">necessarily </w:t>
      </w:r>
      <w:r w:rsidR="009A13FA">
        <w:t>act in a mechanistic fashion</w:t>
      </w:r>
      <w:r w:rsidR="0022144A">
        <w:t xml:space="preserve"> therefore</w:t>
      </w:r>
      <w:r w:rsidR="009A13FA">
        <w:t>, but the degree to which they can resist</w:t>
      </w:r>
      <w:r w:rsidR="00FC3D18">
        <w:t>,</w:t>
      </w:r>
      <w:r w:rsidR="009A13FA">
        <w:t xml:space="preserve"> and the degree to which they can exercise </w:t>
      </w:r>
      <w:r w:rsidR="009A13FA" w:rsidRPr="009A13FA">
        <w:rPr>
          <w:i/>
        </w:rPr>
        <w:t>power/discretion</w:t>
      </w:r>
      <w:r w:rsidR="0022144A">
        <w:rPr>
          <w:i/>
        </w:rPr>
        <w:t>,</w:t>
      </w:r>
      <w:r w:rsidR="009A13FA">
        <w:t xml:space="preserve"> can vary significantly between agents and between contexts. </w:t>
      </w:r>
    </w:p>
    <w:p w:rsidR="00E4281B" w:rsidRDefault="009A13FA" w:rsidP="006624B4">
      <w:pPr>
        <w:spacing w:after="0"/>
        <w:jc w:val="both"/>
      </w:pPr>
      <w:r>
        <w:tab/>
      </w:r>
      <w:r w:rsidR="00E42306">
        <w:t xml:space="preserve">In any given context, then, an agent is immersed within, and configured by, socio-technical relations with </w:t>
      </w:r>
      <w:r w:rsidR="00E42306" w:rsidRPr="00E42306">
        <w:rPr>
          <w:i/>
        </w:rPr>
        <w:t>power over</w:t>
      </w:r>
      <w:r w:rsidR="00E42306">
        <w:t xml:space="preserve"> and </w:t>
      </w:r>
      <w:r w:rsidR="00E42306" w:rsidRPr="00E42306">
        <w:rPr>
          <w:i/>
        </w:rPr>
        <w:t>power to</w:t>
      </w:r>
      <w:r w:rsidR="0029605C">
        <w:t xml:space="preserve"> </w:t>
      </w:r>
      <w:r w:rsidR="00E42306">
        <w:t xml:space="preserve">effects that, depending on the stability of the socio-technical relations, </w:t>
      </w:r>
      <w:r w:rsidR="00A90CA3">
        <w:t>can be stored</w:t>
      </w:r>
      <w:r w:rsidR="00E42306">
        <w:t>, and</w:t>
      </w:r>
      <w:r w:rsidR="00A90CA3">
        <w:t xml:space="preserve"> can</w:t>
      </w:r>
      <w:r w:rsidR="00E42306">
        <w:t xml:space="preserve"> be deployed with various degrees of discretion </w:t>
      </w:r>
      <w:r w:rsidR="00E42B4A">
        <w:fldChar w:fldCharType="begin"/>
      </w:r>
      <w:r w:rsidR="00EB59A0">
        <w:instrText xml:space="preserve"> ADDIN EN.CITE &lt;EndNote&gt;&lt;Cite&gt;&lt;Author&gt;Law&lt;/Author&gt;&lt;Year&gt;1991&lt;/Year&gt;&lt;RecNum&gt;678&lt;/RecNum&gt;&lt;Pages&gt;172&lt;/Pages&gt;&lt;DisplayText&gt;(John Law, 1991, p. 172)&lt;/DisplayText&gt;&lt;record&gt;&lt;rec-number&gt;678&lt;/rec-number&gt;&lt;foreign-keys&gt;&lt;key app="EN" db-id="epdwds2e822dx1ezx215esw0exvr9wpr9vxf" timestamp="1435656281"&gt;678&lt;/key&gt;&lt;/foreign-keys&gt;&lt;ref-type name="Book Section"&gt;5&lt;/ref-type&gt;&lt;contributors&gt;&lt;authors&gt;&lt;author&gt;Law, John&lt;/author&gt;&lt;/authors&gt;&lt;secondary-authors&gt;&lt;author&gt;Law, John&lt;/author&gt;&lt;/secondary-authors&gt;&lt;/contributors&gt;&lt;titles&gt;&lt;title&gt;Power, Descretion and Strategy&lt;/title&gt;&lt;secondary-title&gt;A Sociology of Monsters: Essays on Power, Technology and Domination&lt;/secondary-title&gt;&lt;/titles&gt;&lt;pages&gt;175-201.&lt;/pages&gt;&lt;dates&gt;&lt;year&gt;1991&lt;/year&gt;&lt;/dates&gt;&lt;pub-location&gt;London&lt;/pub-location&gt;&lt;publisher&gt;Routledge&lt;/publisher&gt;&lt;urls&gt;&lt;/urls&gt;&lt;/record&gt;&lt;/Cite&gt;&lt;/EndNote&gt;</w:instrText>
      </w:r>
      <w:r w:rsidR="00E42B4A">
        <w:fldChar w:fldCharType="separate"/>
      </w:r>
      <w:r w:rsidR="00EB59A0">
        <w:rPr>
          <w:noProof/>
        </w:rPr>
        <w:t>(John Law, 1991, p. 172)</w:t>
      </w:r>
      <w:r w:rsidR="00E42B4A">
        <w:fldChar w:fldCharType="end"/>
      </w:r>
      <w:r w:rsidR="00E42306">
        <w:t xml:space="preserve">.  </w:t>
      </w:r>
      <w:r w:rsidR="00A90CA3">
        <w:t>Adopting this characterisation of power as an analytical lens leads to particular avenues of inquiry</w:t>
      </w:r>
      <w:r w:rsidR="00DF5A63">
        <w:t>:</w:t>
      </w:r>
      <w:r w:rsidR="00A90CA3">
        <w:t xml:space="preserve">  </w:t>
      </w:r>
      <w:r w:rsidR="00DF5A63">
        <w:t xml:space="preserve">How are particular socio-technical relations that constitute power assembled and brought together in the first place? What specific set of relations constitute power over and or power to, </w:t>
      </w:r>
      <w:r w:rsidR="00753B69">
        <w:t xml:space="preserve">which entities/agents are affected, </w:t>
      </w:r>
      <w:r w:rsidR="00DF5A63">
        <w:t>and how are these relations made durable?   It is these questions th</w:t>
      </w:r>
      <w:r w:rsidR="00753B69">
        <w:t>at guide this exploration of the PMDS team’s attempt to manage the expectations of their patients.  As a way of interrogating the effects</w:t>
      </w:r>
      <w:r w:rsidR="00F6352A">
        <w:t xml:space="preserve"> of patient-centred practices within the PMDS (and thus as a way of anticipating the impact of the movement as a whole), we illustrate how the fo</w:t>
      </w:r>
      <w:r w:rsidR="004A6A10">
        <w:t>ur</w:t>
      </w:r>
      <w:r w:rsidR="00F6352A">
        <w:t xml:space="preserve"> modes of power are manifest during the course of the g</w:t>
      </w:r>
      <w:r w:rsidR="004A6A10">
        <w:t xml:space="preserve">oal setting session.  </w:t>
      </w:r>
    </w:p>
    <w:p w:rsidR="004C1F8B" w:rsidRDefault="00E4281B" w:rsidP="001F4660">
      <w:pPr>
        <w:spacing w:after="0"/>
        <w:ind w:firstLine="720"/>
        <w:jc w:val="both"/>
      </w:pPr>
      <w:r>
        <w:t>In doing so, we adopt a</w:t>
      </w:r>
      <w:r w:rsidR="00BD1249">
        <w:t>n</w:t>
      </w:r>
      <w:r>
        <w:t xml:space="preserve"> ontological tenet of ANT and indeed much of S</w:t>
      </w:r>
      <w:r w:rsidR="0045204D">
        <w:t>cience and Technology Stud</w:t>
      </w:r>
      <w:r w:rsidR="0008080C">
        <w:t>i</w:t>
      </w:r>
      <w:r w:rsidR="0045204D">
        <w:t>es (STS)</w:t>
      </w:r>
      <w:r w:rsidR="007575F7">
        <w:t xml:space="preserve">. </w:t>
      </w:r>
      <w:r w:rsidR="007575F7" w:rsidRPr="007575F7">
        <w:t xml:space="preserve">Traditionally, </w:t>
      </w:r>
      <w:r w:rsidR="007575F7">
        <w:t xml:space="preserve">sociological inquiry and </w:t>
      </w:r>
      <w:r w:rsidR="007575F7" w:rsidRPr="007575F7">
        <w:t>ethnographic methodology ha</w:t>
      </w:r>
      <w:r w:rsidR="007575F7">
        <w:t>ve</w:t>
      </w:r>
      <w:r w:rsidR="007575F7" w:rsidRPr="007575F7">
        <w:t xml:space="preserve"> tended to prioritize the interactions of human actors. In effect, ‘social’ was restricted to human interaction and intersubjective meanings </w:t>
      </w:r>
      <w:r w:rsidR="00E42B4A">
        <w:fldChar w:fldCharType="begin"/>
      </w:r>
      <w:r w:rsidR="00EB59A0">
        <w:instrText xml:space="preserve"> ADDIN EN.CITE &lt;EndNote&gt;&lt;Cite&gt;&lt;Author&gt;Latour&lt;/Author&gt;&lt;Year&gt;2005&lt;/Year&gt;&lt;RecNum&gt;204&lt;/RecNum&gt;&lt;Pages&gt;65&lt;/Pages&gt;&lt;DisplayText&gt;(Latour, 2005, p. 65)&lt;/DisplayText&gt;&lt;record&gt;&lt;rec-number&gt;204&lt;/rec-number&gt;&lt;foreign-keys&gt;&lt;key app="EN" db-id="epdwds2e822dx1ezx215esw0exvr9wpr9vxf" timestamp="0"&gt;204&lt;/key&gt;&lt;/foreign-keys&gt;&lt;ref-type name="Book"&gt;6&lt;/ref-type&gt;&lt;contributors&gt;&lt;authors&gt;&lt;author&gt;Latour, B.&lt;/author&gt;&lt;/authors&gt;&lt;/contributors&gt;&lt;titles&gt;&lt;title&gt;Reassembling the Social: An Introduction to Actor-Network Theory&lt;/title&gt;&lt;/titles&gt;&lt;dates&gt;&lt;year&gt;2005&lt;/year&gt;&lt;/dates&gt;&lt;pub-location&gt;Oxford&lt;/pub-location&gt;&lt;publisher&gt;Oxford University Press&lt;/publisher&gt;&lt;urls&gt;&lt;/urls&gt;&lt;/record&gt;&lt;/Cite&gt;&lt;/EndNote&gt;</w:instrText>
      </w:r>
      <w:r w:rsidR="00E42B4A">
        <w:fldChar w:fldCharType="separate"/>
      </w:r>
      <w:r w:rsidR="00EB59A0">
        <w:rPr>
          <w:noProof/>
        </w:rPr>
        <w:t>(Latour, 2005, p. 65)</w:t>
      </w:r>
      <w:r w:rsidR="00E42B4A">
        <w:fldChar w:fldCharType="end"/>
      </w:r>
      <w:r w:rsidR="00346D36">
        <w:t>. Yet</w:t>
      </w:r>
      <w:r w:rsidR="007575F7" w:rsidRPr="007575F7">
        <w:t xml:space="preserve"> th</w:t>
      </w:r>
      <w:r w:rsidR="007575F7">
        <w:t>e</w:t>
      </w:r>
      <w:r w:rsidR="007575F7" w:rsidRPr="007575F7">
        <w:t xml:space="preserve"> division between ‘human as agents’ and ‘non-humans a</w:t>
      </w:r>
      <w:r w:rsidR="007575F7">
        <w:t xml:space="preserve">s inert’ has been challenged ANT and STS scholars </w:t>
      </w:r>
      <w:r w:rsidR="00E42B4A">
        <w:fldChar w:fldCharType="begin">
          <w:fldData xml:space="preserve">PEVuZE5vdGU+PENpdGU+PEF1dGhvcj5DYWxsb248L0F1dGhvcj48WWVhcj4xOTg2PC9ZZWFyPjxS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</w:fldData>
        </w:fldChar>
      </w:r>
      <w:r w:rsidR="00EB59A0">
        <w:instrText xml:space="preserve"> ADDIN EN.CITE </w:instrText>
      </w:r>
      <w:r w:rsidR="00EB59A0">
        <w:fldChar w:fldCharType="begin">
          <w:fldData xml:space="preserve">PEVuZE5vdGU+PENpdGU+PEF1dGhvcj5DYWxsb248L0F1dGhvcj48WWVhcj4xOTg2PC9ZZWFyPjxS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</w:fldData>
        </w:fldChar>
      </w:r>
      <w:r w:rsidR="00EB59A0">
        <w:instrText xml:space="preserve"> ADDIN EN.CITE.DATA </w:instrText>
      </w:r>
      <w:r w:rsidR="00EB59A0">
        <w:fldChar w:fldCharType="end"/>
      </w:r>
      <w:r w:rsidR="00E42B4A">
        <w:fldChar w:fldCharType="separate"/>
      </w:r>
      <w:r w:rsidR="00EB59A0">
        <w:rPr>
          <w:noProof/>
        </w:rPr>
        <w:t>(c.f. Callon, 1986; Latour, 1987; Mol, 2002)</w:t>
      </w:r>
      <w:r w:rsidR="00E42B4A">
        <w:fldChar w:fldCharType="end"/>
      </w:r>
      <w:r w:rsidR="007575F7" w:rsidRPr="007575F7">
        <w:t xml:space="preserve">. These theorists have argued that non-human elements have the capacity to prompt, constrain, enable, and transmute human action in ways that cannot be reduced to the intentions of other humans. Non-human elements do not determine human action, as they inevitably possess a degree of flexibility, enabling them to be adapted to local cultural </w:t>
      </w:r>
      <w:r w:rsidR="007575F7" w:rsidRPr="007575F7">
        <w:lastRenderedPageBreak/>
        <w:t xml:space="preserve">understandings. </w:t>
      </w:r>
      <w:r w:rsidR="00710A0C">
        <w:t>But they do</w:t>
      </w:r>
      <w:r w:rsidR="007575F7" w:rsidRPr="007575F7">
        <w:t>, however, have an obduracy which shapes and constrains the practices that they enable</w:t>
      </w:r>
      <w:r w:rsidR="00710A0C">
        <w:t xml:space="preserve"> </w:t>
      </w:r>
      <w:r w:rsidR="00E42B4A">
        <w:fldChar w:fldCharType="begin"/>
      </w:r>
      <w:r w:rsidR="00EB59A0">
        <w:instrText xml:space="preserve"> ADDIN EN.CITE &lt;EndNote&gt;&lt;Cite&gt;&lt;Author&gt;Akrich&lt;/Author&gt;&lt;Year&gt;1992&lt;/Year&gt;&lt;RecNum&gt;688&lt;/RecNum&gt;&lt;DisplayText&gt;(Akrich, 1992)&lt;/DisplayText&gt;&lt;record&gt;&lt;rec-number&gt;688&lt;/rec-number&gt;&lt;foreign-keys&gt;&lt;key app="EN" db-id="epdwds2e822dx1ezx215esw0exvr9wpr9vxf" timestamp="1436265783"&gt;688&lt;/key&gt;&lt;/foreign-keys&gt;&lt;ref-type name="Book Section"&gt;5&lt;/ref-type&gt;&lt;contributors&gt;&lt;authors&gt;&lt;author&gt;Akrich, M&lt;/author&gt;&lt;/authors&gt;&lt;secondary-authors&gt;&lt;author&gt;Bijker, W.&lt;/author&gt;&lt;author&gt;Law, J.&lt;/author&gt;&lt;/secondary-authors&gt;&lt;/contributors&gt;&lt;titles&gt;&lt;title&gt;The de-scription of technological objects&lt;/title&gt;&lt;secondary-title&gt;Shaping Technology / Building Society: Studies in Socio-technical Change&lt;/secondary-title&gt;&lt;/titles&gt;&lt;pages&gt;204-224&lt;/pages&gt;&lt;dates&gt;&lt;year&gt;1992&lt;/year&gt;&lt;/dates&gt;&lt;pub-location&gt;London&lt;/pub-location&gt;&lt;publisher&gt;MIT University Press&lt;/publisher&gt;&lt;urls&gt;&lt;/urls&gt;&lt;/record&gt;&lt;/Cite&gt;&lt;/EndNote&gt;</w:instrText>
      </w:r>
      <w:r w:rsidR="00E42B4A">
        <w:fldChar w:fldCharType="separate"/>
      </w:r>
      <w:r w:rsidR="00EB59A0">
        <w:rPr>
          <w:noProof/>
        </w:rPr>
        <w:t>(Akrich, 1992)</w:t>
      </w:r>
      <w:r w:rsidR="00E42B4A">
        <w:fldChar w:fldCharType="end"/>
      </w:r>
      <w:r w:rsidR="00710A0C">
        <w:t xml:space="preserve">. </w:t>
      </w:r>
      <w:r w:rsidR="00CF438E">
        <w:t xml:space="preserve">In other words, non-human elements are key components of socio-technical relations that generate power effects. In light of this, we focus specifically on the PMDS team’s use of </w:t>
      </w:r>
      <w:r w:rsidR="00A30F07">
        <w:t xml:space="preserve">the patient-centred COPM </w:t>
      </w:r>
      <w:r w:rsidR="001F4660">
        <w:t xml:space="preserve">during </w:t>
      </w:r>
      <w:r w:rsidR="00CF438E">
        <w:t>their goal setting sessions with patients and families</w:t>
      </w:r>
      <w:r w:rsidR="001F4660">
        <w:t xml:space="preserve">, and we </w:t>
      </w:r>
      <w:r w:rsidR="00710A0C">
        <w:t xml:space="preserve">explicitly examine how the tool itself, </w:t>
      </w:r>
      <w:r w:rsidR="00346D36">
        <w:t>is</w:t>
      </w:r>
      <w:r w:rsidR="00710A0C">
        <w:t xml:space="preserve"> implicated in the generation of power effects</w:t>
      </w:r>
      <w:r w:rsidR="001F4660">
        <w:t xml:space="preserve"> during the inter</w:t>
      </w:r>
      <w:r w:rsidR="00710A0C">
        <w:t>action.</w:t>
      </w:r>
      <w:r w:rsidR="001F4660">
        <w:t xml:space="preserve"> </w:t>
      </w:r>
      <w:r w:rsidR="00BB3BFD">
        <w:t xml:space="preserve"> </w:t>
      </w:r>
    </w:p>
    <w:p w:rsidR="00710A0C" w:rsidRDefault="004C1F8B" w:rsidP="001F4660">
      <w:pPr>
        <w:spacing w:after="0"/>
        <w:ind w:firstLine="720"/>
        <w:jc w:val="both"/>
      </w:pPr>
      <w:r w:rsidRPr="003D4B4A">
        <w:t xml:space="preserve">This has </w:t>
      </w:r>
      <w:r w:rsidR="00C030E8" w:rsidRPr="003D4B4A">
        <w:t xml:space="preserve">important </w:t>
      </w:r>
      <w:r w:rsidRPr="003D4B4A">
        <w:t xml:space="preserve">implications for </w:t>
      </w:r>
      <w:r w:rsidR="00C030E8" w:rsidRPr="003D4B4A">
        <w:t xml:space="preserve">bioethicists and others interested in </w:t>
      </w:r>
      <w:r w:rsidR="007D0526" w:rsidRPr="003D4B4A">
        <w:t>analysing</w:t>
      </w:r>
      <w:r w:rsidR="00C030E8" w:rsidRPr="003D4B4A">
        <w:t xml:space="preserve"> would-be ‘ethical improvements’ in health care policies or practices. First, it provides one model for moving beyond the </w:t>
      </w:r>
      <w:r w:rsidR="007D0526" w:rsidRPr="003D4B4A">
        <w:t>‘</w:t>
      </w:r>
      <w:r w:rsidR="00C030E8" w:rsidRPr="003D4B4A">
        <w:t>in principle</w:t>
      </w:r>
      <w:r w:rsidR="007D0526" w:rsidRPr="003D4B4A">
        <w:t>’</w:t>
      </w:r>
      <w:r w:rsidR="00C030E8" w:rsidRPr="003D4B4A">
        <w:t xml:space="preserve"> advocacy</w:t>
      </w:r>
      <w:r w:rsidR="007D0526" w:rsidRPr="003D4B4A">
        <w:t xml:space="preserve"> of ethical aspirations towards the characterisation of what might be entailed by</w:t>
      </w:r>
      <w:r w:rsidR="007D0526">
        <w:t xml:space="preserve"> their social enactment or embodiment. Second, it indicates how this focus on ethical enactment needs to look beyond human agency and dispositions so as to encompass </w:t>
      </w:r>
      <w:r w:rsidR="00A444F6">
        <w:t xml:space="preserve">attention to </w:t>
      </w:r>
      <w:r w:rsidR="007D0526">
        <w:t>the agency and dispositions of non-human elements.</w:t>
      </w:r>
    </w:p>
    <w:p w:rsidR="00CE1F4A" w:rsidRPr="000D051B" w:rsidRDefault="00CE1F4A" w:rsidP="00A84E8F">
      <w:pPr>
        <w:spacing w:after="0"/>
        <w:jc w:val="both"/>
      </w:pPr>
    </w:p>
    <w:p w:rsidR="00D85CDD" w:rsidRDefault="00D85CDD" w:rsidP="00D85CDD">
      <w:pPr>
        <w:spacing w:after="0"/>
        <w:jc w:val="both"/>
        <w:rPr>
          <w:b/>
        </w:rPr>
      </w:pPr>
    </w:p>
    <w:p w:rsidR="00D85CDD" w:rsidRPr="00D85CDD" w:rsidRDefault="00D85CDD" w:rsidP="00D85CDD">
      <w:pPr>
        <w:pStyle w:val="ListParagraph"/>
        <w:numPr>
          <w:ilvl w:val="0"/>
          <w:numId w:val="1"/>
        </w:numPr>
        <w:spacing w:after="0"/>
        <w:jc w:val="both"/>
        <w:rPr>
          <w:b/>
        </w:rPr>
      </w:pPr>
      <w:r>
        <w:rPr>
          <w:b/>
        </w:rPr>
        <w:t>Methodology</w:t>
      </w:r>
    </w:p>
    <w:p w:rsidR="00A40BC9" w:rsidRDefault="00035A0B" w:rsidP="00443029">
      <w:pPr>
        <w:spacing w:after="0"/>
        <w:jc w:val="both"/>
      </w:pPr>
      <w:r>
        <w:t>D</w:t>
      </w:r>
      <w:r w:rsidR="00A6750A" w:rsidRPr="00A6750A">
        <w:t>ata for this paper w</w:t>
      </w:r>
      <w:r>
        <w:t xml:space="preserve">ere </w:t>
      </w:r>
      <w:r w:rsidR="00A6750A" w:rsidRPr="00A6750A">
        <w:t xml:space="preserve">collected </w:t>
      </w:r>
      <w:r>
        <w:t>during</w:t>
      </w:r>
      <w:r w:rsidR="00A6750A" w:rsidRPr="00A6750A">
        <w:t xml:space="preserve"> a 12-month study of the PMDS using ethnographic methods. The </w:t>
      </w:r>
      <w:r w:rsidR="00A40BC9">
        <w:t>purpose</w:t>
      </w:r>
      <w:r w:rsidR="00A6750A" w:rsidRPr="00A6750A">
        <w:t xml:space="preserve"> of the fieldwork was to identify the challenges associated with the implementation of a novel technology (</w:t>
      </w:r>
      <w:r w:rsidR="00BC2B99">
        <w:t>deep brain stimulation</w:t>
      </w:r>
      <w:r w:rsidR="00A6750A" w:rsidRPr="00A6750A">
        <w:t>) within a new clinical service (</w:t>
      </w:r>
      <w:r w:rsidR="00AC1466">
        <w:t>the PMDS). T</w:t>
      </w:r>
      <w:r w:rsidR="00A6750A" w:rsidRPr="00A6750A">
        <w:t>he researcher (</w:t>
      </w:r>
      <w:r w:rsidR="0008080C">
        <w:t>JG</w:t>
      </w:r>
      <w:r w:rsidR="00A6750A" w:rsidRPr="00A6750A">
        <w:t xml:space="preserve">) sought to identify what PMDS team members felt where the major </w:t>
      </w:r>
      <w:r w:rsidR="00AC1466">
        <w:t>challenges</w:t>
      </w:r>
      <w:r w:rsidR="00A6750A" w:rsidRPr="00A6750A">
        <w:t xml:space="preserve"> in providing a </w:t>
      </w:r>
      <w:r w:rsidR="00BC2B99">
        <w:t>deep brain stimulation</w:t>
      </w:r>
      <w:r w:rsidR="00A6750A" w:rsidRPr="00A6750A">
        <w:t xml:space="preserve"> service, and how team members manage these in their day-to-day clinical work. Several data collection methods were used. First, </w:t>
      </w:r>
      <w:r w:rsidR="0008080C">
        <w:t>JG</w:t>
      </w:r>
      <w:r w:rsidR="00A6750A" w:rsidRPr="00A6750A">
        <w:t xml:space="preserve"> observed weekly PMDS team meetings</w:t>
      </w:r>
      <w:r w:rsidR="00DC7560">
        <w:t xml:space="preserve"> (n=31)</w:t>
      </w:r>
      <w:r w:rsidR="00A6750A" w:rsidRPr="00A6750A">
        <w:t>, during which team members articulated key challenges</w:t>
      </w:r>
      <w:r w:rsidR="00A40BC9">
        <w:t>,</w:t>
      </w:r>
      <w:r w:rsidR="00507704">
        <w:t xml:space="preserve"> </w:t>
      </w:r>
      <w:r w:rsidR="00A40BC9">
        <w:t>one of which was managing expectations of patients</w:t>
      </w:r>
      <w:r w:rsidR="00A6750A" w:rsidRPr="00A6750A">
        <w:t xml:space="preserve">. Second, specific interactions in which team members </w:t>
      </w:r>
      <w:r w:rsidR="00AC1466">
        <w:t xml:space="preserve">encounter and </w:t>
      </w:r>
      <w:r w:rsidR="00A6750A" w:rsidRPr="00A6750A">
        <w:t>manage these challenges were observed</w:t>
      </w:r>
      <w:r w:rsidR="00383DEC">
        <w:t xml:space="preserve"> (n=6)</w:t>
      </w:r>
      <w:r w:rsidR="00A6750A" w:rsidRPr="00A6750A">
        <w:t xml:space="preserve">. </w:t>
      </w:r>
      <w:r w:rsidR="005B3674">
        <w:t>This included</w:t>
      </w:r>
      <w:r w:rsidR="00A6750A" w:rsidRPr="00A6750A">
        <w:t xml:space="preserve"> goal setting sessions</w:t>
      </w:r>
      <w:r w:rsidR="00A40BC9">
        <w:t xml:space="preserve"> in which team members attempt to the manage expectations of patients and families.</w:t>
      </w:r>
      <w:r w:rsidR="00383DEC">
        <w:t xml:space="preserve"> </w:t>
      </w:r>
      <w:r w:rsidR="005B3674">
        <w:t xml:space="preserve">During all observations, </w:t>
      </w:r>
      <w:r w:rsidR="0008080C">
        <w:t>JG</w:t>
      </w:r>
      <w:r w:rsidR="00507704">
        <w:t xml:space="preserve"> attempted to record, on hand-written notes, discussions and actions of participants, as well as the key aspects of the material context.  John Zeisel’s</w:t>
      </w:r>
      <w:r w:rsidR="003850C4">
        <w:t xml:space="preserve"> </w:t>
      </w:r>
      <w:r w:rsidR="00E42B4A">
        <w:fldChar w:fldCharType="begin"/>
      </w:r>
      <w:r w:rsidR="003850C4">
        <w:instrText xml:space="preserve"> ADDIN EN.CITE &lt;EndNote&gt;&lt;Cite ExcludeAuth="1"&gt;&lt;Author&gt;Zeisel&lt;/Author&gt;&lt;Year&gt;1984&lt;/Year&gt;&lt;RecNum&gt;684&lt;/RecNum&gt;&lt;DisplayText&gt;(1984)&lt;/DisplayText&gt;&lt;record&gt;&lt;rec-number&gt;684&lt;/rec-number&gt;&lt;foreign-keys&gt;&lt;key app="EN" db-id="epdwds2e822dx1ezx215esw0exvr9wpr9vxf" timestamp="1435916867"&gt;684&lt;/key&gt;&lt;/foreign-keys&gt;&lt;ref-type name="Book"&gt;6&lt;/ref-type&gt;&lt;contributors&gt;&lt;authors&gt;&lt;author&gt;Zeisel, J.&lt;/author&gt;&lt;/authors&gt;&lt;/contributors&gt;&lt;titles&gt;&lt;title&gt;Inquiry by Design: Tools for Environment-Behaviour Research&lt;/title&gt;&lt;/titles&gt;&lt;dates&gt;&lt;year&gt;1984&lt;/year&gt;&lt;/dates&gt;&lt;publisher&gt;Cambridge University Press&lt;/publisher&gt;&lt;isbn&gt;9780521319713&lt;/isbn&gt;&lt;urls&gt;&lt;related-urls&gt;&lt;url&gt;https://books.google.co.uk/books?id=AwU4AAAAIAAJ&lt;/url&gt;&lt;/related-urls&gt;&lt;/urls&gt;&lt;/record&gt;&lt;/Cite&gt;&lt;/EndNote&gt;</w:instrText>
      </w:r>
      <w:r w:rsidR="00E42B4A">
        <w:fldChar w:fldCharType="separate"/>
      </w:r>
      <w:r w:rsidR="003850C4">
        <w:rPr>
          <w:noProof/>
        </w:rPr>
        <w:t>(1984)</w:t>
      </w:r>
      <w:r w:rsidR="00E42B4A">
        <w:fldChar w:fldCharType="end"/>
      </w:r>
      <w:r w:rsidR="00507704">
        <w:t xml:space="preserve"> recommended method for recording the material context was</w:t>
      </w:r>
      <w:r w:rsidR="003850C4">
        <w:t xml:space="preserve"> used. </w:t>
      </w:r>
      <w:r w:rsidR="00DC7560">
        <w:t>This involved</w:t>
      </w:r>
      <w:r w:rsidR="00AA009F">
        <w:t>:</w:t>
      </w:r>
      <w:r w:rsidR="00DC7560">
        <w:t xml:space="preserve"> creating </w:t>
      </w:r>
      <w:r w:rsidR="00C20DA8">
        <w:t xml:space="preserve">annotated </w:t>
      </w:r>
      <w:r w:rsidR="00DC7560">
        <w:t>schematic</w:t>
      </w:r>
      <w:r w:rsidR="00C20DA8">
        <w:t>s</w:t>
      </w:r>
      <w:r w:rsidR="00DC7560">
        <w:t xml:space="preserve"> of the space within which the interaction took place; noting how objects were used to create personalised or professional space; </w:t>
      </w:r>
      <w:r w:rsidR="00AA009F">
        <w:t xml:space="preserve">noting </w:t>
      </w:r>
      <w:r w:rsidR="00DC7560">
        <w:t xml:space="preserve">how objects and the material terrain where adapted for specific activities; and </w:t>
      </w:r>
      <w:r w:rsidR="00AA009F">
        <w:t xml:space="preserve">noting </w:t>
      </w:r>
      <w:r w:rsidR="00DC7560">
        <w:t>how props and objects (such as signs) were used to communicate how a space should be used.</w:t>
      </w:r>
      <w:r w:rsidR="00C20DA8">
        <w:t xml:space="preserve"> </w:t>
      </w:r>
      <w:r w:rsidR="00AC1466">
        <w:t>These aspects can provide some</w:t>
      </w:r>
      <w:r w:rsidR="00C20DA8">
        <w:t xml:space="preserve"> insight into how participants mould and utilise non-human objects and their material context, and how these are subsequently implicated in shaping human action </w:t>
      </w:r>
      <w:r w:rsidR="00E42B4A">
        <w:fldChar w:fldCharType="begin"/>
      </w:r>
      <w:r w:rsidR="00EB59A0">
        <w:instrText xml:space="preserve"> ADDIN EN.CITE &lt;EndNote&gt;&lt;Cite&gt;&lt;Author&gt;Zeisel&lt;/Author&gt;&lt;Year&gt;1984&lt;/Year&gt;&lt;RecNum&gt;684&lt;/RecNum&gt;&lt;DisplayText&gt;(Zeisel, 1984)&lt;/DisplayText&gt;&lt;record&gt;&lt;rec-number&gt;684&lt;/rec-number&gt;&lt;foreign-keys&gt;&lt;key app="EN" db-id="epdwds2e822dx1ezx215esw0exvr9wpr9vxf" timestamp="1435916867"&gt;684&lt;/key&gt;&lt;/foreign-keys&gt;&lt;ref-type name="Book"&gt;6&lt;/ref-type&gt;&lt;contributors&gt;&lt;authors&gt;&lt;author&gt;Zeisel, J.&lt;/author&gt;&lt;/authors&gt;&lt;/contributors&gt;&lt;titles&gt;&lt;title&gt;Inquiry by Design: Tools for Environment-Behaviour Research&lt;/title&gt;&lt;/titles&gt;&lt;dates&gt;&lt;year&gt;1984&lt;/year&gt;&lt;/dates&gt;&lt;publisher&gt;Cambridge University Press&lt;/publisher&gt;&lt;isbn&gt;9780521319713&lt;/isbn&gt;&lt;urls&gt;&lt;related-urls&gt;&lt;url&gt;https://books.google.co.uk/books?id=AwU4AAAAIAAJ&lt;/url&gt;&lt;/related-urls&gt;&lt;/urls&gt;&lt;/record&gt;&lt;/Cite&gt;&lt;/EndNote&gt;</w:instrText>
      </w:r>
      <w:r w:rsidR="00E42B4A">
        <w:fldChar w:fldCharType="separate"/>
      </w:r>
      <w:r w:rsidR="00EB59A0">
        <w:rPr>
          <w:noProof/>
        </w:rPr>
        <w:t>(Zeisel, 1984)</w:t>
      </w:r>
      <w:r w:rsidR="00E42B4A">
        <w:fldChar w:fldCharType="end"/>
      </w:r>
      <w:r w:rsidR="00C20DA8">
        <w:t xml:space="preserve">.   </w:t>
      </w:r>
    </w:p>
    <w:p w:rsidR="000325F1" w:rsidRDefault="00C20DA8" w:rsidP="000325F1">
      <w:pPr>
        <w:spacing w:after="0"/>
        <w:jc w:val="both"/>
      </w:pPr>
      <w:r>
        <w:tab/>
        <w:t xml:space="preserve">Third, PMDS team members were interviewed (n=13), during which they were prompted to reflect upon their practices for managing </w:t>
      </w:r>
      <w:r w:rsidR="00AC1466">
        <w:t xml:space="preserve">day-to-day </w:t>
      </w:r>
      <w:r>
        <w:t xml:space="preserve">challenges. </w:t>
      </w:r>
      <w:r w:rsidR="0008080C">
        <w:t>JG</w:t>
      </w:r>
      <w:r w:rsidR="00AC1466">
        <w:t xml:space="preserve"> </w:t>
      </w:r>
      <w:r>
        <w:t xml:space="preserve">used these as an opportunity to </w:t>
      </w:r>
      <w:r w:rsidR="00AA009F">
        <w:t xml:space="preserve">raise specific queries from observations, and to ask participants about their use of various non-human elements and </w:t>
      </w:r>
      <w:r w:rsidR="000325F1">
        <w:t xml:space="preserve">their </w:t>
      </w:r>
      <w:r w:rsidR="00AA009F">
        <w:t xml:space="preserve">material </w:t>
      </w:r>
      <w:r w:rsidR="000325F1">
        <w:t>context</w:t>
      </w:r>
      <w:r w:rsidR="00AA009F">
        <w:t xml:space="preserve"> during clinical interactions. </w:t>
      </w:r>
      <w:r w:rsidR="00B84613">
        <w:t>All interviews were audio-recorded, and together with observation notes, w</w:t>
      </w:r>
      <w:r w:rsidR="000325F1">
        <w:t xml:space="preserve">ere coded using </w:t>
      </w:r>
      <w:proofErr w:type="spellStart"/>
      <w:r w:rsidR="000325F1">
        <w:t>Nvivo</w:t>
      </w:r>
      <w:proofErr w:type="spellEnd"/>
      <w:r w:rsidR="000325F1">
        <w:t xml:space="preserve"> software according to key themes relating to the challenges of implementing </w:t>
      </w:r>
      <w:r w:rsidR="00BC2B99">
        <w:t xml:space="preserve">deep brain stimulation </w:t>
      </w:r>
      <w:r w:rsidR="000325F1">
        <w:t xml:space="preserve">within a new clinical service.  Some of these themes were presented to team members during their annual ‘away day’, providing </w:t>
      </w:r>
      <w:r w:rsidR="00EB59A0">
        <w:t>JG</w:t>
      </w:r>
      <w:r w:rsidR="000325F1">
        <w:t xml:space="preserve"> with valuable feedback. </w:t>
      </w:r>
      <w:r>
        <w:t xml:space="preserve"> </w:t>
      </w:r>
    </w:p>
    <w:p w:rsidR="002F23B3" w:rsidRDefault="00443029" w:rsidP="002F23B3">
      <w:pPr>
        <w:spacing w:after="0"/>
        <w:ind w:firstLine="720"/>
        <w:jc w:val="both"/>
      </w:pPr>
      <w:r>
        <w:t>An NHS Research Ethics Committee granted ethical approval</w:t>
      </w:r>
      <w:r w:rsidR="00950DDB">
        <w:t xml:space="preserve"> for the fieldwork</w:t>
      </w:r>
      <w:r>
        <w:t xml:space="preserve">. Informed consent was obtained from all participants (PMDS team members, patients, and supporting family members) who were 16 years-old or older.  Assent was obtained from those under 16-years of age, </w:t>
      </w:r>
      <w:r>
        <w:lastRenderedPageBreak/>
        <w:t>and informed consent was obtained from supporting guardians.</w:t>
      </w:r>
      <w:r w:rsidR="00950DDB">
        <w:t xml:space="preserve"> Participant leaflets for children and young people were modelled on the format provided by Alderson and Marrow </w:t>
      </w:r>
      <w:r w:rsidR="00E42B4A">
        <w:fldChar w:fldCharType="begin"/>
      </w:r>
      <w:r w:rsidR="00950DDB">
        <w:instrText xml:space="preserve"> ADDIN EN.CITE &lt;EndNote&gt;&lt;Cite ExcludeAuth="1"&gt;&lt;Author&gt;Alderson&lt;/Author&gt;&lt;Year&gt;2011&lt;/Year&gt;&lt;RecNum&gt;267&lt;/RecNum&gt;&lt;DisplayText&gt;(2011)&lt;/DisplayText&gt;&lt;record&gt;&lt;rec-number&gt;267&lt;/rec-number&gt;&lt;foreign-keys&gt;&lt;key app="EN" db-id="epdwds2e822dx1ezx215esw0exvr9wpr9vxf" timestamp="0"&gt;267&lt;/key&gt;&lt;/foreign-keys&gt;&lt;ref-type name="Book"&gt;6&lt;/ref-type&gt;&lt;contributors&gt;&lt;authors&gt;&lt;author&gt;Alderson, P&lt;/author&gt;&lt;author&gt;Morrow, V&lt;/author&gt;&lt;/authors&gt;&lt;/contributors&gt;&lt;titles&gt;&lt;title&gt;The Ethics of Research with Children and Young People: A Practical Handbook&lt;/title&gt;&lt;/titles&gt;&lt;dates&gt;&lt;year&gt;2011&lt;/year&gt;&lt;/dates&gt;&lt;pub-location&gt;London&lt;/pub-location&gt;&lt;publisher&gt;Sage&lt;/publisher&gt;&lt;urls&gt;&lt;/urls&gt;&lt;/record&gt;&lt;/Cite&gt;&lt;/EndNote&gt;</w:instrText>
      </w:r>
      <w:r w:rsidR="00E42B4A">
        <w:fldChar w:fldCharType="separate"/>
      </w:r>
      <w:r w:rsidR="00950DDB">
        <w:rPr>
          <w:noProof/>
        </w:rPr>
        <w:t>(2011)</w:t>
      </w:r>
      <w:r w:rsidR="00E42B4A">
        <w:fldChar w:fldCharType="end"/>
      </w:r>
      <w:r w:rsidR="00C73A3D">
        <w:t xml:space="preserve">. </w:t>
      </w:r>
    </w:p>
    <w:p w:rsidR="002F23B3" w:rsidRDefault="002F23B3" w:rsidP="002F23B3">
      <w:pPr>
        <w:spacing w:after="0"/>
        <w:jc w:val="both"/>
      </w:pPr>
    </w:p>
    <w:p w:rsidR="002F23B3" w:rsidRDefault="002F23B3" w:rsidP="002F23B3">
      <w:pPr>
        <w:spacing w:after="0"/>
        <w:jc w:val="both"/>
      </w:pPr>
    </w:p>
    <w:p w:rsidR="002F23B3" w:rsidRPr="002F23B3" w:rsidRDefault="002F23B3" w:rsidP="002F23B3">
      <w:pPr>
        <w:pStyle w:val="ListParagraph"/>
        <w:numPr>
          <w:ilvl w:val="0"/>
          <w:numId w:val="1"/>
        </w:numPr>
        <w:spacing w:after="0"/>
        <w:jc w:val="both"/>
        <w:rPr>
          <w:b/>
        </w:rPr>
      </w:pPr>
      <w:r w:rsidRPr="002F23B3">
        <w:rPr>
          <w:b/>
        </w:rPr>
        <w:t>The ethical challenge of managing expectations in D</w:t>
      </w:r>
      <w:r w:rsidR="00BC2B99">
        <w:rPr>
          <w:b/>
        </w:rPr>
        <w:t>eep Brain Stimulation</w:t>
      </w:r>
    </w:p>
    <w:p w:rsidR="00DF793C" w:rsidRDefault="002F23B3" w:rsidP="002F23B3">
      <w:pPr>
        <w:spacing w:after="0"/>
        <w:jc w:val="both"/>
      </w:pPr>
      <w:r>
        <w:t xml:space="preserve">It is </w:t>
      </w:r>
      <w:r w:rsidR="00AD0A65">
        <w:t>common</w:t>
      </w:r>
      <w:r>
        <w:t xml:space="preserve"> for the families of new referrals to arrive at the PMDS with what team members describe as unrealistic expectations about </w:t>
      </w:r>
      <w:r w:rsidR="00BC2B99">
        <w:t>deep brain stimulation (DBS)</w:t>
      </w:r>
      <w:r>
        <w:t>.  As the clinical research fellow explains:</w:t>
      </w:r>
      <w:r w:rsidR="00DF793C">
        <w:t xml:space="preserve"> </w:t>
      </w:r>
    </w:p>
    <w:p w:rsidR="00DF793C" w:rsidRDefault="00DF793C" w:rsidP="002F23B3">
      <w:pPr>
        <w:spacing w:after="0"/>
        <w:jc w:val="both"/>
      </w:pPr>
    </w:p>
    <w:p w:rsidR="00DF793C" w:rsidRDefault="00DF793C" w:rsidP="00DF793C">
      <w:pPr>
        <w:spacing w:after="0"/>
        <w:ind w:left="720"/>
        <w:jc w:val="both"/>
      </w:pPr>
      <w:r>
        <w:rPr>
          <w:i/>
        </w:rPr>
        <w:t>T</w:t>
      </w:r>
      <w:r w:rsidR="002F23B3" w:rsidRPr="002F23B3">
        <w:rPr>
          <w:i/>
        </w:rPr>
        <w:t>he problem is the press report</w:t>
      </w:r>
      <w:r>
        <w:rPr>
          <w:i/>
        </w:rPr>
        <w:t>s the case studies that do well -</w:t>
      </w:r>
      <w:r w:rsidR="002F23B3" w:rsidRPr="002F23B3">
        <w:rPr>
          <w:i/>
        </w:rPr>
        <w:t xml:space="preserve"> so there can be perception that DBS will get my child to walk</w:t>
      </w:r>
      <w:r w:rsidRPr="002F23B3">
        <w:rPr>
          <w:i/>
        </w:rPr>
        <w:t xml:space="preserve"> </w:t>
      </w:r>
      <w:r>
        <w:rPr>
          <w:i/>
        </w:rPr>
        <w:t>(Interview).</w:t>
      </w:r>
      <w:r>
        <w:t xml:space="preserve"> </w:t>
      </w:r>
    </w:p>
    <w:p w:rsidR="00DF793C" w:rsidRDefault="00DF793C" w:rsidP="002F23B3">
      <w:pPr>
        <w:spacing w:after="0"/>
        <w:jc w:val="both"/>
      </w:pPr>
    </w:p>
    <w:p w:rsidR="002F23B3" w:rsidRDefault="00DF793C" w:rsidP="002F23B3">
      <w:pPr>
        <w:spacing w:after="0"/>
        <w:jc w:val="both"/>
      </w:pPr>
      <w:r>
        <w:t>However</w:t>
      </w:r>
      <w:r w:rsidR="002F23B3">
        <w:t xml:space="preserve"> while DBS may indeed enable a few patients to walk again, for most patients the benefits of DBS will be modest.  As the neurologist explained:</w:t>
      </w:r>
    </w:p>
    <w:p w:rsidR="002F23B3" w:rsidRDefault="002F23B3" w:rsidP="002F23B3">
      <w:pPr>
        <w:spacing w:after="0"/>
        <w:ind w:firstLine="720"/>
        <w:jc w:val="both"/>
      </w:pPr>
    </w:p>
    <w:p w:rsidR="002F23B3" w:rsidRDefault="002F23B3" w:rsidP="002F23B3">
      <w:pPr>
        <w:spacing w:after="0"/>
        <w:ind w:left="720"/>
        <w:jc w:val="both"/>
      </w:pPr>
      <w:r w:rsidRPr="002F23B3">
        <w:rPr>
          <w:i/>
        </w:rPr>
        <w:t>We tell families that we can help improve functions that the child already possesses to some degree. If they are not walking at all, then DBS will not enable them to walk.</w:t>
      </w:r>
      <w:r>
        <w:t xml:space="preserve"> (Neurologist, team meeting field notes). </w:t>
      </w:r>
    </w:p>
    <w:p w:rsidR="002F23B3" w:rsidRDefault="002F23B3" w:rsidP="002F23B3">
      <w:pPr>
        <w:spacing w:after="0"/>
        <w:ind w:firstLine="720"/>
        <w:jc w:val="both"/>
      </w:pPr>
    </w:p>
    <w:p w:rsidR="002F23B3" w:rsidRDefault="002F23B3" w:rsidP="00BA0312">
      <w:pPr>
        <w:spacing w:after="0"/>
        <w:ind w:firstLine="720"/>
        <w:jc w:val="both"/>
      </w:pPr>
      <w:r>
        <w:t xml:space="preserve">This problem of expectations is compounded by the need to be responsive to the desperation and vulnerability of DBS patients and families </w:t>
      </w:r>
      <w:r w:rsidR="00E42B4A">
        <w:fldChar w:fldCharType="begin"/>
      </w:r>
      <w:r w:rsidR="00EB59A0">
        <w:instrText xml:space="preserve"> ADDIN EN.CITE &lt;EndNote&gt;&lt;Cite&gt;&lt;Author&gt;Marks&lt;/Author&gt;&lt;Year&gt;2009&lt;/Year&gt;&lt;RecNum&gt;376&lt;/RecNum&gt;&lt;DisplayText&gt;(Marks, Honeycutt, Acosta, &amp;amp; Reed, 2009)&lt;/DisplayText&gt;&lt;record&gt;&lt;rec-number&gt;376&lt;/rec-number&gt;&lt;foreign-keys&gt;&lt;key app="EN" db-id="epdwds2e822dx1ezx215esw0exvr9wpr9vxf" timestamp="1410871966"&gt;376&lt;/key&gt;&lt;/foreign-keys&gt;&lt;ref-type name="Journal Article"&gt;17&lt;/ref-type&gt;&lt;contributors&gt;&lt;authors&gt;&lt;author&gt;Marks, W. A.&lt;/author&gt;&lt;author&gt;Honeycutt, J.&lt;/author&gt;&lt;author&gt;Acosta, F.&lt;/author&gt;&lt;author&gt;Reed, M.&lt;/author&gt;&lt;/authors&gt;&lt;/contributors&gt;&lt;auth-address&gt;Department of Neurology, Cook Children&amp;apos;s Medical Center, Fort Worth, TX, USA. Warren.Marks@cookchildrens.org&lt;/auth-address&gt;&lt;titles&gt;&lt;title&gt;Deep brain stimulation for pediatric movement disorders&lt;/title&gt;&lt;secondary-title&gt;Semin Pediatr Neurol&lt;/secondary-title&gt;&lt;alt-title&gt;Seminars in pediatric neurology&lt;/alt-title&gt;&lt;/titles&gt;&lt;periodical&gt;&lt;full-title&gt;Semin Pediatr Neurol&lt;/full-title&gt;&lt;abbr-1&gt;Seminars in pediatric neurology&lt;/abbr-1&gt;&lt;/periodical&gt;&lt;alt-periodical&gt;&lt;full-title&gt;Semin Pediatr Neurol&lt;/full-title&gt;&lt;abbr-1&gt;Seminars in pediatric neurology&lt;/abbr-1&gt;&lt;/alt-periodical&gt;&lt;pages&gt;90-8&lt;/pages&gt;&lt;volume&gt;16&lt;/volume&gt;&lt;number&gt;2&lt;/number&gt;&lt;edition&gt;2009/06/09&lt;/edition&gt;&lt;keywords&gt;&lt;keyword&gt;Child&lt;/keyword&gt;&lt;keyword&gt;Deep Brain Stimulation/ethics/*methods&lt;/keyword&gt;&lt;keyword&gt;Diagnostic Imaging&lt;/keyword&gt;&lt;keyword&gt;Humans&lt;/keyword&gt;&lt;keyword&gt;Intraoperative Complications&lt;/keyword&gt;&lt;keyword&gt;Movement Disorders/diagnosis/*therapy&lt;/keyword&gt;&lt;keyword&gt;Patient Selection&lt;/keyword&gt;&lt;keyword&gt;Postoperative Complications&lt;/keyword&gt;&lt;keyword&gt;Program Development&lt;/keyword&gt;&lt;keyword&gt;Treatment Outcome&lt;/keyword&gt;&lt;/keywords&gt;&lt;dates&gt;&lt;year&gt;2009&lt;/year&gt;&lt;pub-dates&gt;&lt;date&gt;Jun&lt;/date&gt;&lt;/pub-dates&gt;&lt;/dates&gt;&lt;isbn&gt;1071-9091&lt;/isbn&gt;&lt;accession-num&gt;19501337&lt;/accession-num&gt;&lt;urls&gt;&lt;/urls&gt;&lt;electronic-resource-num&gt;10.1016/j.spen.2009.04.001&lt;/electronic-resource-num&gt;&lt;remote-database-provider&gt;NLM&lt;/remote-database-provider&gt;&lt;language&gt;eng&lt;/language&gt;&lt;/record&gt;&lt;/Cite&gt;&lt;/EndNote&gt;</w:instrText>
      </w:r>
      <w:r w:rsidR="00E42B4A">
        <w:fldChar w:fldCharType="separate"/>
      </w:r>
      <w:r w:rsidR="00EB59A0">
        <w:rPr>
          <w:noProof/>
        </w:rPr>
        <w:t>(Marks, Honeycutt, Acosta, &amp; Reed, 2009)</w:t>
      </w:r>
      <w:r w:rsidR="00E42B4A">
        <w:fldChar w:fldCharType="end"/>
      </w:r>
      <w:r>
        <w:t xml:space="preserve">. In an era when facilitating patients’ autonomy and enabling patients’ capacity for decision making are seen as fundamental to ethical medical practice, understanding and negotiating perceptions and hopes is important ethical work. </w:t>
      </w:r>
      <w:r w:rsidR="00597F0C">
        <w:t>Indeed,</w:t>
      </w:r>
      <w:r>
        <w:t xml:space="preserve"> ethicists</w:t>
      </w:r>
      <w:r w:rsidR="00597F0C">
        <w:t xml:space="preserve"> </w:t>
      </w:r>
      <w:r w:rsidR="00E42B4A">
        <w:fldChar w:fldCharType="begin"/>
      </w:r>
      <w:r w:rsidR="00EB59A0">
        <w:instrText xml:space="preserve"> ADDIN EN.CITE &lt;EndNote&gt;&lt;Cite&gt;&lt;Author&gt;Bell&lt;/Author&gt;&lt;Year&gt;2009&lt;/Year&gt;&lt;RecNum&gt;126&lt;/RecNum&gt;&lt;DisplayText&gt;(Bell, Mathieu, &amp;amp; Racine, 2009)&lt;/DisplayText&gt;&lt;record&gt;&lt;rec-number&gt;126&lt;/rec-number&gt;&lt;foreign-keys&gt;&lt;key app="EN" db-id="epdwds2e822dx1ezx215esw0exvr9wpr9vxf" timestamp="0"&gt;126&lt;/key&gt;&lt;/foreign-keys&gt;&lt;ref-type name="Journal Article"&gt;17&lt;/ref-type&gt;&lt;contributors&gt;&lt;authors&gt;&lt;author&gt;Bell, Emily&lt;/author&gt;&lt;author&gt;Mathieu, Ghislaine&lt;/author&gt;&lt;author&gt;Racine, Eric&lt;/author&gt;&lt;/authors&gt;&lt;/contributors&gt;&lt;titles&gt;&lt;title&gt;Preparing the ethical future of deep brain stimulation&lt;/title&gt;&lt;secondary-title&gt;Surgical Neurology&lt;/secondary-title&gt;&lt;/titles&gt;&lt;pages&gt;577-586&lt;/pages&gt;&lt;volume&gt;72&lt;/volume&gt;&lt;number&gt;6&lt;/number&gt;&lt;keywords&gt;&lt;keyword&gt;Deep brain stimulation&lt;/keyword&gt;&lt;keyword&gt;Parkinson disease&lt;/keyword&gt;&lt;keyword&gt;Psychiatry&lt;/keyword&gt;&lt;keyword&gt;Depression&lt;/keyword&gt;&lt;keyword&gt;Ethics&lt;/keyword&gt;&lt;keyword&gt;Patient selection&lt;/keyword&gt;&lt;keyword&gt;Neuroethics&lt;/keyword&gt;&lt;keyword&gt;Resource allocation&lt;/keyword&gt;&lt;keyword&gt;Informed consent&lt;/keyword&gt;&lt;keyword&gt;Knowledge translation&lt;/keyword&gt;&lt;/keywords&gt;&lt;dates&gt;&lt;year&gt;2009&lt;/year&gt;&lt;/dates&gt;&lt;isbn&gt;0090-3019&lt;/isbn&gt;&lt;work-type&gt;doi: 10.1016/j.surneu.2009.03.029&lt;/work-type&gt;&lt;urls&gt;&lt;related-urls&gt;&lt;url&gt;http://www.sciencedirect.com/science/article/pii/S0090301909002857&lt;/url&gt;&lt;/related-urls&gt;&lt;/urls&gt;&lt;/record&gt;&lt;/Cite&gt;&lt;/EndNote&gt;</w:instrText>
      </w:r>
      <w:r w:rsidR="00E42B4A">
        <w:fldChar w:fldCharType="separate"/>
      </w:r>
      <w:r w:rsidR="00EB59A0">
        <w:rPr>
          <w:noProof/>
        </w:rPr>
        <w:t>(Bell, Mathieu, &amp; Racine, 2009)</w:t>
      </w:r>
      <w:r w:rsidR="00E42B4A">
        <w:fldChar w:fldCharType="end"/>
      </w:r>
      <w:r>
        <w:t xml:space="preserve"> have argued that conveying risks and benefits to vulnerable patients is one of the key ethical challenges associated with all DBS therapies.</w:t>
      </w:r>
    </w:p>
    <w:p w:rsidR="00BA4FC2" w:rsidRDefault="00BA4FC2" w:rsidP="00BA4FC2">
      <w:pPr>
        <w:spacing w:after="0"/>
        <w:jc w:val="both"/>
      </w:pPr>
    </w:p>
    <w:p w:rsidR="00BA4FC2" w:rsidRDefault="00BA4FC2" w:rsidP="00BA4FC2">
      <w:pPr>
        <w:spacing w:after="0"/>
        <w:jc w:val="both"/>
      </w:pPr>
    </w:p>
    <w:p w:rsidR="00BA4FC2" w:rsidRPr="00BA4FC2" w:rsidRDefault="00BA4FC2" w:rsidP="00BA4FC2">
      <w:pPr>
        <w:spacing w:after="0"/>
        <w:jc w:val="both"/>
        <w:rPr>
          <w:b/>
        </w:rPr>
      </w:pPr>
      <w:proofErr w:type="gramStart"/>
      <w:r w:rsidRPr="00BA4FC2">
        <w:rPr>
          <w:b/>
        </w:rPr>
        <w:t xml:space="preserve">4.1 </w:t>
      </w:r>
      <w:r>
        <w:rPr>
          <w:b/>
        </w:rPr>
        <w:t xml:space="preserve"> </w:t>
      </w:r>
      <w:r w:rsidRPr="00BA4FC2">
        <w:rPr>
          <w:b/>
        </w:rPr>
        <w:t>The</w:t>
      </w:r>
      <w:proofErr w:type="gramEnd"/>
      <w:r w:rsidRPr="00BA4FC2">
        <w:rPr>
          <w:b/>
        </w:rPr>
        <w:t xml:space="preserve"> goal setting session and the Canadian Occupational Performance Measure (COPM)</w:t>
      </w:r>
    </w:p>
    <w:p w:rsidR="00BA4FC2" w:rsidRDefault="00BA4FC2" w:rsidP="00BA4FC2">
      <w:pPr>
        <w:spacing w:after="0"/>
        <w:jc w:val="both"/>
      </w:pPr>
      <w:r>
        <w:t xml:space="preserve">The multidisciplinary structure of the team has enabled them to pragmatically respond to challenges by drawing on tools, capacities and </w:t>
      </w:r>
      <w:r w:rsidR="008F7C2C">
        <w:t>expertise</w:t>
      </w:r>
      <w:r>
        <w:t xml:space="preserve"> from several professions. By adopting a specific tool from occupational therapy and utilizing the skill-sets of team members, they have developed a novel strategy - a goal setting session - for managing expectations. This session takes place after the pre-surgical assessments have been conducted (during which the therapists obtain some idea of how the individual patient may benefit from </w:t>
      </w:r>
      <w:r w:rsidR="00BC2B99">
        <w:t>deep brain stimulation</w:t>
      </w:r>
      <w:r>
        <w:t>) and at least a month before the date of surgical implantation (providing patients and families with time to decide whether or not to proceed).</w:t>
      </w:r>
    </w:p>
    <w:p w:rsidR="00BA4FC2" w:rsidRDefault="00BA4FC2" w:rsidP="00BA4FC2">
      <w:pPr>
        <w:spacing w:after="0"/>
        <w:ind w:firstLine="720"/>
        <w:jc w:val="both"/>
      </w:pPr>
      <w:r>
        <w:t xml:space="preserve">The session is organised around the Canadian Occupational Performance Measure (COPM). The COPM is a standardized, semi-structured interview developed by a team of Canadian occupational therapists led by Mary Law in the 1980s. It was designed as a tool for therapists to measure and quantify changes in a client’s </w:t>
      </w:r>
      <w:r w:rsidR="00AA126E">
        <w:t xml:space="preserve">perception of their </w:t>
      </w:r>
      <w:r>
        <w:t xml:space="preserve">functional abilities over time, such as before and after a therapeutic intervention. During the interview, clients are asked to identify five key tasks of daily living (such as washing the dishes, brushing teeth) that they would like to improve.  For each task, they are then asked to rate, on a scale from one to ten, the importance of the task to them, their ability to perform that task, and their satisfaction with their ability. From these set of </w:t>
      </w:r>
      <w:r>
        <w:lastRenderedPageBreak/>
        <w:t xml:space="preserve">numbers an overall average is calculated. In order to help maintain consistency (and ensure that scores can be compared), users of the COPM are provided with a manual containing a set of instructions and a standardized score sheet. </w:t>
      </w:r>
    </w:p>
    <w:p w:rsidR="00BA4FC2" w:rsidRDefault="00BA4FC2" w:rsidP="00BA4FC2">
      <w:pPr>
        <w:spacing w:after="0"/>
        <w:ind w:firstLine="720"/>
        <w:jc w:val="both"/>
      </w:pPr>
      <w:r>
        <w:t xml:space="preserve">The COPM measures </w:t>
      </w:r>
      <w:r w:rsidR="008F7C2C">
        <w:t>patient</w:t>
      </w:r>
      <w:r>
        <w:t>s</w:t>
      </w:r>
      <w:r w:rsidR="008F7C2C">
        <w:t>’</w:t>
      </w:r>
      <w:r>
        <w:t xml:space="preserve"> self-perception</w:t>
      </w:r>
      <w:r w:rsidR="008F7C2C">
        <w:t>s</w:t>
      </w:r>
      <w:r>
        <w:t xml:space="preserve"> of their abilities. According to the authors, the logic behind this focus on self-perception is that the clinically important aspects of an affliction are how it impacts on the actual, day-to-day life of the client</w:t>
      </w:r>
      <w:r w:rsidR="00AA126E">
        <w:t xml:space="preserve"> </w:t>
      </w:r>
      <w:r w:rsidR="00E42B4A">
        <w:fldChar w:fldCharType="begin"/>
      </w:r>
      <w:r w:rsidR="00EB59A0">
        <w:instrText xml:space="preserve"> ADDIN EN.CITE &lt;EndNote&gt;&lt;Cite&gt;&lt;Author&gt;Law&lt;/Author&gt;&lt;Year&gt;2005&lt;/Year&gt;&lt;RecNum&gt;685&lt;/RecNum&gt;&lt;DisplayText&gt;(M. Law et al., 2005)&lt;/DisplayText&gt;&lt;record&gt;&lt;rec-number&gt;685&lt;/rec-number&gt;&lt;foreign-keys&gt;&lt;key app="EN" db-id="epdwds2e822dx1ezx215esw0exvr9wpr9vxf" timestamp="1435922443"&gt;685&lt;/key&gt;&lt;/foreign-keys&gt;&lt;ref-type name="Book"&gt;6&lt;/ref-type&gt;&lt;contributors&gt;&lt;authors&gt;&lt;author&gt;Law, Mary&lt;/author&gt;&lt;author&gt;Babtiste, S&lt;/author&gt;&lt;author&gt;Carswell, A&lt;/author&gt;&lt;author&gt;McColl, M&lt;/author&gt;&lt;author&gt;Polotajko, H&lt;/author&gt;&lt;author&gt;Pollock, N. &lt;/author&gt;&lt;/authors&gt;&lt;/contributors&gt;&lt;titles&gt;&lt;title&gt;Canadian Occupational Performance Measure&lt;/title&gt;&lt;/titles&gt;&lt;dates&gt;&lt;year&gt;2005&lt;/year&gt;&lt;/dates&gt;&lt;pub-location&gt;Ottowa&lt;/pub-location&gt;&lt;publisher&gt;COAT Publications ACE&lt;/publisher&gt;&lt;urls&gt;&lt;/urls&gt;&lt;/record&gt;&lt;/Cite&gt;&lt;/EndNote&gt;</w:instrText>
      </w:r>
      <w:r w:rsidR="00E42B4A">
        <w:fldChar w:fldCharType="separate"/>
      </w:r>
      <w:r w:rsidR="00EB59A0">
        <w:rPr>
          <w:noProof/>
        </w:rPr>
        <w:t>(M. Law et al., 2005)</w:t>
      </w:r>
      <w:r w:rsidR="00E42B4A">
        <w:fldChar w:fldCharType="end"/>
      </w:r>
      <w:r w:rsidR="00B302A3">
        <w:t xml:space="preserve">. </w:t>
      </w:r>
      <w:r>
        <w:t>We can see here how a particular normative orientation</w:t>
      </w:r>
      <w:r w:rsidR="00717587">
        <w:t>, an orientation that is a key aspec</w:t>
      </w:r>
      <w:r w:rsidR="00B152E1">
        <w:t>t of patient-centred medicine</w:t>
      </w:r>
      <w:r>
        <w:t xml:space="preserve"> has </w:t>
      </w:r>
      <w:r w:rsidR="00717587">
        <w:t>been incorporated into the tool. This is</w:t>
      </w:r>
      <w:r>
        <w:t xml:space="preserve"> an orientation that attaches a heavy weighting both to the perceptions and values of patients and families and to broader ‘</w:t>
      </w:r>
      <w:r w:rsidR="00796547">
        <w:t>functioning</w:t>
      </w:r>
      <w:r>
        <w:t xml:space="preserve">’ rather than to measures of clinical signs. The tool ‘incorporates’ the belief that disease and treatment should be understood and assessed according to its impact on those aspects of a client’s life that the client feels are important. </w:t>
      </w:r>
    </w:p>
    <w:p w:rsidR="007C1B82" w:rsidRDefault="00B302A3" w:rsidP="00796547">
      <w:pPr>
        <w:spacing w:after="0"/>
        <w:ind w:firstLine="720"/>
        <w:jc w:val="both"/>
      </w:pPr>
      <w:r>
        <w:t>The team has adapted the COPM to fit local clinical exigencies. P</w:t>
      </w:r>
      <w:r w:rsidR="00BA4FC2">
        <w:t>atients are asked to identify the five key daily living tasks that are important to them very early on during their time with the PMDS, so that they can then attempt to perform these tasks as part of their pre-su</w:t>
      </w:r>
      <w:r w:rsidR="00646FAE">
        <w:t xml:space="preserve">rgical assessments. </w:t>
      </w:r>
      <w:r w:rsidR="00E02C0A">
        <w:t>The</w:t>
      </w:r>
      <w:r w:rsidR="00BA4FC2">
        <w:t xml:space="preserve"> COPM in its original form was intended to involve one therapist and one client. In the team’s version, the patient and supporting family members will be involved, and several team members will conduct the session together. Usually this includes the occupational therapist (OT) and a physiotherapist (PT), who by the time of the session have an idea of how the individual patient may actually respond to </w:t>
      </w:r>
      <w:r w:rsidR="00BC2B99">
        <w:t xml:space="preserve">deep brain </w:t>
      </w:r>
      <w:proofErr w:type="gramStart"/>
      <w:r w:rsidR="00BC2B99">
        <w:t xml:space="preserve">stimulation </w:t>
      </w:r>
      <w:r w:rsidR="00BA4FC2">
        <w:t>.</w:t>
      </w:r>
      <w:proofErr w:type="gramEnd"/>
      <w:r w:rsidR="00BA4FC2">
        <w:t xml:space="preserve"> </w:t>
      </w:r>
      <w:r w:rsidR="00967ED6">
        <w:t>Using Law’s characterisation of</w:t>
      </w:r>
      <w:r w:rsidR="007C1B82">
        <w:t xml:space="preserve"> power, we illustrate how the patient-centred</w:t>
      </w:r>
      <w:r w:rsidR="00967ED6">
        <w:t xml:space="preserve"> COPM</w:t>
      </w:r>
      <w:r w:rsidR="007C1B82">
        <w:t xml:space="preserve"> is implicated in assembling and structuring power relations during the goal setting session.  Specifically, </w:t>
      </w:r>
      <w:r w:rsidR="007001C7">
        <w:t xml:space="preserve">we draw attention to the assigning of ‘authority’ and ‘spokespersons’ roles within the session, both of which entail instances of ‘power over’ and ‘power to’, and varying degrees of power/discretion. </w:t>
      </w:r>
    </w:p>
    <w:p w:rsidR="0021545B" w:rsidRDefault="0021545B" w:rsidP="0021545B">
      <w:pPr>
        <w:spacing w:after="0"/>
      </w:pPr>
    </w:p>
    <w:p w:rsidR="00BF552E" w:rsidRDefault="00BF552E" w:rsidP="0021545B">
      <w:pPr>
        <w:spacing w:after="0"/>
      </w:pPr>
    </w:p>
    <w:p w:rsidR="00BF552E" w:rsidRDefault="00BF552E" w:rsidP="0021545B">
      <w:pPr>
        <w:spacing w:after="0"/>
      </w:pPr>
    </w:p>
    <w:p w:rsidR="0021545B" w:rsidRDefault="001237AC" w:rsidP="0021545B">
      <w:pPr>
        <w:spacing w:after="0"/>
        <w:rPr>
          <w:b/>
        </w:rPr>
      </w:pPr>
      <w:r>
        <w:rPr>
          <w:b/>
        </w:rPr>
        <w:t>4.2 Negotiating expectations with the COPM</w:t>
      </w:r>
    </w:p>
    <w:p w:rsidR="00C4381D" w:rsidRDefault="001237AC" w:rsidP="00C966B6">
      <w:pPr>
        <w:spacing w:after="0"/>
        <w:jc w:val="both"/>
      </w:pPr>
      <w:r w:rsidRPr="001237AC">
        <w:t xml:space="preserve">As with </w:t>
      </w:r>
      <w:r w:rsidR="00C966B6">
        <w:t>any clinical protocol</w:t>
      </w:r>
      <w:r w:rsidR="005F50BD">
        <w:t xml:space="preserve"> </w:t>
      </w:r>
      <w:r w:rsidR="00E42B4A">
        <w:fldChar w:fldCharType="begin"/>
      </w:r>
      <w:r w:rsidR="00EB59A0">
        <w:instrText xml:space="preserve"> ADDIN EN.CITE &lt;EndNote&gt;&lt;Cite&gt;&lt;Author&gt;Berg&lt;/Author&gt;&lt;Year&gt;1998&lt;/Year&gt;&lt;RecNum&gt;286&lt;/RecNum&gt;&lt;DisplayText&gt;(Berg, 1998)&lt;/DisplayText&gt;&lt;record&gt;&lt;rec-number&gt;286&lt;/rec-number&gt;&lt;foreign-keys&gt;&lt;key app="EN" db-id="epdwds2e822dx1ezx215esw0exvr9wpr9vxf" timestamp="0"&gt;286&lt;/key&gt;&lt;/foreign-keys&gt;&lt;ref-type name="Book Section"&gt;5&lt;/ref-type&gt;&lt;contributors&gt;&lt;authors&gt;&lt;author&gt;Berg, Marc&lt;/author&gt;&lt;/authors&gt;&lt;secondary-authors&gt;&lt;author&gt;Berg, Marc&lt;/author&gt;&lt;author&gt;Mol, Annemarie&lt;/author&gt;&lt;/secondary-authors&gt;&lt;/contributors&gt;&lt;titles&gt;&lt;title&gt;Order(s) and Disorder(s): Of Protocols and Medical Practices&lt;/title&gt;&lt;secondary-title&gt;Differences in Medicine: Unraveling Practices, Techniques and Bodies&lt;/secondary-title&gt;&lt;/titles&gt;&lt;pages&gt;227-246&lt;/pages&gt;&lt;dates&gt;&lt;year&gt;1998&lt;/year&gt;&lt;/dates&gt;&lt;pub-location&gt;Durham&lt;/pub-location&gt;&lt;publisher&gt;Duke University Press&lt;/publisher&gt;&lt;urls&gt;&lt;/urls&gt;&lt;/record&gt;&lt;/Cite&gt;&lt;/EndNote&gt;</w:instrText>
      </w:r>
      <w:r w:rsidR="00E42B4A">
        <w:fldChar w:fldCharType="separate"/>
      </w:r>
      <w:r w:rsidR="00EB59A0">
        <w:rPr>
          <w:noProof/>
        </w:rPr>
        <w:t>(Berg, 1998)</w:t>
      </w:r>
      <w:r w:rsidR="00E42B4A">
        <w:fldChar w:fldCharType="end"/>
      </w:r>
      <w:r w:rsidRPr="001237AC">
        <w:t>, the COPM embodies a script which delegates particular roles to those involved in session. It prescribes a particular arrangement of human and non-human elements, and parti</w:t>
      </w:r>
      <w:r w:rsidR="00B84FA1">
        <w:t xml:space="preserve">cular actions in space and time. Indeed, it is in this regard that it constitutes a form of </w:t>
      </w:r>
      <w:r w:rsidR="00B84FA1" w:rsidRPr="00B84FA1">
        <w:rPr>
          <w:i/>
        </w:rPr>
        <w:t>power storage</w:t>
      </w:r>
      <w:r w:rsidR="00B84FA1">
        <w:t xml:space="preserve">: </w:t>
      </w:r>
      <w:r w:rsidRPr="001237AC">
        <w:t>each goal setting session follows roughly the same format a</w:t>
      </w:r>
      <w:r w:rsidR="00B84FA1">
        <w:t xml:space="preserve">s instructed by the COPM manual, and thus the specific relations that constitute </w:t>
      </w:r>
      <w:r w:rsidR="00B84FA1" w:rsidRPr="00B84FA1">
        <w:rPr>
          <w:i/>
        </w:rPr>
        <w:t>power over</w:t>
      </w:r>
      <w:r w:rsidR="00B84FA1">
        <w:t>/</w:t>
      </w:r>
      <w:r w:rsidR="00B84FA1" w:rsidRPr="00B84FA1">
        <w:rPr>
          <w:i/>
        </w:rPr>
        <w:t>power to</w:t>
      </w:r>
      <w:r w:rsidR="00B84FA1">
        <w:t xml:space="preserve"> </w:t>
      </w:r>
      <w:r w:rsidR="00C4381D">
        <w:t xml:space="preserve">during the session have become embedded within routine clinical practice of the PMDS. </w:t>
      </w:r>
    </w:p>
    <w:p w:rsidR="001237AC" w:rsidRPr="001237AC" w:rsidRDefault="001D1B1C" w:rsidP="00FD2F98">
      <w:pPr>
        <w:spacing w:after="0"/>
        <w:ind w:firstLine="720"/>
        <w:jc w:val="both"/>
      </w:pPr>
      <w:r>
        <w:t>Importantly</w:t>
      </w:r>
      <w:r w:rsidR="00D20508">
        <w:t xml:space="preserve"> for the PMDS, i</w:t>
      </w:r>
      <w:r w:rsidR="00C966B6">
        <w:t>f</w:t>
      </w:r>
      <w:r w:rsidR="001237AC" w:rsidRPr="001237AC">
        <w:t xml:space="preserve"> the script is sufficiently adhered to, the five tasks of daily living will became the basis o</w:t>
      </w:r>
      <w:r w:rsidR="00BC2B99">
        <w:t>f five realistic goals for the deep brain stimulation</w:t>
      </w:r>
      <w:r w:rsidR="001237AC" w:rsidRPr="001237AC">
        <w:t xml:space="preserve"> intervention via a process of negotiation.</w:t>
      </w:r>
      <w:r w:rsidR="00B84FA1">
        <w:t xml:space="preserve"> </w:t>
      </w:r>
      <w:r w:rsidR="001237AC" w:rsidRPr="001237AC">
        <w:t xml:space="preserve">In order to illustrate </w:t>
      </w:r>
      <w:r w:rsidR="00B84FA1">
        <w:t xml:space="preserve">how exactly the tool is implicated in distributing power </w:t>
      </w:r>
      <w:r w:rsidR="00C4381D">
        <w:t>relations among agents</w:t>
      </w:r>
      <w:r w:rsidR="001237AC" w:rsidRPr="001237AC">
        <w:t>,</w:t>
      </w:r>
      <w:r w:rsidR="00C4381D">
        <w:t xml:space="preserve"> and how it leads to the formulation of five realistic goals, </w:t>
      </w:r>
      <w:r w:rsidR="001237AC" w:rsidRPr="001237AC">
        <w:t>we will use field notes from an observation of a goal setting session involving Carl (pseudonym), a 16 year-old patient with secondary dystonia, and his mother.</w:t>
      </w:r>
    </w:p>
    <w:p w:rsidR="0021545B" w:rsidRDefault="0021545B" w:rsidP="0021545B">
      <w:pPr>
        <w:spacing w:after="0"/>
      </w:pPr>
    </w:p>
    <w:p w:rsidR="0021545B" w:rsidRPr="001D1B1C" w:rsidRDefault="001D1B1C" w:rsidP="0021545B">
      <w:pPr>
        <w:spacing w:after="0"/>
        <w:rPr>
          <w:b/>
          <w:i/>
        </w:rPr>
      </w:pPr>
      <w:r w:rsidRPr="001D1B1C">
        <w:rPr>
          <w:b/>
          <w:i/>
        </w:rPr>
        <w:t>The therapists as leaders of the goal setting session</w:t>
      </w:r>
      <w:r w:rsidR="00CF1625">
        <w:rPr>
          <w:b/>
          <w:i/>
        </w:rPr>
        <w:t xml:space="preserve">: </w:t>
      </w:r>
      <w:r w:rsidR="00CF1625" w:rsidRPr="00CF1625">
        <w:rPr>
          <w:b/>
        </w:rPr>
        <w:t>power over</w:t>
      </w:r>
    </w:p>
    <w:p w:rsidR="005F50BD" w:rsidRDefault="005F50BD" w:rsidP="005608BF">
      <w:pPr>
        <w:spacing w:after="0"/>
        <w:jc w:val="both"/>
      </w:pPr>
      <w:r>
        <w:t xml:space="preserve">The COPM delegates a ‘leadership’ role to the therapists, reifying their professional authority during interactions with patients and families. In this role they </w:t>
      </w:r>
      <w:r w:rsidR="00AE2501">
        <w:t xml:space="preserve">are accorded some </w:t>
      </w:r>
      <w:r w:rsidR="00AE2501" w:rsidRPr="00AE2501">
        <w:rPr>
          <w:i/>
        </w:rPr>
        <w:t>power to</w:t>
      </w:r>
      <w:r w:rsidR="00AE2501">
        <w:t xml:space="preserve"> direct the arrangement of elements during the session so that it follows the COPM format, which in-turn </w:t>
      </w:r>
      <w:r w:rsidR="00AE2501">
        <w:lastRenderedPageBreak/>
        <w:t xml:space="preserve">entails a </w:t>
      </w:r>
      <w:r w:rsidR="00D5700F">
        <w:t xml:space="preserve">degree of </w:t>
      </w:r>
      <w:r w:rsidR="00D5700F" w:rsidRPr="00D5700F">
        <w:rPr>
          <w:i/>
        </w:rPr>
        <w:t>power over</w:t>
      </w:r>
      <w:r w:rsidR="00D5700F">
        <w:t xml:space="preserve"> patients </w:t>
      </w:r>
      <w:r w:rsidR="0020412C">
        <w:t>and families:</w:t>
      </w:r>
      <w:r w:rsidR="00D5700F">
        <w:t xml:space="preserve"> </w:t>
      </w:r>
      <w:r w:rsidR="0020412C">
        <w:t>t</w:t>
      </w:r>
      <w:r>
        <w:t>he</w:t>
      </w:r>
      <w:r w:rsidR="00D5700F">
        <w:t>rapists</w:t>
      </w:r>
      <w:r>
        <w:t xml:space="preserve"> are instructed to guide and direct patients and their family members throughout the interaction, prompting them to offer responses that are mandated by the COPM script.  This role begins when patients and families are first asked to identify five tasks of daily living that they would like to improve (which in the PMDS takes place prior to pre-surgical assessments). The COPM manual instructs: </w:t>
      </w:r>
    </w:p>
    <w:p w:rsidR="005F50BD" w:rsidRDefault="005F50BD" w:rsidP="005F50BD">
      <w:pPr>
        <w:spacing w:after="0"/>
        <w:jc w:val="both"/>
      </w:pPr>
    </w:p>
    <w:p w:rsidR="005F50BD" w:rsidRDefault="005F50BD" w:rsidP="005F50BD">
      <w:pPr>
        <w:spacing w:after="0"/>
        <w:ind w:left="720"/>
        <w:jc w:val="both"/>
      </w:pPr>
      <w:r>
        <w:t xml:space="preserve">It is important that clients identify occupations that they want to do in daily life… The therapist should encourage clients to think about a typical day and describe the occupations that they typically do…” </w:t>
      </w:r>
      <w:r w:rsidR="00E42B4A">
        <w:fldChar w:fldCharType="begin"/>
      </w:r>
      <w:r w:rsidR="00EB59A0">
        <w:instrText xml:space="preserve"> ADDIN EN.CITE &lt;EndNote&gt;&lt;Cite&gt;&lt;Author&gt;Law&lt;/Author&gt;&lt;Year&gt;2005&lt;/Year&gt;&lt;RecNum&gt;685&lt;/RecNum&gt;&lt;Pages&gt;13&lt;/Pages&gt;&lt;DisplayText&gt;(M. Law et al., 2005, p. 13)&lt;/DisplayText&gt;&lt;record&gt;&lt;rec-number&gt;685&lt;/rec-number&gt;&lt;foreign-keys&gt;&lt;key app="EN" db-id="epdwds2e822dx1ezx215esw0exvr9wpr9vxf" timestamp="1435922443"&gt;685&lt;/key&gt;&lt;/foreign-keys&gt;&lt;ref-type name="Book"&gt;6&lt;/ref-type&gt;&lt;contributors&gt;&lt;authors&gt;&lt;author&gt;Law, Mary&lt;/author&gt;&lt;author&gt;Babtiste, S&lt;/author&gt;&lt;author&gt;Carswell, A&lt;/author&gt;&lt;author&gt;McColl, M&lt;/author&gt;&lt;author&gt;Polotajko, H&lt;/author&gt;&lt;author&gt;Pollock, N. &lt;/author&gt;&lt;/authors&gt;&lt;/contributors&gt;&lt;titles&gt;&lt;title&gt;Canadian Occupational Performance Measure&lt;/title&gt;&lt;/titles&gt;&lt;dates&gt;&lt;year&gt;2005&lt;/year&gt;&lt;/dates&gt;&lt;pub-location&gt;Ottowa&lt;/pub-location&gt;&lt;publisher&gt;COAT Publications ACE&lt;/publisher&gt;&lt;urls&gt;&lt;/urls&gt;&lt;/record&gt;&lt;/Cite&gt;&lt;/EndNote&gt;</w:instrText>
      </w:r>
      <w:r w:rsidR="00E42B4A">
        <w:fldChar w:fldCharType="separate"/>
      </w:r>
      <w:r w:rsidR="00EB59A0">
        <w:rPr>
          <w:noProof/>
        </w:rPr>
        <w:t>(M. Law et al., 2005, p. 13)</w:t>
      </w:r>
      <w:r w:rsidR="00E42B4A">
        <w:fldChar w:fldCharType="end"/>
      </w:r>
      <w:r>
        <w:t xml:space="preserve">. </w:t>
      </w:r>
    </w:p>
    <w:p w:rsidR="005F50BD" w:rsidRDefault="005F50BD" w:rsidP="005F50BD">
      <w:pPr>
        <w:spacing w:after="0"/>
      </w:pPr>
    </w:p>
    <w:p w:rsidR="005F50BD" w:rsidRDefault="005F50BD" w:rsidP="005F50BD">
      <w:pPr>
        <w:spacing w:after="0"/>
        <w:jc w:val="both"/>
      </w:pPr>
      <w:r>
        <w:t xml:space="preserve"> ‘Leaders’ are required to guide patients through a portion of the COPM score sheet that lists a number of possible areas of concern: personal care; functional mobility; community management; household management (cleaning and cooking); play/school; recreations; and socialization (Law et al. 2005). These ‘areas of concern’ are used to prompt the family to think about the impact of the patient’s motor disorder on their day-to-day life, and for each area, families and patients are asked to identify specific tasks they would like to improve (such as dressing, hygiene, visiting friends, preparing food). The family is then asked to identify, from these, which five are most important. It is these five tasks that the patient will attempt to perform as part of the pre-surgical assessments, and that the team will later use as the basis for negotiating expectations during the goal setting session. </w:t>
      </w:r>
    </w:p>
    <w:p w:rsidR="00353A70" w:rsidRDefault="006C2D10" w:rsidP="00353A70">
      <w:pPr>
        <w:spacing w:after="0"/>
        <w:ind w:firstLine="720"/>
        <w:jc w:val="both"/>
      </w:pPr>
      <w:r>
        <w:t xml:space="preserve">Leaders are also expected to carefully arrange the space within which the session occurs. The space </w:t>
      </w:r>
      <w:r w:rsidR="003F16C7">
        <w:t>is</w:t>
      </w:r>
      <w:r>
        <w:t xml:space="preserve"> arranged so that it appears informal and </w:t>
      </w:r>
      <w:r w:rsidR="00353A70">
        <w:t>un</w:t>
      </w:r>
      <w:r>
        <w:t>intimidating, with the aim of facilitating honest, inclusive and open communication. Such arrangements</w:t>
      </w:r>
      <w:r w:rsidR="00353A70">
        <w:t xml:space="preserve"> </w:t>
      </w:r>
      <w:r>
        <w:t xml:space="preserve">are intended to ensure the </w:t>
      </w:r>
      <w:r w:rsidR="007A4238">
        <w:t xml:space="preserve">active engagement of, but also the </w:t>
      </w:r>
      <w:r>
        <w:t>compliancy</w:t>
      </w:r>
      <w:r w:rsidR="007A4238">
        <w:t>,</w:t>
      </w:r>
      <w:r>
        <w:t xml:space="preserve"> of patients and families during the session</w:t>
      </w:r>
      <w:r w:rsidR="00822969">
        <w:t xml:space="preserve">, </w:t>
      </w:r>
      <w:r w:rsidR="00FC5132">
        <w:t>or</w:t>
      </w:r>
      <w:r w:rsidR="00353A70">
        <w:t xml:space="preserve"> to ensure that </w:t>
      </w:r>
      <w:r w:rsidR="00822969">
        <w:t>they</w:t>
      </w:r>
      <w:r w:rsidR="00353A70">
        <w:t xml:space="preserve"> engage in </w:t>
      </w:r>
      <w:r w:rsidR="00353A70" w:rsidRPr="0029223B">
        <w:rPr>
          <w:i/>
        </w:rPr>
        <w:t>a particular way</w:t>
      </w:r>
      <w:r w:rsidR="00353A70">
        <w:t>. Such arrangements are thus part of the relations that constitute both the clinicians</w:t>
      </w:r>
      <w:r w:rsidR="00584031">
        <w:t xml:space="preserve"> constraining</w:t>
      </w:r>
      <w:r w:rsidR="00353A70">
        <w:t xml:space="preserve"> </w:t>
      </w:r>
      <w:r w:rsidR="00353A70" w:rsidRPr="00584031">
        <w:rPr>
          <w:i/>
        </w:rPr>
        <w:t>power over</w:t>
      </w:r>
      <w:r w:rsidR="00353A70">
        <w:t xml:space="preserve"> patients</w:t>
      </w:r>
      <w:r w:rsidR="00584031">
        <w:t xml:space="preserve"> and families</w:t>
      </w:r>
      <w:r w:rsidR="00353A70">
        <w:t>, and simultaneously, the</w:t>
      </w:r>
      <w:r w:rsidR="00584031">
        <w:t xml:space="preserve"> patients and families’ constrained </w:t>
      </w:r>
      <w:r w:rsidR="00584031" w:rsidRPr="00584031">
        <w:rPr>
          <w:i/>
        </w:rPr>
        <w:t>power to</w:t>
      </w:r>
      <w:r w:rsidR="00584031">
        <w:t xml:space="preserve"> engage </w:t>
      </w:r>
      <w:r w:rsidR="00480483">
        <w:t>in the session</w:t>
      </w:r>
      <w:r w:rsidR="002F5079">
        <w:t xml:space="preserve"> (the patient’s power to engage will be explored in more detail further on)</w:t>
      </w:r>
      <w:r w:rsidR="00584031">
        <w:t xml:space="preserve">. </w:t>
      </w:r>
      <w:r w:rsidR="00584031" w:rsidRPr="00584031">
        <w:rPr>
          <w:i/>
        </w:rPr>
        <w:t xml:space="preserve">  </w:t>
      </w:r>
      <w:r w:rsidR="00353A70" w:rsidRPr="00584031">
        <w:t xml:space="preserve">    </w:t>
      </w:r>
    </w:p>
    <w:p w:rsidR="005F50BD" w:rsidRDefault="006C2D10" w:rsidP="008E2414">
      <w:pPr>
        <w:spacing w:after="0"/>
        <w:jc w:val="both"/>
      </w:pPr>
      <w:r>
        <w:tab/>
        <w:t xml:space="preserve">Within the PMDS, the OT and the PT arrange the space within a large, quiet and private room so that all those involved in the session are seated in a circle. </w:t>
      </w:r>
      <w:r w:rsidR="005F50BD">
        <w:t xml:space="preserve"> </w:t>
      </w:r>
      <w:r>
        <w:t xml:space="preserve">At the beginning of the session, they </w:t>
      </w:r>
      <w:r w:rsidR="005F50BD">
        <w:t xml:space="preserve">restate the tasks that had </w:t>
      </w:r>
      <w:r>
        <w:t xml:space="preserve">previously </w:t>
      </w:r>
      <w:r w:rsidR="005F50BD">
        <w:t>been identified, and then prompt the patient and family members to clarify the specific problem they are having with that task. The aim is to produce at least five clearly delineated tasks that can become the basis for setting clearly delineated goals.</w:t>
      </w:r>
      <w:r w:rsidR="00480483">
        <w:t xml:space="preserve"> </w:t>
      </w:r>
      <w:r w:rsidR="005F50BD">
        <w:t xml:space="preserve"> </w:t>
      </w:r>
    </w:p>
    <w:p w:rsidR="005F50BD" w:rsidRDefault="005F50BD" w:rsidP="005F50BD">
      <w:pPr>
        <w:spacing w:after="0"/>
      </w:pPr>
    </w:p>
    <w:p w:rsidR="005F50BD" w:rsidRDefault="005F50BD" w:rsidP="00F3416B">
      <w:pPr>
        <w:spacing w:after="0"/>
        <w:ind w:left="1440" w:hanging="720"/>
        <w:jc w:val="both"/>
      </w:pPr>
      <w:r>
        <w:t>OT:</w:t>
      </w:r>
      <w:r>
        <w:tab/>
      </w:r>
      <w:r w:rsidRPr="00F3416B">
        <w:rPr>
          <w:i/>
        </w:rPr>
        <w:t>Now, when I met you last time, we talked about the things that you wanted to improve. You identified a number of things... These were handwriting, shaving, self-feeding, drinking, and using public transport.</w:t>
      </w:r>
    </w:p>
    <w:p w:rsidR="005F50BD" w:rsidRDefault="005F50BD" w:rsidP="00F3416B">
      <w:pPr>
        <w:spacing w:after="0"/>
        <w:ind w:left="1440" w:hanging="720"/>
        <w:jc w:val="both"/>
      </w:pPr>
    </w:p>
    <w:p w:rsidR="005F50BD" w:rsidRDefault="005F50BD" w:rsidP="00F3416B">
      <w:pPr>
        <w:spacing w:after="0"/>
        <w:ind w:left="1440" w:hanging="720"/>
        <w:jc w:val="both"/>
      </w:pPr>
      <w:r>
        <w:t>PT:</w:t>
      </w:r>
      <w:r>
        <w:tab/>
      </w:r>
      <w:r w:rsidRPr="00F3416B">
        <w:rPr>
          <w:i/>
        </w:rPr>
        <w:t xml:space="preserve">So with your handwriting, what aspects are you not happy with? </w:t>
      </w:r>
      <w:proofErr w:type="gramStart"/>
      <w:r w:rsidRPr="00F3416B">
        <w:rPr>
          <w:i/>
        </w:rPr>
        <w:t>Speed?</w:t>
      </w:r>
      <w:proofErr w:type="gramEnd"/>
      <w:r w:rsidRPr="00F3416B">
        <w:rPr>
          <w:i/>
        </w:rPr>
        <w:t xml:space="preserve"> </w:t>
      </w:r>
      <w:proofErr w:type="gramStart"/>
      <w:r w:rsidRPr="00F3416B">
        <w:rPr>
          <w:i/>
        </w:rPr>
        <w:t>accuracy</w:t>
      </w:r>
      <w:proofErr w:type="gramEnd"/>
      <w:r w:rsidRPr="00F3416B">
        <w:rPr>
          <w:i/>
        </w:rPr>
        <w:t>?</w:t>
      </w:r>
    </w:p>
    <w:p w:rsidR="005F50BD" w:rsidRDefault="005F50BD" w:rsidP="00F3416B">
      <w:pPr>
        <w:spacing w:after="0"/>
        <w:ind w:left="1440" w:hanging="720"/>
        <w:jc w:val="both"/>
      </w:pPr>
    </w:p>
    <w:p w:rsidR="005F50BD" w:rsidRDefault="005F50BD" w:rsidP="00F3416B">
      <w:pPr>
        <w:spacing w:after="0"/>
        <w:ind w:left="1440" w:hanging="720"/>
        <w:jc w:val="both"/>
      </w:pPr>
      <w:r>
        <w:t xml:space="preserve">Carl: </w:t>
      </w:r>
      <w:r>
        <w:tab/>
      </w:r>
      <w:r w:rsidRPr="00F3416B">
        <w:rPr>
          <w:i/>
        </w:rPr>
        <w:t>Both… I get hand cramps. I would like to be able to handwrite on a clear page without making a mark all over the page.</w:t>
      </w:r>
      <w:r>
        <w:t xml:space="preserve">  </w:t>
      </w:r>
    </w:p>
    <w:p w:rsidR="005F50BD" w:rsidRDefault="005F50BD" w:rsidP="00F3416B">
      <w:pPr>
        <w:spacing w:after="0"/>
        <w:ind w:left="1440" w:hanging="720"/>
        <w:jc w:val="both"/>
      </w:pPr>
    </w:p>
    <w:p w:rsidR="005F50BD" w:rsidRDefault="005F50BD" w:rsidP="00F3416B">
      <w:pPr>
        <w:spacing w:after="0"/>
        <w:ind w:left="1440" w:hanging="720"/>
        <w:jc w:val="both"/>
      </w:pPr>
      <w:r>
        <w:t>PT:</w:t>
      </w:r>
      <w:r>
        <w:tab/>
      </w:r>
      <w:r w:rsidRPr="00F3416B">
        <w:rPr>
          <w:i/>
        </w:rPr>
        <w:t>Okay, what about drinking?</w:t>
      </w:r>
    </w:p>
    <w:p w:rsidR="005F50BD" w:rsidRDefault="005F50BD" w:rsidP="00F3416B">
      <w:pPr>
        <w:spacing w:after="0"/>
        <w:ind w:left="720" w:hanging="720"/>
      </w:pPr>
    </w:p>
    <w:p w:rsidR="005F50BD" w:rsidRPr="00F3416B" w:rsidRDefault="005F50BD" w:rsidP="00F3416B">
      <w:pPr>
        <w:spacing w:after="0"/>
        <w:ind w:left="1440" w:hanging="720"/>
        <w:jc w:val="both"/>
        <w:rPr>
          <w:i/>
        </w:rPr>
      </w:pPr>
      <w:r>
        <w:lastRenderedPageBreak/>
        <w:t xml:space="preserve">OT: </w:t>
      </w:r>
      <w:r>
        <w:tab/>
      </w:r>
      <w:r w:rsidRPr="00F3416B">
        <w:rPr>
          <w:i/>
        </w:rPr>
        <w:t>I’ve noticed that when you drink from a bottle, you bring it to your mouth and tip your whole head back. Is that to make sure your arm doesn’t flick it away and spill it?</w:t>
      </w:r>
    </w:p>
    <w:p w:rsidR="005F50BD" w:rsidRDefault="005F50BD" w:rsidP="00F3416B">
      <w:pPr>
        <w:spacing w:after="0"/>
        <w:ind w:left="1440" w:hanging="720"/>
        <w:jc w:val="both"/>
      </w:pPr>
    </w:p>
    <w:p w:rsidR="005F50BD" w:rsidRDefault="005F50BD" w:rsidP="00F3416B">
      <w:pPr>
        <w:spacing w:after="0"/>
        <w:ind w:left="1440" w:hanging="720"/>
        <w:jc w:val="both"/>
      </w:pPr>
      <w:r>
        <w:t>Carl:</w:t>
      </w:r>
      <w:r>
        <w:tab/>
      </w:r>
      <w:r w:rsidRPr="00F3416B">
        <w:rPr>
          <w:i/>
        </w:rPr>
        <w:t>Yeah</w:t>
      </w:r>
      <w:r>
        <w:t>.</w:t>
      </w:r>
    </w:p>
    <w:p w:rsidR="005F50BD" w:rsidRDefault="005F50BD" w:rsidP="005F50BD">
      <w:pPr>
        <w:spacing w:after="0"/>
      </w:pPr>
    </w:p>
    <w:p w:rsidR="005F50BD" w:rsidRDefault="005F50BD" w:rsidP="000E2467">
      <w:pPr>
        <w:spacing w:after="0"/>
        <w:jc w:val="both"/>
      </w:pPr>
      <w:r>
        <w:t xml:space="preserve">For each one of the five tasks, the patient and their family members are </w:t>
      </w:r>
      <w:r w:rsidR="006C2D10">
        <w:t>prompted</w:t>
      </w:r>
      <w:r>
        <w:t xml:space="preserve"> by the OT and PT to be as specific as possible; to specifically and explicitly outline what</w:t>
      </w:r>
      <w:r w:rsidR="00480483">
        <w:t xml:space="preserve"> exactly </w:t>
      </w:r>
      <w:r>
        <w:t>they perceive the child’s problem to be</w:t>
      </w:r>
      <w:r w:rsidR="00480483">
        <w:t xml:space="preserve">. </w:t>
      </w:r>
      <w:r w:rsidR="00822969">
        <w:t>Here we see</w:t>
      </w:r>
      <w:r w:rsidR="00480483">
        <w:t xml:space="preserve"> an illustration of the clinicians’ constraining power over the patient, and that latter’s constrained power to engage in the session in a meaningful way.  </w:t>
      </w:r>
      <w:r w:rsidR="00EF0A8A">
        <w:t>T</w:t>
      </w:r>
      <w:r>
        <w:t>he COPM manual states:</w:t>
      </w:r>
    </w:p>
    <w:p w:rsidR="005F50BD" w:rsidRDefault="005F50BD" w:rsidP="005F50BD">
      <w:pPr>
        <w:spacing w:after="0"/>
      </w:pPr>
      <w:r>
        <w:t xml:space="preserve"> </w:t>
      </w:r>
    </w:p>
    <w:p w:rsidR="005F50BD" w:rsidRDefault="005F50BD" w:rsidP="00F3416B">
      <w:pPr>
        <w:spacing w:after="0"/>
        <w:ind w:left="720"/>
      </w:pPr>
      <w:r>
        <w:t xml:space="preserve">It is essential that therapists use their skills in interviewing, probing for full responses (Law et al. 2005). </w:t>
      </w:r>
    </w:p>
    <w:p w:rsidR="005F50BD" w:rsidRDefault="005F50BD" w:rsidP="005F50BD">
      <w:pPr>
        <w:spacing w:after="0"/>
      </w:pPr>
    </w:p>
    <w:p w:rsidR="0021545B" w:rsidRDefault="005F50BD" w:rsidP="00F3416B">
      <w:pPr>
        <w:spacing w:after="0"/>
        <w:jc w:val="both"/>
      </w:pPr>
      <w:r>
        <w:t>The COPM format is thus by no means independent of human skills and dispositions</w:t>
      </w:r>
      <w:r w:rsidR="00FC5132">
        <w:t>,</w:t>
      </w:r>
      <w:r>
        <w:t xml:space="preserve"> but rather both shapes and harnesses them. </w:t>
      </w:r>
      <w:r w:rsidR="00FB55B4">
        <w:t xml:space="preserve">Indeed, the therapists’ </w:t>
      </w:r>
      <w:r w:rsidR="00FB55B4" w:rsidRPr="00FB55B4">
        <w:rPr>
          <w:i/>
        </w:rPr>
        <w:t>power over</w:t>
      </w:r>
      <w:r w:rsidR="00FB55B4">
        <w:t xml:space="preserve"> patients and families is partly a consequence of the deployment of</w:t>
      </w:r>
      <w:r w:rsidR="00FC5132">
        <w:t xml:space="preserve"> such skills. Without them, the</w:t>
      </w:r>
      <w:r w:rsidR="00FB55B4">
        <w:t xml:space="preserve"> interaction may proceed in a way that is off-script, and will fail to generate the intended goals.  In this case, as </w:t>
      </w:r>
      <w:r>
        <w:t xml:space="preserve">Carl and his mother are prompted to add more and more detail, each particular problem becomes more intelligible and actively delineated. In effect, the resulting ‘five tasks’ are the product of an interaction between the therapists, the patient, their supporting family members, as scripted by the COPM. </w:t>
      </w:r>
    </w:p>
    <w:p w:rsidR="00F3416B" w:rsidRDefault="00F3416B" w:rsidP="00F3416B">
      <w:pPr>
        <w:spacing w:after="0"/>
        <w:jc w:val="both"/>
      </w:pPr>
    </w:p>
    <w:p w:rsidR="00F3416B" w:rsidRPr="00F3416B" w:rsidRDefault="00F3416B" w:rsidP="00F3416B">
      <w:pPr>
        <w:spacing w:after="0"/>
        <w:jc w:val="both"/>
        <w:rPr>
          <w:b/>
          <w:i/>
        </w:rPr>
      </w:pPr>
      <w:r>
        <w:rPr>
          <w:b/>
          <w:i/>
        </w:rPr>
        <w:t>Disclosing predicted benefits using patient-accessible frames of reference</w:t>
      </w:r>
    </w:p>
    <w:p w:rsidR="00F3416B" w:rsidRDefault="00F3416B" w:rsidP="00F3416B">
      <w:pPr>
        <w:spacing w:after="0"/>
        <w:jc w:val="both"/>
      </w:pPr>
      <w:r>
        <w:t xml:space="preserve">At the same time that the five tasks are being clarified, the PT and OT articulate their predictions on how the patient’s ability to carry out these tasks will be affected by </w:t>
      </w:r>
      <w:r w:rsidR="00BC2B99">
        <w:t>deep brain stimulation (DBS)</w:t>
      </w:r>
      <w:r>
        <w:t>. These predictions are based on their observations from pre-surgical assessments and their experience of previous DBS outcomes. If dystonia (“involuntary movement”) is deemed to be the cause of the problem, then the therapists will tentatively predict that there will be some improvement:</w:t>
      </w:r>
    </w:p>
    <w:p w:rsidR="00F3416B" w:rsidRDefault="00F3416B" w:rsidP="00F3416B">
      <w:pPr>
        <w:spacing w:after="0"/>
      </w:pPr>
    </w:p>
    <w:p w:rsidR="00F3416B" w:rsidRDefault="00F3416B" w:rsidP="00F3416B">
      <w:pPr>
        <w:spacing w:after="0"/>
        <w:ind w:left="1440" w:hanging="720"/>
        <w:jc w:val="both"/>
      </w:pPr>
      <w:r>
        <w:t>OT:</w:t>
      </w:r>
      <w:r>
        <w:tab/>
      </w:r>
      <w:r w:rsidRPr="00F3416B">
        <w:rPr>
          <w:i/>
        </w:rPr>
        <w:t>Carl, tell me about shaving. Why does mum do it for you?</w:t>
      </w:r>
    </w:p>
    <w:p w:rsidR="00F3416B" w:rsidRDefault="00F3416B" w:rsidP="00F3416B">
      <w:pPr>
        <w:spacing w:after="0"/>
        <w:ind w:left="1440" w:hanging="720"/>
        <w:jc w:val="both"/>
      </w:pPr>
    </w:p>
    <w:p w:rsidR="00F3416B" w:rsidRDefault="00F3416B" w:rsidP="00F3416B">
      <w:pPr>
        <w:spacing w:after="0"/>
        <w:ind w:left="1440" w:hanging="720"/>
        <w:jc w:val="both"/>
      </w:pPr>
      <w:r>
        <w:t>Carl:</w:t>
      </w:r>
      <w:r>
        <w:tab/>
      </w:r>
      <w:r w:rsidRPr="00F3416B">
        <w:rPr>
          <w:i/>
        </w:rPr>
        <w:t>It pulls on my hair, it is really sore.</w:t>
      </w:r>
    </w:p>
    <w:p w:rsidR="00F3416B" w:rsidRDefault="00F3416B" w:rsidP="00F3416B">
      <w:pPr>
        <w:spacing w:after="0"/>
        <w:ind w:left="1440" w:hanging="720"/>
        <w:jc w:val="both"/>
      </w:pPr>
    </w:p>
    <w:p w:rsidR="00F3416B" w:rsidRDefault="00F3416B" w:rsidP="00F3416B">
      <w:pPr>
        <w:spacing w:after="0"/>
        <w:ind w:left="1440" w:hanging="720"/>
        <w:jc w:val="both"/>
      </w:pPr>
      <w:r>
        <w:t>OT:</w:t>
      </w:r>
      <w:r>
        <w:tab/>
      </w:r>
      <w:r w:rsidRPr="00F3416B">
        <w:rPr>
          <w:i/>
        </w:rPr>
        <w:t>His arm pulls away and the hair gets caught in the shaver. It is definitely the involuntary movements that are making it difficult to shave… Carl – if DBS does reduce your involuntary movements, you will find it easier to shave.</w:t>
      </w:r>
      <w:r>
        <w:t xml:space="preserve">  </w:t>
      </w:r>
    </w:p>
    <w:p w:rsidR="00F3416B" w:rsidRDefault="00F3416B" w:rsidP="00F3416B">
      <w:pPr>
        <w:spacing w:after="0"/>
      </w:pPr>
    </w:p>
    <w:p w:rsidR="00F3416B" w:rsidRDefault="00F3416B" w:rsidP="005A226D">
      <w:pPr>
        <w:spacing w:after="0"/>
        <w:jc w:val="both"/>
      </w:pPr>
      <w:r>
        <w:t>And, if a difficulty is perceived by the therapists to be caused by muscle weakness, contractures or spasticity, then they will predict</w:t>
      </w:r>
      <w:r w:rsidR="00822969">
        <w:t xml:space="preserve"> </w:t>
      </w:r>
      <w:r>
        <w:t>that no improvement will occur. Here the occupational therapist discusses Carl’s handwriting:</w:t>
      </w:r>
    </w:p>
    <w:p w:rsidR="00F3416B" w:rsidRDefault="00F3416B" w:rsidP="00F3416B">
      <w:pPr>
        <w:spacing w:after="0"/>
      </w:pPr>
    </w:p>
    <w:p w:rsidR="00F3416B" w:rsidRDefault="00F3416B" w:rsidP="005A226D">
      <w:pPr>
        <w:spacing w:after="0"/>
        <w:ind w:left="1440" w:hanging="720"/>
        <w:jc w:val="both"/>
      </w:pPr>
      <w:r>
        <w:t>OT:</w:t>
      </w:r>
      <w:r>
        <w:tab/>
      </w:r>
      <w:r w:rsidRPr="005A226D">
        <w:rPr>
          <w:i/>
        </w:rPr>
        <w:t>I think your computer is your best option. DBS may help a</w:t>
      </w:r>
      <w:r w:rsidR="005A226D" w:rsidRPr="005A226D">
        <w:rPr>
          <w:i/>
        </w:rPr>
        <w:t xml:space="preserve"> bit, but you won’t be able to </w:t>
      </w:r>
      <w:r w:rsidRPr="005A226D">
        <w:rPr>
          <w:i/>
        </w:rPr>
        <w:t>rely on your handwriting. We have noticed some, very m</w:t>
      </w:r>
      <w:r w:rsidR="005A226D" w:rsidRPr="005A226D">
        <w:rPr>
          <w:i/>
        </w:rPr>
        <w:t xml:space="preserve">inor improvements in patients, but that is after </w:t>
      </w:r>
      <w:r w:rsidRPr="005A226D">
        <w:rPr>
          <w:i/>
        </w:rPr>
        <w:t>4 or 5 years.</w:t>
      </w:r>
    </w:p>
    <w:p w:rsidR="00F3416B" w:rsidRDefault="00F3416B" w:rsidP="00F3416B">
      <w:pPr>
        <w:spacing w:after="0"/>
      </w:pPr>
    </w:p>
    <w:p w:rsidR="00F3416B" w:rsidRDefault="00F3416B" w:rsidP="005A226D">
      <w:pPr>
        <w:spacing w:after="0"/>
        <w:jc w:val="both"/>
      </w:pPr>
      <w:r>
        <w:t>Once the patient and their family have been prompted to clarify the tasks they would like to improve and the therapists have disclosed their</w:t>
      </w:r>
      <w:r w:rsidR="00FC5132">
        <w:t xml:space="preserve"> predictions, the COPM ‘script’</w:t>
      </w:r>
      <w:r>
        <w:t xml:space="preserve"> requires that therapists guide the family towards a </w:t>
      </w:r>
      <w:r w:rsidR="00FC5132">
        <w:t>goal</w:t>
      </w:r>
      <w:r>
        <w:t xml:space="preserve"> for each task. This involves negotiation, and results in particular goals being delineated as ‘realistic’ and others ‘unrealistic’.  Here is an example of the physiotherapist guiding and negotiating with Carl:</w:t>
      </w:r>
    </w:p>
    <w:p w:rsidR="00F3416B" w:rsidRDefault="00F3416B" w:rsidP="005A226D">
      <w:pPr>
        <w:spacing w:after="0"/>
        <w:jc w:val="both"/>
      </w:pPr>
    </w:p>
    <w:p w:rsidR="00F3416B" w:rsidRDefault="00F3416B" w:rsidP="005A226D">
      <w:pPr>
        <w:spacing w:after="0"/>
        <w:ind w:left="1440" w:hanging="720"/>
        <w:jc w:val="both"/>
      </w:pPr>
      <w:r>
        <w:t xml:space="preserve">PT: </w:t>
      </w:r>
      <w:r>
        <w:tab/>
      </w:r>
      <w:r w:rsidRPr="005A226D">
        <w:rPr>
          <w:i/>
        </w:rPr>
        <w:t>About this problem with stability on public tran</w:t>
      </w:r>
      <w:r w:rsidR="005A226D" w:rsidRPr="005A226D">
        <w:rPr>
          <w:i/>
        </w:rPr>
        <w:t xml:space="preserve">sport. We noticed </w:t>
      </w:r>
      <w:r w:rsidRPr="005A226D">
        <w:rPr>
          <w:i/>
        </w:rPr>
        <w:t>you have muscle weakness aro</w:t>
      </w:r>
      <w:r w:rsidR="005A226D" w:rsidRPr="005A226D">
        <w:rPr>
          <w:i/>
        </w:rPr>
        <w:t xml:space="preserve">und your pelvis that DBS won’t </w:t>
      </w:r>
      <w:r w:rsidRPr="005A226D">
        <w:rPr>
          <w:i/>
        </w:rPr>
        <w:t>improve.  You could probably improve it with a lot of</w:t>
      </w:r>
      <w:r w:rsidR="005A226D" w:rsidRPr="005A226D">
        <w:rPr>
          <w:i/>
        </w:rPr>
        <w:t xml:space="preserve"> hard work and exercise in the </w:t>
      </w:r>
      <w:r w:rsidRPr="005A226D">
        <w:rPr>
          <w:i/>
        </w:rPr>
        <w:t>gym, but we shouldn’t set a goal that you are not prepared t</w:t>
      </w:r>
      <w:r w:rsidR="005A226D" w:rsidRPr="005A226D">
        <w:rPr>
          <w:i/>
        </w:rPr>
        <w:t xml:space="preserve">o put in the effort for in the </w:t>
      </w:r>
      <w:r w:rsidRPr="005A226D">
        <w:rPr>
          <w:i/>
        </w:rPr>
        <w:t>first place.</w:t>
      </w:r>
    </w:p>
    <w:p w:rsidR="00F3416B" w:rsidRDefault="00F3416B" w:rsidP="005A226D">
      <w:pPr>
        <w:spacing w:after="0"/>
        <w:ind w:left="1440" w:hanging="720"/>
        <w:jc w:val="both"/>
      </w:pPr>
    </w:p>
    <w:p w:rsidR="00F3416B" w:rsidRDefault="00F3416B" w:rsidP="005A226D">
      <w:pPr>
        <w:spacing w:after="0"/>
        <w:ind w:left="1440" w:hanging="720"/>
        <w:jc w:val="both"/>
      </w:pPr>
      <w:r>
        <w:t xml:space="preserve">Carl: </w:t>
      </w:r>
      <w:r>
        <w:tab/>
      </w:r>
      <w:r w:rsidRPr="005A226D">
        <w:rPr>
          <w:i/>
        </w:rPr>
        <w:t>I’m not motivated, but that is because it takes me so much energy to do things!</w:t>
      </w:r>
    </w:p>
    <w:p w:rsidR="00F3416B" w:rsidRDefault="00F3416B" w:rsidP="005A226D">
      <w:pPr>
        <w:spacing w:after="0"/>
        <w:ind w:left="1440" w:hanging="720"/>
        <w:jc w:val="both"/>
      </w:pPr>
    </w:p>
    <w:p w:rsidR="00F3416B" w:rsidRDefault="00F3416B" w:rsidP="005A226D">
      <w:pPr>
        <w:spacing w:after="0"/>
        <w:ind w:left="1440" w:hanging="720"/>
        <w:jc w:val="both"/>
      </w:pPr>
      <w:r>
        <w:t>PT:</w:t>
      </w:r>
      <w:r>
        <w:tab/>
      </w:r>
      <w:r w:rsidRPr="005A226D">
        <w:rPr>
          <w:i/>
        </w:rPr>
        <w:t xml:space="preserve">Can we agree that </w:t>
      </w:r>
      <w:r w:rsidR="005A226D" w:rsidRPr="005A226D">
        <w:rPr>
          <w:i/>
        </w:rPr>
        <w:t xml:space="preserve">we </w:t>
      </w:r>
      <w:r w:rsidRPr="005A226D">
        <w:rPr>
          <w:i/>
        </w:rPr>
        <w:t>don’t put this as an initial goal? You</w:t>
      </w:r>
      <w:r w:rsidR="005A226D" w:rsidRPr="005A226D">
        <w:rPr>
          <w:i/>
        </w:rPr>
        <w:t xml:space="preserve"> could tackle it when you have </w:t>
      </w:r>
      <w:r w:rsidRPr="005A226D">
        <w:rPr>
          <w:i/>
        </w:rPr>
        <w:t>some more motivation, but I don’t think we should put it down as a goal for</w:t>
      </w:r>
      <w:r w:rsidR="005A226D" w:rsidRPr="005A226D">
        <w:rPr>
          <w:i/>
        </w:rPr>
        <w:t xml:space="preserve"> DBS. We </w:t>
      </w:r>
      <w:r w:rsidRPr="005A226D">
        <w:rPr>
          <w:i/>
        </w:rPr>
        <w:t>should aim for other goals.</w:t>
      </w:r>
      <w:r>
        <w:t xml:space="preserve"> </w:t>
      </w:r>
    </w:p>
    <w:p w:rsidR="00F3416B" w:rsidRDefault="00F3416B" w:rsidP="00F3416B">
      <w:pPr>
        <w:spacing w:after="0"/>
      </w:pPr>
    </w:p>
    <w:p w:rsidR="00F3416B" w:rsidRPr="00AE2501" w:rsidRDefault="00F3416B" w:rsidP="0083400E">
      <w:pPr>
        <w:spacing w:after="0"/>
        <w:jc w:val="both"/>
        <w:rPr>
          <w:color w:val="FF0000"/>
        </w:rPr>
      </w:pPr>
      <w:r w:rsidRPr="007B2766">
        <w:t xml:space="preserve">As a result of this negotiation, one potential goal has been discarded as unobtainable, and thus ‘unrealistic’. </w:t>
      </w:r>
      <w:r w:rsidR="00AE2501">
        <w:t>T</w:t>
      </w:r>
      <w:r w:rsidR="002A6AD2">
        <w:t xml:space="preserve">he PT has used her COPM-designated role as leader (along with her authority as a clinician), and the </w:t>
      </w:r>
      <w:r w:rsidR="00AE2501">
        <w:t xml:space="preserve">COPM-scripted </w:t>
      </w:r>
      <w:r w:rsidR="002A6AD2">
        <w:t>negotiation space</w:t>
      </w:r>
      <w:r w:rsidR="00AE2501">
        <w:t xml:space="preserve"> (characterised by Carl’s constrained power to engage</w:t>
      </w:r>
      <w:r w:rsidR="002A6AD2">
        <w:t xml:space="preserve"> </w:t>
      </w:r>
      <w:r w:rsidR="00AE2501">
        <w:t>in the session)</w:t>
      </w:r>
      <w:r w:rsidR="002A6AD2">
        <w:t xml:space="preserve">, to define what is and what is not ‘realistic’, and to thus prompt Carl to agree on particular, ‘obtainable’ goals.   </w:t>
      </w:r>
      <w:r>
        <w:t xml:space="preserve">Below is another example, involving the psychologist. </w:t>
      </w:r>
    </w:p>
    <w:p w:rsidR="00F3416B" w:rsidRDefault="00F3416B" w:rsidP="0083400E">
      <w:pPr>
        <w:spacing w:after="0"/>
        <w:jc w:val="both"/>
      </w:pPr>
    </w:p>
    <w:p w:rsidR="00F3416B" w:rsidRDefault="00F3416B" w:rsidP="0083400E">
      <w:pPr>
        <w:spacing w:after="0"/>
        <w:ind w:left="1440" w:hanging="720"/>
        <w:jc w:val="both"/>
      </w:pPr>
      <w:proofErr w:type="spellStart"/>
      <w:r>
        <w:t>Psy</w:t>
      </w:r>
      <w:proofErr w:type="spellEnd"/>
      <w:r>
        <w:t>:</w:t>
      </w:r>
      <w:r>
        <w:tab/>
      </w:r>
      <w:r w:rsidRPr="0083400E">
        <w:rPr>
          <w:i/>
        </w:rPr>
        <w:t>Carl, about your wish to have more confidence in pu</w:t>
      </w:r>
      <w:r w:rsidR="0083400E" w:rsidRPr="0083400E">
        <w:rPr>
          <w:i/>
        </w:rPr>
        <w:t xml:space="preserve">blic. We need to clarify: What </w:t>
      </w:r>
      <w:r w:rsidRPr="0083400E">
        <w:rPr>
          <w:i/>
        </w:rPr>
        <w:t>would it take to improve your confidence?  Would it be not falling at all? Or falling less?</w:t>
      </w:r>
      <w:r>
        <w:t xml:space="preserve">  </w:t>
      </w:r>
    </w:p>
    <w:p w:rsidR="00F3416B" w:rsidRDefault="00F3416B" w:rsidP="0083400E">
      <w:pPr>
        <w:spacing w:after="0"/>
        <w:ind w:left="1440" w:hanging="720"/>
        <w:jc w:val="both"/>
      </w:pPr>
    </w:p>
    <w:p w:rsidR="00F3416B" w:rsidRDefault="00F3416B" w:rsidP="0083400E">
      <w:pPr>
        <w:spacing w:after="0"/>
        <w:ind w:left="1440" w:hanging="720"/>
        <w:jc w:val="both"/>
      </w:pPr>
      <w:r>
        <w:t xml:space="preserve">Carl: </w:t>
      </w:r>
      <w:r>
        <w:tab/>
      </w:r>
      <w:r w:rsidRPr="0083400E">
        <w:rPr>
          <w:i/>
        </w:rPr>
        <w:t>Just less falls and less jerky movements.</w:t>
      </w:r>
    </w:p>
    <w:p w:rsidR="00F3416B" w:rsidRDefault="00F3416B" w:rsidP="0083400E">
      <w:pPr>
        <w:spacing w:after="0"/>
        <w:ind w:left="1440" w:hanging="720"/>
        <w:jc w:val="both"/>
      </w:pPr>
    </w:p>
    <w:p w:rsidR="00F3416B" w:rsidRDefault="00F3416B" w:rsidP="0083400E">
      <w:pPr>
        <w:spacing w:after="0"/>
        <w:ind w:left="1440" w:hanging="720"/>
        <w:jc w:val="both"/>
      </w:pPr>
      <w:proofErr w:type="spellStart"/>
      <w:r>
        <w:t>Psy</w:t>
      </w:r>
      <w:proofErr w:type="spellEnd"/>
      <w:r>
        <w:t xml:space="preserve">: </w:t>
      </w:r>
      <w:r>
        <w:tab/>
      </w:r>
      <w:r w:rsidRPr="0083400E">
        <w:rPr>
          <w:i/>
        </w:rPr>
        <w:t>So, would just a little bit of improvement, then, help w</w:t>
      </w:r>
      <w:r w:rsidR="0083400E" w:rsidRPr="0083400E">
        <w:rPr>
          <w:i/>
        </w:rPr>
        <w:t xml:space="preserve">ith your confidence, do you </w:t>
      </w:r>
      <w:r w:rsidRPr="0083400E">
        <w:rPr>
          <w:i/>
        </w:rPr>
        <w:t>think?</w:t>
      </w:r>
    </w:p>
    <w:p w:rsidR="00F3416B" w:rsidRDefault="00F3416B" w:rsidP="0083400E">
      <w:pPr>
        <w:spacing w:after="0"/>
        <w:ind w:left="1440" w:hanging="720"/>
        <w:jc w:val="both"/>
      </w:pPr>
    </w:p>
    <w:p w:rsidR="00F3416B" w:rsidRDefault="00F3416B" w:rsidP="0083400E">
      <w:pPr>
        <w:spacing w:after="0"/>
        <w:ind w:left="1440" w:hanging="720"/>
        <w:jc w:val="both"/>
      </w:pPr>
      <w:r>
        <w:t xml:space="preserve">Carl: </w:t>
      </w:r>
      <w:r>
        <w:tab/>
      </w:r>
      <w:r w:rsidRPr="0083400E">
        <w:rPr>
          <w:i/>
        </w:rPr>
        <w:t>Yes.</w:t>
      </w:r>
    </w:p>
    <w:p w:rsidR="00F3416B" w:rsidRDefault="00F3416B" w:rsidP="0083400E">
      <w:pPr>
        <w:spacing w:after="0"/>
        <w:ind w:left="1440" w:hanging="720"/>
        <w:jc w:val="both"/>
      </w:pPr>
    </w:p>
    <w:p w:rsidR="00F3416B" w:rsidRDefault="00F3416B" w:rsidP="0083400E">
      <w:pPr>
        <w:spacing w:after="0"/>
        <w:ind w:left="1440" w:hanging="720"/>
        <w:jc w:val="both"/>
      </w:pPr>
      <w:proofErr w:type="spellStart"/>
      <w:r>
        <w:t>Psy</w:t>
      </w:r>
      <w:proofErr w:type="spellEnd"/>
      <w:r>
        <w:t xml:space="preserve">: </w:t>
      </w:r>
      <w:r>
        <w:tab/>
      </w:r>
      <w:r w:rsidRPr="0083400E">
        <w:rPr>
          <w:i/>
        </w:rPr>
        <w:t>Because some people might not be happy if they still</w:t>
      </w:r>
      <w:r w:rsidR="0083400E" w:rsidRPr="0083400E">
        <w:rPr>
          <w:i/>
        </w:rPr>
        <w:t xml:space="preserve"> had some visible signs of the </w:t>
      </w:r>
      <w:r w:rsidRPr="0083400E">
        <w:rPr>
          <w:i/>
        </w:rPr>
        <w:t>movement disorder. It is good that you think that a little improvement will help.</w:t>
      </w:r>
    </w:p>
    <w:p w:rsidR="00F3416B" w:rsidRDefault="00F3416B" w:rsidP="0083400E">
      <w:pPr>
        <w:spacing w:after="0"/>
        <w:jc w:val="both"/>
      </w:pPr>
    </w:p>
    <w:p w:rsidR="00F3416B" w:rsidRDefault="00F3416B" w:rsidP="00841579">
      <w:pPr>
        <w:spacing w:after="0"/>
        <w:jc w:val="both"/>
      </w:pPr>
      <w:r>
        <w:t>Here, the psychologist has suggested to Carl that “a little improv</w:t>
      </w:r>
      <w:r w:rsidR="00841579">
        <w:t xml:space="preserve">ement” is a more suitable goal. </w:t>
      </w:r>
      <w:r>
        <w:t xml:space="preserve">If all goes to plan and all participants adhere to the script, the resulting five ‘realistic’ goals for </w:t>
      </w:r>
      <w:r w:rsidR="00BC2B99">
        <w:t>deep brain stimulation</w:t>
      </w:r>
      <w:r>
        <w:t xml:space="preserve"> will reflect the family’s wishes for meaningful improvement in the patient’s day-to-day functioning, and will reflect the therapists’ educated (but tentative) predictions. </w:t>
      </w:r>
    </w:p>
    <w:p w:rsidR="00F3416B" w:rsidRDefault="00F3416B" w:rsidP="00841579">
      <w:pPr>
        <w:spacing w:after="0"/>
        <w:jc w:val="both"/>
      </w:pPr>
      <w:r>
        <w:tab/>
      </w:r>
      <w:r w:rsidR="000852DF">
        <w:t>I</w:t>
      </w:r>
      <w:r>
        <w:t>n this way the COPM mediates between the expectations of patients an</w:t>
      </w:r>
      <w:r w:rsidR="00AE2501">
        <w:t xml:space="preserve">d the judgements of therapists: it </w:t>
      </w:r>
      <w:r w:rsidR="002B75D3">
        <w:t>delegates authority to the therapists, and</w:t>
      </w:r>
      <w:r>
        <w:t xml:space="preserve"> instructs therapists to prompt families to be explicit about their difficulties and hopes</w:t>
      </w:r>
      <w:r w:rsidR="002B75D3">
        <w:t xml:space="preserve">. </w:t>
      </w:r>
      <w:r w:rsidR="00C33C6D">
        <w:t xml:space="preserve">The resulting prediction, then, arises from an interaction in </w:t>
      </w:r>
      <w:r w:rsidR="00C33C6D">
        <w:lastRenderedPageBreak/>
        <w:t xml:space="preserve">which clinicians have </w:t>
      </w:r>
      <w:r w:rsidR="000852DF">
        <w:t xml:space="preserve">been accorded a degree of power </w:t>
      </w:r>
      <w:r w:rsidR="00C33C6D">
        <w:t xml:space="preserve">over patients and families, and in which patients and families have a constrained power to engage. Importantly, the COPM format prompts therapists </w:t>
      </w:r>
      <w:r>
        <w:t xml:space="preserve">to communicate the effects of DBS in terms that are comprehensible and meaningful to families. Some important ethical work is done here. For example, </w:t>
      </w:r>
      <w:r w:rsidR="00C33C6D">
        <w:t>some aspects patients’</w:t>
      </w:r>
      <w:r>
        <w:t xml:space="preserve"> and family members</w:t>
      </w:r>
      <w:r w:rsidR="00C33C6D">
        <w:t>’ perspectives</w:t>
      </w:r>
      <w:r>
        <w:t xml:space="preserve"> are acknowledged and treated as central; and information is disclosed to patients and families in direct and accessible form. According to team members, the latter is a key advantage of the COPM-scripted goal setting session:  </w:t>
      </w:r>
    </w:p>
    <w:p w:rsidR="00F3416B" w:rsidRDefault="00F3416B" w:rsidP="00841579">
      <w:pPr>
        <w:spacing w:after="0"/>
        <w:jc w:val="both"/>
      </w:pPr>
    </w:p>
    <w:p w:rsidR="00F3416B" w:rsidRPr="00E57026" w:rsidRDefault="00F3416B" w:rsidP="00841579">
      <w:pPr>
        <w:spacing w:after="0"/>
        <w:ind w:left="720"/>
        <w:jc w:val="both"/>
      </w:pPr>
      <w:r w:rsidRPr="00841579">
        <w:rPr>
          <w:i/>
        </w:rPr>
        <w:t>This is the idea o</w:t>
      </w:r>
      <w:r w:rsidR="000852DF">
        <w:rPr>
          <w:i/>
        </w:rPr>
        <w:t xml:space="preserve">f doing these setting sessions… </w:t>
      </w:r>
      <w:r w:rsidRPr="00841579">
        <w:rPr>
          <w:i/>
        </w:rPr>
        <w:t xml:space="preserve">we’re not nebulously talking about things getting </w:t>
      </w:r>
      <w:proofErr w:type="gramStart"/>
      <w:r w:rsidRPr="00841579">
        <w:rPr>
          <w:i/>
        </w:rPr>
        <w:t>better,</w:t>
      </w:r>
      <w:proofErr w:type="gramEnd"/>
      <w:r w:rsidRPr="00841579">
        <w:rPr>
          <w:i/>
        </w:rPr>
        <w:t xml:space="preserve"> we’re talking about you being able to dress that right arm better. </w:t>
      </w:r>
      <w:proofErr w:type="gramStart"/>
      <w:r w:rsidRPr="00E57026">
        <w:t>(Clinical research fellow, interview).</w:t>
      </w:r>
      <w:proofErr w:type="gramEnd"/>
      <w:r w:rsidRPr="00E57026">
        <w:t xml:space="preserve">  </w:t>
      </w:r>
    </w:p>
    <w:p w:rsidR="00F3416B" w:rsidRDefault="00F3416B" w:rsidP="00F3416B">
      <w:pPr>
        <w:spacing w:after="0"/>
      </w:pPr>
    </w:p>
    <w:p w:rsidR="00F3416B" w:rsidRDefault="00F3416B" w:rsidP="00C33C6D">
      <w:pPr>
        <w:spacing w:after="0"/>
        <w:jc w:val="both"/>
      </w:pPr>
      <w:r>
        <w:t xml:space="preserve">A ‘well-informed’ family, then, is the ideal product of an interaction that has been carefully coordinated according to the COPM. Patients and families are then given at least a month to decide whether or not they would like to proceed with </w:t>
      </w:r>
      <w:r w:rsidR="00BC2B99">
        <w:t>deep brain stimulation</w:t>
      </w:r>
      <w:r>
        <w:t xml:space="preserve">.  </w:t>
      </w:r>
    </w:p>
    <w:p w:rsidR="0021545B" w:rsidRDefault="0021545B" w:rsidP="0021545B">
      <w:pPr>
        <w:spacing w:after="0"/>
      </w:pPr>
    </w:p>
    <w:p w:rsidR="0021545B" w:rsidRPr="00E57026" w:rsidRDefault="00E57026" w:rsidP="0021545B">
      <w:pPr>
        <w:spacing w:after="0"/>
        <w:rPr>
          <w:b/>
          <w:i/>
        </w:rPr>
      </w:pPr>
      <w:r w:rsidRPr="00E57026">
        <w:rPr>
          <w:b/>
          <w:i/>
        </w:rPr>
        <w:t>Patients and family members as spokespersons</w:t>
      </w:r>
    </w:p>
    <w:p w:rsidR="00BA01F5" w:rsidRDefault="00E57026" w:rsidP="00BA01F5">
      <w:pPr>
        <w:spacing w:after="0"/>
        <w:jc w:val="both"/>
      </w:pPr>
      <w:r>
        <w:t xml:space="preserve">As Carl’s example illustrates, a successful goal setting session </w:t>
      </w:r>
      <w:r w:rsidR="001917B9">
        <w:t>entails an arrangement in which</w:t>
      </w:r>
      <w:r w:rsidR="002F5079">
        <w:t xml:space="preserve"> patients and families </w:t>
      </w:r>
      <w:r w:rsidR="001917B9">
        <w:t>have</w:t>
      </w:r>
      <w:r w:rsidR="002F5079">
        <w:t xml:space="preserve"> power to engage in the session. </w:t>
      </w:r>
      <w:r w:rsidR="00BA01F5">
        <w:t xml:space="preserve">In the process of being instructed, guided and prompted during the goal setting session patients and their family members are called-upon to act as </w:t>
      </w:r>
      <w:r w:rsidR="00BA01F5" w:rsidRPr="00BA01F5">
        <w:rPr>
          <w:i/>
        </w:rPr>
        <w:t>spokespersons.</w:t>
      </w:r>
      <w:r w:rsidR="00BA01F5">
        <w:t xml:space="preserve"> </w:t>
      </w:r>
      <w:r>
        <w:t>Spokespersons (or ‘spokes-things’) are those elements that are designated with the authority to ‘speak on behalf of’ or delineate and define, some entity or state of affairs</w:t>
      </w:r>
      <w:r w:rsidR="00BA01F5">
        <w:t xml:space="preserve"> </w:t>
      </w:r>
      <w:r w:rsidR="00E42B4A">
        <w:fldChar w:fldCharType="begin"/>
      </w:r>
      <w:r w:rsidR="00EB59A0">
        <w:instrText xml:space="preserve"> ADDIN EN.CITE &lt;EndNote&gt;&lt;Cite&gt;&lt;Author&gt;Latour&lt;/Author&gt;&lt;Year&gt;2005&lt;/Year&gt;&lt;RecNum&gt;204&lt;/RecNum&gt;&lt;Pages&gt;31&lt;/Pages&gt;&lt;DisplayText&gt;(Latour, 2005, p. 31)&lt;/DisplayText&gt;&lt;record&gt;&lt;rec-number&gt;204&lt;/rec-number&gt;&lt;foreign-keys&gt;&lt;key app="EN" db-id="epdwds2e822dx1ezx215esw0exvr9wpr9vxf" timestamp="0"&gt;204&lt;/key&gt;&lt;/foreign-keys&gt;&lt;ref-type name="Book"&gt;6&lt;/ref-type&gt;&lt;contributors&gt;&lt;authors&gt;&lt;author&gt;Latour, B.&lt;/author&gt;&lt;/authors&gt;&lt;/contributors&gt;&lt;titles&gt;&lt;title&gt;Reassembling the Social: An Introduction to Actor-Network Theory&lt;/title&gt;&lt;/titles&gt;&lt;dates&gt;&lt;year&gt;2005&lt;/year&gt;&lt;/dates&gt;&lt;pub-location&gt;Oxford&lt;/pub-location&gt;&lt;publisher&gt;Oxford University Press&lt;/publisher&gt;&lt;urls&gt;&lt;/urls&gt;&lt;/record&gt;&lt;/Cite&gt;&lt;/EndNote&gt;</w:instrText>
      </w:r>
      <w:r w:rsidR="00E42B4A">
        <w:fldChar w:fldCharType="separate"/>
      </w:r>
      <w:r w:rsidR="00EB59A0">
        <w:rPr>
          <w:noProof/>
        </w:rPr>
        <w:t>(Latour, 2005, p. 31)</w:t>
      </w:r>
      <w:r w:rsidR="00E42B4A">
        <w:fldChar w:fldCharType="end"/>
      </w:r>
      <w:r>
        <w:t>.</w:t>
      </w:r>
      <w:r w:rsidR="00BA01F5">
        <w:t xml:space="preserve"> During goal setting sessions, patients and family members are</w:t>
      </w:r>
      <w:r w:rsidR="002F5079">
        <w:t xml:space="preserve"> designated to speak </w:t>
      </w:r>
      <w:r>
        <w:t>with</w:t>
      </w:r>
      <w:r w:rsidR="002F5079">
        <w:t xml:space="preserve"> some</w:t>
      </w:r>
      <w:r>
        <w:t xml:space="preserve"> </w:t>
      </w:r>
      <w:r w:rsidR="002F5079">
        <w:t>‘</w:t>
      </w:r>
      <w:r>
        <w:t>authority’ on the impact of the movement disorder on the patient’s day to day life, and to delineate which specific aspects of this impact are important. This is not to say that patients and families can say as they please: they are directed towards particular modes of expression re</w:t>
      </w:r>
      <w:r w:rsidR="007B2766">
        <w:t xml:space="preserve">quired for the COPM to function – hence, we have referred to their </w:t>
      </w:r>
      <w:r w:rsidR="007B2766" w:rsidRPr="007B2766">
        <w:rPr>
          <w:i/>
        </w:rPr>
        <w:t>constrained</w:t>
      </w:r>
      <w:r w:rsidR="007B2766">
        <w:t xml:space="preserve"> power to engage during the session. </w:t>
      </w:r>
      <w:r>
        <w:t xml:space="preserve">The COPM script then, both authorizes the importance of responsiveness to patients and also configures a particular </w:t>
      </w:r>
      <w:r w:rsidRPr="00BF0E8F">
        <w:t>‘patient voice’.</w:t>
      </w:r>
    </w:p>
    <w:p w:rsidR="00E57026" w:rsidRDefault="00D250DF" w:rsidP="00BA01F5">
      <w:pPr>
        <w:spacing w:after="0"/>
        <w:jc w:val="both"/>
      </w:pPr>
      <w:r>
        <w:tab/>
      </w:r>
      <w:r w:rsidR="00BF0E8F">
        <w:t xml:space="preserve">The PMDS </w:t>
      </w:r>
      <w:r>
        <w:t>therapists will use a range of tools and techniques to configure patients’ and family members’ constrained power to engage in the session. Indeed,</w:t>
      </w:r>
      <w:r w:rsidR="00E57026">
        <w:t xml:space="preserve"> therapists will attempt to ensure that both the patient and supporting family are accorded this spokesperson role. It is </w:t>
      </w:r>
      <w:r w:rsidR="00BF0E8F">
        <w:t>common for</w:t>
      </w:r>
      <w:r w:rsidR="00E57026">
        <w:t xml:space="preserve"> patient</w:t>
      </w:r>
      <w:r w:rsidR="00BF0E8F">
        <w:t>s to have different goals and expectations to their</w:t>
      </w:r>
      <w:r w:rsidR="00E57026">
        <w:t xml:space="preserve"> supporting family. For younger patients, for example, these revolve around being able to interact with friends, whilst parents are often more concerned about long-term care issues: </w:t>
      </w:r>
    </w:p>
    <w:p w:rsidR="00E57026" w:rsidRDefault="00E57026" w:rsidP="00E57026">
      <w:pPr>
        <w:spacing w:after="0"/>
      </w:pPr>
    </w:p>
    <w:p w:rsidR="00E57026" w:rsidRPr="00BA01F5" w:rsidRDefault="00E57026" w:rsidP="00BA01F5">
      <w:pPr>
        <w:spacing w:after="0"/>
        <w:ind w:left="720"/>
        <w:jc w:val="both"/>
        <w:rPr>
          <w:i/>
        </w:rPr>
      </w:pPr>
      <w:r w:rsidRPr="00BA01F5">
        <w:rPr>
          <w:i/>
        </w:rPr>
        <w:t xml:space="preserve">The family might have a lot of care type issues and then the kid will be like, ‘Well I don’t care about that, I want to access my computer, I want to be able to play with my friends” And I think we need to be able to capture that, because the goals are different and that’s fine.  We might be able to achieve both the goals.  </w:t>
      </w:r>
      <w:r w:rsidRPr="00BA01F5">
        <w:t>(Occupational therapist, interview)</w:t>
      </w:r>
    </w:p>
    <w:p w:rsidR="00E57026" w:rsidRDefault="00E57026" w:rsidP="00E57026">
      <w:pPr>
        <w:spacing w:after="0"/>
      </w:pPr>
    </w:p>
    <w:p w:rsidR="00E57026" w:rsidRDefault="00E57026" w:rsidP="00256514">
      <w:pPr>
        <w:spacing w:after="0"/>
        <w:jc w:val="both"/>
      </w:pPr>
      <w:r>
        <w:t xml:space="preserve">Provided both the patient and family members are willing to negotiate a set of ‘realistic’ goals, </w:t>
      </w:r>
      <w:r w:rsidR="00BF0E8F">
        <w:t>this is</w:t>
      </w:r>
      <w:r>
        <w:t xml:space="preserve"> not considered problematic by the therapists. Indeed, in order to engage the patient as much as possible (as stipulated by the COPM) it is common for the therapists to negotiate a set of goals with a patient and then a separate set with supporting family. In order to encourage patients to answer </w:t>
      </w:r>
      <w:r>
        <w:lastRenderedPageBreak/>
        <w:t xml:space="preserve">honestly and ensure they are not ‘spoken for’ by their family, part of the goal setting session may be carried out with the patient alone.  More often, though, this will simply involve instructing family members to wait their turn and not interrupt one another.   </w:t>
      </w:r>
    </w:p>
    <w:p w:rsidR="00E57026" w:rsidRDefault="00D250DF" w:rsidP="00256514">
      <w:pPr>
        <w:spacing w:after="0"/>
        <w:jc w:val="both"/>
      </w:pPr>
      <w:r>
        <w:tab/>
        <w:t>Importan</w:t>
      </w:r>
      <w:r w:rsidR="00D51396">
        <w:t>tly, while the COPM provides an</w:t>
      </w:r>
      <w:r>
        <w:t xml:space="preserve"> overall script, it does not prescribe </w:t>
      </w:r>
      <w:r w:rsidR="00D51396">
        <w:t>exactly how</w:t>
      </w:r>
      <w:r>
        <w:t xml:space="preserve"> </w:t>
      </w:r>
      <w:r w:rsidR="00D51396">
        <w:t xml:space="preserve">much of the </w:t>
      </w:r>
      <w:r>
        <w:t>work should be achieved. It therefore provides some flexibility, enabling</w:t>
      </w:r>
      <w:r w:rsidR="00D51396">
        <w:t xml:space="preserve"> the therapists</w:t>
      </w:r>
      <w:r>
        <w:t xml:space="preserve"> to utilise</w:t>
      </w:r>
      <w:r w:rsidR="00773840">
        <w:t xml:space="preserve"> </w:t>
      </w:r>
      <w:r w:rsidR="00D51396">
        <w:t xml:space="preserve">their </w:t>
      </w:r>
      <w:r w:rsidR="00773840">
        <w:t>practice skills and experience-informed dispositions.</w:t>
      </w:r>
      <w:r w:rsidR="000B0FA6">
        <w:t xml:space="preserve"> This flexibility constitutes a form of power/discretion: clinicians are accorded a space within the goal setting session within which they can decide which tools and techn</w:t>
      </w:r>
      <w:r w:rsidR="00BF0E8F">
        <w:t xml:space="preserve">iques to assemble and deploy. </w:t>
      </w:r>
      <w:r w:rsidR="00D51396">
        <w:t>T</w:t>
      </w:r>
      <w:r w:rsidR="00E57026">
        <w:t>herapists</w:t>
      </w:r>
      <w:r w:rsidR="00386FB4">
        <w:t xml:space="preserve"> </w:t>
      </w:r>
      <w:r w:rsidR="000B0FA6">
        <w:t xml:space="preserve">may draw on their </w:t>
      </w:r>
      <w:r w:rsidR="00E57026">
        <w:t>emotional work</w:t>
      </w:r>
      <w:r w:rsidR="00773840">
        <w:t xml:space="preserve"> </w:t>
      </w:r>
      <w:r w:rsidR="000B0FA6">
        <w:t xml:space="preserve">skills </w:t>
      </w:r>
      <w:r w:rsidR="00E42B4A">
        <w:fldChar w:fldCharType="begin"/>
      </w:r>
      <w:r w:rsidR="00EB59A0">
        <w:instrText xml:space="preserve"> ADDIN EN.CITE &lt;EndNote&gt;&lt;Cite&gt;&lt;Author&gt;Bolton&lt;/Author&gt;&lt;Year&gt;2001&lt;/Year&gt;&lt;RecNum&gt;686&lt;/RecNum&gt;&lt;DisplayText&gt;(Bolton, 2001)&lt;/DisplayText&gt;&lt;record&gt;&lt;rec-number&gt;686&lt;/rec-number&gt;&lt;foreign-keys&gt;&lt;key app="EN" db-id="epdwds2e822dx1ezx215esw0exvr9wpr9vxf" timestamp="1435937425"&gt;686&lt;/key&gt;&lt;/foreign-keys&gt;&lt;ref-type name="Journal Article"&gt;17&lt;/ref-type&gt;&lt;contributors&gt;&lt;authors&gt;&lt;author&gt;Bolton, Sharon&lt;/author&gt;&lt;/authors&gt;&lt;/contributors&gt;&lt;titles&gt;&lt;title&gt;Changing faces: nurses as emotional jugglers&lt;/title&gt;&lt;secondary-title&gt;Sociology of Health &amp;amp; Illness&lt;/secondary-title&gt;&lt;/titles&gt;&lt;periodical&gt;&lt;full-title&gt;Sociol Health Illn&lt;/full-title&gt;&lt;abbr-1&gt;Sociology of health &amp;amp; illness&lt;/abbr-1&gt;&lt;/periodical&gt;&lt;pages&gt;85-100&lt;/pages&gt;&lt;volume&gt;23&lt;/volume&gt;&lt;number&gt;1&lt;/number&gt;&lt;keywords&gt;&lt;keyword&gt;Goffman&lt;/keyword&gt;&lt;keyword&gt;nurses&lt;/keyword&gt;&lt;keyword&gt;National Health Service&lt;/keyword&gt;&lt;keyword&gt;face-work&lt;/keyword&gt;&lt;keyword&gt;emotion-work&lt;/keyword&gt;&lt;/keywords&gt;&lt;dates&gt;&lt;year&gt;2001&lt;/year&gt;&lt;/dates&gt;&lt;publisher&gt;Blackwell Publishers Ltd&lt;/publisher&gt;&lt;isbn&gt;1467-9566&lt;/isbn&gt;&lt;urls&gt;&lt;related-urls&gt;&lt;url&gt;http://dx.doi.org/10.1111/1467-9566.00242&lt;/url&gt;&lt;/related-urls&gt;&lt;/urls&gt;&lt;electronic-resource-num&gt;10.1111/1467-9566.00242&lt;/electronic-resource-num&gt;&lt;/record&gt;&lt;/Cite&gt;&lt;/EndNote&gt;</w:instrText>
      </w:r>
      <w:r w:rsidR="00E42B4A">
        <w:fldChar w:fldCharType="separate"/>
      </w:r>
      <w:r w:rsidR="00EB59A0">
        <w:rPr>
          <w:noProof/>
        </w:rPr>
        <w:t>(Bolton, 2001)</w:t>
      </w:r>
      <w:r w:rsidR="00E42B4A">
        <w:fldChar w:fldCharType="end"/>
      </w:r>
      <w:r w:rsidR="00386FB4">
        <w:t>, for example, by</w:t>
      </w:r>
      <w:r w:rsidR="00E57026">
        <w:t xml:space="preserve"> </w:t>
      </w:r>
      <w:r w:rsidR="00386FB4">
        <w:t>managing</w:t>
      </w:r>
      <w:r w:rsidR="00E57026">
        <w:t xml:space="preserve"> their own emotions </w:t>
      </w:r>
      <w:r w:rsidR="000B0FA6">
        <w:t>– and thus</w:t>
      </w:r>
      <w:r w:rsidR="00E57026">
        <w:t xml:space="preserve"> those of</w:t>
      </w:r>
      <w:r w:rsidR="00386FB4">
        <w:t xml:space="preserve"> the patient and family members. The following example illustrates how PMDS therapists use humour to quell potentially disruptive tension. </w:t>
      </w:r>
      <w:r w:rsidR="00E57026">
        <w:t>Toward the end of the session, Carl is visibly tired, and his mother is beginning to answer on his behalf. In order to get Carl to provide an answer without being influenced by his mother, she received the following instruction:</w:t>
      </w:r>
    </w:p>
    <w:p w:rsidR="00E57026" w:rsidRDefault="00E57026" w:rsidP="00E57026">
      <w:pPr>
        <w:spacing w:after="0"/>
      </w:pPr>
    </w:p>
    <w:p w:rsidR="00E57026" w:rsidRDefault="00E57026" w:rsidP="00256514">
      <w:pPr>
        <w:spacing w:after="0"/>
        <w:ind w:left="720" w:hanging="720"/>
        <w:jc w:val="both"/>
      </w:pPr>
      <w:r>
        <w:t>OT:</w:t>
      </w:r>
      <w:r>
        <w:tab/>
      </w:r>
      <w:r w:rsidRPr="00256514">
        <w:rPr>
          <w:i/>
        </w:rPr>
        <w:t>Mum! Don’t influence him!  Hide your face and cover y</w:t>
      </w:r>
      <w:r w:rsidR="00256514" w:rsidRPr="00256514">
        <w:rPr>
          <w:i/>
        </w:rPr>
        <w:t xml:space="preserve">our ears, we need to hear from </w:t>
      </w:r>
      <w:r w:rsidRPr="00256514">
        <w:rPr>
          <w:i/>
        </w:rPr>
        <w:t>Carl!</w:t>
      </w:r>
    </w:p>
    <w:p w:rsidR="00E57026" w:rsidRDefault="00E57026" w:rsidP="00E57026">
      <w:pPr>
        <w:spacing w:after="0"/>
      </w:pPr>
    </w:p>
    <w:p w:rsidR="00E57026" w:rsidRDefault="00E57026" w:rsidP="00256514">
      <w:pPr>
        <w:spacing w:after="0"/>
        <w:jc w:val="both"/>
      </w:pPr>
      <w:r>
        <w:t>The instruction was given at high volume but with obvious jest: the OT was smiling as she said it, and Carl along with the physiotherapist and psychologist responded with laughter. The instruction had the intended effect: Mum, also chuckling, turned her chair so that she was not facing Carl and covered her ears with her hands, enabling Carl to respond</w:t>
      </w:r>
      <w:r w:rsidR="00386FB4">
        <w:t xml:space="preserve"> and to act as a spokesperson</w:t>
      </w:r>
      <w:r>
        <w:t xml:space="preserve">. </w:t>
      </w:r>
    </w:p>
    <w:p w:rsidR="00E57026" w:rsidRDefault="00E57026" w:rsidP="00672DDB">
      <w:pPr>
        <w:spacing w:after="0"/>
        <w:ind w:firstLine="720"/>
        <w:jc w:val="both"/>
      </w:pPr>
      <w:r>
        <w:t>In addition to their professional and emotional resources</w:t>
      </w:r>
      <w:r w:rsidR="007A5F5B">
        <w:t>,</w:t>
      </w:r>
      <w:r>
        <w:t xml:space="preserve"> therapists </w:t>
      </w:r>
      <w:r w:rsidR="007A5F5B">
        <w:t xml:space="preserve">may </w:t>
      </w:r>
      <w:r>
        <w:t xml:space="preserve">also </w:t>
      </w:r>
      <w:r w:rsidR="007A5F5B">
        <w:t xml:space="preserve">choose to </w:t>
      </w:r>
      <w:r>
        <w:t>employ the use of communication aids to help patients act as spokespersons. Team members have devised a vision board that can be used to communicate with patients who are unable to verbally communicate or access an electronic aid. Depending on the age of the patient, the vision board will have a series of numbers, the words ‘yes’ and ‘no’, happy and sad faces. As the therapy assistant explains:</w:t>
      </w:r>
    </w:p>
    <w:p w:rsidR="00E57026" w:rsidRDefault="00E57026" w:rsidP="00E57026">
      <w:pPr>
        <w:spacing w:after="0"/>
      </w:pPr>
    </w:p>
    <w:p w:rsidR="00E57026" w:rsidRPr="007A5F5B" w:rsidRDefault="00E57026" w:rsidP="007A5F5B">
      <w:pPr>
        <w:spacing w:after="0"/>
        <w:ind w:left="720"/>
        <w:rPr>
          <w:i/>
        </w:rPr>
      </w:pPr>
      <w:r w:rsidRPr="00672DDB">
        <w:rPr>
          <w:i/>
        </w:rPr>
        <w:t>We have a vision board where we put our numbers from one to ten for the importance of a certain goal… yes and no smiley face and sad face… Depends on how able they are… we have children who can easily move the upper limb and point.</w:t>
      </w:r>
      <w:r>
        <w:t xml:space="preserve"> (Therapy assistant, interview) </w:t>
      </w:r>
    </w:p>
    <w:p w:rsidR="00E57026" w:rsidRDefault="00E57026" w:rsidP="00E57026">
      <w:pPr>
        <w:spacing w:after="0"/>
      </w:pPr>
    </w:p>
    <w:p w:rsidR="00E57026" w:rsidRDefault="00E57026" w:rsidP="001B6721">
      <w:pPr>
        <w:spacing w:after="0"/>
        <w:jc w:val="both"/>
      </w:pPr>
      <w:r>
        <w:t xml:space="preserve">These tools can be seen as what </w:t>
      </w:r>
      <w:proofErr w:type="spellStart"/>
      <w:r>
        <w:t>Latour</w:t>
      </w:r>
      <w:proofErr w:type="spellEnd"/>
      <w:r>
        <w:t xml:space="preserve"> refers to as intermediaries</w:t>
      </w:r>
      <w:r w:rsidR="00672DDB">
        <w:t xml:space="preserve"> </w:t>
      </w:r>
      <w:r w:rsidR="00E42B4A">
        <w:fldChar w:fldCharType="begin"/>
      </w:r>
      <w:r w:rsidR="00EB59A0">
        <w:instrText xml:space="preserve"> ADDIN EN.CITE &lt;EndNote&gt;&lt;Cite&gt;&lt;Author&gt;Latour&lt;/Author&gt;&lt;Year&gt;2005&lt;/Year&gt;&lt;RecNum&gt;204&lt;/RecNum&gt;&lt;Pages&gt;39&lt;/Pages&gt;&lt;DisplayText&gt;(Latour, 2005, p. 39)&lt;/DisplayText&gt;&lt;record&gt;&lt;rec-number&gt;204&lt;/rec-number&gt;&lt;foreign-keys&gt;&lt;key app="EN" db-id="epdwds2e822dx1ezx215esw0exvr9wpr9vxf" timestamp="0"&gt;204&lt;/key&gt;&lt;/foreign-keys&gt;&lt;ref-type name="Book"&gt;6&lt;/ref-type&gt;&lt;contributors&gt;&lt;authors&gt;&lt;author&gt;Latour, B.&lt;/author&gt;&lt;/authors&gt;&lt;/contributors&gt;&lt;titles&gt;&lt;title&gt;Reassembling the Social: An Introduction to Actor-Network Theory&lt;/title&gt;&lt;/titles&gt;&lt;dates&gt;&lt;year&gt;2005&lt;/year&gt;&lt;/dates&gt;&lt;pub-location&gt;Oxford&lt;/pub-location&gt;&lt;publisher&gt;Oxford University Press&lt;/publisher&gt;&lt;urls&gt;&lt;/urls&gt;&lt;/record&gt;&lt;/Cite&gt;&lt;/EndNote&gt;</w:instrText>
      </w:r>
      <w:r w:rsidR="00E42B4A">
        <w:fldChar w:fldCharType="separate"/>
      </w:r>
      <w:r w:rsidR="00EB59A0">
        <w:rPr>
          <w:noProof/>
        </w:rPr>
        <w:t>(Latour, 2005, p. 39)</w:t>
      </w:r>
      <w:r w:rsidR="00E42B4A">
        <w:fldChar w:fldCharType="end"/>
      </w:r>
      <w:r>
        <w:t xml:space="preserve">: entities that transport meaning or force from one agent (the patient) to another (the therapists), thus enabling the former to ‘act’ (or influence) that latter. They </w:t>
      </w:r>
      <w:r w:rsidR="000B0FA6">
        <w:t>constitute</w:t>
      </w:r>
      <w:r>
        <w:t xml:space="preserve">, then, </w:t>
      </w:r>
      <w:r w:rsidR="000B0FA6">
        <w:t>the patient’s constrained power to engage in the session</w:t>
      </w:r>
      <w:r>
        <w:t>.</w:t>
      </w:r>
      <w:r w:rsidR="001B6721">
        <w:t xml:space="preserve"> </w:t>
      </w:r>
      <w:r>
        <w:t xml:space="preserve">In some cases, </w:t>
      </w:r>
      <w:r w:rsidR="005714EB">
        <w:t>however, these tools may be insufficient. T</w:t>
      </w:r>
      <w:r>
        <w:t>he severity of the child’s affliction may prevent the use of such tools, and their family members will speak on their behalf (although some attempt will be made to include the child):</w:t>
      </w:r>
    </w:p>
    <w:p w:rsidR="00E57026" w:rsidRDefault="00E57026" w:rsidP="00E57026">
      <w:pPr>
        <w:spacing w:after="0"/>
      </w:pPr>
    </w:p>
    <w:p w:rsidR="00E57026" w:rsidRPr="00672DDB" w:rsidRDefault="00E57026" w:rsidP="00672DDB">
      <w:pPr>
        <w:spacing w:after="0"/>
        <w:ind w:left="720"/>
        <w:jc w:val="both"/>
      </w:pPr>
      <w:r w:rsidRPr="00672DDB">
        <w:rPr>
          <w:i/>
        </w:rPr>
        <w:t xml:space="preserve">If we’re unable to have a whole sentence from the child or get an idea what they will want to achieve, then the parents set the goals and we have a yes/no conversation with the child. </w:t>
      </w:r>
      <w:proofErr w:type="gramStart"/>
      <w:r w:rsidRPr="00672DDB">
        <w:t>(Therapy assistant, interview).</w:t>
      </w:r>
      <w:proofErr w:type="gramEnd"/>
      <w:r w:rsidRPr="00672DDB">
        <w:t xml:space="preserve"> </w:t>
      </w:r>
    </w:p>
    <w:p w:rsidR="00E57026" w:rsidRDefault="00E57026" w:rsidP="00E57026">
      <w:pPr>
        <w:spacing w:after="0"/>
      </w:pPr>
    </w:p>
    <w:p w:rsidR="005F42BD" w:rsidRDefault="00193F8C" w:rsidP="00672DDB">
      <w:pPr>
        <w:spacing w:after="0"/>
        <w:jc w:val="both"/>
      </w:pPr>
      <w:r>
        <w:t>Thus, during the goal setting session the COPM accords</w:t>
      </w:r>
      <w:r w:rsidR="001B6721">
        <w:t xml:space="preserve"> therapists </w:t>
      </w:r>
      <w:r>
        <w:t>with authority (</w:t>
      </w:r>
      <w:r w:rsidRPr="00193F8C">
        <w:rPr>
          <w:i/>
        </w:rPr>
        <w:t>power over</w:t>
      </w:r>
      <w:r>
        <w:t>), and</w:t>
      </w:r>
      <w:r w:rsidR="006524E4">
        <w:t xml:space="preserve"> a</w:t>
      </w:r>
      <w:r>
        <w:t xml:space="preserve"> </w:t>
      </w:r>
      <w:r w:rsidR="001B6721">
        <w:t>degr</w:t>
      </w:r>
      <w:r>
        <w:t xml:space="preserve">ee of flexibility to draw on </w:t>
      </w:r>
      <w:r w:rsidR="006524E4">
        <w:t>at-hand</w:t>
      </w:r>
      <w:r w:rsidR="001B6721">
        <w:t xml:space="preserve"> professional and emotional resources</w:t>
      </w:r>
      <w:r>
        <w:t>,</w:t>
      </w:r>
      <w:r w:rsidR="001B6721">
        <w:t xml:space="preserve"> and to deploy additional communication aides</w:t>
      </w:r>
      <w:r>
        <w:t xml:space="preserve"> (</w:t>
      </w:r>
      <w:r w:rsidRPr="00193F8C">
        <w:rPr>
          <w:i/>
        </w:rPr>
        <w:t>power/discretion</w:t>
      </w:r>
      <w:r>
        <w:t>)</w:t>
      </w:r>
      <w:r w:rsidR="001B6721">
        <w:t>. These</w:t>
      </w:r>
      <w:r>
        <w:t xml:space="preserve"> practices</w:t>
      </w:r>
      <w:r w:rsidR="001B6721">
        <w:t xml:space="preserve">, along with the arranged, </w:t>
      </w:r>
      <w:r w:rsidR="001B6721">
        <w:lastRenderedPageBreak/>
        <w:t>informal, ‘unintimidating’</w:t>
      </w:r>
      <w:r>
        <w:t xml:space="preserve"> working space, help ensure that the patients and family members are able to act as spokespeople (constrained </w:t>
      </w:r>
      <w:r w:rsidRPr="00193F8C">
        <w:rPr>
          <w:i/>
        </w:rPr>
        <w:t>power to</w:t>
      </w:r>
      <w:r>
        <w:t xml:space="preserve">). </w:t>
      </w:r>
      <w:r w:rsidR="000D69B9">
        <w:t>I</w:t>
      </w:r>
      <w:r>
        <w:t xml:space="preserve">n other words, </w:t>
      </w:r>
      <w:r w:rsidR="000D69B9">
        <w:t xml:space="preserve">they </w:t>
      </w:r>
      <w:r>
        <w:t xml:space="preserve">help </w:t>
      </w:r>
      <w:r w:rsidR="00E57026">
        <w:t xml:space="preserve">ensure that the </w:t>
      </w:r>
      <w:r>
        <w:t xml:space="preserve">COPM </w:t>
      </w:r>
      <w:r w:rsidR="00E57026">
        <w:t>script and its ‘</w:t>
      </w:r>
      <w:r w:rsidR="00B65130">
        <w:t>patient</w:t>
      </w:r>
      <w:r w:rsidR="00E57026">
        <w:t>-</w:t>
      </w:r>
      <w:r w:rsidR="003D4B4A">
        <w:t>centred</w:t>
      </w:r>
      <w:r w:rsidR="00E57026">
        <w:t>’ normative orientation are enacted in actual clinical practice, and they are all, therefore, implicated in the ethical work of negotiating expectations.</w:t>
      </w:r>
    </w:p>
    <w:p w:rsidR="005F42BD" w:rsidRDefault="005F42BD" w:rsidP="00417BC6">
      <w:pPr>
        <w:spacing w:after="0"/>
      </w:pPr>
    </w:p>
    <w:p w:rsidR="0024556D" w:rsidRDefault="0024556D" w:rsidP="00417BC6">
      <w:pPr>
        <w:spacing w:after="0"/>
      </w:pPr>
    </w:p>
    <w:p w:rsidR="00417BC6" w:rsidRPr="00417BC6" w:rsidRDefault="00417BC6" w:rsidP="008211B1">
      <w:pPr>
        <w:pStyle w:val="ListParagraph"/>
        <w:numPr>
          <w:ilvl w:val="0"/>
          <w:numId w:val="1"/>
        </w:numPr>
        <w:spacing w:after="0"/>
        <w:jc w:val="both"/>
        <w:rPr>
          <w:b/>
        </w:rPr>
      </w:pPr>
      <w:r>
        <w:rPr>
          <w:b/>
        </w:rPr>
        <w:t>Discussion: patient-</w:t>
      </w:r>
      <w:proofErr w:type="spellStart"/>
      <w:r>
        <w:rPr>
          <w:b/>
        </w:rPr>
        <w:t>centredness</w:t>
      </w:r>
      <w:proofErr w:type="spellEnd"/>
      <w:r>
        <w:rPr>
          <w:b/>
        </w:rPr>
        <w:t>,</w:t>
      </w:r>
      <w:r w:rsidR="009411EF">
        <w:rPr>
          <w:b/>
        </w:rPr>
        <w:t xml:space="preserve"> power</w:t>
      </w:r>
      <w:r>
        <w:rPr>
          <w:b/>
        </w:rPr>
        <w:t xml:space="preserve"> and ethics</w:t>
      </w:r>
    </w:p>
    <w:p w:rsidR="005F484A" w:rsidRDefault="00BE282B" w:rsidP="008211B1">
      <w:pPr>
        <w:spacing w:after="0"/>
        <w:jc w:val="both"/>
      </w:pPr>
      <w:r>
        <w:t xml:space="preserve">Patient-centred medicine and patient-empowerment have been heralded as a much-needed rebalancing of the clinician/patient dynamic; as part of a movement away from the paternalism of the past, toward </w:t>
      </w:r>
      <w:r w:rsidR="00340E22">
        <w:t xml:space="preserve">a </w:t>
      </w:r>
      <w:r>
        <w:t xml:space="preserve">more egalitarian relationship.  In the interest of anticipating the impact of the emerging patient-centred &amp; patient-empowerment movement, </w:t>
      </w:r>
      <w:r w:rsidR="00F22D9A">
        <w:t xml:space="preserve">and with the intention of </w:t>
      </w:r>
      <w:r w:rsidR="00974AFD">
        <w:t>encouraging</w:t>
      </w:r>
      <w:r w:rsidR="00F22D9A">
        <w:t xml:space="preserve"> deliberation on what </w:t>
      </w:r>
      <w:r w:rsidR="00F22D9A" w:rsidRPr="00974AFD">
        <w:t>impact the movement</w:t>
      </w:r>
      <w:r w:rsidR="00F22D9A" w:rsidRPr="00F22D9A">
        <w:rPr>
          <w:i/>
        </w:rPr>
        <w:t xml:space="preserve"> </w:t>
      </w:r>
      <w:r w:rsidR="00F22D9A">
        <w:rPr>
          <w:i/>
        </w:rPr>
        <w:t xml:space="preserve">ought </w:t>
      </w:r>
      <w:r w:rsidR="00F22D9A" w:rsidRPr="00974AFD">
        <w:t>to have</w:t>
      </w:r>
      <w:r w:rsidR="00F22D9A">
        <w:t xml:space="preserve">, we examined the role of patient-centred tools in deploying and structuring power relations. </w:t>
      </w:r>
      <w:r w:rsidR="00CD68BB">
        <w:t>Specifically</w:t>
      </w:r>
      <w:r w:rsidR="00F22D9A">
        <w:t xml:space="preserve"> we have </w:t>
      </w:r>
      <w:r w:rsidR="00974AFD">
        <w:t>used</w:t>
      </w:r>
      <w:r w:rsidR="00F22D9A">
        <w:t xml:space="preserve"> an </w:t>
      </w:r>
      <w:r w:rsidR="00F4696B">
        <w:t>ANT-informed analyt</w:t>
      </w:r>
      <w:r w:rsidR="00F22D9A">
        <w:t xml:space="preserve">ical perspective to </w:t>
      </w:r>
      <w:r w:rsidR="00CD68BB">
        <w:t xml:space="preserve">illustrate how, in our PMDS case </w:t>
      </w:r>
      <w:proofErr w:type="gramStart"/>
      <w:r w:rsidR="00CD68BB">
        <w:t>study,</w:t>
      </w:r>
      <w:proofErr w:type="gramEnd"/>
      <w:r w:rsidR="00CD68BB">
        <w:t xml:space="preserve"> </w:t>
      </w:r>
      <w:r w:rsidR="00F4696B">
        <w:t xml:space="preserve">patient-centred tools are implicated in establishing relations that constitute </w:t>
      </w:r>
      <w:r w:rsidR="00F4696B" w:rsidRPr="00F4696B">
        <w:rPr>
          <w:i/>
        </w:rPr>
        <w:t>power storage</w:t>
      </w:r>
      <w:r w:rsidR="00F4696B">
        <w:t xml:space="preserve">, </w:t>
      </w:r>
      <w:r w:rsidR="00F4696B" w:rsidRPr="00F4696B">
        <w:rPr>
          <w:i/>
        </w:rPr>
        <w:t>power over</w:t>
      </w:r>
      <w:r w:rsidR="00F4696B">
        <w:t xml:space="preserve"> and </w:t>
      </w:r>
      <w:r w:rsidR="00F4696B" w:rsidRPr="00F4696B">
        <w:rPr>
          <w:i/>
        </w:rPr>
        <w:t>power to</w:t>
      </w:r>
      <w:r w:rsidR="00F4696B">
        <w:t xml:space="preserve">, and </w:t>
      </w:r>
      <w:r w:rsidR="00F4696B" w:rsidRPr="00F4696B">
        <w:rPr>
          <w:i/>
        </w:rPr>
        <w:t>power/discretion</w:t>
      </w:r>
      <w:r w:rsidR="00F4696B">
        <w:t>.</w:t>
      </w:r>
      <w:r>
        <w:t xml:space="preserve"> </w:t>
      </w:r>
      <w:r w:rsidR="009249C1">
        <w:t>We suggest that the COPM itself represents a form of power storage. The team’s adoption of the tool into their routine clinical practice means that the power relations it prescribes</w:t>
      </w:r>
      <w:r w:rsidR="00340E22">
        <w:t xml:space="preserve"> are enacted again and again</w:t>
      </w:r>
      <w:r w:rsidR="009249C1">
        <w:t xml:space="preserve"> and thus become institutionally embedded.  May and colleagues </w:t>
      </w:r>
      <w:r w:rsidR="00E42B4A">
        <w:fldChar w:fldCharType="begin">
          <w:fldData xml:space="preserve">PEVuZE5vdGU+PENpdGUgRXhjbHVkZUF1dGg9IjEiPjxBdXRob3I+TWF5PC9BdXRob3I+PFllYXI+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</w:fldData>
        </w:fldChar>
      </w:r>
      <w:r w:rsidR="009249C1">
        <w:instrText xml:space="preserve"> ADDIN EN.CITE </w:instrText>
      </w:r>
      <w:r w:rsidR="00E42B4A">
        <w:fldChar w:fldCharType="begin">
          <w:fldData xml:space="preserve">PEVuZE5vdGU+PENpdGUgRXhjbHVkZUF1dGg9IjEiPjxBdXRob3I+TWF5PC9BdXRob3I+PFllYXI+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</w:fldData>
        </w:fldChar>
      </w:r>
      <w:r w:rsidR="009249C1">
        <w:instrText xml:space="preserve"> ADDIN EN.CITE.DATA </w:instrText>
      </w:r>
      <w:r w:rsidR="00E42B4A">
        <w:fldChar w:fldCharType="end"/>
      </w:r>
      <w:r w:rsidR="00E42B4A">
        <w:fldChar w:fldCharType="separate"/>
      </w:r>
      <w:r w:rsidR="009249C1">
        <w:rPr>
          <w:noProof/>
        </w:rPr>
        <w:t>(2006)</w:t>
      </w:r>
      <w:r w:rsidR="00E42B4A">
        <w:fldChar w:fldCharType="end"/>
      </w:r>
      <w:r w:rsidR="009249C1">
        <w:t xml:space="preserve"> have referred to the institutionalisation of such patient-centred tools as characteristic of an era of </w:t>
      </w:r>
      <w:proofErr w:type="spellStart"/>
      <w:r w:rsidR="009249C1" w:rsidRPr="00F77AC5">
        <w:rPr>
          <w:i/>
        </w:rPr>
        <w:t>technogovernance</w:t>
      </w:r>
      <w:proofErr w:type="spellEnd"/>
      <w:r w:rsidR="009249C1">
        <w:t xml:space="preserve">. In this era, technological devices (such as decision-making tools) are increasingly used as a means of </w:t>
      </w:r>
      <w:r w:rsidR="00340E22">
        <w:t>governing</w:t>
      </w:r>
      <w:r w:rsidR="009249C1">
        <w:t xml:space="preserve"> the tensions within clinical settings; tensions that arise, for example from the convergence of potentially conflicting ideas of evidence-based medicine and patient-centred medicine.  </w:t>
      </w:r>
      <w:proofErr w:type="spellStart"/>
      <w:r w:rsidR="009249C1">
        <w:t>Technogovernance</w:t>
      </w:r>
      <w:proofErr w:type="spellEnd"/>
      <w:r w:rsidR="009249C1">
        <w:t xml:space="preserve">, May and </w:t>
      </w:r>
      <w:proofErr w:type="gramStart"/>
      <w:r w:rsidR="009249C1">
        <w:t>colleagues</w:t>
      </w:r>
      <w:proofErr w:type="gramEnd"/>
      <w:r w:rsidR="009249C1">
        <w:t xml:space="preserve"> state, entails the prescribing of clinician practices so that patients are guided and their narratives are appropriately situated </w:t>
      </w:r>
      <w:r w:rsidR="00E42B4A">
        <w:fldChar w:fldCharType="begin">
          <w:fldData xml:space="preserve">PEVuZE5vdGU+PENpdGU+PEF1dGhvcj5NYXk8L0F1dGhvcj48WWVhcj4yMDA2PC9ZZWFyPjxSZWNO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</w:fldData>
        </w:fldChar>
      </w:r>
      <w:r w:rsidR="00EB59A0">
        <w:instrText xml:space="preserve"> ADDIN EN.CITE </w:instrText>
      </w:r>
      <w:r w:rsidR="00EB59A0">
        <w:fldChar w:fldCharType="begin">
          <w:fldData xml:space="preserve">PEVuZE5vdGU+PENpdGU+PEF1dGhvcj5NYXk8L0F1dGhvcj48WWVhcj4yMDA2PC9ZZWFyPjxSZWNO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</w:fldData>
        </w:fldChar>
      </w:r>
      <w:r w:rsidR="00EB59A0">
        <w:instrText xml:space="preserve"> ADDIN EN.CITE.DATA </w:instrText>
      </w:r>
      <w:r w:rsidR="00EB59A0">
        <w:fldChar w:fldCharType="end"/>
      </w:r>
      <w:r w:rsidR="00E42B4A">
        <w:fldChar w:fldCharType="separate"/>
      </w:r>
      <w:r w:rsidR="00EB59A0">
        <w:rPr>
          <w:noProof/>
        </w:rPr>
        <w:t>(May et al., 2006)</w:t>
      </w:r>
      <w:r w:rsidR="00E42B4A">
        <w:fldChar w:fldCharType="end"/>
      </w:r>
      <w:r w:rsidR="009249C1">
        <w:t xml:space="preserve">.  </w:t>
      </w:r>
    </w:p>
    <w:p w:rsidR="00F77AC5" w:rsidRDefault="005F484A" w:rsidP="00547D5D">
      <w:pPr>
        <w:spacing w:after="0"/>
        <w:ind w:firstLine="720"/>
        <w:jc w:val="both"/>
      </w:pPr>
      <w:r>
        <w:t>We have sought to explore precisely how such guiding and situating is actually achieved</w:t>
      </w:r>
      <w:r w:rsidR="0024556D">
        <w:t xml:space="preserve"> within an interaction</w:t>
      </w:r>
      <w:r>
        <w:t xml:space="preserve">. </w:t>
      </w:r>
      <w:r w:rsidR="009249C1">
        <w:t xml:space="preserve"> </w:t>
      </w:r>
      <w:r w:rsidR="00913595">
        <w:t xml:space="preserve">During the goal setting </w:t>
      </w:r>
      <w:proofErr w:type="gramStart"/>
      <w:r w:rsidR="00913595">
        <w:t>sessions</w:t>
      </w:r>
      <w:proofErr w:type="gramEnd"/>
      <w:r w:rsidR="00913595">
        <w:t xml:space="preserve"> patients and their families are encouraged to actively engage in the setting of goals for </w:t>
      </w:r>
      <w:r w:rsidR="00BC2B99">
        <w:t>deep brain stimulation</w:t>
      </w:r>
      <w:r w:rsidR="00913595">
        <w:t xml:space="preserve"> </w:t>
      </w:r>
      <w:r w:rsidR="008211B1">
        <w:t xml:space="preserve">and </w:t>
      </w:r>
      <w:r w:rsidR="00913595">
        <w:t>offer their perspectives and articulat</w:t>
      </w:r>
      <w:r w:rsidR="008211B1">
        <w:t>e</w:t>
      </w:r>
      <w:r w:rsidR="00913595">
        <w:t xml:space="preserve"> those aspects of daily life that are most important to them. They are, in other words, </w:t>
      </w:r>
      <w:r w:rsidR="008211B1">
        <w:t xml:space="preserve">encouraged to act as </w:t>
      </w:r>
      <w:r w:rsidR="00913595">
        <w:t xml:space="preserve">spokespersons </w:t>
      </w:r>
      <w:r w:rsidR="00E42B4A">
        <w:fldChar w:fldCharType="begin"/>
      </w:r>
      <w:r w:rsidR="00EB59A0">
        <w:instrText xml:space="preserve"> ADDIN EN.CITE &lt;EndNote&gt;&lt;Cite&gt;&lt;Author&gt;Latour&lt;/Author&gt;&lt;Year&gt;2005&lt;/Year&gt;&lt;RecNum&gt;204&lt;/RecNum&gt;&lt;Pages&gt;31&lt;/Pages&gt;&lt;DisplayText&gt;(Latour, 2005, p. 31)&lt;/DisplayText&gt;&lt;record&gt;&lt;rec-number&gt;204&lt;/rec-number&gt;&lt;foreign-keys&gt;&lt;key app="EN" db-id="epdwds2e822dx1ezx215esw0exvr9wpr9vxf" timestamp="0"&gt;204&lt;/key&gt;&lt;/foreign-keys&gt;&lt;ref-type name="Book"&gt;6&lt;/ref-type&gt;&lt;contributors&gt;&lt;authors&gt;&lt;author&gt;Latour, B.&lt;/author&gt;&lt;/authors&gt;&lt;/contributors&gt;&lt;titles&gt;&lt;title&gt;Reassembling the Social: An Introduction to Actor-Network Theory&lt;/title&gt;&lt;/titles&gt;&lt;dates&gt;&lt;year&gt;2005&lt;/year&gt;&lt;/dates&gt;&lt;pub-location&gt;Oxford&lt;/pub-location&gt;&lt;publisher&gt;Oxford University Press&lt;/publisher&gt;&lt;urls&gt;&lt;/urls&gt;&lt;/record&gt;&lt;/Cite&gt;&lt;/EndNote&gt;</w:instrText>
      </w:r>
      <w:r w:rsidR="00E42B4A">
        <w:fldChar w:fldCharType="separate"/>
      </w:r>
      <w:r w:rsidR="00EB59A0">
        <w:rPr>
          <w:noProof/>
        </w:rPr>
        <w:t>(Latour, 2005, p. 31)</w:t>
      </w:r>
      <w:r w:rsidR="00E42B4A">
        <w:fldChar w:fldCharType="end"/>
      </w:r>
      <w:r w:rsidR="0024556D">
        <w:t>.</w:t>
      </w:r>
      <w:r w:rsidR="00D270DB">
        <w:t xml:space="preserve"> Yet to act as </w:t>
      </w:r>
      <w:r w:rsidR="00591EB8">
        <w:t>such</w:t>
      </w:r>
      <w:r w:rsidR="00D270DB">
        <w:t xml:space="preserve"> </w:t>
      </w:r>
      <w:r w:rsidR="00591EB8">
        <w:t>requires a carefully configured space that contains the tools and resources through which the spokesperson can articulate in a meaningful way. In the PMDS goal setting session, this configuring of space is scripted by the COPM, and i</w:t>
      </w:r>
      <w:r w:rsidR="00F66199">
        <w:t>t is directed by the therapist. T</w:t>
      </w:r>
      <w:r w:rsidR="002F2C6B">
        <w:t xml:space="preserve">he patients’ </w:t>
      </w:r>
      <w:r w:rsidR="002F2C6B" w:rsidRPr="002F2C6B">
        <w:rPr>
          <w:i/>
        </w:rPr>
        <w:t>power to</w:t>
      </w:r>
      <w:r w:rsidR="00916BDA">
        <w:t>, therefore,</w:t>
      </w:r>
      <w:r w:rsidR="00591EB8">
        <w:t xml:space="preserve"> </w:t>
      </w:r>
      <w:r w:rsidR="002F2C6B">
        <w:t xml:space="preserve">is a consequence of the therapists’ </w:t>
      </w:r>
      <w:r w:rsidR="008211B1">
        <w:t xml:space="preserve">degree of </w:t>
      </w:r>
      <w:r w:rsidR="002F2C6B" w:rsidRPr="002F2C6B">
        <w:rPr>
          <w:i/>
        </w:rPr>
        <w:t>power over</w:t>
      </w:r>
      <w:r w:rsidR="00591EB8">
        <w:t xml:space="preserve"> </w:t>
      </w:r>
      <w:r w:rsidR="002F2C6B">
        <w:t xml:space="preserve">them, as prescribed by the COPM. </w:t>
      </w:r>
      <w:r w:rsidR="000139A0">
        <w:t xml:space="preserve">This of course aligns with the </w:t>
      </w:r>
      <w:proofErr w:type="spellStart"/>
      <w:r w:rsidR="000139A0">
        <w:t>Latour’s</w:t>
      </w:r>
      <w:proofErr w:type="spellEnd"/>
      <w:r w:rsidR="000139A0">
        <w:t xml:space="preserve"> argument that to be an ‘agent’ is to be both affected</w:t>
      </w:r>
      <w:r w:rsidR="00547D5D">
        <w:t xml:space="preserve"> </w:t>
      </w:r>
      <w:r w:rsidR="000139A0">
        <w:t>by, and to affect</w:t>
      </w:r>
      <w:r w:rsidR="00D4126F">
        <w:t xml:space="preserve">, a wider </w:t>
      </w:r>
      <w:r w:rsidR="00547D5D">
        <w:t>assemblage</w:t>
      </w:r>
      <w:r w:rsidR="00D4126F">
        <w:t xml:space="preserve"> of elements and agents </w:t>
      </w:r>
      <w:r w:rsidR="00E42B4A">
        <w:fldChar w:fldCharType="begin"/>
      </w:r>
      <w:r w:rsidR="00EB59A0">
        <w:instrText xml:space="preserve"> ADDIN EN.CITE &lt;EndNote&gt;&lt;Cite&gt;&lt;Author&gt;Latour&lt;/Author&gt;&lt;Year&gt;2005&lt;/Year&gt;&lt;RecNum&gt;204&lt;/RecNum&gt;&lt;DisplayText&gt;(Latour, 2005)&lt;/DisplayText&gt;&lt;record&gt;&lt;rec-number&gt;204&lt;/rec-number&gt;&lt;foreign-keys&gt;&lt;key app="EN" db-id="epdwds2e822dx1ezx215esw0exvr9wpr9vxf" timestamp="0"&gt;204&lt;/key&gt;&lt;/foreign-keys&gt;&lt;ref-type name="Book"&gt;6&lt;/ref-type&gt;&lt;contributors&gt;&lt;authors&gt;&lt;author&gt;Latour, B.&lt;/author&gt;&lt;/authors&gt;&lt;/contributors&gt;&lt;titles&gt;&lt;title&gt;Reassembling the Social: An Introduction to Actor-Network Theory&lt;/title&gt;&lt;/titles&gt;&lt;dates&gt;&lt;year&gt;2005&lt;/year&gt;&lt;/dates&gt;&lt;pub-location&gt;Oxford&lt;/pub-location&gt;&lt;publisher&gt;Oxford University Press&lt;/publisher&gt;&lt;urls&gt;&lt;/urls&gt;&lt;/record&gt;&lt;/Cite&gt;&lt;/EndNote&gt;</w:instrText>
      </w:r>
      <w:r w:rsidR="00E42B4A">
        <w:fldChar w:fldCharType="separate"/>
      </w:r>
      <w:r w:rsidR="00EB59A0">
        <w:rPr>
          <w:noProof/>
        </w:rPr>
        <w:t>(Latour, 2005)</w:t>
      </w:r>
      <w:r w:rsidR="00E42B4A">
        <w:fldChar w:fldCharType="end"/>
      </w:r>
      <w:r w:rsidR="00AA3EAC">
        <w:t xml:space="preserve">. </w:t>
      </w:r>
      <w:r w:rsidR="00132B1C">
        <w:t>The</w:t>
      </w:r>
      <w:r w:rsidR="002F2C6B">
        <w:t xml:space="preserve"> more striking difference between the posi</w:t>
      </w:r>
      <w:r w:rsidR="00916BDA">
        <w:t>tions accorded to the therapists</w:t>
      </w:r>
      <w:r w:rsidR="002F2C6B">
        <w:t xml:space="preserve"> and the patie</w:t>
      </w:r>
      <w:r w:rsidR="00916BDA">
        <w:t>nt</w:t>
      </w:r>
      <w:r w:rsidR="00132B1C">
        <w:t xml:space="preserve"> by the COPM</w:t>
      </w:r>
      <w:r w:rsidR="002F2C6B">
        <w:t>, however, is the</w:t>
      </w:r>
      <w:r w:rsidR="00916BDA">
        <w:t xml:space="preserve"> degree to which the former possess</w:t>
      </w:r>
      <w:r w:rsidR="002F2C6B">
        <w:t xml:space="preserve"> </w:t>
      </w:r>
      <w:r w:rsidR="002F2C6B" w:rsidRPr="002F2C6B">
        <w:rPr>
          <w:i/>
        </w:rPr>
        <w:t>power/discretion</w:t>
      </w:r>
      <w:r w:rsidR="002F2C6B">
        <w:t>: the therapists have some flexibility to</w:t>
      </w:r>
      <w:r w:rsidR="00916BDA">
        <w:t xml:space="preserve"> deploy various tools and</w:t>
      </w:r>
      <w:r w:rsidR="008211B1">
        <w:t xml:space="preserve"> professional capacities</w:t>
      </w:r>
      <w:r w:rsidR="00916BDA">
        <w:t xml:space="preserve"> </w:t>
      </w:r>
      <w:r w:rsidR="00916BDA" w:rsidRPr="00916BDA">
        <w:rPr>
          <w:i/>
        </w:rPr>
        <w:t>as they see fit</w:t>
      </w:r>
      <w:proofErr w:type="gramStart"/>
      <w:r w:rsidR="00F66199">
        <w:t>,</w:t>
      </w:r>
      <w:proofErr w:type="gramEnd"/>
      <w:r w:rsidR="00916BDA">
        <w:t xml:space="preserve"> in order to configure the space </w:t>
      </w:r>
      <w:r w:rsidR="00F66199">
        <w:t>that enables the latter to act as a spokesperson</w:t>
      </w:r>
      <w:r w:rsidR="00916BDA">
        <w:t>.</w:t>
      </w:r>
      <w:r w:rsidR="00F66199">
        <w:t xml:space="preserve"> Patients and supporting family members are, comparatively, provided very little </w:t>
      </w:r>
      <w:r w:rsidR="00F66199" w:rsidRPr="00F66199">
        <w:rPr>
          <w:i/>
        </w:rPr>
        <w:t>power/</w:t>
      </w:r>
      <w:r w:rsidR="00F66199">
        <w:rPr>
          <w:i/>
        </w:rPr>
        <w:t xml:space="preserve">discretion </w:t>
      </w:r>
      <w:r w:rsidR="00F66199" w:rsidRPr="00F66199">
        <w:t>except</w:t>
      </w:r>
      <w:r w:rsidR="00F66199">
        <w:t xml:space="preserve">, perhaps, in the choosing of which aspects of daily life should be proffered as potential goals during the session. </w:t>
      </w:r>
      <w:r w:rsidR="00F66199" w:rsidRPr="00F66199">
        <w:t xml:space="preserve"> </w:t>
      </w:r>
      <w:r w:rsidR="00F66199">
        <w:t xml:space="preserve">By using Law’s </w:t>
      </w:r>
      <w:r w:rsidR="00E42B4A">
        <w:fldChar w:fldCharType="begin"/>
      </w:r>
      <w:r w:rsidR="00EB59A0">
        <w:instrText xml:space="preserve"> ADDIN EN.CITE &lt;EndNote&gt;&lt;Cite ExcludeAuth="1"&gt;&lt;Author&gt;Law&lt;/Author&gt;&lt;Year&gt;1991&lt;/Year&gt;&lt;RecNum&gt;678&lt;/RecNum&gt;&lt;DisplayText&gt;(1991)&lt;/DisplayText&gt;&lt;record&gt;&lt;rec-number&gt;678&lt;/rec-number&gt;&lt;foreign-keys&gt;&lt;key app="EN" db-id="epdwds2e822dx1ezx215esw0exvr9wpr9vxf" timestamp="1435656281"&gt;678&lt;/key&gt;&lt;/foreign-keys&gt;&lt;ref-type name="Book Section"&gt;5&lt;/ref-type&gt;&lt;contributors&gt;&lt;authors&gt;&lt;author&gt;Law, John&lt;/author&gt;&lt;/authors&gt;&lt;secondary-authors&gt;&lt;author&gt;Law, John&lt;/author&gt;&lt;/secondary-authors&gt;&lt;/contributors&gt;&lt;titles&gt;&lt;title&gt;Power, Descretion and Strategy&lt;/title&gt;&lt;secondary-title&gt;A Sociology of Monsters: Essays on Power, Technology and Domination&lt;/secondary-title&gt;&lt;/titles&gt;&lt;pages&gt;175-201.&lt;/pages&gt;&lt;dates&gt;&lt;year&gt;1991&lt;/year&gt;&lt;/dates&gt;&lt;pub-location&gt;London&lt;/pub-location&gt;&lt;publisher&gt;Routledge&lt;/publisher&gt;&lt;urls&gt;&lt;/urls&gt;&lt;/record&gt;&lt;/Cite&gt;&lt;/EndNote&gt;</w:instrText>
      </w:r>
      <w:r w:rsidR="00E42B4A">
        <w:fldChar w:fldCharType="separate"/>
      </w:r>
      <w:r w:rsidR="00EB59A0">
        <w:rPr>
          <w:noProof/>
        </w:rPr>
        <w:t>(1991)</w:t>
      </w:r>
      <w:r w:rsidR="00E42B4A">
        <w:fldChar w:fldCharType="end"/>
      </w:r>
      <w:r w:rsidR="00132B1C">
        <w:t xml:space="preserve"> taxonomy of power </w:t>
      </w:r>
      <w:r w:rsidR="00F66199">
        <w:t xml:space="preserve">as an analytical framework, we can see </w:t>
      </w:r>
      <w:r w:rsidR="00A444F6">
        <w:t xml:space="preserve">how </w:t>
      </w:r>
      <w:r w:rsidR="00F66199">
        <w:t xml:space="preserve">patient-centred interactions </w:t>
      </w:r>
      <w:r w:rsidR="008211B1">
        <w:t xml:space="preserve">entail micro-power dynamics </w:t>
      </w:r>
      <w:r w:rsidR="00132B1C">
        <w:t>th</w:t>
      </w:r>
      <w:r w:rsidR="00A444F6">
        <w:t>at</w:t>
      </w:r>
      <w:r w:rsidR="00132B1C">
        <w:t xml:space="preserve"> are asymmetrically distributed and considerably more complex than the </w:t>
      </w:r>
      <w:r w:rsidR="00A444F6">
        <w:t xml:space="preserve">more </w:t>
      </w:r>
      <w:r w:rsidR="00132B1C">
        <w:t xml:space="preserve">egalitarian </w:t>
      </w:r>
      <w:r w:rsidR="00A444F6">
        <w:t xml:space="preserve">models </w:t>
      </w:r>
      <w:r w:rsidR="00FD11AA">
        <w:t>often mobilised by</w:t>
      </w:r>
      <w:r w:rsidR="00132B1C">
        <w:t xml:space="preserve"> advocates of patient-centeredness.  </w:t>
      </w:r>
    </w:p>
    <w:p w:rsidR="00783C0C" w:rsidRPr="002D5D9C" w:rsidRDefault="00F66199" w:rsidP="009A1093">
      <w:pPr>
        <w:spacing w:after="0"/>
        <w:jc w:val="both"/>
      </w:pPr>
      <w:r>
        <w:lastRenderedPageBreak/>
        <w:tab/>
        <w:t xml:space="preserve">We highlight this </w:t>
      </w:r>
      <w:proofErr w:type="gramStart"/>
      <w:r>
        <w:t>not to criticise the COPM tool</w:t>
      </w:r>
      <w:r w:rsidR="00132B1C">
        <w:t xml:space="preserve"> n</w:t>
      </w:r>
      <w:r>
        <w:t>or</w:t>
      </w:r>
      <w:proofErr w:type="gramEnd"/>
      <w:r w:rsidR="00132B1C">
        <w:t xml:space="preserve"> to criticise</w:t>
      </w:r>
      <w:r>
        <w:t xml:space="preserve"> the PMDS’ use of the t</w:t>
      </w:r>
      <w:r w:rsidR="00132B1C">
        <w:t xml:space="preserve">ool. Such power relations may </w:t>
      </w:r>
      <w:r>
        <w:t>be ethically favourable in such a context</w:t>
      </w:r>
      <w:r w:rsidR="00132B1C">
        <w:t>, and indeed in m</w:t>
      </w:r>
      <w:r w:rsidR="003D4331">
        <w:t>ost</w:t>
      </w:r>
      <w:r w:rsidR="00132B1C">
        <w:t xml:space="preserve"> </w:t>
      </w:r>
      <w:r w:rsidR="00F71A02">
        <w:t xml:space="preserve">clinical </w:t>
      </w:r>
      <w:r w:rsidR="00132B1C">
        <w:t xml:space="preserve">contexts such power relations – particularly </w:t>
      </w:r>
      <w:r w:rsidR="005F484A">
        <w:t xml:space="preserve">an </w:t>
      </w:r>
      <w:r w:rsidR="00132B1C">
        <w:t xml:space="preserve">asymmetrical distribution of </w:t>
      </w:r>
      <w:r w:rsidR="00F71A02" w:rsidRPr="00F71A02">
        <w:rPr>
          <w:i/>
        </w:rPr>
        <w:t>power/discretion</w:t>
      </w:r>
      <w:r w:rsidR="00F71A02">
        <w:t xml:space="preserve"> – </w:t>
      </w:r>
      <w:r w:rsidR="005F484A">
        <w:t xml:space="preserve">will be </w:t>
      </w:r>
      <w:r w:rsidR="0025509D">
        <w:t xml:space="preserve"> necessary for the completion of productive clinical work (such as a </w:t>
      </w:r>
      <w:r w:rsidR="0024556D">
        <w:t xml:space="preserve">surgical procedure, </w:t>
      </w:r>
      <w:r w:rsidR="00D36698">
        <w:t>or a</w:t>
      </w:r>
      <w:r w:rsidR="0024556D">
        <w:t xml:space="preserve"> diagnosis</w:t>
      </w:r>
      <w:r w:rsidR="0025509D">
        <w:t xml:space="preserve">). </w:t>
      </w:r>
      <w:r w:rsidR="005F484A">
        <w:t xml:space="preserve"> </w:t>
      </w:r>
      <w:r w:rsidR="00FD11AA">
        <w:t xml:space="preserve">Indeed it is arguable that </w:t>
      </w:r>
      <w:r w:rsidR="00D9246C">
        <w:t xml:space="preserve">all </w:t>
      </w:r>
      <w:r w:rsidR="00FD11AA">
        <w:t xml:space="preserve">important ethical work </w:t>
      </w:r>
      <w:r w:rsidR="00D9246C">
        <w:t>will</w:t>
      </w:r>
      <w:r w:rsidR="00FD11AA">
        <w:t xml:space="preserve"> only be accomplished by</w:t>
      </w:r>
      <w:r w:rsidR="00BA407C">
        <w:t xml:space="preserve"> the sorts of assembling and structuring of power r</w:t>
      </w:r>
      <w:r w:rsidR="006C6F68">
        <w:t>elations we have discussed here,</w:t>
      </w:r>
      <w:r w:rsidR="00D9246C">
        <w:t xml:space="preserve"> and that power and ethi</w:t>
      </w:r>
      <w:r w:rsidR="006C6F68">
        <w:t>cs should be more routinely analysed together rather than separately.</w:t>
      </w:r>
      <w:r w:rsidR="00BA407C">
        <w:t xml:space="preserve"> </w:t>
      </w:r>
      <w:r w:rsidR="006C6F68">
        <w:t>More specifically, i</w:t>
      </w:r>
      <w:r w:rsidR="000139A0">
        <w:t>t is important to ensure that asymmetrical power dynamics</w:t>
      </w:r>
      <w:r w:rsidR="00D80D44">
        <w:t xml:space="preserve"> within patient-centred interactions are not elided by</w:t>
      </w:r>
      <w:r w:rsidR="000139A0">
        <w:t xml:space="preserve"> discourse</w:t>
      </w:r>
      <w:r w:rsidR="007759E4">
        <w:t xml:space="preserve">s that </w:t>
      </w:r>
      <w:r w:rsidR="00D80D44">
        <w:t>herald</w:t>
      </w:r>
      <w:r w:rsidR="000139A0">
        <w:t xml:space="preserve"> </w:t>
      </w:r>
      <w:r w:rsidR="00D36698">
        <w:t>and</w:t>
      </w:r>
      <w:r w:rsidR="00D80D44">
        <w:t xml:space="preserve"> overestimate the egalitarian aspects of patient-</w:t>
      </w:r>
      <w:proofErr w:type="spellStart"/>
      <w:r w:rsidR="00D80D44">
        <w:t>centredness</w:t>
      </w:r>
      <w:proofErr w:type="spellEnd"/>
      <w:r w:rsidR="00D80D44">
        <w:t xml:space="preserve"> and patient-empowerment. </w:t>
      </w:r>
      <w:r w:rsidR="006C6F68">
        <w:t xml:space="preserve">Uncovering </w:t>
      </w:r>
      <w:r w:rsidR="009A1093">
        <w:t>the way in which patient-centred tools are implicated in structuring and managing power relations helps to open the movement up for</w:t>
      </w:r>
      <w:r w:rsidR="005E74DB">
        <w:t xml:space="preserve"> more informed</w:t>
      </w:r>
      <w:r w:rsidR="009A1093">
        <w:t xml:space="preserve"> bioethical deliberation about what patient-</w:t>
      </w:r>
      <w:proofErr w:type="spellStart"/>
      <w:r w:rsidR="009A1093">
        <w:t>centredness</w:t>
      </w:r>
      <w:proofErr w:type="spellEnd"/>
      <w:r w:rsidR="009A1093">
        <w:t xml:space="preserve"> and patient empowerment </w:t>
      </w:r>
      <w:r w:rsidR="009A1093" w:rsidRPr="005E74DB">
        <w:rPr>
          <w:i/>
        </w:rPr>
        <w:t>ought to</w:t>
      </w:r>
      <w:r w:rsidR="00D36698">
        <w:t xml:space="preserve"> look like in</w:t>
      </w:r>
      <w:r w:rsidR="009A1093">
        <w:t xml:space="preserve"> specific clinical contexts.</w:t>
      </w:r>
      <w:r w:rsidR="005E74DB">
        <w:t xml:space="preserve"> </w:t>
      </w:r>
      <w:r w:rsidR="00D0622F">
        <w:t xml:space="preserve">There may be, for example, circumstances in which it is ethically favourable for patients and families to be accorded a </w:t>
      </w:r>
      <w:r w:rsidR="006C6F68">
        <w:t xml:space="preserve">much </w:t>
      </w:r>
      <w:r w:rsidR="00D0622F">
        <w:t>high</w:t>
      </w:r>
      <w:r w:rsidR="006C6F68">
        <w:t>er</w:t>
      </w:r>
      <w:r w:rsidR="00D0622F">
        <w:t xml:space="preserve"> degree of </w:t>
      </w:r>
      <w:r w:rsidR="00D0622F" w:rsidRPr="002D5D9C">
        <w:rPr>
          <w:i/>
        </w:rPr>
        <w:t>power/discretion</w:t>
      </w:r>
      <w:r w:rsidR="00D0622F">
        <w:t xml:space="preserve"> </w:t>
      </w:r>
      <w:r w:rsidR="00A74206">
        <w:t>(I</w:t>
      </w:r>
      <w:r w:rsidR="005A492E">
        <w:t>n such a situation</w:t>
      </w:r>
      <w:r w:rsidR="00D0622F">
        <w:t xml:space="preserve"> clinicians might adopt a position akin to what Latimer has referred to as ‘careful science’, in which they adopt a sense of willingness to be affected by otherness, heterogeneity and uncertainty</w:t>
      </w:r>
      <w:r w:rsidR="0024556D">
        <w:t xml:space="preserve"> </w:t>
      </w:r>
      <w:r w:rsidR="00E42B4A">
        <w:fldChar w:fldCharType="begin"/>
      </w:r>
      <w:r w:rsidR="002D5D9C">
        <w:instrText xml:space="preserve"> ADDIN EN.CITE &lt;EndNote&gt;&lt;Cite&gt;&lt;Author&gt;Latimer&lt;/Author&gt;&lt;Year&gt;forthcoming&lt;/Year&gt;&lt;RecNum&gt;696&lt;/RecNum&gt;&lt;DisplayText&gt;(J. Latimer, 2014, forthcoming)&lt;/DisplayText&gt;&lt;record&gt;&lt;rec-number&gt;696&lt;/rec-number&gt;&lt;foreign-keys&gt;&lt;key app="EN" db-id="epdwds2e822dx1ezx215esw0exvr9wpr9vxf" timestamp="1438586689"&gt;696&lt;/key&gt;&lt;/foreign-keys&gt;&lt;ref-type name="Book"&gt;6&lt;/ref-type&gt;&lt;contributors&gt;&lt;authors&gt;&lt;author&gt;Latimer, J.&lt;/author&gt;&lt;/authors&gt;&lt;/contributors&gt;&lt;titles&gt;&lt;title&gt;Ageing and biopolitics at the limits of life &lt;/title&gt;&lt;/titles&gt;&lt;dates&gt;&lt;year&gt;forthcoming&lt;/year&gt;&lt;/dates&gt;&lt;pub-location&gt;Abingdon&lt;/pub-location&gt;&lt;publisher&gt;Routledge&lt;/publisher&gt;&lt;urls&gt;&lt;/urls&gt;&lt;/record&gt;&lt;/Cite&gt;&lt;Cite&gt;&lt;Author&gt;Latimer&lt;/Author&gt;&lt;Year&gt;2014&lt;/Year&gt;&lt;RecNum&gt;698&lt;/RecNum&gt;&lt;record&gt;&lt;rec-number&gt;698&lt;/rec-number&gt;&lt;foreign-keys&gt;&lt;key app="EN" db-id="epdwds2e822dx1ezx215esw0exvr9wpr9vxf" timestamp="1438587939"&gt;698&lt;/key&gt;&lt;/foreign-keys&gt;&lt;ref-type name="Book Section"&gt;5&lt;/ref-type&gt;&lt;contributors&gt;&lt;authors&gt;&lt;author&gt;Latimer, J.&lt;/author&gt;&lt;/authors&gt;&lt;secondary-authors&gt;&lt;author&gt;Latimer, J.&lt;/author&gt;&lt;author&gt;Schillmer, M.&lt;/author&gt;&lt;author&gt;Kerr, A.&lt;/author&gt;&lt;/secondary-authors&gt;&lt;/contributors&gt;&lt;titles&gt;&lt;title&gt;Dwelling with dementia: body-serlf relations, participation and care&lt;/title&gt;&lt;secondary-title&gt;Symposium on Researching (Bio)medicine with care: cosmopolitics, affects and ethics&lt;/secondary-title&gt;&lt;/titles&gt;&lt;dates&gt;&lt;year&gt;2014&lt;/year&gt;&lt;/dates&gt;&lt;pub-location&gt;University of York&lt;/pub-location&gt;&lt;publisher&gt;BSA Medical Sociology Study Group Annual Conference&lt;/publisher&gt;&lt;urls&gt;&lt;/urls&gt;&lt;/record&gt;&lt;/Cite&gt;&lt;/EndNote&gt;</w:instrText>
      </w:r>
      <w:r w:rsidR="00E42B4A">
        <w:fldChar w:fldCharType="separate"/>
      </w:r>
      <w:r w:rsidR="002D5D9C">
        <w:rPr>
          <w:noProof/>
        </w:rPr>
        <w:t>(J. Latimer, 2014, forthcoming)</w:t>
      </w:r>
      <w:r w:rsidR="00E42B4A">
        <w:fldChar w:fldCharType="end"/>
      </w:r>
      <w:r w:rsidR="00D0622F">
        <w:t xml:space="preserve">. </w:t>
      </w:r>
      <w:r w:rsidR="00577A59">
        <w:t xml:space="preserve">We suggest that it is also particularly important to be attentive to </w:t>
      </w:r>
      <w:r w:rsidR="002D5D9C">
        <w:t>circumstances</w:t>
      </w:r>
      <w:r w:rsidR="00577A59">
        <w:t xml:space="preserve"> that approximate something close to domination; </w:t>
      </w:r>
      <w:r w:rsidR="002D5D9C">
        <w:t xml:space="preserve">undesirable </w:t>
      </w:r>
      <w:r w:rsidR="00577A59">
        <w:t xml:space="preserve">circumstances </w:t>
      </w:r>
      <w:r w:rsidR="00750836">
        <w:t xml:space="preserve">which </w:t>
      </w:r>
      <w:r w:rsidR="00577A59">
        <w:t xml:space="preserve">afford some actors considerable </w:t>
      </w:r>
      <w:r w:rsidR="00577A59" w:rsidRPr="002D5D9C">
        <w:rPr>
          <w:i/>
        </w:rPr>
        <w:t>power/discretion</w:t>
      </w:r>
      <w:r w:rsidR="00577A59">
        <w:t xml:space="preserve"> and </w:t>
      </w:r>
      <w:r w:rsidR="00577A59" w:rsidRPr="002D5D9C">
        <w:rPr>
          <w:i/>
        </w:rPr>
        <w:t>power-over</w:t>
      </w:r>
      <w:r w:rsidR="00577A59">
        <w:t xml:space="preserve"> others. Latimer</w:t>
      </w:r>
      <w:r w:rsidR="002D5D9C">
        <w:t xml:space="preserve">’s account </w:t>
      </w:r>
      <w:r w:rsidR="002D5D9C">
        <w:fldChar w:fldCharType="begin"/>
      </w:r>
      <w:r w:rsidR="002D5D9C">
        <w:instrText xml:space="preserve"> ADDIN EN.CITE &lt;EndNote&gt;&lt;Cite ExcludeAuth="1"&gt;&lt;Author&gt;Latimer&lt;/Author&gt;&lt;Year&gt;2004&lt;/Year&gt;&lt;RecNum&gt;869&lt;/RecNum&gt;&lt;DisplayText&gt;(2004)&lt;/DisplayText&gt;&lt;record&gt;&lt;rec-number&gt;869&lt;/rec-number&gt;&lt;foreign-keys&gt;&lt;key app="EN" db-id="epdwds2e822dx1ezx215esw0exvr9wpr9vxf" timestamp="1452616854"&gt;869&lt;/key&gt;&lt;/foreign-keys&gt;&lt;ref-type name="Journal Article"&gt;17&lt;/ref-type&gt;&lt;contributors&gt;&lt;authors&gt;&lt;author&gt;Latimer, Joanna&lt;/author&gt;&lt;/authors&gt;&lt;/contributors&gt;&lt;titles&gt;&lt;title&gt;Commanding Materials: (Re)Legitimating Authority in the Context of Multi-Disciplinary Work&lt;/title&gt;&lt;secondary-title&gt;Sociology&lt;/secondary-title&gt;&lt;/titles&gt;&lt;periodical&gt;&lt;full-title&gt;Sociology&lt;/full-title&gt;&lt;/periodical&gt;&lt;pages&gt;757-775&lt;/pages&gt;&lt;volume&gt;38&lt;/volume&gt;&lt;number&gt;4&lt;/number&gt;&lt;dates&gt;&lt;year&gt;2004&lt;/year&gt;&lt;pub-dates&gt;&lt;date&gt;October 1, 2004&lt;/date&gt;&lt;/pub-dates&gt;&lt;/dates&gt;&lt;urls&gt;&lt;related-urls&gt;&lt;url&gt;http://soc.sagepub.com/content/38/4/757.abstract&lt;/url&gt;&lt;/related-urls&gt;&lt;/urls&gt;&lt;electronic-resource-num&gt;10.1177/0038038504045863&lt;/electronic-resource-num&gt;&lt;/record&gt;&lt;/Cite&gt;&lt;/EndNote&gt;</w:instrText>
      </w:r>
      <w:r w:rsidR="002D5D9C">
        <w:fldChar w:fldCharType="separate"/>
      </w:r>
      <w:r w:rsidR="002D5D9C">
        <w:rPr>
          <w:noProof/>
        </w:rPr>
        <w:t>(2004)</w:t>
      </w:r>
      <w:r w:rsidR="002D5D9C">
        <w:fldChar w:fldCharType="end"/>
      </w:r>
      <w:r w:rsidR="002D5D9C">
        <w:t xml:space="preserve"> of how hospital consultants deploy various materials to assert their (medical) authority</w:t>
      </w:r>
      <w:r w:rsidR="004756E6">
        <w:t xml:space="preserve"> over other professionals</w:t>
      </w:r>
      <w:r w:rsidR="002D5D9C">
        <w:t xml:space="preserve"> in multidisciplinary settings is an example of this. </w:t>
      </w:r>
      <w:r w:rsidR="002D7CAC" w:rsidRPr="00900735">
        <w:t xml:space="preserve">There is </w:t>
      </w:r>
      <w:r w:rsidR="002D5D9C">
        <w:t xml:space="preserve">therefore </w:t>
      </w:r>
      <w:r w:rsidR="002D7CAC" w:rsidRPr="00900735">
        <w:t>an important space for bioethicists and other interested parties to develop arguments about, and to debate, the</w:t>
      </w:r>
      <w:r w:rsidR="00B849B7" w:rsidRPr="00900735">
        <w:t xml:space="preserve"> patient-centred</w:t>
      </w:r>
      <w:r w:rsidR="002D7CAC" w:rsidRPr="00900735">
        <w:t xml:space="preserve"> values and principles that ought to be enacted in various biomedical contexts and practices. However, if such arguments are to have any applied relevance, they will need to be informed by a grounded consideration of the process through which such values and principles are achieved or undermined, including how they may be promoted or constrained by non-human elements.  </w:t>
      </w:r>
    </w:p>
    <w:p w:rsidR="00417BC6" w:rsidRDefault="00417BC6" w:rsidP="0021545B">
      <w:pPr>
        <w:spacing w:after="0"/>
      </w:pPr>
    </w:p>
    <w:p w:rsidR="00417BC6" w:rsidRDefault="00417BC6" w:rsidP="0021545B">
      <w:pPr>
        <w:spacing w:after="0"/>
      </w:pPr>
    </w:p>
    <w:p w:rsidR="002421F9" w:rsidRDefault="002421F9" w:rsidP="0021545B">
      <w:pPr>
        <w:spacing w:after="0"/>
      </w:pPr>
    </w:p>
    <w:p w:rsidR="002421F9" w:rsidRDefault="002421F9" w:rsidP="0021545B">
      <w:pPr>
        <w:spacing w:after="0"/>
      </w:pPr>
    </w:p>
    <w:p w:rsidR="002421F9" w:rsidRDefault="002421F9" w:rsidP="0021545B">
      <w:pPr>
        <w:spacing w:after="0"/>
      </w:pPr>
    </w:p>
    <w:p w:rsidR="002421F9" w:rsidRDefault="002421F9" w:rsidP="0021545B">
      <w:pPr>
        <w:spacing w:after="0"/>
      </w:pPr>
    </w:p>
    <w:p w:rsidR="002421F9" w:rsidRDefault="002421F9" w:rsidP="0021545B">
      <w:pPr>
        <w:spacing w:after="0"/>
      </w:pPr>
    </w:p>
    <w:p w:rsidR="002421F9" w:rsidRDefault="002421F9" w:rsidP="0021545B">
      <w:pPr>
        <w:spacing w:after="0"/>
      </w:pPr>
    </w:p>
    <w:p w:rsidR="002421F9" w:rsidRDefault="002421F9" w:rsidP="0021545B">
      <w:pPr>
        <w:spacing w:after="0"/>
      </w:pPr>
    </w:p>
    <w:p w:rsidR="002421F9" w:rsidRDefault="002421F9" w:rsidP="0021545B">
      <w:pPr>
        <w:spacing w:after="0"/>
      </w:pPr>
    </w:p>
    <w:p w:rsidR="002421F9" w:rsidRDefault="002421F9" w:rsidP="0021545B">
      <w:pPr>
        <w:spacing w:after="0"/>
      </w:pPr>
    </w:p>
    <w:p w:rsidR="00A0539F" w:rsidRDefault="00A0539F" w:rsidP="0021545B">
      <w:pPr>
        <w:spacing w:after="0"/>
      </w:pPr>
    </w:p>
    <w:p w:rsidR="00A0539F" w:rsidRDefault="00A0539F" w:rsidP="0021545B">
      <w:pPr>
        <w:spacing w:after="0"/>
      </w:pPr>
    </w:p>
    <w:p w:rsidR="00A0539F" w:rsidRDefault="00A0539F" w:rsidP="0021545B">
      <w:pPr>
        <w:spacing w:after="0"/>
      </w:pPr>
    </w:p>
    <w:p w:rsidR="002421F9" w:rsidRDefault="002421F9" w:rsidP="0021545B">
      <w:pPr>
        <w:spacing w:after="0"/>
      </w:pPr>
    </w:p>
    <w:p w:rsidR="002421F9" w:rsidRDefault="002421F9" w:rsidP="0021545B">
      <w:pPr>
        <w:spacing w:after="0"/>
      </w:pPr>
    </w:p>
    <w:p w:rsidR="002421F9" w:rsidRDefault="002421F9" w:rsidP="0021545B">
      <w:pPr>
        <w:spacing w:after="0"/>
      </w:pPr>
    </w:p>
    <w:p w:rsidR="005F42BD" w:rsidRPr="0021545B" w:rsidRDefault="005F42BD" w:rsidP="0021545B">
      <w:pPr>
        <w:spacing w:after="0"/>
      </w:pPr>
    </w:p>
    <w:p w:rsidR="0031209A" w:rsidRPr="005F42BD" w:rsidRDefault="005F42BD" w:rsidP="0021545B">
      <w:pPr>
        <w:spacing w:after="0"/>
        <w:rPr>
          <w:b/>
        </w:rPr>
      </w:pPr>
      <w:r w:rsidRPr="005F42BD">
        <w:rPr>
          <w:b/>
        </w:rPr>
        <w:lastRenderedPageBreak/>
        <w:t>List of references</w:t>
      </w:r>
    </w:p>
    <w:p w:rsidR="0031209A" w:rsidRDefault="0031209A" w:rsidP="0021545B">
      <w:pPr>
        <w:spacing w:after="0"/>
      </w:pPr>
    </w:p>
    <w:p w:rsidR="002D5D9C" w:rsidRPr="002D5D9C" w:rsidRDefault="00E42B4A" w:rsidP="002D5D9C">
      <w:pPr>
        <w:pStyle w:val="EndNoteBibliography"/>
        <w:spacing w:after="0"/>
        <w:ind w:left="720" w:hanging="720"/>
      </w:pPr>
      <w:r>
        <w:fldChar w:fldCharType="begin"/>
      </w:r>
      <w:r w:rsidR="0031209A">
        <w:instrText xml:space="preserve"> ADDIN EN.REFLIST </w:instrText>
      </w:r>
      <w:r>
        <w:fldChar w:fldCharType="separate"/>
      </w:r>
      <w:r w:rsidR="002D5D9C" w:rsidRPr="002D5D9C">
        <w:t xml:space="preserve">Akrich, M. (1992). The de-scription of technological objects. In W. Bijker &amp; J. Law (Eds.), </w:t>
      </w:r>
      <w:r w:rsidR="002D5D9C" w:rsidRPr="002D5D9C">
        <w:rPr>
          <w:i/>
        </w:rPr>
        <w:t>Shaping Technology / Building Society: Studies in Socio-technical Change</w:t>
      </w:r>
      <w:r w:rsidR="002D5D9C" w:rsidRPr="002D5D9C">
        <w:t xml:space="preserve"> (pp. 204-224). London: MIT University Press.</w:t>
      </w:r>
    </w:p>
    <w:p w:rsidR="002D5D9C" w:rsidRPr="002D5D9C" w:rsidRDefault="002D5D9C" w:rsidP="002D5D9C">
      <w:pPr>
        <w:pStyle w:val="EndNoteBibliography"/>
        <w:spacing w:after="0"/>
        <w:ind w:left="720" w:hanging="720"/>
      </w:pPr>
      <w:r w:rsidRPr="002D5D9C">
        <w:t xml:space="preserve">Alderson, P., &amp; Morrow, V. (2011). </w:t>
      </w:r>
      <w:r w:rsidRPr="002D5D9C">
        <w:rPr>
          <w:i/>
        </w:rPr>
        <w:t>The Ethics of Research with Children and Young People: A Practical Handbook</w:t>
      </w:r>
      <w:r w:rsidRPr="002D5D9C">
        <w:t>. London: Sage.</w:t>
      </w:r>
    </w:p>
    <w:p w:rsidR="002D5D9C" w:rsidRPr="002D5D9C" w:rsidRDefault="002D5D9C" w:rsidP="002D5D9C">
      <w:pPr>
        <w:pStyle w:val="EndNoteBibliography"/>
        <w:spacing w:after="0"/>
        <w:ind w:left="720" w:hanging="720"/>
      </w:pPr>
      <w:r w:rsidRPr="002D5D9C">
        <w:t xml:space="preserve">Bell, E., Mathieu, G., &amp; Racine, E. (2009). Preparing the ethical future of deep brain stimulation. </w:t>
      </w:r>
      <w:r w:rsidRPr="002D5D9C">
        <w:rPr>
          <w:i/>
        </w:rPr>
        <w:t>Surgical Neurology, 72</w:t>
      </w:r>
      <w:r w:rsidRPr="002D5D9C">
        <w:t xml:space="preserve">(6), 577-586. </w:t>
      </w:r>
    </w:p>
    <w:p w:rsidR="002D5D9C" w:rsidRPr="002D5D9C" w:rsidRDefault="002D5D9C" w:rsidP="002D5D9C">
      <w:pPr>
        <w:pStyle w:val="EndNoteBibliography"/>
        <w:spacing w:after="0"/>
        <w:ind w:left="720" w:hanging="720"/>
      </w:pPr>
      <w:r w:rsidRPr="002D5D9C">
        <w:t xml:space="preserve">Berg, M. (1998). Order(s) and Disorder(s): Of Protocols and Medical Practices. In M. Berg &amp; A. Mol (Eds.), </w:t>
      </w:r>
      <w:r w:rsidRPr="002D5D9C">
        <w:rPr>
          <w:i/>
        </w:rPr>
        <w:t>Differences in Medicine: Unraveling Practices, Techniques and Bodies</w:t>
      </w:r>
      <w:r w:rsidRPr="002D5D9C">
        <w:t xml:space="preserve"> (pp. 227-246). Durham: Duke University Press.</w:t>
      </w:r>
    </w:p>
    <w:p w:rsidR="002D5D9C" w:rsidRPr="002D5D9C" w:rsidRDefault="002D5D9C" w:rsidP="002D5D9C">
      <w:pPr>
        <w:pStyle w:val="EndNoteBibliography"/>
        <w:spacing w:after="0"/>
        <w:ind w:left="720" w:hanging="720"/>
      </w:pPr>
      <w:r w:rsidRPr="002D5D9C">
        <w:t xml:space="preserve">Bolton, S. (2001). Changing faces: nurses as emotional jugglers. </w:t>
      </w:r>
      <w:r w:rsidRPr="002D5D9C">
        <w:rPr>
          <w:i/>
        </w:rPr>
        <w:t>Sociol Health Illn, 23</w:t>
      </w:r>
      <w:r w:rsidRPr="002D5D9C">
        <w:t>(1), 85-100. doi: 10.1111/1467-9566.00242</w:t>
      </w:r>
    </w:p>
    <w:p w:rsidR="002D5D9C" w:rsidRPr="002D5D9C" w:rsidRDefault="002D5D9C" w:rsidP="002D5D9C">
      <w:pPr>
        <w:pStyle w:val="EndNoteBibliography"/>
        <w:spacing w:after="0"/>
        <w:ind w:left="720" w:hanging="720"/>
      </w:pPr>
      <w:r w:rsidRPr="002D5D9C">
        <w:t xml:space="preserve">Callon, M. (1986). Some Elements of a Sociology of Translation: Domestication of the Scallops and the Fishermen of St Brieuc Bay. In J. Law (Ed.), </w:t>
      </w:r>
      <w:r w:rsidRPr="002D5D9C">
        <w:rPr>
          <w:i/>
        </w:rPr>
        <w:t>Power, Action and Belief: A New Sociology of Knowledge?</w:t>
      </w:r>
      <w:r w:rsidRPr="002D5D9C">
        <w:t xml:space="preserve"> (pp. 196-223). London: Routledge.</w:t>
      </w:r>
    </w:p>
    <w:p w:rsidR="002D5D9C" w:rsidRPr="002D5D9C" w:rsidRDefault="002D5D9C" w:rsidP="002D5D9C">
      <w:pPr>
        <w:pStyle w:val="EndNoteBibliography"/>
        <w:spacing w:after="0"/>
        <w:ind w:left="720" w:hanging="720"/>
      </w:pPr>
      <w:r w:rsidRPr="002D5D9C">
        <w:t>Cribb, A. (2011). Involvement, Shared Decision-Making and Medicines. London: Royal Pharmaceutical Society.</w:t>
      </w:r>
    </w:p>
    <w:p w:rsidR="002D5D9C" w:rsidRPr="002D5D9C" w:rsidRDefault="002D5D9C" w:rsidP="002D5D9C">
      <w:pPr>
        <w:pStyle w:val="EndNoteBibliography"/>
        <w:spacing w:after="0"/>
        <w:ind w:left="720" w:hanging="720"/>
      </w:pPr>
      <w:r w:rsidRPr="002D5D9C">
        <w:t xml:space="preserve">Department of Health. (1999). </w:t>
      </w:r>
      <w:r w:rsidRPr="002D5D9C">
        <w:rPr>
          <w:i/>
        </w:rPr>
        <w:t>Patient and public involvement in the new NHS</w:t>
      </w:r>
      <w:r w:rsidRPr="002D5D9C">
        <w:t>. London: The Stationery Office.</w:t>
      </w:r>
    </w:p>
    <w:p w:rsidR="002D5D9C" w:rsidRPr="002D5D9C" w:rsidRDefault="002D5D9C" w:rsidP="002D5D9C">
      <w:pPr>
        <w:pStyle w:val="EndNoteBibliography"/>
        <w:spacing w:after="0"/>
        <w:ind w:left="720" w:hanging="720"/>
      </w:pPr>
      <w:r w:rsidRPr="002D5D9C">
        <w:t xml:space="preserve">Department of Health. (2003). </w:t>
      </w:r>
      <w:r w:rsidRPr="002D5D9C">
        <w:rPr>
          <w:i/>
        </w:rPr>
        <w:t>Building on the best: Choice, responsiveness and equity in the NHS</w:t>
      </w:r>
      <w:r w:rsidRPr="002D5D9C">
        <w:t xml:space="preserve">. London: The Stationary Office </w:t>
      </w:r>
    </w:p>
    <w:p w:rsidR="002D5D9C" w:rsidRPr="002D5D9C" w:rsidRDefault="002D5D9C" w:rsidP="002D5D9C">
      <w:pPr>
        <w:pStyle w:val="EndNoteBibliography"/>
        <w:spacing w:after="0"/>
        <w:ind w:left="720" w:hanging="720"/>
      </w:pPr>
      <w:r w:rsidRPr="002D5D9C">
        <w:t xml:space="preserve">Dubbin, L. A., Chang, J. S., &amp; Shim, J. K. (2013). Cultural health capital and the interactional dynamics of patient-centered care. </w:t>
      </w:r>
      <w:r w:rsidRPr="002D5D9C">
        <w:rPr>
          <w:i/>
        </w:rPr>
        <w:t>Soc Sci Med, 93</w:t>
      </w:r>
      <w:r w:rsidRPr="002D5D9C">
        <w:t>, 113-120. doi: 10.1016/j.socscimed.2013.06.014</w:t>
      </w:r>
    </w:p>
    <w:p w:rsidR="002D5D9C" w:rsidRPr="002D5D9C" w:rsidRDefault="002D5D9C" w:rsidP="002D5D9C">
      <w:pPr>
        <w:pStyle w:val="EndNoteBibliography"/>
        <w:spacing w:after="0"/>
        <w:ind w:left="720" w:hanging="720"/>
      </w:pPr>
      <w:r w:rsidRPr="002D5D9C">
        <w:t xml:space="preserve">Entwistle, V. A., &amp; Watt, I. S. (2006). Patient involvement in treatment decision-making: the case for a broader conceptual framework. </w:t>
      </w:r>
      <w:r w:rsidRPr="002D5D9C">
        <w:rPr>
          <w:i/>
        </w:rPr>
        <w:t>Patient Educ Couns, 63</w:t>
      </w:r>
      <w:r w:rsidRPr="002D5D9C">
        <w:t>(3), 268-278. doi: 10.1016/j.pec.2006.05.002</w:t>
      </w:r>
    </w:p>
    <w:p w:rsidR="002D5D9C" w:rsidRPr="002D5D9C" w:rsidRDefault="002D5D9C" w:rsidP="002D5D9C">
      <w:pPr>
        <w:pStyle w:val="EndNoteBibliography"/>
        <w:spacing w:after="0"/>
        <w:ind w:left="720" w:hanging="720"/>
      </w:pPr>
      <w:r w:rsidRPr="002D5D9C">
        <w:t xml:space="preserve">Foucault, M. (1991). </w:t>
      </w:r>
      <w:r w:rsidRPr="002D5D9C">
        <w:rPr>
          <w:i/>
        </w:rPr>
        <w:t>Discipline and Punish: The Birth of the Prison</w:t>
      </w:r>
      <w:r w:rsidRPr="002D5D9C">
        <w:t>. London: Penguin.</w:t>
      </w:r>
    </w:p>
    <w:p w:rsidR="002D5D9C" w:rsidRPr="002D5D9C" w:rsidRDefault="002D5D9C" w:rsidP="002D5D9C">
      <w:pPr>
        <w:pStyle w:val="EndNoteBibliography"/>
        <w:spacing w:after="0"/>
        <w:ind w:left="720" w:hanging="720"/>
      </w:pPr>
      <w:r w:rsidRPr="002D5D9C">
        <w:t xml:space="preserve">Gardner, J. (forthcoming). Patient-centred medicine and the broad clinical gaze: Measuring outcomes in Paediatric deep brain stimulation. </w:t>
      </w:r>
      <w:r w:rsidRPr="002D5D9C">
        <w:rPr>
          <w:i/>
        </w:rPr>
        <w:t>BioSocieties</w:t>
      </w:r>
      <w:r w:rsidRPr="002D5D9C">
        <w:t xml:space="preserve">. </w:t>
      </w:r>
    </w:p>
    <w:p w:rsidR="002D5D9C" w:rsidRPr="002D5D9C" w:rsidRDefault="002D5D9C" w:rsidP="002D5D9C">
      <w:pPr>
        <w:pStyle w:val="EndNoteBibliography"/>
        <w:spacing w:after="0"/>
        <w:ind w:left="720" w:hanging="720"/>
      </w:pPr>
      <w:r w:rsidRPr="002D5D9C">
        <w:t xml:space="preserve">Gardner, J., Samuel, G., &amp; Williams, C. (2015). Sociology of Low Expectations: Recalibration as Innovation Work in Biomedicine. </w:t>
      </w:r>
      <w:r w:rsidRPr="002D5D9C">
        <w:rPr>
          <w:i/>
        </w:rPr>
        <w:t>Science, Technology &amp; Human Values</w:t>
      </w:r>
      <w:r w:rsidRPr="002D5D9C">
        <w:t>. doi: 10.1177/0162243915585579</w:t>
      </w:r>
    </w:p>
    <w:p w:rsidR="002D5D9C" w:rsidRPr="002D5D9C" w:rsidRDefault="002D5D9C" w:rsidP="002D5D9C">
      <w:pPr>
        <w:pStyle w:val="EndNoteBibliography"/>
        <w:spacing w:after="0"/>
        <w:ind w:left="720" w:hanging="720"/>
      </w:pPr>
      <w:r w:rsidRPr="002D5D9C">
        <w:t xml:space="preserve">Latimer, J. (1997). Giving patients a future: the constituting of classes in an acute medical unit. </w:t>
      </w:r>
      <w:r w:rsidRPr="002D5D9C">
        <w:rPr>
          <w:i/>
        </w:rPr>
        <w:t>Sociol Health Illn, 19</w:t>
      </w:r>
      <w:r w:rsidRPr="002D5D9C">
        <w:t>(2), 160-185. doi: 10.1111/1467-9566.ep10934396</w:t>
      </w:r>
    </w:p>
    <w:p w:rsidR="002D5D9C" w:rsidRPr="002D5D9C" w:rsidRDefault="002D5D9C" w:rsidP="002D5D9C">
      <w:pPr>
        <w:pStyle w:val="EndNoteBibliography"/>
        <w:spacing w:after="0"/>
        <w:ind w:left="720" w:hanging="720"/>
      </w:pPr>
      <w:r w:rsidRPr="002D5D9C">
        <w:t xml:space="preserve">Latimer, J. (2004). Commanding Materials: (Re)Legitimating Authority in the Context of Multi-Disciplinary Work. </w:t>
      </w:r>
      <w:r w:rsidRPr="002D5D9C">
        <w:rPr>
          <w:i/>
        </w:rPr>
        <w:t>Sociology, 38</w:t>
      </w:r>
      <w:r w:rsidRPr="002D5D9C">
        <w:t>(4), 757-775. doi: 10.1177/0038038504045863</w:t>
      </w:r>
    </w:p>
    <w:p w:rsidR="002D5D9C" w:rsidRPr="002D5D9C" w:rsidRDefault="002D5D9C" w:rsidP="002D5D9C">
      <w:pPr>
        <w:pStyle w:val="EndNoteBibliography"/>
        <w:spacing w:after="0"/>
        <w:ind w:left="720" w:hanging="720"/>
      </w:pPr>
      <w:r w:rsidRPr="002D5D9C">
        <w:t xml:space="preserve">Latimer, J. (2014). Dwelling with dementia: body-serlf relations, participation and care. In J. Latimer, M. Schillmer, &amp; A. Kerr (Eds.), </w:t>
      </w:r>
      <w:r w:rsidRPr="002D5D9C">
        <w:rPr>
          <w:i/>
        </w:rPr>
        <w:t>Symposium on Researching (Bio)medicine with care: cosmopolitics, affects and ethics</w:t>
      </w:r>
      <w:r w:rsidRPr="002D5D9C">
        <w:t>. University of York: BSA Medical Sociology Study Group Annual Conference.</w:t>
      </w:r>
    </w:p>
    <w:p w:rsidR="002D5D9C" w:rsidRPr="002D5D9C" w:rsidRDefault="002D5D9C" w:rsidP="002D5D9C">
      <w:pPr>
        <w:pStyle w:val="EndNoteBibliography"/>
        <w:spacing w:after="0"/>
        <w:ind w:left="720" w:hanging="720"/>
      </w:pPr>
      <w:r w:rsidRPr="002D5D9C">
        <w:t xml:space="preserve">Latimer, J. (forthcoming). </w:t>
      </w:r>
      <w:r w:rsidRPr="002D5D9C">
        <w:rPr>
          <w:i/>
        </w:rPr>
        <w:t xml:space="preserve">Ageing and biopolitics at the limits of life </w:t>
      </w:r>
      <w:r w:rsidRPr="002D5D9C">
        <w:t>Abingdon: Routledge.</w:t>
      </w:r>
    </w:p>
    <w:p w:rsidR="002D5D9C" w:rsidRPr="002D5D9C" w:rsidRDefault="002D5D9C" w:rsidP="002D5D9C">
      <w:pPr>
        <w:pStyle w:val="EndNoteBibliography"/>
        <w:spacing w:after="0"/>
        <w:ind w:left="720" w:hanging="720"/>
      </w:pPr>
      <w:r w:rsidRPr="002D5D9C">
        <w:t xml:space="preserve">Latour, B. (1987). </w:t>
      </w:r>
      <w:r w:rsidRPr="002D5D9C">
        <w:rPr>
          <w:i/>
        </w:rPr>
        <w:t>Science in action: how to follow scientists and engineers through society</w:t>
      </w:r>
      <w:r w:rsidRPr="002D5D9C">
        <w:t>. Cambridge MA: Harvard University Press.</w:t>
      </w:r>
    </w:p>
    <w:p w:rsidR="002D5D9C" w:rsidRPr="002D5D9C" w:rsidRDefault="002D5D9C" w:rsidP="002D5D9C">
      <w:pPr>
        <w:pStyle w:val="EndNoteBibliography"/>
        <w:spacing w:after="0"/>
        <w:ind w:left="720" w:hanging="720"/>
      </w:pPr>
      <w:r w:rsidRPr="002D5D9C">
        <w:t xml:space="preserve">Latour, B. (2005). </w:t>
      </w:r>
      <w:r w:rsidRPr="002D5D9C">
        <w:rPr>
          <w:i/>
        </w:rPr>
        <w:t>Reassembling the Social: An Introduction to Actor-Network Theory</w:t>
      </w:r>
      <w:r w:rsidRPr="002D5D9C">
        <w:t>. Oxford: Oxford University Press.</w:t>
      </w:r>
    </w:p>
    <w:p w:rsidR="002D5D9C" w:rsidRPr="002D5D9C" w:rsidRDefault="002D5D9C" w:rsidP="002D5D9C">
      <w:pPr>
        <w:pStyle w:val="EndNoteBibliography"/>
        <w:spacing w:after="0"/>
        <w:ind w:left="720" w:hanging="720"/>
      </w:pPr>
      <w:r w:rsidRPr="002D5D9C">
        <w:t xml:space="preserve">Law, J. (1986). </w:t>
      </w:r>
      <w:r w:rsidRPr="002D5D9C">
        <w:rPr>
          <w:i/>
        </w:rPr>
        <w:t>Power, action, and belief: a new sociology of knowledge?</w:t>
      </w:r>
      <w:r w:rsidRPr="002D5D9C">
        <w:t xml:space="preserve"> London: Routledge &amp; Kegan Paul.</w:t>
      </w:r>
    </w:p>
    <w:p w:rsidR="002D5D9C" w:rsidRPr="002D5D9C" w:rsidRDefault="002D5D9C" w:rsidP="002D5D9C">
      <w:pPr>
        <w:pStyle w:val="EndNoteBibliography"/>
        <w:spacing w:after="0"/>
        <w:ind w:left="720" w:hanging="720"/>
      </w:pPr>
      <w:r w:rsidRPr="002D5D9C">
        <w:t xml:space="preserve">Law, J. (1991). Power, Descretion and Strategy. In J. Law (Ed.), </w:t>
      </w:r>
      <w:r w:rsidRPr="002D5D9C">
        <w:rPr>
          <w:i/>
        </w:rPr>
        <w:t>A Sociology of Monsters: Essays on Power, Technology and Domination</w:t>
      </w:r>
      <w:r w:rsidRPr="002D5D9C">
        <w:t xml:space="preserve"> (pp. 175-201.). London: Routledge.</w:t>
      </w:r>
    </w:p>
    <w:p w:rsidR="002D5D9C" w:rsidRPr="002D5D9C" w:rsidRDefault="002D5D9C" w:rsidP="002D5D9C">
      <w:pPr>
        <w:pStyle w:val="EndNoteBibliography"/>
        <w:spacing w:after="0"/>
        <w:ind w:left="720" w:hanging="720"/>
      </w:pPr>
      <w:r w:rsidRPr="002D5D9C">
        <w:lastRenderedPageBreak/>
        <w:t xml:space="preserve">Law, J. (1991). </w:t>
      </w:r>
      <w:r w:rsidRPr="002D5D9C">
        <w:rPr>
          <w:i/>
        </w:rPr>
        <w:t>A Sociology of monsters: essays on power, technology, and domination</w:t>
      </w:r>
      <w:r w:rsidRPr="002D5D9C">
        <w:t>: Routledge.</w:t>
      </w:r>
    </w:p>
    <w:p w:rsidR="002D5D9C" w:rsidRPr="002D5D9C" w:rsidRDefault="002D5D9C" w:rsidP="002D5D9C">
      <w:pPr>
        <w:pStyle w:val="EndNoteBibliography"/>
        <w:spacing w:after="0"/>
        <w:ind w:left="720" w:hanging="720"/>
      </w:pPr>
      <w:r w:rsidRPr="002D5D9C">
        <w:t xml:space="preserve">Law, M., Babtiste, S., Carswell, A., McColl, M., Polotajko, H., &amp; Pollock, N. (2005). </w:t>
      </w:r>
      <w:r w:rsidRPr="002D5D9C">
        <w:rPr>
          <w:i/>
        </w:rPr>
        <w:t>Canadian Occupational Performance Measure</w:t>
      </w:r>
      <w:r w:rsidRPr="002D5D9C">
        <w:t>. Ottowa: COAT Publications ACE.</w:t>
      </w:r>
    </w:p>
    <w:p w:rsidR="002D5D9C" w:rsidRPr="002D5D9C" w:rsidRDefault="002D5D9C" w:rsidP="002D5D9C">
      <w:pPr>
        <w:pStyle w:val="EndNoteBibliography"/>
        <w:spacing w:after="0"/>
        <w:ind w:left="720" w:hanging="720"/>
      </w:pPr>
      <w:r w:rsidRPr="002D5D9C">
        <w:t xml:space="preserve">Liberati, E. G., Gorli, M., Moja, L., Galuppo, L., Ripamonti, S., &amp; Scaratti, G. (2015). Exploring the practice of patient centered care: The role of ethnography and reflexivity. </w:t>
      </w:r>
      <w:r w:rsidRPr="002D5D9C">
        <w:rPr>
          <w:i/>
        </w:rPr>
        <w:t>Social Science &amp; Medicine, 133</w:t>
      </w:r>
      <w:r w:rsidRPr="002D5D9C">
        <w:t xml:space="preserve">, 45-52. doi: </w:t>
      </w:r>
      <w:hyperlink r:id="rId9" w:history="1">
        <w:r w:rsidRPr="002D5D9C">
          <w:rPr>
            <w:rStyle w:val="Hyperlink"/>
          </w:rPr>
          <w:t>http://dx.doi.org/10.1016/j.socscimed.2015.03.050</w:t>
        </w:r>
      </w:hyperlink>
    </w:p>
    <w:p w:rsidR="002D5D9C" w:rsidRPr="002D5D9C" w:rsidRDefault="002D5D9C" w:rsidP="002D5D9C">
      <w:pPr>
        <w:pStyle w:val="EndNoteBibliography"/>
        <w:spacing w:after="0"/>
        <w:ind w:left="720" w:hanging="720"/>
      </w:pPr>
      <w:r w:rsidRPr="002D5D9C">
        <w:t xml:space="preserve">Marks, W. A., Honeycutt, J., Acosta, F., &amp; Reed, M. (2009). Deep brain stimulation for pediatric movement disorders. </w:t>
      </w:r>
      <w:r w:rsidRPr="002D5D9C">
        <w:rPr>
          <w:i/>
        </w:rPr>
        <w:t>Semin Pediatr Neurol, 16</w:t>
      </w:r>
      <w:r w:rsidRPr="002D5D9C">
        <w:t>(2), 90-98. doi: 10.1016/j.spen.2009.04.001</w:t>
      </w:r>
    </w:p>
    <w:p w:rsidR="002D5D9C" w:rsidRPr="002D5D9C" w:rsidRDefault="002D5D9C" w:rsidP="002D5D9C">
      <w:pPr>
        <w:pStyle w:val="EndNoteBibliography"/>
        <w:spacing w:after="0"/>
        <w:ind w:left="720" w:hanging="720"/>
      </w:pPr>
      <w:r w:rsidRPr="002D5D9C">
        <w:t xml:space="preserve">May, C., Rapley, T., Moreira, T., Finch, T., &amp; Heaven, B. (2006). Technogovernance: evidence, subjectivity, and the clinical encounter in primary care medicine. </w:t>
      </w:r>
      <w:r w:rsidRPr="002D5D9C">
        <w:rPr>
          <w:i/>
        </w:rPr>
        <w:t>Soc Sci Med, 62</w:t>
      </w:r>
      <w:r w:rsidRPr="002D5D9C">
        <w:t>(4), 1022-1030. doi: 10.1016/j.socscimed.2005.07.003</w:t>
      </w:r>
    </w:p>
    <w:p w:rsidR="002D5D9C" w:rsidRPr="002D5D9C" w:rsidRDefault="002D5D9C" w:rsidP="002D5D9C">
      <w:pPr>
        <w:pStyle w:val="EndNoteBibliography"/>
        <w:spacing w:after="0"/>
        <w:ind w:left="720" w:hanging="720"/>
      </w:pPr>
      <w:r w:rsidRPr="002D5D9C">
        <w:t xml:space="preserve">Mead, N., &amp; Bower, P. (2000). Patient-centredness: a conceptual framework and review of the empirical literature. </w:t>
      </w:r>
      <w:r w:rsidRPr="002D5D9C">
        <w:rPr>
          <w:i/>
        </w:rPr>
        <w:t>Social Science &amp; Medicine, 51</w:t>
      </w:r>
      <w:r w:rsidRPr="002D5D9C">
        <w:t xml:space="preserve">(7), 1087-1110. doi: </w:t>
      </w:r>
      <w:hyperlink r:id="rId10" w:history="1">
        <w:r w:rsidRPr="002D5D9C">
          <w:rPr>
            <w:rStyle w:val="Hyperlink"/>
          </w:rPr>
          <w:t>http://dx.doi.org/10.1016/S0277-9536(00)00098-8</w:t>
        </w:r>
      </w:hyperlink>
    </w:p>
    <w:p w:rsidR="002D5D9C" w:rsidRPr="002D5D9C" w:rsidRDefault="002D5D9C" w:rsidP="002D5D9C">
      <w:pPr>
        <w:pStyle w:val="EndNoteBibliography"/>
        <w:spacing w:after="0"/>
        <w:ind w:left="720" w:hanging="720"/>
      </w:pPr>
      <w:r w:rsidRPr="002D5D9C">
        <w:t xml:space="preserve">Mol, A. (2002). </w:t>
      </w:r>
      <w:r w:rsidRPr="002D5D9C">
        <w:rPr>
          <w:i/>
        </w:rPr>
        <w:t>The body multiple: ontology in medical practice</w:t>
      </w:r>
      <w:r w:rsidRPr="002D5D9C">
        <w:t>. London: Duke University Press.</w:t>
      </w:r>
    </w:p>
    <w:p w:rsidR="002D5D9C" w:rsidRPr="002D5D9C" w:rsidRDefault="002D5D9C" w:rsidP="002D5D9C">
      <w:pPr>
        <w:pStyle w:val="EndNoteBibliography"/>
        <w:spacing w:after="0"/>
        <w:ind w:left="720" w:hanging="720"/>
      </w:pPr>
      <w:r w:rsidRPr="002D5D9C">
        <w:t>NHS. (2013). The NHS Constitution: The NHS Belongs to US All In T. D. o. Health (Ed.). London: Crown.</w:t>
      </w:r>
    </w:p>
    <w:p w:rsidR="002D5D9C" w:rsidRPr="002D5D9C" w:rsidRDefault="002D5D9C" w:rsidP="002D5D9C">
      <w:pPr>
        <w:pStyle w:val="EndNoteBibliography"/>
        <w:spacing w:after="0"/>
        <w:ind w:left="720" w:hanging="720"/>
      </w:pPr>
      <w:r w:rsidRPr="002D5D9C">
        <w:t xml:space="preserve">Rabinow, P. (2008). Artificiality and Enlightenment: From Sociobiology to Biosociality </w:t>
      </w:r>
      <w:r w:rsidRPr="002D5D9C">
        <w:rPr>
          <w:i/>
        </w:rPr>
        <w:t>Anthropologies of Modernity</w:t>
      </w:r>
      <w:r w:rsidRPr="002D5D9C">
        <w:t xml:space="preserve"> (pp. 179-193): Blackwell Publishing Ltd.</w:t>
      </w:r>
    </w:p>
    <w:p w:rsidR="002D5D9C" w:rsidRPr="002D5D9C" w:rsidRDefault="002D5D9C" w:rsidP="002D5D9C">
      <w:pPr>
        <w:pStyle w:val="EndNoteBibliography"/>
        <w:spacing w:after="0"/>
        <w:ind w:left="720" w:hanging="720"/>
      </w:pPr>
      <w:r w:rsidRPr="002D5D9C">
        <w:t xml:space="preserve">Thompson, A. G. (2007). The meaning of patient involvement and participation in health care consultations: a taxonomy. </w:t>
      </w:r>
      <w:r w:rsidRPr="002D5D9C">
        <w:rPr>
          <w:i/>
        </w:rPr>
        <w:t>Soc Sci Med, 64</w:t>
      </w:r>
      <w:r w:rsidRPr="002D5D9C">
        <w:t>(6), 1297-1310. doi: 10.1016/j.socscimed.2006.11.002</w:t>
      </w:r>
    </w:p>
    <w:p w:rsidR="002D5D9C" w:rsidRPr="002D5D9C" w:rsidRDefault="002D5D9C" w:rsidP="002D5D9C">
      <w:pPr>
        <w:pStyle w:val="EndNoteBibliography"/>
        <w:ind w:left="720" w:hanging="720"/>
      </w:pPr>
      <w:r w:rsidRPr="002D5D9C">
        <w:t xml:space="preserve">Zeisel, J. (1984). </w:t>
      </w:r>
      <w:r w:rsidRPr="002D5D9C">
        <w:rPr>
          <w:i/>
        </w:rPr>
        <w:t>Inquiry by Design: Tools for Environment-Behaviour Research</w:t>
      </w:r>
      <w:r w:rsidRPr="002D5D9C">
        <w:t>: Cambridge University Press.</w:t>
      </w:r>
    </w:p>
    <w:p w:rsidR="0021545B" w:rsidRPr="0021545B" w:rsidRDefault="00E42B4A" w:rsidP="00FA2B96">
      <w:r>
        <w:fldChar w:fldCharType="end"/>
      </w:r>
    </w:p>
    <w:p w:rsidR="00350C62" w:rsidRDefault="005A1415">
      <w:pPr>
        <w:rPr>
          <w:b/>
        </w:rPr>
      </w:pPr>
      <w:r w:rsidRPr="005A1415">
        <w:rPr>
          <w:b/>
        </w:rPr>
        <w:t>Acknowledgements</w:t>
      </w:r>
    </w:p>
    <w:p w:rsidR="005A1415" w:rsidRPr="005A1415" w:rsidRDefault="005A1415">
      <w:r w:rsidRPr="005A1415">
        <w:t>The aut</w:t>
      </w:r>
      <w:r>
        <w:t>hors would like to thank their LABTEC (London and Brighton Translational Ethics Centre) colleagues for their advice, particularl</w:t>
      </w:r>
      <w:r w:rsidR="001E3C89">
        <w:t xml:space="preserve">y Clare Williams (PI).  The authors would also like to thank the anonymous reviewers for their useful feedback and encouragement. </w:t>
      </w:r>
    </w:p>
    <w:sectPr w:rsidR="005A1415" w:rsidRPr="005A1415" w:rsidSect="00E42B4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03D" w:rsidRDefault="00BD003D" w:rsidP="00A50B9A">
      <w:pPr>
        <w:spacing w:after="0" w:line="240" w:lineRule="auto"/>
      </w:pPr>
      <w:r>
        <w:separator/>
      </w:r>
    </w:p>
  </w:endnote>
  <w:endnote w:type="continuationSeparator" w:id="0">
    <w:p w:rsidR="00BD003D" w:rsidRDefault="00BD003D" w:rsidP="00A50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902046"/>
      <w:docPartObj>
        <w:docPartGallery w:val="Page Numbers (Bottom of Page)"/>
        <w:docPartUnique/>
      </w:docPartObj>
    </w:sdtPr>
    <w:sdtEndPr>
      <w:rPr>
        <w:noProof/>
      </w:rPr>
    </w:sdtEndPr>
    <w:sdtContent>
      <w:p w:rsidR="00C75945" w:rsidRDefault="003E15C7">
        <w:pPr>
          <w:pStyle w:val="Footer"/>
          <w:jc w:val="right"/>
        </w:pPr>
        <w:r>
          <w:fldChar w:fldCharType="begin"/>
        </w:r>
        <w:r>
          <w:instrText xml:space="preserve"> PAGE   \* MERGEFORMAT </w:instrText>
        </w:r>
        <w:r>
          <w:fldChar w:fldCharType="separate"/>
        </w:r>
        <w:r w:rsidR="00632D27">
          <w:rPr>
            <w:noProof/>
          </w:rPr>
          <w:t>1</w:t>
        </w:r>
        <w:r>
          <w:rPr>
            <w:noProof/>
          </w:rPr>
          <w:fldChar w:fldCharType="end"/>
        </w:r>
      </w:p>
    </w:sdtContent>
  </w:sdt>
  <w:p w:rsidR="00C75945" w:rsidRDefault="00C75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03D" w:rsidRDefault="00BD003D" w:rsidP="00A50B9A">
      <w:pPr>
        <w:spacing w:after="0" w:line="240" w:lineRule="auto"/>
      </w:pPr>
      <w:r>
        <w:separator/>
      </w:r>
    </w:p>
  </w:footnote>
  <w:footnote w:type="continuationSeparator" w:id="0">
    <w:p w:rsidR="00BD003D" w:rsidRDefault="00BD003D" w:rsidP="00A50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45" w:rsidRDefault="00C72E94" w:rsidP="00A50B9A">
    <w:pPr>
      <w:pStyle w:val="Header"/>
      <w:jc w:val="right"/>
    </w:pPr>
    <w:r>
      <w:t>Pre-print, peer-reviewed, Accepted 6/02/2016</w:t>
    </w:r>
  </w:p>
  <w:p w:rsidR="00C72E94" w:rsidRPr="00C72E94" w:rsidRDefault="00C72E94" w:rsidP="00A50B9A">
    <w:pPr>
      <w:pStyle w:val="Header"/>
      <w:jc w:val="right"/>
    </w:pPr>
    <w:r>
      <w:rPr>
        <w:i/>
      </w:rPr>
      <w:t>Sociology of Health &amp; Illness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8E5"/>
    <w:multiLevelType w:val="hybridMultilevel"/>
    <w:tmpl w:val="C332C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E1612F7"/>
    <w:multiLevelType w:val="hybridMultilevel"/>
    <w:tmpl w:val="7438F5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20032FC"/>
    <w:multiLevelType w:val="hybridMultilevel"/>
    <w:tmpl w:val="32D0C3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dwds2e822dx1ezx215esw0exvr9wpr9vxf&quot;&gt;My EndNote Library&lt;record-ids&gt;&lt;item&gt;31&lt;/item&gt;&lt;item&gt;46&lt;/item&gt;&lt;item&gt;47&lt;/item&gt;&lt;item&gt;126&lt;/item&gt;&lt;item&gt;182&lt;/item&gt;&lt;item&gt;191&lt;/item&gt;&lt;item&gt;197&lt;/item&gt;&lt;item&gt;204&lt;/item&gt;&lt;item&gt;267&lt;/item&gt;&lt;item&gt;286&lt;/item&gt;&lt;item&gt;344&lt;/item&gt;&lt;item&gt;376&lt;/item&gt;&lt;item&gt;448&lt;/item&gt;&lt;item&gt;533&lt;/item&gt;&lt;item&gt;554&lt;/item&gt;&lt;item&gt;557&lt;/item&gt;&lt;item&gt;588&lt;/item&gt;&lt;item&gt;678&lt;/item&gt;&lt;item&gt;684&lt;/item&gt;&lt;item&gt;685&lt;/item&gt;&lt;item&gt;686&lt;/item&gt;&lt;item&gt;687&lt;/item&gt;&lt;item&gt;688&lt;/item&gt;&lt;item&gt;689&lt;/item&gt;&lt;item&gt;690&lt;/item&gt;&lt;item&gt;693&lt;/item&gt;&lt;item&gt;694&lt;/item&gt;&lt;item&gt;696&lt;/item&gt;&lt;item&gt;698&lt;/item&gt;&lt;item&gt;699&lt;/item&gt;&lt;item&gt;700&lt;/item&gt;&lt;item&gt;868&lt;/item&gt;&lt;item&gt;869&lt;/item&gt;&lt;/record-ids&gt;&lt;/item&gt;&lt;/Libraries&gt;"/>
  </w:docVars>
  <w:rsids>
    <w:rsidRoot w:val="0021545B"/>
    <w:rsid w:val="00005FB9"/>
    <w:rsid w:val="000137FA"/>
    <w:rsid w:val="000139A0"/>
    <w:rsid w:val="00013BDD"/>
    <w:rsid w:val="000219B1"/>
    <w:rsid w:val="000325F1"/>
    <w:rsid w:val="00035A0B"/>
    <w:rsid w:val="00042126"/>
    <w:rsid w:val="00042F42"/>
    <w:rsid w:val="00044B99"/>
    <w:rsid w:val="0008080C"/>
    <w:rsid w:val="000852DF"/>
    <w:rsid w:val="0009159A"/>
    <w:rsid w:val="00091AB7"/>
    <w:rsid w:val="000930BA"/>
    <w:rsid w:val="00097049"/>
    <w:rsid w:val="000A0F6C"/>
    <w:rsid w:val="000B0FA6"/>
    <w:rsid w:val="000C380B"/>
    <w:rsid w:val="000C59A1"/>
    <w:rsid w:val="000C767B"/>
    <w:rsid w:val="000D051B"/>
    <w:rsid w:val="000D253E"/>
    <w:rsid w:val="000D69B9"/>
    <w:rsid w:val="000E2467"/>
    <w:rsid w:val="000E4F2E"/>
    <w:rsid w:val="000F1E42"/>
    <w:rsid w:val="000F1FD6"/>
    <w:rsid w:val="000F39B0"/>
    <w:rsid w:val="00104A69"/>
    <w:rsid w:val="00116489"/>
    <w:rsid w:val="001237AC"/>
    <w:rsid w:val="001246CD"/>
    <w:rsid w:val="001303B8"/>
    <w:rsid w:val="00132B1C"/>
    <w:rsid w:val="00146B87"/>
    <w:rsid w:val="001917B9"/>
    <w:rsid w:val="00193F8C"/>
    <w:rsid w:val="001B6721"/>
    <w:rsid w:val="001D1B1C"/>
    <w:rsid w:val="001E3C89"/>
    <w:rsid w:val="001F1652"/>
    <w:rsid w:val="001F3256"/>
    <w:rsid w:val="001F4660"/>
    <w:rsid w:val="001F49CF"/>
    <w:rsid w:val="00200622"/>
    <w:rsid w:val="0020412C"/>
    <w:rsid w:val="0021545B"/>
    <w:rsid w:val="00220D0F"/>
    <w:rsid w:val="0022144A"/>
    <w:rsid w:val="00230085"/>
    <w:rsid w:val="00231A60"/>
    <w:rsid w:val="002421F9"/>
    <w:rsid w:val="00242290"/>
    <w:rsid w:val="0024556D"/>
    <w:rsid w:val="00250F76"/>
    <w:rsid w:val="00252E88"/>
    <w:rsid w:val="0025509D"/>
    <w:rsid w:val="00256514"/>
    <w:rsid w:val="002803A4"/>
    <w:rsid w:val="00280535"/>
    <w:rsid w:val="0029223B"/>
    <w:rsid w:val="002932DF"/>
    <w:rsid w:val="0029605C"/>
    <w:rsid w:val="002A68A4"/>
    <w:rsid w:val="002A6AD2"/>
    <w:rsid w:val="002B75D3"/>
    <w:rsid w:val="002D4D08"/>
    <w:rsid w:val="002D5D9C"/>
    <w:rsid w:val="002D7704"/>
    <w:rsid w:val="002D7CAC"/>
    <w:rsid w:val="002F23B3"/>
    <w:rsid w:val="002F2C6B"/>
    <w:rsid w:val="002F5079"/>
    <w:rsid w:val="003017EF"/>
    <w:rsid w:val="00304744"/>
    <w:rsid w:val="00306313"/>
    <w:rsid w:val="0031209A"/>
    <w:rsid w:val="00312DF3"/>
    <w:rsid w:val="003332C8"/>
    <w:rsid w:val="00340E22"/>
    <w:rsid w:val="00345A48"/>
    <w:rsid w:val="00346D36"/>
    <w:rsid w:val="00350C62"/>
    <w:rsid w:val="00353A70"/>
    <w:rsid w:val="00356CBD"/>
    <w:rsid w:val="00360C69"/>
    <w:rsid w:val="00364C41"/>
    <w:rsid w:val="00373206"/>
    <w:rsid w:val="00383DEC"/>
    <w:rsid w:val="003850C4"/>
    <w:rsid w:val="00386FB4"/>
    <w:rsid w:val="003936C0"/>
    <w:rsid w:val="003D2AFA"/>
    <w:rsid w:val="003D4331"/>
    <w:rsid w:val="003D4B4A"/>
    <w:rsid w:val="003E15C7"/>
    <w:rsid w:val="003F16C7"/>
    <w:rsid w:val="0040718A"/>
    <w:rsid w:val="00414D6F"/>
    <w:rsid w:val="00417753"/>
    <w:rsid w:val="00417BC6"/>
    <w:rsid w:val="0042015F"/>
    <w:rsid w:val="00433609"/>
    <w:rsid w:val="004358A1"/>
    <w:rsid w:val="00437749"/>
    <w:rsid w:val="00442313"/>
    <w:rsid w:val="00443029"/>
    <w:rsid w:val="004447C1"/>
    <w:rsid w:val="0045204D"/>
    <w:rsid w:val="00465070"/>
    <w:rsid w:val="004756E6"/>
    <w:rsid w:val="00480483"/>
    <w:rsid w:val="004A6A10"/>
    <w:rsid w:val="004B202B"/>
    <w:rsid w:val="004C1F8B"/>
    <w:rsid w:val="004C2F49"/>
    <w:rsid w:val="004D0E70"/>
    <w:rsid w:val="004D2057"/>
    <w:rsid w:val="004F0F32"/>
    <w:rsid w:val="004F2CFA"/>
    <w:rsid w:val="00507704"/>
    <w:rsid w:val="005320AA"/>
    <w:rsid w:val="00545BE5"/>
    <w:rsid w:val="00547D5D"/>
    <w:rsid w:val="005608BF"/>
    <w:rsid w:val="00561AAF"/>
    <w:rsid w:val="00563732"/>
    <w:rsid w:val="00566FDF"/>
    <w:rsid w:val="005714EB"/>
    <w:rsid w:val="00577A59"/>
    <w:rsid w:val="00582976"/>
    <w:rsid w:val="00584031"/>
    <w:rsid w:val="00591EB8"/>
    <w:rsid w:val="00592606"/>
    <w:rsid w:val="00594498"/>
    <w:rsid w:val="00595907"/>
    <w:rsid w:val="00597F0C"/>
    <w:rsid w:val="005A1415"/>
    <w:rsid w:val="005A226D"/>
    <w:rsid w:val="005A492E"/>
    <w:rsid w:val="005A7DD7"/>
    <w:rsid w:val="005B3674"/>
    <w:rsid w:val="005C0B3E"/>
    <w:rsid w:val="005C6AF6"/>
    <w:rsid w:val="005E2968"/>
    <w:rsid w:val="005E74DB"/>
    <w:rsid w:val="005F42BD"/>
    <w:rsid w:val="005F484A"/>
    <w:rsid w:val="005F50BD"/>
    <w:rsid w:val="00603BC8"/>
    <w:rsid w:val="00606321"/>
    <w:rsid w:val="0060784F"/>
    <w:rsid w:val="00610DC6"/>
    <w:rsid w:val="00614344"/>
    <w:rsid w:val="00622AB2"/>
    <w:rsid w:val="00626E9F"/>
    <w:rsid w:val="00630A6A"/>
    <w:rsid w:val="00631656"/>
    <w:rsid w:val="00632D27"/>
    <w:rsid w:val="00645F77"/>
    <w:rsid w:val="00646FAE"/>
    <w:rsid w:val="00650464"/>
    <w:rsid w:val="0065116D"/>
    <w:rsid w:val="006524E4"/>
    <w:rsid w:val="0065460D"/>
    <w:rsid w:val="00655684"/>
    <w:rsid w:val="006624B4"/>
    <w:rsid w:val="0066283B"/>
    <w:rsid w:val="00663A01"/>
    <w:rsid w:val="00672DDB"/>
    <w:rsid w:val="00674A56"/>
    <w:rsid w:val="00683079"/>
    <w:rsid w:val="00687A6B"/>
    <w:rsid w:val="00694347"/>
    <w:rsid w:val="00694D4A"/>
    <w:rsid w:val="00694D64"/>
    <w:rsid w:val="006A4FC1"/>
    <w:rsid w:val="006B6937"/>
    <w:rsid w:val="006C269E"/>
    <w:rsid w:val="006C2D10"/>
    <w:rsid w:val="006C6F68"/>
    <w:rsid w:val="007001C7"/>
    <w:rsid w:val="00710A0C"/>
    <w:rsid w:val="00717587"/>
    <w:rsid w:val="00721418"/>
    <w:rsid w:val="00727452"/>
    <w:rsid w:val="007465FE"/>
    <w:rsid w:val="0074697D"/>
    <w:rsid w:val="00750836"/>
    <w:rsid w:val="00753B69"/>
    <w:rsid w:val="00754C8D"/>
    <w:rsid w:val="00754D73"/>
    <w:rsid w:val="007575F7"/>
    <w:rsid w:val="00773840"/>
    <w:rsid w:val="007759E4"/>
    <w:rsid w:val="00783014"/>
    <w:rsid w:val="00783C0C"/>
    <w:rsid w:val="0078690D"/>
    <w:rsid w:val="00787152"/>
    <w:rsid w:val="00787D17"/>
    <w:rsid w:val="00794005"/>
    <w:rsid w:val="00796547"/>
    <w:rsid w:val="007A4238"/>
    <w:rsid w:val="007A5F5B"/>
    <w:rsid w:val="007B2766"/>
    <w:rsid w:val="007C1B82"/>
    <w:rsid w:val="007D0526"/>
    <w:rsid w:val="007D4225"/>
    <w:rsid w:val="007D4975"/>
    <w:rsid w:val="007D748C"/>
    <w:rsid w:val="007D79BD"/>
    <w:rsid w:val="007E6423"/>
    <w:rsid w:val="008211B1"/>
    <w:rsid w:val="00822969"/>
    <w:rsid w:val="0083400E"/>
    <w:rsid w:val="00834D75"/>
    <w:rsid w:val="00841579"/>
    <w:rsid w:val="00842B81"/>
    <w:rsid w:val="00853052"/>
    <w:rsid w:val="0085425A"/>
    <w:rsid w:val="008567BD"/>
    <w:rsid w:val="00883F94"/>
    <w:rsid w:val="00893945"/>
    <w:rsid w:val="008B4132"/>
    <w:rsid w:val="008E185F"/>
    <w:rsid w:val="008E2414"/>
    <w:rsid w:val="008F1316"/>
    <w:rsid w:val="008F3277"/>
    <w:rsid w:val="008F7C2C"/>
    <w:rsid w:val="00900735"/>
    <w:rsid w:val="0090791C"/>
    <w:rsid w:val="00913595"/>
    <w:rsid w:val="00916138"/>
    <w:rsid w:val="00916BDA"/>
    <w:rsid w:val="009249C1"/>
    <w:rsid w:val="009411EF"/>
    <w:rsid w:val="00945114"/>
    <w:rsid w:val="00950DDB"/>
    <w:rsid w:val="00952070"/>
    <w:rsid w:val="009604BE"/>
    <w:rsid w:val="009618DA"/>
    <w:rsid w:val="00967ED6"/>
    <w:rsid w:val="00974AFD"/>
    <w:rsid w:val="0098491D"/>
    <w:rsid w:val="00985D08"/>
    <w:rsid w:val="00987945"/>
    <w:rsid w:val="00994E31"/>
    <w:rsid w:val="00995A5E"/>
    <w:rsid w:val="009A1093"/>
    <w:rsid w:val="009A13FA"/>
    <w:rsid w:val="009A1E07"/>
    <w:rsid w:val="009B3204"/>
    <w:rsid w:val="009D4FC7"/>
    <w:rsid w:val="009E2C52"/>
    <w:rsid w:val="009F3C89"/>
    <w:rsid w:val="00A0539F"/>
    <w:rsid w:val="00A30F07"/>
    <w:rsid w:val="00A33901"/>
    <w:rsid w:val="00A40BC9"/>
    <w:rsid w:val="00A444F6"/>
    <w:rsid w:val="00A50B9A"/>
    <w:rsid w:val="00A62106"/>
    <w:rsid w:val="00A6750A"/>
    <w:rsid w:val="00A73B47"/>
    <w:rsid w:val="00A74206"/>
    <w:rsid w:val="00A8474D"/>
    <w:rsid w:val="00A84E8F"/>
    <w:rsid w:val="00A90CA3"/>
    <w:rsid w:val="00AA009F"/>
    <w:rsid w:val="00AA126E"/>
    <w:rsid w:val="00AA3EAC"/>
    <w:rsid w:val="00AA635B"/>
    <w:rsid w:val="00AC1466"/>
    <w:rsid w:val="00AD0A65"/>
    <w:rsid w:val="00AE2501"/>
    <w:rsid w:val="00AF1540"/>
    <w:rsid w:val="00AF6B92"/>
    <w:rsid w:val="00B056C6"/>
    <w:rsid w:val="00B152E1"/>
    <w:rsid w:val="00B27A53"/>
    <w:rsid w:val="00B302A3"/>
    <w:rsid w:val="00B65130"/>
    <w:rsid w:val="00B71814"/>
    <w:rsid w:val="00B72103"/>
    <w:rsid w:val="00B759E7"/>
    <w:rsid w:val="00B7664C"/>
    <w:rsid w:val="00B84613"/>
    <w:rsid w:val="00B849B7"/>
    <w:rsid w:val="00B84FA1"/>
    <w:rsid w:val="00B96444"/>
    <w:rsid w:val="00BA01F5"/>
    <w:rsid w:val="00BA0312"/>
    <w:rsid w:val="00BA407C"/>
    <w:rsid w:val="00BA4FC2"/>
    <w:rsid w:val="00BA73BB"/>
    <w:rsid w:val="00BB3BFD"/>
    <w:rsid w:val="00BC2B99"/>
    <w:rsid w:val="00BD003D"/>
    <w:rsid w:val="00BD1249"/>
    <w:rsid w:val="00BD37C0"/>
    <w:rsid w:val="00BD628B"/>
    <w:rsid w:val="00BD7E0F"/>
    <w:rsid w:val="00BE0470"/>
    <w:rsid w:val="00BE2685"/>
    <w:rsid w:val="00BE282B"/>
    <w:rsid w:val="00BE5291"/>
    <w:rsid w:val="00BF0E8F"/>
    <w:rsid w:val="00BF552E"/>
    <w:rsid w:val="00C0004E"/>
    <w:rsid w:val="00C030E8"/>
    <w:rsid w:val="00C04A04"/>
    <w:rsid w:val="00C117C1"/>
    <w:rsid w:val="00C12D62"/>
    <w:rsid w:val="00C15D85"/>
    <w:rsid w:val="00C20DA8"/>
    <w:rsid w:val="00C22776"/>
    <w:rsid w:val="00C33C6D"/>
    <w:rsid w:val="00C411B0"/>
    <w:rsid w:val="00C4381D"/>
    <w:rsid w:val="00C515C2"/>
    <w:rsid w:val="00C7080C"/>
    <w:rsid w:val="00C72E94"/>
    <w:rsid w:val="00C73A3D"/>
    <w:rsid w:val="00C75945"/>
    <w:rsid w:val="00C966B6"/>
    <w:rsid w:val="00CA3516"/>
    <w:rsid w:val="00CA3CF4"/>
    <w:rsid w:val="00CA525B"/>
    <w:rsid w:val="00CB296B"/>
    <w:rsid w:val="00CC3EA6"/>
    <w:rsid w:val="00CD68BB"/>
    <w:rsid w:val="00CE11C8"/>
    <w:rsid w:val="00CE1F4A"/>
    <w:rsid w:val="00CE295E"/>
    <w:rsid w:val="00CF03C9"/>
    <w:rsid w:val="00CF1625"/>
    <w:rsid w:val="00CF438E"/>
    <w:rsid w:val="00CF7EC4"/>
    <w:rsid w:val="00D02A7D"/>
    <w:rsid w:val="00D04E49"/>
    <w:rsid w:val="00D0622F"/>
    <w:rsid w:val="00D15E50"/>
    <w:rsid w:val="00D20508"/>
    <w:rsid w:val="00D226F2"/>
    <w:rsid w:val="00D250DF"/>
    <w:rsid w:val="00D270DB"/>
    <w:rsid w:val="00D3532E"/>
    <w:rsid w:val="00D36698"/>
    <w:rsid w:val="00D4126F"/>
    <w:rsid w:val="00D42E09"/>
    <w:rsid w:val="00D51396"/>
    <w:rsid w:val="00D55101"/>
    <w:rsid w:val="00D5700F"/>
    <w:rsid w:val="00D6459B"/>
    <w:rsid w:val="00D650B8"/>
    <w:rsid w:val="00D80D44"/>
    <w:rsid w:val="00D85CDD"/>
    <w:rsid w:val="00D8764B"/>
    <w:rsid w:val="00D87D82"/>
    <w:rsid w:val="00D9083A"/>
    <w:rsid w:val="00D9246C"/>
    <w:rsid w:val="00D9455A"/>
    <w:rsid w:val="00DA07D8"/>
    <w:rsid w:val="00DA1124"/>
    <w:rsid w:val="00DC7560"/>
    <w:rsid w:val="00DC7978"/>
    <w:rsid w:val="00DD3880"/>
    <w:rsid w:val="00DD4862"/>
    <w:rsid w:val="00DE37A3"/>
    <w:rsid w:val="00DF5A63"/>
    <w:rsid w:val="00DF793C"/>
    <w:rsid w:val="00E02C0A"/>
    <w:rsid w:val="00E1580E"/>
    <w:rsid w:val="00E219FE"/>
    <w:rsid w:val="00E261E7"/>
    <w:rsid w:val="00E33846"/>
    <w:rsid w:val="00E339D3"/>
    <w:rsid w:val="00E3712D"/>
    <w:rsid w:val="00E42306"/>
    <w:rsid w:val="00E4281B"/>
    <w:rsid w:val="00E42B4A"/>
    <w:rsid w:val="00E53102"/>
    <w:rsid w:val="00E57026"/>
    <w:rsid w:val="00E861AD"/>
    <w:rsid w:val="00E90371"/>
    <w:rsid w:val="00E91C51"/>
    <w:rsid w:val="00E96E3F"/>
    <w:rsid w:val="00EA02E5"/>
    <w:rsid w:val="00EB3BF4"/>
    <w:rsid w:val="00EB59A0"/>
    <w:rsid w:val="00EC77E3"/>
    <w:rsid w:val="00ED705E"/>
    <w:rsid w:val="00EF0A8A"/>
    <w:rsid w:val="00F00276"/>
    <w:rsid w:val="00F038A7"/>
    <w:rsid w:val="00F049E4"/>
    <w:rsid w:val="00F22D9A"/>
    <w:rsid w:val="00F239DD"/>
    <w:rsid w:val="00F31B80"/>
    <w:rsid w:val="00F3416B"/>
    <w:rsid w:val="00F366DC"/>
    <w:rsid w:val="00F4689F"/>
    <w:rsid w:val="00F4696B"/>
    <w:rsid w:val="00F6352A"/>
    <w:rsid w:val="00F6597D"/>
    <w:rsid w:val="00F66199"/>
    <w:rsid w:val="00F71A02"/>
    <w:rsid w:val="00F77AC5"/>
    <w:rsid w:val="00F81C99"/>
    <w:rsid w:val="00FA2B96"/>
    <w:rsid w:val="00FB2BCA"/>
    <w:rsid w:val="00FB55B4"/>
    <w:rsid w:val="00FC2DF0"/>
    <w:rsid w:val="00FC3D18"/>
    <w:rsid w:val="00FC5132"/>
    <w:rsid w:val="00FD11AA"/>
    <w:rsid w:val="00FD2F98"/>
    <w:rsid w:val="00FD7FD2"/>
    <w:rsid w:val="00FE36A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55684"/>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3B4155"/>
    <w:rPr>
      <w:rFonts w:ascii="Lucida Grande" w:hAnsi="Lucida Grande"/>
      <w:sz w:val="18"/>
      <w:szCs w:val="18"/>
    </w:rPr>
  </w:style>
  <w:style w:type="paragraph" w:styleId="Header">
    <w:name w:val="header"/>
    <w:basedOn w:val="Normal"/>
    <w:link w:val="HeaderChar"/>
    <w:uiPriority w:val="99"/>
    <w:unhideWhenUsed/>
    <w:rsid w:val="00A50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B9A"/>
  </w:style>
  <w:style w:type="paragraph" w:styleId="Footer">
    <w:name w:val="footer"/>
    <w:basedOn w:val="Normal"/>
    <w:link w:val="FooterChar"/>
    <w:uiPriority w:val="99"/>
    <w:unhideWhenUsed/>
    <w:rsid w:val="00A50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B9A"/>
  </w:style>
  <w:style w:type="paragraph" w:customStyle="1" w:styleId="EndNoteBibliographyTitle">
    <w:name w:val="EndNote Bibliography Title"/>
    <w:basedOn w:val="Normal"/>
    <w:link w:val="EndNoteBibliographyTitleChar"/>
    <w:rsid w:val="0031209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1209A"/>
    <w:rPr>
      <w:rFonts w:ascii="Calibri" w:hAnsi="Calibri"/>
      <w:noProof/>
      <w:lang w:val="en-US"/>
    </w:rPr>
  </w:style>
  <w:style w:type="paragraph" w:customStyle="1" w:styleId="EndNoteBibliography">
    <w:name w:val="EndNote Bibliography"/>
    <w:basedOn w:val="Normal"/>
    <w:link w:val="EndNoteBibliographyChar"/>
    <w:rsid w:val="0031209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31209A"/>
    <w:rPr>
      <w:rFonts w:ascii="Calibri" w:hAnsi="Calibri"/>
      <w:noProof/>
      <w:lang w:val="en-US"/>
    </w:rPr>
  </w:style>
  <w:style w:type="paragraph" w:styleId="ListParagraph">
    <w:name w:val="List Paragraph"/>
    <w:basedOn w:val="Normal"/>
    <w:uiPriority w:val="34"/>
    <w:qFormat/>
    <w:rsid w:val="006A4FC1"/>
    <w:pPr>
      <w:ind w:left="720"/>
      <w:contextualSpacing/>
    </w:pPr>
  </w:style>
  <w:style w:type="character" w:styleId="Hyperlink">
    <w:name w:val="Hyperlink"/>
    <w:basedOn w:val="DefaultParagraphFont"/>
    <w:uiPriority w:val="99"/>
    <w:unhideWhenUsed/>
    <w:rsid w:val="00C411B0"/>
    <w:rPr>
      <w:color w:val="0000FF" w:themeColor="hyperlink"/>
      <w:u w:val="single"/>
    </w:rPr>
  </w:style>
  <w:style w:type="character" w:customStyle="1" w:styleId="BalloonTextChar1">
    <w:name w:val="Balloon Text Char1"/>
    <w:basedOn w:val="DefaultParagraphFont"/>
    <w:link w:val="BalloonText"/>
    <w:uiPriority w:val="99"/>
    <w:semiHidden/>
    <w:rsid w:val="006556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55684"/>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3B4155"/>
    <w:rPr>
      <w:rFonts w:ascii="Lucida Grande" w:hAnsi="Lucida Grande"/>
      <w:sz w:val="18"/>
      <w:szCs w:val="18"/>
    </w:rPr>
  </w:style>
  <w:style w:type="paragraph" w:styleId="Header">
    <w:name w:val="header"/>
    <w:basedOn w:val="Normal"/>
    <w:link w:val="HeaderChar"/>
    <w:uiPriority w:val="99"/>
    <w:unhideWhenUsed/>
    <w:rsid w:val="00A50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B9A"/>
  </w:style>
  <w:style w:type="paragraph" w:styleId="Footer">
    <w:name w:val="footer"/>
    <w:basedOn w:val="Normal"/>
    <w:link w:val="FooterChar"/>
    <w:uiPriority w:val="99"/>
    <w:unhideWhenUsed/>
    <w:rsid w:val="00A50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B9A"/>
  </w:style>
  <w:style w:type="paragraph" w:customStyle="1" w:styleId="EndNoteBibliographyTitle">
    <w:name w:val="EndNote Bibliography Title"/>
    <w:basedOn w:val="Normal"/>
    <w:link w:val="EndNoteBibliographyTitleChar"/>
    <w:rsid w:val="0031209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1209A"/>
    <w:rPr>
      <w:rFonts w:ascii="Calibri" w:hAnsi="Calibri"/>
      <w:noProof/>
      <w:lang w:val="en-US"/>
    </w:rPr>
  </w:style>
  <w:style w:type="paragraph" w:customStyle="1" w:styleId="EndNoteBibliography">
    <w:name w:val="EndNote Bibliography"/>
    <w:basedOn w:val="Normal"/>
    <w:link w:val="EndNoteBibliographyChar"/>
    <w:rsid w:val="0031209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31209A"/>
    <w:rPr>
      <w:rFonts w:ascii="Calibri" w:hAnsi="Calibri"/>
      <w:noProof/>
      <w:lang w:val="en-US"/>
    </w:rPr>
  </w:style>
  <w:style w:type="paragraph" w:styleId="ListParagraph">
    <w:name w:val="List Paragraph"/>
    <w:basedOn w:val="Normal"/>
    <w:uiPriority w:val="34"/>
    <w:qFormat/>
    <w:rsid w:val="006A4FC1"/>
    <w:pPr>
      <w:ind w:left="720"/>
      <w:contextualSpacing/>
    </w:pPr>
  </w:style>
  <w:style w:type="character" w:styleId="Hyperlink">
    <w:name w:val="Hyperlink"/>
    <w:basedOn w:val="DefaultParagraphFont"/>
    <w:uiPriority w:val="99"/>
    <w:unhideWhenUsed/>
    <w:rsid w:val="00C411B0"/>
    <w:rPr>
      <w:color w:val="0000FF" w:themeColor="hyperlink"/>
      <w:u w:val="single"/>
    </w:rPr>
  </w:style>
  <w:style w:type="character" w:customStyle="1" w:styleId="BalloonTextChar1">
    <w:name w:val="Balloon Text Char1"/>
    <w:basedOn w:val="DefaultParagraphFont"/>
    <w:link w:val="BalloonText"/>
    <w:uiPriority w:val="99"/>
    <w:semiHidden/>
    <w:rsid w:val="006556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x.doi.org/10.1016/S0277-9536(00)00098-8" TargetMode="External"/><Relationship Id="rId4" Type="http://schemas.microsoft.com/office/2007/relationships/stylesWithEffects" Target="stylesWithEffects.xml"/><Relationship Id="rId9" Type="http://schemas.openxmlformats.org/officeDocument/2006/relationships/hyperlink" Target="http://dx.doi.org/10.1016/j.socscimed.2015.03.0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63B15-C027-4893-A6DA-6807BD1F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13496</Words>
  <Characters>76928</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jgg506</dc:creator>
  <cp:lastModifiedBy>jgg506</cp:lastModifiedBy>
  <cp:revision>6</cp:revision>
  <cp:lastPrinted>2015-08-12T10:39:00Z</cp:lastPrinted>
  <dcterms:created xsi:type="dcterms:W3CDTF">2016-01-12T17:18:00Z</dcterms:created>
  <dcterms:modified xsi:type="dcterms:W3CDTF">2016-02-07T10:48:00Z</dcterms:modified>
</cp:coreProperties>
</file>