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00" w:rsidRPr="00DF740A" w:rsidRDefault="00551C00" w:rsidP="00CB386F">
      <w:pPr>
        <w:pStyle w:val="Heading1"/>
        <w:spacing w:line="480" w:lineRule="auto"/>
      </w:pPr>
      <w:bookmarkStart w:id="0" w:name="_GoBack"/>
      <w:bookmarkEnd w:id="0"/>
      <w:r w:rsidRPr="004C7B23">
        <w:t>Risk Stratification in Febrile Neutropenic Ep</w:t>
      </w:r>
      <w:r>
        <w:t>isodes in Adolescent / Young Adult Patients with Cancer</w:t>
      </w:r>
    </w:p>
    <w:p w:rsidR="00551C00" w:rsidRDefault="00551C00" w:rsidP="00CB386F">
      <w:pPr>
        <w:spacing w:line="480" w:lineRule="auto"/>
      </w:pPr>
      <w:r>
        <w:t xml:space="preserve">AUTHORS: </w:t>
      </w:r>
      <w:r w:rsidR="00B974E9">
        <w:t>Robert S. Phillips [</w:t>
      </w:r>
      <w:proofErr w:type="spellStart"/>
      <w:r w:rsidR="00B974E9">
        <w:t>a,b</w:t>
      </w:r>
      <w:proofErr w:type="spellEnd"/>
      <w:r w:rsidRPr="00D603B4">
        <w:t xml:space="preserve">] </w:t>
      </w:r>
      <w:proofErr w:type="spellStart"/>
      <w:r w:rsidRPr="004F554D">
        <w:t>Kaljit</w:t>
      </w:r>
      <w:proofErr w:type="spellEnd"/>
      <w:r w:rsidRPr="004F554D">
        <w:t xml:space="preserve"> </w:t>
      </w:r>
      <w:proofErr w:type="spellStart"/>
      <w:r w:rsidR="00B974E9">
        <w:t>Bhuller</w:t>
      </w:r>
      <w:proofErr w:type="spellEnd"/>
      <w:r w:rsidR="00B974E9">
        <w:t xml:space="preserve"> [c</w:t>
      </w:r>
      <w:r>
        <w:t>]</w:t>
      </w:r>
      <w:r w:rsidR="001C20A3">
        <w:t xml:space="preserve"> </w:t>
      </w:r>
      <w:r w:rsidR="00B974E9" w:rsidRPr="00D603B4">
        <w:t>Lillian Sung [</w:t>
      </w:r>
      <w:proofErr w:type="spellStart"/>
      <w:r w:rsidR="001C20A3">
        <w:t>d,e</w:t>
      </w:r>
      <w:proofErr w:type="spellEnd"/>
      <w:r w:rsidR="001C20A3">
        <w:t xml:space="preserve">], Roland A. </w:t>
      </w:r>
      <w:proofErr w:type="spellStart"/>
      <w:r w:rsidR="001C20A3">
        <w:t>Amma</w:t>
      </w:r>
      <w:r w:rsidR="005933D8">
        <w:t>n</w:t>
      </w:r>
      <w:r w:rsidR="001C20A3">
        <w:t>n</w:t>
      </w:r>
      <w:proofErr w:type="spellEnd"/>
      <w:r w:rsidR="001C20A3">
        <w:t xml:space="preserve"> [f</w:t>
      </w:r>
      <w:r w:rsidR="00B974E9" w:rsidRPr="00D603B4">
        <w:t xml:space="preserve">], </w:t>
      </w:r>
      <w:r w:rsidR="00B974E9" w:rsidRPr="00D603B4">
        <w:rPr>
          <w:lang w:val="de-DE"/>
        </w:rPr>
        <w:t>Wim J. E. Tissing [</w:t>
      </w:r>
      <w:r w:rsidR="001C20A3">
        <w:rPr>
          <w:lang w:val="de-DE"/>
        </w:rPr>
        <w:t>g</w:t>
      </w:r>
      <w:r w:rsidR="00B974E9" w:rsidRPr="00D603B4">
        <w:rPr>
          <w:lang w:val="de-DE"/>
        </w:rPr>
        <w:t xml:space="preserve">], </w:t>
      </w:r>
      <w:r w:rsidR="00B974E9" w:rsidRPr="00D603B4">
        <w:t xml:space="preserve">Thomas </w:t>
      </w:r>
      <w:proofErr w:type="spellStart"/>
      <w:r w:rsidR="00B974E9" w:rsidRPr="00D603B4">
        <w:t>Lehrnbecher</w:t>
      </w:r>
      <w:proofErr w:type="spellEnd"/>
      <w:r w:rsidR="00B974E9" w:rsidRPr="00D603B4">
        <w:t xml:space="preserve"> [</w:t>
      </w:r>
      <w:r w:rsidR="001C20A3">
        <w:t>h</w:t>
      </w:r>
      <w:r w:rsidR="00B974E9" w:rsidRPr="00D603B4">
        <w:t xml:space="preserve">], </w:t>
      </w:r>
      <w:r w:rsidR="001C20A3">
        <w:t xml:space="preserve">and </w:t>
      </w:r>
      <w:r w:rsidRPr="00D603B4">
        <w:t xml:space="preserve">Lesley </w:t>
      </w:r>
      <w:r w:rsidR="001C20A3">
        <w:t>A Stewart [a</w:t>
      </w:r>
      <w:r w:rsidRPr="00D603B4">
        <w:t>], on behalf of the PICNICC Collaboration</w:t>
      </w:r>
    </w:p>
    <w:p w:rsidR="00B974E9" w:rsidRDefault="00B974E9" w:rsidP="00CB386F">
      <w:pPr>
        <w:spacing w:line="480" w:lineRule="auto"/>
      </w:pPr>
      <w:r>
        <w:t xml:space="preserve">AFFILIATIONS: </w:t>
      </w:r>
    </w:p>
    <w:p w:rsidR="00B974E9" w:rsidRDefault="00551C00" w:rsidP="00CB386F">
      <w:pPr>
        <w:pStyle w:val="ListParagraph"/>
        <w:numPr>
          <w:ilvl w:val="0"/>
          <w:numId w:val="3"/>
        </w:numPr>
        <w:spacing w:line="480" w:lineRule="auto"/>
      </w:pPr>
      <w:r w:rsidRPr="00423326">
        <w:t>Centre for Reviews and Dissemination</w:t>
      </w:r>
      <w:r w:rsidR="00B974E9">
        <w:t>, University of York, York, UK</w:t>
      </w:r>
      <w:r w:rsidR="001C20A3">
        <w:t>;</w:t>
      </w:r>
    </w:p>
    <w:p w:rsidR="00B974E9" w:rsidRDefault="00551C00" w:rsidP="00CB386F">
      <w:pPr>
        <w:pStyle w:val="ListParagraph"/>
        <w:numPr>
          <w:ilvl w:val="0"/>
          <w:numId w:val="3"/>
        </w:numPr>
        <w:spacing w:line="480" w:lineRule="auto"/>
      </w:pPr>
      <w:r w:rsidRPr="00423326">
        <w:t>Leeds General Infirmary, Leeds Teaching Hospitals, NHS Trust, Leeds, United King</w:t>
      </w:r>
      <w:r w:rsidR="00B974E9">
        <w:t>dom</w:t>
      </w:r>
      <w:r w:rsidR="001C20A3">
        <w:t>;</w:t>
      </w:r>
    </w:p>
    <w:p w:rsidR="001C20A3" w:rsidRDefault="00551C00" w:rsidP="00CB386F">
      <w:pPr>
        <w:pStyle w:val="ListParagraph"/>
        <w:numPr>
          <w:ilvl w:val="0"/>
          <w:numId w:val="3"/>
        </w:numPr>
        <w:spacing w:line="480" w:lineRule="auto"/>
      </w:pPr>
      <w:r>
        <w:t xml:space="preserve">Leicester Royal Infirmary, University Hospitals of Leicester NHS Trust, Leicester, </w:t>
      </w:r>
      <w:r w:rsidRPr="00423326">
        <w:t>United King</w:t>
      </w:r>
      <w:r>
        <w:t>dom</w:t>
      </w:r>
      <w:r w:rsidR="001C20A3">
        <w:t>;</w:t>
      </w:r>
    </w:p>
    <w:p w:rsidR="001C20A3" w:rsidRDefault="00B974E9" w:rsidP="00CB386F">
      <w:pPr>
        <w:pStyle w:val="ListParagraph"/>
        <w:numPr>
          <w:ilvl w:val="0"/>
          <w:numId w:val="3"/>
        </w:numPr>
        <w:spacing w:line="480" w:lineRule="auto"/>
      </w:pPr>
      <w:r w:rsidRPr="00423326">
        <w:t xml:space="preserve">Division of Haematology/Oncology, The Hospital for Sick Children, Toronto, Canada; </w:t>
      </w:r>
    </w:p>
    <w:p w:rsidR="001C20A3" w:rsidRDefault="00B974E9" w:rsidP="00CB386F">
      <w:pPr>
        <w:pStyle w:val="ListParagraph"/>
        <w:numPr>
          <w:ilvl w:val="0"/>
          <w:numId w:val="3"/>
        </w:numPr>
        <w:spacing w:line="480" w:lineRule="auto"/>
      </w:pPr>
      <w:r w:rsidRPr="00423326">
        <w:t>Program in Child Health Evaluative Sciences, The Hospital for Sick Children, Toronto, Canada;</w:t>
      </w:r>
      <w:r>
        <w:t xml:space="preserve"> </w:t>
      </w:r>
    </w:p>
    <w:p w:rsidR="001C20A3" w:rsidRDefault="00B974E9" w:rsidP="00CB386F">
      <w:pPr>
        <w:pStyle w:val="ListParagraph"/>
        <w:numPr>
          <w:ilvl w:val="0"/>
          <w:numId w:val="3"/>
        </w:numPr>
        <w:spacing w:line="480" w:lineRule="auto"/>
      </w:pPr>
      <w:r w:rsidRPr="00556A63">
        <w:t xml:space="preserve">Department of </w:t>
      </w:r>
      <w:proofErr w:type="spellStart"/>
      <w:r w:rsidRPr="00556A63">
        <w:t>Pediatrics</w:t>
      </w:r>
      <w:proofErr w:type="spellEnd"/>
      <w:r w:rsidRPr="00556A63">
        <w:t>; University of Bern; Bern; Switzerland</w:t>
      </w:r>
      <w:r>
        <w:t xml:space="preserve">; </w:t>
      </w:r>
    </w:p>
    <w:p w:rsidR="001C20A3" w:rsidRDefault="00B974E9" w:rsidP="00CB386F">
      <w:pPr>
        <w:pStyle w:val="ListParagraph"/>
        <w:numPr>
          <w:ilvl w:val="0"/>
          <w:numId w:val="3"/>
        </w:numPr>
        <w:spacing w:line="480" w:lineRule="auto"/>
      </w:pPr>
      <w:proofErr w:type="spellStart"/>
      <w:r w:rsidRPr="00573A6F">
        <w:t>Dept</w:t>
      </w:r>
      <w:proofErr w:type="spellEnd"/>
      <w:r w:rsidRPr="00573A6F">
        <w:t xml:space="preserve"> </w:t>
      </w:r>
      <w:proofErr w:type="spellStart"/>
      <w:r w:rsidRPr="00573A6F">
        <w:t>Ped</w:t>
      </w:r>
      <w:r>
        <w:t>iatric</w:t>
      </w:r>
      <w:proofErr w:type="spellEnd"/>
      <w:r w:rsidRPr="00573A6F">
        <w:t xml:space="preserve"> Oncology, University Of Groningen, University Medical </w:t>
      </w:r>
      <w:proofErr w:type="spellStart"/>
      <w:r w:rsidRPr="00573A6F">
        <w:t>Center</w:t>
      </w:r>
      <w:proofErr w:type="spellEnd"/>
      <w:r w:rsidRPr="00573A6F">
        <w:t xml:space="preserve"> Groningen, The Netherlands</w:t>
      </w:r>
      <w:r>
        <w:t xml:space="preserve">; </w:t>
      </w:r>
    </w:p>
    <w:p w:rsidR="00551C00" w:rsidRDefault="00B974E9" w:rsidP="00CB386F">
      <w:pPr>
        <w:pStyle w:val="ListParagraph"/>
        <w:numPr>
          <w:ilvl w:val="0"/>
          <w:numId w:val="3"/>
        </w:numPr>
        <w:spacing w:line="480" w:lineRule="auto"/>
      </w:pPr>
      <w:proofErr w:type="spellStart"/>
      <w:r w:rsidRPr="00423326">
        <w:t>Pediatric</w:t>
      </w:r>
      <w:proofErr w:type="spellEnd"/>
      <w:r w:rsidRPr="00423326">
        <w:t xml:space="preserve"> </w:t>
      </w:r>
      <w:proofErr w:type="spellStart"/>
      <w:r w:rsidRPr="00423326">
        <w:t>Hematology</w:t>
      </w:r>
      <w:proofErr w:type="spellEnd"/>
      <w:r w:rsidRPr="00423326">
        <w:t xml:space="preserve"> and Oncology, Johann Wolfgang Goethe University, Frankfurt, German</w:t>
      </w:r>
      <w:r w:rsidR="001C20A3">
        <w:t>y</w:t>
      </w:r>
    </w:p>
    <w:p w:rsidR="00551C00" w:rsidRDefault="00551C00" w:rsidP="00CB386F">
      <w:pPr>
        <w:spacing w:line="480" w:lineRule="auto"/>
        <w:contextualSpacing/>
      </w:pPr>
      <w:r>
        <w:t xml:space="preserve">CORRESPONDING AUTHOR DETAILS: </w:t>
      </w:r>
      <w:proofErr w:type="spellStart"/>
      <w:r w:rsidR="00AD3BCA">
        <w:t>Dr.</w:t>
      </w:r>
      <w:proofErr w:type="spellEnd"/>
      <w:r w:rsidR="00AD3BCA">
        <w:t xml:space="preserve"> </w:t>
      </w:r>
      <w:r>
        <w:t xml:space="preserve">Robert S Phillips. </w:t>
      </w:r>
      <w:r w:rsidRPr="00423326">
        <w:t xml:space="preserve">Centre for Reviews and Dissemination, </w:t>
      </w:r>
      <w:smartTag w:uri="urn:schemas-microsoft-com:office:smarttags" w:element="PlaceName">
        <w:r>
          <w:t>Alcuin</w:t>
        </w:r>
      </w:smartTag>
      <w:r>
        <w:t xml:space="preserve"> </w:t>
      </w:r>
      <w:smartTag w:uri="urn:schemas-microsoft-com:office:smarttags" w:element="PlaceType">
        <w:r>
          <w:t>College</w:t>
        </w:r>
      </w:smartTag>
      <w:r>
        <w:t xml:space="preserve">, </w:t>
      </w:r>
      <w:smartTag w:uri="urn:schemas-microsoft-com:office:smarttags" w:element="PlaceType">
        <w:r w:rsidRPr="00423326">
          <w:t>University</w:t>
        </w:r>
      </w:smartTag>
      <w:r w:rsidRPr="00423326">
        <w:t xml:space="preserve"> of </w:t>
      </w:r>
      <w:smartTag w:uri="urn:schemas-microsoft-com:office:smarttags" w:element="PlaceName">
        <w:r w:rsidRPr="00423326">
          <w:t>York</w:t>
        </w:r>
      </w:smartTag>
      <w:r w:rsidRPr="00423326">
        <w:t xml:space="preserve">, </w:t>
      </w:r>
      <w:smartTag w:uri="urn:schemas-microsoft-com:office:smarttags" w:element="place">
        <w:smartTag w:uri="urn:schemas-microsoft-com:office:smarttags" w:element="City">
          <w:r w:rsidRPr="00423326">
            <w:t>York</w:t>
          </w:r>
        </w:smartTag>
        <w:r w:rsidRPr="00423326">
          <w:t xml:space="preserve">, </w:t>
        </w:r>
        <w:smartTag w:uri="urn:schemas-microsoft-com:office:smarttags" w:element="country-region">
          <w:r w:rsidRPr="00423326">
            <w:t>UK</w:t>
          </w:r>
        </w:smartTag>
      </w:smartTag>
      <w:r>
        <w:t xml:space="preserve"> YO10 5DD. Email </w:t>
      </w:r>
      <w:hyperlink r:id="rId6" w:history="1">
        <w:r w:rsidRPr="00AF787D">
          <w:rPr>
            <w:rStyle w:val="Hyperlink"/>
          </w:rPr>
          <w:t>bob.phillips@york.ac.uk</w:t>
        </w:r>
      </w:hyperlink>
      <w:r>
        <w:t>. Twitter: @</w:t>
      </w:r>
      <w:proofErr w:type="spellStart"/>
      <w:r>
        <w:t>PICNICCPlus</w:t>
      </w:r>
      <w:proofErr w:type="spellEnd"/>
      <w:r>
        <w:t xml:space="preserve"> Tel: +44 1094 321099 Fax: +44 1904 321041</w:t>
      </w:r>
    </w:p>
    <w:p w:rsidR="00CB386F" w:rsidRDefault="00CB386F" w:rsidP="00CB386F">
      <w:pPr>
        <w:spacing w:line="480" w:lineRule="auto"/>
        <w:contextualSpacing/>
      </w:pPr>
    </w:p>
    <w:p w:rsidR="00CB386F" w:rsidRDefault="00CB386F" w:rsidP="00CB386F">
      <w:pPr>
        <w:spacing w:line="480" w:lineRule="auto"/>
        <w:contextualSpacing/>
      </w:pPr>
      <w:r>
        <w:t xml:space="preserve">FUNDING: </w:t>
      </w:r>
      <w:r w:rsidRPr="00CB386F">
        <w:t xml:space="preserve">This research </w:t>
      </w:r>
      <w:r>
        <w:t>was</w:t>
      </w:r>
      <w:r w:rsidRPr="00CB386F">
        <w:t xml:space="preserve"> funded as part of a Research Training Fellowship by the Medical Research Council (MRC) UK who funded the work of Dr Phillips. The funders reviewed the original grant submission but have had no influence on question, design or undertaking the research.</w:t>
      </w:r>
    </w:p>
    <w:p w:rsidR="00551C00" w:rsidRPr="00DF740A" w:rsidRDefault="00551C00" w:rsidP="00CB386F">
      <w:pPr>
        <w:spacing w:line="480" w:lineRule="auto"/>
      </w:pPr>
    </w:p>
    <w:p w:rsidR="00551C00" w:rsidRPr="004C7B23" w:rsidRDefault="00551C00" w:rsidP="00CB386F">
      <w:pPr>
        <w:pStyle w:val="Heading2"/>
        <w:spacing w:line="480" w:lineRule="auto"/>
      </w:pPr>
      <w:r w:rsidRPr="004C7B23">
        <w:lastRenderedPageBreak/>
        <w:t>Abstract</w:t>
      </w:r>
    </w:p>
    <w:p w:rsidR="00551C00" w:rsidRPr="004C7B23" w:rsidRDefault="00551C00" w:rsidP="00CB386F">
      <w:pPr>
        <w:spacing w:line="480" w:lineRule="auto"/>
      </w:pPr>
      <w:proofErr w:type="gramStart"/>
      <w:r w:rsidRPr="004C7B23">
        <w:t>Background.</w:t>
      </w:r>
      <w:proofErr w:type="gramEnd"/>
      <w:r w:rsidRPr="004C7B23">
        <w:t xml:space="preserve"> Risk stratified management of febrile neutropenia (FN) allows intensive management of high-risk cases and early discharge of low-risk cases. Most </w:t>
      </w:r>
      <w:r w:rsidR="00637C9F">
        <w:t xml:space="preserve">risk stratification systems </w:t>
      </w:r>
      <w:r w:rsidRPr="004C7B23">
        <w:t xml:space="preserve">predicting severe infection from admission variables have been derived from </w:t>
      </w:r>
      <w:r>
        <w:t xml:space="preserve">childhood or adult </w:t>
      </w:r>
      <w:r w:rsidRPr="004C7B23">
        <w:t xml:space="preserve">populations and </w:t>
      </w:r>
      <w:r>
        <w:t xml:space="preserve">consequently </w:t>
      </w:r>
      <w:r w:rsidRPr="004C7B23">
        <w:t xml:space="preserve">their value in </w:t>
      </w:r>
      <w:r w:rsidR="00637C9F">
        <w:t>adolescents/young adults (A</w:t>
      </w:r>
      <w:r w:rsidRPr="004C7B23">
        <w:t>YA) may vary.</w:t>
      </w:r>
      <w:r>
        <w:t xml:space="preserve"> </w:t>
      </w:r>
      <w:r w:rsidR="00637C9F">
        <w:t>Our objective was to determine their value in this population.</w:t>
      </w:r>
    </w:p>
    <w:p w:rsidR="00551C00" w:rsidRPr="004C7B23" w:rsidRDefault="00551C00" w:rsidP="00CB386F">
      <w:pPr>
        <w:spacing w:line="480" w:lineRule="auto"/>
      </w:pPr>
      <w:proofErr w:type="gramStart"/>
      <w:r w:rsidRPr="004C7B23">
        <w:t>Methods.</w:t>
      </w:r>
      <w:proofErr w:type="gramEnd"/>
      <w:r w:rsidRPr="004C7B23">
        <w:t xml:space="preserve"> </w:t>
      </w:r>
      <w:r>
        <w:t>Data from t</w:t>
      </w:r>
      <w:r w:rsidRPr="004C7B23">
        <w:t xml:space="preserve">he “Predicting Infectious </w:t>
      </w:r>
      <w:proofErr w:type="spellStart"/>
      <w:r w:rsidRPr="004C7B23">
        <w:t>ComplicatioNs</w:t>
      </w:r>
      <w:proofErr w:type="spellEnd"/>
      <w:r w:rsidRPr="004C7B23">
        <w:t xml:space="preserve"> </w:t>
      </w:r>
      <w:proofErr w:type="gramStart"/>
      <w:r w:rsidRPr="004C7B23">
        <w:t>In</w:t>
      </w:r>
      <w:proofErr w:type="gramEnd"/>
      <w:r w:rsidRPr="004C7B23">
        <w:t xml:space="preserve"> Children with Cancer” (PICNIC</w:t>
      </w:r>
      <w:r w:rsidR="00016EB2">
        <w:t>C) individual participant data</w:t>
      </w:r>
      <w:r w:rsidRPr="004C7B23">
        <w:t xml:space="preserve"> collaboration w</w:t>
      </w:r>
      <w:r>
        <w:t>ere</w:t>
      </w:r>
      <w:r w:rsidRPr="004C7B23">
        <w:t xml:space="preserve"> used to evaluate six previously described risk stratification schema</w:t>
      </w:r>
      <w:r>
        <w:t xml:space="preserve"> in the AYA population</w:t>
      </w:r>
      <w:r w:rsidRPr="004C7B23">
        <w:t xml:space="preserve">. Complete case analyses were undertaken for 5 ‘paediatric’ rules, with imputation for </w:t>
      </w:r>
      <w:r>
        <w:t xml:space="preserve">specific </w:t>
      </w:r>
      <w:r w:rsidRPr="004C7B23">
        <w:t xml:space="preserve">missing variables of the ‘adult’ rule. The rules </w:t>
      </w:r>
      <w:r>
        <w:t xml:space="preserve">predictive </w:t>
      </w:r>
      <w:r w:rsidRPr="004C7B23">
        <w:t xml:space="preserve">performance </w:t>
      </w:r>
      <w:r>
        <w:t>for the outcome microbiologically defined infection</w:t>
      </w:r>
      <w:r w:rsidRPr="004C7B23">
        <w:t xml:space="preserve"> (sensitivity, specificity and predictive values) </w:t>
      </w:r>
      <w:r>
        <w:t>were compared</w:t>
      </w:r>
      <w:r w:rsidRPr="004C7B23">
        <w:t>.</w:t>
      </w:r>
    </w:p>
    <w:p w:rsidR="00551C00" w:rsidRPr="004C7B23" w:rsidRDefault="00551C00" w:rsidP="00CB386F">
      <w:pPr>
        <w:spacing w:line="480" w:lineRule="auto"/>
      </w:pPr>
      <w:proofErr w:type="gramStart"/>
      <w:r w:rsidRPr="004C7B23">
        <w:t>Results.</w:t>
      </w:r>
      <w:proofErr w:type="gramEnd"/>
      <w:r w:rsidRPr="004C7B23">
        <w:t xml:space="preserve"> </w:t>
      </w:r>
      <w:r w:rsidR="00C53A56">
        <w:t>Among the</w:t>
      </w:r>
      <w:r w:rsidRPr="004C7B23">
        <w:t xml:space="preserve"> 5,127 episodes of FN in 3,504 patients</w:t>
      </w:r>
      <w:r>
        <w:t xml:space="preserve"> in the PICNICC collaboration data set, </w:t>
      </w:r>
      <w:r w:rsidRPr="004C7B23">
        <w:t>603 episodes of FN from 478 patients in 20 studies were of patients 16-25 years old. The six rules demonstrated variable sensitivity (33% to 96%) and specificity (13% to 83</w:t>
      </w:r>
      <w:r w:rsidR="001C20A3">
        <w:t>)</w:t>
      </w:r>
      <w:r w:rsidRPr="004C7B23">
        <w:t xml:space="preserve">. Their overall discriminatory ability was </w:t>
      </w:r>
      <w:r>
        <w:t>poor</w:t>
      </w:r>
      <w:r w:rsidRPr="004C7B23">
        <w:t xml:space="preserve"> (</w:t>
      </w:r>
      <w:r w:rsidR="00637C9F">
        <w:t xml:space="preserve">area under the receiver operator curve </w:t>
      </w:r>
      <w:r w:rsidRPr="004C7B23">
        <w:t xml:space="preserve">estimates 0.514 to 0.593). </w:t>
      </w:r>
    </w:p>
    <w:p w:rsidR="00551C00" w:rsidRPr="004C7B23" w:rsidRDefault="00A06577" w:rsidP="00CB386F">
      <w:pPr>
        <w:spacing w:line="480" w:lineRule="auto"/>
      </w:pPr>
      <w:r>
        <w:rPr>
          <w:noProof/>
        </w:rPr>
        <w:drawing>
          <wp:anchor distT="0" distB="0" distL="114300" distR="114300" simplePos="0" relativeHeight="251658240" behindDoc="1" locked="0" layoutInCell="1" allowOverlap="1" wp14:anchorId="1A838BE2" wp14:editId="439A0DE1">
            <wp:simplePos x="0" y="0"/>
            <wp:positionH relativeFrom="column">
              <wp:posOffset>2735580</wp:posOffset>
            </wp:positionH>
            <wp:positionV relativeFrom="paragraph">
              <wp:posOffset>212090</wp:posOffset>
            </wp:positionV>
            <wp:extent cx="3444240" cy="34442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Fig1.tiff"/>
                    <pic:cNvPicPr/>
                  </pic:nvPicPr>
                  <pic:blipFill>
                    <a:blip r:embed="rId7">
                      <a:extLst>
                        <a:ext uri="{28A0092B-C50C-407E-A947-70E740481C1C}">
                          <a14:useLocalDpi xmlns:a14="http://schemas.microsoft.com/office/drawing/2010/main" val="0"/>
                        </a:ext>
                      </a:extLst>
                    </a:blip>
                    <a:stretch>
                      <a:fillRect/>
                    </a:stretch>
                  </pic:blipFill>
                  <pic:spPr>
                    <a:xfrm>
                      <a:off x="0" y="0"/>
                      <a:ext cx="3444240" cy="3444240"/>
                    </a:xfrm>
                    <a:prstGeom prst="rect">
                      <a:avLst/>
                    </a:prstGeom>
                  </pic:spPr>
                </pic:pic>
              </a:graphicData>
            </a:graphic>
            <wp14:sizeRelH relativeFrom="page">
              <wp14:pctWidth>0</wp14:pctWidth>
            </wp14:sizeRelH>
            <wp14:sizeRelV relativeFrom="page">
              <wp14:pctHeight>0</wp14:pctHeight>
            </wp14:sizeRelV>
          </wp:anchor>
        </w:drawing>
      </w:r>
      <w:proofErr w:type="gramStart"/>
      <w:r w:rsidR="00551C00" w:rsidRPr="004C7B23">
        <w:t>Conclusions.</w:t>
      </w:r>
      <w:proofErr w:type="gramEnd"/>
      <w:r w:rsidR="00551C00" w:rsidRPr="004C7B23">
        <w:t xml:space="preserve"> </w:t>
      </w:r>
      <w:r w:rsidR="008B271C">
        <w:t>Both p</w:t>
      </w:r>
      <w:r w:rsidR="00551C00" w:rsidRPr="004C7B23">
        <w:t xml:space="preserve">aediatric and adult FN risk stratification schema perform </w:t>
      </w:r>
      <w:r w:rsidR="00551C00">
        <w:t xml:space="preserve">poorly </w:t>
      </w:r>
      <w:r w:rsidR="00551C00" w:rsidRPr="004C7B23">
        <w:t xml:space="preserve">in </w:t>
      </w:r>
      <w:r w:rsidR="00987110">
        <w:t>AYA</w:t>
      </w:r>
      <w:r w:rsidR="00551C00" w:rsidRPr="004C7B23">
        <w:t xml:space="preserve"> with cancer. An alternative rule or clinical recognition of their limitations is required.</w:t>
      </w:r>
    </w:p>
    <w:p w:rsidR="00551C00" w:rsidRPr="004C7B23" w:rsidRDefault="00551C00" w:rsidP="00CB386F">
      <w:pPr>
        <w:pStyle w:val="Heading2"/>
        <w:spacing w:line="480" w:lineRule="auto"/>
      </w:pPr>
    </w:p>
    <w:p w:rsidR="00CB386F" w:rsidRDefault="00A06577">
      <w:pPr>
        <w:spacing w:after="0" w:line="240" w:lineRule="auto"/>
        <w:rPr>
          <w:rFonts w:ascii="Cambria" w:hAnsi="Cambria"/>
          <w:b/>
          <w:bCs/>
          <w:sz w:val="26"/>
          <w:szCs w:val="26"/>
        </w:rPr>
      </w:pPr>
      <w:r>
        <w:t>Graphical abstract image:</w:t>
      </w:r>
      <w:r w:rsidR="00CB386F">
        <w:br w:type="page"/>
      </w:r>
    </w:p>
    <w:p w:rsidR="00551C00" w:rsidRPr="004C7B23" w:rsidRDefault="00551C00" w:rsidP="00CB386F">
      <w:pPr>
        <w:pStyle w:val="Heading2"/>
        <w:spacing w:line="480" w:lineRule="auto"/>
      </w:pPr>
      <w:r w:rsidRPr="004C7B23">
        <w:lastRenderedPageBreak/>
        <w:t>Introduction</w:t>
      </w:r>
    </w:p>
    <w:p w:rsidR="00551C00" w:rsidRPr="004C7B23" w:rsidRDefault="00551C00" w:rsidP="00CB386F">
      <w:pPr>
        <w:spacing w:line="480" w:lineRule="auto"/>
      </w:pPr>
      <w:r w:rsidRPr="004C7B23">
        <w:t>Teenage and young adult patients with cancer have distinct physiological, psychological and social issues from older adults and young children</w:t>
      </w:r>
      <w:r>
        <w:t>.</w:t>
      </w:r>
      <w:r>
        <w:fldChar w:fldCharType="begin"/>
      </w:r>
      <w:r w:rsidR="002405A7">
        <w:instrText xml:space="preserve"> ADDIN EN.CITE &lt;EndNote&gt;&lt;Cite ExcludeYear="1"&gt;&lt;Author&gt;Morgan&lt;/Author&gt;&lt;Year&gt;2010&lt;/Year&gt;&lt;RecNum&gt;1896&lt;/RecNum&gt;&lt;DisplayText&gt;(1)&lt;/DisplayText&gt;&lt;record&gt;&lt;rec-number&gt;1896&lt;/rec-number&gt;&lt;foreign-keys&gt;&lt;key app="EN" db-id="wp5zaadvasawxcefrsoverxhpwexxvwss9f9" timestamp="1431616731"&gt;1896&lt;/key&gt;&lt;/foreign-keys&gt;&lt;ref-type name="Journal Article"&gt;17&lt;/ref-type&gt;&lt;contributors&gt;&lt;authors&gt;&lt;author&gt;Morgan, S.&lt;/author&gt;&lt;author&gt;Davies, S.&lt;/author&gt;&lt;author&gt;Palmer, S.&lt;/author&gt;&lt;author&gt;Plaster, M.&lt;/author&gt;&lt;/authors&gt;&lt;/contributors&gt;&lt;auth-address&gt;Teenage Cancer Trust Unit, Ward 10, St James&amp;apos;s University Hospital, London, United Kingdom. sue.morgan@leedsth.nhs.uk&lt;/auth-address&gt;&lt;titles&gt;&lt;title&gt;Sex, drugs, and rock &amp;apos;n&amp;apos; roll: caring for adolescents and young adults with cancer&lt;/title&gt;&lt;secondary-title&gt;J Clin Oncol&lt;/secondary-title&gt;&lt;/titles&gt;&lt;periodical&gt;&lt;full-title&gt;J Clin Oncol&lt;/full-title&gt;&lt;/periodical&gt;&lt;pages&gt;4825-30&lt;/pages&gt;&lt;volume&gt;28&lt;/volume&gt;&lt;number&gt;32&lt;/number&gt;&lt;keywords&gt;&lt;keyword&gt;Adolescent&lt;/keyword&gt;&lt;keyword&gt;Adolescent Behavior&lt;/keyword&gt;&lt;keyword&gt;*Adolescent Development&lt;/keyword&gt;&lt;keyword&gt;*Adolescent Health Services&lt;/keyword&gt;&lt;keyword&gt;*Alcohol Drinking&lt;/keyword&gt;&lt;keyword&gt;Delivery of Health Care&lt;/keyword&gt;&lt;keyword&gt;Fertility&lt;/keyword&gt;&lt;keyword&gt;Humans&lt;/keyword&gt;&lt;keyword&gt;Neoplasms/*psychology/*therapy&lt;/keyword&gt;&lt;keyword&gt;*Sexual Behavior&lt;/keyword&gt;&lt;keyword&gt;Social Identification&lt;/keyword&gt;&lt;keyword&gt;Social Support&lt;/keyword&gt;&lt;keyword&gt;Substance-Related Disorders&lt;/keyword&gt;&lt;keyword&gt;Young Adult&lt;/keyword&gt;&lt;/keywords&gt;&lt;dates&gt;&lt;year&gt;2010&lt;/year&gt;&lt;pub-dates&gt;&lt;date&gt;Nov 10&lt;/date&gt;&lt;/pub-dates&gt;&lt;/dates&gt;&lt;isbn&gt;1527-7755 (Electronic)&amp;#xD;0732-183X (Linking)&lt;/isbn&gt;&lt;accession-num&gt;20498401&lt;/accession-num&gt;&lt;urls&gt;&lt;related-urls&gt;&lt;url&gt;http://www.ncbi.nlm.nih.gov/pubmed/20498401&lt;/url&gt;&lt;url&gt;http://jco.ascopubs.org/content/28/32/4825.full.pdf&lt;/url&gt;&lt;/related-urls&gt;&lt;/urls&gt;&lt;electronic-resource-num&gt;10.1200/JCO.2009.22.5474&lt;/electronic-resource-num&gt;&lt;/record&gt;&lt;/Cite&gt;&lt;/EndNote&gt;</w:instrText>
      </w:r>
      <w:r>
        <w:fldChar w:fldCharType="separate"/>
      </w:r>
      <w:r w:rsidR="002405A7">
        <w:rPr>
          <w:noProof/>
        </w:rPr>
        <w:t>(1)</w:t>
      </w:r>
      <w:r>
        <w:fldChar w:fldCharType="end"/>
      </w:r>
      <w:r w:rsidRPr="004C7B23">
        <w:t xml:space="preserve"> They are frequently exposed to intens</w:t>
      </w:r>
      <w:r>
        <w:t>ive</w:t>
      </w:r>
      <w:r w:rsidRPr="004C7B23">
        <w:t xml:space="preserve"> chemotherap</w:t>
      </w:r>
      <w:r>
        <w:t>y</w:t>
      </w:r>
      <w:r w:rsidRPr="004C7B23">
        <w:t xml:space="preserve"> to treat their life-threatening illnesses, and are subject to</w:t>
      </w:r>
      <w:r>
        <w:t xml:space="preserve"> </w:t>
      </w:r>
      <w:r w:rsidRPr="004C7B23">
        <w:t xml:space="preserve">more </w:t>
      </w:r>
      <w:r>
        <w:t xml:space="preserve">toxicity and </w:t>
      </w:r>
      <w:r w:rsidRPr="004C7B23">
        <w:t xml:space="preserve">side effects than either children receiving similar treatments </w:t>
      </w:r>
      <w:r w:rsidR="00FA3D9F">
        <w:fldChar w:fldCharType="begin"/>
      </w:r>
      <w:r w:rsidR="002405A7">
        <w:instrText xml:space="preserve"> ADDIN EN.CITE &lt;EndNote&gt;&lt;Cite ExcludeYear="1"&gt;&lt;Author&gt;Hough&lt;/Author&gt;&lt;Year&gt;2016&lt;/Year&gt;&lt;RecNum&gt;2054&lt;/RecNum&gt;&lt;DisplayText&gt;(2)&lt;/DisplayText&gt;&lt;record&gt;&lt;rec-number&gt;2054&lt;/rec-number&gt;&lt;foreign-keys&gt;&lt;key app="EN" db-id="wp5zaadvasawxcefrsoverxhpwexxvwss9f9" timestamp="1455096070"&gt;2054&lt;/key&gt;&lt;/foreign-keys&gt;&lt;ref-type name="Journal Article"&gt;17&lt;/ref-type&gt;&lt;contributors&gt;&lt;authors&gt;&lt;author&gt;Hough, Rachael&lt;/author&gt;&lt;author&gt;Rowntree, Clare&lt;/author&gt;&lt;author&gt;Goulden, Nick&lt;/author&gt;&lt;author&gt;Mitchell, Chris&lt;/author&gt;&lt;author&gt;Moorman, Anthony&lt;/author&gt;&lt;author&gt;Wade, Rachel&lt;/author&gt;&lt;author&gt;Vora, Ajay&lt;/author&gt;&lt;/authors&gt;&lt;/contributors&gt;&lt;titles&gt;&lt;title&gt;Efficacy and toxicity of a paediatric protocol in teenagers and young adults with Philadelphia chromosome negative acute lymphoblastic leukaemia: results from UKALL 2003&lt;/title&gt;&lt;secondary-title&gt;British Journal of Haematology&lt;/secondary-title&gt;&lt;/titles&gt;&lt;periodical&gt;&lt;full-title&gt;British Journal of Haematology&lt;/full-title&gt;&lt;/periodical&gt;&lt;pages&gt;439-451&lt;/pages&gt;&lt;volume&gt;172&lt;/volume&gt;&lt;number&gt;3&lt;/number&gt;&lt;keywords&gt;&lt;keyword&gt;acute lymphoblastic leukaemia&lt;/keyword&gt;&lt;keyword&gt;chemotherapy&lt;/keyword&gt;&lt;keyword&gt;efficacy&lt;/keyword&gt;&lt;keyword&gt;toxicity&lt;/keyword&gt;&lt;keyword&gt;teenage and young adult&lt;/keyword&gt;&lt;/keywords&gt;&lt;dates&gt;&lt;year&gt;2016&lt;/year&gt;&lt;/dates&gt;&lt;isbn&gt;1365-2141&lt;/isbn&gt;&lt;urls&gt;&lt;related-urls&gt;&lt;url&gt;http://dx.doi.org/10.1111/bjh.13847&lt;/url&gt;&lt;/related-urls&gt;&lt;/urls&gt;&lt;electronic-resource-num&gt;10.1111/bjh.13847&lt;/electronic-resource-num&gt;&lt;/record&gt;&lt;/Cite&gt;&lt;/EndNote&gt;</w:instrText>
      </w:r>
      <w:r w:rsidR="00FA3D9F">
        <w:fldChar w:fldCharType="separate"/>
      </w:r>
      <w:r w:rsidR="002405A7">
        <w:rPr>
          <w:noProof/>
        </w:rPr>
        <w:t>(2)</w:t>
      </w:r>
      <w:r w:rsidR="00FA3D9F">
        <w:fldChar w:fldCharType="end"/>
      </w:r>
      <w:r w:rsidR="00FA3D9F">
        <w:t xml:space="preserve"> </w:t>
      </w:r>
      <w:r w:rsidRPr="004C7B23">
        <w:t>or adults with similar diseases receiving less intensive therapies</w:t>
      </w:r>
      <w:r>
        <w:t>.</w:t>
      </w:r>
      <w:r>
        <w:fldChar w:fldCharType="begin"/>
      </w:r>
      <w:r w:rsidR="002405A7">
        <w:instrText xml:space="preserve"> ADDIN EN.CITE &lt;EndNote&gt;&lt;Cite ExcludeYear="1"&gt;&lt;Author&gt;Schiffer&lt;/Author&gt;&lt;Year&gt;2003&lt;/Year&gt;&lt;RecNum&gt;1977&lt;/RecNum&gt;&lt;DisplayText&gt;(3)&lt;/DisplayText&gt;&lt;record&gt;&lt;rec-number&gt;1977&lt;/rec-number&gt;&lt;foreign-keys&gt;&lt;key app="EN" db-id="wp5zaadvasawxcefrsoverxhpwexxvwss9f9" timestamp="1431616917"&gt;1977&lt;/key&gt;&lt;/foreign-keys&gt;&lt;ref-type name="Journal Article"&gt;17&lt;/ref-type&gt;&lt;contributors&gt;&lt;authors&gt;&lt;author&gt;Schiffer, C. A.&lt;/author&gt;&lt;/authors&gt;&lt;/contributors&gt;&lt;titles&gt;&lt;title&gt;Differences in outcome in adolescents with acute lymphoblastic leukemia: a consequence of better regimens? Better doctors? Both?&lt;/title&gt;&lt;secondary-title&gt;J Clin Oncol&lt;/secondary-title&gt;&lt;/titles&gt;&lt;periodical&gt;&lt;full-title&gt;J Clin Oncol&lt;/full-title&gt;&lt;/periodical&gt;&lt;pages&gt;760-1&lt;/pages&gt;&lt;volume&gt;21&lt;/volume&gt;&lt;number&gt;5&lt;/number&gt;&lt;keywords&gt;&lt;keyword&gt;Adolescent&lt;/keyword&gt;&lt;keyword&gt;Adult&lt;/keyword&gt;&lt;keyword&gt;Antineoplastic Combined Chemotherapy Protocols/therapeutic use&lt;/keyword&gt;&lt;keyword&gt;Hematopoietic Stem Cell Transplantation&lt;/keyword&gt;&lt;keyword&gt;Humans&lt;/keyword&gt;&lt;keyword&gt;Precursor Cell Lymphoblastic Leukemia-Lymphoma/pathology/*therapy&lt;/keyword&gt;&lt;keyword&gt;Prognosis&lt;/keyword&gt;&lt;keyword&gt;Remission Induction&lt;/keyword&gt;&lt;keyword&gt;Risk Factors&lt;/keyword&gt;&lt;/keywords&gt;&lt;dates&gt;&lt;year&gt;2003&lt;/year&gt;&lt;pub-dates&gt;&lt;date&gt;Mar 1&lt;/date&gt;&lt;/pub-dates&gt;&lt;/dates&gt;&lt;isbn&gt;0732-183X (Print)&amp;#xD;0732-183X (Linking)&lt;/isbn&gt;&lt;accession-num&gt;12610169&lt;/accession-num&gt;&lt;urls&gt;&lt;related-urls&gt;&lt;url&gt;http://www.ncbi.nlm.nih.gov/pubmed/12610169&lt;/url&gt;&lt;url&gt;http://jco.ascopubs.org/content/21/5/760.full.pdf&lt;/url&gt;&lt;/related-urls&gt;&lt;/urls&gt;&lt;/record&gt;&lt;/Cite&gt;&lt;/EndNote&gt;</w:instrText>
      </w:r>
      <w:r>
        <w:fldChar w:fldCharType="separate"/>
      </w:r>
      <w:r w:rsidR="002405A7">
        <w:rPr>
          <w:noProof/>
        </w:rPr>
        <w:t>(3)</w:t>
      </w:r>
      <w:r>
        <w:fldChar w:fldCharType="end"/>
      </w:r>
      <w:r>
        <w:t xml:space="preserve"> </w:t>
      </w:r>
      <w:r w:rsidRPr="004C7B23">
        <w:t xml:space="preserve"> They will often suffer the complication of fever during neutropenia, and they have been identified as a group at higher risk of death than others</w:t>
      </w:r>
      <w:r>
        <w:t>.</w:t>
      </w:r>
      <w:r>
        <w:fldChar w:fldCharType="begin"/>
      </w:r>
      <w:r w:rsidR="002405A7">
        <w:instrText xml:space="preserve"> ADDIN EN.CITE &lt;EndNote&gt;&lt;Cite ExcludeYear="1"&gt;&lt;Author&gt;Phillips&lt;/Author&gt;&lt;Year&gt;2012&lt;/Year&gt;&lt;RecNum&gt;1422&lt;/RecNum&gt;&lt;DisplayText&gt;(4)&lt;/DisplayText&gt;&lt;record&gt;&lt;rec-number&gt;1422&lt;/rec-number&gt;&lt;foreign-keys&gt;&lt;key app="EN" db-id="wp5zaadvasawxcefrsoverxhpwexxvwss9f9" timestamp="0"&gt;1422&lt;/key&gt;&lt;/foreign-keys&gt;&lt;ref-type name="Journal Article"&gt;17&lt;/ref-type&gt;&lt;contributors&gt;&lt;authors&gt;&lt;author&gt;Phillips, R.&lt;/author&gt;&lt;author&gt;Hancock, B.&lt;/author&gt;&lt;author&gt;Graham, J.&lt;/author&gt;&lt;author&gt;Bromham, N.&lt;/author&gt;&lt;author&gt;Jin, H.&lt;/author&gt;&lt;author&gt;Berendse, S.&lt;/author&gt;&lt;/authors&gt;&lt;/contributors&gt;&lt;auth-address&gt;Leeds General Infirmary, Leeds LS1 3EX, UK.&lt;/auth-address&gt;&lt;titles&gt;&lt;title&gt;Prevention and management of neutropenic sepsis in patients with cancer: summary of NICE guidance&lt;/title&gt;&lt;secondary-title&gt;BMJ&lt;/secondary-title&gt;&lt;/titles&gt;&lt;periodical&gt;&lt;full-title&gt;Bmj&lt;/full-title&gt;&lt;/periodical&gt;&lt;pages&gt;e5368&lt;/pages&gt;&lt;volume&gt;345&lt;/volume&gt;&lt;edition&gt;2012/09/21&lt;/edition&gt;&lt;keywords&gt;&lt;keyword&gt;Adolescent&lt;/keyword&gt;&lt;keyword&gt;Adult&lt;/keyword&gt;&lt;keyword&gt;Anti-Bacterial Agents/administration &amp;amp; dosage/*therapeutic use&lt;/keyword&gt;&lt;keyword&gt;Child&lt;/keyword&gt;&lt;keyword&gt;Child, Preschool&lt;/keyword&gt;&lt;keyword&gt;Granulocyte Colony-Stimulating Factor/therapeutic use&lt;/keyword&gt;&lt;keyword&gt;Great Britain&lt;/keyword&gt;&lt;keyword&gt;Humans&lt;/keyword&gt;&lt;keyword&gt;Neoplasms/*drug therapy&lt;/keyword&gt;&lt;keyword&gt;Neutropenia/diagnosis/drug therapy/*prevention &amp;amp; control&lt;/keyword&gt;&lt;keyword&gt;*Practice Guidelines as Topic&lt;/keyword&gt;&lt;keyword&gt;Risk Assessment/methods&lt;/keyword&gt;&lt;keyword&gt;Sepsis/diagnosis/drug therapy/*prevention &amp;amp; control&lt;/keyword&gt;&lt;keyword&gt;Young Adult&lt;/keyword&gt;&lt;/keywords&gt;&lt;dates&gt;&lt;year&gt;2012&lt;/year&gt;&lt;/dates&gt;&lt;isbn&gt;1756-1833 (Electronic)&amp;#xD;0959-535X (Linking)&lt;/isbn&gt;&lt;accession-num&gt;22993392&lt;/accession-num&gt;&lt;urls&gt;&lt;related-urls&gt;&lt;url&gt;http://www.ncbi.nlm.nih.gov/entrez/query.fcgi?cmd=Retrieve&amp;amp;db=PubMed&amp;amp;dopt=Citation&amp;amp;list_uids=22993392&lt;/url&gt;&lt;url&gt;http://www.bmj.com/content/bmj/345/bmj.e5368.full.pdf&lt;/url&gt;&lt;/related-urls&gt;&lt;/urls&gt;&lt;language&gt;eng&lt;/language&gt;&lt;/record&gt;&lt;/Cite&gt;&lt;/EndNote&gt;</w:instrText>
      </w:r>
      <w:r>
        <w:fldChar w:fldCharType="separate"/>
      </w:r>
      <w:r w:rsidR="002405A7">
        <w:rPr>
          <w:noProof/>
        </w:rPr>
        <w:t>(4)</w:t>
      </w:r>
      <w:r>
        <w:fldChar w:fldCharType="end"/>
      </w:r>
      <w:r w:rsidRPr="004C7B23">
        <w:t xml:space="preserve"> </w:t>
      </w:r>
    </w:p>
    <w:p w:rsidR="00551C00" w:rsidRPr="004C7B23" w:rsidRDefault="00551C00" w:rsidP="00CB386F">
      <w:pPr>
        <w:spacing w:line="480" w:lineRule="auto"/>
      </w:pPr>
      <w:r w:rsidRPr="004C7B23">
        <w:t>The advancement of risk-adapted therapies for fever and neutropenia</w:t>
      </w:r>
      <w:r>
        <w:t xml:space="preserve"> (FN)</w:t>
      </w:r>
      <w:r w:rsidRPr="004C7B23">
        <w:t xml:space="preserve"> has been ongoing for a number of years, both in adults</w:t>
      </w:r>
      <w:r>
        <w:t xml:space="preserve"> </w:t>
      </w:r>
      <w:r>
        <w:fldChar w:fldCharType="begin"/>
      </w:r>
      <w:r w:rsidR="002405A7">
        <w:instrText xml:space="preserve"> ADDIN EN.CITE &lt;EndNote&gt;&lt;Cite ExcludeYear="1"&gt;&lt;Author&gt;Freifeld&lt;/Author&gt;&lt;Year&gt;2011&lt;/Year&gt;&lt;RecNum&gt;1249&lt;/RecNum&gt;&lt;DisplayText&gt;(5)&lt;/DisplayText&gt;&lt;record&gt;&lt;rec-number&gt;1249&lt;/rec-number&gt;&lt;foreign-keys&gt;&lt;key app="EN" db-id="wp5zaadvasawxcefrsoverxhpwexxvwss9f9" timestamp="0"&gt;1249&lt;/key&gt;&lt;/foreign-keys&gt;&lt;ref-type name="Journal Article"&gt;17&lt;/ref-type&gt;&lt;contributors&gt;&lt;authors&gt;&lt;author&gt;Freifeld, Alison G.&lt;/author&gt;&lt;author&gt;Bow, Eric J.&lt;/author&gt;&lt;author&gt;Sepkowitz, Kent A.&lt;/author&gt;&lt;author&gt;Boeckh, Michael J.&lt;/author&gt;&lt;author&gt;Ito, James I.&lt;/author&gt;&lt;author&gt;Mullen, Craig A.&lt;/author&gt;&lt;author&gt;Raad, Issam I.&lt;/author&gt;&lt;author&gt;Rolston, Kenneth V.&lt;/author&gt;&lt;author&gt;Young, Jo-Anne H.&lt;/author&gt;&lt;author&gt;Wingard, John R.&lt;/author&gt;&lt;/authors&gt;&lt;/contributors&gt;&lt;titles&gt;&lt;title&gt;Clinical Practice Guideline for the Use of Antimicrobial Agents in Neutropenic Patients with Cancer: 2010 Update by the Infectious Diseases Society of America&lt;/title&gt;&lt;secondary-title&gt;Clinical Infectious Diseases&lt;/secondary-title&gt;&lt;short-title&gt;IDSA Guideline for FNP 2010&lt;/short-title&gt;&lt;/titles&gt;&lt;periodical&gt;&lt;full-title&gt;CLINICAL INFECTIOUS DISEASES&lt;/full-title&gt;&lt;/periodical&gt;&lt;pages&gt;e56-e93&lt;/pages&gt;&lt;volume&gt;52&lt;/volume&gt;&lt;number&gt;4&lt;/number&gt;&lt;dates&gt;&lt;year&gt;2011&lt;/year&gt;&lt;pub-dates&gt;&lt;date&gt;February 15, 2011&lt;/date&gt;&lt;/pub-dates&gt;&lt;/dates&gt;&lt;urls&gt;&lt;related-urls&gt;&lt;url&gt;http://cid.oxfordjournals.org/content/52/4/e56.abstract&lt;/url&gt;&lt;url&gt;http://cid.oxfordjournals.org/content/52/4/e56.full.pdf&lt;/url&gt;&lt;/related-urls&gt;&lt;/urls&gt;&lt;electronic-resource-num&gt;10.1093/cid/cir073&lt;/electronic-resource-num&gt;&lt;/record&gt;&lt;/Cite&gt;&lt;/EndNote&gt;</w:instrText>
      </w:r>
      <w:r>
        <w:fldChar w:fldCharType="separate"/>
      </w:r>
      <w:r w:rsidR="002405A7">
        <w:rPr>
          <w:noProof/>
        </w:rPr>
        <w:t>(5)</w:t>
      </w:r>
      <w:r>
        <w:fldChar w:fldCharType="end"/>
      </w:r>
      <w:r w:rsidRPr="004C7B23">
        <w:t xml:space="preserve"> and children</w:t>
      </w:r>
      <w:r>
        <w:t>.</w:t>
      </w:r>
      <w:r>
        <w:fldChar w:fldCharType="begin"/>
      </w:r>
      <w:r w:rsidR="002405A7">
        <w:instrText xml:space="preserve"> ADDIN EN.CITE &lt;EndNote&gt;&lt;Cite ExcludeYear="1"&gt;&lt;Author&gt;Phillips&lt;/Author&gt;&lt;Year&gt;2010&lt;/Year&gt;&lt;RecNum&gt;1039&lt;/RecNum&gt;&lt;DisplayText&gt;(6)&lt;/DisplayText&gt;&lt;record&gt;&lt;rec-number&gt;1039&lt;/rec-number&gt;&lt;foreign-keys&gt;&lt;key app="EN" db-id="wp5zaadvasawxcefrsoverxhpwexxvwss9f9" timestamp="0"&gt;1039&lt;/key&gt;&lt;/foreign-keys&gt;&lt;ref-type name="Journal Article"&gt;17&lt;/ref-type&gt;&lt;contributors&gt;&lt;authors&gt;&lt;author&gt;Bob Phillips&lt;/author&gt;&lt;author&gt;Ros Wade&lt;/author&gt;&lt;author&gt;Lesley A. Stewart &lt;/author&gt;&lt;author&gt;Alex J. Sutton&lt;/author&gt;&lt;/authors&gt;&lt;/contributors&gt;&lt;titles&gt;&lt;title&gt;Systematic review and meta-analysis of the discriminatory performance of risk prediction rules&amp;#xD;in febrile neutropaenic episodes in children and young people&lt;/title&gt;&lt;secondary-title&gt;Eur J Cancer&lt;/secondary-title&gt;&lt;alt-title&gt;EJC&lt;/alt-title&gt;&lt;/titles&gt;&lt;periodical&gt;&lt;full-title&gt;Eur J Cancer&lt;/full-title&gt;&lt;/periodical&gt;&lt;pages&gt;2950-2964&lt;/pages&gt;&lt;volume&gt;46&lt;/volume&gt;&lt;dates&gt;&lt;year&gt;2010&lt;/year&gt;&lt;/dates&gt;&lt;urls&gt;&lt;related-urls&gt;&lt;url&gt;http://ac.els-cdn.com/S095980491000448X/1-s2.0-S095980491000448X-main.pdf?_tid=e4f60900-2b09-11e5-89ce-00000aacb35d&amp;amp;acdnat=1436975900_ba7e24d800c9927cf1c448b3f2552e11&lt;/url&gt;&lt;/related-urls&gt;&lt;/urls&gt;&lt;electronic-resource-num&gt;10.1016/j.ejca.2010.05.024&lt;/electronic-resource-num&gt;&lt;/record&gt;&lt;/Cite&gt;&lt;/EndNote&gt;</w:instrText>
      </w:r>
      <w:r>
        <w:fldChar w:fldCharType="separate"/>
      </w:r>
      <w:r w:rsidR="002405A7">
        <w:rPr>
          <w:noProof/>
        </w:rPr>
        <w:t>(6)</w:t>
      </w:r>
      <w:r>
        <w:fldChar w:fldCharType="end"/>
      </w:r>
      <w:r w:rsidRPr="004C7B23">
        <w:t xml:space="preserve"> </w:t>
      </w:r>
      <w:r>
        <w:t xml:space="preserve"> </w:t>
      </w:r>
      <w:r w:rsidRPr="004C7B23">
        <w:t xml:space="preserve">In both areas of practice, a minority of patients have been teenagers/young adults, and to date no work has </w:t>
      </w:r>
      <w:r>
        <w:t xml:space="preserve">specifically </w:t>
      </w:r>
      <w:r w:rsidRPr="004C7B23">
        <w:t xml:space="preserve">examined </w:t>
      </w:r>
      <w:r>
        <w:t>whether</w:t>
      </w:r>
      <w:r w:rsidRPr="004C7B23">
        <w:t xml:space="preserve"> </w:t>
      </w:r>
      <w:r>
        <w:t>a</w:t>
      </w:r>
      <w:r w:rsidRPr="004C7B23">
        <w:t xml:space="preserve"> risk adaptive approach is appropriate in this subset</w:t>
      </w:r>
      <w:r>
        <w:t xml:space="preserve"> of patients with FN</w:t>
      </w:r>
      <w:r w:rsidRPr="004C7B23">
        <w:t>.</w:t>
      </w:r>
    </w:p>
    <w:p w:rsidR="00551C00" w:rsidRDefault="00551C00" w:rsidP="00CB386F">
      <w:pPr>
        <w:spacing w:line="480" w:lineRule="auto"/>
      </w:pPr>
      <w:r w:rsidRPr="004C7B23">
        <w:t xml:space="preserve">An international collaboration (PICNICC) has been formed to undertake an individual patient data </w:t>
      </w:r>
      <w:r>
        <w:t xml:space="preserve">(IPD) </w:t>
      </w:r>
      <w:r w:rsidRPr="004C7B23">
        <w:t>meta-analysis of risk prediction in children and young people (0 to 25 years old), including 22 separate data sets</w:t>
      </w:r>
      <w:r>
        <w:t>.</w:t>
      </w:r>
      <w:r w:rsidRPr="004C7B23">
        <w:t xml:space="preserve"> </w:t>
      </w:r>
      <w:r>
        <w:fldChar w:fldCharType="begin">
          <w:fldData xml:space="preserve">PEVuZE5vdGU+PENpdGUgRXhjbHVkZVllYXI9IjEiPjxBdXRob3I+UGhpbGxpcHM8L0F1dGhvcj48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</w:fldData>
        </w:fldChar>
      </w:r>
      <w:r w:rsidR="00CB386F">
        <w:instrText xml:space="preserve"> ADDIN EN.CITE </w:instrText>
      </w:r>
      <w:r w:rsidR="00CB386F">
        <w:fldChar w:fldCharType="begin">
          <w:fldData xml:space="preserve">PEVuZE5vdGU+PENpdGUgRXhjbHVkZVllYXI9IjEiPjxBdXRob3I+UGhpbGxpcHM8L0F1dGhvcj48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</w:fldData>
        </w:fldChar>
      </w:r>
      <w:r w:rsidR="00CB386F">
        <w:instrText xml:space="preserve"> ADDIN EN.CITE.DATA </w:instrText>
      </w:r>
      <w:r w:rsidR="00CB386F">
        <w:fldChar w:fldCharType="end"/>
      </w:r>
      <w:r>
        <w:fldChar w:fldCharType="separate"/>
      </w:r>
      <w:r w:rsidR="002405A7">
        <w:rPr>
          <w:noProof/>
        </w:rPr>
        <w:t>(7, 8)</w:t>
      </w:r>
      <w:r>
        <w:fldChar w:fldCharType="end"/>
      </w:r>
      <w:r w:rsidRPr="004C7B23">
        <w:t xml:space="preserve"> </w:t>
      </w:r>
      <w:r>
        <w:t xml:space="preserve"> </w:t>
      </w:r>
      <w:r w:rsidRPr="004C7B23">
        <w:t xml:space="preserve">This collaboration has used the pooled </w:t>
      </w:r>
      <w:r w:rsidR="00B974E9">
        <w:t>data</w:t>
      </w:r>
      <w:r w:rsidRPr="004C7B23">
        <w:t xml:space="preserve"> to undertake an analysis of patients </w:t>
      </w:r>
      <w:r>
        <w:t xml:space="preserve">aged </w:t>
      </w:r>
      <w:r w:rsidRPr="004C7B23">
        <w:t xml:space="preserve">16 years and </w:t>
      </w:r>
      <w:r w:rsidR="00B974E9">
        <w:t>older</w:t>
      </w:r>
      <w:r w:rsidR="00AF6D96">
        <w:t>, with the objective</w:t>
      </w:r>
      <w:r w:rsidRPr="004C7B23">
        <w:t xml:space="preserve"> </w:t>
      </w:r>
      <w:r w:rsidR="00AF6D96">
        <w:t>of examining</w:t>
      </w:r>
      <w:r w:rsidRPr="004C7B23">
        <w:t xml:space="preserve"> the validity of previously proposed </w:t>
      </w:r>
      <w:r>
        <w:t xml:space="preserve">clinical decision </w:t>
      </w:r>
      <w:r w:rsidRPr="004C7B23">
        <w:t xml:space="preserve">rules </w:t>
      </w:r>
      <w:r>
        <w:t xml:space="preserve">for FN management </w:t>
      </w:r>
      <w:r w:rsidRPr="004C7B23">
        <w:t>in this group of patients.</w:t>
      </w:r>
    </w:p>
    <w:p w:rsidR="00551C00" w:rsidRPr="004C7B23" w:rsidRDefault="00551C00" w:rsidP="00CB386F">
      <w:pPr>
        <w:spacing w:line="480" w:lineRule="auto"/>
      </w:pPr>
    </w:p>
    <w:p w:rsidR="00551C00" w:rsidRPr="004C7B23" w:rsidRDefault="00CB386F" w:rsidP="00CB386F">
      <w:pPr>
        <w:pStyle w:val="Heading2"/>
        <w:spacing w:line="480" w:lineRule="auto"/>
      </w:pPr>
      <w:r>
        <w:t xml:space="preserve">Materials and </w:t>
      </w:r>
      <w:r w:rsidR="00551C00" w:rsidRPr="004C7B23">
        <w:t>Methods</w:t>
      </w:r>
    </w:p>
    <w:p w:rsidR="00551C00" w:rsidRDefault="00551C00" w:rsidP="00CB386F">
      <w:pPr>
        <w:spacing w:line="480" w:lineRule="auto"/>
      </w:pPr>
      <w:r w:rsidRPr="004C7B23">
        <w:t xml:space="preserve">The PICNICC IPD </w:t>
      </w:r>
      <w:r>
        <w:t>protocol</w:t>
      </w:r>
      <w:r w:rsidRPr="004C7B23">
        <w:t xml:space="preserve"> was published prior to commencement of any analysis</w:t>
      </w:r>
      <w:r>
        <w:t>.</w:t>
      </w:r>
      <w:r w:rsidRPr="004C7B23">
        <w:t xml:space="preserve"> </w:t>
      </w:r>
      <w:r>
        <w:fldChar w:fldCharType="begin"/>
      </w:r>
      <w:r w:rsidR="002405A7">
        <w:instrText xml:space="preserve"> ADDIN EN.CITE &lt;EndNote&gt;&lt;Cite ExcludeYear="1"&gt;&lt;Author&gt;Phillips&lt;/Author&gt;&lt;Year&gt;2012&lt;/Year&gt;&lt;RecNum&gt;1278&lt;/RecNum&gt;&lt;DisplayText&gt;(7)&lt;/DisplayText&gt;&lt;record&gt;&lt;rec-number&gt;1278&lt;/rec-number&gt;&lt;foreign-keys&gt;&lt;key app="EN" db-id="wp5zaadvasawxcefrsoverxhpwexxvwss9f9" timestamp="0"&gt;1278&lt;/key&gt;&lt;/foreign-keys&gt;&lt;ref-type name="Journal Article"&gt;17&lt;/ref-type&gt;&lt;contributors&gt;&lt;authors&gt;&lt;author&gt;Phillips, Robert&lt;/author&gt;&lt;author&gt;Sutton, Alex&lt;/author&gt;&lt;author&gt;Riley, Richard&lt;/author&gt;&lt;author&gt;Chisholm, Julia&lt;/author&gt;&lt;author&gt;Picton, Susan&lt;/author&gt;&lt;author&gt;Stewart, Lesley&lt;/author&gt;&lt;author&gt;, the PICNICC Collaboration&lt;/author&gt;&lt;/authors&gt;&lt;/contributors&gt;&lt;titles&gt;&lt;title&gt;Predicting infectious complications in neutropenic children and young people with cancer (IPD Protocol)&lt;/title&gt;&lt;secondary-title&gt;Systematic Reviews&lt;/secondary-title&gt;&lt;/titles&gt;&lt;pages&gt;8&lt;/pages&gt;&lt;volume&gt;1&lt;/volume&gt;&lt;number&gt;1&lt;/number&gt;&lt;dates&gt;&lt;year&gt;2012&lt;/year&gt;&lt;/dates&gt;&lt;isbn&gt;2046-4053&lt;/isbn&gt;&lt;accession-num&gt;doi:10.1186/2046-4053-1-8&lt;/accession-num&gt;&lt;urls&gt;&lt;related-urls&gt;&lt;url&gt;http://www.systematicreviewsjournal.com/content/1/1/8&lt;/url&gt;&lt;url&gt;http://www.systematicreviewsjournal.com/content/pdf/2046-4053-1-8.pdf&lt;/url&gt;&lt;/related-urls&gt;&lt;/urls&gt;&lt;/record&gt;&lt;/Cite&gt;&lt;/EndNote&gt;</w:instrText>
      </w:r>
      <w:r>
        <w:fldChar w:fldCharType="separate"/>
      </w:r>
      <w:r w:rsidR="002405A7">
        <w:rPr>
          <w:noProof/>
        </w:rPr>
        <w:t>(7)</w:t>
      </w:r>
      <w:r>
        <w:fldChar w:fldCharType="end"/>
      </w:r>
      <w:r w:rsidRPr="004C7B23">
        <w:t xml:space="preserve"> The primary aim of the IPD analysis was to quantify the risk </w:t>
      </w:r>
      <w:r>
        <w:t xml:space="preserve">of poor FN outcomes </w:t>
      </w:r>
      <w:r w:rsidRPr="004C7B23">
        <w:t xml:space="preserve">according to clinical variables recorded in children and young people </w:t>
      </w:r>
      <w:r>
        <w:t>(</w:t>
      </w:r>
      <w:r w:rsidRPr="004C7B23">
        <w:t>0 – 2</w:t>
      </w:r>
      <w:r>
        <w:t>5</w:t>
      </w:r>
      <w:r w:rsidRPr="004C7B23">
        <w:t xml:space="preserve"> years old</w:t>
      </w:r>
      <w:r>
        <w:t>)</w:t>
      </w:r>
      <w:r w:rsidRPr="004C7B23">
        <w:t xml:space="preserve"> undergoing treatment for malignant disease</w:t>
      </w:r>
      <w:r>
        <w:t xml:space="preserve"> at the onset of an episode of FN </w:t>
      </w:r>
      <w:r w:rsidRPr="004C7B23">
        <w:t xml:space="preserve">and to develop a new risk prediction </w:t>
      </w:r>
      <w:r w:rsidR="002405A7">
        <w:t>model</w:t>
      </w:r>
      <w:r w:rsidR="002405A7">
        <w:fldChar w:fldCharType="begin"/>
      </w:r>
      <w:r w:rsidR="00CB386F">
        <w:instrText xml:space="preserve"> ADDIN EN.CITE &lt;EndNote&gt;&lt;Cite ExcludeYear="1"&gt;&lt;Author&gt;Bob Phillips&lt;/Author&gt;&lt;Year&gt;2016&lt;/Year&gt;&lt;RecNum&gt;2055&lt;/RecNum&gt;&lt;DisplayText&gt;(8)&lt;/DisplayText&gt;&lt;record&gt;&lt;rec-number&gt;2055&lt;/rec-number&gt;&lt;foreign-keys&gt;&lt;key app="EN" db-id="wp5zaadvasawxcefrsoverxhpwexxvwss9f9" timestamp="1455105364"&gt;2055&lt;/key&gt;&lt;/foreign-keys&gt;&lt;ref-type name="Journal Article"&gt;17&lt;/ref-type&gt;&lt;contributors&gt;&lt;authors&gt;&lt;author&gt;Bob Phillips, Lillian Sung, Roland Amman, Richard Riley, Elio Castagnola, Gabrielle Haeusler, Robert Klaassen, Wim Tissing, Thomas Lehrnbecher, Julia Chisholm, Hana Hakim, Neil Ranasinghe, Marianne Paesmans, Ian Hann, and Lesley Stewart &lt;/author&gt;&lt;/authors&gt;&lt;/contributors&gt;&lt;titles&gt;&lt;title&gt;Predicting Microbiologically Defined Infection In Febrile Neutropenic Episodes In Children: Global Individual Participant Data Multivariable Meta-Analysis&lt;/title&gt;&lt;secondary-title&gt;Br J Cancer&lt;/secondary-title&gt;&lt;/titles&gt;&lt;periodical&gt;&lt;full-title&gt;Br J Cancer&lt;/full-title&gt;&lt;/periodical&gt;&lt;volume&gt;[in press]&lt;/volume&gt;&lt;dates&gt;&lt;year&gt;2016&lt;/year&gt;&lt;/dates&gt;&lt;urls&gt;&lt;/urls&gt;&lt;electronic-resource-num&gt;10.1038/bjc.2016.28&lt;/electronic-resource-num&gt;&lt;/record&gt;&lt;/Cite&gt;&lt;/EndNote&gt;</w:instrText>
      </w:r>
      <w:r w:rsidR="002405A7">
        <w:fldChar w:fldCharType="separate"/>
      </w:r>
      <w:r w:rsidR="002405A7">
        <w:rPr>
          <w:noProof/>
        </w:rPr>
        <w:t>(8)</w:t>
      </w:r>
      <w:r w:rsidR="002405A7">
        <w:fldChar w:fldCharType="end"/>
      </w:r>
      <w:r w:rsidR="002405A7">
        <w:t xml:space="preserve">. </w:t>
      </w:r>
      <w:r w:rsidR="00987110">
        <w:t xml:space="preserve">For this paper, we used data from patients aged 16 – 25 years old. </w:t>
      </w:r>
      <w:r>
        <w:t>The</w:t>
      </w:r>
      <w:r w:rsidRPr="004C7B23">
        <w:t xml:space="preserve"> secondary aim</w:t>
      </w:r>
      <w:r>
        <w:t xml:space="preserve"> was</w:t>
      </w:r>
      <w:r w:rsidRPr="004C7B23">
        <w:t xml:space="preserve"> to assess existing clinical prediction rules</w:t>
      </w:r>
      <w:r>
        <w:t xml:space="preserve"> which have been validated in ‘child’ or ‘adult’ populations</w:t>
      </w:r>
      <w:r w:rsidR="00AF6D96">
        <w:t xml:space="preserve">. The ‘child’ rules were selected </w:t>
      </w:r>
      <w:r w:rsidRPr="004C7B23">
        <w:t xml:space="preserve">as described in prior systematic reviews </w:t>
      </w:r>
      <w:r>
        <w:fldChar w:fldCharType="begin"/>
      </w:r>
      <w:r w:rsidR="002405A7">
        <w:instrText xml:space="preserve"> ADDIN EN.CITE &lt;EndNote&gt;&lt;Cite&gt;&lt;Author&gt;Phillips&lt;/Author&gt;&lt;Year&gt;2012&lt;/Year&gt;&lt;RecNum&gt;1436&lt;/RecNum&gt;&lt;DisplayText&gt;(9)&lt;/DisplayText&gt;&lt;record&gt;&lt;rec-number&gt;1436&lt;/rec-number&gt;&lt;foreign-keys&gt;&lt;key app="EN" db-id="wp5zaadvasawxcefrsoverxhpwexxvwss9f9" timestamp="0"&gt;1436&lt;/key&gt;&lt;/foreign-keys&gt;&lt;ref-type name="Journal Article"&gt;17&lt;/ref-type&gt;&lt;contributors&gt;&lt;authors&gt;&lt;author&gt;Phillips, R. S.&lt;/author&gt;&lt;author&gt;Lehrnbecher, T.&lt;/author&gt;&lt;author&gt;Alexander, S.&lt;/author&gt;&lt;author&gt;Sung, L.&lt;/author&gt;&lt;/authors&gt;&lt;/contributors&gt;&lt;auth-address&gt;Centre for Reviews and Dissemination, University of York, York, United Kingdom. bob.phillips@york.ac.uk&lt;/auth-address&gt;&lt;titles&gt;&lt;title&gt;Updated systematic review and meta-analysis of the performance of risk prediction rules in children and young people with febrile neutropenia&lt;/title&gt;&lt;secondary-title&gt;PLoS One&lt;/secondary-title&gt;&lt;/titles&gt;&lt;pages&gt;e38300&lt;/pages&gt;&lt;volume&gt;7&lt;/volume&gt;&lt;number&gt;5&lt;/number&gt;&lt;edition&gt;2012/06/14&lt;/edition&gt;&lt;keywords&gt;&lt;keyword&gt;Child&lt;/keyword&gt;&lt;keyword&gt;Decision Making&lt;/keyword&gt;&lt;keyword&gt;Fever/*complications&lt;/keyword&gt;&lt;keyword&gt;Humans&lt;/keyword&gt;&lt;keyword&gt;Neoplasms/therapy&lt;/keyword&gt;&lt;keyword&gt;Neutropenia/*complications&lt;/keyword&gt;&lt;keyword&gt;Quality Control&lt;/keyword&gt;&lt;keyword&gt;Risk Assessment/*methods/standards&lt;/keyword&gt;&lt;/keywords&gt;&lt;dates&gt;&lt;year&gt;2012&lt;/year&gt;&lt;/dates&gt;&lt;isbn&gt;1932-6203 (Electronic)&amp;#xD;1932-6203 (Linking)&lt;/isbn&gt;&lt;accession-num&gt;22693615&lt;/accession-num&gt;&lt;urls&gt;&lt;related-urls&gt;&lt;url&gt;http://www.ncbi.nlm.nih.gov/entrez/query.fcgi?cmd=Retrieve&amp;amp;db=PubMed&amp;amp;dopt=Citation&amp;amp;list_uids=22693615&lt;/url&gt;&lt;url&gt;http://www.ncbi.nlm.nih.gov/pmc/articles/PMC3365042/pdf/pone.0038300.pdf&lt;/url&gt;&lt;/related-urls&gt;&lt;/urls&gt;&lt;custom2&gt;3365042&lt;/custom2&gt;&lt;electronic-resource-num&gt;10.1371/journal.pone.0038300&amp;#xD;PONE-D-12-01937 [pii]&lt;/electronic-resource-num&gt;&lt;language&gt;eng&lt;/language&gt;&lt;/record&gt;&lt;/Cite&gt;&lt;/EndNote&gt;</w:instrText>
      </w:r>
      <w:r>
        <w:fldChar w:fldCharType="separate"/>
      </w:r>
      <w:r w:rsidR="002405A7">
        <w:rPr>
          <w:noProof/>
        </w:rPr>
        <w:t>(9)</w:t>
      </w:r>
      <w:r>
        <w:fldChar w:fldCharType="end"/>
      </w:r>
      <w:r w:rsidR="00904FB4">
        <w:t xml:space="preserve">, with rules produced by </w:t>
      </w:r>
      <w:proofErr w:type="spellStart"/>
      <w:r w:rsidR="00904FB4">
        <w:t>Rackoff</w:t>
      </w:r>
      <w:proofErr w:type="spellEnd"/>
      <w:r w:rsidR="00904FB4">
        <w:t xml:space="preserve"> </w:t>
      </w:r>
      <w:r w:rsidR="00904FB4">
        <w:fldChar w:fldCharType="begin"/>
      </w:r>
      <w:r w:rsidR="00904FB4">
        <w:instrText xml:space="preserve"> ADDIN EN.CITE &lt;EndNote&gt;&lt;Cite ExcludeYear="1"&gt;&lt;Author&gt;Rackoff&lt;/Author&gt;&lt;Year&gt;1996&lt;/Year&gt;&lt;RecNum&gt;578&lt;/RecNum&gt;&lt;DisplayText&gt;(10)&lt;/DisplayText&gt;&lt;record&gt;&lt;rec-number&gt;578&lt;/rec-number&gt;&lt;foreign-keys&gt;&lt;key app="EN" db-id="wp5zaadvasawxcefrsoverxhpwexxvwss9f9" timestamp="0"&gt;578&lt;/key&gt;&lt;/foreign-keys&gt;&lt;ref-type name="Journal Article"&gt;17&lt;/ref-type&gt;&lt;contributors&gt;&lt;authors&gt;&lt;author&gt;Rackoff, W. R.&lt;/author&gt;&lt;author&gt;Gonin, R.&lt;/author&gt;&lt;author&gt;Robinson, C.&lt;/author&gt;&lt;author&gt;Kreissman, S. G.&lt;/author&gt;&lt;author&gt;Breitfeld, P. B.&lt;/author&gt;&lt;/authors&gt;&lt;/contributors&gt;&lt;titles&gt;&lt;title&gt;Predicting the risk of bacteremia in childen with fever and neutropenia&lt;/title&gt;&lt;secondary-title&gt;Journal of Clinical Oncology&lt;/secondary-title&gt;&lt;/titles&gt;&lt;periodical&gt;&lt;full-title&gt;Journal of Clinical Oncology&lt;/full-title&gt;&lt;/periodical&gt;&lt;pages&gt;919-24&lt;/pages&gt;&lt;volume&gt;14&lt;/volume&gt;&lt;number&gt;3&lt;/number&gt;&lt;keywords&gt;&lt;keyword&gt;EPPI-REVIEWER&lt;/keyword&gt;&lt;/keywords&gt;&lt;dates&gt;&lt;year&gt;1996&lt;/year&gt;&lt;/dates&gt;&lt;urls&gt;&lt;/urls&gt;&lt;/record&gt;&lt;/Cite&gt;&lt;/EndNote&gt;</w:instrText>
      </w:r>
      <w:r w:rsidR="00904FB4">
        <w:fldChar w:fldCharType="separate"/>
      </w:r>
      <w:r w:rsidR="00904FB4">
        <w:rPr>
          <w:noProof/>
        </w:rPr>
        <w:t>(10)</w:t>
      </w:r>
      <w:r w:rsidR="00904FB4">
        <w:fldChar w:fldCharType="end"/>
      </w:r>
      <w:r w:rsidR="00904FB4">
        <w:t xml:space="preserve">, Alexander </w:t>
      </w:r>
      <w:r w:rsidR="00904FB4">
        <w:fldChar w:fldCharType="begin"/>
      </w:r>
      <w:r w:rsidR="00904FB4">
        <w:instrText xml:space="preserve"> ADDIN EN.CITE &lt;EndNote&gt;&lt;Cite ExcludeYear="1"&gt;&lt;Author&gt;Alexander&lt;/Author&gt;&lt;Year&gt;2002&lt;/Year&gt;&lt;RecNum&gt;563&lt;/RecNum&gt;&lt;DisplayText&gt;(11)&lt;/DisplayText&gt;&lt;record&gt;&lt;rec-number&gt;563&lt;/rec-number&gt;&lt;foreign-keys&gt;&lt;key app="EN" db-id="wp5zaadvasawxcefrsoverxhpwexxvwss9f9" timestamp="0"&gt;563&lt;/key&gt;&lt;/foreign-keys&gt;&lt;ref-type name="Journal Article"&gt;17&lt;/ref-type&gt;&lt;contributors&gt;&lt;authors&gt;&lt;author&gt;Alexander, Sarah W.&lt;/author&gt;&lt;author&gt;Wade, Kelly C.&lt;/author&gt;&lt;author&gt;Hibberd, Patricia L.&lt;/author&gt;&lt;author&gt;Parsons, Susan K.&lt;/author&gt;&lt;/authors&gt;&lt;/contributors&gt;&lt;titles&gt;&lt;title&gt;Evaluation of risk prediction criteria for episodes of febrile neutropenia in children with cancer&lt;/title&gt;&lt;secondary-title&gt;Journal of Pediatric Hematology/Oncology&lt;/secondary-title&gt;&lt;/titles&gt;&lt;periodical&gt;&lt;full-title&gt;Journal of Pediatric Hematology/Oncology&lt;/full-title&gt;&lt;/periodical&gt;&lt;pages&gt;38-42&lt;/pages&gt;&lt;volume&gt;24&lt;/volume&gt;&lt;number&gt;1&lt;/number&gt;&lt;keywords&gt;&lt;keyword&gt;EPPI-REVIEWER&lt;/keyword&gt;&lt;/keywords&gt;&lt;dates&gt;&lt;year&gt;2002&lt;/year&gt;&lt;/dates&gt;&lt;urls&gt;&lt;/urls&gt;&lt;/record&gt;&lt;/Cite&gt;&lt;/EndNote&gt;</w:instrText>
      </w:r>
      <w:r w:rsidR="00904FB4">
        <w:fldChar w:fldCharType="separate"/>
      </w:r>
      <w:r w:rsidR="00904FB4">
        <w:rPr>
          <w:noProof/>
        </w:rPr>
        <w:t>(11)</w:t>
      </w:r>
      <w:r w:rsidR="00904FB4">
        <w:fldChar w:fldCharType="end"/>
      </w:r>
      <w:r w:rsidR="00904FB4">
        <w:t xml:space="preserve">, the Chilean paediatric oncology collaborative </w:t>
      </w:r>
      <w:r w:rsidR="00904FB4">
        <w:fldChar w:fldCharType="begin"/>
      </w:r>
      <w:r w:rsidR="00904FB4">
        <w:instrText xml:space="preserve"> ADDIN EN.CITE &lt;EndNote&gt;&lt;Cite ExcludeYear="1"&gt;&lt;Author&gt;Santolaya&lt;/Author&gt;&lt;Year&gt;2002&lt;/Year&gt;&lt;RecNum&gt;511&lt;/RecNum&gt;&lt;DisplayText&gt;(12)&lt;/DisplayText&gt;&lt;record&gt;&lt;rec-number&gt;511&lt;/rec-number&gt;&lt;foreign-keys&gt;&lt;key app="EN" db-id="wp5zaadvasawxcefrsoverxhpwexxvwss9f9" timestamp="0"&gt;511&lt;/key&gt;&lt;/foreign-keys&gt;&lt;ref-type name="Journal Article"&gt;17&lt;/ref-type&gt;&lt;contributors&gt;&lt;authors&gt;&lt;author&gt;Santolaya, M. E.&lt;/author&gt;&lt;author&gt;Alvarez, A. M.&lt;/author&gt;&lt;author&gt;Avil‚s, C. L.&lt;/author&gt;&lt;author&gt;Becker, A.&lt;/author&gt;&lt;author&gt;Cofr‚, J.&lt;/author&gt;&lt;author&gt;Enr¡quez, N.&lt;/author&gt;&lt;author&gt;O&amp;apos;Ryan, M.&lt;/author&gt;&lt;author&gt;Pay , E.&lt;/author&gt;&lt;author&gt;Salgado, C.&lt;/author&gt;&lt;author&gt;Silva, P.&lt;/author&gt;&lt;author&gt;Tordecilla, J.&lt;/author&gt;&lt;author&gt;Varas, M.&lt;/author&gt;&lt;author&gt;Villarroel, M.&lt;/author&gt;&lt;author&gt;Viviani, T.&lt;/author&gt;&lt;author&gt;Zubieta, M.&lt;/author&gt;&lt;/authors&gt;&lt;/contributors&gt;&lt;titles&gt;&lt;title&gt;Prospective evaluation of a model of prediction of invasive bacterial infection risk among children with cancer, fever, and neutropenia&lt;/title&gt;&lt;secondary-title&gt;Clinical Infectious Diseases: An Official Publication of the Infectious Diseases Society of America&lt;/secondary-title&gt;&lt;/titles&gt;&lt;periodical&gt;&lt;full-title&gt;Clinical Infectious Diseases: An Official Publication of the Infectious Diseases Society of America&lt;/full-title&gt;&lt;/periodical&gt;&lt;pages&gt;678-83&lt;/pages&gt;&lt;volume&gt;35&lt;/volume&gt;&lt;number&gt;6&lt;/number&gt;&lt;keywords&gt;&lt;keyword&gt;Adolescent&lt;/keyword&gt;&lt;keyword&gt;Bacterial Infections&lt;/keyword&gt;&lt;keyword&gt;Child&lt;/keyword&gt;&lt;keyword&gt;Child, Preschool&lt;/keyword&gt;&lt;keyword&gt;Fever&lt;/keyword&gt;&lt;keyword&gt;Humans&lt;/keyword&gt;&lt;keyword&gt;Models, Statistical&lt;/keyword&gt;&lt;keyword&gt;Neoplasms&lt;/keyword&gt;&lt;keyword&gt;Neutropenia&lt;/keyword&gt;&lt;keyword&gt;Prospective Studies&lt;/keyword&gt;&lt;keyword&gt;Reproducibility of Results&lt;/keyword&gt;&lt;keyword&gt;Risk Factors&lt;/keyword&gt;&lt;/keywords&gt;&lt;dates&gt;&lt;year&gt;2002&lt;/year&gt;&lt;/dates&gt;&lt;accession-num&gt;13323&lt;/accession-num&gt;&lt;urls&gt;&lt;/urls&gt;&lt;/record&gt;&lt;/Cite&gt;&lt;/EndNote&gt;</w:instrText>
      </w:r>
      <w:r w:rsidR="00904FB4">
        <w:fldChar w:fldCharType="separate"/>
      </w:r>
      <w:r w:rsidR="00904FB4">
        <w:rPr>
          <w:noProof/>
        </w:rPr>
        <w:t>(12)</w:t>
      </w:r>
      <w:r w:rsidR="00904FB4">
        <w:fldChar w:fldCharType="end"/>
      </w:r>
      <w:r w:rsidR="00904FB4">
        <w:t xml:space="preserve">, the Swiss paediatric oncology group </w:t>
      </w:r>
      <w:r w:rsidR="00904FB4">
        <w:fldChar w:fldCharType="begin">
          <w:fldData xml:space="preserve">PEVuZE5vdGU+PENpdGUgRXhjbHVkZVllYXI9IjEiPjxBdXRob3I+QW1tYW5uPC9BdXRob3I+PFll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</w:fldData>
        </w:fldChar>
      </w:r>
      <w:r w:rsidR="00904FB4">
        <w:instrText xml:space="preserve"> ADDIN EN.CITE </w:instrText>
      </w:r>
      <w:r w:rsidR="00904FB4">
        <w:fldChar w:fldCharType="begin">
          <w:fldData xml:space="preserve">PEVuZE5vdGU+PENpdGUgRXhjbHVkZVllYXI9IjEiPjxBdXRob3I+QW1tYW5uPC9BdXRob3I+PFll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</w:fldData>
        </w:fldChar>
      </w:r>
      <w:r w:rsidR="00904FB4">
        <w:instrText xml:space="preserve"> ADDIN EN.CITE.DATA </w:instrText>
      </w:r>
      <w:r w:rsidR="00904FB4">
        <w:fldChar w:fldCharType="end"/>
      </w:r>
      <w:r w:rsidR="00904FB4">
        <w:fldChar w:fldCharType="separate"/>
      </w:r>
      <w:r w:rsidR="00904FB4">
        <w:rPr>
          <w:noProof/>
        </w:rPr>
        <w:t>(13)</w:t>
      </w:r>
      <w:r w:rsidR="00904FB4">
        <w:fldChar w:fldCharType="end"/>
      </w:r>
      <w:r w:rsidR="00904FB4">
        <w:t xml:space="preserve">, and </w:t>
      </w:r>
      <w:proofErr w:type="spellStart"/>
      <w:r w:rsidR="00904FB4">
        <w:t>Ammann</w:t>
      </w:r>
      <w:proofErr w:type="spellEnd"/>
      <w:r w:rsidR="00904FB4">
        <w:t xml:space="preserve"> </w:t>
      </w:r>
      <w:r w:rsidR="00904FB4">
        <w:fldChar w:fldCharType="begin">
          <w:fldData xml:space="preserve">PEVuZE5vdGU+PENpdGUgRXhjbHVkZVllYXI9IjEiPjxBdXRob3I+QW1tYW5uPC9BdXRob3I+PFll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</w:fldData>
        </w:fldChar>
      </w:r>
      <w:r w:rsidR="00904FB4">
        <w:instrText xml:space="preserve"> ADDIN EN.CITE </w:instrText>
      </w:r>
      <w:r w:rsidR="00904FB4">
        <w:fldChar w:fldCharType="begin">
          <w:fldData xml:space="preserve">PEVuZE5vdGU+PENpdGUgRXhjbHVkZVllYXI9IjEiPjxBdXRob3I+QW1tYW5uPC9BdXRob3I+PFll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</w:fldData>
        </w:fldChar>
      </w:r>
      <w:r w:rsidR="00904FB4">
        <w:instrText xml:space="preserve"> ADDIN EN.CITE.DATA </w:instrText>
      </w:r>
      <w:r w:rsidR="00904FB4">
        <w:fldChar w:fldCharType="end"/>
      </w:r>
      <w:r w:rsidR="00904FB4">
        <w:fldChar w:fldCharType="separate"/>
      </w:r>
      <w:r w:rsidR="00904FB4">
        <w:rPr>
          <w:noProof/>
        </w:rPr>
        <w:t>(14)</w:t>
      </w:r>
      <w:r w:rsidR="00904FB4">
        <w:fldChar w:fldCharType="end"/>
      </w:r>
      <w:r w:rsidRPr="004C7B23">
        <w:t xml:space="preserve"> (see Table 1)</w:t>
      </w:r>
      <w:r w:rsidR="00904FB4">
        <w:t>.</w:t>
      </w:r>
      <w:r w:rsidR="00AF6D96">
        <w:t xml:space="preserve"> </w:t>
      </w:r>
      <w:r w:rsidR="00904FB4">
        <w:t>T</w:t>
      </w:r>
      <w:r w:rsidR="00AF6D96">
        <w:t xml:space="preserve">he ‘adult’ rule </w:t>
      </w:r>
      <w:r w:rsidR="00904FB4">
        <w:t xml:space="preserve">was selected </w:t>
      </w:r>
      <w:r w:rsidR="00AF6D96">
        <w:t>as the most widely used schema</w:t>
      </w:r>
      <w:r w:rsidR="00B30E83">
        <w:t xml:space="preserve">, validated in previous studies and recommended in European and North American clinical practice guidelines </w:t>
      </w:r>
      <w:r w:rsidR="00AF6D96">
        <w:fldChar w:fldCharType="begin">
          <w:fldData xml:space="preserve">PEVuZE5vdGU+PENpdGUgRXhjbHVkZVllYXI9IjEiPjxBdXRob3I+UGhpbGxpcHM8L0F1dGhvcj48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=
</w:fldData>
        </w:fldChar>
      </w:r>
      <w:r w:rsidR="00B30E83">
        <w:instrText xml:space="preserve"> ADDIN EN.CITE </w:instrText>
      </w:r>
      <w:r w:rsidR="00B30E83">
        <w:fldChar w:fldCharType="begin">
          <w:fldData xml:space="preserve">PEVuZE5vdGU+PENpdGUgRXhjbHVkZVllYXI9IjEiPjxBdXRob3I+UGhpbGxpcHM8L0F1dGhvcj48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=
</w:fldData>
        </w:fldChar>
      </w:r>
      <w:r w:rsidR="00B30E83">
        <w:instrText xml:space="preserve"> ADDIN EN.CITE.DATA </w:instrText>
      </w:r>
      <w:r w:rsidR="00B30E83">
        <w:fldChar w:fldCharType="end"/>
      </w:r>
      <w:r w:rsidR="00AF6D96">
        <w:fldChar w:fldCharType="separate"/>
      </w:r>
      <w:r w:rsidR="00B30E83">
        <w:rPr>
          <w:noProof/>
        </w:rPr>
        <w:t>(4, 5)</w:t>
      </w:r>
      <w:r w:rsidR="00AF6D96">
        <w:fldChar w:fldCharType="end"/>
      </w:r>
      <w:r w:rsidR="00B30E83">
        <w:t xml:space="preserve"> </w:t>
      </w:r>
      <w:r w:rsidRPr="004C7B23">
        <w:t>.</w:t>
      </w:r>
    </w:p>
    <w:tbl>
      <w:tblPr>
        <w:tblStyle w:val="TableGrid"/>
        <w:tblW w:w="10314" w:type="dxa"/>
        <w:tblLayout w:type="fixed"/>
        <w:tblLook w:val="04A0" w:firstRow="1" w:lastRow="0" w:firstColumn="1" w:lastColumn="0" w:noHBand="0" w:noVBand="1"/>
      </w:tblPr>
      <w:tblGrid>
        <w:gridCol w:w="1181"/>
        <w:gridCol w:w="1250"/>
        <w:gridCol w:w="1777"/>
        <w:gridCol w:w="1426"/>
        <w:gridCol w:w="1404"/>
        <w:gridCol w:w="1717"/>
        <w:gridCol w:w="1559"/>
      </w:tblGrid>
      <w:tr w:rsidR="005E1136" w:rsidRPr="005E1136" w:rsidTr="001C20A3">
        <w:trPr>
          <w:trHeight w:val="612"/>
        </w:trPr>
        <w:tc>
          <w:tcPr>
            <w:tcW w:w="1181" w:type="dxa"/>
            <w:hideMark/>
          </w:tcPr>
          <w:p w:rsidR="005E1136" w:rsidRPr="005E1136" w:rsidRDefault="005E1136" w:rsidP="00CB386F">
            <w:pPr>
              <w:spacing w:line="480" w:lineRule="auto"/>
              <w:rPr>
                <w:b/>
                <w:bCs/>
              </w:rPr>
            </w:pPr>
            <w:r w:rsidRPr="005E1136">
              <w:rPr>
                <w:b/>
                <w:bCs/>
              </w:rPr>
              <w:t> </w:t>
            </w:r>
          </w:p>
        </w:tc>
        <w:tc>
          <w:tcPr>
            <w:tcW w:w="1250" w:type="dxa"/>
            <w:hideMark/>
          </w:tcPr>
          <w:p w:rsidR="005E1136" w:rsidRPr="005E1136" w:rsidRDefault="005E1136" w:rsidP="00CB386F">
            <w:pPr>
              <w:spacing w:line="480" w:lineRule="auto"/>
              <w:rPr>
                <w:b/>
                <w:bCs/>
              </w:rPr>
            </w:pPr>
            <w:proofErr w:type="spellStart"/>
            <w:r w:rsidRPr="005E1136">
              <w:rPr>
                <w:b/>
                <w:bCs/>
              </w:rPr>
              <w:t>Rackoff</w:t>
            </w:r>
            <w:proofErr w:type="spellEnd"/>
          </w:p>
        </w:tc>
        <w:tc>
          <w:tcPr>
            <w:tcW w:w="1777" w:type="dxa"/>
            <w:hideMark/>
          </w:tcPr>
          <w:p w:rsidR="005E1136" w:rsidRPr="005E1136" w:rsidRDefault="005E1136" w:rsidP="00CB386F">
            <w:pPr>
              <w:spacing w:line="480" w:lineRule="auto"/>
              <w:rPr>
                <w:b/>
                <w:bCs/>
              </w:rPr>
            </w:pPr>
            <w:r w:rsidRPr="005E1136">
              <w:rPr>
                <w:b/>
                <w:bCs/>
              </w:rPr>
              <w:t>Alexander</w:t>
            </w:r>
          </w:p>
        </w:tc>
        <w:tc>
          <w:tcPr>
            <w:tcW w:w="1426" w:type="dxa"/>
            <w:hideMark/>
          </w:tcPr>
          <w:p w:rsidR="005E1136" w:rsidRPr="005E1136" w:rsidRDefault="005E1136" w:rsidP="00CB386F">
            <w:pPr>
              <w:spacing w:line="480" w:lineRule="auto"/>
              <w:rPr>
                <w:b/>
                <w:bCs/>
              </w:rPr>
            </w:pPr>
            <w:r w:rsidRPr="005E1136">
              <w:rPr>
                <w:b/>
                <w:bCs/>
              </w:rPr>
              <w:t>PINDA</w:t>
            </w:r>
          </w:p>
        </w:tc>
        <w:tc>
          <w:tcPr>
            <w:tcW w:w="1404" w:type="dxa"/>
            <w:hideMark/>
          </w:tcPr>
          <w:p w:rsidR="005E1136" w:rsidRPr="005E1136" w:rsidRDefault="005E1136" w:rsidP="00CB386F">
            <w:pPr>
              <w:spacing w:line="480" w:lineRule="auto"/>
              <w:rPr>
                <w:b/>
                <w:bCs/>
              </w:rPr>
            </w:pPr>
            <w:r w:rsidRPr="005E1136">
              <w:rPr>
                <w:b/>
                <w:bCs/>
              </w:rPr>
              <w:t>SPOG</w:t>
            </w:r>
          </w:p>
        </w:tc>
        <w:tc>
          <w:tcPr>
            <w:tcW w:w="1717" w:type="dxa"/>
            <w:hideMark/>
          </w:tcPr>
          <w:p w:rsidR="005E1136" w:rsidRPr="005E1136" w:rsidRDefault="005E1136" w:rsidP="00CB386F">
            <w:pPr>
              <w:spacing w:line="480" w:lineRule="auto"/>
              <w:rPr>
                <w:b/>
                <w:bCs/>
              </w:rPr>
            </w:pPr>
            <w:proofErr w:type="spellStart"/>
            <w:r w:rsidRPr="005E1136">
              <w:rPr>
                <w:b/>
                <w:bCs/>
              </w:rPr>
              <w:t>Ammann</w:t>
            </w:r>
            <w:proofErr w:type="spellEnd"/>
          </w:p>
        </w:tc>
        <w:tc>
          <w:tcPr>
            <w:tcW w:w="1559" w:type="dxa"/>
            <w:hideMark/>
          </w:tcPr>
          <w:p w:rsidR="005E1136" w:rsidRPr="005E1136" w:rsidRDefault="005E1136" w:rsidP="00CB386F">
            <w:pPr>
              <w:spacing w:line="480" w:lineRule="auto"/>
              <w:rPr>
                <w:b/>
                <w:bCs/>
              </w:rPr>
            </w:pPr>
            <w:r w:rsidRPr="005E1136">
              <w:rPr>
                <w:b/>
                <w:bCs/>
              </w:rPr>
              <w:t>MASCC</w:t>
            </w:r>
          </w:p>
        </w:tc>
      </w:tr>
      <w:tr w:rsidR="005E1136" w:rsidRPr="005E1136" w:rsidTr="001C20A3">
        <w:trPr>
          <w:trHeight w:val="1116"/>
        </w:trPr>
        <w:tc>
          <w:tcPr>
            <w:tcW w:w="1181" w:type="dxa"/>
            <w:hideMark/>
          </w:tcPr>
          <w:p w:rsidR="005E1136" w:rsidRPr="005E1136" w:rsidRDefault="005E1136" w:rsidP="00CB386F">
            <w:pPr>
              <w:spacing w:line="480" w:lineRule="auto"/>
            </w:pPr>
            <w:r w:rsidRPr="005E1136">
              <w:t>Outcome predicted</w:t>
            </w:r>
          </w:p>
        </w:tc>
        <w:tc>
          <w:tcPr>
            <w:tcW w:w="1250" w:type="dxa"/>
            <w:hideMark/>
          </w:tcPr>
          <w:p w:rsidR="005E1136" w:rsidRPr="005E1136" w:rsidRDefault="005E1136" w:rsidP="00CB386F">
            <w:pPr>
              <w:spacing w:line="480" w:lineRule="auto"/>
            </w:pPr>
            <w:r w:rsidRPr="005E1136">
              <w:t>Bacter</w:t>
            </w:r>
            <w:r>
              <w:t>a</w:t>
            </w:r>
            <w:r w:rsidRPr="005E1136">
              <w:t>emia</w:t>
            </w:r>
          </w:p>
        </w:tc>
        <w:tc>
          <w:tcPr>
            <w:tcW w:w="1777" w:type="dxa"/>
            <w:hideMark/>
          </w:tcPr>
          <w:p w:rsidR="005E1136" w:rsidRPr="005E1136" w:rsidRDefault="005E1136" w:rsidP="00CB386F">
            <w:pPr>
              <w:spacing w:line="480" w:lineRule="auto"/>
            </w:pPr>
            <w:r w:rsidRPr="005E1136">
              <w:t>Serious medical complication</w:t>
            </w:r>
          </w:p>
        </w:tc>
        <w:tc>
          <w:tcPr>
            <w:tcW w:w="1426" w:type="dxa"/>
            <w:hideMark/>
          </w:tcPr>
          <w:p w:rsidR="005E1136" w:rsidRPr="005E1136" w:rsidRDefault="005E1136" w:rsidP="00CB386F">
            <w:pPr>
              <w:spacing w:line="480" w:lineRule="auto"/>
            </w:pPr>
            <w:r w:rsidRPr="005E1136">
              <w:t>Invasive bacterial infection</w:t>
            </w:r>
          </w:p>
        </w:tc>
        <w:tc>
          <w:tcPr>
            <w:tcW w:w="1404" w:type="dxa"/>
            <w:hideMark/>
          </w:tcPr>
          <w:p w:rsidR="005E1136" w:rsidRPr="005E1136" w:rsidRDefault="005E1136" w:rsidP="00CB386F">
            <w:pPr>
              <w:spacing w:line="480" w:lineRule="auto"/>
            </w:pPr>
            <w:r w:rsidRPr="005E1136">
              <w:t>Adverse FN outcome</w:t>
            </w:r>
          </w:p>
        </w:tc>
        <w:tc>
          <w:tcPr>
            <w:tcW w:w="1717" w:type="dxa"/>
            <w:hideMark/>
          </w:tcPr>
          <w:p w:rsidR="005E1136" w:rsidRPr="005E1136" w:rsidRDefault="005E1136" w:rsidP="00CB386F">
            <w:pPr>
              <w:spacing w:line="480" w:lineRule="auto"/>
            </w:pPr>
            <w:r w:rsidRPr="005E1136">
              <w:t>Significant infection</w:t>
            </w:r>
          </w:p>
        </w:tc>
        <w:tc>
          <w:tcPr>
            <w:tcW w:w="1559" w:type="dxa"/>
            <w:noWrap/>
            <w:hideMark/>
          </w:tcPr>
          <w:p w:rsidR="005E1136" w:rsidRPr="005E1136" w:rsidRDefault="005E1136" w:rsidP="00CB386F">
            <w:pPr>
              <w:spacing w:line="480" w:lineRule="auto"/>
            </w:pPr>
            <w:r w:rsidRPr="005E1136">
              <w:t>Serious medical complication </w:t>
            </w:r>
          </w:p>
        </w:tc>
      </w:tr>
      <w:tr w:rsidR="005E1136" w:rsidRPr="005E1136" w:rsidTr="001C20A3">
        <w:trPr>
          <w:trHeight w:val="1944"/>
        </w:trPr>
        <w:tc>
          <w:tcPr>
            <w:tcW w:w="1181" w:type="dxa"/>
            <w:hideMark/>
          </w:tcPr>
          <w:p w:rsidR="005E1136" w:rsidRPr="005E1136" w:rsidRDefault="005E1136" w:rsidP="00CB386F">
            <w:pPr>
              <w:spacing w:line="480" w:lineRule="auto"/>
            </w:pPr>
            <w:r w:rsidRPr="005E1136">
              <w:t>Derivation population</w:t>
            </w:r>
          </w:p>
        </w:tc>
        <w:tc>
          <w:tcPr>
            <w:tcW w:w="1250" w:type="dxa"/>
            <w:hideMark/>
          </w:tcPr>
          <w:p w:rsidR="005E1136" w:rsidRPr="005E1136" w:rsidRDefault="005E1136" w:rsidP="00CB386F">
            <w:pPr>
              <w:spacing w:line="480" w:lineRule="auto"/>
            </w:pPr>
            <w:r w:rsidRPr="005E1136">
              <w:t>115 episodes, range 9m to 18y</w:t>
            </w:r>
          </w:p>
        </w:tc>
        <w:tc>
          <w:tcPr>
            <w:tcW w:w="1777" w:type="dxa"/>
            <w:hideMark/>
          </w:tcPr>
          <w:p w:rsidR="005E1136" w:rsidRPr="005E1136" w:rsidRDefault="005E1136" w:rsidP="00CB386F">
            <w:pPr>
              <w:spacing w:line="480" w:lineRule="auto"/>
            </w:pPr>
            <w:r w:rsidRPr="005E1136">
              <w:t>188 episodes, mean 8.9y (standard deviation 5.7y)</w:t>
            </w:r>
          </w:p>
        </w:tc>
        <w:tc>
          <w:tcPr>
            <w:tcW w:w="1426" w:type="dxa"/>
            <w:hideMark/>
          </w:tcPr>
          <w:p w:rsidR="005E1136" w:rsidRPr="005E1136" w:rsidRDefault="005E1136" w:rsidP="00CB386F">
            <w:pPr>
              <w:spacing w:line="480" w:lineRule="auto"/>
            </w:pPr>
            <w:r w:rsidRPr="005E1136">
              <w:t>263 episodes, mean 7y (range 7m to 17y)</w:t>
            </w:r>
          </w:p>
        </w:tc>
        <w:tc>
          <w:tcPr>
            <w:tcW w:w="1404" w:type="dxa"/>
            <w:hideMark/>
          </w:tcPr>
          <w:p w:rsidR="005E1136" w:rsidRPr="005E1136" w:rsidRDefault="005E1136" w:rsidP="00CB386F">
            <w:pPr>
              <w:spacing w:line="480" w:lineRule="auto"/>
            </w:pPr>
            <w:r w:rsidRPr="005E1136">
              <w:t>423 episodes, 6.9y (IQR 3.8 to 11.6y)</w:t>
            </w:r>
          </w:p>
        </w:tc>
        <w:tc>
          <w:tcPr>
            <w:tcW w:w="1717" w:type="dxa"/>
            <w:hideMark/>
          </w:tcPr>
          <w:p w:rsidR="005E1136" w:rsidRPr="005E1136" w:rsidRDefault="005E1136" w:rsidP="00CB386F">
            <w:pPr>
              <w:spacing w:line="480" w:lineRule="auto"/>
            </w:pPr>
            <w:r w:rsidRPr="005E1136">
              <w:t xml:space="preserve">285 episodes, median 6.3y (IQR 3.2y to 12.1y) </w:t>
            </w:r>
          </w:p>
        </w:tc>
        <w:tc>
          <w:tcPr>
            <w:tcW w:w="1559" w:type="dxa"/>
            <w:hideMark/>
          </w:tcPr>
          <w:p w:rsidR="005E1136" w:rsidRPr="005E1136" w:rsidRDefault="005E1136" w:rsidP="00CB386F">
            <w:pPr>
              <w:spacing w:line="480" w:lineRule="auto"/>
            </w:pPr>
            <w:r w:rsidRPr="005E1136">
              <w:t>756 episodes, 52y (range 16y to 91y)</w:t>
            </w:r>
          </w:p>
        </w:tc>
      </w:tr>
      <w:tr w:rsidR="005E1136" w:rsidRPr="005E1136" w:rsidTr="001C20A3">
        <w:trPr>
          <w:trHeight w:val="2496"/>
        </w:trPr>
        <w:tc>
          <w:tcPr>
            <w:tcW w:w="1181" w:type="dxa"/>
            <w:hideMark/>
          </w:tcPr>
          <w:p w:rsidR="005E1136" w:rsidRPr="005E1136" w:rsidRDefault="005E1136" w:rsidP="00CB386F">
            <w:pPr>
              <w:spacing w:line="480" w:lineRule="auto"/>
            </w:pPr>
            <w:r w:rsidRPr="005E1136">
              <w:t>Derivation setting</w:t>
            </w:r>
          </w:p>
        </w:tc>
        <w:tc>
          <w:tcPr>
            <w:tcW w:w="1250" w:type="dxa"/>
            <w:hideMark/>
          </w:tcPr>
          <w:p w:rsidR="005E1136" w:rsidRPr="005E1136" w:rsidRDefault="005E1136" w:rsidP="00CB386F">
            <w:pPr>
              <w:spacing w:line="480" w:lineRule="auto"/>
            </w:pPr>
            <w:r w:rsidRPr="005E1136">
              <w:t>Indianapolis, USA, 1994 - 1995</w:t>
            </w:r>
          </w:p>
        </w:tc>
        <w:tc>
          <w:tcPr>
            <w:tcW w:w="1777" w:type="dxa"/>
            <w:hideMark/>
          </w:tcPr>
          <w:p w:rsidR="005E1136" w:rsidRPr="005E1136" w:rsidRDefault="005E1136" w:rsidP="00CB386F">
            <w:pPr>
              <w:spacing w:line="480" w:lineRule="auto"/>
            </w:pPr>
            <w:r w:rsidRPr="005E1136">
              <w:t>Boston, USA, 1994 - 1995</w:t>
            </w:r>
          </w:p>
        </w:tc>
        <w:tc>
          <w:tcPr>
            <w:tcW w:w="1426" w:type="dxa"/>
            <w:hideMark/>
          </w:tcPr>
          <w:p w:rsidR="005E1136" w:rsidRPr="005E1136" w:rsidRDefault="005E1136" w:rsidP="00CB386F">
            <w:pPr>
              <w:spacing w:line="480" w:lineRule="auto"/>
            </w:pPr>
            <w:r w:rsidRPr="005E1136">
              <w:t>6 centres in Santiago, Chile, 1999 - 2000</w:t>
            </w:r>
          </w:p>
        </w:tc>
        <w:tc>
          <w:tcPr>
            <w:tcW w:w="1404" w:type="dxa"/>
            <w:hideMark/>
          </w:tcPr>
          <w:p w:rsidR="005E1136" w:rsidRPr="005E1136" w:rsidRDefault="005E1136" w:rsidP="00CB386F">
            <w:pPr>
              <w:spacing w:line="480" w:lineRule="auto"/>
            </w:pPr>
            <w:r w:rsidRPr="005E1136">
              <w:t>6 centres in Switzerland &amp; Germany, Europe, 2004-2007</w:t>
            </w:r>
          </w:p>
        </w:tc>
        <w:tc>
          <w:tcPr>
            <w:tcW w:w="1717" w:type="dxa"/>
            <w:hideMark/>
          </w:tcPr>
          <w:p w:rsidR="005E1136" w:rsidRPr="005E1136" w:rsidRDefault="005E1136" w:rsidP="00CB386F">
            <w:pPr>
              <w:spacing w:line="480" w:lineRule="auto"/>
            </w:pPr>
            <w:r w:rsidRPr="005E1136">
              <w:t>Bern, Switzerland, 1993 - 2001</w:t>
            </w:r>
          </w:p>
        </w:tc>
        <w:tc>
          <w:tcPr>
            <w:tcW w:w="1559" w:type="dxa"/>
            <w:hideMark/>
          </w:tcPr>
          <w:p w:rsidR="005E1136" w:rsidRPr="005E1136" w:rsidRDefault="005E1136" w:rsidP="00CB386F">
            <w:pPr>
              <w:spacing w:line="480" w:lineRule="auto"/>
            </w:pPr>
            <w:r w:rsidRPr="005E1136">
              <w:t>20 institutions (in 15 countries),  December 1994 to November 1997</w:t>
            </w:r>
          </w:p>
        </w:tc>
      </w:tr>
      <w:tr w:rsidR="005E1136" w:rsidRPr="005E1136" w:rsidTr="001C20A3">
        <w:trPr>
          <w:trHeight w:val="2208"/>
        </w:trPr>
        <w:tc>
          <w:tcPr>
            <w:tcW w:w="1181" w:type="dxa"/>
            <w:vMerge w:val="restart"/>
            <w:hideMark/>
          </w:tcPr>
          <w:p w:rsidR="005E1136" w:rsidRPr="005E1136" w:rsidRDefault="005E1136" w:rsidP="00CB386F">
            <w:pPr>
              <w:spacing w:line="480" w:lineRule="auto"/>
            </w:pPr>
            <w:r w:rsidRPr="005E1136">
              <w:t>Background factors</w:t>
            </w:r>
          </w:p>
        </w:tc>
        <w:tc>
          <w:tcPr>
            <w:tcW w:w="1250" w:type="dxa"/>
            <w:vMerge w:val="restart"/>
            <w:hideMark/>
          </w:tcPr>
          <w:p w:rsidR="005E1136" w:rsidRPr="005E1136" w:rsidRDefault="005E1136" w:rsidP="00CB386F">
            <w:pPr>
              <w:spacing w:line="480" w:lineRule="auto"/>
            </w:pPr>
            <w:r w:rsidRPr="005E1136">
              <w:t>None</w:t>
            </w:r>
          </w:p>
        </w:tc>
        <w:tc>
          <w:tcPr>
            <w:tcW w:w="1777" w:type="dxa"/>
            <w:vMerge w:val="restart"/>
            <w:hideMark/>
          </w:tcPr>
          <w:p w:rsidR="005E1136" w:rsidRPr="005E1136" w:rsidRDefault="005E1136" w:rsidP="00CB386F">
            <w:pPr>
              <w:spacing w:line="480" w:lineRule="auto"/>
            </w:pPr>
            <w:r w:rsidRPr="005E1136">
              <w:t xml:space="preserve">AML, </w:t>
            </w:r>
            <w:proofErr w:type="spellStart"/>
            <w:r w:rsidRPr="005E1136">
              <w:t>Burkitt</w:t>
            </w:r>
            <w:proofErr w:type="spellEnd"/>
            <w:r w:rsidRPr="005E1136">
              <w:t xml:space="preserve"> lymphoma, induction ALL, progressive disease, relapsed with marrow involvement</w:t>
            </w:r>
          </w:p>
        </w:tc>
        <w:tc>
          <w:tcPr>
            <w:tcW w:w="1426" w:type="dxa"/>
            <w:vMerge w:val="restart"/>
            <w:hideMark/>
          </w:tcPr>
          <w:p w:rsidR="005E1136" w:rsidRPr="005E1136" w:rsidRDefault="005E1136" w:rsidP="00CB386F">
            <w:pPr>
              <w:spacing w:line="480" w:lineRule="auto"/>
            </w:pPr>
            <w:r w:rsidRPr="005E1136">
              <w:t>Relapsed leukaemia</w:t>
            </w:r>
          </w:p>
        </w:tc>
        <w:tc>
          <w:tcPr>
            <w:tcW w:w="1404" w:type="dxa"/>
            <w:vMerge w:val="restart"/>
            <w:hideMark/>
          </w:tcPr>
          <w:p w:rsidR="005E1136" w:rsidRPr="005E1136" w:rsidRDefault="005E1136" w:rsidP="00CB386F">
            <w:pPr>
              <w:spacing w:line="480" w:lineRule="auto"/>
            </w:pPr>
            <w:r w:rsidRPr="005E1136">
              <w:t>4 points for chemotherapy more intensive than ALL maintenance</w:t>
            </w:r>
          </w:p>
        </w:tc>
        <w:tc>
          <w:tcPr>
            <w:tcW w:w="1717" w:type="dxa"/>
            <w:vMerge w:val="restart"/>
            <w:hideMark/>
          </w:tcPr>
          <w:p w:rsidR="005E1136" w:rsidRPr="005E1136" w:rsidRDefault="005E1136" w:rsidP="00CB386F">
            <w:pPr>
              <w:spacing w:line="480" w:lineRule="auto"/>
            </w:pPr>
            <w:r w:rsidRPr="005E1136">
              <w:t xml:space="preserve">Bone marrow involvement,  central venous catheter, pre-B-cell </w:t>
            </w:r>
            <w:proofErr w:type="spellStart"/>
            <w:r w:rsidRPr="005E1136">
              <w:t>leukemia</w:t>
            </w:r>
            <w:proofErr w:type="spellEnd"/>
          </w:p>
        </w:tc>
        <w:tc>
          <w:tcPr>
            <w:tcW w:w="1559" w:type="dxa"/>
            <w:vMerge w:val="restart"/>
            <w:hideMark/>
          </w:tcPr>
          <w:p w:rsidR="005E1136" w:rsidRDefault="005E1136" w:rsidP="00CB386F">
            <w:pPr>
              <w:spacing w:line="480" w:lineRule="auto"/>
            </w:pPr>
            <w:r w:rsidRPr="005E1136">
              <w:t xml:space="preserve">Solid </w:t>
            </w:r>
            <w:proofErr w:type="spellStart"/>
            <w:r w:rsidRPr="005E1136">
              <w:t>tumor</w:t>
            </w:r>
            <w:proofErr w:type="spellEnd"/>
            <w:r w:rsidRPr="005E1136">
              <w:t xml:space="preserve">/lymphoma with no previous fungal infection  </w:t>
            </w:r>
          </w:p>
          <w:p w:rsidR="005E1136" w:rsidRPr="005E1136" w:rsidRDefault="005E1136" w:rsidP="00CB386F">
            <w:pPr>
              <w:spacing w:line="480" w:lineRule="auto"/>
            </w:pPr>
            <w:r w:rsidRPr="005E1136">
              <w:t>Age &lt;60 years 2</w:t>
            </w:r>
          </w:p>
        </w:tc>
      </w:tr>
      <w:tr w:rsidR="005E1136" w:rsidRPr="005E1136" w:rsidTr="001C20A3">
        <w:trPr>
          <w:trHeight w:val="688"/>
        </w:trPr>
        <w:tc>
          <w:tcPr>
            <w:tcW w:w="1181" w:type="dxa"/>
            <w:vMerge/>
            <w:hideMark/>
          </w:tcPr>
          <w:p w:rsidR="005E1136" w:rsidRPr="005E1136" w:rsidRDefault="005E1136" w:rsidP="00CB386F">
            <w:pPr>
              <w:spacing w:line="480" w:lineRule="auto"/>
            </w:pPr>
          </w:p>
        </w:tc>
        <w:tc>
          <w:tcPr>
            <w:tcW w:w="1250" w:type="dxa"/>
            <w:vMerge/>
            <w:hideMark/>
          </w:tcPr>
          <w:p w:rsidR="005E1136" w:rsidRPr="005E1136" w:rsidRDefault="005E1136" w:rsidP="00CB386F">
            <w:pPr>
              <w:spacing w:line="480" w:lineRule="auto"/>
            </w:pPr>
          </w:p>
        </w:tc>
        <w:tc>
          <w:tcPr>
            <w:tcW w:w="1777" w:type="dxa"/>
            <w:vMerge/>
            <w:hideMark/>
          </w:tcPr>
          <w:p w:rsidR="005E1136" w:rsidRPr="005E1136" w:rsidRDefault="005E1136" w:rsidP="00CB386F">
            <w:pPr>
              <w:spacing w:line="480" w:lineRule="auto"/>
            </w:pPr>
          </w:p>
        </w:tc>
        <w:tc>
          <w:tcPr>
            <w:tcW w:w="1426" w:type="dxa"/>
            <w:vMerge/>
            <w:hideMark/>
          </w:tcPr>
          <w:p w:rsidR="005E1136" w:rsidRPr="005E1136" w:rsidRDefault="005E1136" w:rsidP="00CB386F">
            <w:pPr>
              <w:spacing w:line="480" w:lineRule="auto"/>
            </w:pPr>
          </w:p>
        </w:tc>
        <w:tc>
          <w:tcPr>
            <w:tcW w:w="1404" w:type="dxa"/>
            <w:vMerge/>
            <w:hideMark/>
          </w:tcPr>
          <w:p w:rsidR="005E1136" w:rsidRPr="005E1136" w:rsidRDefault="005E1136" w:rsidP="00CB386F">
            <w:pPr>
              <w:spacing w:line="480" w:lineRule="auto"/>
            </w:pPr>
          </w:p>
        </w:tc>
        <w:tc>
          <w:tcPr>
            <w:tcW w:w="1717" w:type="dxa"/>
            <w:vMerge/>
            <w:hideMark/>
          </w:tcPr>
          <w:p w:rsidR="005E1136" w:rsidRPr="005E1136" w:rsidRDefault="005E1136" w:rsidP="00CB386F">
            <w:pPr>
              <w:spacing w:line="480" w:lineRule="auto"/>
            </w:pPr>
          </w:p>
        </w:tc>
        <w:tc>
          <w:tcPr>
            <w:tcW w:w="1559" w:type="dxa"/>
            <w:vMerge/>
            <w:hideMark/>
          </w:tcPr>
          <w:p w:rsidR="005E1136" w:rsidRPr="005E1136" w:rsidRDefault="005E1136" w:rsidP="00CB386F">
            <w:pPr>
              <w:spacing w:line="480" w:lineRule="auto"/>
            </w:pPr>
          </w:p>
        </w:tc>
      </w:tr>
      <w:tr w:rsidR="005E1136" w:rsidRPr="005E1136" w:rsidTr="001C20A3">
        <w:trPr>
          <w:trHeight w:val="688"/>
        </w:trPr>
        <w:tc>
          <w:tcPr>
            <w:tcW w:w="1181" w:type="dxa"/>
            <w:vMerge/>
            <w:hideMark/>
          </w:tcPr>
          <w:p w:rsidR="005E1136" w:rsidRPr="005E1136" w:rsidRDefault="005E1136" w:rsidP="00CB386F">
            <w:pPr>
              <w:spacing w:line="480" w:lineRule="auto"/>
            </w:pPr>
          </w:p>
        </w:tc>
        <w:tc>
          <w:tcPr>
            <w:tcW w:w="1250" w:type="dxa"/>
            <w:vMerge/>
            <w:hideMark/>
          </w:tcPr>
          <w:p w:rsidR="005E1136" w:rsidRPr="005E1136" w:rsidRDefault="005E1136" w:rsidP="00CB386F">
            <w:pPr>
              <w:spacing w:line="480" w:lineRule="auto"/>
            </w:pPr>
          </w:p>
        </w:tc>
        <w:tc>
          <w:tcPr>
            <w:tcW w:w="1777" w:type="dxa"/>
            <w:vMerge/>
            <w:hideMark/>
          </w:tcPr>
          <w:p w:rsidR="005E1136" w:rsidRPr="005E1136" w:rsidRDefault="005E1136" w:rsidP="00CB386F">
            <w:pPr>
              <w:spacing w:line="480" w:lineRule="auto"/>
            </w:pPr>
          </w:p>
        </w:tc>
        <w:tc>
          <w:tcPr>
            <w:tcW w:w="1426" w:type="dxa"/>
            <w:vMerge/>
            <w:hideMark/>
          </w:tcPr>
          <w:p w:rsidR="005E1136" w:rsidRPr="005E1136" w:rsidRDefault="005E1136" w:rsidP="00CB386F">
            <w:pPr>
              <w:spacing w:line="480" w:lineRule="auto"/>
            </w:pPr>
          </w:p>
        </w:tc>
        <w:tc>
          <w:tcPr>
            <w:tcW w:w="1404" w:type="dxa"/>
            <w:vMerge/>
            <w:hideMark/>
          </w:tcPr>
          <w:p w:rsidR="005E1136" w:rsidRPr="005E1136" w:rsidRDefault="005E1136" w:rsidP="00CB386F">
            <w:pPr>
              <w:spacing w:line="480" w:lineRule="auto"/>
            </w:pPr>
          </w:p>
        </w:tc>
        <w:tc>
          <w:tcPr>
            <w:tcW w:w="1717" w:type="dxa"/>
            <w:vMerge/>
            <w:hideMark/>
          </w:tcPr>
          <w:p w:rsidR="005E1136" w:rsidRPr="005E1136" w:rsidRDefault="005E1136" w:rsidP="00CB386F">
            <w:pPr>
              <w:spacing w:line="480" w:lineRule="auto"/>
            </w:pPr>
          </w:p>
        </w:tc>
        <w:tc>
          <w:tcPr>
            <w:tcW w:w="1559" w:type="dxa"/>
            <w:vMerge/>
            <w:hideMark/>
          </w:tcPr>
          <w:p w:rsidR="005E1136" w:rsidRPr="005E1136" w:rsidRDefault="005E1136" w:rsidP="00CB386F">
            <w:pPr>
              <w:spacing w:line="480" w:lineRule="auto"/>
            </w:pPr>
          </w:p>
        </w:tc>
      </w:tr>
      <w:tr w:rsidR="005E1136" w:rsidRPr="005E1136" w:rsidTr="001C20A3">
        <w:trPr>
          <w:trHeight w:val="2760"/>
        </w:trPr>
        <w:tc>
          <w:tcPr>
            <w:tcW w:w="1181" w:type="dxa"/>
            <w:vMerge w:val="restart"/>
            <w:hideMark/>
          </w:tcPr>
          <w:p w:rsidR="005E1136" w:rsidRPr="005E1136" w:rsidRDefault="005E1136" w:rsidP="00CB386F">
            <w:pPr>
              <w:spacing w:line="480" w:lineRule="auto"/>
            </w:pPr>
            <w:r w:rsidRPr="005E1136">
              <w:t>Episode specific factors</w:t>
            </w:r>
          </w:p>
        </w:tc>
        <w:tc>
          <w:tcPr>
            <w:tcW w:w="1250" w:type="dxa"/>
            <w:vMerge w:val="restart"/>
            <w:hideMark/>
          </w:tcPr>
          <w:p w:rsidR="005E1136" w:rsidRPr="005E1136" w:rsidRDefault="005E1136" w:rsidP="00CB386F">
            <w:pPr>
              <w:spacing w:line="480" w:lineRule="auto"/>
            </w:pPr>
            <w:r w:rsidRPr="005E1136">
              <w:t>Absolute monocyte count</w:t>
            </w:r>
          </w:p>
        </w:tc>
        <w:tc>
          <w:tcPr>
            <w:tcW w:w="1777" w:type="dxa"/>
            <w:vMerge w:val="restart"/>
            <w:hideMark/>
          </w:tcPr>
          <w:p w:rsidR="005E1136" w:rsidRPr="005E1136" w:rsidRDefault="005E1136" w:rsidP="00CB386F">
            <w:pPr>
              <w:spacing w:line="480" w:lineRule="auto"/>
            </w:pPr>
            <w:r w:rsidRPr="005E1136">
              <w:t xml:space="preserve">Hypotension, </w:t>
            </w:r>
            <w:proofErr w:type="spellStart"/>
            <w:r w:rsidRPr="005E1136">
              <w:t>tachypnea</w:t>
            </w:r>
            <w:proofErr w:type="spellEnd"/>
            <w:r w:rsidRPr="005E1136">
              <w:t>/hypoxia &lt;94%, new CXR changes, altered mental status, severe mucositis, vomiting or abdominal pain, focal infection, other clinical reason for in-patient treatment</w:t>
            </w:r>
          </w:p>
        </w:tc>
        <w:tc>
          <w:tcPr>
            <w:tcW w:w="1426" w:type="dxa"/>
            <w:vMerge w:val="restart"/>
            <w:hideMark/>
          </w:tcPr>
          <w:p w:rsidR="005E1136" w:rsidRPr="005E1136" w:rsidRDefault="005E1136" w:rsidP="00CB386F">
            <w:pPr>
              <w:spacing w:line="480" w:lineRule="auto"/>
            </w:pPr>
            <w:r w:rsidRPr="005E1136">
              <w:t>Chemotherapy within 7 days of episode, CRP ≥90 mg/L, hypotension,  platelets ≤50,000/</w:t>
            </w:r>
            <w:proofErr w:type="spellStart"/>
            <w:r w:rsidRPr="005E1136">
              <w:t>uL</w:t>
            </w:r>
            <w:proofErr w:type="spellEnd"/>
          </w:p>
        </w:tc>
        <w:tc>
          <w:tcPr>
            <w:tcW w:w="1404" w:type="dxa"/>
            <w:vMerge w:val="restart"/>
            <w:hideMark/>
          </w:tcPr>
          <w:p w:rsidR="005E1136" w:rsidRPr="005E1136" w:rsidRDefault="005E1136" w:rsidP="00CB386F">
            <w:pPr>
              <w:spacing w:line="480" w:lineRule="auto"/>
            </w:pPr>
            <w:r w:rsidRPr="005E1136">
              <w:t>5 points for haemoglobin &gt; 9 g/</w:t>
            </w:r>
            <w:proofErr w:type="spellStart"/>
            <w:r w:rsidRPr="005E1136">
              <w:t>dL</w:t>
            </w:r>
            <w:proofErr w:type="spellEnd"/>
            <w:r w:rsidRPr="005E1136">
              <w:t>, 3 points each for white blood cell count &lt;300/</w:t>
            </w:r>
            <w:proofErr w:type="spellStart"/>
            <w:r w:rsidRPr="005E1136">
              <w:t>uL</w:t>
            </w:r>
            <w:proofErr w:type="spellEnd"/>
            <w:r w:rsidRPr="005E1136">
              <w:t>, platelet &lt; 50,000/</w:t>
            </w:r>
            <w:proofErr w:type="spellStart"/>
            <w:r w:rsidRPr="005E1136">
              <w:t>uL</w:t>
            </w:r>
            <w:proofErr w:type="spellEnd"/>
          </w:p>
        </w:tc>
        <w:tc>
          <w:tcPr>
            <w:tcW w:w="1717" w:type="dxa"/>
            <w:vMerge w:val="restart"/>
            <w:hideMark/>
          </w:tcPr>
          <w:p w:rsidR="005E1136" w:rsidRPr="005E1136" w:rsidRDefault="005E1136" w:rsidP="00CB386F">
            <w:pPr>
              <w:spacing w:line="480" w:lineRule="auto"/>
            </w:pPr>
            <w:r w:rsidRPr="005E1136">
              <w:t>Absence of clinical signs of viral infection, CRP &gt;50 mg/</w:t>
            </w:r>
            <w:proofErr w:type="spellStart"/>
            <w:r w:rsidRPr="005E1136">
              <w:t>dL</w:t>
            </w:r>
            <w:proofErr w:type="spellEnd"/>
            <w:r w:rsidRPr="005E1136">
              <w:t>, white blood cell count &lt;500/</w:t>
            </w:r>
            <w:proofErr w:type="spellStart"/>
            <w:r w:rsidRPr="005E1136">
              <w:t>uL</w:t>
            </w:r>
            <w:proofErr w:type="spellEnd"/>
            <w:r w:rsidRPr="005E1136">
              <w:t>, haemoglobin &gt;10g/</w:t>
            </w:r>
            <w:proofErr w:type="spellStart"/>
            <w:r w:rsidRPr="005E1136">
              <w:t>dL</w:t>
            </w:r>
            <w:proofErr w:type="spellEnd"/>
          </w:p>
        </w:tc>
        <w:tc>
          <w:tcPr>
            <w:tcW w:w="1559" w:type="dxa"/>
            <w:vMerge w:val="restart"/>
            <w:hideMark/>
          </w:tcPr>
          <w:p w:rsidR="005E1136" w:rsidRDefault="005E1136" w:rsidP="00CB386F">
            <w:pPr>
              <w:spacing w:line="480" w:lineRule="auto"/>
            </w:pPr>
            <w:r w:rsidRPr="005E1136">
              <w:t xml:space="preserve">Burden of illness: no or mild symptoms: 5, moderate symptoms 3 severe symptoms 0 </w:t>
            </w:r>
          </w:p>
          <w:p w:rsidR="005E1136" w:rsidRDefault="005E1136" w:rsidP="00CB386F">
            <w:pPr>
              <w:spacing w:line="480" w:lineRule="auto"/>
            </w:pPr>
            <w:r w:rsidRPr="005E1136">
              <w:t xml:space="preserve">Outpatient status (at onset of fever) 3 </w:t>
            </w:r>
          </w:p>
          <w:p w:rsidR="005E1136" w:rsidRDefault="005E1136" w:rsidP="00CB386F">
            <w:pPr>
              <w:spacing w:line="480" w:lineRule="auto"/>
            </w:pPr>
            <w:r w:rsidRPr="005E1136">
              <w:t>No hypote</w:t>
            </w:r>
            <w:r>
              <w:t>nsion (systolic BP &gt;90 mmHg) 5</w:t>
            </w:r>
          </w:p>
          <w:p w:rsidR="005E1136" w:rsidRDefault="005E1136" w:rsidP="00CB386F">
            <w:pPr>
              <w:spacing w:line="480" w:lineRule="auto"/>
            </w:pPr>
            <w:r w:rsidRPr="005E1136">
              <w:t xml:space="preserve">No chronic obstructive pulmonary disease 5 </w:t>
            </w:r>
          </w:p>
          <w:p w:rsidR="005E1136" w:rsidRPr="005E1136" w:rsidRDefault="005E1136" w:rsidP="00CB386F">
            <w:pPr>
              <w:spacing w:line="480" w:lineRule="auto"/>
            </w:pPr>
            <w:r w:rsidRPr="005E1136">
              <w:t>No dehydration 4</w:t>
            </w:r>
          </w:p>
        </w:tc>
      </w:tr>
      <w:tr w:rsidR="005E1136" w:rsidRPr="005E1136" w:rsidTr="001C20A3">
        <w:trPr>
          <w:trHeight w:val="688"/>
        </w:trPr>
        <w:tc>
          <w:tcPr>
            <w:tcW w:w="1181" w:type="dxa"/>
            <w:vMerge/>
            <w:hideMark/>
          </w:tcPr>
          <w:p w:rsidR="005E1136" w:rsidRPr="005E1136" w:rsidRDefault="005E1136" w:rsidP="00CB386F">
            <w:pPr>
              <w:spacing w:line="480" w:lineRule="auto"/>
            </w:pPr>
          </w:p>
        </w:tc>
        <w:tc>
          <w:tcPr>
            <w:tcW w:w="1250" w:type="dxa"/>
            <w:vMerge/>
            <w:hideMark/>
          </w:tcPr>
          <w:p w:rsidR="005E1136" w:rsidRPr="005E1136" w:rsidRDefault="005E1136" w:rsidP="00CB386F">
            <w:pPr>
              <w:spacing w:line="480" w:lineRule="auto"/>
            </w:pPr>
          </w:p>
        </w:tc>
        <w:tc>
          <w:tcPr>
            <w:tcW w:w="1777" w:type="dxa"/>
            <w:vMerge/>
            <w:hideMark/>
          </w:tcPr>
          <w:p w:rsidR="005E1136" w:rsidRPr="005E1136" w:rsidRDefault="005E1136" w:rsidP="00CB386F">
            <w:pPr>
              <w:spacing w:line="480" w:lineRule="auto"/>
            </w:pPr>
          </w:p>
        </w:tc>
        <w:tc>
          <w:tcPr>
            <w:tcW w:w="1426" w:type="dxa"/>
            <w:vMerge/>
            <w:hideMark/>
          </w:tcPr>
          <w:p w:rsidR="005E1136" w:rsidRPr="005E1136" w:rsidRDefault="005E1136" w:rsidP="00CB386F">
            <w:pPr>
              <w:spacing w:line="480" w:lineRule="auto"/>
            </w:pPr>
          </w:p>
        </w:tc>
        <w:tc>
          <w:tcPr>
            <w:tcW w:w="1404" w:type="dxa"/>
            <w:vMerge/>
            <w:hideMark/>
          </w:tcPr>
          <w:p w:rsidR="005E1136" w:rsidRPr="005E1136" w:rsidRDefault="005E1136" w:rsidP="00CB386F">
            <w:pPr>
              <w:spacing w:line="480" w:lineRule="auto"/>
            </w:pPr>
          </w:p>
        </w:tc>
        <w:tc>
          <w:tcPr>
            <w:tcW w:w="1717" w:type="dxa"/>
            <w:vMerge/>
            <w:hideMark/>
          </w:tcPr>
          <w:p w:rsidR="005E1136" w:rsidRPr="005E1136" w:rsidRDefault="005E1136" w:rsidP="00CB386F">
            <w:pPr>
              <w:spacing w:line="480" w:lineRule="auto"/>
            </w:pPr>
          </w:p>
        </w:tc>
        <w:tc>
          <w:tcPr>
            <w:tcW w:w="1559" w:type="dxa"/>
            <w:vMerge/>
            <w:hideMark/>
          </w:tcPr>
          <w:p w:rsidR="005E1136" w:rsidRPr="005E1136" w:rsidRDefault="005E1136" w:rsidP="00CB386F">
            <w:pPr>
              <w:spacing w:line="480" w:lineRule="auto"/>
            </w:pPr>
          </w:p>
        </w:tc>
      </w:tr>
      <w:tr w:rsidR="005E1136" w:rsidRPr="005E1136" w:rsidTr="001C20A3">
        <w:trPr>
          <w:trHeight w:val="688"/>
        </w:trPr>
        <w:tc>
          <w:tcPr>
            <w:tcW w:w="1181" w:type="dxa"/>
            <w:vMerge/>
            <w:hideMark/>
          </w:tcPr>
          <w:p w:rsidR="005E1136" w:rsidRPr="005E1136" w:rsidRDefault="005E1136" w:rsidP="00CB386F">
            <w:pPr>
              <w:spacing w:line="480" w:lineRule="auto"/>
            </w:pPr>
          </w:p>
        </w:tc>
        <w:tc>
          <w:tcPr>
            <w:tcW w:w="1250" w:type="dxa"/>
            <w:vMerge/>
            <w:hideMark/>
          </w:tcPr>
          <w:p w:rsidR="005E1136" w:rsidRPr="005E1136" w:rsidRDefault="005E1136" w:rsidP="00CB386F">
            <w:pPr>
              <w:spacing w:line="480" w:lineRule="auto"/>
            </w:pPr>
          </w:p>
        </w:tc>
        <w:tc>
          <w:tcPr>
            <w:tcW w:w="1777" w:type="dxa"/>
            <w:vMerge/>
            <w:hideMark/>
          </w:tcPr>
          <w:p w:rsidR="005E1136" w:rsidRPr="005E1136" w:rsidRDefault="005E1136" w:rsidP="00CB386F">
            <w:pPr>
              <w:spacing w:line="480" w:lineRule="auto"/>
            </w:pPr>
          </w:p>
        </w:tc>
        <w:tc>
          <w:tcPr>
            <w:tcW w:w="1426" w:type="dxa"/>
            <w:vMerge/>
            <w:hideMark/>
          </w:tcPr>
          <w:p w:rsidR="005E1136" w:rsidRPr="005E1136" w:rsidRDefault="005E1136" w:rsidP="00CB386F">
            <w:pPr>
              <w:spacing w:line="480" w:lineRule="auto"/>
            </w:pPr>
          </w:p>
        </w:tc>
        <w:tc>
          <w:tcPr>
            <w:tcW w:w="1404" w:type="dxa"/>
            <w:vMerge/>
            <w:hideMark/>
          </w:tcPr>
          <w:p w:rsidR="005E1136" w:rsidRPr="005E1136" w:rsidRDefault="005E1136" w:rsidP="00CB386F">
            <w:pPr>
              <w:spacing w:line="480" w:lineRule="auto"/>
            </w:pPr>
          </w:p>
        </w:tc>
        <w:tc>
          <w:tcPr>
            <w:tcW w:w="1717" w:type="dxa"/>
            <w:vMerge/>
            <w:hideMark/>
          </w:tcPr>
          <w:p w:rsidR="005E1136" w:rsidRPr="005E1136" w:rsidRDefault="005E1136" w:rsidP="00CB386F">
            <w:pPr>
              <w:spacing w:line="480" w:lineRule="auto"/>
            </w:pPr>
          </w:p>
        </w:tc>
        <w:tc>
          <w:tcPr>
            <w:tcW w:w="1559" w:type="dxa"/>
            <w:vMerge/>
            <w:hideMark/>
          </w:tcPr>
          <w:p w:rsidR="005E1136" w:rsidRPr="005E1136" w:rsidRDefault="005E1136" w:rsidP="00CB386F">
            <w:pPr>
              <w:spacing w:line="480" w:lineRule="auto"/>
            </w:pPr>
          </w:p>
        </w:tc>
      </w:tr>
      <w:tr w:rsidR="005E1136" w:rsidRPr="005E1136" w:rsidTr="001C20A3">
        <w:trPr>
          <w:trHeight w:val="688"/>
        </w:trPr>
        <w:tc>
          <w:tcPr>
            <w:tcW w:w="1181" w:type="dxa"/>
            <w:vMerge/>
            <w:hideMark/>
          </w:tcPr>
          <w:p w:rsidR="005E1136" w:rsidRPr="005E1136" w:rsidRDefault="005E1136" w:rsidP="00CB386F">
            <w:pPr>
              <w:spacing w:line="480" w:lineRule="auto"/>
            </w:pPr>
          </w:p>
        </w:tc>
        <w:tc>
          <w:tcPr>
            <w:tcW w:w="1250" w:type="dxa"/>
            <w:vMerge/>
            <w:hideMark/>
          </w:tcPr>
          <w:p w:rsidR="005E1136" w:rsidRPr="005E1136" w:rsidRDefault="005E1136" w:rsidP="00CB386F">
            <w:pPr>
              <w:spacing w:line="480" w:lineRule="auto"/>
            </w:pPr>
          </w:p>
        </w:tc>
        <w:tc>
          <w:tcPr>
            <w:tcW w:w="1777" w:type="dxa"/>
            <w:vMerge/>
            <w:hideMark/>
          </w:tcPr>
          <w:p w:rsidR="005E1136" w:rsidRPr="005E1136" w:rsidRDefault="005E1136" w:rsidP="00CB386F">
            <w:pPr>
              <w:spacing w:line="480" w:lineRule="auto"/>
            </w:pPr>
          </w:p>
        </w:tc>
        <w:tc>
          <w:tcPr>
            <w:tcW w:w="1426" w:type="dxa"/>
            <w:vMerge/>
            <w:hideMark/>
          </w:tcPr>
          <w:p w:rsidR="005E1136" w:rsidRPr="005E1136" w:rsidRDefault="005E1136" w:rsidP="00CB386F">
            <w:pPr>
              <w:spacing w:line="480" w:lineRule="auto"/>
            </w:pPr>
          </w:p>
        </w:tc>
        <w:tc>
          <w:tcPr>
            <w:tcW w:w="1404" w:type="dxa"/>
            <w:vMerge/>
            <w:hideMark/>
          </w:tcPr>
          <w:p w:rsidR="005E1136" w:rsidRPr="005E1136" w:rsidRDefault="005E1136" w:rsidP="00CB386F">
            <w:pPr>
              <w:spacing w:line="480" w:lineRule="auto"/>
            </w:pPr>
          </w:p>
        </w:tc>
        <w:tc>
          <w:tcPr>
            <w:tcW w:w="1717" w:type="dxa"/>
            <w:vMerge/>
            <w:hideMark/>
          </w:tcPr>
          <w:p w:rsidR="005E1136" w:rsidRPr="005E1136" w:rsidRDefault="005E1136" w:rsidP="00CB386F">
            <w:pPr>
              <w:spacing w:line="480" w:lineRule="auto"/>
            </w:pPr>
          </w:p>
        </w:tc>
        <w:tc>
          <w:tcPr>
            <w:tcW w:w="1559" w:type="dxa"/>
            <w:vMerge/>
            <w:hideMark/>
          </w:tcPr>
          <w:p w:rsidR="005E1136" w:rsidRPr="005E1136" w:rsidRDefault="005E1136" w:rsidP="00CB386F">
            <w:pPr>
              <w:spacing w:line="480" w:lineRule="auto"/>
            </w:pPr>
          </w:p>
        </w:tc>
      </w:tr>
      <w:tr w:rsidR="005E1136" w:rsidRPr="005E1136" w:rsidTr="001C20A3">
        <w:trPr>
          <w:trHeight w:val="2220"/>
        </w:trPr>
        <w:tc>
          <w:tcPr>
            <w:tcW w:w="1181" w:type="dxa"/>
            <w:hideMark/>
          </w:tcPr>
          <w:p w:rsidR="005E1136" w:rsidRPr="005E1136" w:rsidRDefault="005E1136" w:rsidP="00CB386F">
            <w:pPr>
              <w:spacing w:line="480" w:lineRule="auto"/>
            </w:pPr>
            <w:r w:rsidRPr="005E1136">
              <w:t>Low risk group</w:t>
            </w:r>
          </w:p>
        </w:tc>
        <w:tc>
          <w:tcPr>
            <w:tcW w:w="1250" w:type="dxa"/>
            <w:hideMark/>
          </w:tcPr>
          <w:p w:rsidR="005E1136" w:rsidRPr="005E1136" w:rsidRDefault="005E1136" w:rsidP="00CB386F">
            <w:pPr>
              <w:spacing w:line="480" w:lineRule="auto"/>
            </w:pPr>
            <w:r w:rsidRPr="005E1136">
              <w:t>Absolute monocyte count &gt; 100/</w:t>
            </w:r>
            <w:proofErr w:type="spellStart"/>
            <w:r w:rsidRPr="005E1136">
              <w:t>uL</w:t>
            </w:r>
            <w:proofErr w:type="spellEnd"/>
          </w:p>
        </w:tc>
        <w:tc>
          <w:tcPr>
            <w:tcW w:w="1777" w:type="dxa"/>
            <w:hideMark/>
          </w:tcPr>
          <w:p w:rsidR="005E1136" w:rsidRPr="005E1136" w:rsidRDefault="005E1136" w:rsidP="00CB386F">
            <w:pPr>
              <w:spacing w:line="480" w:lineRule="auto"/>
            </w:pPr>
            <w:r w:rsidRPr="005E1136">
              <w:t>Absence of any risk factor</w:t>
            </w:r>
          </w:p>
        </w:tc>
        <w:tc>
          <w:tcPr>
            <w:tcW w:w="1426" w:type="dxa"/>
            <w:hideMark/>
          </w:tcPr>
          <w:p w:rsidR="005E1136" w:rsidRPr="005E1136" w:rsidRDefault="005E1136" w:rsidP="00CB386F">
            <w:pPr>
              <w:spacing w:line="480" w:lineRule="auto"/>
            </w:pPr>
            <w:r w:rsidRPr="005E1136">
              <w:t>Zero risk factors or only low platelets or only &lt;7 days from chemotherapy</w:t>
            </w:r>
          </w:p>
        </w:tc>
        <w:tc>
          <w:tcPr>
            <w:tcW w:w="1404" w:type="dxa"/>
            <w:hideMark/>
          </w:tcPr>
          <w:p w:rsidR="005E1136" w:rsidRPr="005E1136" w:rsidRDefault="005E1136" w:rsidP="00CB386F">
            <w:pPr>
              <w:spacing w:line="480" w:lineRule="auto"/>
            </w:pPr>
            <w:r w:rsidRPr="005E1136">
              <w:t>Total score &lt;9</w:t>
            </w:r>
          </w:p>
        </w:tc>
        <w:tc>
          <w:tcPr>
            <w:tcW w:w="1717" w:type="dxa"/>
            <w:hideMark/>
          </w:tcPr>
          <w:p w:rsidR="005E1136" w:rsidRPr="005E1136" w:rsidRDefault="005E1136" w:rsidP="00CB386F">
            <w:pPr>
              <w:spacing w:line="480" w:lineRule="auto"/>
            </w:pPr>
            <w:r w:rsidRPr="005E1136">
              <w:t>Three or fewer risk factors</w:t>
            </w:r>
          </w:p>
        </w:tc>
        <w:tc>
          <w:tcPr>
            <w:tcW w:w="1559" w:type="dxa"/>
            <w:hideMark/>
          </w:tcPr>
          <w:p w:rsidR="005E1136" w:rsidRPr="005E1136" w:rsidRDefault="005E1136" w:rsidP="00CB386F">
            <w:pPr>
              <w:spacing w:line="480" w:lineRule="auto"/>
            </w:pPr>
            <w:r w:rsidRPr="005E1136">
              <w:t>Total score &gt;21</w:t>
            </w:r>
          </w:p>
        </w:tc>
      </w:tr>
    </w:tbl>
    <w:p w:rsidR="00551C00" w:rsidRDefault="005E1136" w:rsidP="00CB386F">
      <w:pPr>
        <w:spacing w:line="480" w:lineRule="auto"/>
      </w:pPr>
      <w:r w:rsidRPr="005E1136">
        <w:t xml:space="preserve"> </w:t>
      </w:r>
      <w:r w:rsidR="00551C00">
        <w:t>TABLE 1: Composition of the selected clinical decision rules</w:t>
      </w:r>
    </w:p>
    <w:p w:rsidR="005E1136" w:rsidRPr="004C7B23" w:rsidRDefault="005E1136" w:rsidP="00CB386F">
      <w:pPr>
        <w:spacing w:line="480" w:lineRule="auto"/>
      </w:pPr>
      <w:r>
        <w:t xml:space="preserve">IQR = </w:t>
      </w:r>
      <w:r w:rsidRPr="005E1136">
        <w:t>interquartile range</w:t>
      </w:r>
      <w:r>
        <w:t>, y = years</w:t>
      </w:r>
      <w:r w:rsidR="00D748B8">
        <w:t xml:space="preserve">, </w:t>
      </w:r>
      <w:proofErr w:type="spellStart"/>
      <w:r w:rsidR="00D748B8">
        <w:t>uL</w:t>
      </w:r>
      <w:proofErr w:type="spellEnd"/>
      <w:r w:rsidR="00D748B8">
        <w:t xml:space="preserve"> = </w:t>
      </w:r>
      <w:proofErr w:type="spellStart"/>
      <w:r w:rsidR="00D748B8">
        <w:t>microlitres</w:t>
      </w:r>
      <w:proofErr w:type="spellEnd"/>
    </w:p>
    <w:p w:rsidR="00551C00" w:rsidRDefault="00551C00" w:rsidP="00CB386F">
      <w:pPr>
        <w:pStyle w:val="Heading3"/>
        <w:spacing w:line="480" w:lineRule="auto"/>
      </w:pPr>
    </w:p>
    <w:p w:rsidR="00551C00" w:rsidRPr="004C7B23" w:rsidRDefault="00551C00" w:rsidP="00CB386F">
      <w:pPr>
        <w:pStyle w:val="Heading3"/>
        <w:spacing w:line="480" w:lineRule="auto"/>
      </w:pPr>
      <w:r w:rsidRPr="004C7B23">
        <w:t xml:space="preserve">Collaboration development </w:t>
      </w:r>
    </w:p>
    <w:p w:rsidR="00551C00" w:rsidRPr="004C7B23" w:rsidRDefault="00551C00" w:rsidP="00CB386F">
      <w:pPr>
        <w:spacing w:line="480" w:lineRule="auto"/>
      </w:pPr>
      <w:r w:rsidRPr="004C7B23">
        <w:t xml:space="preserve">The PICNICC collaboration was formed from international clinical and methodological experts, parent representatives and healthcare researchers, identified </w:t>
      </w:r>
      <w:r w:rsidR="00B974E9">
        <w:t>during</w:t>
      </w:r>
      <w:r w:rsidRPr="004C7B23">
        <w:t xml:space="preserve"> preliminary systematic </w:t>
      </w:r>
      <w:proofErr w:type="gramStart"/>
      <w:r w:rsidRPr="004C7B23">
        <w:t>reviews</w:t>
      </w:r>
      <w:proofErr w:type="gramEnd"/>
      <w:r>
        <w:fldChar w:fldCharType="begin">
          <w:fldData xml:space="preserve">PEVuZE5vdGU+PENpdGUgRXhjbHVkZVllYXI9IjEiPjxBdXRob3I+UGhpbGxpcHM8L0F1dGhvcj48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</w:fldData>
        </w:fldChar>
      </w:r>
      <w:r w:rsidR="00904FB4">
        <w:instrText xml:space="preserve"> ADDIN EN.CITE </w:instrText>
      </w:r>
      <w:r w:rsidR="00904FB4">
        <w:fldChar w:fldCharType="begin">
          <w:fldData xml:space="preserve">PEVuZE5vdGU+PENpdGUgRXhjbHVkZVllYXI9IjEiPjxBdXRob3I+UGhpbGxpcHM8L0F1dGhvcj48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</w:fldData>
        </w:fldChar>
      </w:r>
      <w:r w:rsidR="00904FB4">
        <w:instrText xml:space="preserve"> ADDIN EN.CITE.DATA </w:instrText>
      </w:r>
      <w:r w:rsidR="00904FB4">
        <w:fldChar w:fldCharType="end"/>
      </w:r>
      <w:r>
        <w:fldChar w:fldCharType="separate"/>
      </w:r>
      <w:r w:rsidR="00904FB4">
        <w:rPr>
          <w:noProof/>
        </w:rPr>
        <w:t>(6, 15)</w:t>
      </w:r>
      <w:r>
        <w:fldChar w:fldCharType="end"/>
      </w:r>
      <w:r w:rsidRPr="004C7B23">
        <w:t xml:space="preserve">, in response to oral presentations at oncology conferences, and web-based invitations. Parents/carers were approached via UK parent support organisations. Ethical approval for the study was granted in the UK and individual members were advised to contact their local ethics board to determine the need for </w:t>
      </w:r>
      <w:r w:rsidR="00B974E9">
        <w:t xml:space="preserve">further </w:t>
      </w:r>
      <w:r w:rsidRPr="004C7B23">
        <w:t>approval</w:t>
      </w:r>
      <w:r w:rsidR="00AF6D96">
        <w:t xml:space="preserve"> </w:t>
      </w:r>
      <w:r w:rsidR="00AF6D96">
        <w:fldChar w:fldCharType="begin"/>
      </w:r>
      <w:r w:rsidR="002405A7">
        <w:instrText xml:space="preserve"> ADDIN EN.CITE &lt;EndNote&gt;&lt;Cite ExcludeYear="1"&gt;&lt;Author&gt;Phillips&lt;/Author&gt;&lt;Year&gt;2012&lt;/Year&gt;&lt;RecNum&gt;1278&lt;/RecNum&gt;&lt;DisplayText&gt;(7)&lt;/DisplayText&gt;&lt;record&gt;&lt;rec-number&gt;1278&lt;/rec-number&gt;&lt;foreign-keys&gt;&lt;key app="EN" db-id="wp5zaadvasawxcefrsoverxhpwexxvwss9f9" timestamp="0"&gt;1278&lt;/key&gt;&lt;/foreign-keys&gt;&lt;ref-type name="Journal Article"&gt;17&lt;/ref-type&gt;&lt;contributors&gt;&lt;authors&gt;&lt;author&gt;Phillips, Robert&lt;/author&gt;&lt;author&gt;Sutton, Alex&lt;/author&gt;&lt;author&gt;Riley, Richard&lt;/author&gt;&lt;author&gt;Chisholm, Julia&lt;/author&gt;&lt;author&gt;Picton, Susan&lt;/author&gt;&lt;author&gt;Stewart, Lesley&lt;/author&gt;&lt;author&gt;, the PICNICC Collaboration&lt;/author&gt;&lt;/authors&gt;&lt;/contributors&gt;&lt;titles&gt;&lt;title&gt;Predicting infectious complications in neutropenic children and young people with cancer (IPD Protocol)&lt;/title&gt;&lt;secondary-title&gt;Systematic Reviews&lt;/secondary-title&gt;&lt;/titles&gt;&lt;pages&gt;8&lt;/pages&gt;&lt;volume&gt;1&lt;/volume&gt;&lt;number&gt;1&lt;/number&gt;&lt;dates&gt;&lt;year&gt;2012&lt;/year&gt;&lt;/dates&gt;&lt;isbn&gt;2046-4053&lt;/isbn&gt;&lt;accession-num&gt;doi:10.1186/2046-4053-1-8&lt;/accession-num&gt;&lt;urls&gt;&lt;related-urls&gt;&lt;url&gt;http://www.systematicreviewsjournal.com/content/1/1/8&lt;/url&gt;&lt;url&gt;http://www.systematicreviewsjournal.com/content/pdf/2046-4053-1-8.pdf&lt;/url&gt;&lt;/related-urls&gt;&lt;/urls&gt;&lt;/record&gt;&lt;/Cite&gt;&lt;/EndNote&gt;</w:instrText>
      </w:r>
      <w:r w:rsidR="00AF6D96">
        <w:fldChar w:fldCharType="separate"/>
      </w:r>
      <w:r w:rsidR="002405A7">
        <w:rPr>
          <w:noProof/>
        </w:rPr>
        <w:t>(7)</w:t>
      </w:r>
      <w:r w:rsidR="00AF6D96">
        <w:fldChar w:fldCharType="end"/>
      </w:r>
      <w:r w:rsidR="00AF6D96">
        <w:t xml:space="preserve"> </w:t>
      </w:r>
      <w:r>
        <w:fldChar w:fldCharType="begin"/>
      </w:r>
      <w:r w:rsidR="00904FB4">
        <w:instrText xml:space="preserve"> ADDIN EN.CITE &lt;EndNote&gt;&lt;Cite ExcludeYear="1"&gt;&lt;Author&gt;Phillips&lt;/Author&gt;&lt;Year&gt;2013&lt;/Year&gt;&lt;RecNum&gt;1631&lt;/RecNum&gt;&lt;DisplayText&gt;(16)&lt;/DisplayText&gt;&lt;record&gt;&lt;rec-number&gt;1631&lt;/rec-number&gt;&lt;foreign-keys&gt;&lt;key app="EN" db-id="wp5zaadvasawxcefrsoverxhpwexxvwss9f9" timestamp="0"&gt;1631&lt;/key&gt;&lt;/foreign-keys&gt;&lt;ref-type name="Journal Article"&gt;17&lt;/ref-type&gt;&lt;contributors&gt;&lt;authors&gt;&lt;author&gt;Phillips, Bob&lt;/author&gt;&lt;author&gt;Ranasinghe, Neil&lt;/author&gt;&lt;author&gt;Stewart, Lesley A&lt;/author&gt;&lt;/authors&gt;&lt;/contributors&gt;&lt;titles&gt;&lt;title&gt;Ethical and regulatory considerations in the use of individual participant data for studies of disease prediction&lt;/title&gt;&lt;secondary-title&gt;Archives of Disease in Childhood&lt;/secondary-title&gt;&lt;/titles&gt;&lt;periodical&gt;&lt;full-title&gt;Archives of Disease in Childhood&lt;/full-title&gt;&lt;/periodical&gt;&lt;pages&gt;567-8&lt;/pages&gt;&lt;volume&gt;98&lt;/volume&gt;&lt;number&gt;7&lt;/number&gt;&lt;dates&gt;&lt;year&gt;2013&lt;/year&gt;&lt;pub-dates&gt;&lt;date&gt;May 9, 2013&lt;/date&gt;&lt;/pub-dates&gt;&lt;/dates&gt;&lt;urls&gt;&lt;related-urls&gt;&lt;url&gt;http://adc.bmj.com/content/early/2013/05/08/archdischild-2013-304149.short&lt;/url&gt;&lt;url&gt;http://adc.bmj.com/content/98/7/567.full.pdf&lt;/url&gt;&lt;/related-urls&gt;&lt;/urls&gt;&lt;electronic-resource-num&gt;10.1136/archdischild-2013-304149&lt;/electronic-resource-num&gt;&lt;/record&gt;&lt;/Cite&gt;&lt;/EndNote&gt;</w:instrText>
      </w:r>
      <w:r>
        <w:fldChar w:fldCharType="separate"/>
      </w:r>
      <w:r w:rsidR="00904FB4">
        <w:rPr>
          <w:noProof/>
        </w:rPr>
        <w:t>(16)</w:t>
      </w:r>
      <w:r>
        <w:fldChar w:fldCharType="end"/>
      </w:r>
      <w:r w:rsidRPr="004C7B23">
        <w:t>.</w:t>
      </w:r>
    </w:p>
    <w:p w:rsidR="00551C00" w:rsidRPr="004C7B23" w:rsidRDefault="00551C00" w:rsidP="00CB386F">
      <w:pPr>
        <w:spacing w:line="480" w:lineRule="auto"/>
      </w:pPr>
    </w:p>
    <w:p w:rsidR="00551C00" w:rsidRPr="004C7B23" w:rsidRDefault="00551C00" w:rsidP="00CB386F">
      <w:pPr>
        <w:pStyle w:val="Heading3"/>
        <w:spacing w:line="480" w:lineRule="auto"/>
      </w:pPr>
      <w:r w:rsidRPr="004C7B23">
        <w:t>Data acquisition</w:t>
      </w:r>
    </w:p>
    <w:p w:rsidR="00551C00" w:rsidRPr="004C7B23" w:rsidRDefault="00904FB4" w:rsidP="00CB386F">
      <w:pPr>
        <w:spacing w:line="480" w:lineRule="auto"/>
      </w:pPr>
      <w:r>
        <w:t xml:space="preserve">The </w:t>
      </w:r>
      <w:r w:rsidRPr="00904FB4">
        <w:t xml:space="preserve">authors of studies of FN who </w:t>
      </w:r>
      <w:r>
        <w:t xml:space="preserve">are members of the </w:t>
      </w:r>
      <w:r w:rsidRPr="00904FB4">
        <w:t xml:space="preserve">PICNICC working group </w:t>
      </w:r>
      <w:r w:rsidR="00551C00">
        <w:t>supplied</w:t>
      </w:r>
      <w:r w:rsidR="00551C00" w:rsidRPr="004C7B23">
        <w:t xml:space="preserve"> episode-by-episode, de-identified individual-level data from </w:t>
      </w:r>
      <w:r>
        <w:t xml:space="preserve">their </w:t>
      </w:r>
      <w:r w:rsidR="00551C00" w:rsidRPr="004C7B23">
        <w:t xml:space="preserve">studies of new-onset episodes of FN. These </w:t>
      </w:r>
      <w:r w:rsidR="00B974E9">
        <w:t>included</w:t>
      </w:r>
      <w:r w:rsidR="00551C00" w:rsidRPr="004C7B23">
        <w:t xml:space="preserve"> patient-level variables measured on admission: patient age at, and date of, each episode of FN; underlying malignancy type; remission status; chemotherapy type and date of last cycle; type of central venous line; in/out-patient status; maximum temperature; clinical observations including global assessment of illness severity and mucositis; blood count parameters; inflammatory biomarkers; and empirical antibiotics used. The outcome used in this analysis was of microbiologically defined infection</w:t>
      </w:r>
      <w:r w:rsidR="008C2AB6">
        <w:t xml:space="preserve"> (MDI)</w:t>
      </w:r>
      <w:r w:rsidR="00551C00" w:rsidRPr="004C7B23">
        <w:t xml:space="preserve">. We permitted any definition described in the original study and did not insist on the </w:t>
      </w:r>
      <w:r w:rsidR="00551C00">
        <w:t>I</w:t>
      </w:r>
      <w:r w:rsidR="00551C00">
        <w:rPr>
          <w:noProof/>
        </w:rPr>
        <w:t xml:space="preserve">mmunocompromised Host Society </w:t>
      </w:r>
      <w:r w:rsidR="00551C00" w:rsidRPr="004C7B23">
        <w:t>consensus definition.</w:t>
      </w:r>
      <w:r w:rsidR="00551C00">
        <w:fldChar w:fldCharType="begin"/>
      </w:r>
      <w:r>
        <w:instrText xml:space="preserve"> ADDIN EN.CITE &lt;EndNote&gt;&lt;Cite ExcludeYear="1"&gt;&lt;Author&gt;Immunocompromised Host Society&lt;/Author&gt;&lt;Year&gt;1990&lt;/Year&gt;&lt;RecNum&gt;1892&lt;/RecNum&gt;&lt;DisplayText&gt;(17)&lt;/DisplayText&gt;&lt;record&gt;&lt;rec-number&gt;1892&lt;/rec-number&gt;&lt;foreign-keys&gt;&lt;key app="EN" db-id="wp5zaadvasawxcefrsoverxhpwexxvwss9f9" timestamp="0"&gt;1892&lt;/key&gt;&lt;/foreign-keys&gt;&lt;ref-type name="Journal Article"&gt;17&lt;/ref-type&gt;&lt;contributors&gt;&lt;authors&gt;&lt;author&gt;Immunocompromised Host Society,&lt;/author&gt;&lt;/authors&gt;&lt;/contributors&gt;&lt;titles&gt;&lt;title&gt;The design, analysis, and reporting of clinical trials on the empirical antibiotic management of the neutropenic patient. Report of a consensus panel&lt;/title&gt;&lt;secondary-title&gt;J Infect Dis&lt;/secondary-title&gt;&lt;alt-title&gt;The Journal of infectious diseases&lt;/alt-title&gt;&lt;/titles&gt;&lt;periodical&gt;&lt;full-title&gt;J Infect Dis&lt;/full-title&gt;&lt;/periodical&gt;&lt;alt-periodical&gt;&lt;full-title&gt;The Journal of Infectious Diseases&lt;/full-title&gt;&lt;/alt-periodical&gt;&lt;pages&gt;397-401&lt;/pages&gt;&lt;volume&gt;161&lt;/volume&gt;&lt;number&gt;3&lt;/number&gt;&lt;keywords&gt;&lt;keyword&gt;Agranulocytosis/*complications&lt;/keyword&gt;&lt;keyword&gt;Anti-Bacterial Agents/*therapeutic use&lt;/keyword&gt;&lt;keyword&gt;Clinical Trials as Topic&lt;/keyword&gt;&lt;keyword&gt;Humans&lt;/keyword&gt;&lt;keyword&gt;Infection/*drug therapy&lt;/keyword&gt;&lt;keyword&gt;Neutropenia/*complications&lt;/keyword&gt;&lt;/keywords&gt;&lt;dates&gt;&lt;year&gt;1990&lt;/year&gt;&lt;pub-dates&gt;&lt;date&gt;Mar&lt;/date&gt;&lt;/pub-dates&gt;&lt;/dates&gt;&lt;publisher&gt;Oxford University Press&lt;/publisher&gt;&lt;isbn&gt;0022-1899 (Print)&amp;#xD;0022-1899 (Linking)&lt;/isbn&gt;&lt;accession-num&gt;2179421&lt;/accession-num&gt;&lt;urls&gt;&lt;related-urls&gt;&lt;url&gt;http://www.ncbi.nlm.nih.gov/pubmed/2179421&lt;/url&gt;&lt;url&gt;http://jid.oxfordjournals.org/content/161/3/397.full.pdf&lt;/url&gt;&lt;/related-urls&gt;&lt;/urls&gt;&lt;electronic-resource-num&gt;10.2307/30129514&lt;/electronic-resource-num&gt;&lt;/record&gt;&lt;/Cite&gt;&lt;/EndNote&gt;</w:instrText>
      </w:r>
      <w:r w:rsidR="00551C00">
        <w:fldChar w:fldCharType="separate"/>
      </w:r>
      <w:r>
        <w:rPr>
          <w:noProof/>
        </w:rPr>
        <w:t>(17)</w:t>
      </w:r>
      <w:r w:rsidR="00551C00">
        <w:fldChar w:fldCharType="end"/>
      </w:r>
      <w:r w:rsidR="00551C00" w:rsidRPr="004C7B23">
        <w:t xml:space="preserve"> This outcome was the most frequently and consistently reported clinically relevant outcome</w:t>
      </w:r>
      <w:r w:rsidR="00003467">
        <w:t xml:space="preserve"> in the data available</w:t>
      </w:r>
      <w:r w:rsidR="00551C00" w:rsidRPr="004C7B23">
        <w:t>, and was highly correlated</w:t>
      </w:r>
      <w:r w:rsidR="00003467">
        <w:t>, where data were available,</w:t>
      </w:r>
      <w:r w:rsidR="00551C00" w:rsidRPr="004C7B23">
        <w:t xml:space="preserve"> with the less frequently reported “serious medical complication” detailed in the recently published core outcome set.</w:t>
      </w:r>
      <w:r w:rsidR="00551C00">
        <w:fldChar w:fldCharType="begin"/>
      </w:r>
      <w:r>
        <w:instrText xml:space="preserve"> ADDIN EN.CITE &lt;EndNote&gt;&lt;Cite ExcludeYear="1"&gt;&lt;Author&gt;Haeusler&lt;/Author&gt;&lt;Year&gt;2015&lt;/Year&gt;&lt;RecNum&gt;2044&lt;/RecNum&gt;&lt;DisplayText&gt;(18)&lt;/DisplayText&gt;&lt;record&gt;&lt;rec-number&gt;2044&lt;/rec-number&gt;&lt;foreign-keys&gt;&lt;key app="EN" db-id="wp5zaadvasawxcefrsoverxhpwexxvwss9f9" timestamp="1433505865"&gt;2044&lt;/key&gt;&lt;/foreign-keys&gt;&lt;ref-type name="Journal Article"&gt;17&lt;/ref-type&gt;&lt;contributors&gt;&lt;authors&gt;&lt;author&gt;Haeusler, Gabrielle M.&lt;/author&gt;&lt;author&gt;Phillips, Robert S.&lt;/author&gt;&lt;author&gt;Lehrnbecher, Thomas&lt;/author&gt;&lt;author&gt;Thursky, Karin A.&lt;/author&gt;&lt;author&gt;Sung, Lillian&lt;/author&gt;&lt;author&gt;Ammann, Roland A.&lt;/author&gt;&lt;/authors&gt;&lt;/contributors&gt;&lt;titles&gt;&lt;title&gt;Core outcomes and definitions for pediatric fever and neutropenia research: A consensus statement from an international panel&lt;/title&gt;&lt;secondary-title&gt;Pediatric Blood &amp;amp; Cancer&lt;/secondary-title&gt;&lt;/titles&gt;&lt;periodical&gt;&lt;full-title&gt;Pediatric Blood &amp;amp; Cancer&lt;/full-title&gt;&lt;/periodical&gt;&lt;pages&gt;483-489&lt;/pages&gt;&lt;volume&gt;62&lt;/volume&gt;&lt;number&gt;3&lt;/number&gt;&lt;keywords&gt;&lt;keyword&gt;child&lt;/keyword&gt;&lt;keyword&gt;consensus&lt;/keyword&gt;&lt;keyword&gt;definitions&lt;/keyword&gt;&lt;keyword&gt;fever&lt;/keyword&gt;&lt;keyword&gt;neutropenia&lt;/keyword&gt;&lt;keyword&gt;outcomes&lt;/keyword&gt;&lt;/keywords&gt;&lt;dates&gt;&lt;year&gt;2015&lt;/year&gt;&lt;/dates&gt;&lt;isbn&gt;1545-5017&lt;/isbn&gt;&lt;urls&gt;&lt;related-urls&gt;&lt;url&gt;http://dx.doi.org/10.1002/pbc.25335&lt;/url&gt;&lt;url&gt;http://onlinelibrary.wiley.com/store/10.1002/pbc.25335/asset/pbc25335.pdf?v=1&amp;amp;t=ic4xb8ls&amp;amp;s=8ca0c71f1734091d6621e429699e37b012025637&lt;/url&gt;&lt;/related-urls&gt;&lt;/urls&gt;&lt;electronic-resource-num&gt;10.1002/pbc.25335&lt;/electronic-resource-num&gt;&lt;/record&gt;&lt;/Cite&gt;&lt;/EndNote&gt;</w:instrText>
      </w:r>
      <w:r w:rsidR="00551C00">
        <w:fldChar w:fldCharType="separate"/>
      </w:r>
      <w:r>
        <w:rPr>
          <w:noProof/>
        </w:rPr>
        <w:t>(18)</w:t>
      </w:r>
      <w:r w:rsidR="00551C00">
        <w:fldChar w:fldCharType="end"/>
      </w:r>
      <w:r w:rsidR="00551C00" w:rsidRPr="004C7B23">
        <w:t xml:space="preserve"> </w:t>
      </w:r>
    </w:p>
    <w:p w:rsidR="00551C00" w:rsidRPr="004C7B23" w:rsidRDefault="00551C00" w:rsidP="00CB386F">
      <w:pPr>
        <w:spacing w:line="480" w:lineRule="auto"/>
      </w:pPr>
    </w:p>
    <w:p w:rsidR="00551C00" w:rsidRPr="004C7B23" w:rsidRDefault="00551C00" w:rsidP="00CB386F">
      <w:pPr>
        <w:pStyle w:val="Heading3"/>
        <w:spacing w:line="480" w:lineRule="auto"/>
      </w:pPr>
      <w:r w:rsidRPr="004C7B23">
        <w:t>Statistical methods</w:t>
      </w:r>
    </w:p>
    <w:p w:rsidR="00551C00" w:rsidRDefault="00551C00" w:rsidP="00CB386F">
      <w:pPr>
        <w:spacing w:line="480" w:lineRule="auto"/>
      </w:pPr>
      <w:r w:rsidRPr="004C7B23">
        <w:t xml:space="preserve">IPD from the 22 data sets were </w:t>
      </w:r>
      <w:r w:rsidR="00B974E9">
        <w:t xml:space="preserve">collected, collated and </w:t>
      </w:r>
      <w:r w:rsidRPr="004C7B23">
        <w:t xml:space="preserve">cleaned, and the predictive and outcome variable (microbiologically defined infection) summarised. Studies were excluded if they did not provide the outcome of interest. Episode-by-episode calculations were made from these data for each of the selected risk stratification rules. </w:t>
      </w:r>
      <w:r>
        <w:t xml:space="preserve">From these, the sensitivity, specificity and predictive values of the rule were calculated, along with the proportion of </w:t>
      </w:r>
      <w:r w:rsidR="00AE1849">
        <w:t>episodes</w:t>
      </w:r>
      <w:r>
        <w:t xml:space="preserve"> correctly and incorrectly classified by each rule and the area under the receiver operator curve (AUC ROC, also known as the C-statistic). The R software environment</w:t>
      </w:r>
      <w:r>
        <w:fldChar w:fldCharType="begin"/>
      </w:r>
      <w:r w:rsidR="00904FB4">
        <w:instrText xml:space="preserve"> ADDIN EN.CITE &lt;EndNote&gt;&lt;Cite ExcludeYear="1"&gt;&lt;Author&gt;R Core Team&lt;/Author&gt;&lt;Year&gt;2015&lt;/Year&gt;&lt;RecNum&gt;2040&lt;/RecNum&gt;&lt;DisplayText&gt;(19)&lt;/DisplayText&gt;&lt;record&gt;&lt;rec-number&gt;2040&lt;/rec-number&gt;&lt;foreign-keys&gt;&lt;key app="EN" db-id="wp5zaadvasawxcefrsoverxhpwexxvwss9f9" timestamp="1433498921"&gt;2040&lt;/key&gt;&lt;/foreign-keys&gt;&lt;ref-type name="Computer Program"&gt;9&lt;/ref-type&gt;&lt;contributors&gt;&lt;authors&gt;&lt;author&gt;R Core Team, &lt;/author&gt;&lt;/authors&gt;&lt;/contributors&gt;&lt;auth-address&gt;http://www.R-project.org/&lt;/auth-address&gt;&lt;titles&gt;&lt;title&gt;R: A Language and Environment for Statistical Computing&lt;/title&gt;&lt;/titles&gt;&lt;dates&gt;&lt;year&gt;2015&lt;/year&gt;&lt;/dates&gt;&lt;pub-location&gt;Vienna, Austria&lt;/pub-location&gt;&lt;urls&gt;&lt;/urls&gt;&lt;/record&gt;&lt;/Cite&gt;&lt;/EndNote&gt;</w:instrText>
      </w:r>
      <w:r>
        <w:fldChar w:fldCharType="separate"/>
      </w:r>
      <w:r w:rsidR="00904FB4">
        <w:rPr>
          <w:noProof/>
        </w:rPr>
        <w:t>(19)</w:t>
      </w:r>
      <w:r>
        <w:fldChar w:fldCharType="end"/>
      </w:r>
      <w:r>
        <w:t xml:space="preserve"> using the packages ‘</w:t>
      </w:r>
      <w:proofErr w:type="spellStart"/>
      <w:r>
        <w:t>rms</w:t>
      </w:r>
      <w:proofErr w:type="spellEnd"/>
      <w:r>
        <w:t>’</w:t>
      </w:r>
      <w:r>
        <w:fldChar w:fldCharType="begin"/>
      </w:r>
      <w:r w:rsidR="00904FB4">
        <w:instrText xml:space="preserve"> ADDIN EN.CITE &lt;EndNote&gt;&lt;Cite ExcludeYear="1"&gt;&lt;Author&gt;Harrell&lt;/Author&gt;&lt;Year&gt;2015&lt;/Year&gt;&lt;RecNum&gt;2041&lt;/RecNum&gt;&lt;DisplayText&gt;(20)&lt;/DisplayText&gt;&lt;record&gt;&lt;rec-number&gt;2041&lt;/rec-number&gt;&lt;foreign-keys&gt;&lt;key app="EN" db-id="wp5zaadvasawxcefrsoverxhpwexxvwss9f9" timestamp="1433499359"&gt;2041&lt;/key&gt;&lt;/foreign-keys&gt;&lt;ref-type name="Computer Program"&gt;9&lt;/ref-type&gt;&lt;contributors&gt;&lt;authors&gt;&lt;author&gt;Harrell, Frank E, Jr&lt;/author&gt;&lt;/authors&gt;&lt;/contributors&gt;&lt;auth-address&gt;http://CRAN.R-project.org/package=rms&lt;/auth-address&gt;&lt;titles&gt;&lt;title&gt;rms: Regression Modeling Strategies&lt;/title&gt;&lt;/titles&gt;&lt;dates&gt;&lt;year&gt;2015&lt;/year&gt;&lt;/dates&gt;&lt;urls&gt;&lt;/urls&gt;&lt;/record&gt;&lt;/Cite&gt;&lt;/EndNote&gt;</w:instrText>
      </w:r>
      <w:r>
        <w:fldChar w:fldCharType="separate"/>
      </w:r>
      <w:r w:rsidR="00904FB4">
        <w:rPr>
          <w:noProof/>
        </w:rPr>
        <w:t>(20)</w:t>
      </w:r>
      <w:r>
        <w:fldChar w:fldCharType="end"/>
      </w:r>
      <w:r>
        <w:t xml:space="preserve"> and ‘</w:t>
      </w:r>
      <w:proofErr w:type="spellStart"/>
      <w:r>
        <w:t>pROC</w:t>
      </w:r>
      <w:proofErr w:type="spellEnd"/>
      <w:r>
        <w:t>’</w:t>
      </w:r>
      <w:r>
        <w:fldChar w:fldCharType="begin"/>
      </w:r>
      <w:r w:rsidR="00904FB4">
        <w:instrText xml:space="preserve"> ADDIN EN.CITE &lt;EndNote&gt;&lt;Cite ExcludeYear="1"&gt;&lt;Author&gt;Müller&lt;/Author&gt;&lt;Year&gt;2011&lt;/Year&gt;&lt;RecNum&gt;2042&lt;/RecNum&gt;&lt;DisplayText&gt;(21)&lt;/DisplayText&gt;&lt;record&gt;&lt;rec-number&gt;2042&lt;/rec-number&gt;&lt;foreign-keys&gt;&lt;key app="EN" db-id="wp5zaadvasawxcefrsoverxhpwexxvwss9f9" timestamp="1433499909"&gt;2042&lt;/key&gt;&lt;/foreign-keys&gt;&lt;ref-type name="Journal Article"&gt;17&lt;/ref-type&gt;&lt;contributors&gt;&lt;authors&gt;&lt;author&gt;Xavier Robin,&lt;/author&gt;&lt;author&gt;Natacha Turck,&lt;/author&gt;&lt;author&gt;Alexandre Hainard, &lt;/author&gt;&lt;author&gt;Natalia Tiberti,&lt;/author&gt;&lt;author&gt;Frédérique Lisacek,&lt;/author&gt;&lt;author&gt;Jean-Charles Sanchez,&lt;/author&gt;&lt;author&gt;Markus Müller&lt;/author&gt;&lt;/authors&gt;&lt;/contributors&gt;&lt;titles&gt;&lt;title&gt;pROC: an open-source package for R and S+ to analyze and compare ROC curves&lt;/title&gt;&lt;secondary-title&gt;BMC Bioinformatics&lt;/secondary-title&gt;&lt;/titles&gt;&lt;periodical&gt;&lt;full-title&gt;BMC Bioinformatics&lt;/full-title&gt;&lt;/periodical&gt;&lt;pages&gt;77&lt;/pages&gt;&lt;volume&gt;12&lt;/volume&gt;&lt;dates&gt;&lt;year&gt;2011&lt;/year&gt;&lt;/dates&gt;&lt;urls&gt;&lt;related-urls&gt;&lt;url&gt;http://www.ncbi.nlm.nih.gov/pmc/articles/PMC3068975/pdf/1471-2105-12-77.pdf&lt;/url&gt;&lt;/related-urls&gt;&lt;/urls&gt;&lt;/record&gt;&lt;/Cite&gt;&lt;/EndNote&gt;</w:instrText>
      </w:r>
      <w:r>
        <w:fldChar w:fldCharType="separate"/>
      </w:r>
      <w:r w:rsidR="00904FB4">
        <w:rPr>
          <w:noProof/>
        </w:rPr>
        <w:t>(21)</w:t>
      </w:r>
      <w:r>
        <w:fldChar w:fldCharType="end"/>
      </w:r>
      <w:r>
        <w:t xml:space="preserve"> were used.</w:t>
      </w:r>
    </w:p>
    <w:p w:rsidR="00551C00" w:rsidRDefault="00551C00" w:rsidP="00CB386F">
      <w:pPr>
        <w:spacing w:line="480" w:lineRule="auto"/>
      </w:pPr>
      <w:r>
        <w:t xml:space="preserve">For the </w:t>
      </w:r>
      <w:r w:rsidR="00E26A2F">
        <w:t>five</w:t>
      </w:r>
      <w:r>
        <w:t xml:space="preserve"> ‘paediatric’ rules, a complete case analysis was performed</w:t>
      </w:r>
      <w:r w:rsidR="00B974E9">
        <w:t xml:space="preserve">, and </w:t>
      </w:r>
      <w:r w:rsidR="00D748B8">
        <w:t>episodes</w:t>
      </w:r>
      <w:r w:rsidR="00B974E9">
        <w:t xml:space="preserve"> </w:t>
      </w:r>
      <w:r w:rsidR="00AE1849">
        <w:t>from studies</w:t>
      </w:r>
      <w:r w:rsidR="00B974E9">
        <w:t xml:space="preserve"> used to derive the rule </w:t>
      </w:r>
      <w:r w:rsidR="00D748B8">
        <w:t xml:space="preserve">were </w:t>
      </w:r>
      <w:r w:rsidR="00B974E9">
        <w:t>excluded</w:t>
      </w:r>
      <w:r>
        <w:t xml:space="preserve">. For the ‘adult’ MASCC rule, data on </w:t>
      </w:r>
      <w:r w:rsidRPr="004C7B23">
        <w:t>previous fungal infection</w:t>
      </w:r>
      <w:r>
        <w:t xml:space="preserve"> and chronic obstructive pulmonary disease (COPD) are required, but were unavailable</w:t>
      </w:r>
      <w:r w:rsidR="00D748B8">
        <w:t xml:space="preserve"> in all data sets</w:t>
      </w:r>
      <w:r>
        <w:t xml:space="preserve">. We chose to model this assuming </w:t>
      </w:r>
      <w:r w:rsidR="00D748B8">
        <w:t xml:space="preserve">a) </w:t>
      </w:r>
      <w:r>
        <w:t xml:space="preserve">no patient had COPD, </w:t>
      </w:r>
      <w:r w:rsidR="00D748B8">
        <w:t xml:space="preserve">b) </w:t>
      </w:r>
      <w:r>
        <w:t xml:space="preserve">no patient without leukaemia had </w:t>
      </w:r>
      <w:r w:rsidR="00D748B8">
        <w:t xml:space="preserve">experienced </w:t>
      </w:r>
      <w:r>
        <w:t xml:space="preserve">a prior fungal infection, and </w:t>
      </w:r>
      <w:r w:rsidR="00D748B8">
        <w:t xml:space="preserve">c) for those patients with leukaemia, </w:t>
      </w:r>
      <w:r>
        <w:t xml:space="preserve">modelled both </w:t>
      </w:r>
      <w:r w:rsidR="00D748B8">
        <w:t xml:space="preserve">prior </w:t>
      </w:r>
      <w:r>
        <w:t xml:space="preserve">fungal infection </w:t>
      </w:r>
      <w:r w:rsidR="00D748B8">
        <w:t xml:space="preserve">and lack of prior fungal infection </w:t>
      </w:r>
      <w:r>
        <w:t xml:space="preserve">as the ‘upper’ and ‘lower’ </w:t>
      </w:r>
      <w:r w:rsidR="00D748B8">
        <w:t>estimations</w:t>
      </w:r>
      <w:r>
        <w:t xml:space="preserve"> of this rule’s performance.</w:t>
      </w:r>
    </w:p>
    <w:p w:rsidR="00551C00" w:rsidRPr="004C7B23" w:rsidRDefault="00551C00" w:rsidP="00CB386F">
      <w:pPr>
        <w:spacing w:line="480" w:lineRule="auto"/>
      </w:pPr>
      <w:r w:rsidRPr="004C7B23">
        <w:t xml:space="preserve"> </w:t>
      </w:r>
    </w:p>
    <w:p w:rsidR="00551C00" w:rsidRPr="004C7B23" w:rsidRDefault="00551C00" w:rsidP="00CB386F">
      <w:pPr>
        <w:pStyle w:val="Heading2"/>
        <w:spacing w:line="480" w:lineRule="auto"/>
      </w:pPr>
      <w:r w:rsidRPr="004C7B23">
        <w:t>Results</w:t>
      </w:r>
    </w:p>
    <w:p w:rsidR="00551C00" w:rsidRDefault="00C53A56" w:rsidP="00CB386F">
      <w:pPr>
        <w:spacing w:line="480" w:lineRule="auto"/>
      </w:pPr>
      <w:r>
        <w:t>Among the</w:t>
      </w:r>
      <w:r w:rsidRPr="004C7B23">
        <w:t xml:space="preserve"> 5,127 episodes of FN in 3,504 patients</w:t>
      </w:r>
      <w:r>
        <w:t xml:space="preserve"> in the PICNICC collaboration data set, </w:t>
      </w:r>
      <w:r w:rsidR="00551C00" w:rsidRPr="004C7B23">
        <w:t>603 episodes of fever and neutropenia</w:t>
      </w:r>
      <w:r>
        <w:t xml:space="preserve"> were found from AYA patients. There were </w:t>
      </w:r>
      <w:r w:rsidR="00551C00" w:rsidRPr="004C7B23">
        <w:t xml:space="preserve">478 </w:t>
      </w:r>
      <w:r>
        <w:t xml:space="preserve">separate </w:t>
      </w:r>
      <w:r w:rsidR="00551C00" w:rsidRPr="004C7B23">
        <w:t>patients, with a median of 1 (range 1 – 10) episodes per patient.</w:t>
      </w:r>
      <w:r w:rsidR="00551C00">
        <w:t xml:space="preserve"> The median age at first episode was 18.5 years (interquartile range 17.0 to 21.4 years old) and 56% (where sex was recorded) were male (n=250). They were treated for a wide variety of conditions, with the majority having an acute leukaemia (316 episodes, 52%), with approximately equal proportions of episodes in patients with lymphoma (n=126, 21%) and solid tumours (n=134, 22%), and a very small number of patients with other conditions, for example, undergoing haematopoietic stem cell transplant for non-malignant disease (n=19, 3%) or brain tumours (n=8, 1%). Microbiologically </w:t>
      </w:r>
      <w:r w:rsidR="00551C00" w:rsidRPr="004C7B23">
        <w:t>defined infection</w:t>
      </w:r>
      <w:r w:rsidR="00551C00">
        <w:t xml:space="preserve"> was recorded in 160 (28%) of episodes, and there were thirteen deaths (2.2%, significantly higher than in children up to 16 years: </w:t>
      </w:r>
      <w:r w:rsidR="0086371B">
        <w:t>1.1</w:t>
      </w:r>
      <w:r w:rsidR="00551C00">
        <w:t xml:space="preserve">%; </w:t>
      </w:r>
      <w:r w:rsidR="0086371B">
        <w:t>p=0.039</w:t>
      </w:r>
      <w:r w:rsidR="00551C00">
        <w:t>).</w:t>
      </w:r>
      <w:r w:rsidR="00E26A2F">
        <w:t xml:space="preserve"> The varied collection of data from the different groups of the PICNICC collaboration meant that a different number of complete cases were available for testing each rule.</w:t>
      </w:r>
    </w:p>
    <w:p w:rsidR="00551C00" w:rsidRDefault="00551C00" w:rsidP="00CB386F">
      <w:pPr>
        <w:spacing w:line="480" w:lineRule="auto"/>
      </w:pPr>
      <w:r>
        <w:t xml:space="preserve">The discriminatory accuracy of each of the six rules to determine microbiologically </w:t>
      </w:r>
      <w:r w:rsidRPr="004C7B23">
        <w:t>defined infection</w:t>
      </w:r>
      <w:r>
        <w:t xml:space="preserve"> is given in Table 2</w:t>
      </w:r>
      <w:r w:rsidR="00A06577">
        <w:t>, and illustrated in ROC space in Figure 1.</w:t>
      </w:r>
    </w:p>
    <w:tbl>
      <w:tblPr>
        <w:tblW w:w="9490" w:type="dxa"/>
        <w:tblInd w:w="93" w:type="dxa"/>
        <w:tblLook w:val="04A0" w:firstRow="1" w:lastRow="0" w:firstColumn="1" w:lastColumn="0" w:noHBand="0" w:noVBand="1"/>
      </w:tblPr>
      <w:tblGrid>
        <w:gridCol w:w="2445"/>
        <w:gridCol w:w="1022"/>
        <w:gridCol w:w="1665"/>
        <w:gridCol w:w="1665"/>
        <w:gridCol w:w="1771"/>
        <w:gridCol w:w="922"/>
      </w:tblGrid>
      <w:tr w:rsidR="00016EB2" w:rsidRPr="00016EB2" w:rsidTr="007757A5">
        <w:trPr>
          <w:trHeight w:val="288"/>
        </w:trPr>
        <w:tc>
          <w:tcPr>
            <w:tcW w:w="24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Rule</w:t>
            </w:r>
          </w:p>
        </w:tc>
        <w:tc>
          <w:tcPr>
            <w:tcW w:w="102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N episodes</w:t>
            </w:r>
          </w:p>
        </w:tc>
        <w:tc>
          <w:tcPr>
            <w:tcW w:w="1665" w:type="dxa"/>
            <w:tcBorders>
              <w:top w:val="single" w:sz="8" w:space="0" w:color="auto"/>
              <w:left w:val="nil"/>
              <w:bottom w:val="nil"/>
              <w:right w:val="single" w:sz="8"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Sensitivity</w:t>
            </w:r>
          </w:p>
        </w:tc>
        <w:tc>
          <w:tcPr>
            <w:tcW w:w="1665" w:type="dxa"/>
            <w:tcBorders>
              <w:top w:val="single" w:sz="8" w:space="0" w:color="auto"/>
              <w:left w:val="nil"/>
              <w:bottom w:val="nil"/>
              <w:right w:val="single" w:sz="8"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Specificity</w:t>
            </w:r>
          </w:p>
        </w:tc>
        <w:tc>
          <w:tcPr>
            <w:tcW w:w="1771" w:type="dxa"/>
            <w:tcBorders>
              <w:top w:val="single" w:sz="8" w:space="0" w:color="auto"/>
              <w:left w:val="nil"/>
              <w:bottom w:val="nil"/>
              <w:right w:val="single" w:sz="4"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AUC ROC</w:t>
            </w:r>
          </w:p>
        </w:tc>
        <w:tc>
          <w:tcPr>
            <w:tcW w:w="922" w:type="dxa"/>
            <w:tcBorders>
              <w:top w:val="single" w:sz="4" w:space="0" w:color="auto"/>
              <w:left w:val="single" w:sz="4" w:space="0" w:color="auto"/>
              <w:right w:val="single" w:sz="4"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p value</w:t>
            </w:r>
          </w:p>
        </w:tc>
      </w:tr>
      <w:tr w:rsidR="00016EB2" w:rsidRPr="00016EB2" w:rsidTr="007757A5">
        <w:trPr>
          <w:trHeight w:val="300"/>
        </w:trPr>
        <w:tc>
          <w:tcPr>
            <w:tcW w:w="2445" w:type="dxa"/>
            <w:vMerge/>
            <w:tcBorders>
              <w:top w:val="single" w:sz="8" w:space="0" w:color="auto"/>
              <w:left w:val="single" w:sz="8" w:space="0" w:color="auto"/>
              <w:bottom w:val="single" w:sz="8" w:space="0" w:color="000000"/>
              <w:right w:val="single" w:sz="8" w:space="0" w:color="auto"/>
            </w:tcBorders>
            <w:vAlign w:val="center"/>
            <w:hideMark/>
          </w:tcPr>
          <w:p w:rsidR="00016EB2" w:rsidRPr="00016EB2" w:rsidRDefault="00016EB2" w:rsidP="00CB386F">
            <w:pPr>
              <w:spacing w:after="0" w:line="480" w:lineRule="auto"/>
              <w:rPr>
                <w:b/>
                <w:bCs/>
                <w:color w:val="000000"/>
              </w:rPr>
            </w:pPr>
          </w:p>
        </w:tc>
        <w:tc>
          <w:tcPr>
            <w:tcW w:w="1022" w:type="dxa"/>
            <w:vMerge/>
            <w:tcBorders>
              <w:top w:val="single" w:sz="8" w:space="0" w:color="auto"/>
              <w:left w:val="single" w:sz="8" w:space="0" w:color="auto"/>
              <w:bottom w:val="single" w:sz="8" w:space="0" w:color="000000"/>
              <w:right w:val="single" w:sz="8" w:space="0" w:color="auto"/>
            </w:tcBorders>
            <w:vAlign w:val="center"/>
            <w:hideMark/>
          </w:tcPr>
          <w:p w:rsidR="00016EB2" w:rsidRPr="00016EB2" w:rsidRDefault="00016EB2" w:rsidP="00CB386F">
            <w:pPr>
              <w:spacing w:after="0" w:line="480" w:lineRule="auto"/>
              <w:rPr>
                <w:b/>
                <w:bCs/>
                <w:color w:val="000000"/>
              </w:rPr>
            </w:pPr>
          </w:p>
        </w:tc>
        <w:tc>
          <w:tcPr>
            <w:tcW w:w="1665" w:type="dxa"/>
            <w:tcBorders>
              <w:top w:val="nil"/>
              <w:left w:val="nil"/>
              <w:bottom w:val="single" w:sz="8" w:space="0" w:color="auto"/>
              <w:right w:val="single" w:sz="8"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(95% CI)</w:t>
            </w:r>
          </w:p>
        </w:tc>
        <w:tc>
          <w:tcPr>
            <w:tcW w:w="1665" w:type="dxa"/>
            <w:tcBorders>
              <w:top w:val="nil"/>
              <w:left w:val="nil"/>
              <w:bottom w:val="single" w:sz="8" w:space="0" w:color="auto"/>
              <w:right w:val="single" w:sz="8"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(95% CI)</w:t>
            </w:r>
          </w:p>
        </w:tc>
        <w:tc>
          <w:tcPr>
            <w:tcW w:w="1771" w:type="dxa"/>
            <w:tcBorders>
              <w:top w:val="nil"/>
              <w:left w:val="nil"/>
              <w:bottom w:val="single" w:sz="8" w:space="0" w:color="auto"/>
              <w:right w:val="single" w:sz="4" w:space="0" w:color="auto"/>
            </w:tcBorders>
            <w:shd w:val="clear" w:color="auto" w:fill="auto"/>
            <w:noWrap/>
            <w:vAlign w:val="center"/>
            <w:hideMark/>
          </w:tcPr>
          <w:p w:rsidR="00016EB2" w:rsidRPr="00016EB2" w:rsidRDefault="00016EB2" w:rsidP="00CB386F">
            <w:pPr>
              <w:spacing w:after="0" w:line="480" w:lineRule="auto"/>
              <w:rPr>
                <w:b/>
                <w:bCs/>
                <w:color w:val="000000"/>
              </w:rPr>
            </w:pPr>
            <w:r w:rsidRPr="00016EB2">
              <w:rPr>
                <w:b/>
                <w:bCs/>
                <w:color w:val="000000"/>
              </w:rPr>
              <w:t>(95% CI)</w:t>
            </w:r>
          </w:p>
        </w:tc>
        <w:tc>
          <w:tcPr>
            <w:tcW w:w="922" w:type="dxa"/>
            <w:tcBorders>
              <w:left w:val="single" w:sz="4" w:space="0" w:color="auto"/>
              <w:bottom w:val="single" w:sz="4" w:space="0" w:color="auto"/>
              <w:right w:val="single" w:sz="4" w:space="0" w:color="auto"/>
            </w:tcBorders>
            <w:shd w:val="clear" w:color="auto" w:fill="auto"/>
            <w:noWrap/>
            <w:vAlign w:val="bottom"/>
            <w:hideMark/>
          </w:tcPr>
          <w:p w:rsidR="00016EB2" w:rsidRPr="00016EB2" w:rsidRDefault="00016EB2" w:rsidP="00CB386F">
            <w:pPr>
              <w:spacing w:after="0" w:line="480" w:lineRule="auto"/>
              <w:rPr>
                <w:color w:val="000000"/>
              </w:rPr>
            </w:pPr>
          </w:p>
        </w:tc>
      </w:tr>
      <w:tr w:rsidR="008C2AB6" w:rsidRPr="00016EB2" w:rsidTr="007757A5">
        <w:trPr>
          <w:trHeight w:val="300"/>
        </w:trPr>
        <w:tc>
          <w:tcPr>
            <w:tcW w:w="2445" w:type="dxa"/>
            <w:tcBorders>
              <w:top w:val="nil"/>
              <w:left w:val="single" w:sz="8" w:space="0" w:color="auto"/>
              <w:bottom w:val="single" w:sz="4" w:space="0" w:color="auto"/>
              <w:right w:val="single" w:sz="8" w:space="0" w:color="auto"/>
            </w:tcBorders>
            <w:shd w:val="clear" w:color="auto" w:fill="auto"/>
            <w:noWrap/>
            <w:vAlign w:val="center"/>
            <w:hideMark/>
          </w:tcPr>
          <w:p w:rsidR="008C2AB6" w:rsidRPr="00016EB2" w:rsidRDefault="008C2AB6" w:rsidP="00CB386F">
            <w:pPr>
              <w:spacing w:after="0" w:line="480" w:lineRule="auto"/>
              <w:rPr>
                <w:color w:val="000000"/>
              </w:rPr>
            </w:pPr>
            <w:proofErr w:type="spellStart"/>
            <w:r w:rsidRPr="00016EB2">
              <w:rPr>
                <w:color w:val="000000"/>
              </w:rPr>
              <w:t>Rackoff</w:t>
            </w:r>
            <w:proofErr w:type="spellEnd"/>
            <w:r w:rsidRPr="00016EB2">
              <w:rPr>
                <w:color w:val="000000"/>
              </w:rPr>
              <w:t xml:space="preserve"> rule (low risk group)</w:t>
            </w:r>
          </w:p>
        </w:tc>
        <w:tc>
          <w:tcPr>
            <w:tcW w:w="1022" w:type="dxa"/>
            <w:tcBorders>
              <w:top w:val="nil"/>
              <w:left w:val="nil"/>
              <w:bottom w:val="single" w:sz="4" w:space="0" w:color="auto"/>
              <w:right w:val="single" w:sz="8" w:space="0" w:color="auto"/>
            </w:tcBorders>
            <w:shd w:val="clear" w:color="auto" w:fill="auto"/>
            <w:noWrap/>
            <w:vAlign w:val="center"/>
            <w:hideMark/>
          </w:tcPr>
          <w:p w:rsidR="008C2AB6" w:rsidRPr="00016EB2" w:rsidRDefault="008C2AB6" w:rsidP="00CB386F">
            <w:pPr>
              <w:spacing w:after="0" w:line="480" w:lineRule="auto"/>
              <w:jc w:val="right"/>
              <w:rPr>
                <w:color w:val="000000"/>
              </w:rPr>
            </w:pPr>
            <w:r w:rsidRPr="00016EB2">
              <w:rPr>
                <w:color w:val="000000"/>
              </w:rPr>
              <w:t>79</w:t>
            </w:r>
          </w:p>
        </w:tc>
        <w:tc>
          <w:tcPr>
            <w:tcW w:w="1665" w:type="dxa"/>
            <w:tcBorders>
              <w:top w:val="nil"/>
              <w:left w:val="nil"/>
              <w:bottom w:val="single" w:sz="4"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0.59</w:t>
            </w:r>
          </w:p>
          <w:p w:rsidR="008C2AB6" w:rsidRPr="00016EB2" w:rsidRDefault="008C2AB6" w:rsidP="00CB386F">
            <w:pPr>
              <w:spacing w:after="0" w:line="480" w:lineRule="auto"/>
              <w:rPr>
                <w:color w:val="000000"/>
              </w:rPr>
            </w:pPr>
            <w:r w:rsidRPr="00016EB2">
              <w:rPr>
                <w:color w:val="000000"/>
              </w:rPr>
              <w:t>(0.35 to 0.83)</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0.23</w:t>
            </w:r>
          </w:p>
          <w:p w:rsidR="008C2AB6" w:rsidRPr="00016EB2" w:rsidRDefault="008C2AB6" w:rsidP="00CB386F">
            <w:pPr>
              <w:spacing w:after="0" w:line="480" w:lineRule="auto"/>
              <w:rPr>
                <w:color w:val="000000"/>
              </w:rPr>
            </w:pPr>
            <w:r w:rsidRPr="00016EB2">
              <w:rPr>
                <w:color w:val="000000"/>
              </w:rPr>
              <w:t>(0.13 to 0.33)</w:t>
            </w:r>
          </w:p>
        </w:tc>
        <w:tc>
          <w:tcPr>
            <w:tcW w:w="1771" w:type="dxa"/>
            <w:tcBorders>
              <w:top w:val="nil"/>
              <w:left w:val="nil"/>
              <w:bottom w:val="single" w:sz="8" w:space="0" w:color="auto"/>
              <w:right w:val="single" w:sz="4"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0.593</w:t>
            </w:r>
          </w:p>
          <w:p w:rsidR="008C2AB6" w:rsidRPr="00016EB2" w:rsidRDefault="008C2AB6" w:rsidP="00CB386F">
            <w:pPr>
              <w:spacing w:after="0" w:line="480" w:lineRule="auto"/>
              <w:rPr>
                <w:color w:val="000000"/>
              </w:rPr>
            </w:pPr>
            <w:r w:rsidRPr="00016EB2">
              <w:rPr>
                <w:color w:val="000000"/>
              </w:rPr>
              <w:t>(0.46 to 0.72)</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AB6" w:rsidRDefault="008C2AB6" w:rsidP="00CB386F">
            <w:pPr>
              <w:spacing w:line="480" w:lineRule="auto"/>
              <w:jc w:val="right"/>
              <w:rPr>
                <w:color w:val="000000"/>
              </w:rPr>
            </w:pPr>
            <w:r>
              <w:rPr>
                <w:color w:val="000000"/>
              </w:rPr>
              <w:t>0.17</w:t>
            </w:r>
          </w:p>
        </w:tc>
      </w:tr>
      <w:tr w:rsidR="008C2AB6" w:rsidRPr="00016EB2" w:rsidTr="007757A5">
        <w:trPr>
          <w:trHeight w:val="300"/>
        </w:trPr>
        <w:tc>
          <w:tcPr>
            <w:tcW w:w="244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rPr>
                <w:color w:val="000000"/>
              </w:rPr>
            </w:pPr>
            <w:r w:rsidRPr="00016EB2">
              <w:rPr>
                <w:color w:val="000000"/>
              </w:rPr>
              <w:t xml:space="preserve">Alexander </w:t>
            </w:r>
          </w:p>
        </w:tc>
        <w:tc>
          <w:tcPr>
            <w:tcW w:w="1022" w:type="dxa"/>
            <w:tcBorders>
              <w:top w:val="single" w:sz="4" w:space="0" w:color="auto"/>
              <w:left w:val="nil"/>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jc w:val="right"/>
              <w:rPr>
                <w:color w:val="000000"/>
              </w:rPr>
            </w:pPr>
            <w:r w:rsidRPr="00016EB2">
              <w:rPr>
                <w:color w:val="000000"/>
              </w:rPr>
              <w:t>196</w:t>
            </w:r>
          </w:p>
        </w:tc>
        <w:tc>
          <w:tcPr>
            <w:tcW w:w="1665" w:type="dxa"/>
            <w:tcBorders>
              <w:top w:val="single" w:sz="4" w:space="0" w:color="auto"/>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0.96</w:t>
            </w:r>
          </w:p>
          <w:p w:rsidR="008C2AB6" w:rsidRPr="00016EB2" w:rsidRDefault="008C2AB6" w:rsidP="00CB386F">
            <w:pPr>
              <w:spacing w:after="0" w:line="480" w:lineRule="auto"/>
              <w:rPr>
                <w:color w:val="000000"/>
              </w:rPr>
            </w:pPr>
            <w:r w:rsidRPr="00016EB2">
              <w:rPr>
                <w:color w:val="000000"/>
              </w:rPr>
              <w:t>(0.91 to 1)</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0.13</w:t>
            </w:r>
          </w:p>
          <w:p w:rsidR="008C2AB6" w:rsidRPr="00016EB2" w:rsidRDefault="008C2AB6" w:rsidP="00CB386F">
            <w:pPr>
              <w:spacing w:after="0" w:line="480" w:lineRule="auto"/>
              <w:rPr>
                <w:color w:val="000000"/>
              </w:rPr>
            </w:pPr>
            <w:r w:rsidRPr="00016EB2">
              <w:rPr>
                <w:color w:val="000000"/>
              </w:rPr>
              <w:t>(0.07 to 0.19)</w:t>
            </w:r>
          </w:p>
        </w:tc>
        <w:tc>
          <w:tcPr>
            <w:tcW w:w="1771" w:type="dxa"/>
            <w:tcBorders>
              <w:top w:val="nil"/>
              <w:left w:val="nil"/>
              <w:bottom w:val="single" w:sz="8" w:space="0" w:color="auto"/>
              <w:right w:val="single" w:sz="4"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0.547</w:t>
            </w:r>
          </w:p>
          <w:p w:rsidR="008C2AB6" w:rsidRPr="00016EB2" w:rsidRDefault="008C2AB6" w:rsidP="00CB386F">
            <w:pPr>
              <w:spacing w:after="0" w:line="480" w:lineRule="auto"/>
              <w:rPr>
                <w:color w:val="000000"/>
              </w:rPr>
            </w:pPr>
            <w:r w:rsidRPr="00016EB2">
              <w:rPr>
                <w:color w:val="000000"/>
              </w:rPr>
              <w:t>(0.51 to 0.59)</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AB6" w:rsidRDefault="008C2AB6" w:rsidP="00CB386F">
            <w:pPr>
              <w:spacing w:line="480" w:lineRule="auto"/>
              <w:jc w:val="right"/>
              <w:rPr>
                <w:color w:val="000000"/>
              </w:rPr>
            </w:pPr>
            <w:r>
              <w:rPr>
                <w:color w:val="000000"/>
              </w:rPr>
              <w:t>0.01</w:t>
            </w:r>
          </w:p>
        </w:tc>
      </w:tr>
      <w:tr w:rsidR="008C2AB6" w:rsidRPr="00016EB2" w:rsidTr="007757A5">
        <w:trPr>
          <w:trHeight w:val="300"/>
        </w:trPr>
        <w:tc>
          <w:tcPr>
            <w:tcW w:w="2445" w:type="dxa"/>
            <w:tcBorders>
              <w:top w:val="nil"/>
              <w:left w:val="single" w:sz="8" w:space="0" w:color="auto"/>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rPr>
                <w:color w:val="000000"/>
              </w:rPr>
            </w:pPr>
            <w:r w:rsidRPr="00016EB2">
              <w:rPr>
                <w:color w:val="000000"/>
              </w:rPr>
              <w:t xml:space="preserve">PINDA </w:t>
            </w:r>
          </w:p>
        </w:tc>
        <w:tc>
          <w:tcPr>
            <w:tcW w:w="1022" w:type="dxa"/>
            <w:tcBorders>
              <w:top w:val="nil"/>
              <w:left w:val="nil"/>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jc w:val="right"/>
              <w:rPr>
                <w:color w:val="000000"/>
              </w:rPr>
            </w:pPr>
            <w:r w:rsidRPr="00016EB2">
              <w:rPr>
                <w:color w:val="000000"/>
              </w:rPr>
              <w:t>17</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0.8</w:t>
            </w:r>
          </w:p>
          <w:p w:rsidR="008C2AB6" w:rsidRPr="00016EB2" w:rsidRDefault="008C2AB6" w:rsidP="00CB386F">
            <w:pPr>
              <w:spacing w:after="0" w:line="480" w:lineRule="auto"/>
              <w:rPr>
                <w:color w:val="000000"/>
              </w:rPr>
            </w:pPr>
            <w:r w:rsidRPr="00016EB2">
              <w:rPr>
                <w:color w:val="000000"/>
              </w:rPr>
              <w:t>(0.41 to 1)</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0.33</w:t>
            </w:r>
          </w:p>
          <w:p w:rsidR="008C2AB6" w:rsidRPr="00016EB2" w:rsidRDefault="008C2AB6" w:rsidP="00CB386F">
            <w:pPr>
              <w:spacing w:after="0" w:line="480" w:lineRule="auto"/>
              <w:rPr>
                <w:color w:val="000000"/>
              </w:rPr>
            </w:pPr>
            <w:r w:rsidRPr="00016EB2">
              <w:rPr>
                <w:color w:val="000000"/>
              </w:rPr>
              <w:t>(0.05 to 0.61)</w:t>
            </w:r>
          </w:p>
        </w:tc>
        <w:tc>
          <w:tcPr>
            <w:tcW w:w="1771" w:type="dxa"/>
            <w:tcBorders>
              <w:top w:val="nil"/>
              <w:left w:val="nil"/>
              <w:bottom w:val="single" w:sz="8" w:space="0" w:color="auto"/>
              <w:right w:val="single" w:sz="4"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0.567</w:t>
            </w:r>
          </w:p>
          <w:p w:rsidR="008C2AB6" w:rsidRPr="00016EB2" w:rsidRDefault="008C2AB6" w:rsidP="00CB386F">
            <w:pPr>
              <w:spacing w:after="0" w:line="480" w:lineRule="auto"/>
              <w:rPr>
                <w:color w:val="000000"/>
              </w:rPr>
            </w:pPr>
            <w:r w:rsidRPr="00016EB2">
              <w:rPr>
                <w:color w:val="000000"/>
              </w:rPr>
              <w:t>(0.33 to 0.81)</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AB6" w:rsidRDefault="008C2AB6" w:rsidP="00CB386F">
            <w:pPr>
              <w:spacing w:line="480" w:lineRule="auto"/>
              <w:jc w:val="right"/>
              <w:rPr>
                <w:color w:val="000000"/>
              </w:rPr>
            </w:pPr>
            <w:r>
              <w:rPr>
                <w:color w:val="000000"/>
              </w:rPr>
              <w:t>0.59</w:t>
            </w:r>
          </w:p>
        </w:tc>
      </w:tr>
      <w:tr w:rsidR="008C2AB6" w:rsidRPr="00016EB2" w:rsidTr="007757A5">
        <w:trPr>
          <w:trHeight w:val="300"/>
        </w:trPr>
        <w:tc>
          <w:tcPr>
            <w:tcW w:w="2445" w:type="dxa"/>
            <w:tcBorders>
              <w:top w:val="nil"/>
              <w:left w:val="single" w:sz="8" w:space="0" w:color="auto"/>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rPr>
                <w:color w:val="000000"/>
              </w:rPr>
            </w:pPr>
            <w:r w:rsidRPr="00016EB2">
              <w:rPr>
                <w:color w:val="000000"/>
              </w:rPr>
              <w:t xml:space="preserve">SPOG </w:t>
            </w:r>
          </w:p>
        </w:tc>
        <w:tc>
          <w:tcPr>
            <w:tcW w:w="1022" w:type="dxa"/>
            <w:tcBorders>
              <w:top w:val="nil"/>
              <w:left w:val="nil"/>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jc w:val="right"/>
              <w:rPr>
                <w:color w:val="000000"/>
              </w:rPr>
            </w:pPr>
            <w:r w:rsidRPr="00016EB2">
              <w:rPr>
                <w:color w:val="000000"/>
              </w:rPr>
              <w:t>30</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0.73</w:t>
            </w:r>
          </w:p>
          <w:p w:rsidR="008C2AB6" w:rsidRPr="00016EB2" w:rsidRDefault="008C2AB6" w:rsidP="00CB386F">
            <w:pPr>
              <w:spacing w:after="0" w:line="480" w:lineRule="auto"/>
              <w:rPr>
                <w:color w:val="000000"/>
              </w:rPr>
            </w:pPr>
            <w:r w:rsidRPr="00016EB2">
              <w:rPr>
                <w:color w:val="000000"/>
              </w:rPr>
              <w:t>(0.45 to 1)</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0.21</w:t>
            </w:r>
          </w:p>
          <w:p w:rsidR="008C2AB6" w:rsidRPr="00016EB2" w:rsidRDefault="008C2AB6" w:rsidP="00CB386F">
            <w:pPr>
              <w:spacing w:after="0" w:line="480" w:lineRule="auto"/>
              <w:rPr>
                <w:color w:val="000000"/>
              </w:rPr>
            </w:pPr>
            <w:r w:rsidRPr="00016EB2">
              <w:rPr>
                <w:color w:val="000000"/>
              </w:rPr>
              <w:t>(0.02 to 0.4)</w:t>
            </w:r>
          </w:p>
        </w:tc>
        <w:tc>
          <w:tcPr>
            <w:tcW w:w="1771" w:type="dxa"/>
            <w:tcBorders>
              <w:top w:val="nil"/>
              <w:left w:val="nil"/>
              <w:bottom w:val="single" w:sz="8" w:space="0" w:color="auto"/>
              <w:right w:val="single" w:sz="4"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0.531</w:t>
            </w:r>
          </w:p>
          <w:p w:rsidR="008C2AB6" w:rsidRPr="00016EB2" w:rsidRDefault="008C2AB6" w:rsidP="00CB386F">
            <w:pPr>
              <w:spacing w:after="0" w:line="480" w:lineRule="auto"/>
              <w:rPr>
                <w:color w:val="000000"/>
              </w:rPr>
            </w:pPr>
            <w:r w:rsidRPr="00016EB2">
              <w:rPr>
                <w:color w:val="000000"/>
              </w:rPr>
              <w:t>(0.36 to 0.70)</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AB6" w:rsidRDefault="008C2AB6" w:rsidP="00CB386F">
            <w:pPr>
              <w:spacing w:line="480" w:lineRule="auto"/>
              <w:jc w:val="right"/>
              <w:rPr>
                <w:color w:val="000000"/>
              </w:rPr>
            </w:pPr>
            <w:r>
              <w:rPr>
                <w:color w:val="000000"/>
              </w:rPr>
              <w:t>0.72</w:t>
            </w:r>
          </w:p>
        </w:tc>
      </w:tr>
      <w:tr w:rsidR="008C2AB6" w:rsidRPr="00016EB2" w:rsidTr="007757A5">
        <w:trPr>
          <w:trHeight w:val="300"/>
        </w:trPr>
        <w:tc>
          <w:tcPr>
            <w:tcW w:w="2445" w:type="dxa"/>
            <w:tcBorders>
              <w:top w:val="nil"/>
              <w:left w:val="single" w:sz="8" w:space="0" w:color="auto"/>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rPr>
                <w:color w:val="000000"/>
              </w:rPr>
            </w:pPr>
            <w:proofErr w:type="spellStart"/>
            <w:r w:rsidRPr="00016EB2">
              <w:rPr>
                <w:color w:val="000000"/>
              </w:rPr>
              <w:t>Ammann</w:t>
            </w:r>
            <w:proofErr w:type="spellEnd"/>
            <w:r w:rsidRPr="00016EB2">
              <w:rPr>
                <w:color w:val="000000"/>
              </w:rPr>
              <w:t xml:space="preserve"> </w:t>
            </w:r>
          </w:p>
        </w:tc>
        <w:tc>
          <w:tcPr>
            <w:tcW w:w="1022" w:type="dxa"/>
            <w:tcBorders>
              <w:top w:val="nil"/>
              <w:left w:val="nil"/>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jc w:val="right"/>
              <w:rPr>
                <w:color w:val="000000"/>
              </w:rPr>
            </w:pPr>
            <w:r w:rsidRPr="00016EB2">
              <w:rPr>
                <w:color w:val="000000"/>
              </w:rPr>
              <w:t>18</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0.33</w:t>
            </w:r>
          </w:p>
          <w:p w:rsidR="008C2AB6" w:rsidRPr="00016EB2" w:rsidRDefault="008C2AB6" w:rsidP="00CB386F">
            <w:pPr>
              <w:spacing w:after="0" w:line="480" w:lineRule="auto"/>
              <w:rPr>
                <w:color w:val="000000"/>
              </w:rPr>
            </w:pPr>
            <w:r w:rsidRPr="00016EB2">
              <w:rPr>
                <w:color w:val="000000"/>
              </w:rPr>
              <w:t>(0 to 0.74)</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0.83</w:t>
            </w:r>
          </w:p>
          <w:p w:rsidR="008C2AB6" w:rsidRPr="00016EB2" w:rsidRDefault="008C2AB6" w:rsidP="00CB386F">
            <w:pPr>
              <w:spacing w:after="0" w:line="480" w:lineRule="auto"/>
              <w:rPr>
                <w:color w:val="000000"/>
              </w:rPr>
            </w:pPr>
            <w:r w:rsidRPr="00016EB2">
              <w:rPr>
                <w:color w:val="000000"/>
              </w:rPr>
              <w:t>(0.61 to 1)</w:t>
            </w:r>
          </w:p>
        </w:tc>
        <w:tc>
          <w:tcPr>
            <w:tcW w:w="1771" w:type="dxa"/>
            <w:tcBorders>
              <w:top w:val="nil"/>
              <w:left w:val="nil"/>
              <w:bottom w:val="single" w:sz="8" w:space="0" w:color="auto"/>
              <w:right w:val="single" w:sz="4"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0.583</w:t>
            </w:r>
          </w:p>
          <w:p w:rsidR="008C2AB6" w:rsidRPr="00016EB2" w:rsidRDefault="008C2AB6" w:rsidP="00CB386F">
            <w:pPr>
              <w:spacing w:after="0" w:line="480" w:lineRule="auto"/>
              <w:rPr>
                <w:color w:val="000000"/>
              </w:rPr>
            </w:pPr>
            <w:r w:rsidRPr="00016EB2">
              <w:rPr>
                <w:color w:val="000000"/>
              </w:rPr>
              <w:t>(0.35 to 0.82)</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AB6" w:rsidRDefault="008C2AB6" w:rsidP="00CB386F">
            <w:pPr>
              <w:spacing w:line="480" w:lineRule="auto"/>
              <w:jc w:val="right"/>
              <w:rPr>
                <w:color w:val="000000"/>
              </w:rPr>
            </w:pPr>
            <w:r>
              <w:rPr>
                <w:color w:val="000000"/>
              </w:rPr>
              <w:t>0.49</w:t>
            </w:r>
          </w:p>
        </w:tc>
      </w:tr>
      <w:tr w:rsidR="008C2AB6" w:rsidRPr="00016EB2" w:rsidTr="007757A5">
        <w:trPr>
          <w:trHeight w:val="300"/>
        </w:trPr>
        <w:tc>
          <w:tcPr>
            <w:tcW w:w="2445" w:type="dxa"/>
            <w:tcBorders>
              <w:top w:val="nil"/>
              <w:left w:val="single" w:sz="8" w:space="0" w:color="auto"/>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rPr>
                <w:color w:val="000000"/>
              </w:rPr>
            </w:pPr>
            <w:r w:rsidRPr="00016EB2">
              <w:rPr>
                <w:color w:val="000000"/>
              </w:rPr>
              <w:t>MASCC (upper)</w:t>
            </w:r>
          </w:p>
        </w:tc>
        <w:tc>
          <w:tcPr>
            <w:tcW w:w="1022" w:type="dxa"/>
            <w:tcBorders>
              <w:top w:val="nil"/>
              <w:left w:val="nil"/>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jc w:val="right"/>
              <w:rPr>
                <w:color w:val="000000"/>
              </w:rPr>
            </w:pPr>
            <w:r w:rsidRPr="00016EB2">
              <w:rPr>
                <w:color w:val="000000"/>
              </w:rPr>
              <w:t>113</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0.73</w:t>
            </w:r>
          </w:p>
          <w:p w:rsidR="008C2AB6" w:rsidRPr="00016EB2" w:rsidRDefault="008C2AB6" w:rsidP="00CB386F">
            <w:pPr>
              <w:spacing w:after="0" w:line="480" w:lineRule="auto"/>
              <w:rPr>
                <w:color w:val="000000"/>
              </w:rPr>
            </w:pPr>
            <w:r w:rsidRPr="00016EB2">
              <w:rPr>
                <w:color w:val="000000"/>
              </w:rPr>
              <w:t>(0.56 to 0.9)</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0.36</w:t>
            </w:r>
          </w:p>
          <w:p w:rsidR="008C2AB6" w:rsidRPr="00016EB2" w:rsidRDefault="008C2AB6" w:rsidP="00CB386F">
            <w:pPr>
              <w:spacing w:after="0" w:line="480" w:lineRule="auto"/>
              <w:rPr>
                <w:color w:val="000000"/>
              </w:rPr>
            </w:pPr>
            <w:r w:rsidRPr="00016EB2">
              <w:rPr>
                <w:color w:val="000000"/>
              </w:rPr>
              <w:t>(0.26 to 0.46)</w:t>
            </w:r>
          </w:p>
        </w:tc>
        <w:tc>
          <w:tcPr>
            <w:tcW w:w="1771" w:type="dxa"/>
            <w:tcBorders>
              <w:top w:val="nil"/>
              <w:left w:val="nil"/>
              <w:bottom w:val="single" w:sz="8" w:space="0" w:color="auto"/>
              <w:right w:val="single" w:sz="4"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0.544</w:t>
            </w:r>
          </w:p>
          <w:p w:rsidR="008C2AB6" w:rsidRPr="00016EB2" w:rsidRDefault="008C2AB6" w:rsidP="00CB386F">
            <w:pPr>
              <w:spacing w:after="0" w:line="480" w:lineRule="auto"/>
              <w:rPr>
                <w:color w:val="000000"/>
              </w:rPr>
            </w:pPr>
            <w:r w:rsidRPr="00016EB2">
              <w:rPr>
                <w:color w:val="000000"/>
              </w:rPr>
              <w:t>(0.44 to 0.65)</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AB6" w:rsidRDefault="008C2AB6" w:rsidP="00CB386F">
            <w:pPr>
              <w:spacing w:line="480" w:lineRule="auto"/>
              <w:jc w:val="right"/>
              <w:rPr>
                <w:color w:val="000000"/>
              </w:rPr>
            </w:pPr>
            <w:r>
              <w:rPr>
                <w:color w:val="000000"/>
              </w:rPr>
              <w:t>0.41</w:t>
            </w:r>
          </w:p>
        </w:tc>
      </w:tr>
      <w:tr w:rsidR="008C2AB6" w:rsidRPr="00016EB2" w:rsidTr="007757A5">
        <w:trPr>
          <w:trHeight w:val="300"/>
        </w:trPr>
        <w:tc>
          <w:tcPr>
            <w:tcW w:w="2445" w:type="dxa"/>
            <w:tcBorders>
              <w:top w:val="nil"/>
              <w:left w:val="single" w:sz="8" w:space="0" w:color="auto"/>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rPr>
                <w:color w:val="000000"/>
              </w:rPr>
            </w:pPr>
            <w:r w:rsidRPr="00016EB2">
              <w:rPr>
                <w:color w:val="000000"/>
              </w:rPr>
              <w:t>MASCC (lower)</w:t>
            </w:r>
          </w:p>
        </w:tc>
        <w:tc>
          <w:tcPr>
            <w:tcW w:w="1022" w:type="dxa"/>
            <w:tcBorders>
              <w:top w:val="nil"/>
              <w:left w:val="nil"/>
              <w:bottom w:val="single" w:sz="8" w:space="0" w:color="auto"/>
              <w:right w:val="single" w:sz="8" w:space="0" w:color="auto"/>
            </w:tcBorders>
            <w:shd w:val="clear" w:color="auto" w:fill="auto"/>
            <w:noWrap/>
            <w:vAlign w:val="center"/>
            <w:hideMark/>
          </w:tcPr>
          <w:p w:rsidR="008C2AB6" w:rsidRPr="00016EB2" w:rsidRDefault="008C2AB6" w:rsidP="00CB386F">
            <w:pPr>
              <w:spacing w:after="0" w:line="480" w:lineRule="auto"/>
              <w:jc w:val="right"/>
              <w:rPr>
                <w:color w:val="000000"/>
              </w:rPr>
            </w:pPr>
            <w:r w:rsidRPr="00016EB2">
              <w:rPr>
                <w:color w:val="000000"/>
              </w:rPr>
              <w:t>113</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0.38</w:t>
            </w:r>
          </w:p>
          <w:p w:rsidR="008C2AB6" w:rsidRPr="00016EB2" w:rsidRDefault="008C2AB6" w:rsidP="00CB386F">
            <w:pPr>
              <w:spacing w:after="0" w:line="480" w:lineRule="auto"/>
              <w:rPr>
                <w:color w:val="000000"/>
              </w:rPr>
            </w:pPr>
            <w:r w:rsidRPr="00016EB2">
              <w:rPr>
                <w:color w:val="000000"/>
              </w:rPr>
              <w:t>(0.19 to 0.57)</w:t>
            </w:r>
          </w:p>
        </w:tc>
        <w:tc>
          <w:tcPr>
            <w:tcW w:w="1665" w:type="dxa"/>
            <w:tcBorders>
              <w:top w:val="nil"/>
              <w:left w:val="nil"/>
              <w:bottom w:val="single" w:sz="8" w:space="0" w:color="auto"/>
              <w:right w:val="single" w:sz="8"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0.64</w:t>
            </w:r>
          </w:p>
          <w:p w:rsidR="008C2AB6" w:rsidRPr="00016EB2" w:rsidRDefault="008C2AB6" w:rsidP="00CB386F">
            <w:pPr>
              <w:spacing w:after="0" w:line="480" w:lineRule="auto"/>
              <w:rPr>
                <w:color w:val="000000"/>
              </w:rPr>
            </w:pPr>
            <w:r w:rsidRPr="00016EB2">
              <w:rPr>
                <w:color w:val="000000"/>
              </w:rPr>
              <w:t>(0.54 to 0.74)</w:t>
            </w:r>
          </w:p>
        </w:tc>
        <w:tc>
          <w:tcPr>
            <w:tcW w:w="1771" w:type="dxa"/>
            <w:tcBorders>
              <w:top w:val="nil"/>
              <w:left w:val="nil"/>
              <w:bottom w:val="single" w:sz="8" w:space="0" w:color="auto"/>
              <w:right w:val="single" w:sz="4" w:space="0" w:color="auto"/>
            </w:tcBorders>
            <w:shd w:val="clear" w:color="auto" w:fill="auto"/>
            <w:noWrap/>
            <w:vAlign w:val="center"/>
            <w:hideMark/>
          </w:tcPr>
          <w:p w:rsidR="008C2AB6" w:rsidRDefault="008C2AB6" w:rsidP="00CB386F">
            <w:pPr>
              <w:spacing w:after="0" w:line="480" w:lineRule="auto"/>
              <w:rPr>
                <w:color w:val="000000"/>
              </w:rPr>
            </w:pPr>
            <w:r w:rsidRPr="00016EB2">
              <w:rPr>
                <w:color w:val="000000"/>
              </w:rPr>
              <w:t>0.514</w:t>
            </w:r>
          </w:p>
          <w:p w:rsidR="008C2AB6" w:rsidRPr="00016EB2" w:rsidRDefault="008C2AB6" w:rsidP="00CB386F">
            <w:pPr>
              <w:spacing w:after="0" w:line="480" w:lineRule="auto"/>
              <w:rPr>
                <w:color w:val="000000"/>
              </w:rPr>
            </w:pPr>
            <w:r w:rsidRPr="00016EB2">
              <w:rPr>
                <w:color w:val="000000"/>
              </w:rPr>
              <w:t>(0.40 to 0.62)</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AB6" w:rsidRDefault="008C2AB6" w:rsidP="00CB386F">
            <w:pPr>
              <w:spacing w:line="480" w:lineRule="auto"/>
              <w:jc w:val="right"/>
              <w:rPr>
                <w:color w:val="000000"/>
              </w:rPr>
            </w:pPr>
            <w:r>
              <w:rPr>
                <w:color w:val="000000"/>
              </w:rPr>
              <w:t>0.81</w:t>
            </w:r>
          </w:p>
        </w:tc>
      </w:tr>
    </w:tbl>
    <w:p w:rsidR="00551C00" w:rsidRDefault="00551C00" w:rsidP="00CB386F">
      <w:pPr>
        <w:spacing w:line="480" w:lineRule="auto"/>
      </w:pPr>
      <w:r>
        <w:t>TABLE 2: DISCRIMINATORY VALUES</w:t>
      </w:r>
    </w:p>
    <w:p w:rsidR="00551C00" w:rsidRDefault="00551C00" w:rsidP="00CB386F">
      <w:pPr>
        <w:spacing w:line="480" w:lineRule="auto"/>
      </w:pPr>
      <w:r>
        <w:t>95% CI = 95% confidence interval</w:t>
      </w:r>
      <w:r w:rsidR="008C2AB6">
        <w:t xml:space="preserve">, </w:t>
      </w:r>
      <w:r w:rsidR="005E1136">
        <w:t>p-value uses h</w:t>
      </w:r>
      <w:r w:rsidR="008C2AB6">
        <w:t>ypothesis test H</w:t>
      </w:r>
      <w:r w:rsidR="008C2AB6" w:rsidRPr="008C2AB6">
        <w:rPr>
          <w:vertAlign w:val="subscript"/>
        </w:rPr>
        <w:t>0</w:t>
      </w:r>
      <w:r w:rsidR="008C2AB6">
        <w:t xml:space="preserve"> AUC ROC = 0.5 (no discriminatory value) </w:t>
      </w:r>
    </w:p>
    <w:p w:rsidR="00551C00" w:rsidRDefault="00551C00" w:rsidP="00CB386F">
      <w:pPr>
        <w:spacing w:line="480" w:lineRule="auto"/>
      </w:pPr>
      <w:r>
        <w:t xml:space="preserve">The predictive ability of the rules, outlining the proportion of </w:t>
      </w:r>
      <w:r w:rsidR="00AE1849">
        <w:t>episodes</w:t>
      </w:r>
      <w:r>
        <w:t xml:space="preserve"> classified as low risk, and the proportion of correct classifications of low-risk episodes, are detailed in Table 3.</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8"/>
        <w:gridCol w:w="1009"/>
        <w:gridCol w:w="1637"/>
        <w:gridCol w:w="1637"/>
        <w:gridCol w:w="1842"/>
      </w:tblGrid>
      <w:tr w:rsidR="008C2AB6" w:rsidRPr="00C7311D" w:rsidTr="008C2AB6">
        <w:trPr>
          <w:trHeight w:val="288"/>
        </w:trPr>
        <w:tc>
          <w:tcPr>
            <w:tcW w:w="2428" w:type="dxa"/>
            <w:noWrap/>
          </w:tcPr>
          <w:p w:rsidR="008C2AB6" w:rsidRPr="00C7311D" w:rsidRDefault="008C2AB6" w:rsidP="00CB386F">
            <w:pPr>
              <w:spacing w:after="0" w:line="480" w:lineRule="auto"/>
              <w:rPr>
                <w:color w:val="000000"/>
              </w:rPr>
            </w:pPr>
          </w:p>
        </w:tc>
        <w:tc>
          <w:tcPr>
            <w:tcW w:w="1009" w:type="dxa"/>
            <w:noWrap/>
          </w:tcPr>
          <w:p w:rsidR="008C2AB6" w:rsidRPr="00C7311D" w:rsidRDefault="008C2AB6" w:rsidP="00CB386F">
            <w:pPr>
              <w:spacing w:after="0" w:line="480" w:lineRule="auto"/>
              <w:rPr>
                <w:color w:val="000000"/>
              </w:rPr>
            </w:pPr>
            <w:r w:rsidRPr="00C7311D">
              <w:rPr>
                <w:color w:val="000000"/>
              </w:rPr>
              <w:t>N</w:t>
            </w:r>
            <w:r>
              <w:rPr>
                <w:color w:val="000000"/>
              </w:rPr>
              <w:t>umber of</w:t>
            </w:r>
            <w:r w:rsidRPr="00C7311D">
              <w:rPr>
                <w:color w:val="000000"/>
              </w:rPr>
              <w:t xml:space="preserve"> episodes</w:t>
            </w:r>
            <w:r>
              <w:rPr>
                <w:color w:val="000000"/>
              </w:rPr>
              <w:t xml:space="preserve"> available for analysis</w:t>
            </w:r>
          </w:p>
        </w:tc>
        <w:tc>
          <w:tcPr>
            <w:tcW w:w="1637" w:type="dxa"/>
          </w:tcPr>
          <w:p w:rsidR="008C2AB6" w:rsidRPr="00C7311D" w:rsidRDefault="008C2AB6" w:rsidP="00CB386F">
            <w:pPr>
              <w:spacing w:after="0" w:line="480" w:lineRule="auto"/>
              <w:rPr>
                <w:color w:val="000000"/>
              </w:rPr>
            </w:pPr>
            <w:r>
              <w:rPr>
                <w:color w:val="000000"/>
              </w:rPr>
              <w:t>Proportion</w:t>
            </w:r>
            <w:r w:rsidRPr="00C7311D">
              <w:rPr>
                <w:color w:val="000000"/>
              </w:rPr>
              <w:t xml:space="preserve"> of episodes with MDI</w:t>
            </w:r>
          </w:p>
        </w:tc>
        <w:tc>
          <w:tcPr>
            <w:tcW w:w="1637" w:type="dxa"/>
            <w:noWrap/>
          </w:tcPr>
          <w:p w:rsidR="008C2AB6" w:rsidRPr="00C7311D" w:rsidRDefault="008C2AB6" w:rsidP="00CB386F">
            <w:pPr>
              <w:spacing w:after="0" w:line="480" w:lineRule="auto"/>
              <w:rPr>
                <w:color w:val="000000"/>
              </w:rPr>
            </w:pPr>
            <w:r w:rsidRPr="00C7311D">
              <w:rPr>
                <w:color w:val="000000"/>
              </w:rPr>
              <w:t>Number and proportion of episodes classified as low risk</w:t>
            </w:r>
          </w:p>
        </w:tc>
        <w:tc>
          <w:tcPr>
            <w:tcW w:w="1842" w:type="dxa"/>
            <w:noWrap/>
          </w:tcPr>
          <w:p w:rsidR="008C2AB6" w:rsidRPr="00C7311D" w:rsidRDefault="008C2AB6" w:rsidP="00CB386F">
            <w:pPr>
              <w:spacing w:after="0" w:line="480" w:lineRule="auto"/>
              <w:rPr>
                <w:color w:val="000000"/>
              </w:rPr>
            </w:pPr>
            <w:r w:rsidRPr="00C7311D">
              <w:rPr>
                <w:color w:val="000000"/>
              </w:rPr>
              <w:t>Number and proportion  of low risk patients classified incorrectly</w:t>
            </w:r>
          </w:p>
        </w:tc>
      </w:tr>
      <w:tr w:rsidR="007F46F2" w:rsidRPr="00C7311D" w:rsidTr="004F337C">
        <w:trPr>
          <w:trHeight w:val="300"/>
        </w:trPr>
        <w:tc>
          <w:tcPr>
            <w:tcW w:w="2428" w:type="dxa"/>
            <w:noWrap/>
          </w:tcPr>
          <w:p w:rsidR="007F46F2" w:rsidRPr="00C7311D" w:rsidRDefault="007F46F2" w:rsidP="00CB386F">
            <w:pPr>
              <w:spacing w:after="0" w:line="480" w:lineRule="auto"/>
              <w:rPr>
                <w:color w:val="000000"/>
              </w:rPr>
            </w:pPr>
            <w:proofErr w:type="spellStart"/>
            <w:r w:rsidRPr="00C7311D">
              <w:rPr>
                <w:color w:val="000000"/>
              </w:rPr>
              <w:t>Rackoff</w:t>
            </w:r>
            <w:proofErr w:type="spellEnd"/>
            <w:r w:rsidRPr="00C7311D">
              <w:rPr>
                <w:color w:val="000000"/>
              </w:rPr>
              <w:t xml:space="preserve"> rule (low risk)</w:t>
            </w:r>
          </w:p>
        </w:tc>
        <w:tc>
          <w:tcPr>
            <w:tcW w:w="1009" w:type="dxa"/>
            <w:noWrap/>
          </w:tcPr>
          <w:p w:rsidR="007F46F2" w:rsidRPr="00C7311D" w:rsidRDefault="007F46F2" w:rsidP="00CB386F">
            <w:pPr>
              <w:spacing w:after="0" w:line="480" w:lineRule="auto"/>
              <w:jc w:val="right"/>
              <w:rPr>
                <w:color w:val="000000"/>
              </w:rPr>
            </w:pPr>
            <w:r w:rsidRPr="00C7311D">
              <w:rPr>
                <w:color w:val="000000"/>
              </w:rPr>
              <w:t>79</w:t>
            </w:r>
          </w:p>
        </w:tc>
        <w:tc>
          <w:tcPr>
            <w:tcW w:w="1637" w:type="dxa"/>
            <w:vAlign w:val="bottom"/>
          </w:tcPr>
          <w:p w:rsidR="007F46F2" w:rsidRDefault="007F46F2" w:rsidP="00CB386F">
            <w:pPr>
              <w:spacing w:line="480" w:lineRule="auto"/>
              <w:jc w:val="right"/>
              <w:rPr>
                <w:color w:val="000000"/>
              </w:rPr>
            </w:pPr>
            <w:r>
              <w:rPr>
                <w:color w:val="000000"/>
              </w:rPr>
              <w:t>17 (22%)</w:t>
            </w:r>
          </w:p>
        </w:tc>
        <w:tc>
          <w:tcPr>
            <w:tcW w:w="1637" w:type="dxa"/>
            <w:noWrap/>
          </w:tcPr>
          <w:p w:rsidR="007F46F2" w:rsidRPr="00530386" w:rsidRDefault="007F46F2" w:rsidP="00CB386F">
            <w:pPr>
              <w:spacing w:line="480" w:lineRule="auto"/>
              <w:jc w:val="right"/>
            </w:pPr>
            <w:r w:rsidRPr="00530386">
              <w:t>21 (27%)</w:t>
            </w:r>
          </w:p>
        </w:tc>
        <w:tc>
          <w:tcPr>
            <w:tcW w:w="1842" w:type="dxa"/>
            <w:noWrap/>
            <w:vAlign w:val="bottom"/>
          </w:tcPr>
          <w:p w:rsidR="007F46F2" w:rsidRDefault="007F46F2" w:rsidP="00CB386F">
            <w:pPr>
              <w:spacing w:line="480" w:lineRule="auto"/>
              <w:jc w:val="right"/>
              <w:rPr>
                <w:color w:val="000000"/>
              </w:rPr>
            </w:pPr>
            <w:r>
              <w:rPr>
                <w:color w:val="000000"/>
              </w:rPr>
              <w:t>7 (33%)</w:t>
            </w:r>
          </w:p>
        </w:tc>
      </w:tr>
      <w:tr w:rsidR="007F46F2" w:rsidRPr="00C7311D" w:rsidTr="004F337C">
        <w:trPr>
          <w:trHeight w:val="300"/>
        </w:trPr>
        <w:tc>
          <w:tcPr>
            <w:tcW w:w="2428" w:type="dxa"/>
            <w:noWrap/>
          </w:tcPr>
          <w:p w:rsidR="007F46F2" w:rsidRPr="00C7311D" w:rsidRDefault="007F46F2" w:rsidP="00CB386F">
            <w:pPr>
              <w:spacing w:after="0" w:line="480" w:lineRule="auto"/>
              <w:rPr>
                <w:color w:val="000000"/>
              </w:rPr>
            </w:pPr>
            <w:r w:rsidRPr="00C7311D">
              <w:rPr>
                <w:color w:val="000000"/>
              </w:rPr>
              <w:t xml:space="preserve">Alexander </w:t>
            </w:r>
          </w:p>
        </w:tc>
        <w:tc>
          <w:tcPr>
            <w:tcW w:w="1009" w:type="dxa"/>
            <w:noWrap/>
          </w:tcPr>
          <w:p w:rsidR="007F46F2" w:rsidRPr="00C7311D" w:rsidRDefault="007F46F2" w:rsidP="00CB386F">
            <w:pPr>
              <w:spacing w:after="0" w:line="480" w:lineRule="auto"/>
              <w:jc w:val="right"/>
              <w:rPr>
                <w:color w:val="000000"/>
              </w:rPr>
            </w:pPr>
            <w:r w:rsidRPr="00C7311D">
              <w:rPr>
                <w:color w:val="000000"/>
              </w:rPr>
              <w:t>196</w:t>
            </w:r>
          </w:p>
        </w:tc>
        <w:tc>
          <w:tcPr>
            <w:tcW w:w="1637" w:type="dxa"/>
            <w:vAlign w:val="bottom"/>
          </w:tcPr>
          <w:p w:rsidR="007F46F2" w:rsidRDefault="007F46F2" w:rsidP="00CB386F">
            <w:pPr>
              <w:spacing w:line="480" w:lineRule="auto"/>
              <w:jc w:val="right"/>
              <w:rPr>
                <w:color w:val="000000"/>
              </w:rPr>
            </w:pPr>
            <w:r>
              <w:rPr>
                <w:color w:val="000000"/>
              </w:rPr>
              <w:t>52 (27%)</w:t>
            </w:r>
          </w:p>
        </w:tc>
        <w:tc>
          <w:tcPr>
            <w:tcW w:w="1637" w:type="dxa"/>
            <w:noWrap/>
          </w:tcPr>
          <w:p w:rsidR="007F46F2" w:rsidRPr="00530386" w:rsidRDefault="007F46F2" w:rsidP="00CB386F">
            <w:pPr>
              <w:spacing w:line="480" w:lineRule="auto"/>
              <w:jc w:val="right"/>
            </w:pPr>
            <w:r w:rsidRPr="00530386">
              <w:t>21 (11%)</w:t>
            </w:r>
          </w:p>
        </w:tc>
        <w:tc>
          <w:tcPr>
            <w:tcW w:w="1842" w:type="dxa"/>
            <w:noWrap/>
            <w:vAlign w:val="bottom"/>
          </w:tcPr>
          <w:p w:rsidR="007F46F2" w:rsidRDefault="007F46F2" w:rsidP="00CB386F">
            <w:pPr>
              <w:spacing w:line="480" w:lineRule="auto"/>
              <w:jc w:val="right"/>
              <w:rPr>
                <w:color w:val="000000"/>
              </w:rPr>
            </w:pPr>
            <w:r>
              <w:rPr>
                <w:color w:val="000000"/>
              </w:rPr>
              <w:t>2 (10%)</w:t>
            </w:r>
          </w:p>
        </w:tc>
      </w:tr>
      <w:tr w:rsidR="007F46F2" w:rsidRPr="00C7311D" w:rsidTr="004F337C">
        <w:trPr>
          <w:trHeight w:val="300"/>
        </w:trPr>
        <w:tc>
          <w:tcPr>
            <w:tcW w:w="2428" w:type="dxa"/>
            <w:noWrap/>
          </w:tcPr>
          <w:p w:rsidR="007F46F2" w:rsidRPr="00C7311D" w:rsidRDefault="007F46F2" w:rsidP="00CB386F">
            <w:pPr>
              <w:spacing w:after="0" w:line="480" w:lineRule="auto"/>
              <w:rPr>
                <w:color w:val="000000"/>
              </w:rPr>
            </w:pPr>
            <w:r w:rsidRPr="00C7311D">
              <w:rPr>
                <w:color w:val="000000"/>
              </w:rPr>
              <w:t xml:space="preserve">PINDA </w:t>
            </w:r>
          </w:p>
        </w:tc>
        <w:tc>
          <w:tcPr>
            <w:tcW w:w="1009" w:type="dxa"/>
            <w:noWrap/>
          </w:tcPr>
          <w:p w:rsidR="007F46F2" w:rsidRPr="00C7311D" w:rsidRDefault="007F46F2" w:rsidP="00CB386F">
            <w:pPr>
              <w:spacing w:after="0" w:line="480" w:lineRule="auto"/>
              <w:jc w:val="right"/>
              <w:rPr>
                <w:color w:val="000000"/>
              </w:rPr>
            </w:pPr>
            <w:r w:rsidRPr="00C7311D">
              <w:rPr>
                <w:color w:val="000000"/>
              </w:rPr>
              <w:t>17</w:t>
            </w:r>
          </w:p>
        </w:tc>
        <w:tc>
          <w:tcPr>
            <w:tcW w:w="1637" w:type="dxa"/>
            <w:vAlign w:val="bottom"/>
          </w:tcPr>
          <w:p w:rsidR="007F46F2" w:rsidRDefault="007F46F2" w:rsidP="00CB386F">
            <w:pPr>
              <w:spacing w:line="480" w:lineRule="auto"/>
              <w:jc w:val="right"/>
              <w:rPr>
                <w:color w:val="000000"/>
              </w:rPr>
            </w:pPr>
            <w:r>
              <w:rPr>
                <w:color w:val="000000"/>
              </w:rPr>
              <w:t>5 (29%)</w:t>
            </w:r>
          </w:p>
        </w:tc>
        <w:tc>
          <w:tcPr>
            <w:tcW w:w="1637" w:type="dxa"/>
            <w:noWrap/>
          </w:tcPr>
          <w:p w:rsidR="007F46F2" w:rsidRPr="00530386" w:rsidRDefault="007F46F2" w:rsidP="00CB386F">
            <w:pPr>
              <w:spacing w:line="480" w:lineRule="auto"/>
              <w:jc w:val="right"/>
            </w:pPr>
            <w:r w:rsidRPr="00530386">
              <w:t>5 (29%)</w:t>
            </w:r>
          </w:p>
        </w:tc>
        <w:tc>
          <w:tcPr>
            <w:tcW w:w="1842" w:type="dxa"/>
            <w:noWrap/>
            <w:vAlign w:val="bottom"/>
          </w:tcPr>
          <w:p w:rsidR="007F46F2" w:rsidRDefault="007F46F2" w:rsidP="00CB386F">
            <w:pPr>
              <w:spacing w:line="480" w:lineRule="auto"/>
              <w:jc w:val="right"/>
              <w:rPr>
                <w:color w:val="000000"/>
              </w:rPr>
            </w:pPr>
            <w:r>
              <w:rPr>
                <w:color w:val="000000"/>
              </w:rPr>
              <w:t>1 (20%)</w:t>
            </w:r>
          </w:p>
        </w:tc>
      </w:tr>
      <w:tr w:rsidR="007F46F2" w:rsidRPr="00C7311D" w:rsidTr="004F337C">
        <w:trPr>
          <w:trHeight w:val="300"/>
        </w:trPr>
        <w:tc>
          <w:tcPr>
            <w:tcW w:w="2428" w:type="dxa"/>
            <w:noWrap/>
          </w:tcPr>
          <w:p w:rsidR="007F46F2" w:rsidRPr="00C7311D" w:rsidRDefault="007F46F2" w:rsidP="00CB386F">
            <w:pPr>
              <w:spacing w:after="0" w:line="480" w:lineRule="auto"/>
              <w:rPr>
                <w:color w:val="000000"/>
              </w:rPr>
            </w:pPr>
            <w:r w:rsidRPr="00C7311D">
              <w:rPr>
                <w:color w:val="000000"/>
              </w:rPr>
              <w:t xml:space="preserve">SPOG </w:t>
            </w:r>
          </w:p>
        </w:tc>
        <w:tc>
          <w:tcPr>
            <w:tcW w:w="1009" w:type="dxa"/>
            <w:noWrap/>
          </w:tcPr>
          <w:p w:rsidR="007F46F2" w:rsidRPr="00C7311D" w:rsidRDefault="007F46F2" w:rsidP="00CB386F">
            <w:pPr>
              <w:spacing w:after="0" w:line="480" w:lineRule="auto"/>
              <w:jc w:val="right"/>
              <w:rPr>
                <w:color w:val="000000"/>
              </w:rPr>
            </w:pPr>
            <w:r w:rsidRPr="00C7311D">
              <w:rPr>
                <w:color w:val="000000"/>
              </w:rPr>
              <w:t>30</w:t>
            </w:r>
          </w:p>
        </w:tc>
        <w:tc>
          <w:tcPr>
            <w:tcW w:w="1637" w:type="dxa"/>
            <w:vAlign w:val="bottom"/>
          </w:tcPr>
          <w:p w:rsidR="007F46F2" w:rsidRDefault="007F46F2" w:rsidP="00CB386F">
            <w:pPr>
              <w:spacing w:line="480" w:lineRule="auto"/>
              <w:jc w:val="right"/>
              <w:rPr>
                <w:color w:val="000000"/>
              </w:rPr>
            </w:pPr>
            <w:r>
              <w:rPr>
                <w:color w:val="000000"/>
              </w:rPr>
              <w:t>11 (37%)</w:t>
            </w:r>
          </w:p>
        </w:tc>
        <w:tc>
          <w:tcPr>
            <w:tcW w:w="1637" w:type="dxa"/>
            <w:noWrap/>
          </w:tcPr>
          <w:p w:rsidR="007F46F2" w:rsidRPr="00530386" w:rsidRDefault="007F46F2" w:rsidP="00CB386F">
            <w:pPr>
              <w:spacing w:line="480" w:lineRule="auto"/>
              <w:jc w:val="right"/>
            </w:pPr>
            <w:r w:rsidRPr="00530386">
              <w:t>7 (23%)</w:t>
            </w:r>
          </w:p>
        </w:tc>
        <w:tc>
          <w:tcPr>
            <w:tcW w:w="1842" w:type="dxa"/>
            <w:noWrap/>
            <w:vAlign w:val="bottom"/>
          </w:tcPr>
          <w:p w:rsidR="007F46F2" w:rsidRDefault="007F46F2" w:rsidP="00CB386F">
            <w:pPr>
              <w:spacing w:line="480" w:lineRule="auto"/>
              <w:jc w:val="right"/>
              <w:rPr>
                <w:color w:val="000000"/>
              </w:rPr>
            </w:pPr>
            <w:r>
              <w:rPr>
                <w:color w:val="000000"/>
              </w:rPr>
              <w:t>3 (43%)</w:t>
            </w:r>
          </w:p>
        </w:tc>
      </w:tr>
      <w:tr w:rsidR="007F46F2" w:rsidRPr="00C7311D" w:rsidTr="004F337C">
        <w:trPr>
          <w:trHeight w:val="300"/>
        </w:trPr>
        <w:tc>
          <w:tcPr>
            <w:tcW w:w="2428" w:type="dxa"/>
            <w:noWrap/>
          </w:tcPr>
          <w:p w:rsidR="007F46F2" w:rsidRPr="00C7311D" w:rsidRDefault="007F46F2" w:rsidP="00CB386F">
            <w:pPr>
              <w:spacing w:after="0" w:line="480" w:lineRule="auto"/>
              <w:rPr>
                <w:color w:val="000000"/>
              </w:rPr>
            </w:pPr>
            <w:proofErr w:type="spellStart"/>
            <w:r w:rsidRPr="00C7311D">
              <w:rPr>
                <w:color w:val="000000"/>
              </w:rPr>
              <w:t>Ammann</w:t>
            </w:r>
            <w:proofErr w:type="spellEnd"/>
            <w:r w:rsidRPr="00C7311D">
              <w:rPr>
                <w:color w:val="000000"/>
              </w:rPr>
              <w:t xml:space="preserve"> </w:t>
            </w:r>
          </w:p>
        </w:tc>
        <w:tc>
          <w:tcPr>
            <w:tcW w:w="1009" w:type="dxa"/>
            <w:noWrap/>
          </w:tcPr>
          <w:p w:rsidR="007F46F2" w:rsidRPr="00C7311D" w:rsidRDefault="007F46F2" w:rsidP="00CB386F">
            <w:pPr>
              <w:spacing w:after="0" w:line="480" w:lineRule="auto"/>
              <w:jc w:val="right"/>
              <w:rPr>
                <w:color w:val="000000"/>
              </w:rPr>
            </w:pPr>
            <w:r w:rsidRPr="00C7311D">
              <w:rPr>
                <w:color w:val="000000"/>
              </w:rPr>
              <w:t>18</w:t>
            </w:r>
          </w:p>
        </w:tc>
        <w:tc>
          <w:tcPr>
            <w:tcW w:w="1637" w:type="dxa"/>
            <w:vAlign w:val="bottom"/>
          </w:tcPr>
          <w:p w:rsidR="007F46F2" w:rsidRDefault="007F46F2" w:rsidP="00CB386F">
            <w:pPr>
              <w:spacing w:line="480" w:lineRule="auto"/>
              <w:jc w:val="right"/>
              <w:rPr>
                <w:color w:val="000000"/>
              </w:rPr>
            </w:pPr>
            <w:r>
              <w:rPr>
                <w:color w:val="000000"/>
              </w:rPr>
              <w:t>6 (33%)</w:t>
            </w:r>
          </w:p>
        </w:tc>
        <w:tc>
          <w:tcPr>
            <w:tcW w:w="1637" w:type="dxa"/>
            <w:noWrap/>
          </w:tcPr>
          <w:p w:rsidR="007F46F2" w:rsidRPr="00530386" w:rsidRDefault="007F46F2" w:rsidP="00CB386F">
            <w:pPr>
              <w:spacing w:line="480" w:lineRule="auto"/>
              <w:jc w:val="right"/>
            </w:pPr>
            <w:r w:rsidRPr="00530386">
              <w:t>14 (78%)</w:t>
            </w:r>
          </w:p>
        </w:tc>
        <w:tc>
          <w:tcPr>
            <w:tcW w:w="1842" w:type="dxa"/>
            <w:noWrap/>
            <w:vAlign w:val="bottom"/>
          </w:tcPr>
          <w:p w:rsidR="007F46F2" w:rsidRDefault="007F46F2" w:rsidP="00CB386F">
            <w:pPr>
              <w:spacing w:line="480" w:lineRule="auto"/>
              <w:jc w:val="right"/>
              <w:rPr>
                <w:color w:val="000000"/>
              </w:rPr>
            </w:pPr>
            <w:r>
              <w:rPr>
                <w:color w:val="000000"/>
              </w:rPr>
              <w:t>4 (29%)</w:t>
            </w:r>
          </w:p>
        </w:tc>
      </w:tr>
      <w:tr w:rsidR="007F46F2" w:rsidRPr="00C7311D" w:rsidTr="004F337C">
        <w:trPr>
          <w:trHeight w:val="300"/>
        </w:trPr>
        <w:tc>
          <w:tcPr>
            <w:tcW w:w="2428" w:type="dxa"/>
            <w:noWrap/>
          </w:tcPr>
          <w:p w:rsidR="007F46F2" w:rsidRPr="00C7311D" w:rsidRDefault="007F46F2" w:rsidP="00CB386F">
            <w:pPr>
              <w:spacing w:after="0" w:line="480" w:lineRule="auto"/>
              <w:rPr>
                <w:color w:val="000000"/>
              </w:rPr>
            </w:pPr>
            <w:r w:rsidRPr="00C7311D">
              <w:rPr>
                <w:color w:val="000000"/>
              </w:rPr>
              <w:t>MASCC(upper)</w:t>
            </w:r>
          </w:p>
        </w:tc>
        <w:tc>
          <w:tcPr>
            <w:tcW w:w="1009" w:type="dxa"/>
            <w:noWrap/>
          </w:tcPr>
          <w:p w:rsidR="007F46F2" w:rsidRPr="00C7311D" w:rsidRDefault="007F46F2" w:rsidP="00CB386F">
            <w:pPr>
              <w:spacing w:after="0" w:line="480" w:lineRule="auto"/>
              <w:jc w:val="right"/>
              <w:rPr>
                <w:color w:val="000000"/>
              </w:rPr>
            </w:pPr>
            <w:r w:rsidRPr="00C7311D">
              <w:rPr>
                <w:color w:val="000000"/>
              </w:rPr>
              <w:t>113</w:t>
            </w:r>
          </w:p>
        </w:tc>
        <w:tc>
          <w:tcPr>
            <w:tcW w:w="1637" w:type="dxa"/>
            <w:vAlign w:val="bottom"/>
          </w:tcPr>
          <w:p w:rsidR="007F46F2" w:rsidRDefault="007F46F2" w:rsidP="00CB386F">
            <w:pPr>
              <w:spacing w:line="480" w:lineRule="auto"/>
              <w:jc w:val="right"/>
              <w:rPr>
                <w:color w:val="000000"/>
              </w:rPr>
            </w:pPr>
            <w:r>
              <w:rPr>
                <w:color w:val="000000"/>
              </w:rPr>
              <w:t>26 (23%)</w:t>
            </w:r>
          </w:p>
        </w:tc>
        <w:tc>
          <w:tcPr>
            <w:tcW w:w="1637" w:type="dxa"/>
            <w:noWrap/>
          </w:tcPr>
          <w:p w:rsidR="007F46F2" w:rsidRPr="00530386" w:rsidRDefault="007F46F2" w:rsidP="00CB386F">
            <w:pPr>
              <w:spacing w:line="480" w:lineRule="auto"/>
              <w:jc w:val="right"/>
            </w:pPr>
            <w:r w:rsidRPr="00530386">
              <w:t>38 (34%)</w:t>
            </w:r>
          </w:p>
        </w:tc>
        <w:tc>
          <w:tcPr>
            <w:tcW w:w="1842" w:type="dxa"/>
            <w:noWrap/>
            <w:vAlign w:val="bottom"/>
          </w:tcPr>
          <w:p w:rsidR="007F46F2" w:rsidRDefault="007F46F2" w:rsidP="00CB386F">
            <w:pPr>
              <w:spacing w:line="480" w:lineRule="auto"/>
              <w:jc w:val="right"/>
              <w:rPr>
                <w:color w:val="000000"/>
              </w:rPr>
            </w:pPr>
            <w:r>
              <w:rPr>
                <w:color w:val="000000"/>
              </w:rPr>
              <w:t>7 (18%)</w:t>
            </w:r>
          </w:p>
        </w:tc>
      </w:tr>
      <w:tr w:rsidR="007F46F2" w:rsidRPr="00C7311D" w:rsidTr="004F337C">
        <w:trPr>
          <w:trHeight w:val="300"/>
        </w:trPr>
        <w:tc>
          <w:tcPr>
            <w:tcW w:w="2428" w:type="dxa"/>
            <w:noWrap/>
          </w:tcPr>
          <w:p w:rsidR="007F46F2" w:rsidRPr="00C7311D" w:rsidRDefault="007F46F2" w:rsidP="00CB386F">
            <w:pPr>
              <w:spacing w:after="0" w:line="480" w:lineRule="auto"/>
              <w:rPr>
                <w:color w:val="000000"/>
              </w:rPr>
            </w:pPr>
            <w:r w:rsidRPr="00C7311D">
              <w:rPr>
                <w:color w:val="000000"/>
              </w:rPr>
              <w:t>MASCC(lower)</w:t>
            </w:r>
          </w:p>
        </w:tc>
        <w:tc>
          <w:tcPr>
            <w:tcW w:w="1009" w:type="dxa"/>
            <w:noWrap/>
          </w:tcPr>
          <w:p w:rsidR="007F46F2" w:rsidRPr="00C7311D" w:rsidRDefault="007F46F2" w:rsidP="00CB386F">
            <w:pPr>
              <w:spacing w:after="0" w:line="480" w:lineRule="auto"/>
              <w:jc w:val="right"/>
              <w:rPr>
                <w:color w:val="000000"/>
              </w:rPr>
            </w:pPr>
            <w:r w:rsidRPr="00C7311D">
              <w:rPr>
                <w:color w:val="000000"/>
              </w:rPr>
              <w:t>113</w:t>
            </w:r>
          </w:p>
        </w:tc>
        <w:tc>
          <w:tcPr>
            <w:tcW w:w="1637" w:type="dxa"/>
            <w:vAlign w:val="bottom"/>
          </w:tcPr>
          <w:p w:rsidR="007F46F2" w:rsidRDefault="007F46F2" w:rsidP="00CB386F">
            <w:pPr>
              <w:spacing w:line="480" w:lineRule="auto"/>
              <w:jc w:val="right"/>
              <w:rPr>
                <w:color w:val="000000"/>
              </w:rPr>
            </w:pPr>
            <w:r>
              <w:rPr>
                <w:color w:val="000000"/>
              </w:rPr>
              <w:t>26 (23%)</w:t>
            </w:r>
          </w:p>
        </w:tc>
        <w:tc>
          <w:tcPr>
            <w:tcW w:w="1637" w:type="dxa"/>
            <w:noWrap/>
          </w:tcPr>
          <w:p w:rsidR="007F46F2" w:rsidRDefault="007F46F2" w:rsidP="00CB386F">
            <w:pPr>
              <w:spacing w:line="480" w:lineRule="auto"/>
              <w:jc w:val="right"/>
            </w:pPr>
            <w:r w:rsidRPr="00530386">
              <w:t>72 (64%)</w:t>
            </w:r>
          </w:p>
        </w:tc>
        <w:tc>
          <w:tcPr>
            <w:tcW w:w="1842" w:type="dxa"/>
            <w:noWrap/>
            <w:vAlign w:val="bottom"/>
          </w:tcPr>
          <w:p w:rsidR="007F46F2" w:rsidRDefault="007F46F2" w:rsidP="00CB386F">
            <w:pPr>
              <w:spacing w:line="480" w:lineRule="auto"/>
              <w:jc w:val="right"/>
              <w:rPr>
                <w:color w:val="000000"/>
              </w:rPr>
            </w:pPr>
            <w:r>
              <w:rPr>
                <w:color w:val="000000"/>
              </w:rPr>
              <w:t>16 (22%)</w:t>
            </w:r>
          </w:p>
        </w:tc>
      </w:tr>
    </w:tbl>
    <w:p w:rsidR="00551C00" w:rsidRDefault="00551C00" w:rsidP="00CB386F">
      <w:pPr>
        <w:spacing w:line="480" w:lineRule="auto"/>
      </w:pPr>
      <w:r>
        <w:t>TABLE 3: PREDICTIVE VALUES</w:t>
      </w:r>
    </w:p>
    <w:p w:rsidR="008C2AB6" w:rsidRPr="004C7B23" w:rsidRDefault="008C2AB6" w:rsidP="00CB386F">
      <w:pPr>
        <w:spacing w:line="480" w:lineRule="auto"/>
      </w:pPr>
      <w:r>
        <w:t xml:space="preserve">MDI = </w:t>
      </w:r>
      <w:r w:rsidRPr="004C7B23">
        <w:t>microbiologically defined infection</w:t>
      </w:r>
    </w:p>
    <w:p w:rsidR="00551C00" w:rsidRDefault="00551C00" w:rsidP="00CB386F">
      <w:pPr>
        <w:spacing w:line="480" w:lineRule="auto"/>
      </w:pPr>
      <w:r>
        <w:t xml:space="preserve">All rules perform poorly in discriminating </w:t>
      </w:r>
      <w:r w:rsidR="00987110">
        <w:t>AYA</w:t>
      </w:r>
      <w:r>
        <w:t xml:space="preserve"> patients at low and high risk of microbiologically defined infection (</w:t>
      </w:r>
      <w:r w:rsidR="00AF6D96">
        <w:t>AUC ROC</w:t>
      </w:r>
      <w:r>
        <w:t xml:space="preserve"> estimates all below &lt;0.6), and data for only one rule (Alexander) are strong enough to support this rule demonstrating greater discrimination than chance (</w:t>
      </w:r>
      <w:r w:rsidR="00AF6D96">
        <w:t>AUC ROC</w:t>
      </w:r>
      <w:r>
        <w:t xml:space="preserve"> &gt;0.5</w:t>
      </w:r>
      <w:r w:rsidR="00CC7350">
        <w:t>, p=0.01</w:t>
      </w:r>
      <w:r>
        <w:t xml:space="preserve">). </w:t>
      </w:r>
    </w:p>
    <w:p w:rsidR="00CB386F" w:rsidRPr="004C7B23" w:rsidRDefault="00CB386F" w:rsidP="00CB386F">
      <w:pPr>
        <w:spacing w:line="480" w:lineRule="auto"/>
      </w:pPr>
    </w:p>
    <w:p w:rsidR="00551C00" w:rsidRDefault="00551C00" w:rsidP="00CB386F">
      <w:pPr>
        <w:pStyle w:val="Heading2"/>
        <w:spacing w:line="480" w:lineRule="auto"/>
      </w:pPr>
      <w:r>
        <w:t>Discussion</w:t>
      </w:r>
    </w:p>
    <w:p w:rsidR="00551C00" w:rsidRDefault="00551C00" w:rsidP="00CB386F">
      <w:pPr>
        <w:spacing w:line="480" w:lineRule="auto"/>
      </w:pPr>
      <w:r>
        <w:t xml:space="preserve">This study sought to assess </w:t>
      </w:r>
      <w:r w:rsidRPr="004C7B23">
        <w:t xml:space="preserve">the validity of previously proposed </w:t>
      </w:r>
      <w:r>
        <w:t xml:space="preserve">clinical decision </w:t>
      </w:r>
      <w:r w:rsidRPr="004C7B23">
        <w:t xml:space="preserve">rules </w:t>
      </w:r>
      <w:r>
        <w:t xml:space="preserve">for prediction of </w:t>
      </w:r>
      <w:r w:rsidR="00074531">
        <w:t>MDI in</w:t>
      </w:r>
      <w:r>
        <w:t xml:space="preserve"> 603 episodes of FN </w:t>
      </w:r>
      <w:r w:rsidRPr="004C7B23">
        <w:t>in patients</w:t>
      </w:r>
      <w:r>
        <w:t xml:space="preserve"> aged between 16 and 25 years old, using individual participant data collected by the PICNICC collaborative. The six rules evaluated have been validated in similar age populations to their derivation (five in children, and one in </w:t>
      </w:r>
      <w:proofErr w:type="gramStart"/>
      <w:r>
        <w:t>adults</w:t>
      </w:r>
      <w:proofErr w:type="gramEnd"/>
      <w:r>
        <w:t xml:space="preserve">) but not in the </w:t>
      </w:r>
      <w:r w:rsidR="00987110">
        <w:t>AYA</w:t>
      </w:r>
      <w:r>
        <w:t xml:space="preserve"> age group.</w:t>
      </w:r>
    </w:p>
    <w:p w:rsidR="00050F64" w:rsidRDefault="00551C00" w:rsidP="00CB386F">
      <w:pPr>
        <w:spacing w:line="480" w:lineRule="auto"/>
      </w:pPr>
      <w:r>
        <w:t xml:space="preserve">The rules varied in either being very sensitive but poorly specific (e.g. the Alexander rule), or poorly sensitive but moderately specific (e.g. the </w:t>
      </w:r>
      <w:proofErr w:type="spellStart"/>
      <w:r>
        <w:t>Ammann</w:t>
      </w:r>
      <w:proofErr w:type="spellEnd"/>
      <w:r>
        <w:t xml:space="preserve"> rule)</w:t>
      </w:r>
      <w:r w:rsidR="00275AC4">
        <w:t>, where sensitivity is the proportion of people with MDI correctly identified, and specificity is the proportion of people without MDI identified correctly</w:t>
      </w:r>
      <w:r>
        <w:t xml:space="preserve">. </w:t>
      </w:r>
      <w:r w:rsidR="00050F64">
        <w:t xml:space="preserve">To some extent this difference </w:t>
      </w:r>
      <w:r w:rsidR="00275AC4">
        <w:t>could be</w:t>
      </w:r>
      <w:r w:rsidR="00050F64">
        <w:t xml:space="preserve"> expected as different cut-offs may be selected for different clinical purposes. Rules to send patients home early will be designed with a high sensitivity, to produce fewer ‘false negatives’ i.e. patients with MDI who have been discharged and specificity will be sacrificed. If the rule were intended to select patients for prophylactic transfer to an intensive care unit, the specificity would be value</w:t>
      </w:r>
      <w:r w:rsidR="00D748B8">
        <w:t>d</w:t>
      </w:r>
      <w:r w:rsidR="00050F64">
        <w:t xml:space="preserve"> more highly than sensitivity. </w:t>
      </w:r>
      <w:r w:rsidR="00275AC4">
        <w:t>However, these rules were all designed for selecting groups for out-patient or low-intensity management, and so were produced to reasonably maximise sensitivity.</w:t>
      </w:r>
    </w:p>
    <w:p w:rsidR="00551C00" w:rsidRDefault="00050F64" w:rsidP="00CB386F">
      <w:pPr>
        <w:spacing w:line="480" w:lineRule="auto"/>
      </w:pPr>
      <w:r>
        <w:t xml:space="preserve">When assessed using AUC ROC, each rule demonstrated poor discrimination, with values consistently &lt;0.6. As a rule of thumb, AUC ROC values 0.5-0.6 are considered poor, 0.6-0.7 moderate, 0.7-0.8 fair, 0.8-0.9 good and values &gt;0.9 excellent. </w:t>
      </w:r>
      <w:r w:rsidR="00551C00">
        <w:t xml:space="preserve">While the uncertainty associated with these values was large, as each rule was assessable in only a relatively small number of episodes, there is little support for their immediate use in the </w:t>
      </w:r>
      <w:r w:rsidR="00987110">
        <w:t>AYA</w:t>
      </w:r>
      <w:r w:rsidR="00551C00">
        <w:t xml:space="preserve"> group. This finding mirrors a failure to validate decision rules between South American and European populations</w:t>
      </w:r>
      <w:r w:rsidR="00551C00">
        <w:fldChar w:fldCharType="begin"/>
      </w:r>
      <w:r w:rsidR="002405A7">
        <w:instrText xml:space="preserve"> ADDIN EN.CITE &lt;EndNote&gt;&lt;Cite ExcludeYear="1"&gt;&lt;Author&gt;Phillips&lt;/Author&gt;&lt;Year&gt;2012&lt;/Year&gt;&lt;RecNum&gt;1436&lt;/RecNum&gt;&lt;DisplayText&gt;(9)&lt;/DisplayText&gt;&lt;record&gt;&lt;rec-number&gt;1436&lt;/rec-number&gt;&lt;foreign-keys&gt;&lt;key app="EN" db-id="wp5zaadvasawxcefrsoverxhpwexxvwss9f9" timestamp="0"&gt;1436&lt;/key&gt;&lt;/foreign-keys&gt;&lt;ref-type name="Journal Article"&gt;17&lt;/ref-type&gt;&lt;contributors&gt;&lt;authors&gt;&lt;author&gt;Phillips, R. S.&lt;/author&gt;&lt;author&gt;Lehrnbecher, T.&lt;/author&gt;&lt;author&gt;Alexander, S.&lt;/author&gt;&lt;author&gt;Sung, L.&lt;/author&gt;&lt;/authors&gt;&lt;/contributors&gt;&lt;auth-address&gt;Centre for Reviews and Dissemination, University of York, York, United Kingdom. bob.phillips@york.ac.uk&lt;/auth-address&gt;&lt;titles&gt;&lt;title&gt;Updated systematic review and meta-analysis of the performance of risk prediction rules in children and young people with febrile neutropenia&lt;/title&gt;&lt;secondary-title&gt;PLoS One&lt;/secondary-title&gt;&lt;/titles&gt;&lt;pages&gt;e38300&lt;/pages&gt;&lt;volume&gt;7&lt;/volume&gt;&lt;number&gt;5&lt;/number&gt;&lt;edition&gt;2012/06/14&lt;/edition&gt;&lt;keywords&gt;&lt;keyword&gt;Child&lt;/keyword&gt;&lt;keyword&gt;Decision Making&lt;/keyword&gt;&lt;keyword&gt;Fever/*complications&lt;/keyword&gt;&lt;keyword&gt;Humans&lt;/keyword&gt;&lt;keyword&gt;Neoplasms/therapy&lt;/keyword&gt;&lt;keyword&gt;Neutropenia/*complications&lt;/keyword&gt;&lt;keyword&gt;Quality Control&lt;/keyword&gt;&lt;keyword&gt;Risk Assessment/*methods/standards&lt;/keyword&gt;&lt;/keywords&gt;&lt;dates&gt;&lt;year&gt;2012&lt;/year&gt;&lt;/dates&gt;&lt;isbn&gt;1932-6203 (Electronic)&amp;#xD;1932-6203 (Linking)&lt;/isbn&gt;&lt;accession-num&gt;22693615&lt;/accession-num&gt;&lt;urls&gt;&lt;related-urls&gt;&lt;url&gt;http://www.ncbi.nlm.nih.gov/entrez/query.fcgi?cmd=Retrieve&amp;amp;db=PubMed&amp;amp;dopt=Citation&amp;amp;list_uids=22693615&lt;/url&gt;&lt;url&gt;http://www.ncbi.nlm.nih.gov/pmc/articles/PMC3365042/pdf/pone.0038300.pdf&lt;/url&gt;&lt;/related-urls&gt;&lt;/urls&gt;&lt;custom2&gt;3365042&lt;/custom2&gt;&lt;electronic-resource-num&gt;10.1371/journal.pone.0038300&amp;#xD;PONE-D-12-01937 [pii]&lt;/electronic-resource-num&gt;&lt;language&gt;eng&lt;/language&gt;&lt;/record&gt;&lt;/Cite&gt;&lt;/EndNote&gt;</w:instrText>
      </w:r>
      <w:r w:rsidR="00551C00">
        <w:fldChar w:fldCharType="separate"/>
      </w:r>
      <w:r w:rsidR="002405A7">
        <w:rPr>
          <w:noProof/>
        </w:rPr>
        <w:t>(9)</w:t>
      </w:r>
      <w:r w:rsidR="00551C00">
        <w:fldChar w:fldCharType="end"/>
      </w:r>
      <w:r w:rsidR="00E26A2F">
        <w:t xml:space="preserve"> and </w:t>
      </w:r>
      <w:r w:rsidR="00275AC4">
        <w:t xml:space="preserve">to a lesser extent </w:t>
      </w:r>
      <w:r>
        <w:t>between</w:t>
      </w:r>
      <w:r w:rsidR="00E26A2F">
        <w:t xml:space="preserve"> different European countries</w:t>
      </w:r>
      <w:r w:rsidR="00E26A2F">
        <w:fldChar w:fldCharType="begin">
          <w:fldData xml:space="preserve">PEVuZE5vdGU+PENpdGUgRXhjbHVkZVllYXI9IjEiPjxBdXRob3I+TWllZGVtYTwvQXV0aG9yPjxZ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</w:fldData>
        </w:fldChar>
      </w:r>
      <w:r w:rsidR="00904FB4">
        <w:instrText xml:space="preserve"> ADDIN EN.CITE </w:instrText>
      </w:r>
      <w:r w:rsidR="00904FB4">
        <w:fldChar w:fldCharType="begin">
          <w:fldData xml:space="preserve">PEVuZE5vdGU+PENpdGUgRXhjbHVkZVllYXI9IjEiPjxBdXRob3I+TWllZGVtYTwvQXV0aG9yPjxZ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</w:fldData>
        </w:fldChar>
      </w:r>
      <w:r w:rsidR="00904FB4">
        <w:instrText xml:space="preserve"> ADDIN EN.CITE.DATA </w:instrText>
      </w:r>
      <w:r w:rsidR="00904FB4">
        <w:fldChar w:fldCharType="end"/>
      </w:r>
      <w:r w:rsidR="00E26A2F">
        <w:fldChar w:fldCharType="separate"/>
      </w:r>
      <w:r w:rsidR="00904FB4">
        <w:rPr>
          <w:noProof/>
        </w:rPr>
        <w:t>(22)</w:t>
      </w:r>
      <w:r w:rsidR="00E26A2F">
        <w:fldChar w:fldCharType="end"/>
      </w:r>
      <w:r w:rsidR="00551C00">
        <w:t xml:space="preserve">. </w:t>
      </w:r>
    </w:p>
    <w:p w:rsidR="00551C00" w:rsidRDefault="00551C00" w:rsidP="00CB386F">
      <w:pPr>
        <w:spacing w:line="480" w:lineRule="auto"/>
      </w:pPr>
      <w:r>
        <w:t>The potential explanations for this lack of discriminatory ability include the different but clinically similar outcomes sought in the original rules</w:t>
      </w:r>
      <w:r w:rsidR="00003467">
        <w:t xml:space="preserve">, for example the MASCC rule predicts ‘serious medical complications’ rather than MDI </w:t>
      </w:r>
      <w:r>
        <w:fldChar w:fldCharType="begin"/>
      </w:r>
      <w:r w:rsidR="00904FB4">
        <w:instrText xml:space="preserve"> ADDIN EN.CITE &lt;EndNote&gt;&lt;Cite ExcludeYear="1"&gt;&lt;Author&gt;Delebarre&lt;/Author&gt;&lt;Year&gt;2014&lt;/Year&gt;&lt;RecNum&gt;2043&lt;/RecNum&gt;&lt;DisplayText&gt;(23)&lt;/DisplayText&gt;&lt;record&gt;&lt;rec-number&gt;2043&lt;/rec-number&gt;&lt;foreign-keys&gt;&lt;key app="EN" db-id="wp5zaadvasawxcefrsoverxhpwexxvwss9f9" timestamp="1433505025"&gt;2043&lt;/key&gt;&lt;/foreign-keys&gt;&lt;ref-type name="Journal Article"&gt;17&lt;/ref-type&gt;&lt;contributors&gt;&lt;authors&gt;&lt;author&gt;Delebarre, Mathilde&lt;/author&gt;&lt;author&gt;Macher, Emilie&lt;/author&gt;&lt;author&gt;Mazingue, Françoise&lt;/author&gt;&lt;author&gt;Martinot, Alain&lt;/author&gt;&lt;author&gt;Dubos, François&lt;/author&gt;&lt;/authors&gt;&lt;/contributors&gt;&lt;titles&gt;&lt;title&gt;Which decision rules meet methodological standards in children with febrile neutropenia? Results of a systematic review and analysis&lt;/title&gt;&lt;secondary-title&gt;Pediatric Blood &amp;amp; Cancer&lt;/secondary-title&gt;&lt;/titles&gt;&lt;periodical&gt;&lt;full-title&gt;Pediatric Blood &amp;amp; Cancer&lt;/full-title&gt;&lt;/periodical&gt;&lt;pages&gt;1786-1791&lt;/pages&gt;&lt;volume&gt;61&lt;/volume&gt;&lt;number&gt;10&lt;/number&gt;&lt;keywords&gt;&lt;keyword&gt;children&lt;/keyword&gt;&lt;keyword&gt;decision rules&lt;/keyword&gt;&lt;keyword&gt;fever&lt;/keyword&gt;&lt;keyword&gt;methodology&lt;/keyword&gt;&lt;keyword&gt;neutropenia&lt;/keyword&gt;&lt;keyword&gt;review&lt;/keyword&gt;&lt;/keywords&gt;&lt;dates&gt;&lt;year&gt;2014&lt;/year&gt;&lt;/dates&gt;&lt;isbn&gt;1545-5017&lt;/isbn&gt;&lt;urls&gt;&lt;related-urls&gt;&lt;url&gt;http://dx.doi.org/10.1002/pbc.25106&lt;/url&gt;&lt;url&gt;http://onlinelibrary.wiley.com/store/10.1002/pbc.25106/asset/pbc25106.pdf?v=1&amp;amp;t=ic4x0tpw&amp;amp;s=ebb61ac0cec19aaf40c103af498a15272f01760b&lt;/url&gt;&lt;/related-urls&gt;&lt;/urls&gt;&lt;electronic-resource-num&gt;10.1002/pbc.25106&lt;/electronic-resource-num&gt;&lt;/record&gt;&lt;/Cite&gt;&lt;/EndNote&gt;</w:instrText>
      </w:r>
      <w:r>
        <w:fldChar w:fldCharType="separate"/>
      </w:r>
      <w:r w:rsidR="00904FB4">
        <w:rPr>
          <w:noProof/>
        </w:rPr>
        <w:t>(23)</w:t>
      </w:r>
      <w:r>
        <w:fldChar w:fldCharType="end"/>
      </w:r>
      <w:r w:rsidR="00003467">
        <w:t>;</w:t>
      </w:r>
      <w:r>
        <w:t xml:space="preserve"> a different pattern of clinical presentation to health services, with longer time to contact</w:t>
      </w:r>
      <w:r w:rsidR="00003467">
        <w:t>;</w:t>
      </w:r>
      <w:r>
        <w:t xml:space="preserve"> </w:t>
      </w:r>
      <w:r w:rsidR="00E26A2F">
        <w:t>different physiological responses</w:t>
      </w:r>
      <w:r w:rsidR="003F6FA7">
        <w:fldChar w:fldCharType="begin"/>
      </w:r>
      <w:r w:rsidR="00904FB4">
        <w:instrText xml:space="preserve"> ADDIN EN.CITE &lt;EndNote&gt;&lt;Cite ExcludeYear="1"&gt;&lt;Author&gt;Patel&lt;/Author&gt;&lt;Year&gt;2007&lt;/Year&gt;&lt;RecNum&gt;2046&lt;/RecNum&gt;&lt;DisplayText&gt;(24)&lt;/DisplayText&gt;&lt;record&gt;&lt;rec-number&gt;2046&lt;/rec-number&gt;&lt;foreign-keys&gt;&lt;key app="EN" db-id="wp5zaadvasawxcefrsoverxhpwexxvwss9f9" timestamp="1435327754"&gt;2046&lt;/key&gt;&lt;/foreign-keys&gt;&lt;ref-type name="Journal Article"&gt;17&lt;/ref-type&gt;&lt;contributors&gt;&lt;authors&gt;&lt;author&gt;Patel, B.&lt;/author&gt;&lt;author&gt;Richards, S. M.&lt;/author&gt;&lt;author&gt;Rowe, J. M.&lt;/author&gt;&lt;author&gt;Goldstone, A. H.&lt;/author&gt;&lt;author&gt;Fielding, A. K.&lt;/author&gt;&lt;/authors&gt;&lt;/contributors&gt;&lt;titles&gt;&lt;title&gt;High incidence of avascular necrosis in adolescents with acute lymphoblastic leukaemia: a UKALL XII analysis&lt;/title&gt;&lt;secondary-title&gt;Leukemia&lt;/secondary-title&gt;&lt;/titles&gt;&lt;periodical&gt;&lt;full-title&gt;Leukemia&lt;/full-title&gt;&lt;/periodical&gt;&lt;pages&gt;308-312&lt;/pages&gt;&lt;volume&gt;22&lt;/volume&gt;&lt;number&gt;2&lt;/number&gt;&lt;dates&gt;&lt;year&gt;2007&lt;/year&gt;&lt;pub-dates&gt;&lt;date&gt;11/08/online&lt;/date&gt;&lt;/pub-dates&gt;&lt;/dates&gt;&lt;publisher&gt;Nature Publishing Group&lt;/publisher&gt;&lt;isbn&gt;0887-6924&lt;/isbn&gt;&lt;urls&gt;&lt;related-urls&gt;&lt;url&gt;http://dx.doi.org/10.1038/sj.leu.2405032&lt;/url&gt;&lt;url&gt;http://www.nature.com/leu/journal/v22/n2/pdf/2405032a.pdf&lt;/url&gt;&lt;/related-urls&gt;&lt;/urls&gt;&lt;/record&gt;&lt;/Cite&gt;&lt;/EndNote&gt;</w:instrText>
      </w:r>
      <w:r w:rsidR="003F6FA7">
        <w:fldChar w:fldCharType="separate"/>
      </w:r>
      <w:r w:rsidR="00904FB4">
        <w:rPr>
          <w:noProof/>
        </w:rPr>
        <w:t>(24)</w:t>
      </w:r>
      <w:r w:rsidR="003F6FA7">
        <w:fldChar w:fldCharType="end"/>
      </w:r>
      <w:r w:rsidR="00003467">
        <w:t>;</w:t>
      </w:r>
      <w:r w:rsidR="003F6FA7">
        <w:t xml:space="preserve"> </w:t>
      </w:r>
      <w:r>
        <w:t>or true overoptimistic initial evaluations of the validity of the rules. Further research should benefit from a consistent set of recorded outcomes, with comparable definitions, following the publication of a suggested core outcome set</w:t>
      </w:r>
      <w:r>
        <w:fldChar w:fldCharType="begin"/>
      </w:r>
      <w:r w:rsidR="00904FB4">
        <w:instrText xml:space="preserve"> ADDIN EN.CITE &lt;EndNote&gt;&lt;Cite&gt;&lt;Author&gt;Haeusler&lt;/Author&gt;&lt;Year&gt;2015&lt;/Year&gt;&lt;RecNum&gt;2044&lt;/RecNum&gt;&lt;DisplayText&gt;(18)&lt;/DisplayText&gt;&lt;record&gt;&lt;rec-number&gt;2044&lt;/rec-number&gt;&lt;foreign-keys&gt;&lt;key app="EN" db-id="wp5zaadvasawxcefrsoverxhpwexxvwss9f9" timestamp="1433505865"&gt;2044&lt;/key&gt;&lt;/foreign-keys&gt;&lt;ref-type name="Journal Article"&gt;17&lt;/ref-type&gt;&lt;contributors&gt;&lt;authors&gt;&lt;author&gt;Haeusler, Gabrielle M.&lt;/author&gt;&lt;author&gt;Phillips, Robert S.&lt;/author&gt;&lt;author&gt;Lehrnbecher, Thomas&lt;/author&gt;&lt;author&gt;Thursky, Karin A.&lt;/author&gt;&lt;author&gt;Sung, Lillian&lt;/author&gt;&lt;author&gt;Ammann, Roland A.&lt;/author&gt;&lt;/authors&gt;&lt;/contributors&gt;&lt;titles&gt;&lt;title&gt;Core outcomes and definitions for pediatric fever and neutropenia research: A consensus statement from an international panel&lt;/title&gt;&lt;secondary-title&gt;Pediatric Blood &amp;amp; Cancer&lt;/secondary-title&gt;&lt;/titles&gt;&lt;periodical&gt;&lt;full-title&gt;Pediatric Blood &amp;amp; Cancer&lt;/full-title&gt;&lt;/periodical&gt;&lt;pages&gt;483-489&lt;/pages&gt;&lt;volume&gt;62&lt;/volume&gt;&lt;number&gt;3&lt;/number&gt;&lt;keywords&gt;&lt;keyword&gt;child&lt;/keyword&gt;&lt;keyword&gt;consensus&lt;/keyword&gt;&lt;keyword&gt;definitions&lt;/keyword&gt;&lt;keyword&gt;fever&lt;/keyword&gt;&lt;keyword&gt;neutropenia&lt;/keyword&gt;&lt;keyword&gt;outcomes&lt;/keyword&gt;&lt;/keywords&gt;&lt;dates&gt;&lt;year&gt;2015&lt;/year&gt;&lt;/dates&gt;&lt;isbn&gt;1545-5017&lt;/isbn&gt;&lt;urls&gt;&lt;related-urls&gt;&lt;url&gt;http://dx.doi.org/10.1002/pbc.25335&lt;/url&gt;&lt;url&gt;http://onlinelibrary.wiley.com/store/10.1002/pbc.25335/asset/pbc25335.pdf?v=1&amp;amp;t=ic4xb8ls&amp;amp;s=8ca0c71f1734091d6621e429699e37b012025637&lt;/url&gt;&lt;/related-urls&gt;&lt;/urls&gt;&lt;electronic-resource-num&gt;10.1002/pbc.25335&lt;/electronic-resource-num&gt;&lt;/record&gt;&lt;/Cite&gt;&lt;/EndNote&gt;</w:instrText>
      </w:r>
      <w:r>
        <w:fldChar w:fldCharType="separate"/>
      </w:r>
      <w:r w:rsidR="00904FB4">
        <w:rPr>
          <w:noProof/>
        </w:rPr>
        <w:t>(18)</w:t>
      </w:r>
      <w:r>
        <w:fldChar w:fldCharType="end"/>
      </w:r>
      <w:r>
        <w:t xml:space="preserve">. </w:t>
      </w:r>
    </w:p>
    <w:p w:rsidR="00551C00" w:rsidRDefault="00551C00" w:rsidP="00CB386F">
      <w:pPr>
        <w:spacing w:line="480" w:lineRule="auto"/>
      </w:pPr>
      <w:r>
        <w:t xml:space="preserve">As many </w:t>
      </w:r>
      <w:r w:rsidR="00987110">
        <w:t>AYA</w:t>
      </w:r>
      <w:r>
        <w:t xml:space="preserve"> with cancer are cared for in an environment run under the auspices of either paediatric or adult physicians the practical implementation of a different care pathway for children younger than 16, </w:t>
      </w:r>
      <w:r w:rsidR="00987110">
        <w:t>AYA</w:t>
      </w:r>
      <w:r>
        <w:t xml:space="preserve"> between 16 and 25, and adults 26 years and older may be very challenging. This does not argue for either the abandonment of risk-stratified care or the imposition of unsuitable rules, but instead engagement from both paediatric and adult parties to discuss the uncertainties surrounding those presenting with FN in the </w:t>
      </w:r>
      <w:r w:rsidR="00987110">
        <w:t>AYA</w:t>
      </w:r>
      <w:r>
        <w:t xml:space="preserve"> age range.</w:t>
      </w:r>
      <w:r w:rsidR="00003467">
        <w:t xml:space="preserve"> For example, with appropriate discussion and shared responsibility, AYA patients may chose a ‘low risk’ management approach with an awareness that their risk of </w:t>
      </w:r>
      <w:proofErr w:type="spellStart"/>
      <w:r w:rsidR="00003467">
        <w:t>mis</w:t>
      </w:r>
      <w:proofErr w:type="spellEnd"/>
      <w:r w:rsidR="00003467">
        <w:t xml:space="preserve">-attribution, with consequent need to return for increased intensity care, would be greater than younger or older patients assessed on the same schema. </w:t>
      </w:r>
      <w:r>
        <w:t xml:space="preserve"> Further research, both in the predictive value of such rules and the views of those patients in whom they would be used, needs to consider </w:t>
      </w:r>
      <w:r w:rsidR="00987110">
        <w:t>AYA</w:t>
      </w:r>
      <w:r>
        <w:t xml:space="preserve"> with cancer as a subset with unique properties and </w:t>
      </w:r>
      <w:r w:rsidR="004F01C6">
        <w:t>requiring specific study</w:t>
      </w:r>
      <w:r>
        <w:t>.</w:t>
      </w:r>
    </w:p>
    <w:p w:rsidR="00A06577" w:rsidRDefault="00A06577" w:rsidP="00CB386F">
      <w:pPr>
        <w:spacing w:line="480" w:lineRule="auto"/>
      </w:pPr>
    </w:p>
    <w:p w:rsidR="00A06577" w:rsidRDefault="00A06577" w:rsidP="00A06577">
      <w:pPr>
        <w:pStyle w:val="Heading2"/>
        <w:spacing w:line="480" w:lineRule="auto"/>
      </w:pPr>
      <w:r>
        <w:t>Figure Heading</w:t>
      </w:r>
    </w:p>
    <w:p w:rsidR="00A06577" w:rsidRDefault="00A06577" w:rsidP="00A06577">
      <w:pPr>
        <w:spacing w:line="480" w:lineRule="auto"/>
      </w:pPr>
      <w:proofErr w:type="gramStart"/>
      <w:r>
        <w:t>Figure 1.</w:t>
      </w:r>
      <w:proofErr w:type="gramEnd"/>
      <w:r>
        <w:t xml:space="preserve"> Test accuracy of the rules plotted in receiver-operator characteristic (ROC) space with their 95% confidence intervals. The 45</w:t>
      </w:r>
      <w:r>
        <w:rPr>
          <w:vertAlign w:val="superscript"/>
        </w:rPr>
        <w:t>o</w:t>
      </w:r>
      <w:r>
        <w:t xml:space="preserve"> line shows indicated non-discriminatory tests.</w:t>
      </w:r>
    </w:p>
    <w:p w:rsidR="00A06577" w:rsidRPr="00A06577" w:rsidRDefault="00A06577" w:rsidP="00A06577">
      <w:pPr>
        <w:spacing w:line="480" w:lineRule="auto"/>
      </w:pPr>
    </w:p>
    <w:p w:rsidR="00AD3BCA" w:rsidRPr="00C47984" w:rsidRDefault="00AD3BCA" w:rsidP="00A06577">
      <w:pPr>
        <w:pStyle w:val="Heading2"/>
        <w:spacing w:line="480" w:lineRule="auto"/>
      </w:pPr>
      <w:r>
        <w:t>Conflicts of Interest</w:t>
      </w:r>
    </w:p>
    <w:p w:rsidR="00AD3BCA" w:rsidRDefault="00AD3BCA" w:rsidP="00A06577">
      <w:pPr>
        <w:spacing w:line="480" w:lineRule="auto"/>
        <w:rPr>
          <w:bCs/>
        </w:rPr>
      </w:pPr>
      <w:r>
        <w:rPr>
          <w:bCs/>
        </w:rPr>
        <w:t>No author has any financial or non-financial conflict of interest relevant to the contents of this study.</w:t>
      </w:r>
    </w:p>
    <w:p w:rsidR="00A06577" w:rsidRDefault="00A06577" w:rsidP="00A06577">
      <w:pPr>
        <w:spacing w:line="480" w:lineRule="auto"/>
        <w:rPr>
          <w:bCs/>
        </w:rPr>
      </w:pPr>
    </w:p>
    <w:p w:rsidR="00AD3BCA" w:rsidRDefault="00AD3BCA" w:rsidP="00AD3BCA">
      <w:pPr>
        <w:pStyle w:val="Heading2"/>
      </w:pPr>
      <w:r>
        <w:t>The Collaboration</w:t>
      </w:r>
    </w:p>
    <w:p w:rsidR="00551C00" w:rsidRDefault="00AD3BCA" w:rsidP="00AD3BCA">
      <w:pPr>
        <w:spacing w:line="480" w:lineRule="auto"/>
      </w:pPr>
      <w:r>
        <w:t xml:space="preserve">The PICNICC collaboration is formed by those who have contributed data, or for patient/carer partners, significantly developed the project. The members are currently: the Authors, </w:t>
      </w:r>
      <w:r w:rsidRPr="00AD3BCA">
        <w:t xml:space="preserve">Gabrielle M </w:t>
      </w:r>
      <w:proofErr w:type="spellStart"/>
      <w:r w:rsidRPr="00AD3BCA">
        <w:t>Haeusler</w:t>
      </w:r>
      <w:proofErr w:type="spellEnd"/>
      <w:r w:rsidRPr="00AD3BCA">
        <w:t xml:space="preserve"> </w:t>
      </w:r>
      <w:r>
        <w:t xml:space="preserve">(Australia), </w:t>
      </w:r>
      <w:proofErr w:type="spellStart"/>
      <w:r>
        <w:t>Tiene</w:t>
      </w:r>
      <w:proofErr w:type="spellEnd"/>
      <w:r>
        <w:t xml:space="preserve"> </w:t>
      </w:r>
      <w:proofErr w:type="spellStart"/>
      <w:r>
        <w:t>Bauters</w:t>
      </w:r>
      <w:proofErr w:type="spellEnd"/>
      <w:r>
        <w:t xml:space="preserve"> &amp; Geneviève </w:t>
      </w:r>
      <w:proofErr w:type="spellStart"/>
      <w:r>
        <w:t>Laureys</w:t>
      </w:r>
      <w:proofErr w:type="spellEnd"/>
      <w:r>
        <w:t xml:space="preserve"> (Belgium), Maria </w:t>
      </w:r>
      <w:proofErr w:type="spellStart"/>
      <w:r>
        <w:t>Spassova</w:t>
      </w:r>
      <w:proofErr w:type="spellEnd"/>
      <w:r>
        <w:t xml:space="preserve"> (Bulgaria), </w:t>
      </w:r>
      <w:r w:rsidRPr="00AD3BCA">
        <w:t xml:space="preserve">Robert </w:t>
      </w:r>
      <w:proofErr w:type="spellStart"/>
      <w:r w:rsidRPr="00AD3BCA">
        <w:t>Klaassen</w:t>
      </w:r>
      <w:proofErr w:type="spellEnd"/>
      <w:r w:rsidRPr="00AD3BCA">
        <w:t xml:space="preserve"> </w:t>
      </w:r>
      <w:r>
        <w:t xml:space="preserve">&amp; Sarah Alexander (Canada), Pamela Silva &amp; Juan </w:t>
      </w:r>
      <w:proofErr w:type="spellStart"/>
      <w:r>
        <w:t>Tordecilla</w:t>
      </w:r>
      <w:proofErr w:type="spellEnd"/>
      <w:r>
        <w:t xml:space="preserve"> (Chile), </w:t>
      </w:r>
      <w:r w:rsidRPr="00D603B4">
        <w:t xml:space="preserve">Marianne </w:t>
      </w:r>
      <w:proofErr w:type="spellStart"/>
      <w:r w:rsidRPr="00D603B4">
        <w:t>Paesmans</w:t>
      </w:r>
      <w:proofErr w:type="spellEnd"/>
      <w:r w:rsidRPr="00D603B4">
        <w:t xml:space="preserve"> </w:t>
      </w:r>
      <w:r>
        <w:t xml:space="preserve">&amp; J Peter Donnelly (EORTC), Arne Simon (Germany), </w:t>
      </w:r>
      <w:r w:rsidRPr="00D603B4">
        <w:t>Ian M Hann</w:t>
      </w:r>
      <w:r>
        <w:t>,</w:t>
      </w:r>
      <w:r w:rsidRPr="00D603B4">
        <w:t xml:space="preserve"> Neil </w:t>
      </w:r>
      <w:proofErr w:type="spellStart"/>
      <w:r w:rsidRPr="00D603B4">
        <w:t>Ranasinghe</w:t>
      </w:r>
      <w:proofErr w:type="spellEnd"/>
      <w:r>
        <w:t>,</w:t>
      </w:r>
      <w:r w:rsidRPr="00D603B4">
        <w:t xml:space="preserve"> </w:t>
      </w:r>
      <w:r w:rsidRPr="00AD3BCA">
        <w:t>Richard D. Riley</w:t>
      </w:r>
      <w:r>
        <w:t>,</w:t>
      </w:r>
      <w:r w:rsidRPr="00AD3BCA">
        <w:t xml:space="preserve"> </w:t>
      </w:r>
      <w:r w:rsidRPr="00D603B4">
        <w:t>Julia Chisholm</w:t>
      </w:r>
      <w:r>
        <w:t>,</w:t>
      </w:r>
      <w:r w:rsidRPr="00D603B4">
        <w:t xml:space="preserve"> </w:t>
      </w:r>
      <w:r>
        <w:t xml:space="preserve">Daniel </w:t>
      </w:r>
      <w:proofErr w:type="spellStart"/>
      <w:r>
        <w:t>Yeomanson</w:t>
      </w:r>
      <w:proofErr w:type="spellEnd"/>
      <w:r>
        <w:t xml:space="preserve">, Alex J Sutton &amp; Rachel </w:t>
      </w:r>
      <w:proofErr w:type="spellStart"/>
      <w:r>
        <w:t>Dommett</w:t>
      </w:r>
      <w:proofErr w:type="spellEnd"/>
      <w:r>
        <w:t xml:space="preserve"> (GB), Ajay Gupta (India), </w:t>
      </w:r>
      <w:r w:rsidRPr="00AD3BCA">
        <w:t xml:space="preserve">Elio </w:t>
      </w:r>
      <w:proofErr w:type="spellStart"/>
      <w:r w:rsidRPr="00AD3BCA">
        <w:t>Castagnola</w:t>
      </w:r>
      <w:proofErr w:type="spellEnd"/>
      <w:r w:rsidRPr="00AD3BCA">
        <w:t xml:space="preserve"> </w:t>
      </w:r>
      <w:r>
        <w:t xml:space="preserve">&amp; </w:t>
      </w:r>
      <w:proofErr w:type="spellStart"/>
      <w:r>
        <w:t>Ricarrdo</w:t>
      </w:r>
      <w:proofErr w:type="spellEnd"/>
      <w:r>
        <w:t xml:space="preserve"> </w:t>
      </w:r>
      <w:proofErr w:type="spellStart"/>
      <w:r>
        <w:t>Haupt</w:t>
      </w:r>
      <w:proofErr w:type="spellEnd"/>
      <w:r>
        <w:t xml:space="preserve"> (Italy), Karin </w:t>
      </w:r>
      <w:proofErr w:type="spellStart"/>
      <w:r>
        <w:t>Meidema</w:t>
      </w:r>
      <w:proofErr w:type="spellEnd"/>
      <w:r>
        <w:t xml:space="preserve"> (Netherlands), Thomas </w:t>
      </w:r>
      <w:proofErr w:type="spellStart"/>
      <w:r>
        <w:t>Kuehne</w:t>
      </w:r>
      <w:proofErr w:type="spellEnd"/>
      <w:r>
        <w:t xml:space="preserve"> , </w:t>
      </w:r>
      <w:proofErr w:type="spellStart"/>
      <w:r>
        <w:t>Lidija</w:t>
      </w:r>
      <w:proofErr w:type="spellEnd"/>
      <w:r>
        <w:t xml:space="preserve"> </w:t>
      </w:r>
      <w:proofErr w:type="spellStart"/>
      <w:r>
        <w:t>Kitanovski</w:t>
      </w:r>
      <w:proofErr w:type="spellEnd"/>
      <w:r>
        <w:t xml:space="preserve">  (Slovenia), Felix </w:t>
      </w:r>
      <w:proofErr w:type="spellStart"/>
      <w:r>
        <w:t>Niggli</w:t>
      </w:r>
      <w:proofErr w:type="spellEnd"/>
      <w:r>
        <w:t xml:space="preserve">  &amp; David Nadal  (Switzerland), </w:t>
      </w:r>
      <w:proofErr w:type="spellStart"/>
      <w:r>
        <w:t>Gulsun</w:t>
      </w:r>
      <w:proofErr w:type="spellEnd"/>
      <w:r>
        <w:t xml:space="preserve"> </w:t>
      </w:r>
      <w:proofErr w:type="spellStart"/>
      <w:r>
        <w:t>Tezcan</w:t>
      </w:r>
      <w:proofErr w:type="spellEnd"/>
      <w:r>
        <w:t xml:space="preserve">  (Turkey), </w:t>
      </w:r>
      <w:r w:rsidRPr="00D603B4">
        <w:t xml:space="preserve">Hana Hakim </w:t>
      </w:r>
      <w:r>
        <w:t xml:space="preserve">&amp; Glen </w:t>
      </w:r>
      <w:proofErr w:type="spellStart"/>
      <w:r>
        <w:t>Stryjewski</w:t>
      </w:r>
      <w:proofErr w:type="spellEnd"/>
      <w:r>
        <w:t xml:space="preserve"> (US)</w:t>
      </w:r>
    </w:p>
    <w:p w:rsidR="00DA5F5D" w:rsidRDefault="00DA5F5D" w:rsidP="00DA5F5D">
      <w:pPr>
        <w:pStyle w:val="Heading2"/>
      </w:pPr>
      <w:r>
        <w:t>Keywords</w:t>
      </w:r>
    </w:p>
    <w:p w:rsidR="00DA5F5D" w:rsidRDefault="00DA5F5D" w:rsidP="00AD3BCA">
      <w:pPr>
        <w:spacing w:line="480" w:lineRule="auto"/>
      </w:pPr>
      <w:proofErr w:type="gramStart"/>
      <w:r w:rsidRPr="00DA5F5D">
        <w:t>adolescent/young</w:t>
      </w:r>
      <w:proofErr w:type="gramEnd"/>
      <w:r w:rsidRPr="00DA5F5D">
        <w:t xml:space="preserve"> adult oncology; supportive care; infectious complications; neutropenic sepsis</w:t>
      </w:r>
    </w:p>
    <w:p w:rsidR="00A06577" w:rsidRDefault="00A06577" w:rsidP="00AD3BCA">
      <w:pPr>
        <w:spacing w:line="480" w:lineRule="auto"/>
      </w:pPr>
    </w:p>
    <w:p w:rsidR="00551C00" w:rsidRPr="004C7B23" w:rsidRDefault="00551C00" w:rsidP="00CB386F">
      <w:pPr>
        <w:pStyle w:val="Heading2"/>
        <w:spacing w:line="480" w:lineRule="auto"/>
      </w:pPr>
      <w:r>
        <w:t>References:</w:t>
      </w:r>
    </w:p>
    <w:p w:rsidR="00904FB4" w:rsidRPr="00904FB4" w:rsidRDefault="00551C00" w:rsidP="00904FB4">
      <w:pPr>
        <w:pStyle w:val="EndNoteBibliography"/>
        <w:spacing w:after="0"/>
      </w:pPr>
      <w:r w:rsidRPr="004C7B23">
        <w:fldChar w:fldCharType="begin"/>
      </w:r>
      <w:r w:rsidRPr="004C7B23">
        <w:instrText xml:space="preserve"> ADDIN EN.REFLIST </w:instrText>
      </w:r>
      <w:r w:rsidRPr="004C7B23">
        <w:fldChar w:fldCharType="separate"/>
      </w:r>
      <w:r w:rsidR="00904FB4" w:rsidRPr="00904FB4">
        <w:t>1.</w:t>
      </w:r>
      <w:r w:rsidR="00904FB4" w:rsidRPr="00904FB4">
        <w:tab/>
        <w:t>Morgan S, Davies S, Palmer S, Plaster M. Sex, drugs, and rock 'n' roll: caring for adolescents and young adults with cancer. J Clin Oncol 2010;28(32):4825-30.</w:t>
      </w:r>
    </w:p>
    <w:p w:rsidR="00904FB4" w:rsidRPr="00904FB4" w:rsidRDefault="00904FB4" w:rsidP="00904FB4">
      <w:pPr>
        <w:pStyle w:val="EndNoteBibliography"/>
        <w:spacing w:after="0"/>
      </w:pPr>
      <w:r w:rsidRPr="00904FB4">
        <w:t>2.</w:t>
      </w:r>
      <w:r w:rsidRPr="00904FB4">
        <w:tab/>
        <w:t>Hough R, Rowntree C, Goulden N, Mitchell C, Moorman A, Wade R, et al. Efficacy and toxicity of a paediatric protocol in teenagers and young adults with Philadelphia chromosome negative acute lymphoblastic leukaemia: results from UKALL 2003. British Journal of Haematology 2016;172(3):439-451.</w:t>
      </w:r>
    </w:p>
    <w:p w:rsidR="00904FB4" w:rsidRPr="00904FB4" w:rsidRDefault="00904FB4" w:rsidP="00904FB4">
      <w:pPr>
        <w:pStyle w:val="EndNoteBibliography"/>
        <w:spacing w:after="0"/>
      </w:pPr>
      <w:r w:rsidRPr="00904FB4">
        <w:t>3.</w:t>
      </w:r>
      <w:r w:rsidRPr="00904FB4">
        <w:tab/>
        <w:t>Schiffer CA. Differences in outcome in adolescents with acute lymphoblastic leukemia: a consequence of better regimens? Better doctors? Both? J Clin Oncol 2003;21(5):760-1.</w:t>
      </w:r>
    </w:p>
    <w:p w:rsidR="00904FB4" w:rsidRPr="00904FB4" w:rsidRDefault="00904FB4" w:rsidP="00904FB4">
      <w:pPr>
        <w:pStyle w:val="EndNoteBibliography"/>
        <w:spacing w:after="0"/>
      </w:pPr>
      <w:r w:rsidRPr="00904FB4">
        <w:t>4.</w:t>
      </w:r>
      <w:r w:rsidRPr="00904FB4">
        <w:tab/>
        <w:t>Phillips R, Hancock B, Graham J, Bromham N, Jin H, Berendse S. Prevention and management of neutropenic sepsis in patients with cancer: summary of NICE guidance. BMJ 2012;345:e5368.</w:t>
      </w:r>
    </w:p>
    <w:p w:rsidR="00904FB4" w:rsidRPr="00904FB4" w:rsidRDefault="00904FB4" w:rsidP="00904FB4">
      <w:pPr>
        <w:pStyle w:val="EndNoteBibliography"/>
        <w:spacing w:after="0"/>
      </w:pPr>
      <w:r w:rsidRPr="00904FB4">
        <w:t>5.</w:t>
      </w:r>
      <w:r w:rsidRPr="00904FB4">
        <w:tab/>
        <w:t>Freifeld AG, Bow EJ, Sepkowitz KA, Boeckh MJ, Ito JI, Mullen CA, et al. Clinical Practice Guideline for the Use of Antimicrobial Agents in Neutropenic Patients with Cancer: 2010 Update by the Infectious Diseases Society of America. Clinical Infectious Diseases 2011;52(4):e56-e93.</w:t>
      </w:r>
    </w:p>
    <w:p w:rsidR="00904FB4" w:rsidRPr="00904FB4" w:rsidRDefault="00904FB4" w:rsidP="00904FB4">
      <w:pPr>
        <w:pStyle w:val="EndNoteBibliography"/>
      </w:pPr>
      <w:r w:rsidRPr="00904FB4">
        <w:t>6.</w:t>
      </w:r>
      <w:r w:rsidRPr="00904FB4">
        <w:tab/>
        <w:t>Phillips B, Wade R, Stewart LA, Sutton AJ. Systematic review and meta-analysis of the discriminatory performance of risk prediction rules</w:t>
      </w:r>
    </w:p>
    <w:p w:rsidR="00904FB4" w:rsidRPr="00904FB4" w:rsidRDefault="00904FB4" w:rsidP="00904FB4">
      <w:pPr>
        <w:pStyle w:val="EndNoteBibliography"/>
        <w:spacing w:after="0"/>
      </w:pPr>
      <w:r w:rsidRPr="00904FB4">
        <w:t>in febrile neutropaenic episodes in children and young people. Eur J Cancer 2010;46:2950-2964.</w:t>
      </w:r>
    </w:p>
    <w:p w:rsidR="00904FB4" w:rsidRPr="00904FB4" w:rsidRDefault="00904FB4" w:rsidP="00904FB4">
      <w:pPr>
        <w:pStyle w:val="EndNoteBibliography"/>
        <w:spacing w:after="0"/>
      </w:pPr>
      <w:r w:rsidRPr="00904FB4">
        <w:t>7.</w:t>
      </w:r>
      <w:r w:rsidRPr="00904FB4">
        <w:tab/>
        <w:t>Phillips R, Sutton A, Riley R, Chisholm J, Picton S, Stewart L, et al. Predicting infectious complications in neutropenic children and young people with cancer (IPD Protocol). Systematic Reviews 2012;1(1):8.</w:t>
      </w:r>
    </w:p>
    <w:p w:rsidR="00904FB4" w:rsidRPr="00904FB4" w:rsidRDefault="00904FB4" w:rsidP="00904FB4">
      <w:pPr>
        <w:pStyle w:val="EndNoteBibliography"/>
        <w:spacing w:after="0"/>
      </w:pPr>
      <w:r w:rsidRPr="00904FB4">
        <w:t>8.</w:t>
      </w:r>
      <w:r w:rsidRPr="00904FB4">
        <w:tab/>
        <w:t>Bob Phillips LS, Roland Amman, Richard Riley, Elio Castagnola, Gabrielle Haeusler, Robert Klaassen, Wim Tissing, Thomas Lehrnbecher, Julia Chisholm, Hana Hakim, Neil Ranasinghe, Marianne Paesmans, Ian Hann, and Lesley Stewart Predicting Microbiologically Defined Infection In Febrile Neutropenic Episodes In Children: Global Individual Participant Data Multivariable Meta-Analysis. Br J Cancer 2016;[in press].</w:t>
      </w:r>
    </w:p>
    <w:p w:rsidR="00904FB4" w:rsidRPr="00904FB4" w:rsidRDefault="00904FB4" w:rsidP="00904FB4">
      <w:pPr>
        <w:pStyle w:val="EndNoteBibliography"/>
        <w:spacing w:after="0"/>
      </w:pPr>
      <w:r w:rsidRPr="00904FB4">
        <w:t>9.</w:t>
      </w:r>
      <w:r w:rsidRPr="00904FB4">
        <w:tab/>
        <w:t>Phillips RS, Lehrnbecher T, Alexander S, Sung L. Updated systematic review and meta-analysis of the performance of risk prediction rules in children and young people with febrile neutropenia. PLoS One 2012;7(5):e38300.</w:t>
      </w:r>
    </w:p>
    <w:p w:rsidR="00904FB4" w:rsidRPr="00904FB4" w:rsidRDefault="00904FB4" w:rsidP="00904FB4">
      <w:pPr>
        <w:pStyle w:val="EndNoteBibliography"/>
        <w:spacing w:after="0"/>
      </w:pPr>
      <w:r w:rsidRPr="00904FB4">
        <w:t>10.</w:t>
      </w:r>
      <w:r w:rsidRPr="00904FB4">
        <w:tab/>
        <w:t>Rackoff WR, Gonin R, Robinson C, Kreissman SG, Breitfeld PB. Predicting the risk of bacteremia in childen with fever and neutropenia. Journal of Clinical Oncology 1996;14(3):919-24.</w:t>
      </w:r>
    </w:p>
    <w:p w:rsidR="00904FB4" w:rsidRPr="00904FB4" w:rsidRDefault="00904FB4" w:rsidP="00904FB4">
      <w:pPr>
        <w:pStyle w:val="EndNoteBibliography"/>
        <w:spacing w:after="0"/>
      </w:pPr>
      <w:r w:rsidRPr="00904FB4">
        <w:t>11.</w:t>
      </w:r>
      <w:r w:rsidRPr="00904FB4">
        <w:tab/>
        <w:t>Alexander SW, Wade KC, Hibberd PL, Parsons SK. Evaluation of risk prediction criteria for episodes of febrile neutropenia in children with cancer. Journal of Pediatric Hematology/Oncology 2002;24(1):38-42.</w:t>
      </w:r>
    </w:p>
    <w:p w:rsidR="00904FB4" w:rsidRPr="00904FB4" w:rsidRDefault="00904FB4" w:rsidP="00904FB4">
      <w:pPr>
        <w:pStyle w:val="EndNoteBibliography"/>
        <w:spacing w:after="0"/>
      </w:pPr>
      <w:r w:rsidRPr="00904FB4">
        <w:t>12.</w:t>
      </w:r>
      <w:r w:rsidRPr="00904FB4">
        <w:tab/>
        <w:t>Santolaya ME, Alvarez AM, Avil‚s CL, Becker A, Cofr‚ J, Enr¡quez N, et al. Prospective evaluation of a model of prediction of invasive bacterial infection risk among children with cancer, fever, and neutropenia. Clinical Infectious Diseases: An Official Publication of the Infectious Diseases Society of America 2002;35(6):678-83.</w:t>
      </w:r>
    </w:p>
    <w:p w:rsidR="00904FB4" w:rsidRPr="00904FB4" w:rsidRDefault="00904FB4" w:rsidP="00904FB4">
      <w:pPr>
        <w:pStyle w:val="EndNoteBibliography"/>
        <w:spacing w:after="0"/>
      </w:pPr>
      <w:r w:rsidRPr="00904FB4">
        <w:t>13.</w:t>
      </w:r>
      <w:r w:rsidRPr="00904FB4">
        <w:tab/>
        <w:t>Ammann RA, Bodmer N, Hirt A, Niggli FK, Nadal D, Simon A, et al. Predicting adverse events in children with fever and chemotherapy-induced neutropenia: the prospective multicenter SPOG 2003 FN study. J Clin Oncol 2010;28(12):2008-14.</w:t>
      </w:r>
    </w:p>
    <w:p w:rsidR="00904FB4" w:rsidRPr="00904FB4" w:rsidRDefault="00904FB4" w:rsidP="00904FB4">
      <w:pPr>
        <w:pStyle w:val="EndNoteBibliography"/>
        <w:spacing w:after="0"/>
      </w:pPr>
      <w:r w:rsidRPr="00904FB4">
        <w:t>14.</w:t>
      </w:r>
      <w:r w:rsidRPr="00904FB4">
        <w:tab/>
        <w:t>Ammann RA, Hirt A, Luthy AR, Aebi C. Predicting bacteremia in children with fever and chemotherapy-induced neutropenia. Pediatr Infect Dis J 2004;23(1):61-7.</w:t>
      </w:r>
    </w:p>
    <w:p w:rsidR="00904FB4" w:rsidRPr="00904FB4" w:rsidRDefault="00904FB4" w:rsidP="00904FB4">
      <w:pPr>
        <w:pStyle w:val="EndNoteBibliography"/>
        <w:spacing w:after="0"/>
      </w:pPr>
      <w:r w:rsidRPr="00904FB4">
        <w:t>15.</w:t>
      </w:r>
      <w:r w:rsidRPr="00904FB4">
        <w:tab/>
        <w:t>Phillips RS, Wade R, Lehrnbecher T, Stewart LA, Sutton AJ. Systematic review and meta-analysis of the value of initial biomarkers in predicting adverse outcome in febrile neutropenic episodes in children and young people with cancer. BMC Med 2012;10(1):6.</w:t>
      </w:r>
    </w:p>
    <w:p w:rsidR="00904FB4" w:rsidRPr="00904FB4" w:rsidRDefault="00904FB4" w:rsidP="00904FB4">
      <w:pPr>
        <w:pStyle w:val="EndNoteBibliography"/>
        <w:spacing w:after="0"/>
      </w:pPr>
      <w:r w:rsidRPr="00904FB4">
        <w:t>16.</w:t>
      </w:r>
      <w:r w:rsidRPr="00904FB4">
        <w:tab/>
        <w:t>Phillips B, Ranasinghe N, Stewart LA. Ethical and regulatory considerations in the use of individual participant data for studies of disease prediction. Archives of Disease in Childhood 2013;98(7):567-8.</w:t>
      </w:r>
    </w:p>
    <w:p w:rsidR="00904FB4" w:rsidRPr="00904FB4" w:rsidRDefault="00904FB4" w:rsidP="00904FB4">
      <w:pPr>
        <w:pStyle w:val="EndNoteBibliography"/>
        <w:spacing w:after="0"/>
      </w:pPr>
      <w:r w:rsidRPr="00904FB4">
        <w:t>17.</w:t>
      </w:r>
      <w:r w:rsidRPr="00904FB4">
        <w:tab/>
        <w:t>Immunocompromised Host Society. The design, analysis, and reporting of clinical trials on the empirical antibiotic management of the neutropenic patient. Report of a consensus panel. J Infect Dis 1990;161(3):397-401.</w:t>
      </w:r>
    </w:p>
    <w:p w:rsidR="00904FB4" w:rsidRPr="00904FB4" w:rsidRDefault="00904FB4" w:rsidP="00904FB4">
      <w:pPr>
        <w:pStyle w:val="EndNoteBibliography"/>
        <w:spacing w:after="0"/>
      </w:pPr>
      <w:r w:rsidRPr="00904FB4">
        <w:t>18.</w:t>
      </w:r>
      <w:r w:rsidRPr="00904FB4">
        <w:tab/>
        <w:t>Haeusler GM, Phillips RS, Lehrnbecher T, Thursky KA, Sung L, Ammann RA. Core outcomes and definitions for pediatric fever and neutropenia research: A consensus statement from an international panel. Pediatric Blood &amp; Cancer 2015;62(3):483-489.</w:t>
      </w:r>
    </w:p>
    <w:p w:rsidR="00904FB4" w:rsidRPr="00904FB4" w:rsidRDefault="00904FB4" w:rsidP="00904FB4">
      <w:pPr>
        <w:pStyle w:val="EndNoteBibliography"/>
        <w:spacing w:after="0"/>
      </w:pPr>
      <w:r w:rsidRPr="00904FB4">
        <w:t>19.</w:t>
      </w:r>
      <w:r w:rsidRPr="00904FB4">
        <w:tab/>
        <w:t>R Core Team. R: A Language and Environment for Statistical Computing. In. Vienna, Austria; 2015.</w:t>
      </w:r>
    </w:p>
    <w:p w:rsidR="00904FB4" w:rsidRPr="00904FB4" w:rsidRDefault="00904FB4" w:rsidP="00904FB4">
      <w:pPr>
        <w:pStyle w:val="EndNoteBibliography"/>
        <w:spacing w:after="0"/>
      </w:pPr>
      <w:r w:rsidRPr="00904FB4">
        <w:t>20.</w:t>
      </w:r>
      <w:r w:rsidRPr="00904FB4">
        <w:tab/>
        <w:t>Harrell FE, Jr. rms: Regression Modeling Strategies. In; 2015.</w:t>
      </w:r>
    </w:p>
    <w:p w:rsidR="00904FB4" w:rsidRPr="00904FB4" w:rsidRDefault="00904FB4" w:rsidP="00904FB4">
      <w:pPr>
        <w:pStyle w:val="EndNoteBibliography"/>
        <w:spacing w:after="0"/>
      </w:pPr>
      <w:r w:rsidRPr="00904FB4">
        <w:t>21.</w:t>
      </w:r>
      <w:r w:rsidRPr="00904FB4">
        <w:tab/>
        <w:t>Xavier Robin, Natacha Turck, Alexandre Hainard, Natalia Tiberti, Frédérique Lisacek, Jean-Charles Sanchez, et al. pROC: an open-source package for R and S+ to analyze and compare ROC curves. BMC Bioinformatics 2011;12:77.</w:t>
      </w:r>
    </w:p>
    <w:p w:rsidR="00904FB4" w:rsidRPr="00904FB4" w:rsidRDefault="00904FB4" w:rsidP="00904FB4">
      <w:pPr>
        <w:pStyle w:val="EndNoteBibliography"/>
        <w:spacing w:after="0"/>
      </w:pPr>
      <w:r w:rsidRPr="00904FB4">
        <w:t>22.</w:t>
      </w:r>
      <w:r w:rsidRPr="00904FB4">
        <w:tab/>
        <w:t>Miedema KG, de Bont ES, Oude Nijhuis CS, van Vliet D, Kamps WA, Tissing WJ. Validation of a new risk assessment model for predicting adverse events in children with fever and chemotherapy-induced neutropenia. J Clin Oncol 2011;29(7):e182-4; author reply e185.</w:t>
      </w:r>
    </w:p>
    <w:p w:rsidR="00904FB4" w:rsidRPr="00904FB4" w:rsidRDefault="00904FB4" w:rsidP="00904FB4">
      <w:pPr>
        <w:pStyle w:val="EndNoteBibliography"/>
        <w:spacing w:after="0"/>
      </w:pPr>
      <w:r w:rsidRPr="00904FB4">
        <w:t>23.</w:t>
      </w:r>
      <w:r w:rsidRPr="00904FB4">
        <w:tab/>
        <w:t>Delebarre M, Macher E, Mazingue F, Martinot A, Dubos F. Which decision rules meet methodological standards in children with febrile neutropenia? Results of a systematic review and analysis. Pediatric Blood &amp; Cancer 2014;61(10):1786-1791.</w:t>
      </w:r>
    </w:p>
    <w:p w:rsidR="00904FB4" w:rsidRPr="00904FB4" w:rsidRDefault="00904FB4" w:rsidP="00904FB4">
      <w:pPr>
        <w:pStyle w:val="EndNoteBibliography"/>
      </w:pPr>
      <w:r w:rsidRPr="00904FB4">
        <w:t>24.</w:t>
      </w:r>
      <w:r w:rsidRPr="00904FB4">
        <w:tab/>
        <w:t>Patel B, Richards SM, Rowe JM, Goldstone AH, Fielding AK. High incidence of avascular necrosis in adolescents with acute lymphoblastic leukaemia: a UKALL XII analysis. Leukemia 2007;22(2):308-312.</w:t>
      </w:r>
    </w:p>
    <w:p w:rsidR="00551C00" w:rsidRPr="004C7B23" w:rsidRDefault="00551C00" w:rsidP="00CB386F">
      <w:pPr>
        <w:spacing w:line="480" w:lineRule="auto"/>
      </w:pPr>
      <w:r w:rsidRPr="004C7B23">
        <w:fldChar w:fldCharType="end"/>
      </w:r>
    </w:p>
    <w:sectPr w:rsidR="00551C00" w:rsidRPr="004C7B23" w:rsidSect="00BA7FF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D6B"/>
    <w:multiLevelType w:val="hybridMultilevel"/>
    <w:tmpl w:val="6BFC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A852D9"/>
    <w:multiLevelType w:val="hybridMultilevel"/>
    <w:tmpl w:val="C2BC54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F35435"/>
    <w:multiLevelType w:val="hybridMultilevel"/>
    <w:tmpl w:val="F84C141A"/>
    <w:lvl w:ilvl="0" w:tplc="B7FCC3DA">
      <w:numFmt w:val="bullet"/>
      <w:lvlText w:val="-"/>
      <w:lvlJc w:val="left"/>
      <w:pPr>
        <w:ind w:left="720" w:hanging="360"/>
      </w:pPr>
      <w:rPr>
        <w:rFonts w:ascii="Calibri" w:eastAsia="Times New Roman" w:hAnsi="Calibri"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Canc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5zaadvasawxcefrsoverxhpwexxvwss9f9&quot;&gt;Paediatric Oncology&lt;record-ids&gt;&lt;item&gt;372&lt;/item&gt;&lt;item&gt;511&lt;/item&gt;&lt;item&gt;563&lt;/item&gt;&lt;item&gt;578&lt;/item&gt;&lt;item&gt;1039&lt;/item&gt;&lt;item&gt;1150&lt;/item&gt;&lt;item&gt;1207&lt;/item&gt;&lt;item&gt;1249&lt;/item&gt;&lt;item&gt;1275&lt;/item&gt;&lt;item&gt;1278&lt;/item&gt;&lt;item&gt;1422&lt;/item&gt;&lt;item&gt;1436&lt;/item&gt;&lt;item&gt;1631&lt;/item&gt;&lt;item&gt;1892&lt;/item&gt;&lt;item&gt;1896&lt;/item&gt;&lt;item&gt;1977&lt;/item&gt;&lt;item&gt;2040&lt;/item&gt;&lt;item&gt;2041&lt;/item&gt;&lt;item&gt;2042&lt;/item&gt;&lt;item&gt;2043&lt;/item&gt;&lt;item&gt;2044&lt;/item&gt;&lt;item&gt;2046&lt;/item&gt;&lt;item&gt;2054&lt;/item&gt;&lt;item&gt;2055&lt;/item&gt;&lt;/record-ids&gt;&lt;/item&gt;&lt;/Libraries&gt;"/>
  </w:docVars>
  <w:rsids>
    <w:rsidRoot w:val="00B104BA"/>
    <w:rsid w:val="00003467"/>
    <w:rsid w:val="00005263"/>
    <w:rsid w:val="000166E4"/>
    <w:rsid w:val="00016EB2"/>
    <w:rsid w:val="00050F64"/>
    <w:rsid w:val="000608A6"/>
    <w:rsid w:val="00063915"/>
    <w:rsid w:val="00065A51"/>
    <w:rsid w:val="000702AD"/>
    <w:rsid w:val="000741F9"/>
    <w:rsid w:val="00074531"/>
    <w:rsid w:val="00087124"/>
    <w:rsid w:val="0009744D"/>
    <w:rsid w:val="000A27AF"/>
    <w:rsid w:val="000A2DCD"/>
    <w:rsid w:val="000A7F55"/>
    <w:rsid w:val="000B6E69"/>
    <w:rsid w:val="000F1229"/>
    <w:rsid w:val="000F683D"/>
    <w:rsid w:val="00127477"/>
    <w:rsid w:val="0016693C"/>
    <w:rsid w:val="00186F3E"/>
    <w:rsid w:val="00192B92"/>
    <w:rsid w:val="0019516E"/>
    <w:rsid w:val="001B7FDE"/>
    <w:rsid w:val="001C20A3"/>
    <w:rsid w:val="001C4858"/>
    <w:rsid w:val="001D0BA0"/>
    <w:rsid w:val="001D616A"/>
    <w:rsid w:val="00203572"/>
    <w:rsid w:val="0022078F"/>
    <w:rsid w:val="00225299"/>
    <w:rsid w:val="00227801"/>
    <w:rsid w:val="002405A7"/>
    <w:rsid w:val="00244C77"/>
    <w:rsid w:val="00264EFD"/>
    <w:rsid w:val="00275AC4"/>
    <w:rsid w:val="002922F8"/>
    <w:rsid w:val="002A2682"/>
    <w:rsid w:val="002B7A7A"/>
    <w:rsid w:val="002D486C"/>
    <w:rsid w:val="003229B4"/>
    <w:rsid w:val="00345C25"/>
    <w:rsid w:val="003539C3"/>
    <w:rsid w:val="0035531F"/>
    <w:rsid w:val="0037257D"/>
    <w:rsid w:val="003873CB"/>
    <w:rsid w:val="003A49D1"/>
    <w:rsid w:val="003C60D8"/>
    <w:rsid w:val="003D0B93"/>
    <w:rsid w:val="003D2BE6"/>
    <w:rsid w:val="003E2C6C"/>
    <w:rsid w:val="003F36F1"/>
    <w:rsid w:val="003F6FA7"/>
    <w:rsid w:val="00423326"/>
    <w:rsid w:val="00434DB4"/>
    <w:rsid w:val="004431E7"/>
    <w:rsid w:val="00454086"/>
    <w:rsid w:val="00482313"/>
    <w:rsid w:val="00482CB0"/>
    <w:rsid w:val="00483314"/>
    <w:rsid w:val="00486665"/>
    <w:rsid w:val="00496935"/>
    <w:rsid w:val="004A651A"/>
    <w:rsid w:val="004C0D5B"/>
    <w:rsid w:val="004C14D3"/>
    <w:rsid w:val="004C7B23"/>
    <w:rsid w:val="004D1BC2"/>
    <w:rsid w:val="004E6512"/>
    <w:rsid w:val="004F01C6"/>
    <w:rsid w:val="004F554D"/>
    <w:rsid w:val="00500F50"/>
    <w:rsid w:val="00501380"/>
    <w:rsid w:val="00501CE8"/>
    <w:rsid w:val="00504B82"/>
    <w:rsid w:val="00514BF9"/>
    <w:rsid w:val="00517F0F"/>
    <w:rsid w:val="00536396"/>
    <w:rsid w:val="00551C00"/>
    <w:rsid w:val="00572BE5"/>
    <w:rsid w:val="00573753"/>
    <w:rsid w:val="005933D8"/>
    <w:rsid w:val="005D7059"/>
    <w:rsid w:val="005D79E6"/>
    <w:rsid w:val="005E1136"/>
    <w:rsid w:val="0060302D"/>
    <w:rsid w:val="00635A1C"/>
    <w:rsid w:val="00637C9F"/>
    <w:rsid w:val="00644F60"/>
    <w:rsid w:val="00655DA8"/>
    <w:rsid w:val="00674116"/>
    <w:rsid w:val="0067445B"/>
    <w:rsid w:val="00694B91"/>
    <w:rsid w:val="006D5799"/>
    <w:rsid w:val="006F7E54"/>
    <w:rsid w:val="00701008"/>
    <w:rsid w:val="00723C16"/>
    <w:rsid w:val="00726DF0"/>
    <w:rsid w:val="007410C6"/>
    <w:rsid w:val="007757A5"/>
    <w:rsid w:val="007859B3"/>
    <w:rsid w:val="007A2050"/>
    <w:rsid w:val="007D5EFD"/>
    <w:rsid w:val="007E6018"/>
    <w:rsid w:val="007E7C41"/>
    <w:rsid w:val="007F46F2"/>
    <w:rsid w:val="00804523"/>
    <w:rsid w:val="0083644D"/>
    <w:rsid w:val="00847385"/>
    <w:rsid w:val="0086371B"/>
    <w:rsid w:val="00863EA5"/>
    <w:rsid w:val="008B271C"/>
    <w:rsid w:val="008C2AB6"/>
    <w:rsid w:val="008C7030"/>
    <w:rsid w:val="0090012A"/>
    <w:rsid w:val="00904FB4"/>
    <w:rsid w:val="009205BA"/>
    <w:rsid w:val="009217A3"/>
    <w:rsid w:val="009266D3"/>
    <w:rsid w:val="00951CD0"/>
    <w:rsid w:val="00977BB8"/>
    <w:rsid w:val="00987110"/>
    <w:rsid w:val="009B1900"/>
    <w:rsid w:val="00A06577"/>
    <w:rsid w:val="00A164C6"/>
    <w:rsid w:val="00A217B6"/>
    <w:rsid w:val="00A4156C"/>
    <w:rsid w:val="00AA0E2D"/>
    <w:rsid w:val="00AB2E22"/>
    <w:rsid w:val="00AC05E3"/>
    <w:rsid w:val="00AD3BCA"/>
    <w:rsid w:val="00AE1849"/>
    <w:rsid w:val="00AF6D96"/>
    <w:rsid w:val="00AF787D"/>
    <w:rsid w:val="00B035C2"/>
    <w:rsid w:val="00B079CC"/>
    <w:rsid w:val="00B104BA"/>
    <w:rsid w:val="00B112A1"/>
    <w:rsid w:val="00B26BC1"/>
    <w:rsid w:val="00B30E83"/>
    <w:rsid w:val="00B37A28"/>
    <w:rsid w:val="00B72D20"/>
    <w:rsid w:val="00B80DA3"/>
    <w:rsid w:val="00B974E9"/>
    <w:rsid w:val="00B97AA4"/>
    <w:rsid w:val="00BA7FF7"/>
    <w:rsid w:val="00C00E11"/>
    <w:rsid w:val="00C0346E"/>
    <w:rsid w:val="00C441C2"/>
    <w:rsid w:val="00C45602"/>
    <w:rsid w:val="00C53A56"/>
    <w:rsid w:val="00C726F9"/>
    <w:rsid w:val="00C7311D"/>
    <w:rsid w:val="00CA74B2"/>
    <w:rsid w:val="00CB386F"/>
    <w:rsid w:val="00CC7350"/>
    <w:rsid w:val="00CF1DB9"/>
    <w:rsid w:val="00CF3B97"/>
    <w:rsid w:val="00D2110F"/>
    <w:rsid w:val="00D603B4"/>
    <w:rsid w:val="00D74690"/>
    <w:rsid w:val="00D748B8"/>
    <w:rsid w:val="00D842FE"/>
    <w:rsid w:val="00DA5F5D"/>
    <w:rsid w:val="00DA6594"/>
    <w:rsid w:val="00DC5E74"/>
    <w:rsid w:val="00DD087A"/>
    <w:rsid w:val="00DE05E2"/>
    <w:rsid w:val="00DF740A"/>
    <w:rsid w:val="00DF7B6F"/>
    <w:rsid w:val="00E24B53"/>
    <w:rsid w:val="00E26A2F"/>
    <w:rsid w:val="00E270B5"/>
    <w:rsid w:val="00E5777B"/>
    <w:rsid w:val="00E60088"/>
    <w:rsid w:val="00E85587"/>
    <w:rsid w:val="00E9182C"/>
    <w:rsid w:val="00EB1A5A"/>
    <w:rsid w:val="00EE1CBB"/>
    <w:rsid w:val="00F0533F"/>
    <w:rsid w:val="00F10DF8"/>
    <w:rsid w:val="00F17B32"/>
    <w:rsid w:val="00F332B3"/>
    <w:rsid w:val="00F6268E"/>
    <w:rsid w:val="00F712C8"/>
    <w:rsid w:val="00F716A5"/>
    <w:rsid w:val="00F81097"/>
    <w:rsid w:val="00F91170"/>
    <w:rsid w:val="00FA3D9F"/>
    <w:rsid w:val="00FB526D"/>
    <w:rsid w:val="00FC6CE2"/>
    <w:rsid w:val="00FD47FE"/>
    <w:rsid w:val="00FF7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37A28"/>
    <w:pPr>
      <w:spacing w:after="200" w:line="276" w:lineRule="auto"/>
    </w:pPr>
    <w:rPr>
      <w:lang w:val="en-GB" w:eastAsia="en-GB"/>
    </w:rPr>
  </w:style>
  <w:style w:type="paragraph" w:styleId="Heading1">
    <w:name w:val="heading 1"/>
    <w:basedOn w:val="Normal"/>
    <w:next w:val="Normal"/>
    <w:link w:val="Heading1Char"/>
    <w:uiPriority w:val="99"/>
    <w:qFormat/>
    <w:rsid w:val="009205BA"/>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9205BA"/>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9205BA"/>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9205BA"/>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9205BA"/>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9205BA"/>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9205BA"/>
    <w:pPr>
      <w:spacing w:after="0"/>
      <w:outlineLvl w:val="6"/>
    </w:pPr>
    <w:rPr>
      <w:rFonts w:ascii="Cambria" w:hAnsi="Cambria"/>
      <w:i/>
      <w:iCs/>
    </w:rPr>
  </w:style>
  <w:style w:type="paragraph" w:styleId="Heading8">
    <w:name w:val="heading 8"/>
    <w:basedOn w:val="Normal"/>
    <w:next w:val="Normal"/>
    <w:link w:val="Heading8Char"/>
    <w:uiPriority w:val="99"/>
    <w:qFormat/>
    <w:rsid w:val="009205BA"/>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9205BA"/>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5BA"/>
    <w:rPr>
      <w:rFonts w:ascii="Cambria" w:hAnsi="Cambria" w:cs="Times New Roman"/>
      <w:b/>
      <w:bCs/>
      <w:sz w:val="28"/>
      <w:szCs w:val="28"/>
    </w:rPr>
  </w:style>
  <w:style w:type="character" w:customStyle="1" w:styleId="Heading2Char">
    <w:name w:val="Heading 2 Char"/>
    <w:basedOn w:val="DefaultParagraphFont"/>
    <w:link w:val="Heading2"/>
    <w:uiPriority w:val="99"/>
    <w:locked/>
    <w:rsid w:val="009205BA"/>
    <w:rPr>
      <w:rFonts w:ascii="Cambria" w:hAnsi="Cambria" w:cs="Times New Roman"/>
      <w:b/>
      <w:bCs/>
      <w:sz w:val="26"/>
      <w:szCs w:val="26"/>
    </w:rPr>
  </w:style>
  <w:style w:type="character" w:customStyle="1" w:styleId="Heading3Char">
    <w:name w:val="Heading 3 Char"/>
    <w:basedOn w:val="DefaultParagraphFont"/>
    <w:link w:val="Heading3"/>
    <w:uiPriority w:val="99"/>
    <w:locked/>
    <w:rsid w:val="009205BA"/>
    <w:rPr>
      <w:rFonts w:ascii="Cambria" w:hAnsi="Cambria" w:cs="Times New Roman"/>
      <w:b/>
      <w:bCs/>
    </w:rPr>
  </w:style>
  <w:style w:type="character" w:customStyle="1" w:styleId="Heading4Char">
    <w:name w:val="Heading 4 Char"/>
    <w:basedOn w:val="DefaultParagraphFont"/>
    <w:link w:val="Heading4"/>
    <w:uiPriority w:val="99"/>
    <w:semiHidden/>
    <w:locked/>
    <w:rsid w:val="009205BA"/>
    <w:rPr>
      <w:rFonts w:ascii="Cambria" w:hAnsi="Cambria" w:cs="Times New Roman"/>
      <w:b/>
      <w:bCs/>
      <w:i/>
      <w:iCs/>
    </w:rPr>
  </w:style>
  <w:style w:type="character" w:customStyle="1" w:styleId="Heading5Char">
    <w:name w:val="Heading 5 Char"/>
    <w:basedOn w:val="DefaultParagraphFont"/>
    <w:link w:val="Heading5"/>
    <w:uiPriority w:val="99"/>
    <w:semiHidden/>
    <w:locked/>
    <w:rsid w:val="009205BA"/>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9205BA"/>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9205BA"/>
    <w:rPr>
      <w:rFonts w:ascii="Cambria" w:hAnsi="Cambria" w:cs="Times New Roman"/>
      <w:i/>
      <w:iCs/>
    </w:rPr>
  </w:style>
  <w:style w:type="character" w:customStyle="1" w:styleId="Heading8Char">
    <w:name w:val="Heading 8 Char"/>
    <w:basedOn w:val="DefaultParagraphFont"/>
    <w:link w:val="Heading8"/>
    <w:uiPriority w:val="99"/>
    <w:semiHidden/>
    <w:locked/>
    <w:rsid w:val="009205BA"/>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9205BA"/>
    <w:rPr>
      <w:rFonts w:ascii="Cambria" w:hAnsi="Cambria" w:cs="Times New Roman"/>
      <w:i/>
      <w:iCs/>
      <w:spacing w:val="5"/>
      <w:sz w:val="20"/>
      <w:szCs w:val="20"/>
    </w:rPr>
  </w:style>
  <w:style w:type="paragraph" w:styleId="BalloonText">
    <w:name w:val="Balloon Text"/>
    <w:basedOn w:val="Normal"/>
    <w:link w:val="BalloonTextChar"/>
    <w:uiPriority w:val="99"/>
    <w:semiHidden/>
    <w:rsid w:val="00B10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4BA"/>
    <w:rPr>
      <w:rFonts w:ascii="Tahoma" w:hAnsi="Tahoma" w:cs="Tahoma"/>
      <w:sz w:val="16"/>
      <w:szCs w:val="16"/>
    </w:rPr>
  </w:style>
  <w:style w:type="character" w:styleId="Emphasis">
    <w:name w:val="Emphasis"/>
    <w:basedOn w:val="DefaultParagraphFont"/>
    <w:uiPriority w:val="99"/>
    <w:qFormat/>
    <w:rsid w:val="009205BA"/>
    <w:rPr>
      <w:rFonts w:cs="Times New Roman"/>
      <w:b/>
      <w:i/>
      <w:spacing w:val="10"/>
      <w:shd w:val="clear" w:color="auto" w:fill="auto"/>
    </w:rPr>
  </w:style>
  <w:style w:type="paragraph" w:styleId="Title">
    <w:name w:val="Title"/>
    <w:basedOn w:val="Normal"/>
    <w:next w:val="Normal"/>
    <w:link w:val="TitleChar"/>
    <w:uiPriority w:val="99"/>
    <w:qFormat/>
    <w:rsid w:val="009205BA"/>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9205BA"/>
    <w:rPr>
      <w:rFonts w:ascii="Cambria" w:hAnsi="Cambria" w:cs="Times New Roman"/>
      <w:spacing w:val="5"/>
      <w:sz w:val="52"/>
      <w:szCs w:val="52"/>
    </w:rPr>
  </w:style>
  <w:style w:type="paragraph" w:styleId="Subtitle">
    <w:name w:val="Subtitle"/>
    <w:basedOn w:val="Normal"/>
    <w:next w:val="Normal"/>
    <w:link w:val="SubtitleChar"/>
    <w:uiPriority w:val="99"/>
    <w:qFormat/>
    <w:rsid w:val="009205BA"/>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9205BA"/>
    <w:rPr>
      <w:rFonts w:ascii="Cambria" w:hAnsi="Cambria" w:cs="Times New Roman"/>
      <w:i/>
      <w:iCs/>
      <w:spacing w:val="13"/>
      <w:sz w:val="24"/>
      <w:szCs w:val="24"/>
    </w:rPr>
  </w:style>
  <w:style w:type="character" w:styleId="Strong">
    <w:name w:val="Strong"/>
    <w:basedOn w:val="DefaultParagraphFont"/>
    <w:uiPriority w:val="99"/>
    <w:qFormat/>
    <w:rsid w:val="009205BA"/>
    <w:rPr>
      <w:rFonts w:cs="Times New Roman"/>
      <w:b/>
    </w:rPr>
  </w:style>
  <w:style w:type="paragraph" w:styleId="NoSpacing">
    <w:name w:val="No Spacing"/>
    <w:basedOn w:val="Normal"/>
    <w:uiPriority w:val="99"/>
    <w:qFormat/>
    <w:rsid w:val="009205BA"/>
    <w:pPr>
      <w:spacing w:after="0" w:line="240" w:lineRule="auto"/>
    </w:pPr>
  </w:style>
  <w:style w:type="paragraph" w:styleId="ListParagraph">
    <w:name w:val="List Paragraph"/>
    <w:basedOn w:val="Normal"/>
    <w:uiPriority w:val="99"/>
    <w:qFormat/>
    <w:rsid w:val="009205BA"/>
    <w:pPr>
      <w:ind w:left="720"/>
      <w:contextualSpacing/>
    </w:pPr>
  </w:style>
  <w:style w:type="paragraph" w:styleId="Quote">
    <w:name w:val="Quote"/>
    <w:basedOn w:val="Normal"/>
    <w:next w:val="Normal"/>
    <w:link w:val="QuoteChar"/>
    <w:uiPriority w:val="99"/>
    <w:qFormat/>
    <w:rsid w:val="009205BA"/>
    <w:pPr>
      <w:spacing w:before="200" w:after="0"/>
      <w:ind w:left="360" w:right="360"/>
    </w:pPr>
    <w:rPr>
      <w:i/>
      <w:iCs/>
    </w:rPr>
  </w:style>
  <w:style w:type="character" w:customStyle="1" w:styleId="QuoteChar">
    <w:name w:val="Quote Char"/>
    <w:basedOn w:val="DefaultParagraphFont"/>
    <w:link w:val="Quote"/>
    <w:uiPriority w:val="99"/>
    <w:locked/>
    <w:rsid w:val="009205BA"/>
    <w:rPr>
      <w:rFonts w:cs="Times New Roman"/>
      <w:i/>
      <w:iCs/>
    </w:rPr>
  </w:style>
  <w:style w:type="paragraph" w:styleId="IntenseQuote">
    <w:name w:val="Intense Quote"/>
    <w:basedOn w:val="Normal"/>
    <w:next w:val="Normal"/>
    <w:link w:val="IntenseQuoteChar"/>
    <w:uiPriority w:val="99"/>
    <w:qFormat/>
    <w:rsid w:val="009205B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9205BA"/>
    <w:rPr>
      <w:rFonts w:cs="Times New Roman"/>
      <w:b/>
      <w:bCs/>
      <w:i/>
      <w:iCs/>
    </w:rPr>
  </w:style>
  <w:style w:type="character" w:styleId="SubtleEmphasis">
    <w:name w:val="Subtle Emphasis"/>
    <w:basedOn w:val="DefaultParagraphFont"/>
    <w:uiPriority w:val="99"/>
    <w:qFormat/>
    <w:rsid w:val="009205BA"/>
    <w:rPr>
      <w:i/>
    </w:rPr>
  </w:style>
  <w:style w:type="character" w:styleId="IntenseEmphasis">
    <w:name w:val="Intense Emphasis"/>
    <w:basedOn w:val="DefaultParagraphFont"/>
    <w:uiPriority w:val="99"/>
    <w:qFormat/>
    <w:rsid w:val="009205BA"/>
    <w:rPr>
      <w:b/>
    </w:rPr>
  </w:style>
  <w:style w:type="character" w:styleId="SubtleReference">
    <w:name w:val="Subtle Reference"/>
    <w:basedOn w:val="DefaultParagraphFont"/>
    <w:uiPriority w:val="99"/>
    <w:qFormat/>
    <w:rsid w:val="009205BA"/>
    <w:rPr>
      <w:smallCaps/>
    </w:rPr>
  </w:style>
  <w:style w:type="character" w:styleId="IntenseReference">
    <w:name w:val="Intense Reference"/>
    <w:basedOn w:val="DefaultParagraphFont"/>
    <w:uiPriority w:val="99"/>
    <w:qFormat/>
    <w:rsid w:val="009205BA"/>
    <w:rPr>
      <w:smallCaps/>
      <w:spacing w:val="5"/>
      <w:u w:val="single"/>
    </w:rPr>
  </w:style>
  <w:style w:type="character" w:styleId="BookTitle">
    <w:name w:val="Book Title"/>
    <w:basedOn w:val="DefaultParagraphFont"/>
    <w:uiPriority w:val="99"/>
    <w:qFormat/>
    <w:rsid w:val="009205BA"/>
    <w:rPr>
      <w:i/>
      <w:smallCaps/>
      <w:spacing w:val="5"/>
    </w:rPr>
  </w:style>
  <w:style w:type="paragraph" w:styleId="TOCHeading">
    <w:name w:val="TOC Heading"/>
    <w:basedOn w:val="Heading1"/>
    <w:next w:val="Normal"/>
    <w:uiPriority w:val="99"/>
    <w:qFormat/>
    <w:rsid w:val="009205BA"/>
    <w:pPr>
      <w:outlineLvl w:val="9"/>
    </w:pPr>
  </w:style>
  <w:style w:type="table" w:styleId="TableGrid">
    <w:name w:val="Table Grid"/>
    <w:basedOn w:val="TableNormal"/>
    <w:uiPriority w:val="99"/>
    <w:rsid w:val="00C00E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rsid w:val="00F10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10DF8"/>
    <w:rPr>
      <w:rFonts w:ascii="Courier New" w:hAnsi="Courier New" w:cs="Courier New"/>
      <w:sz w:val="20"/>
      <w:szCs w:val="20"/>
      <w:lang w:val="en-GB" w:eastAsia="en-GB" w:bidi="ar-SA"/>
    </w:rPr>
  </w:style>
  <w:style w:type="paragraph" w:customStyle="1" w:styleId="EndNoteBibliographyTitle">
    <w:name w:val="EndNote Bibliography Title"/>
    <w:basedOn w:val="Normal"/>
    <w:link w:val="EndNoteBibliographyTitleChar"/>
    <w:uiPriority w:val="99"/>
    <w:rsid w:val="004431E7"/>
    <w:pPr>
      <w:spacing w:after="0"/>
      <w:jc w:val="center"/>
    </w:pPr>
    <w:rPr>
      <w:noProof/>
    </w:rPr>
  </w:style>
  <w:style w:type="character" w:customStyle="1" w:styleId="EndNoteBibliographyTitleChar">
    <w:name w:val="EndNote Bibliography Title Char"/>
    <w:basedOn w:val="DefaultParagraphFont"/>
    <w:link w:val="EndNoteBibliographyTitle"/>
    <w:uiPriority w:val="99"/>
    <w:locked/>
    <w:rsid w:val="004431E7"/>
    <w:rPr>
      <w:noProof/>
      <w:lang w:val="en-GB" w:eastAsia="en-GB"/>
    </w:rPr>
  </w:style>
  <w:style w:type="paragraph" w:customStyle="1" w:styleId="EndNoteBibliography">
    <w:name w:val="EndNote Bibliography"/>
    <w:basedOn w:val="Normal"/>
    <w:link w:val="EndNoteBibliographyChar"/>
    <w:uiPriority w:val="99"/>
    <w:rsid w:val="004431E7"/>
    <w:pPr>
      <w:spacing w:line="240" w:lineRule="auto"/>
    </w:pPr>
    <w:rPr>
      <w:noProof/>
    </w:rPr>
  </w:style>
  <w:style w:type="character" w:customStyle="1" w:styleId="EndNoteBibliographyChar">
    <w:name w:val="EndNote Bibliography Char"/>
    <w:basedOn w:val="DefaultParagraphFont"/>
    <w:link w:val="EndNoteBibliography"/>
    <w:uiPriority w:val="99"/>
    <w:locked/>
    <w:rsid w:val="004431E7"/>
    <w:rPr>
      <w:noProof/>
      <w:lang w:val="en-GB" w:eastAsia="en-GB"/>
    </w:rPr>
  </w:style>
  <w:style w:type="character" w:styleId="Hyperlink">
    <w:name w:val="Hyperlink"/>
    <w:basedOn w:val="DefaultParagraphFont"/>
    <w:uiPriority w:val="99"/>
    <w:rsid w:val="00DF740A"/>
    <w:rPr>
      <w:rFonts w:cs="Times New Roman"/>
      <w:color w:val="0000FF"/>
      <w:u w:val="single"/>
    </w:rPr>
  </w:style>
  <w:style w:type="character" w:styleId="CommentReference">
    <w:name w:val="annotation reference"/>
    <w:basedOn w:val="DefaultParagraphFont"/>
    <w:uiPriority w:val="99"/>
    <w:semiHidden/>
    <w:rsid w:val="001C4858"/>
    <w:rPr>
      <w:rFonts w:cs="Times New Roman"/>
      <w:sz w:val="16"/>
      <w:szCs w:val="16"/>
    </w:rPr>
  </w:style>
  <w:style w:type="paragraph" w:styleId="CommentText">
    <w:name w:val="annotation text"/>
    <w:basedOn w:val="Normal"/>
    <w:link w:val="CommentTextChar"/>
    <w:uiPriority w:val="99"/>
    <w:semiHidden/>
    <w:rsid w:val="001C485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C4858"/>
    <w:rPr>
      <w:rFonts w:cs="Times New Roman"/>
      <w:sz w:val="20"/>
      <w:szCs w:val="20"/>
    </w:rPr>
  </w:style>
  <w:style w:type="paragraph" w:styleId="CommentSubject">
    <w:name w:val="annotation subject"/>
    <w:basedOn w:val="CommentText"/>
    <w:next w:val="CommentText"/>
    <w:link w:val="CommentSubjectChar"/>
    <w:uiPriority w:val="99"/>
    <w:semiHidden/>
    <w:rsid w:val="001C4858"/>
    <w:rPr>
      <w:b/>
      <w:bCs/>
    </w:rPr>
  </w:style>
  <w:style w:type="character" w:customStyle="1" w:styleId="CommentSubjectChar">
    <w:name w:val="Comment Subject Char"/>
    <w:basedOn w:val="CommentTextChar"/>
    <w:link w:val="CommentSubject"/>
    <w:uiPriority w:val="99"/>
    <w:semiHidden/>
    <w:locked/>
    <w:rsid w:val="001C4858"/>
    <w:rPr>
      <w:rFonts w:cs="Times New Roman"/>
      <w:b/>
      <w:bCs/>
      <w:sz w:val="20"/>
      <w:szCs w:val="20"/>
    </w:rPr>
  </w:style>
  <w:style w:type="paragraph" w:styleId="Revision">
    <w:name w:val="Revision"/>
    <w:hidden/>
    <w:uiPriority w:val="99"/>
    <w:semiHidden/>
    <w:rsid w:val="002D486C"/>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37A28"/>
    <w:pPr>
      <w:spacing w:after="200" w:line="276" w:lineRule="auto"/>
    </w:pPr>
    <w:rPr>
      <w:lang w:val="en-GB" w:eastAsia="en-GB"/>
    </w:rPr>
  </w:style>
  <w:style w:type="paragraph" w:styleId="Heading1">
    <w:name w:val="heading 1"/>
    <w:basedOn w:val="Normal"/>
    <w:next w:val="Normal"/>
    <w:link w:val="Heading1Char"/>
    <w:uiPriority w:val="99"/>
    <w:qFormat/>
    <w:rsid w:val="009205BA"/>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9205BA"/>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9205BA"/>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9205BA"/>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9205BA"/>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9205BA"/>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9205BA"/>
    <w:pPr>
      <w:spacing w:after="0"/>
      <w:outlineLvl w:val="6"/>
    </w:pPr>
    <w:rPr>
      <w:rFonts w:ascii="Cambria" w:hAnsi="Cambria"/>
      <w:i/>
      <w:iCs/>
    </w:rPr>
  </w:style>
  <w:style w:type="paragraph" w:styleId="Heading8">
    <w:name w:val="heading 8"/>
    <w:basedOn w:val="Normal"/>
    <w:next w:val="Normal"/>
    <w:link w:val="Heading8Char"/>
    <w:uiPriority w:val="99"/>
    <w:qFormat/>
    <w:rsid w:val="009205BA"/>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9205BA"/>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5BA"/>
    <w:rPr>
      <w:rFonts w:ascii="Cambria" w:hAnsi="Cambria" w:cs="Times New Roman"/>
      <w:b/>
      <w:bCs/>
      <w:sz w:val="28"/>
      <w:szCs w:val="28"/>
    </w:rPr>
  </w:style>
  <w:style w:type="character" w:customStyle="1" w:styleId="Heading2Char">
    <w:name w:val="Heading 2 Char"/>
    <w:basedOn w:val="DefaultParagraphFont"/>
    <w:link w:val="Heading2"/>
    <w:uiPriority w:val="99"/>
    <w:locked/>
    <w:rsid w:val="009205BA"/>
    <w:rPr>
      <w:rFonts w:ascii="Cambria" w:hAnsi="Cambria" w:cs="Times New Roman"/>
      <w:b/>
      <w:bCs/>
      <w:sz w:val="26"/>
      <w:szCs w:val="26"/>
    </w:rPr>
  </w:style>
  <w:style w:type="character" w:customStyle="1" w:styleId="Heading3Char">
    <w:name w:val="Heading 3 Char"/>
    <w:basedOn w:val="DefaultParagraphFont"/>
    <w:link w:val="Heading3"/>
    <w:uiPriority w:val="99"/>
    <w:locked/>
    <w:rsid w:val="009205BA"/>
    <w:rPr>
      <w:rFonts w:ascii="Cambria" w:hAnsi="Cambria" w:cs="Times New Roman"/>
      <w:b/>
      <w:bCs/>
    </w:rPr>
  </w:style>
  <w:style w:type="character" w:customStyle="1" w:styleId="Heading4Char">
    <w:name w:val="Heading 4 Char"/>
    <w:basedOn w:val="DefaultParagraphFont"/>
    <w:link w:val="Heading4"/>
    <w:uiPriority w:val="99"/>
    <w:semiHidden/>
    <w:locked/>
    <w:rsid w:val="009205BA"/>
    <w:rPr>
      <w:rFonts w:ascii="Cambria" w:hAnsi="Cambria" w:cs="Times New Roman"/>
      <w:b/>
      <w:bCs/>
      <w:i/>
      <w:iCs/>
    </w:rPr>
  </w:style>
  <w:style w:type="character" w:customStyle="1" w:styleId="Heading5Char">
    <w:name w:val="Heading 5 Char"/>
    <w:basedOn w:val="DefaultParagraphFont"/>
    <w:link w:val="Heading5"/>
    <w:uiPriority w:val="99"/>
    <w:semiHidden/>
    <w:locked/>
    <w:rsid w:val="009205BA"/>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9205BA"/>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9205BA"/>
    <w:rPr>
      <w:rFonts w:ascii="Cambria" w:hAnsi="Cambria" w:cs="Times New Roman"/>
      <w:i/>
      <w:iCs/>
    </w:rPr>
  </w:style>
  <w:style w:type="character" w:customStyle="1" w:styleId="Heading8Char">
    <w:name w:val="Heading 8 Char"/>
    <w:basedOn w:val="DefaultParagraphFont"/>
    <w:link w:val="Heading8"/>
    <w:uiPriority w:val="99"/>
    <w:semiHidden/>
    <w:locked/>
    <w:rsid w:val="009205BA"/>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9205BA"/>
    <w:rPr>
      <w:rFonts w:ascii="Cambria" w:hAnsi="Cambria" w:cs="Times New Roman"/>
      <w:i/>
      <w:iCs/>
      <w:spacing w:val="5"/>
      <w:sz w:val="20"/>
      <w:szCs w:val="20"/>
    </w:rPr>
  </w:style>
  <w:style w:type="paragraph" w:styleId="BalloonText">
    <w:name w:val="Balloon Text"/>
    <w:basedOn w:val="Normal"/>
    <w:link w:val="BalloonTextChar"/>
    <w:uiPriority w:val="99"/>
    <w:semiHidden/>
    <w:rsid w:val="00B10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4BA"/>
    <w:rPr>
      <w:rFonts w:ascii="Tahoma" w:hAnsi="Tahoma" w:cs="Tahoma"/>
      <w:sz w:val="16"/>
      <w:szCs w:val="16"/>
    </w:rPr>
  </w:style>
  <w:style w:type="character" w:styleId="Emphasis">
    <w:name w:val="Emphasis"/>
    <w:basedOn w:val="DefaultParagraphFont"/>
    <w:uiPriority w:val="99"/>
    <w:qFormat/>
    <w:rsid w:val="009205BA"/>
    <w:rPr>
      <w:rFonts w:cs="Times New Roman"/>
      <w:b/>
      <w:i/>
      <w:spacing w:val="10"/>
      <w:shd w:val="clear" w:color="auto" w:fill="auto"/>
    </w:rPr>
  </w:style>
  <w:style w:type="paragraph" w:styleId="Title">
    <w:name w:val="Title"/>
    <w:basedOn w:val="Normal"/>
    <w:next w:val="Normal"/>
    <w:link w:val="TitleChar"/>
    <w:uiPriority w:val="99"/>
    <w:qFormat/>
    <w:rsid w:val="009205BA"/>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9205BA"/>
    <w:rPr>
      <w:rFonts w:ascii="Cambria" w:hAnsi="Cambria" w:cs="Times New Roman"/>
      <w:spacing w:val="5"/>
      <w:sz w:val="52"/>
      <w:szCs w:val="52"/>
    </w:rPr>
  </w:style>
  <w:style w:type="paragraph" w:styleId="Subtitle">
    <w:name w:val="Subtitle"/>
    <w:basedOn w:val="Normal"/>
    <w:next w:val="Normal"/>
    <w:link w:val="SubtitleChar"/>
    <w:uiPriority w:val="99"/>
    <w:qFormat/>
    <w:rsid w:val="009205BA"/>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9205BA"/>
    <w:rPr>
      <w:rFonts w:ascii="Cambria" w:hAnsi="Cambria" w:cs="Times New Roman"/>
      <w:i/>
      <w:iCs/>
      <w:spacing w:val="13"/>
      <w:sz w:val="24"/>
      <w:szCs w:val="24"/>
    </w:rPr>
  </w:style>
  <w:style w:type="character" w:styleId="Strong">
    <w:name w:val="Strong"/>
    <w:basedOn w:val="DefaultParagraphFont"/>
    <w:uiPriority w:val="99"/>
    <w:qFormat/>
    <w:rsid w:val="009205BA"/>
    <w:rPr>
      <w:rFonts w:cs="Times New Roman"/>
      <w:b/>
    </w:rPr>
  </w:style>
  <w:style w:type="paragraph" w:styleId="NoSpacing">
    <w:name w:val="No Spacing"/>
    <w:basedOn w:val="Normal"/>
    <w:uiPriority w:val="99"/>
    <w:qFormat/>
    <w:rsid w:val="009205BA"/>
    <w:pPr>
      <w:spacing w:after="0" w:line="240" w:lineRule="auto"/>
    </w:pPr>
  </w:style>
  <w:style w:type="paragraph" w:styleId="ListParagraph">
    <w:name w:val="List Paragraph"/>
    <w:basedOn w:val="Normal"/>
    <w:uiPriority w:val="99"/>
    <w:qFormat/>
    <w:rsid w:val="009205BA"/>
    <w:pPr>
      <w:ind w:left="720"/>
      <w:contextualSpacing/>
    </w:pPr>
  </w:style>
  <w:style w:type="paragraph" w:styleId="Quote">
    <w:name w:val="Quote"/>
    <w:basedOn w:val="Normal"/>
    <w:next w:val="Normal"/>
    <w:link w:val="QuoteChar"/>
    <w:uiPriority w:val="99"/>
    <w:qFormat/>
    <w:rsid w:val="009205BA"/>
    <w:pPr>
      <w:spacing w:before="200" w:after="0"/>
      <w:ind w:left="360" w:right="360"/>
    </w:pPr>
    <w:rPr>
      <w:i/>
      <w:iCs/>
    </w:rPr>
  </w:style>
  <w:style w:type="character" w:customStyle="1" w:styleId="QuoteChar">
    <w:name w:val="Quote Char"/>
    <w:basedOn w:val="DefaultParagraphFont"/>
    <w:link w:val="Quote"/>
    <w:uiPriority w:val="99"/>
    <w:locked/>
    <w:rsid w:val="009205BA"/>
    <w:rPr>
      <w:rFonts w:cs="Times New Roman"/>
      <w:i/>
      <w:iCs/>
    </w:rPr>
  </w:style>
  <w:style w:type="paragraph" w:styleId="IntenseQuote">
    <w:name w:val="Intense Quote"/>
    <w:basedOn w:val="Normal"/>
    <w:next w:val="Normal"/>
    <w:link w:val="IntenseQuoteChar"/>
    <w:uiPriority w:val="99"/>
    <w:qFormat/>
    <w:rsid w:val="009205B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9205BA"/>
    <w:rPr>
      <w:rFonts w:cs="Times New Roman"/>
      <w:b/>
      <w:bCs/>
      <w:i/>
      <w:iCs/>
    </w:rPr>
  </w:style>
  <w:style w:type="character" w:styleId="SubtleEmphasis">
    <w:name w:val="Subtle Emphasis"/>
    <w:basedOn w:val="DefaultParagraphFont"/>
    <w:uiPriority w:val="99"/>
    <w:qFormat/>
    <w:rsid w:val="009205BA"/>
    <w:rPr>
      <w:i/>
    </w:rPr>
  </w:style>
  <w:style w:type="character" w:styleId="IntenseEmphasis">
    <w:name w:val="Intense Emphasis"/>
    <w:basedOn w:val="DefaultParagraphFont"/>
    <w:uiPriority w:val="99"/>
    <w:qFormat/>
    <w:rsid w:val="009205BA"/>
    <w:rPr>
      <w:b/>
    </w:rPr>
  </w:style>
  <w:style w:type="character" w:styleId="SubtleReference">
    <w:name w:val="Subtle Reference"/>
    <w:basedOn w:val="DefaultParagraphFont"/>
    <w:uiPriority w:val="99"/>
    <w:qFormat/>
    <w:rsid w:val="009205BA"/>
    <w:rPr>
      <w:smallCaps/>
    </w:rPr>
  </w:style>
  <w:style w:type="character" w:styleId="IntenseReference">
    <w:name w:val="Intense Reference"/>
    <w:basedOn w:val="DefaultParagraphFont"/>
    <w:uiPriority w:val="99"/>
    <w:qFormat/>
    <w:rsid w:val="009205BA"/>
    <w:rPr>
      <w:smallCaps/>
      <w:spacing w:val="5"/>
      <w:u w:val="single"/>
    </w:rPr>
  </w:style>
  <w:style w:type="character" w:styleId="BookTitle">
    <w:name w:val="Book Title"/>
    <w:basedOn w:val="DefaultParagraphFont"/>
    <w:uiPriority w:val="99"/>
    <w:qFormat/>
    <w:rsid w:val="009205BA"/>
    <w:rPr>
      <w:i/>
      <w:smallCaps/>
      <w:spacing w:val="5"/>
    </w:rPr>
  </w:style>
  <w:style w:type="paragraph" w:styleId="TOCHeading">
    <w:name w:val="TOC Heading"/>
    <w:basedOn w:val="Heading1"/>
    <w:next w:val="Normal"/>
    <w:uiPriority w:val="99"/>
    <w:qFormat/>
    <w:rsid w:val="009205BA"/>
    <w:pPr>
      <w:outlineLvl w:val="9"/>
    </w:pPr>
  </w:style>
  <w:style w:type="table" w:styleId="TableGrid">
    <w:name w:val="Table Grid"/>
    <w:basedOn w:val="TableNormal"/>
    <w:uiPriority w:val="99"/>
    <w:rsid w:val="00C00E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rsid w:val="00F10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10DF8"/>
    <w:rPr>
      <w:rFonts w:ascii="Courier New" w:hAnsi="Courier New" w:cs="Courier New"/>
      <w:sz w:val="20"/>
      <w:szCs w:val="20"/>
      <w:lang w:val="en-GB" w:eastAsia="en-GB" w:bidi="ar-SA"/>
    </w:rPr>
  </w:style>
  <w:style w:type="paragraph" w:customStyle="1" w:styleId="EndNoteBibliographyTitle">
    <w:name w:val="EndNote Bibliography Title"/>
    <w:basedOn w:val="Normal"/>
    <w:link w:val="EndNoteBibliographyTitleChar"/>
    <w:uiPriority w:val="99"/>
    <w:rsid w:val="004431E7"/>
    <w:pPr>
      <w:spacing w:after="0"/>
      <w:jc w:val="center"/>
    </w:pPr>
    <w:rPr>
      <w:noProof/>
    </w:rPr>
  </w:style>
  <w:style w:type="character" w:customStyle="1" w:styleId="EndNoteBibliographyTitleChar">
    <w:name w:val="EndNote Bibliography Title Char"/>
    <w:basedOn w:val="DefaultParagraphFont"/>
    <w:link w:val="EndNoteBibliographyTitle"/>
    <w:uiPriority w:val="99"/>
    <w:locked/>
    <w:rsid w:val="004431E7"/>
    <w:rPr>
      <w:noProof/>
      <w:lang w:val="en-GB" w:eastAsia="en-GB"/>
    </w:rPr>
  </w:style>
  <w:style w:type="paragraph" w:customStyle="1" w:styleId="EndNoteBibliography">
    <w:name w:val="EndNote Bibliography"/>
    <w:basedOn w:val="Normal"/>
    <w:link w:val="EndNoteBibliographyChar"/>
    <w:uiPriority w:val="99"/>
    <w:rsid w:val="004431E7"/>
    <w:pPr>
      <w:spacing w:line="240" w:lineRule="auto"/>
    </w:pPr>
    <w:rPr>
      <w:noProof/>
    </w:rPr>
  </w:style>
  <w:style w:type="character" w:customStyle="1" w:styleId="EndNoteBibliographyChar">
    <w:name w:val="EndNote Bibliography Char"/>
    <w:basedOn w:val="DefaultParagraphFont"/>
    <w:link w:val="EndNoteBibliography"/>
    <w:uiPriority w:val="99"/>
    <w:locked/>
    <w:rsid w:val="004431E7"/>
    <w:rPr>
      <w:noProof/>
      <w:lang w:val="en-GB" w:eastAsia="en-GB"/>
    </w:rPr>
  </w:style>
  <w:style w:type="character" w:styleId="Hyperlink">
    <w:name w:val="Hyperlink"/>
    <w:basedOn w:val="DefaultParagraphFont"/>
    <w:uiPriority w:val="99"/>
    <w:rsid w:val="00DF740A"/>
    <w:rPr>
      <w:rFonts w:cs="Times New Roman"/>
      <w:color w:val="0000FF"/>
      <w:u w:val="single"/>
    </w:rPr>
  </w:style>
  <w:style w:type="character" w:styleId="CommentReference">
    <w:name w:val="annotation reference"/>
    <w:basedOn w:val="DefaultParagraphFont"/>
    <w:uiPriority w:val="99"/>
    <w:semiHidden/>
    <w:rsid w:val="001C4858"/>
    <w:rPr>
      <w:rFonts w:cs="Times New Roman"/>
      <w:sz w:val="16"/>
      <w:szCs w:val="16"/>
    </w:rPr>
  </w:style>
  <w:style w:type="paragraph" w:styleId="CommentText">
    <w:name w:val="annotation text"/>
    <w:basedOn w:val="Normal"/>
    <w:link w:val="CommentTextChar"/>
    <w:uiPriority w:val="99"/>
    <w:semiHidden/>
    <w:rsid w:val="001C485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C4858"/>
    <w:rPr>
      <w:rFonts w:cs="Times New Roman"/>
      <w:sz w:val="20"/>
      <w:szCs w:val="20"/>
    </w:rPr>
  </w:style>
  <w:style w:type="paragraph" w:styleId="CommentSubject">
    <w:name w:val="annotation subject"/>
    <w:basedOn w:val="CommentText"/>
    <w:next w:val="CommentText"/>
    <w:link w:val="CommentSubjectChar"/>
    <w:uiPriority w:val="99"/>
    <w:semiHidden/>
    <w:rsid w:val="001C4858"/>
    <w:rPr>
      <w:b/>
      <w:bCs/>
    </w:rPr>
  </w:style>
  <w:style w:type="character" w:customStyle="1" w:styleId="CommentSubjectChar">
    <w:name w:val="Comment Subject Char"/>
    <w:basedOn w:val="CommentTextChar"/>
    <w:link w:val="CommentSubject"/>
    <w:uiPriority w:val="99"/>
    <w:semiHidden/>
    <w:locked/>
    <w:rsid w:val="001C4858"/>
    <w:rPr>
      <w:rFonts w:cs="Times New Roman"/>
      <w:b/>
      <w:bCs/>
      <w:sz w:val="20"/>
      <w:szCs w:val="20"/>
    </w:rPr>
  </w:style>
  <w:style w:type="paragraph" w:styleId="Revision">
    <w:name w:val="Revision"/>
    <w:hidden/>
    <w:uiPriority w:val="99"/>
    <w:semiHidden/>
    <w:rsid w:val="002D486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1276">
      <w:bodyDiv w:val="1"/>
      <w:marLeft w:val="0"/>
      <w:marRight w:val="0"/>
      <w:marTop w:val="0"/>
      <w:marBottom w:val="0"/>
      <w:divBdr>
        <w:top w:val="none" w:sz="0" w:space="0" w:color="auto"/>
        <w:left w:val="none" w:sz="0" w:space="0" w:color="auto"/>
        <w:bottom w:val="none" w:sz="0" w:space="0" w:color="auto"/>
        <w:right w:val="none" w:sz="0" w:space="0" w:color="auto"/>
      </w:divBdr>
    </w:div>
    <w:div w:id="365718772">
      <w:bodyDiv w:val="1"/>
      <w:marLeft w:val="0"/>
      <w:marRight w:val="0"/>
      <w:marTop w:val="0"/>
      <w:marBottom w:val="0"/>
      <w:divBdr>
        <w:top w:val="none" w:sz="0" w:space="0" w:color="auto"/>
        <w:left w:val="none" w:sz="0" w:space="0" w:color="auto"/>
        <w:bottom w:val="none" w:sz="0" w:space="0" w:color="auto"/>
        <w:right w:val="none" w:sz="0" w:space="0" w:color="auto"/>
      </w:divBdr>
    </w:div>
    <w:div w:id="465658972">
      <w:bodyDiv w:val="1"/>
      <w:marLeft w:val="0"/>
      <w:marRight w:val="0"/>
      <w:marTop w:val="0"/>
      <w:marBottom w:val="0"/>
      <w:divBdr>
        <w:top w:val="none" w:sz="0" w:space="0" w:color="auto"/>
        <w:left w:val="none" w:sz="0" w:space="0" w:color="auto"/>
        <w:bottom w:val="none" w:sz="0" w:space="0" w:color="auto"/>
        <w:right w:val="none" w:sz="0" w:space="0" w:color="auto"/>
      </w:divBdr>
    </w:div>
    <w:div w:id="1002971288">
      <w:bodyDiv w:val="1"/>
      <w:marLeft w:val="0"/>
      <w:marRight w:val="0"/>
      <w:marTop w:val="0"/>
      <w:marBottom w:val="0"/>
      <w:divBdr>
        <w:top w:val="none" w:sz="0" w:space="0" w:color="auto"/>
        <w:left w:val="none" w:sz="0" w:space="0" w:color="auto"/>
        <w:bottom w:val="none" w:sz="0" w:space="0" w:color="auto"/>
        <w:right w:val="none" w:sz="0" w:space="0" w:color="auto"/>
      </w:divBdr>
    </w:div>
    <w:div w:id="1489789831">
      <w:marLeft w:val="0"/>
      <w:marRight w:val="0"/>
      <w:marTop w:val="0"/>
      <w:marBottom w:val="0"/>
      <w:divBdr>
        <w:top w:val="none" w:sz="0" w:space="0" w:color="auto"/>
        <w:left w:val="none" w:sz="0" w:space="0" w:color="auto"/>
        <w:bottom w:val="none" w:sz="0" w:space="0" w:color="auto"/>
        <w:right w:val="none" w:sz="0" w:space="0" w:color="auto"/>
      </w:divBdr>
    </w:div>
    <w:div w:id="1489789832">
      <w:marLeft w:val="0"/>
      <w:marRight w:val="0"/>
      <w:marTop w:val="0"/>
      <w:marBottom w:val="0"/>
      <w:divBdr>
        <w:top w:val="none" w:sz="0" w:space="0" w:color="auto"/>
        <w:left w:val="none" w:sz="0" w:space="0" w:color="auto"/>
        <w:bottom w:val="none" w:sz="0" w:space="0" w:color="auto"/>
        <w:right w:val="none" w:sz="0" w:space="0" w:color="auto"/>
      </w:divBdr>
    </w:div>
    <w:div w:id="1489789833">
      <w:marLeft w:val="0"/>
      <w:marRight w:val="0"/>
      <w:marTop w:val="0"/>
      <w:marBottom w:val="0"/>
      <w:divBdr>
        <w:top w:val="none" w:sz="0" w:space="0" w:color="auto"/>
        <w:left w:val="none" w:sz="0" w:space="0" w:color="auto"/>
        <w:bottom w:val="none" w:sz="0" w:space="0" w:color="auto"/>
        <w:right w:val="none" w:sz="0" w:space="0" w:color="auto"/>
      </w:divBdr>
    </w:div>
    <w:div w:id="1489789834">
      <w:marLeft w:val="0"/>
      <w:marRight w:val="0"/>
      <w:marTop w:val="0"/>
      <w:marBottom w:val="0"/>
      <w:divBdr>
        <w:top w:val="none" w:sz="0" w:space="0" w:color="auto"/>
        <w:left w:val="none" w:sz="0" w:space="0" w:color="auto"/>
        <w:bottom w:val="none" w:sz="0" w:space="0" w:color="auto"/>
        <w:right w:val="none" w:sz="0" w:space="0" w:color="auto"/>
      </w:divBdr>
    </w:div>
    <w:div w:id="1489789835">
      <w:marLeft w:val="0"/>
      <w:marRight w:val="0"/>
      <w:marTop w:val="0"/>
      <w:marBottom w:val="0"/>
      <w:divBdr>
        <w:top w:val="none" w:sz="0" w:space="0" w:color="auto"/>
        <w:left w:val="none" w:sz="0" w:space="0" w:color="auto"/>
        <w:bottom w:val="none" w:sz="0" w:space="0" w:color="auto"/>
        <w:right w:val="none" w:sz="0" w:space="0" w:color="auto"/>
      </w:divBdr>
    </w:div>
    <w:div w:id="1489789836">
      <w:marLeft w:val="0"/>
      <w:marRight w:val="0"/>
      <w:marTop w:val="0"/>
      <w:marBottom w:val="0"/>
      <w:divBdr>
        <w:top w:val="none" w:sz="0" w:space="0" w:color="auto"/>
        <w:left w:val="none" w:sz="0" w:space="0" w:color="auto"/>
        <w:bottom w:val="none" w:sz="0" w:space="0" w:color="auto"/>
        <w:right w:val="none" w:sz="0" w:space="0" w:color="auto"/>
      </w:divBdr>
    </w:div>
    <w:div w:id="1489789837">
      <w:marLeft w:val="0"/>
      <w:marRight w:val="0"/>
      <w:marTop w:val="0"/>
      <w:marBottom w:val="0"/>
      <w:divBdr>
        <w:top w:val="none" w:sz="0" w:space="0" w:color="auto"/>
        <w:left w:val="none" w:sz="0" w:space="0" w:color="auto"/>
        <w:bottom w:val="none" w:sz="0" w:space="0" w:color="auto"/>
        <w:right w:val="none" w:sz="0" w:space="0" w:color="auto"/>
      </w:divBdr>
    </w:div>
    <w:div w:id="1489789838">
      <w:marLeft w:val="0"/>
      <w:marRight w:val="0"/>
      <w:marTop w:val="0"/>
      <w:marBottom w:val="0"/>
      <w:divBdr>
        <w:top w:val="none" w:sz="0" w:space="0" w:color="auto"/>
        <w:left w:val="none" w:sz="0" w:space="0" w:color="auto"/>
        <w:bottom w:val="none" w:sz="0" w:space="0" w:color="auto"/>
        <w:right w:val="none" w:sz="0" w:space="0" w:color="auto"/>
      </w:divBdr>
    </w:div>
    <w:div w:id="1489789839">
      <w:marLeft w:val="0"/>
      <w:marRight w:val="0"/>
      <w:marTop w:val="0"/>
      <w:marBottom w:val="0"/>
      <w:divBdr>
        <w:top w:val="none" w:sz="0" w:space="0" w:color="auto"/>
        <w:left w:val="none" w:sz="0" w:space="0" w:color="auto"/>
        <w:bottom w:val="none" w:sz="0" w:space="0" w:color="auto"/>
        <w:right w:val="none" w:sz="0" w:space="0" w:color="auto"/>
      </w:divBdr>
    </w:div>
    <w:div w:id="1489789840">
      <w:marLeft w:val="0"/>
      <w:marRight w:val="0"/>
      <w:marTop w:val="0"/>
      <w:marBottom w:val="0"/>
      <w:divBdr>
        <w:top w:val="none" w:sz="0" w:space="0" w:color="auto"/>
        <w:left w:val="none" w:sz="0" w:space="0" w:color="auto"/>
        <w:bottom w:val="none" w:sz="0" w:space="0" w:color="auto"/>
        <w:right w:val="none" w:sz="0" w:space="0" w:color="auto"/>
      </w:divBdr>
    </w:div>
    <w:div w:id="1489789841">
      <w:marLeft w:val="0"/>
      <w:marRight w:val="0"/>
      <w:marTop w:val="0"/>
      <w:marBottom w:val="0"/>
      <w:divBdr>
        <w:top w:val="none" w:sz="0" w:space="0" w:color="auto"/>
        <w:left w:val="none" w:sz="0" w:space="0" w:color="auto"/>
        <w:bottom w:val="none" w:sz="0" w:space="0" w:color="auto"/>
        <w:right w:val="none" w:sz="0" w:space="0" w:color="auto"/>
      </w:divBdr>
    </w:div>
    <w:div w:id="1489789842">
      <w:marLeft w:val="0"/>
      <w:marRight w:val="0"/>
      <w:marTop w:val="0"/>
      <w:marBottom w:val="0"/>
      <w:divBdr>
        <w:top w:val="none" w:sz="0" w:space="0" w:color="auto"/>
        <w:left w:val="none" w:sz="0" w:space="0" w:color="auto"/>
        <w:bottom w:val="none" w:sz="0" w:space="0" w:color="auto"/>
        <w:right w:val="none" w:sz="0" w:space="0" w:color="auto"/>
      </w:divBdr>
    </w:div>
    <w:div w:id="1489789843">
      <w:marLeft w:val="0"/>
      <w:marRight w:val="0"/>
      <w:marTop w:val="0"/>
      <w:marBottom w:val="0"/>
      <w:divBdr>
        <w:top w:val="none" w:sz="0" w:space="0" w:color="auto"/>
        <w:left w:val="none" w:sz="0" w:space="0" w:color="auto"/>
        <w:bottom w:val="none" w:sz="0" w:space="0" w:color="auto"/>
        <w:right w:val="none" w:sz="0" w:space="0" w:color="auto"/>
      </w:divBdr>
    </w:div>
    <w:div w:id="1489789844">
      <w:marLeft w:val="0"/>
      <w:marRight w:val="0"/>
      <w:marTop w:val="0"/>
      <w:marBottom w:val="0"/>
      <w:divBdr>
        <w:top w:val="none" w:sz="0" w:space="0" w:color="auto"/>
        <w:left w:val="none" w:sz="0" w:space="0" w:color="auto"/>
        <w:bottom w:val="none" w:sz="0" w:space="0" w:color="auto"/>
        <w:right w:val="none" w:sz="0" w:space="0" w:color="auto"/>
      </w:divBdr>
    </w:div>
    <w:div w:id="1489789845">
      <w:marLeft w:val="0"/>
      <w:marRight w:val="0"/>
      <w:marTop w:val="0"/>
      <w:marBottom w:val="0"/>
      <w:divBdr>
        <w:top w:val="none" w:sz="0" w:space="0" w:color="auto"/>
        <w:left w:val="none" w:sz="0" w:space="0" w:color="auto"/>
        <w:bottom w:val="none" w:sz="0" w:space="0" w:color="auto"/>
        <w:right w:val="none" w:sz="0" w:space="0" w:color="auto"/>
      </w:divBdr>
    </w:div>
    <w:div w:id="1489789846">
      <w:marLeft w:val="0"/>
      <w:marRight w:val="0"/>
      <w:marTop w:val="0"/>
      <w:marBottom w:val="0"/>
      <w:divBdr>
        <w:top w:val="none" w:sz="0" w:space="0" w:color="auto"/>
        <w:left w:val="none" w:sz="0" w:space="0" w:color="auto"/>
        <w:bottom w:val="none" w:sz="0" w:space="0" w:color="auto"/>
        <w:right w:val="none" w:sz="0" w:space="0" w:color="auto"/>
      </w:divBdr>
    </w:div>
    <w:div w:id="1489789847">
      <w:marLeft w:val="0"/>
      <w:marRight w:val="0"/>
      <w:marTop w:val="0"/>
      <w:marBottom w:val="0"/>
      <w:divBdr>
        <w:top w:val="none" w:sz="0" w:space="0" w:color="auto"/>
        <w:left w:val="none" w:sz="0" w:space="0" w:color="auto"/>
        <w:bottom w:val="none" w:sz="0" w:space="0" w:color="auto"/>
        <w:right w:val="none" w:sz="0" w:space="0" w:color="auto"/>
      </w:divBdr>
    </w:div>
    <w:div w:id="1489789848">
      <w:marLeft w:val="0"/>
      <w:marRight w:val="0"/>
      <w:marTop w:val="0"/>
      <w:marBottom w:val="0"/>
      <w:divBdr>
        <w:top w:val="none" w:sz="0" w:space="0" w:color="auto"/>
        <w:left w:val="none" w:sz="0" w:space="0" w:color="auto"/>
        <w:bottom w:val="none" w:sz="0" w:space="0" w:color="auto"/>
        <w:right w:val="none" w:sz="0" w:space="0" w:color="auto"/>
      </w:divBdr>
    </w:div>
    <w:div w:id="1489789849">
      <w:marLeft w:val="0"/>
      <w:marRight w:val="0"/>
      <w:marTop w:val="0"/>
      <w:marBottom w:val="0"/>
      <w:divBdr>
        <w:top w:val="none" w:sz="0" w:space="0" w:color="auto"/>
        <w:left w:val="none" w:sz="0" w:space="0" w:color="auto"/>
        <w:bottom w:val="none" w:sz="0" w:space="0" w:color="auto"/>
        <w:right w:val="none" w:sz="0" w:space="0" w:color="auto"/>
      </w:divBdr>
    </w:div>
    <w:div w:id="1489789850">
      <w:marLeft w:val="0"/>
      <w:marRight w:val="0"/>
      <w:marTop w:val="0"/>
      <w:marBottom w:val="0"/>
      <w:divBdr>
        <w:top w:val="none" w:sz="0" w:space="0" w:color="auto"/>
        <w:left w:val="none" w:sz="0" w:space="0" w:color="auto"/>
        <w:bottom w:val="none" w:sz="0" w:space="0" w:color="auto"/>
        <w:right w:val="none" w:sz="0" w:space="0" w:color="auto"/>
      </w:divBdr>
    </w:div>
    <w:div w:id="1489789851">
      <w:marLeft w:val="0"/>
      <w:marRight w:val="0"/>
      <w:marTop w:val="0"/>
      <w:marBottom w:val="0"/>
      <w:divBdr>
        <w:top w:val="none" w:sz="0" w:space="0" w:color="auto"/>
        <w:left w:val="none" w:sz="0" w:space="0" w:color="auto"/>
        <w:bottom w:val="none" w:sz="0" w:space="0" w:color="auto"/>
        <w:right w:val="none" w:sz="0" w:space="0" w:color="auto"/>
      </w:divBdr>
    </w:div>
    <w:div w:id="1489789852">
      <w:marLeft w:val="0"/>
      <w:marRight w:val="0"/>
      <w:marTop w:val="0"/>
      <w:marBottom w:val="0"/>
      <w:divBdr>
        <w:top w:val="none" w:sz="0" w:space="0" w:color="auto"/>
        <w:left w:val="none" w:sz="0" w:space="0" w:color="auto"/>
        <w:bottom w:val="none" w:sz="0" w:space="0" w:color="auto"/>
        <w:right w:val="none" w:sz="0" w:space="0" w:color="auto"/>
      </w:divBdr>
    </w:div>
    <w:div w:id="1489789853">
      <w:marLeft w:val="0"/>
      <w:marRight w:val="0"/>
      <w:marTop w:val="0"/>
      <w:marBottom w:val="0"/>
      <w:divBdr>
        <w:top w:val="none" w:sz="0" w:space="0" w:color="auto"/>
        <w:left w:val="none" w:sz="0" w:space="0" w:color="auto"/>
        <w:bottom w:val="none" w:sz="0" w:space="0" w:color="auto"/>
        <w:right w:val="none" w:sz="0" w:space="0" w:color="auto"/>
      </w:divBdr>
    </w:div>
    <w:div w:id="1489789854">
      <w:marLeft w:val="0"/>
      <w:marRight w:val="0"/>
      <w:marTop w:val="0"/>
      <w:marBottom w:val="0"/>
      <w:divBdr>
        <w:top w:val="none" w:sz="0" w:space="0" w:color="auto"/>
        <w:left w:val="none" w:sz="0" w:space="0" w:color="auto"/>
        <w:bottom w:val="none" w:sz="0" w:space="0" w:color="auto"/>
        <w:right w:val="none" w:sz="0" w:space="0" w:color="auto"/>
      </w:divBdr>
    </w:div>
    <w:div w:id="1489789855">
      <w:marLeft w:val="0"/>
      <w:marRight w:val="0"/>
      <w:marTop w:val="0"/>
      <w:marBottom w:val="0"/>
      <w:divBdr>
        <w:top w:val="none" w:sz="0" w:space="0" w:color="auto"/>
        <w:left w:val="none" w:sz="0" w:space="0" w:color="auto"/>
        <w:bottom w:val="none" w:sz="0" w:space="0" w:color="auto"/>
        <w:right w:val="none" w:sz="0" w:space="0" w:color="auto"/>
      </w:divBdr>
    </w:div>
    <w:div w:id="1489789856">
      <w:marLeft w:val="0"/>
      <w:marRight w:val="0"/>
      <w:marTop w:val="0"/>
      <w:marBottom w:val="0"/>
      <w:divBdr>
        <w:top w:val="none" w:sz="0" w:space="0" w:color="auto"/>
        <w:left w:val="none" w:sz="0" w:space="0" w:color="auto"/>
        <w:bottom w:val="none" w:sz="0" w:space="0" w:color="auto"/>
        <w:right w:val="none" w:sz="0" w:space="0" w:color="auto"/>
      </w:divBdr>
    </w:div>
    <w:div w:id="1489789857">
      <w:marLeft w:val="0"/>
      <w:marRight w:val="0"/>
      <w:marTop w:val="0"/>
      <w:marBottom w:val="0"/>
      <w:divBdr>
        <w:top w:val="none" w:sz="0" w:space="0" w:color="auto"/>
        <w:left w:val="none" w:sz="0" w:space="0" w:color="auto"/>
        <w:bottom w:val="none" w:sz="0" w:space="0" w:color="auto"/>
        <w:right w:val="none" w:sz="0" w:space="0" w:color="auto"/>
      </w:divBdr>
    </w:div>
    <w:div w:id="1489789858">
      <w:marLeft w:val="0"/>
      <w:marRight w:val="0"/>
      <w:marTop w:val="0"/>
      <w:marBottom w:val="0"/>
      <w:divBdr>
        <w:top w:val="none" w:sz="0" w:space="0" w:color="auto"/>
        <w:left w:val="none" w:sz="0" w:space="0" w:color="auto"/>
        <w:bottom w:val="none" w:sz="0" w:space="0" w:color="auto"/>
        <w:right w:val="none" w:sz="0" w:space="0" w:color="auto"/>
      </w:divBdr>
    </w:div>
    <w:div w:id="1489789859">
      <w:marLeft w:val="0"/>
      <w:marRight w:val="0"/>
      <w:marTop w:val="0"/>
      <w:marBottom w:val="0"/>
      <w:divBdr>
        <w:top w:val="none" w:sz="0" w:space="0" w:color="auto"/>
        <w:left w:val="none" w:sz="0" w:space="0" w:color="auto"/>
        <w:bottom w:val="none" w:sz="0" w:space="0" w:color="auto"/>
        <w:right w:val="none" w:sz="0" w:space="0" w:color="auto"/>
      </w:divBdr>
    </w:div>
    <w:div w:id="1489789860">
      <w:marLeft w:val="0"/>
      <w:marRight w:val="0"/>
      <w:marTop w:val="0"/>
      <w:marBottom w:val="0"/>
      <w:divBdr>
        <w:top w:val="none" w:sz="0" w:space="0" w:color="auto"/>
        <w:left w:val="none" w:sz="0" w:space="0" w:color="auto"/>
        <w:bottom w:val="none" w:sz="0" w:space="0" w:color="auto"/>
        <w:right w:val="none" w:sz="0" w:space="0" w:color="auto"/>
      </w:divBdr>
    </w:div>
    <w:div w:id="1489789861">
      <w:marLeft w:val="0"/>
      <w:marRight w:val="0"/>
      <w:marTop w:val="0"/>
      <w:marBottom w:val="0"/>
      <w:divBdr>
        <w:top w:val="none" w:sz="0" w:space="0" w:color="auto"/>
        <w:left w:val="none" w:sz="0" w:space="0" w:color="auto"/>
        <w:bottom w:val="none" w:sz="0" w:space="0" w:color="auto"/>
        <w:right w:val="none" w:sz="0" w:space="0" w:color="auto"/>
      </w:divBdr>
    </w:div>
    <w:div w:id="1489789862">
      <w:marLeft w:val="0"/>
      <w:marRight w:val="0"/>
      <w:marTop w:val="0"/>
      <w:marBottom w:val="0"/>
      <w:divBdr>
        <w:top w:val="none" w:sz="0" w:space="0" w:color="auto"/>
        <w:left w:val="none" w:sz="0" w:space="0" w:color="auto"/>
        <w:bottom w:val="none" w:sz="0" w:space="0" w:color="auto"/>
        <w:right w:val="none" w:sz="0" w:space="0" w:color="auto"/>
      </w:divBdr>
    </w:div>
    <w:div w:id="1489789863">
      <w:marLeft w:val="0"/>
      <w:marRight w:val="0"/>
      <w:marTop w:val="0"/>
      <w:marBottom w:val="0"/>
      <w:divBdr>
        <w:top w:val="none" w:sz="0" w:space="0" w:color="auto"/>
        <w:left w:val="none" w:sz="0" w:space="0" w:color="auto"/>
        <w:bottom w:val="none" w:sz="0" w:space="0" w:color="auto"/>
        <w:right w:val="none" w:sz="0" w:space="0" w:color="auto"/>
      </w:divBdr>
    </w:div>
    <w:div w:id="1489789864">
      <w:marLeft w:val="0"/>
      <w:marRight w:val="0"/>
      <w:marTop w:val="0"/>
      <w:marBottom w:val="0"/>
      <w:divBdr>
        <w:top w:val="none" w:sz="0" w:space="0" w:color="auto"/>
        <w:left w:val="none" w:sz="0" w:space="0" w:color="auto"/>
        <w:bottom w:val="none" w:sz="0" w:space="0" w:color="auto"/>
        <w:right w:val="none" w:sz="0" w:space="0" w:color="auto"/>
      </w:divBdr>
    </w:div>
    <w:div w:id="1489789865">
      <w:marLeft w:val="0"/>
      <w:marRight w:val="0"/>
      <w:marTop w:val="0"/>
      <w:marBottom w:val="0"/>
      <w:divBdr>
        <w:top w:val="none" w:sz="0" w:space="0" w:color="auto"/>
        <w:left w:val="none" w:sz="0" w:space="0" w:color="auto"/>
        <w:bottom w:val="none" w:sz="0" w:space="0" w:color="auto"/>
        <w:right w:val="none" w:sz="0" w:space="0" w:color="auto"/>
      </w:divBdr>
    </w:div>
    <w:div w:id="1489789866">
      <w:marLeft w:val="0"/>
      <w:marRight w:val="0"/>
      <w:marTop w:val="0"/>
      <w:marBottom w:val="0"/>
      <w:divBdr>
        <w:top w:val="none" w:sz="0" w:space="0" w:color="auto"/>
        <w:left w:val="none" w:sz="0" w:space="0" w:color="auto"/>
        <w:bottom w:val="none" w:sz="0" w:space="0" w:color="auto"/>
        <w:right w:val="none" w:sz="0" w:space="0" w:color="auto"/>
      </w:divBdr>
    </w:div>
    <w:div w:id="1489789867">
      <w:marLeft w:val="0"/>
      <w:marRight w:val="0"/>
      <w:marTop w:val="0"/>
      <w:marBottom w:val="0"/>
      <w:divBdr>
        <w:top w:val="none" w:sz="0" w:space="0" w:color="auto"/>
        <w:left w:val="none" w:sz="0" w:space="0" w:color="auto"/>
        <w:bottom w:val="none" w:sz="0" w:space="0" w:color="auto"/>
        <w:right w:val="none" w:sz="0" w:space="0" w:color="auto"/>
      </w:divBdr>
    </w:div>
    <w:div w:id="1489789868">
      <w:marLeft w:val="0"/>
      <w:marRight w:val="0"/>
      <w:marTop w:val="0"/>
      <w:marBottom w:val="0"/>
      <w:divBdr>
        <w:top w:val="none" w:sz="0" w:space="0" w:color="auto"/>
        <w:left w:val="none" w:sz="0" w:space="0" w:color="auto"/>
        <w:bottom w:val="none" w:sz="0" w:space="0" w:color="auto"/>
        <w:right w:val="none" w:sz="0" w:space="0" w:color="auto"/>
      </w:divBdr>
    </w:div>
    <w:div w:id="1803693587">
      <w:bodyDiv w:val="1"/>
      <w:marLeft w:val="0"/>
      <w:marRight w:val="0"/>
      <w:marTop w:val="0"/>
      <w:marBottom w:val="0"/>
      <w:divBdr>
        <w:top w:val="none" w:sz="0" w:space="0" w:color="auto"/>
        <w:left w:val="none" w:sz="0" w:space="0" w:color="auto"/>
        <w:bottom w:val="none" w:sz="0" w:space="0" w:color="auto"/>
        <w:right w:val="none" w:sz="0" w:space="0" w:color="auto"/>
      </w:divBdr>
    </w:div>
    <w:div w:id="1910647334">
      <w:bodyDiv w:val="1"/>
      <w:marLeft w:val="0"/>
      <w:marRight w:val="0"/>
      <w:marTop w:val="0"/>
      <w:marBottom w:val="0"/>
      <w:divBdr>
        <w:top w:val="none" w:sz="0" w:space="0" w:color="auto"/>
        <w:left w:val="none" w:sz="0" w:space="0" w:color="auto"/>
        <w:bottom w:val="none" w:sz="0" w:space="0" w:color="auto"/>
        <w:right w:val="none" w:sz="0" w:space="0" w:color="auto"/>
      </w:divBdr>
    </w:div>
    <w:div w:id="20305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phillips@york.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8375</Words>
  <Characters>47744</Characters>
  <Application>Microsoft Office Word</Application>
  <DocSecurity>0</DocSecurity>
  <Lines>397</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Risk Stratification Rules in Febrile Neutropenic Episodes in Adolescent / Young Adult Patients with Cancer</vt:lpstr>
      <vt:lpstr>Risk Stratification Rules in Febrile Neutropenic Episodes in Adolescent / Young Adult Patients with Cancer</vt:lpstr>
    </vt:vector>
  </TitlesOfParts>
  <Company>Inselspital</Company>
  <LinksUpToDate>false</LinksUpToDate>
  <CharactersWithSpaces>56007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Stratification Rules in Febrile Neutropenic Episodes in Adolescent / Young Adult Patients with Cancer</dc:title>
  <dc:creator>Bob Phillips</dc:creator>
  <cp:lastModifiedBy>Bob Phillips</cp:lastModifiedBy>
  <cp:revision>2</cp:revision>
  <cp:lastPrinted>2015-06-15T14:38:00Z</cp:lastPrinted>
  <dcterms:created xsi:type="dcterms:W3CDTF">2016-04-22T13:27:00Z</dcterms:created>
  <dcterms:modified xsi:type="dcterms:W3CDTF">2016-04-22T13:27:00Z</dcterms:modified>
</cp:coreProperties>
</file>