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1EF2D" w14:textId="77777777" w:rsidR="00D741D0" w:rsidRPr="00F71694" w:rsidRDefault="00D741D0" w:rsidP="00571105">
      <w:pPr>
        <w:rPr>
          <w:rFonts w:cs="Times New Roman"/>
          <w:sz w:val="24"/>
          <w:szCs w:val="24"/>
        </w:rPr>
      </w:pPr>
      <w:bookmarkStart w:id="0" w:name="_GoBack"/>
      <w:bookmarkEnd w:id="0"/>
      <w:r w:rsidRPr="00F71694">
        <w:rPr>
          <w:rFonts w:cs="Times New Roman"/>
          <w:sz w:val="24"/>
          <w:szCs w:val="24"/>
        </w:rPr>
        <w:t>Review article</w:t>
      </w:r>
    </w:p>
    <w:p w14:paraId="7A8158C0" w14:textId="77777777" w:rsidR="00D741D0" w:rsidRPr="00F71694" w:rsidRDefault="00B9669C" w:rsidP="00571105">
      <w:pPr>
        <w:rPr>
          <w:rFonts w:cs="Times New Roman"/>
          <w:b/>
          <w:sz w:val="24"/>
          <w:szCs w:val="24"/>
        </w:rPr>
      </w:pPr>
      <w:r>
        <w:rPr>
          <w:rFonts w:cs="Times New Roman"/>
          <w:b/>
          <w:sz w:val="24"/>
          <w:szCs w:val="24"/>
        </w:rPr>
        <w:t>The c</w:t>
      </w:r>
      <w:r w:rsidR="00CD2F44" w:rsidRPr="00CD2F44">
        <w:rPr>
          <w:rFonts w:cs="Times New Roman"/>
          <w:b/>
          <w:sz w:val="24"/>
          <w:szCs w:val="24"/>
        </w:rPr>
        <w:t xml:space="preserve">linical and </w:t>
      </w:r>
      <w:r>
        <w:rPr>
          <w:rFonts w:cs="Times New Roman"/>
          <w:b/>
          <w:sz w:val="24"/>
          <w:szCs w:val="24"/>
        </w:rPr>
        <w:t>c</w:t>
      </w:r>
      <w:r w:rsidR="00CD2F44" w:rsidRPr="00CD2F44">
        <w:rPr>
          <w:rFonts w:cs="Times New Roman"/>
          <w:b/>
          <w:sz w:val="24"/>
          <w:szCs w:val="24"/>
        </w:rPr>
        <w:t xml:space="preserve">ost-effectiveness of </w:t>
      </w:r>
      <w:r w:rsidR="00CD2F44">
        <w:rPr>
          <w:rFonts w:cs="Times New Roman"/>
          <w:b/>
          <w:sz w:val="24"/>
          <w:szCs w:val="24"/>
        </w:rPr>
        <w:t>a</w:t>
      </w:r>
      <w:r w:rsidR="00CD2F44" w:rsidRPr="00CD2F44">
        <w:rPr>
          <w:rFonts w:cs="Times New Roman"/>
          <w:b/>
          <w:sz w:val="24"/>
          <w:szCs w:val="24"/>
        </w:rPr>
        <w:t xml:space="preserve">premilast </w:t>
      </w:r>
      <w:r w:rsidR="00385E0B" w:rsidRPr="00F71694">
        <w:rPr>
          <w:rFonts w:cs="Times New Roman"/>
          <w:b/>
          <w:sz w:val="24"/>
          <w:szCs w:val="24"/>
        </w:rPr>
        <w:t>for treati</w:t>
      </w:r>
      <w:r>
        <w:rPr>
          <w:rFonts w:cs="Times New Roman"/>
          <w:b/>
          <w:sz w:val="24"/>
          <w:szCs w:val="24"/>
        </w:rPr>
        <w:t>ng active psoriatic arthritis: a</w:t>
      </w:r>
      <w:r w:rsidR="00385E0B" w:rsidRPr="00F71694">
        <w:rPr>
          <w:rFonts w:cs="Times New Roman"/>
          <w:b/>
          <w:sz w:val="24"/>
          <w:szCs w:val="24"/>
        </w:rPr>
        <w:t xml:space="preserve"> </w:t>
      </w:r>
      <w:r w:rsidR="00CD2F44">
        <w:rPr>
          <w:rFonts w:cs="Times New Roman"/>
          <w:b/>
          <w:sz w:val="24"/>
          <w:szCs w:val="24"/>
        </w:rPr>
        <w:t>critique of the evidence</w:t>
      </w:r>
      <w:r w:rsidR="00385E0B" w:rsidRPr="00F71694">
        <w:rPr>
          <w:rFonts w:cs="Times New Roman"/>
          <w:b/>
          <w:sz w:val="24"/>
          <w:szCs w:val="24"/>
        </w:rPr>
        <w:t xml:space="preserve">. </w:t>
      </w:r>
    </w:p>
    <w:p w14:paraId="4F36C1EC" w14:textId="77777777" w:rsidR="00D741D0" w:rsidRPr="00F71694" w:rsidRDefault="00D741D0" w:rsidP="00571105">
      <w:pPr>
        <w:rPr>
          <w:rFonts w:cs="Times New Roman"/>
          <w:vertAlign w:val="superscript"/>
        </w:rPr>
      </w:pPr>
      <w:r w:rsidRPr="00F71694">
        <w:rPr>
          <w:rFonts w:cs="Times New Roman"/>
        </w:rPr>
        <w:t>Eleftherios Sideris</w:t>
      </w:r>
      <w:r w:rsidRPr="00F71694">
        <w:rPr>
          <w:rFonts w:cs="Times New Roman"/>
          <w:vertAlign w:val="superscript"/>
        </w:rPr>
        <w:t>a</w:t>
      </w:r>
      <w:r w:rsidRPr="00F71694">
        <w:rPr>
          <w:rFonts w:cs="Times New Roman"/>
        </w:rPr>
        <w:t xml:space="preserve">, </w:t>
      </w:r>
      <w:r w:rsidR="00385E0B" w:rsidRPr="00F71694">
        <w:rPr>
          <w:rFonts w:cs="Times New Roman"/>
        </w:rPr>
        <w:t>Mark Corbett</w:t>
      </w:r>
      <w:r w:rsidRPr="00F71694">
        <w:rPr>
          <w:rFonts w:cs="Times New Roman"/>
          <w:vertAlign w:val="superscript"/>
        </w:rPr>
        <w:t>b</w:t>
      </w:r>
      <w:r w:rsidRPr="00F71694">
        <w:rPr>
          <w:rFonts w:cs="Times New Roman"/>
        </w:rPr>
        <w:t xml:space="preserve">, </w:t>
      </w:r>
      <w:r w:rsidR="00385E0B" w:rsidRPr="00F71694">
        <w:rPr>
          <w:rFonts w:cs="Times New Roman"/>
        </w:rPr>
        <w:t>Stephen Palmer</w:t>
      </w:r>
      <w:r w:rsidR="00385E0B" w:rsidRPr="00F71694">
        <w:rPr>
          <w:rFonts w:cs="Times New Roman"/>
          <w:vertAlign w:val="superscript"/>
        </w:rPr>
        <w:t>a</w:t>
      </w:r>
      <w:r w:rsidRPr="00F71694">
        <w:rPr>
          <w:rFonts w:cs="Times New Roman"/>
        </w:rPr>
        <w:t xml:space="preserve">, </w:t>
      </w:r>
      <w:r w:rsidR="00385E0B" w:rsidRPr="00F71694">
        <w:rPr>
          <w:rFonts w:cs="Times New Roman"/>
        </w:rPr>
        <w:t>Nerys Woolacott</w:t>
      </w:r>
      <w:r w:rsidR="00385E0B" w:rsidRPr="00F71694">
        <w:rPr>
          <w:rFonts w:cs="Times New Roman"/>
          <w:vertAlign w:val="superscript"/>
        </w:rPr>
        <w:t>b</w:t>
      </w:r>
      <w:r w:rsidR="00385E0B" w:rsidRPr="00F71694">
        <w:rPr>
          <w:rFonts w:cs="Times New Roman"/>
        </w:rPr>
        <w:t>, Laura Bojke</w:t>
      </w:r>
      <w:r w:rsidR="00385E0B" w:rsidRPr="00F71694">
        <w:rPr>
          <w:rFonts w:cs="Times New Roman"/>
          <w:vertAlign w:val="superscript"/>
        </w:rPr>
        <w:t>a</w:t>
      </w:r>
    </w:p>
    <w:p w14:paraId="02BA6476" w14:textId="77777777" w:rsidR="00D741D0" w:rsidRPr="00F71694" w:rsidRDefault="00D741D0" w:rsidP="00571105">
      <w:pPr>
        <w:rPr>
          <w:rFonts w:cs="Times New Roman"/>
        </w:rPr>
      </w:pPr>
      <w:r w:rsidRPr="00F71694">
        <w:rPr>
          <w:rFonts w:cs="Times New Roman"/>
          <w:vertAlign w:val="superscript"/>
        </w:rPr>
        <w:t>a</w:t>
      </w:r>
      <w:r w:rsidR="00385E0B" w:rsidRPr="00F71694">
        <w:rPr>
          <w:rFonts w:cs="Times New Roman"/>
          <w:vertAlign w:val="superscript"/>
        </w:rPr>
        <w:t xml:space="preserve"> </w:t>
      </w:r>
      <w:r w:rsidRPr="00F71694">
        <w:rPr>
          <w:rFonts w:cs="Times New Roman"/>
        </w:rPr>
        <w:t>Centre for Health Economics, University of York, York, UK</w:t>
      </w:r>
    </w:p>
    <w:p w14:paraId="43ACC1A8" w14:textId="77777777" w:rsidR="00D741D0" w:rsidRPr="00F71694" w:rsidRDefault="00D741D0" w:rsidP="00571105">
      <w:pPr>
        <w:rPr>
          <w:rFonts w:cs="Times New Roman"/>
        </w:rPr>
      </w:pPr>
      <w:r w:rsidRPr="00F71694">
        <w:rPr>
          <w:rFonts w:cs="Times New Roman"/>
          <w:vertAlign w:val="superscript"/>
        </w:rPr>
        <w:t>b</w:t>
      </w:r>
      <w:r w:rsidR="00385E0B" w:rsidRPr="00F71694">
        <w:rPr>
          <w:rFonts w:cs="Times New Roman"/>
          <w:vertAlign w:val="superscript"/>
        </w:rPr>
        <w:t xml:space="preserve"> </w:t>
      </w:r>
      <w:r w:rsidRPr="00F71694">
        <w:rPr>
          <w:rFonts w:cs="Times New Roman"/>
        </w:rPr>
        <w:t>Centre for Reviews and Dissemination, University of York, York, UK</w:t>
      </w:r>
    </w:p>
    <w:p w14:paraId="558E2C1D" w14:textId="77777777" w:rsidR="00D741D0" w:rsidRPr="00F71694" w:rsidRDefault="00D741D0" w:rsidP="00571105">
      <w:pPr>
        <w:rPr>
          <w:rFonts w:cs="Arial"/>
        </w:rPr>
      </w:pPr>
    </w:p>
    <w:p w14:paraId="4A3F3C76" w14:textId="77777777" w:rsidR="00D741D0" w:rsidRPr="00F71694" w:rsidRDefault="00D741D0" w:rsidP="00571105">
      <w:pPr>
        <w:spacing w:after="0"/>
        <w:rPr>
          <w:b/>
          <w:bCs/>
        </w:rPr>
      </w:pPr>
      <w:r w:rsidRPr="00F71694">
        <w:rPr>
          <w:b/>
          <w:bCs/>
        </w:rPr>
        <w:t>Corresponding author:</w:t>
      </w:r>
    </w:p>
    <w:p w14:paraId="76FF523B" w14:textId="77777777" w:rsidR="00A4118D" w:rsidRPr="00F71694" w:rsidRDefault="00A4118D" w:rsidP="00571105">
      <w:pPr>
        <w:spacing w:after="0"/>
        <w:rPr>
          <w:rFonts w:cs="Times New Roman"/>
        </w:rPr>
      </w:pPr>
      <w:r w:rsidRPr="00F71694">
        <w:rPr>
          <w:rFonts w:cs="Times New Roman"/>
        </w:rPr>
        <w:t xml:space="preserve">Eleftherios Sideris </w:t>
      </w:r>
    </w:p>
    <w:p w14:paraId="3C0299B2" w14:textId="77777777" w:rsidR="00D741D0" w:rsidRPr="00F71694" w:rsidRDefault="00D741D0" w:rsidP="00571105">
      <w:pPr>
        <w:spacing w:after="0"/>
      </w:pPr>
      <w:r w:rsidRPr="00F71694">
        <w:t>Centre for Health Economics</w:t>
      </w:r>
      <w:r w:rsidRPr="00F71694">
        <w:br/>
        <w:t>University of York</w:t>
      </w:r>
      <w:r w:rsidRPr="00F71694">
        <w:br/>
        <w:t>Heslington</w:t>
      </w:r>
      <w:r w:rsidRPr="00F71694">
        <w:br/>
        <w:t>YORK YO10 5DD</w:t>
      </w:r>
      <w:r w:rsidRPr="00F71694">
        <w:br/>
        <w:t>UK</w:t>
      </w:r>
    </w:p>
    <w:p w14:paraId="4ACF09AB" w14:textId="77777777" w:rsidR="00D741D0" w:rsidRPr="00F71694" w:rsidRDefault="00D741D0" w:rsidP="00571105">
      <w:pPr>
        <w:spacing w:after="0"/>
      </w:pPr>
    </w:p>
    <w:p w14:paraId="03B2D452" w14:textId="77777777" w:rsidR="00D741D0" w:rsidRPr="00F71694" w:rsidRDefault="00D741D0" w:rsidP="00571105">
      <w:r w:rsidRPr="00F71694">
        <w:t xml:space="preserve">Email: </w:t>
      </w:r>
      <w:r w:rsidR="00A4118D" w:rsidRPr="00F71694">
        <w:t>Eleftherios.sideris</w:t>
      </w:r>
      <w:r w:rsidR="0018797C" w:rsidRPr="00F71694">
        <w:t>@york.ac.uk</w:t>
      </w:r>
      <w:r w:rsidRPr="00F71694">
        <w:t xml:space="preserve"> </w:t>
      </w:r>
    </w:p>
    <w:p w14:paraId="7E87F02D" w14:textId="77777777" w:rsidR="00D741D0" w:rsidRPr="00F71694" w:rsidRDefault="00A4118D" w:rsidP="00571105">
      <w:r w:rsidRPr="00F71694">
        <w:t>Tel: +44 (0)1904 321456</w:t>
      </w:r>
      <w:r w:rsidR="00D741D0" w:rsidRPr="00F71694">
        <w:br/>
      </w:r>
    </w:p>
    <w:p w14:paraId="4015FCDD" w14:textId="77777777" w:rsidR="004A253A" w:rsidRPr="00F71694" w:rsidRDefault="004A253A" w:rsidP="00571105">
      <w:pPr>
        <w:rPr>
          <w:b/>
        </w:rPr>
      </w:pPr>
    </w:p>
    <w:p w14:paraId="26927058" w14:textId="77777777" w:rsidR="0068010B" w:rsidRPr="00F71694" w:rsidRDefault="0068010B" w:rsidP="00571105">
      <w:pPr>
        <w:rPr>
          <w:b/>
        </w:rPr>
      </w:pPr>
    </w:p>
    <w:p w14:paraId="5AECB370" w14:textId="77777777" w:rsidR="0068010B" w:rsidRPr="00F71694" w:rsidRDefault="0068010B" w:rsidP="00571105"/>
    <w:p w14:paraId="45ACB6DD" w14:textId="77777777" w:rsidR="00D741D0" w:rsidRPr="00F71694" w:rsidRDefault="00D741D0" w:rsidP="00571105"/>
    <w:p w14:paraId="0DF01AB3" w14:textId="77777777" w:rsidR="00D741D0" w:rsidRPr="00F71694" w:rsidRDefault="00D741D0" w:rsidP="00571105"/>
    <w:p w14:paraId="4F3CF368" w14:textId="77777777" w:rsidR="00D741D0" w:rsidRPr="00F71694" w:rsidRDefault="00D741D0" w:rsidP="00571105"/>
    <w:p w14:paraId="7052C754" w14:textId="77777777" w:rsidR="00D741D0" w:rsidRPr="00F71694" w:rsidRDefault="00D741D0" w:rsidP="00571105"/>
    <w:p w14:paraId="32B5C698" w14:textId="77777777" w:rsidR="00D741D0" w:rsidRPr="00F71694" w:rsidRDefault="00D741D0" w:rsidP="00571105"/>
    <w:p w14:paraId="02909069" w14:textId="77777777" w:rsidR="00D741D0" w:rsidRPr="00F71694" w:rsidRDefault="00D741D0" w:rsidP="00571105"/>
    <w:p w14:paraId="7F00C1CA" w14:textId="77777777" w:rsidR="00D741D0" w:rsidRPr="00F71694" w:rsidRDefault="00D741D0" w:rsidP="00571105"/>
    <w:p w14:paraId="5B1764AF" w14:textId="77777777" w:rsidR="0018797C" w:rsidRPr="00F71694" w:rsidRDefault="0018797C" w:rsidP="00571105">
      <w:pPr>
        <w:spacing w:after="0"/>
      </w:pPr>
    </w:p>
    <w:p w14:paraId="2B7E798C" w14:textId="77777777" w:rsidR="00EE6364" w:rsidRPr="00296BEA" w:rsidRDefault="00AA42FE" w:rsidP="00296BEA">
      <w:pPr>
        <w:rPr>
          <w:rFonts w:cs="Times New Roman"/>
          <w:b/>
        </w:rPr>
      </w:pPr>
      <w:r w:rsidRPr="00F71694">
        <w:rPr>
          <w:rFonts w:cs="Times New Roman"/>
          <w:b/>
        </w:rPr>
        <w:br w:type="page"/>
      </w:r>
    </w:p>
    <w:p w14:paraId="2E09BFE2" w14:textId="77777777" w:rsidR="00EE6364" w:rsidRPr="00F71694" w:rsidRDefault="00EE6364" w:rsidP="00EE6364">
      <w:pPr>
        <w:keepNext/>
        <w:keepLines/>
        <w:spacing w:after="0"/>
        <w:outlineLvl w:val="0"/>
        <w:rPr>
          <w:rFonts w:cs="Times New Roman"/>
          <w:b/>
        </w:rPr>
      </w:pPr>
      <w:r w:rsidRPr="00F71694">
        <w:rPr>
          <w:rFonts w:cs="Times New Roman"/>
          <w:b/>
        </w:rPr>
        <w:lastRenderedPageBreak/>
        <w:t>Key points for decision makers</w:t>
      </w:r>
    </w:p>
    <w:p w14:paraId="47131AA4" w14:textId="77777777" w:rsidR="00CD2F44" w:rsidRPr="00CD2F44" w:rsidRDefault="00CD2F44" w:rsidP="00CD2F44">
      <w:pPr>
        <w:numPr>
          <w:ilvl w:val="0"/>
          <w:numId w:val="7"/>
        </w:numPr>
        <w:spacing w:after="0"/>
      </w:pPr>
      <w:r w:rsidRPr="00CD2F44">
        <w:t xml:space="preserve">The economic model submitted by the company compared sequences of treatments with apremilast positioned as an additional line of treatment. The ERG considered that model represented a limited set of potentially relevant sequences; these were not necessarily a sufficient basis to inform the most efficient use and position of apremilast.  </w:t>
      </w:r>
    </w:p>
    <w:p w14:paraId="42F1E1BD" w14:textId="77777777" w:rsidR="00CD2F44" w:rsidRPr="00CD2F44" w:rsidRDefault="00CD2F44" w:rsidP="00CD2F44">
      <w:pPr>
        <w:numPr>
          <w:ilvl w:val="0"/>
          <w:numId w:val="7"/>
        </w:numPr>
        <w:spacing w:after="0"/>
      </w:pPr>
      <w:r w:rsidRPr="00CD2F44">
        <w:t xml:space="preserve">The company’s base-case resulted in an ICER of £14,683 per QALY gained for the sequence including apremilast. </w:t>
      </w:r>
    </w:p>
    <w:p w14:paraId="546DF988" w14:textId="77777777" w:rsidR="00CD2F44" w:rsidRPr="00CD2F44" w:rsidRDefault="00CD2F44" w:rsidP="00CD2F44">
      <w:pPr>
        <w:numPr>
          <w:ilvl w:val="0"/>
          <w:numId w:val="7"/>
        </w:numPr>
        <w:spacing w:after="0"/>
      </w:pPr>
      <w:r w:rsidRPr="00CD2F44">
        <w:t>The company failed to provide compelling evidence that the benefit, in terms of disease progression, for patients who remain on treatment with apremilast was maintained beyond the randomised placebo-controlled phases.</w:t>
      </w:r>
    </w:p>
    <w:p w14:paraId="1A0AC980" w14:textId="77777777" w:rsidR="00CD2F44" w:rsidRPr="00CD2F44" w:rsidRDefault="00CD2F44" w:rsidP="00CD2F44">
      <w:pPr>
        <w:numPr>
          <w:ilvl w:val="0"/>
          <w:numId w:val="7"/>
        </w:numPr>
        <w:spacing w:after="0"/>
      </w:pPr>
      <w:r w:rsidRPr="00CD2F44">
        <w:t xml:space="preserve">The ERG’s exploratory analyses focused on alternative approaches to treatment sequencing in the model and on the impact of the assumption of no HAQ progression for patients on treatment with apremilast. </w:t>
      </w:r>
    </w:p>
    <w:p w14:paraId="0B3BB09D" w14:textId="1AA5576B" w:rsidR="008B7EFC" w:rsidRPr="008B7EFC" w:rsidRDefault="008B7EFC" w:rsidP="008B7EFC">
      <w:pPr>
        <w:pStyle w:val="ListParagraph"/>
        <w:numPr>
          <w:ilvl w:val="0"/>
          <w:numId w:val="7"/>
        </w:numPr>
      </w:pPr>
      <w:r w:rsidRPr="008B7EFC">
        <w:t xml:space="preserve">The NICE Appraisal Committee concluded </w:t>
      </w:r>
      <w:r w:rsidR="00C70E3D">
        <w:t xml:space="preserve">that </w:t>
      </w:r>
      <w:r w:rsidRPr="008B7EFC">
        <w:t>the addition of apremilast resulted in cost savings but also a QALY loss, when taking into account the Committee’s preferred assumptions and the pricing in the initial company submission. These cost savings were not high enough to compensate for the clinical effectiveness that would be lost.</w:t>
      </w:r>
    </w:p>
    <w:p w14:paraId="1109D67F" w14:textId="77777777" w:rsidR="00EE6364" w:rsidRPr="00F71694" w:rsidRDefault="00EE6364" w:rsidP="0099762E">
      <w:pPr>
        <w:spacing w:after="0"/>
        <w:ind w:left="720"/>
      </w:pPr>
    </w:p>
    <w:p w14:paraId="4176792A" w14:textId="77777777" w:rsidR="00D741D0" w:rsidRPr="00F71694" w:rsidRDefault="00D741D0" w:rsidP="00524E33">
      <w:pPr>
        <w:pStyle w:val="Heading1"/>
        <w:spacing w:before="0"/>
        <w:rPr>
          <w:rFonts w:asciiTheme="minorHAnsi" w:eastAsiaTheme="minorHAnsi" w:hAnsiTheme="minorHAnsi" w:cs="Times New Roman"/>
          <w:bCs w:val="0"/>
          <w:color w:val="auto"/>
          <w:sz w:val="22"/>
          <w:szCs w:val="22"/>
        </w:rPr>
      </w:pPr>
      <w:r w:rsidRPr="00F71694">
        <w:rPr>
          <w:rFonts w:asciiTheme="minorHAnsi" w:eastAsiaTheme="minorHAnsi" w:hAnsiTheme="minorHAnsi" w:cs="Times New Roman"/>
          <w:bCs w:val="0"/>
          <w:color w:val="auto"/>
          <w:sz w:val="22"/>
          <w:szCs w:val="22"/>
        </w:rPr>
        <w:t>Abstract</w:t>
      </w:r>
    </w:p>
    <w:p w14:paraId="79130E7B" w14:textId="77777777" w:rsidR="00AA42FE" w:rsidRPr="00F71694" w:rsidRDefault="00AA42FE" w:rsidP="00571105">
      <w:pPr>
        <w:spacing w:after="0"/>
        <w:rPr>
          <w:rFonts w:cs="Times New Roman"/>
        </w:rPr>
      </w:pPr>
      <w:r w:rsidRPr="00F71694">
        <w:rPr>
          <w:rFonts w:cs="Times New Roman"/>
        </w:rPr>
        <w:t>As part of the National Institute for Health and Clinical Excellence (NICE) single technology appraisal</w:t>
      </w:r>
    </w:p>
    <w:p w14:paraId="6B1F76CC" w14:textId="77777777" w:rsidR="0099762E" w:rsidRPr="00F71694" w:rsidRDefault="00AA42FE" w:rsidP="00571105">
      <w:pPr>
        <w:rPr>
          <w:rFonts w:cs="Times New Roman"/>
        </w:rPr>
      </w:pPr>
      <w:r w:rsidRPr="00F71694">
        <w:rPr>
          <w:rFonts w:cs="Times New Roman"/>
        </w:rPr>
        <w:t xml:space="preserve">(STA) process, the </w:t>
      </w:r>
      <w:r w:rsidR="00074DCD">
        <w:rPr>
          <w:rFonts w:cs="Times New Roman"/>
        </w:rPr>
        <w:t>manufacturer</w:t>
      </w:r>
      <w:r w:rsidRPr="00F71694">
        <w:rPr>
          <w:rFonts w:cs="Times New Roman"/>
        </w:rPr>
        <w:t xml:space="preserve"> of apremilast</w:t>
      </w:r>
      <w:r w:rsidR="0099762E" w:rsidRPr="00F71694">
        <w:rPr>
          <w:rFonts w:cs="Times New Roman"/>
        </w:rPr>
        <w:t xml:space="preserve"> </w:t>
      </w:r>
      <w:r w:rsidRPr="00F71694">
        <w:rPr>
          <w:rFonts w:cs="Times New Roman"/>
        </w:rPr>
        <w:t xml:space="preserve">was invited to submit evidence for its clinical and cost effectiveness for the treatment of active psoriatic arthritis (PsA) </w:t>
      </w:r>
      <w:r w:rsidR="00DE5233" w:rsidRPr="00F71694">
        <w:rPr>
          <w:rFonts w:cs="Times New Roman"/>
        </w:rPr>
        <w:t>for whom disease-modifying anti-rheumatic drugs (DMARDs) have been inadeq</w:t>
      </w:r>
      <w:r w:rsidR="00DD059B" w:rsidRPr="00F71694">
        <w:rPr>
          <w:rFonts w:cs="Times New Roman"/>
        </w:rPr>
        <w:t xml:space="preserve">uately effective, not tolerated </w:t>
      </w:r>
      <w:r w:rsidR="00DE5233" w:rsidRPr="00F71694">
        <w:rPr>
          <w:rFonts w:cs="Times New Roman"/>
        </w:rPr>
        <w:t xml:space="preserve">or contraindicated. </w:t>
      </w:r>
      <w:r w:rsidRPr="00F71694">
        <w:rPr>
          <w:rFonts w:cs="Times New Roman"/>
        </w:rPr>
        <w:t xml:space="preserve">The Centre for Reviews and Dissemination and Centre for Health Economics at the University of York were commissioned to act as the independent Evidence Review Group (ERG). This </w:t>
      </w:r>
      <w:r w:rsidR="009A3E40" w:rsidRPr="00F71694">
        <w:rPr>
          <w:rFonts w:cs="Times New Roman"/>
        </w:rPr>
        <w:t>paper</w:t>
      </w:r>
      <w:r w:rsidRPr="00F71694">
        <w:rPr>
          <w:rFonts w:cs="Times New Roman"/>
        </w:rPr>
        <w:t xml:space="preserve"> provides a description of the </w:t>
      </w:r>
      <w:r w:rsidR="008667ED">
        <w:rPr>
          <w:rFonts w:cs="Times New Roman"/>
        </w:rPr>
        <w:t xml:space="preserve">ERG review of the </w:t>
      </w:r>
      <w:r w:rsidR="0099762E" w:rsidRPr="00F71694">
        <w:rPr>
          <w:rFonts w:cs="Times New Roman"/>
        </w:rPr>
        <w:t xml:space="preserve">company’s submission, the ERG report and </w:t>
      </w:r>
      <w:r w:rsidR="008667ED" w:rsidRPr="00F71694">
        <w:rPr>
          <w:rFonts w:cs="Times New Roman"/>
        </w:rPr>
        <w:t>submission</w:t>
      </w:r>
      <w:r w:rsidR="008667ED">
        <w:rPr>
          <w:rFonts w:cs="Times New Roman"/>
        </w:rPr>
        <w:t xml:space="preserve"> and summarizes the </w:t>
      </w:r>
      <w:r w:rsidR="008667ED" w:rsidRPr="00F71694">
        <w:rPr>
          <w:rFonts w:cs="Times New Roman"/>
        </w:rPr>
        <w:t>NICE</w:t>
      </w:r>
      <w:r w:rsidR="008667ED">
        <w:rPr>
          <w:rFonts w:cs="Times New Roman"/>
        </w:rPr>
        <w:t xml:space="preserve"> Appraisal Committee</w:t>
      </w:r>
      <w:r w:rsidR="008667ED" w:rsidRPr="00F71694">
        <w:rPr>
          <w:rFonts w:cs="Times New Roman"/>
        </w:rPr>
        <w:t>’s subse</w:t>
      </w:r>
      <w:r w:rsidR="008667ED">
        <w:rPr>
          <w:rFonts w:cs="Times New Roman"/>
        </w:rPr>
        <w:t xml:space="preserve">quent </w:t>
      </w:r>
      <w:r w:rsidR="0099762E" w:rsidRPr="00F71694">
        <w:rPr>
          <w:rFonts w:cs="Times New Roman"/>
        </w:rPr>
        <w:t>guidance</w:t>
      </w:r>
      <w:r w:rsidR="008667ED">
        <w:rPr>
          <w:rFonts w:cs="Times New Roman"/>
        </w:rPr>
        <w:t xml:space="preserve"> (December 2015)</w:t>
      </w:r>
      <w:r w:rsidR="0099762E" w:rsidRPr="00F71694">
        <w:rPr>
          <w:rFonts w:cs="Times New Roman"/>
        </w:rPr>
        <w:t>.</w:t>
      </w:r>
    </w:p>
    <w:p w14:paraId="311D6287" w14:textId="78D2EC97" w:rsidR="008667ED" w:rsidRDefault="008667ED" w:rsidP="0099762E">
      <w:pPr>
        <w:rPr>
          <w:rFonts w:cs="Times New Roman"/>
        </w:rPr>
      </w:pPr>
      <w:r w:rsidRPr="008667ED">
        <w:rPr>
          <w:rFonts w:cs="Times New Roman"/>
        </w:rPr>
        <w:t xml:space="preserve">In the company’s initial submission the base-case analysis resulted in an ICER of £14,683 per QALY gained for the sequence including apremilast </w:t>
      </w:r>
      <w:r>
        <w:rPr>
          <w:rFonts w:cs="Times New Roman"/>
        </w:rPr>
        <w:t xml:space="preserve">(positioned before </w:t>
      </w:r>
      <w:r w:rsidR="00C54F3F">
        <w:t>TNF-α inhibitors</w:t>
      </w:r>
      <w:r>
        <w:rPr>
          <w:rFonts w:cs="Times New Roman"/>
        </w:rPr>
        <w:t xml:space="preserve">) </w:t>
      </w:r>
      <w:r w:rsidRPr="008667ED">
        <w:rPr>
          <w:rFonts w:cs="Times New Roman"/>
        </w:rPr>
        <w:t xml:space="preserve">versus a comparator sequence without apremilast. However, the ERG considered the base-case sequence proposed by the company represented a limited set of potentially relevant treatment sequences and positions for apremilast. The company’s base case results were therefore not a sufficient basis to inform the most efficient use and position of apremilast. </w:t>
      </w:r>
    </w:p>
    <w:p w14:paraId="4F59969B" w14:textId="6F4A0F8C" w:rsidR="0099762E" w:rsidRPr="00F71694" w:rsidRDefault="0099762E" w:rsidP="0099762E">
      <w:pPr>
        <w:rPr>
          <w:rFonts w:cs="Times New Roman"/>
        </w:rPr>
      </w:pPr>
      <w:r w:rsidRPr="00F71694">
        <w:rPr>
          <w:rFonts w:cs="Times New Roman"/>
        </w:rPr>
        <w:t xml:space="preserve">The exploratory ERG analyses indicated that apremilast is more effective (i.e. produces higher health gains) when positioned after </w:t>
      </w:r>
      <w:r w:rsidR="00C54F3F">
        <w:t xml:space="preserve">TNF-α inhibitor </w:t>
      </w:r>
      <w:r w:rsidR="00C54F3F">
        <w:rPr>
          <w:rFonts w:cs="Times New Roman"/>
        </w:rPr>
        <w:t xml:space="preserve"> </w:t>
      </w:r>
      <w:r w:rsidR="008667ED">
        <w:rPr>
          <w:rFonts w:cs="Times New Roman"/>
        </w:rPr>
        <w:t xml:space="preserve">therapies. Furthermore, </w:t>
      </w:r>
      <w:r w:rsidR="008667ED" w:rsidRPr="00F71694">
        <w:rPr>
          <w:rFonts w:cs="Times New Roman"/>
        </w:rPr>
        <w:t xml:space="preserve">assumptions </w:t>
      </w:r>
      <w:r w:rsidR="008667ED">
        <w:rPr>
          <w:rFonts w:cs="Times New Roman"/>
        </w:rPr>
        <w:t>made regarding a potential beneficial effect of apremilast on</w:t>
      </w:r>
      <w:r w:rsidR="008667ED" w:rsidRPr="00F71694">
        <w:rPr>
          <w:rFonts w:cs="Times New Roman"/>
        </w:rPr>
        <w:t xml:space="preserve"> long-term HAQ progression</w:t>
      </w:r>
      <w:r w:rsidR="008667ED">
        <w:rPr>
          <w:rFonts w:cs="Times New Roman"/>
        </w:rPr>
        <w:t>, which cannot be substantiated,</w:t>
      </w:r>
      <w:r w:rsidR="008667ED" w:rsidRPr="00F71694">
        <w:rPr>
          <w:rFonts w:cs="Times New Roman"/>
        </w:rPr>
        <w:t xml:space="preserve"> have a very significant impact on results. </w:t>
      </w:r>
      <w:r w:rsidR="008F6896">
        <w:rPr>
          <w:rFonts w:cs="Times New Roman"/>
        </w:rPr>
        <w:t xml:space="preserve">The NICE </w:t>
      </w:r>
      <w:r w:rsidR="008F6896" w:rsidRPr="00F71694">
        <w:rPr>
          <w:rFonts w:cs="Times New Roman"/>
        </w:rPr>
        <w:t>Appraisal Committee</w:t>
      </w:r>
      <w:r w:rsidR="008F6896">
        <w:rPr>
          <w:rFonts w:cs="Times New Roman"/>
        </w:rPr>
        <w:t xml:space="preserve"> (AC), w</w:t>
      </w:r>
      <w:r w:rsidR="00D17A58" w:rsidRPr="00F71694">
        <w:rPr>
          <w:rFonts w:cs="Times New Roman"/>
        </w:rPr>
        <w:t>hen taking into account the</w:t>
      </w:r>
      <w:r w:rsidR="008F6896">
        <w:rPr>
          <w:rFonts w:cs="Times New Roman"/>
        </w:rPr>
        <w:t>ir</w:t>
      </w:r>
      <w:r w:rsidR="00D17A58" w:rsidRPr="00F71694">
        <w:rPr>
          <w:rFonts w:cs="Times New Roman"/>
        </w:rPr>
        <w:t xml:space="preserve"> preferred assumptions for HAQ progression</w:t>
      </w:r>
      <w:r w:rsidR="00AA5247">
        <w:rPr>
          <w:rFonts w:cs="Times New Roman"/>
        </w:rPr>
        <w:t xml:space="preserve"> </w:t>
      </w:r>
      <w:r w:rsidR="008667ED" w:rsidRPr="00F71694">
        <w:rPr>
          <w:rFonts w:cs="Times New Roman"/>
        </w:rPr>
        <w:t xml:space="preserve">for </w:t>
      </w:r>
      <w:r w:rsidR="008667ED">
        <w:rPr>
          <w:rFonts w:cs="Times New Roman"/>
        </w:rPr>
        <w:t xml:space="preserve">patients on treatment with </w:t>
      </w:r>
      <w:r w:rsidR="00AA5247" w:rsidRPr="00F71694">
        <w:rPr>
          <w:rFonts w:cs="Times New Roman"/>
        </w:rPr>
        <w:t>apremilast</w:t>
      </w:r>
      <w:r w:rsidR="00D17A58" w:rsidRPr="00F71694">
        <w:rPr>
          <w:rFonts w:cs="Times New Roman"/>
        </w:rPr>
        <w:t xml:space="preserve">, placebo response and </w:t>
      </w:r>
      <w:r w:rsidR="008667ED" w:rsidRPr="00F71694">
        <w:rPr>
          <w:rFonts w:cs="Times New Roman"/>
        </w:rPr>
        <w:t xml:space="preserve">monitoring </w:t>
      </w:r>
      <w:r w:rsidR="008667ED">
        <w:rPr>
          <w:rFonts w:cs="Times New Roman"/>
        </w:rPr>
        <w:t xml:space="preserve">costs for </w:t>
      </w:r>
      <w:r w:rsidR="00D17A58" w:rsidRPr="00F71694">
        <w:rPr>
          <w:rFonts w:cs="Times New Roman"/>
        </w:rPr>
        <w:t xml:space="preserve">apremilast, </w:t>
      </w:r>
      <w:r w:rsidR="008F6896">
        <w:rPr>
          <w:rFonts w:cs="Times New Roman"/>
        </w:rPr>
        <w:t xml:space="preserve">concluded </w:t>
      </w:r>
      <w:r w:rsidR="00C70E3D">
        <w:t xml:space="preserve">that </w:t>
      </w:r>
      <w:r w:rsidR="00C70E3D" w:rsidRPr="008B7EFC">
        <w:t>the addition of apremilast resulted in cost sav</w:t>
      </w:r>
      <w:r w:rsidR="00C70E3D">
        <w:t>ings but also a QALY loss</w:t>
      </w:r>
      <w:r w:rsidR="00C70E3D" w:rsidRPr="008B7EFC">
        <w:t>. These cost savings were not high enough to compensate for the clinical effectiveness that would be lost.</w:t>
      </w:r>
      <w:r w:rsidR="00C70E3D">
        <w:rPr>
          <w:rFonts w:cs="Times New Roman"/>
        </w:rPr>
        <w:t xml:space="preserve"> </w:t>
      </w:r>
      <w:r w:rsidR="00B903C7">
        <w:rPr>
          <w:rFonts w:cs="Times New Roman"/>
        </w:rPr>
        <w:t xml:space="preserve">The AC </w:t>
      </w:r>
      <w:r w:rsidR="00C70E3D">
        <w:rPr>
          <w:rFonts w:cs="Times New Roman"/>
        </w:rPr>
        <w:t xml:space="preserve">thus decided </w:t>
      </w:r>
      <w:r w:rsidR="008F6896">
        <w:rPr>
          <w:rFonts w:cs="Times New Roman"/>
        </w:rPr>
        <w:t>that</w:t>
      </w:r>
      <w:r w:rsidR="00D17A58" w:rsidRPr="00F71694">
        <w:rPr>
          <w:rFonts w:cs="Times New Roman"/>
        </w:rPr>
        <w:t xml:space="preserve"> </w:t>
      </w:r>
      <w:r w:rsidRPr="00F71694">
        <w:rPr>
          <w:rFonts w:cs="Times New Roman"/>
        </w:rPr>
        <w:t xml:space="preserve">apremilast alone or in combination with disease modifying antirheumatic drug (DMARD) therapy is not </w:t>
      </w:r>
      <w:r w:rsidRPr="00F71694">
        <w:rPr>
          <w:rFonts w:cs="Times New Roman"/>
        </w:rPr>
        <w:lastRenderedPageBreak/>
        <w:t xml:space="preserve">recommended for treating adults with active </w:t>
      </w:r>
      <w:r w:rsidR="00834FDF" w:rsidRPr="00834FDF">
        <w:rPr>
          <w:rFonts w:cs="Times New Roman"/>
        </w:rPr>
        <w:t>PsA</w:t>
      </w:r>
      <w:r w:rsidR="00834FDF" w:rsidRPr="00834FDF" w:rsidDel="00834FDF">
        <w:rPr>
          <w:rFonts w:cs="Times New Roman"/>
        </w:rPr>
        <w:t xml:space="preserve"> </w:t>
      </w:r>
      <w:r w:rsidRPr="00F71694">
        <w:rPr>
          <w:rFonts w:cs="Times New Roman"/>
        </w:rPr>
        <w:t xml:space="preserve">that has not responded to prior DMARD therapy, </w:t>
      </w:r>
      <w:r w:rsidR="00167B4D" w:rsidRPr="00F71694">
        <w:rPr>
          <w:rFonts w:cs="Times New Roman"/>
        </w:rPr>
        <w:t xml:space="preserve">or </w:t>
      </w:r>
      <w:r w:rsidR="00167B4D">
        <w:rPr>
          <w:rFonts w:cs="Times New Roman"/>
        </w:rPr>
        <w:t>where</w:t>
      </w:r>
      <w:r w:rsidR="00B903C7">
        <w:rPr>
          <w:rFonts w:cs="Times New Roman"/>
        </w:rPr>
        <w:t xml:space="preserve"> </w:t>
      </w:r>
      <w:r w:rsidRPr="00F71694">
        <w:rPr>
          <w:rFonts w:cs="Times New Roman"/>
        </w:rPr>
        <w:t>such therapy is not tolerated.</w:t>
      </w:r>
      <w:r w:rsidR="008F6896">
        <w:rPr>
          <w:rFonts w:cs="Times New Roman"/>
        </w:rPr>
        <w:t xml:space="preserve"> </w:t>
      </w:r>
    </w:p>
    <w:p w14:paraId="3AF38FAD" w14:textId="07435F14" w:rsidR="0099762E" w:rsidRPr="00F71694" w:rsidRDefault="0099762E" w:rsidP="00571105">
      <w:pPr>
        <w:rPr>
          <w:rFonts w:cs="Times New Roman"/>
        </w:rPr>
      </w:pPr>
    </w:p>
    <w:p w14:paraId="2CDBB1BF" w14:textId="77777777" w:rsidR="00585DDA" w:rsidRPr="00F71694" w:rsidRDefault="00585DDA" w:rsidP="00585DDA">
      <w:pPr>
        <w:rPr>
          <w:rFonts w:eastAsia="Calibri" w:cs="Calibri"/>
          <w:color w:val="FF0000"/>
          <w:sz w:val="24"/>
          <w:szCs w:val="20"/>
          <w:lang w:eastAsia="en-GB"/>
        </w:rPr>
      </w:pPr>
    </w:p>
    <w:p w14:paraId="033EB452" w14:textId="77777777" w:rsidR="00D741D0" w:rsidRPr="00F71694" w:rsidRDefault="00D741D0" w:rsidP="003B64EC">
      <w:pPr>
        <w:pStyle w:val="Heading1"/>
        <w:spacing w:before="0"/>
        <w:rPr>
          <w:rFonts w:asciiTheme="minorHAnsi" w:eastAsiaTheme="minorHAnsi" w:hAnsiTheme="minorHAnsi" w:cs="Times New Roman"/>
          <w:bCs w:val="0"/>
          <w:color w:val="auto"/>
          <w:sz w:val="22"/>
          <w:szCs w:val="22"/>
        </w:rPr>
      </w:pPr>
      <w:r w:rsidRPr="00F71694">
        <w:rPr>
          <w:rFonts w:asciiTheme="minorHAnsi" w:eastAsiaTheme="minorHAnsi" w:hAnsiTheme="minorHAnsi" w:cs="Times New Roman"/>
          <w:bCs w:val="0"/>
          <w:color w:val="auto"/>
          <w:sz w:val="22"/>
          <w:szCs w:val="22"/>
        </w:rPr>
        <w:t>1. Introduction</w:t>
      </w:r>
    </w:p>
    <w:p w14:paraId="17986FA7" w14:textId="77777777" w:rsidR="008667ED" w:rsidRDefault="008667ED" w:rsidP="008667ED">
      <w:r>
        <w:t xml:space="preserve">NICE is an independent body responsible for issuing guidance in a number of areas for the English NHS, including the use of new medicines. This guidance is provided through its technology appraisal programme, which draws on clinical and cost-effectiveness evidence in guiding recommendation decisions. </w:t>
      </w:r>
    </w:p>
    <w:p w14:paraId="4E00268C" w14:textId="77777777" w:rsidR="008667ED" w:rsidRDefault="008667ED" w:rsidP="008667ED">
      <w:r>
        <w:t xml:space="preserve">Single technology appraisals (STA), in contrast to multiple technology appraisals (MTAs), evaluate a single product, device or other technology, which is, typically, close to launch. The evidence required by NICE is provided by the company or sponsor of the new medicine for review by an independent ERG appointed by NICE. </w:t>
      </w:r>
    </w:p>
    <w:p w14:paraId="76D3A146" w14:textId="77777777" w:rsidR="008667ED" w:rsidRDefault="008667ED" w:rsidP="008667ED">
      <w:r>
        <w:t>A range of stakeholders, including the company, the ERG, expert clinical representatives and patient representatives present evidence for the appraisal. This is considered by the NICE Appraisal Committee (AC). The AC concludes on the clinical effectiveness of the new treatment and whether it represents a cost-effective use of NHS resources.</w:t>
      </w:r>
    </w:p>
    <w:p w14:paraId="2FDEE128" w14:textId="77777777" w:rsidR="00D741D0" w:rsidRDefault="008667ED" w:rsidP="00571105">
      <w:r>
        <w:t>This article presents a summary of the ERG’s independent critique of the company’s submission to NICE and additional work conducted by the ERG is presented, as well as the key issues that arose during the review process and the subsequent committee decision making. Full details of the appraisal documents can be found on the NICE website</w:t>
      </w:r>
      <w:r w:rsidR="00EF3C3F">
        <w:t xml:space="preserve">. </w:t>
      </w:r>
      <w:r w:rsidR="00EF3C3F">
        <w:fldChar w:fldCharType="begin"/>
      </w:r>
      <w:r w:rsidR="00EF3C3F">
        <w:instrText xml:space="preserve"> ADDIN EN.CITE &lt;EndNote&gt;&lt;Cite&gt;&lt;Year&gt;accessed 18/01/2016&lt;/Year&gt;&lt;RecNum&gt;203&lt;/RecNum&gt;&lt;DisplayText&gt;(1)&lt;/DisplayText&gt;&lt;record&gt;&lt;rec-number&gt;203&lt;/rec-number&gt;&lt;foreign-keys&gt;&lt;key app="EN" db-id="svtwxs2x12d223ewxf5pdxac9srd95zxdfda" timestamp="1454496699"&gt;203&lt;/key&gt;&lt;/foreign-keys&gt;&lt;ref-type name="Journal Article"&gt;17&lt;/ref-type&gt;&lt;contributors&gt;&lt;/contributors&gt;&lt;titles&gt;&lt;title&gt;National Institute for Health and Care Excellence&lt;/title&gt;&lt;/titles&gt;&lt;volume&gt;https://www.nice.org.uk/guidance/ta368&lt;/volume&gt;&lt;dates&gt;&lt;year&gt;accessed 18/01/2016&lt;/year&gt;&lt;/dates&gt;&lt;urls&gt;&lt;/urls&gt;&lt;/record&gt;&lt;/Cite&gt;&lt;/EndNote&gt;</w:instrText>
      </w:r>
      <w:r w:rsidR="00EF3C3F">
        <w:fldChar w:fldCharType="separate"/>
      </w:r>
      <w:r w:rsidR="00EF3C3F">
        <w:rPr>
          <w:noProof/>
        </w:rPr>
        <w:t>(</w:t>
      </w:r>
      <w:hyperlink w:anchor="_ENREF_1" w:tooltip=", accessed 18/01/2016 #203" w:history="1">
        <w:r w:rsidR="000839CF">
          <w:rPr>
            <w:noProof/>
          </w:rPr>
          <w:t>1</w:t>
        </w:r>
      </w:hyperlink>
      <w:r w:rsidR="00EF3C3F">
        <w:rPr>
          <w:noProof/>
        </w:rPr>
        <w:t>)</w:t>
      </w:r>
      <w:r w:rsidR="00EF3C3F">
        <w:fldChar w:fldCharType="end"/>
      </w:r>
      <w:r w:rsidR="00D17A58" w:rsidRPr="00F71694">
        <w:t xml:space="preserve"> </w:t>
      </w:r>
    </w:p>
    <w:p w14:paraId="14709692" w14:textId="77777777" w:rsidR="008667ED" w:rsidRPr="00F71694" w:rsidRDefault="008667ED" w:rsidP="00571105"/>
    <w:p w14:paraId="3E4D2D1D" w14:textId="77777777" w:rsidR="00433584" w:rsidRPr="00F71694" w:rsidRDefault="00433584" w:rsidP="00571105">
      <w:pPr>
        <w:pStyle w:val="Heading1"/>
        <w:spacing w:before="0"/>
        <w:rPr>
          <w:rFonts w:asciiTheme="minorHAnsi" w:hAnsiTheme="minorHAnsi" w:cs="Times New Roman"/>
          <w:color w:val="auto"/>
          <w:sz w:val="22"/>
          <w:szCs w:val="22"/>
        </w:rPr>
      </w:pPr>
      <w:r w:rsidRPr="00F71694">
        <w:rPr>
          <w:rFonts w:asciiTheme="minorHAnsi" w:eastAsiaTheme="minorHAnsi" w:hAnsiTheme="minorHAnsi" w:cs="Times New Roman"/>
          <w:bCs w:val="0"/>
          <w:color w:val="auto"/>
          <w:sz w:val="22"/>
          <w:szCs w:val="22"/>
        </w:rPr>
        <w:t xml:space="preserve">2. </w:t>
      </w:r>
      <w:r w:rsidRPr="00F71694">
        <w:rPr>
          <w:rFonts w:asciiTheme="minorHAnsi" w:hAnsiTheme="minorHAnsi" w:cs="Times New Roman"/>
          <w:color w:val="auto"/>
          <w:sz w:val="22"/>
          <w:szCs w:val="22"/>
        </w:rPr>
        <w:t>The Decision Problem</w:t>
      </w:r>
    </w:p>
    <w:p w14:paraId="31C895B7" w14:textId="7685D559" w:rsidR="00546FEA" w:rsidRPr="00F71694" w:rsidRDefault="00546FEA" w:rsidP="00571105">
      <w:pPr>
        <w:spacing w:before="120" w:after="0"/>
      </w:pPr>
      <w:r w:rsidRPr="00F71694">
        <w:t>PsA is a chronic disease which most often appears between the ages of 30 and 50 years and usually around 10 to 15 years after the onset of psoriasis.</w:t>
      </w:r>
      <w:r w:rsidR="00EF3C3F">
        <w:fldChar w:fldCharType="begin"/>
      </w:r>
      <w:r w:rsidR="00EF3C3F">
        <w:instrText xml:space="preserve"> ADDIN EN.CITE &lt;EndNote&gt;&lt;Cite&gt;&lt;Author&gt;Celgene Corporation&lt;/Author&gt;&lt;Year&gt;2013&lt;/Year&gt;&lt;RecNum&gt;127&lt;/RecNum&gt;&lt;DisplayText&gt;(2-4)&lt;/DisplayText&gt;&lt;record&gt;&lt;rec-number&gt;127&lt;/rec-number&gt;&lt;foreign-keys&gt;&lt;key app="EN" db-id="svtwxs2x12d223ewxf5pdxac9srd95zxdfda" timestamp="1424880859"&gt;127&lt;/key&gt;&lt;key app="ENWeb" db-id=""&gt;0&lt;/key&gt;&lt;/foreign-keys&gt;&lt;ref-type name="Report"&gt;27&lt;/ref-type&gt;&lt;contributors&gt;&lt;authors&gt;&lt;author&gt;Celgene Corporation,&lt;/author&gt;&lt;/authors&gt;&lt;/contributors&gt;&lt;titles&gt;&lt;title&gt;Apremilast Clinical Study Report CC-10004-PSA-02&lt;/title&gt;&lt;/titles&gt;&lt;dates&gt;&lt;year&gt;2013&lt;/year&gt;&lt;/dates&gt;&lt;pub-location&gt;New Jersey&lt;/pub-location&gt;&lt;publisher&gt;Clegene Corporation&lt;/publisher&gt;&lt;urls&gt;&lt;/urls&gt;&lt;/record&gt;&lt;/Cite&gt;&lt;Cite&gt;&lt;Author&gt;Celgene Corporation&lt;/Author&gt;&lt;Year&gt;2013&lt;/Year&gt;&lt;RecNum&gt;128&lt;/RecNum&gt;&lt;record&gt;&lt;rec-number&gt;128&lt;/rec-number&gt;&lt;foreign-keys&gt;&lt;key app="EN" db-id="svtwxs2x12d223ewxf5pdxac9srd95zxdfda" timestamp="1424880892"&gt;128&lt;/key&gt;&lt;key app="ENWeb" db-id=""&gt;0&lt;/key&gt;&lt;/foreign-keys&gt;&lt;ref-type name="Report"&gt;27&lt;/ref-type&gt;&lt;contributors&gt;&lt;authors&gt;&lt;author&gt;Celgene Corporation,&lt;/author&gt;&lt;/authors&gt;&lt;/contributors&gt;&lt;titles&gt;&lt;title&gt;Apremilast Clinical Study Report CC-10004-PSA-003&lt;/title&gt;&lt;/titles&gt;&lt;dates&gt;&lt;year&gt;2013&lt;/year&gt;&lt;/dates&gt;&lt;pub-location&gt;New Jersey&lt;/pub-location&gt;&lt;publisher&gt;Celgene Corporation&lt;/publisher&gt;&lt;urls&gt;&lt;/urls&gt;&lt;/record&gt;&lt;/Cite&gt;&lt;Cite&gt;&lt;Author&gt;Celgene Corporation&lt;/Author&gt;&lt;Year&gt;2013&lt;/Year&gt;&lt;RecNum&gt;129&lt;/RecNum&gt;&lt;record&gt;&lt;rec-number&gt;129&lt;/rec-number&gt;&lt;foreign-keys&gt;&lt;key app="EN" db-id="svtwxs2x12d223ewxf5pdxac9srd95zxdfda" timestamp="1424880906"&gt;129&lt;/key&gt;&lt;key app="ENWeb" db-id=""&gt;0&lt;/key&gt;&lt;/foreign-keys&gt;&lt;ref-type name="Report"&gt;27&lt;/ref-type&gt;&lt;contributors&gt;&lt;authors&gt;&lt;author&gt;Celgene Corporation, &lt;/author&gt;&lt;/authors&gt;&lt;/contributors&gt;&lt;titles&gt;&lt;title&gt;Apremilast Clinical Study Report CC-10004-PSA-004&lt;/title&gt;&lt;/titles&gt;&lt;dates&gt;&lt;year&gt;2013&lt;/year&gt;&lt;/dates&gt;&lt;pub-location&gt;New Jersey&lt;/pub-location&gt;&lt;publisher&gt;Celgene Corporation&lt;/publisher&gt;&lt;urls&gt;&lt;/urls&gt;&lt;/record&gt;&lt;/Cite&gt;&lt;/EndNote&gt;</w:instrText>
      </w:r>
      <w:r w:rsidR="00EF3C3F">
        <w:fldChar w:fldCharType="separate"/>
      </w:r>
      <w:r w:rsidR="00EF3C3F">
        <w:rPr>
          <w:noProof/>
        </w:rPr>
        <w:t>(</w:t>
      </w:r>
      <w:hyperlink w:anchor="_ENREF_2" w:tooltip="Celgene Corporation, 2013 #127" w:history="1">
        <w:r w:rsidR="000839CF">
          <w:rPr>
            <w:noProof/>
          </w:rPr>
          <w:t>2-4</w:t>
        </w:r>
      </w:hyperlink>
      <w:r w:rsidR="00EF3C3F">
        <w:rPr>
          <w:noProof/>
        </w:rPr>
        <w:t>)</w:t>
      </w:r>
      <w:r w:rsidR="00EF3C3F">
        <w:fldChar w:fldCharType="end"/>
      </w:r>
      <w:r w:rsidR="00EF3C3F">
        <w:t xml:space="preserve"> </w:t>
      </w:r>
      <w:r w:rsidR="0092475A" w:rsidRPr="00F71694">
        <w:t xml:space="preserve">PsA </w:t>
      </w:r>
      <w:r w:rsidRPr="00F71694">
        <w:t>is a heterogeneous condition</w:t>
      </w:r>
      <w:r w:rsidR="002B5A66">
        <w:t>. C</w:t>
      </w:r>
      <w:r w:rsidRPr="00F71694">
        <w:t xml:space="preserve">linical manifestations may include both articular (joint) and non-articular disease features. The joint pain experienced in PsA is typically a severe, sharp pain. </w:t>
      </w:r>
      <w:r w:rsidR="0092475A" w:rsidRPr="00F71694">
        <w:t xml:space="preserve">PsA </w:t>
      </w:r>
      <w:r w:rsidRPr="00F71694">
        <w:t>can be associated with clinically significant functional impairment. The progression of joint damage associated with PsA can be slow, but damage is irreversible.</w:t>
      </w:r>
    </w:p>
    <w:p w14:paraId="772461B2" w14:textId="77777777" w:rsidR="00D17A58" w:rsidRPr="00F71694" w:rsidRDefault="007819D4" w:rsidP="00571105">
      <w:pPr>
        <w:spacing w:before="120" w:after="0"/>
      </w:pPr>
      <w:r w:rsidRPr="00F71694">
        <w:t xml:space="preserve">Determining the numbers of patients </w:t>
      </w:r>
      <w:r w:rsidR="00934E8F" w:rsidRPr="00F71694">
        <w:t xml:space="preserve">with </w:t>
      </w:r>
      <w:r w:rsidRPr="00F71694">
        <w:t xml:space="preserve">PsA </w:t>
      </w:r>
      <w:r w:rsidR="006815C8" w:rsidRPr="00F71694">
        <w:t xml:space="preserve">in the UK </w:t>
      </w:r>
      <w:r w:rsidRPr="00F71694">
        <w:t xml:space="preserve">is complicated by the fact that until recently there was a lack of validated classification criteria for PsA, and </w:t>
      </w:r>
      <w:r w:rsidR="00934E8F" w:rsidRPr="00F71694">
        <w:t xml:space="preserve">that </w:t>
      </w:r>
      <w:r w:rsidR="00E52DB5" w:rsidRPr="00F71694">
        <w:t xml:space="preserve">PsA often </w:t>
      </w:r>
      <w:r w:rsidR="008A23AF">
        <w:t>remains</w:t>
      </w:r>
      <w:r w:rsidR="008A23AF" w:rsidRPr="00F71694">
        <w:t xml:space="preserve"> </w:t>
      </w:r>
      <w:r w:rsidR="002E0519">
        <w:t>undiagnosed</w:t>
      </w:r>
      <w:r w:rsidR="00934E8F" w:rsidRPr="00F71694">
        <w:t>.</w:t>
      </w:r>
      <w:r w:rsidR="002E0519">
        <w:t xml:space="preserve"> </w:t>
      </w:r>
      <w:r w:rsidR="002E0519">
        <w:fldChar w:fldCharType="begin"/>
      </w:r>
      <w:r w:rsidR="002E0519">
        <w:instrText xml:space="preserve"> ADDIN EN.CITE &lt;EndNote&gt;&lt;Cite&gt;&lt;RecNum&gt;204&lt;/RecNum&gt;&lt;DisplayText&gt;(5)&lt;/DisplayText&gt;&lt;record&gt;&lt;rec-number&gt;204&lt;/rec-number&gt;&lt;foreign-keys&gt;&lt;key app="EN" db-id="svtwxs2x12d223ewxf5pdxac9srd95zxdfda" timestamp="1454505495"&gt;204&lt;/key&gt;&lt;/foreign-keys&gt;&lt;ref-type name="Journal Article"&gt;17&lt;/ref-type&gt;&lt;contributors&gt;&lt;/contributors&gt;&lt;titles&gt;&lt;title&gt;NICE quality standards - QS40: Psoriasis. August 2013&lt;/title&gt;&lt;secondary-title&gt;National Institute for Health and Care Excellence&lt;/secondary-title&gt;&lt;/titles&gt;&lt;periodical&gt;&lt;full-title&gt;National Institute for Health and Care Excellence&lt;/full-title&gt;&lt;/periodical&gt;&lt;volume&gt;Available from: http://www.nice.org.uk/guidance/qs40/resources/guidance-psoriasis-pdf. &lt;/volume&gt;&lt;dates&gt;&lt;/dates&gt;&lt;urls&gt;&lt;/urls&gt;&lt;/record&gt;&lt;/Cite&gt;&lt;/EndNote&gt;</w:instrText>
      </w:r>
      <w:r w:rsidR="002E0519">
        <w:fldChar w:fldCharType="separate"/>
      </w:r>
      <w:r w:rsidR="002E0519">
        <w:rPr>
          <w:noProof/>
        </w:rPr>
        <w:t>(</w:t>
      </w:r>
      <w:hyperlink w:anchor="_ENREF_5" w:tooltip=",  #204" w:history="1">
        <w:r w:rsidR="000839CF">
          <w:rPr>
            <w:noProof/>
          </w:rPr>
          <w:t>5</w:t>
        </w:r>
      </w:hyperlink>
      <w:r w:rsidR="002E0519">
        <w:rPr>
          <w:noProof/>
        </w:rPr>
        <w:t>)</w:t>
      </w:r>
      <w:r w:rsidR="002E0519">
        <w:fldChar w:fldCharType="end"/>
      </w:r>
      <w:r w:rsidR="00934E8F" w:rsidRPr="00F71694">
        <w:t xml:space="preserve"> T</w:t>
      </w:r>
      <w:r w:rsidRPr="00F71694">
        <w:t>he recent NICE commissioning guide on biologic therapies in psoriasis suggested that PsA may affect 0.3% to 1% of the population.</w:t>
      </w:r>
      <w:r w:rsidR="002E0519">
        <w:t xml:space="preserve"> </w:t>
      </w:r>
      <w:r w:rsidR="002E0519">
        <w:fldChar w:fldCharType="begin"/>
      </w:r>
      <w:r w:rsidR="002E0519">
        <w:instrText xml:space="preserve"> ADDIN EN.CITE &lt;EndNote&gt;&lt;Cite&gt;&lt;RecNum&gt;205&lt;/RecNum&gt;&lt;DisplayText&gt;(6)&lt;/DisplayText&gt;&lt;record&gt;&lt;rec-number&gt;205&lt;/rec-number&gt;&lt;foreign-keys&gt;&lt;key app="EN" db-id="svtwxs2x12d223ewxf5pdxac9srd95zxdfda" timestamp="1454505731"&gt;205&lt;/key&gt;&lt;/foreign-keys&gt;&lt;ref-type name="Journal Article"&gt;17&lt;/ref-type&gt;&lt;contributors&gt;&lt;/contributors&gt;&lt;titles&gt;&lt;title&gt;Biologic drugs commissioning guide – November 2012: Biologic drugs for the treatment of inflammatory disease in rheumatology, dermatology and gastroenterology&lt;/title&gt;&lt;secondary-title&gt;National Institute for Health and Care Excellence&lt;/secondary-title&gt;&lt;/titles&gt;&lt;periodical&gt;&lt;full-title&gt;National Institute for Health and Care Excellence&lt;/full-title&gt;&lt;/periodical&gt;&lt;dates&gt;&lt;/dates&gt;&lt;urls&gt;&lt;/urls&gt;&lt;/record&gt;&lt;/Cite&gt;&lt;/EndNote&gt;</w:instrText>
      </w:r>
      <w:r w:rsidR="002E0519">
        <w:fldChar w:fldCharType="separate"/>
      </w:r>
      <w:r w:rsidR="002E0519">
        <w:rPr>
          <w:noProof/>
        </w:rPr>
        <w:t>(</w:t>
      </w:r>
      <w:hyperlink w:anchor="_ENREF_6" w:tooltip=",  #205" w:history="1">
        <w:r w:rsidR="000839CF">
          <w:rPr>
            <w:noProof/>
          </w:rPr>
          <w:t>6</w:t>
        </w:r>
      </w:hyperlink>
      <w:r w:rsidR="002E0519">
        <w:rPr>
          <w:noProof/>
        </w:rPr>
        <w:t>)</w:t>
      </w:r>
      <w:r w:rsidR="002E0519">
        <w:fldChar w:fldCharType="end"/>
      </w:r>
      <w:r w:rsidRPr="00F71694">
        <w:t xml:space="preserve"> </w:t>
      </w:r>
      <w:r w:rsidR="00934E8F" w:rsidRPr="00F71694">
        <w:t xml:space="preserve">The </w:t>
      </w:r>
      <w:r w:rsidRPr="00F71694">
        <w:t xml:space="preserve">mid-point </w:t>
      </w:r>
      <w:r w:rsidR="00934E8F" w:rsidRPr="00F71694">
        <w:t xml:space="preserve">of this </w:t>
      </w:r>
      <w:r w:rsidRPr="00F71694">
        <w:t xml:space="preserve">estimate </w:t>
      </w:r>
      <w:r w:rsidR="00934E8F" w:rsidRPr="00F71694">
        <w:t xml:space="preserve">translates to </w:t>
      </w:r>
      <w:r w:rsidRPr="00F71694">
        <w:t>approximately 291</w:t>
      </w:r>
      <w:r w:rsidR="0092475A" w:rsidRPr="00F71694">
        <w:t>,</w:t>
      </w:r>
      <w:r w:rsidRPr="00F71694">
        <w:t>200 people with PsA in England and Wales.</w:t>
      </w:r>
      <w:r w:rsidR="002E0519">
        <w:t xml:space="preserve"> </w:t>
      </w:r>
      <w:r w:rsidR="002E0519">
        <w:fldChar w:fldCharType="begin"/>
      </w:r>
      <w:r w:rsidR="002E0519">
        <w:instrText xml:space="preserve"> ADDIN EN.CITE &lt;EndNote&gt;&lt;Cite&gt;&lt;RecNum&gt;206&lt;/RecNum&gt;&lt;DisplayText&gt;(7)&lt;/DisplayText&gt;&lt;record&gt;&lt;rec-number&gt;206&lt;/rec-number&gt;&lt;foreign-keys&gt;&lt;key app="EN" db-id="svtwxs2x12d223ewxf5pdxac9srd95zxdfda" timestamp="1454505801"&gt;206&lt;/key&gt;&lt;/foreign-keys&gt;&lt;ref-type name="Journal Article"&gt;17&lt;/ref-type&gt;&lt;contributors&gt;&lt;/contributors&gt;&lt;titles&gt;&lt;title&gt;Population Estimates for UK, England and Wales, Scotland and Northern Ireland, Mid-2013. Data tables. Available from: http://www.ons.gov.uk/ons/publications/re-reference-tables.html?edition=tcm%3A77-322718&lt;/title&gt;&lt;secondary-title&gt;Office for National Statistics&lt;/secondary-title&gt;&lt;/titles&gt;&lt;periodical&gt;&lt;full-title&gt;Office for National Statistics&lt;/full-title&gt;&lt;/periodical&gt;&lt;dates&gt;&lt;/dates&gt;&lt;urls&gt;&lt;/urls&gt;&lt;/record&gt;&lt;/Cite&gt;&lt;/EndNote&gt;</w:instrText>
      </w:r>
      <w:r w:rsidR="002E0519">
        <w:fldChar w:fldCharType="separate"/>
      </w:r>
      <w:r w:rsidR="002E0519">
        <w:rPr>
          <w:noProof/>
        </w:rPr>
        <w:t>(</w:t>
      </w:r>
      <w:hyperlink w:anchor="_ENREF_7" w:tooltip=",  #206" w:history="1">
        <w:r w:rsidR="000839CF">
          <w:rPr>
            <w:noProof/>
          </w:rPr>
          <w:t>7</w:t>
        </w:r>
      </w:hyperlink>
      <w:r w:rsidR="002E0519">
        <w:rPr>
          <w:noProof/>
        </w:rPr>
        <w:t>)</w:t>
      </w:r>
      <w:r w:rsidR="002E0519">
        <w:fldChar w:fldCharType="end"/>
      </w:r>
      <w:r w:rsidR="00D17A58" w:rsidRPr="00F71694">
        <w:t xml:space="preserve"> </w:t>
      </w:r>
    </w:p>
    <w:p w14:paraId="49C4F029" w14:textId="6E41EF3E" w:rsidR="008667ED" w:rsidRDefault="00934E8F" w:rsidP="008667ED">
      <w:pPr>
        <w:spacing w:before="120" w:after="0"/>
      </w:pPr>
      <w:r w:rsidRPr="00F71694">
        <w:t xml:space="preserve">While there is no NICE clinical guideline specifically </w:t>
      </w:r>
      <w:r w:rsidR="008A23AF">
        <w:t xml:space="preserve">for </w:t>
      </w:r>
      <w:r w:rsidRPr="00F71694">
        <w:t xml:space="preserve">the management of patients with PsA, the NICE clinical guideline </w:t>
      </w:r>
      <w:r w:rsidR="00E52DB5" w:rsidRPr="00F71694">
        <w:t xml:space="preserve">on psoriasis </w:t>
      </w:r>
      <w:r w:rsidRPr="00F71694">
        <w:t xml:space="preserve">(NICE </w:t>
      </w:r>
      <w:r w:rsidRPr="002E0519">
        <w:t>CG153</w:t>
      </w:r>
      <w:r w:rsidR="004849F0" w:rsidRPr="002E0519">
        <w:t xml:space="preserve"> </w:t>
      </w:r>
      <w:r w:rsidR="002E0519" w:rsidRPr="002E0519">
        <w:rPr>
          <w:rFonts w:cs="Times New Roman"/>
        </w:rPr>
        <w:fldChar w:fldCharType="begin"/>
      </w:r>
      <w:r w:rsidR="002E0519" w:rsidRPr="002E0519">
        <w:rPr>
          <w:rFonts w:cs="Times New Roman"/>
        </w:rPr>
        <w:instrText xml:space="preserve"> ADDIN EN.CITE &lt;EndNote&gt;&lt;Cite&gt;&lt;RecNum&gt;207&lt;/RecNum&gt;&lt;DisplayText&gt;(8)&lt;/DisplayText&gt;&lt;record&gt;&lt;rec-number&gt;207&lt;/rec-number&gt;&lt;foreign-keys&gt;&lt;key app="EN" db-id="svtwxs2x12d223ewxf5pdxac9srd95zxdfda" timestamp="1454506018"&gt;207&lt;/key&gt;&lt;/foreign-keys&gt;&lt;ref-type name="Journal Article"&gt;17&lt;/ref-type&gt;&lt;contributors&gt;&lt;/contributors&gt;&lt;titles&gt;&lt;title&gt;CG153. Psoriasis: the assessment and management of psoriasis, October 2012. Available from: http://www.nice.org.uk/guidance/cg153/resources/guidance-psoriasis-pdf&lt;/title&gt;&lt;secondary-title&gt;National Institute for Health and Care Excellence&lt;/secondary-title&gt;&lt;/titles&gt;&lt;periodical&gt;&lt;full-title&gt;National Institute for Health and Care Excellence&lt;/full-title&gt;&lt;/periodical&gt;&lt;dates&gt;&lt;/dates&gt;&lt;urls&gt;&lt;/urls&gt;&lt;/record&gt;&lt;/Cite&gt;&lt;/EndNote&gt;</w:instrText>
      </w:r>
      <w:r w:rsidR="002E0519" w:rsidRPr="002E0519">
        <w:rPr>
          <w:rFonts w:cs="Times New Roman"/>
        </w:rPr>
        <w:fldChar w:fldCharType="separate"/>
      </w:r>
      <w:r w:rsidR="002E0519" w:rsidRPr="002E0519">
        <w:rPr>
          <w:rFonts w:cs="Times New Roman"/>
          <w:noProof/>
        </w:rPr>
        <w:t>(</w:t>
      </w:r>
      <w:hyperlink w:anchor="_ENREF_8" w:tooltip=",  #207" w:history="1">
        <w:r w:rsidR="000839CF" w:rsidRPr="002E0519">
          <w:rPr>
            <w:rFonts w:cs="Times New Roman"/>
            <w:noProof/>
          </w:rPr>
          <w:t>8</w:t>
        </w:r>
      </w:hyperlink>
      <w:r w:rsidR="002E0519" w:rsidRPr="002E0519">
        <w:rPr>
          <w:rFonts w:cs="Times New Roman"/>
          <w:noProof/>
        </w:rPr>
        <w:t>)</w:t>
      </w:r>
      <w:r w:rsidR="002E0519" w:rsidRPr="002E0519">
        <w:rPr>
          <w:rFonts w:cs="Times New Roman"/>
        </w:rPr>
        <w:fldChar w:fldCharType="end"/>
      </w:r>
      <w:r w:rsidRPr="002E0519">
        <w:t>) advises</w:t>
      </w:r>
      <w:r w:rsidRPr="00F71694">
        <w:t xml:space="preserve"> that patients with PsA should be referred to a rheumatologist and may require systemic biologic therapy, in accordance with </w:t>
      </w:r>
      <w:r w:rsidR="002B5A66" w:rsidRPr="00F71694">
        <w:t>NICE recommendations</w:t>
      </w:r>
      <w:r w:rsidRPr="00F71694">
        <w:t>. NICE provide</w:t>
      </w:r>
      <w:r w:rsidR="008A23AF">
        <w:t>s</w:t>
      </w:r>
      <w:r w:rsidRPr="00F71694">
        <w:t xml:space="preserve"> guidance on the use of the biologic therapies etanercept, </w:t>
      </w:r>
      <w:r w:rsidRPr="00F71694">
        <w:lastRenderedPageBreak/>
        <w:t>infliximab and adalimumab (TA199), and golimumab (TA220)</w:t>
      </w:r>
      <w:r w:rsidR="008A23AF">
        <w:t xml:space="preserve"> </w:t>
      </w:r>
      <w:r w:rsidR="008667ED" w:rsidRPr="008667ED">
        <w:t>for patients with active and progressive PsA</w:t>
      </w:r>
      <w:r w:rsidRPr="00F71694">
        <w:t xml:space="preserve">. </w:t>
      </w:r>
      <w:r w:rsidR="002E0519">
        <w:fldChar w:fldCharType="begin">
          <w:fldData xml:space="preserve">PEVuZE5vdGU+PENpdGU+PFJlY051bT4yMDg8L1JlY051bT48RGlzcGxheVRleHQ+KDktMTEpPC9E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</w:fldData>
        </w:fldChar>
      </w:r>
      <w:r w:rsidR="002E0519">
        <w:instrText xml:space="preserve"> ADDIN EN.CITE </w:instrText>
      </w:r>
      <w:r w:rsidR="002E0519">
        <w:fldChar w:fldCharType="begin">
          <w:fldData xml:space="preserve">PEVuZE5vdGU+PENpdGU+PFJlY051bT4yMDg8L1JlY051bT48RGlzcGxheVRleHQ+KDktMTEpPC9E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</w:fldData>
        </w:fldChar>
      </w:r>
      <w:r w:rsidR="002E0519">
        <w:instrText xml:space="preserve"> ADDIN EN.CITE.DATA </w:instrText>
      </w:r>
      <w:r w:rsidR="002E0519">
        <w:fldChar w:fldCharType="end"/>
      </w:r>
      <w:r w:rsidR="002E0519">
        <w:fldChar w:fldCharType="separate"/>
      </w:r>
      <w:r w:rsidR="002E0519">
        <w:rPr>
          <w:noProof/>
        </w:rPr>
        <w:t>(</w:t>
      </w:r>
      <w:hyperlink w:anchor="_ENREF_9" w:tooltip=",  #208" w:history="1">
        <w:r w:rsidR="000839CF">
          <w:rPr>
            <w:noProof/>
          </w:rPr>
          <w:t>9-11</w:t>
        </w:r>
      </w:hyperlink>
      <w:r w:rsidR="002E0519">
        <w:rPr>
          <w:noProof/>
        </w:rPr>
        <w:t>)</w:t>
      </w:r>
      <w:r w:rsidR="002E0519">
        <w:fldChar w:fldCharType="end"/>
      </w:r>
      <w:r w:rsidR="008667ED">
        <w:t xml:space="preserve"> </w:t>
      </w:r>
      <w:r w:rsidRPr="00F71694">
        <w:t>The use of golimumab is recommended on the assumption that this therapy is provided through a patient access scheme. Ustekinumab</w:t>
      </w:r>
      <w:r w:rsidR="008667ED">
        <w:t xml:space="preserve">, a monoclonal antibody that acts as a cytokine inhibitor by targeting interleukin (IL-12) and interleukin-23 (IL-23),  </w:t>
      </w:r>
      <w:r w:rsidRPr="00F71694">
        <w:t xml:space="preserve">is recommended </w:t>
      </w:r>
      <w:r w:rsidR="00FF4AC0" w:rsidRPr="00F71694">
        <w:t>(</w:t>
      </w:r>
      <w:r w:rsidRPr="00F71694">
        <w:t xml:space="preserve">NICE </w:t>
      </w:r>
      <w:r w:rsidR="006815C8" w:rsidRPr="00F71694">
        <w:t>TA340</w:t>
      </w:r>
      <w:r w:rsidRPr="00F71694">
        <w:t>)</w:t>
      </w:r>
      <w:r w:rsidR="006815C8" w:rsidRPr="00F71694">
        <w:t xml:space="preserve"> </w:t>
      </w:r>
      <w:r w:rsidR="008011ED">
        <w:fldChar w:fldCharType="begin"/>
      </w:r>
      <w:r w:rsidR="002E0519">
        <w:instrText xml:space="preserve"> ADDIN EN.CITE &lt;EndNote&gt;&lt;Cite&gt;&lt;Author&gt;National Institute for Health and Care Excellence&lt;/Author&gt;&lt;Year&gt;2014&lt;/Year&gt;&lt;RecNum&gt;121&lt;/RecNum&gt;&lt;DisplayText&gt;(12)&lt;/DisplayText&gt;&lt;record&gt;&lt;rec-number&gt;121&lt;/rec-number&gt;&lt;foreign-keys&gt;&lt;key app="EN" db-id="svtwxs2x12d223ewxf5pdxac9srd95zxdfda" timestamp="1424880840"&gt;121&lt;/key&gt;&lt;key app="ENWeb" db-id=""&gt;0&lt;/key&gt;&lt;/foreign-keys&gt;&lt;ref-type name="Report"&gt;27&lt;/ref-type&gt;&lt;contributors&gt;&lt;authors&gt;&lt;author&gt;National Institute for Health and Care Excellence, &lt;/author&gt;&lt;/authors&gt;&lt;/contributors&gt;&lt;titles&gt;&lt;title&gt;TA 313. Ustekinumab for treating active psoriatic arthritis&lt;/title&gt;&lt;/titles&gt;&lt;dates&gt;&lt;year&gt;2014&lt;/year&gt;&lt;/dates&gt;&lt;pub-location&gt;London&lt;/pub-location&gt;&lt;publisher&gt;National Institute for Health and Care Excellence&lt;/publisher&gt;&lt;urls&gt;&lt;related-urls&gt;&lt;url&gt;http://www.nice.org.uk/guidance/ta313/resources/guidance-ustekinumab-for-treating-active-psoriatic-arthritis-pdf&lt;/url&gt;&lt;/related-urls&gt;&lt;/urls&gt;&lt;/record&gt;&lt;/Cite&gt;&lt;/EndNote&gt;</w:instrText>
      </w:r>
      <w:r w:rsidR="008011ED">
        <w:fldChar w:fldCharType="separate"/>
      </w:r>
      <w:r w:rsidR="002E0519">
        <w:rPr>
          <w:noProof/>
        </w:rPr>
        <w:t>(</w:t>
      </w:r>
      <w:hyperlink w:anchor="_ENREF_12" w:tooltip="National Institute for Health and Care Excellence, 2014 #121" w:history="1">
        <w:r w:rsidR="000839CF">
          <w:rPr>
            <w:noProof/>
          </w:rPr>
          <w:t>12</w:t>
        </w:r>
      </w:hyperlink>
      <w:r w:rsidR="002E0519">
        <w:rPr>
          <w:noProof/>
        </w:rPr>
        <w:t>)</w:t>
      </w:r>
      <w:r w:rsidR="008011ED">
        <w:fldChar w:fldCharType="end"/>
      </w:r>
      <w:r w:rsidR="008011ED">
        <w:t xml:space="preserve"> </w:t>
      </w:r>
      <w:r w:rsidRPr="00F71694">
        <w:t xml:space="preserve">for use in </w:t>
      </w:r>
      <w:r w:rsidR="00B830DF" w:rsidRPr="00F71694">
        <w:t>subgroups</w:t>
      </w:r>
      <w:r w:rsidR="00FF4AC0" w:rsidRPr="00F71694">
        <w:t xml:space="preserve"> of</w:t>
      </w:r>
      <w:r w:rsidR="00B830DF" w:rsidRPr="00F71694">
        <w:t xml:space="preserve"> active </w:t>
      </w:r>
      <w:r w:rsidRPr="00F71694">
        <w:t xml:space="preserve">PsA </w:t>
      </w:r>
      <w:r w:rsidR="006815C8" w:rsidRPr="00F71694">
        <w:t xml:space="preserve">patients </w:t>
      </w:r>
      <w:r w:rsidR="00FF4AC0" w:rsidRPr="00F71694">
        <w:t xml:space="preserve">who </w:t>
      </w:r>
      <w:r w:rsidR="006815C8" w:rsidRPr="00F71694">
        <w:t xml:space="preserve">have had </w:t>
      </w:r>
      <w:r w:rsidR="008A23AF">
        <w:t xml:space="preserve">prior </w:t>
      </w:r>
      <w:r w:rsidR="00C54F3F">
        <w:t xml:space="preserve">TNF-α inhibitor </w:t>
      </w:r>
      <w:r w:rsidR="006815C8" w:rsidRPr="00F71694">
        <w:t xml:space="preserve">treatment or if </w:t>
      </w:r>
      <w:r w:rsidR="008A23AF">
        <w:t xml:space="preserve">they are contraindicated for </w:t>
      </w:r>
      <w:r w:rsidR="00C54F3F">
        <w:t>TNF-α inhibitors</w:t>
      </w:r>
      <w:r w:rsidR="006815C8" w:rsidRPr="00F71694">
        <w:t>.</w:t>
      </w:r>
      <w:r w:rsidR="008667ED" w:rsidRPr="008667ED">
        <w:t xml:space="preserve"> </w:t>
      </w:r>
    </w:p>
    <w:p w14:paraId="233E3089" w14:textId="77777777" w:rsidR="006815C8" w:rsidRDefault="008667ED" w:rsidP="006815C8">
      <w:pPr>
        <w:spacing w:before="120" w:after="0"/>
      </w:pPr>
      <w:r w:rsidRPr="00F71694">
        <w:t xml:space="preserve">Apremilast (Otezla®) is an oral, small molecule, targeted phosphodiesterase-4 enzyme (PDE4) inhibitor.  A positive opinion from the </w:t>
      </w:r>
      <w:r>
        <w:t xml:space="preserve">European Medicines Agency’s </w:t>
      </w:r>
      <w:r w:rsidRPr="00F71694">
        <w:t xml:space="preserve">Committee for Medicinal Products for Human Use (CHMP) was adopted in November 2014 for the use of apremilast 30 mg twice daily “alone or in combination with DMARDs, for the treatment of active PsA in adult patients who have had an inadequate response </w:t>
      </w:r>
      <w:r>
        <w:t xml:space="preserve">to </w:t>
      </w:r>
      <w:r w:rsidRPr="00F71694">
        <w:t>or who have been intolerant to DMARD therapy”.</w:t>
      </w:r>
      <w:r>
        <w:t xml:space="preserve"> </w:t>
      </w:r>
    </w:p>
    <w:p w14:paraId="23D8B0DE" w14:textId="77777777" w:rsidR="008667ED" w:rsidRPr="00F71694" w:rsidRDefault="008667ED" w:rsidP="006815C8">
      <w:pPr>
        <w:spacing w:before="120" w:after="0"/>
      </w:pPr>
    </w:p>
    <w:p w14:paraId="4B05F7DC" w14:textId="000BC048" w:rsidR="00546FEA" w:rsidRPr="00F71694" w:rsidRDefault="00D3400C" w:rsidP="00B830DF">
      <w:pPr>
        <w:spacing w:before="120" w:after="0"/>
      </w:pPr>
      <w:r w:rsidRPr="00F71694">
        <w:t xml:space="preserve">The </w:t>
      </w:r>
      <w:r w:rsidR="00546FEA" w:rsidRPr="00F71694">
        <w:t xml:space="preserve">NICE </w:t>
      </w:r>
      <w:r w:rsidRPr="00F71694">
        <w:t xml:space="preserve">final </w:t>
      </w:r>
      <w:r w:rsidR="00546FEA" w:rsidRPr="00F71694">
        <w:t>scope</w:t>
      </w:r>
      <w:r w:rsidRPr="00F71694">
        <w:t xml:space="preserve"> </w:t>
      </w:r>
      <w:r w:rsidR="008A23AF">
        <w:t xml:space="preserve">for apremilast in PsA </w:t>
      </w:r>
      <w:r w:rsidR="005366DD">
        <w:t xml:space="preserve">determined the </w:t>
      </w:r>
      <w:r w:rsidRPr="00F71694">
        <w:t xml:space="preserve">appropriate </w:t>
      </w:r>
      <w:r w:rsidR="005366DD">
        <w:t xml:space="preserve">comparators </w:t>
      </w:r>
      <w:r w:rsidR="008A23AF">
        <w:t>as</w:t>
      </w:r>
      <w:r w:rsidR="00D16A7E" w:rsidRPr="00F71694">
        <w:t>: (i)</w:t>
      </w:r>
      <w:r w:rsidR="00546FEA" w:rsidRPr="00F71694">
        <w:t xml:space="preserve"> DMARD</w:t>
      </w:r>
      <w:r w:rsidR="007D6564">
        <w:t>s</w:t>
      </w:r>
      <w:r w:rsidR="00546FEA" w:rsidRPr="00F71694">
        <w:t xml:space="preserve">, </w:t>
      </w:r>
      <w:r w:rsidR="00D16A7E" w:rsidRPr="00F71694">
        <w:t xml:space="preserve">(ii) </w:t>
      </w:r>
      <w:r w:rsidR="008667ED">
        <w:t>TNF-α inhibitors</w:t>
      </w:r>
      <w:r w:rsidR="008667ED" w:rsidRPr="00F71694" w:rsidDel="003844FB">
        <w:t xml:space="preserve"> </w:t>
      </w:r>
      <w:r w:rsidR="00546FEA" w:rsidRPr="00F71694">
        <w:t>(including etanercept, infliximab, adalimumab and golimumab), and ustekinumab [subject to NICE review outcome</w:t>
      </w:r>
      <w:r w:rsidR="00FF4AC0" w:rsidRPr="00F71694">
        <w:t xml:space="preserve"> at </w:t>
      </w:r>
      <w:r w:rsidR="002B5A66">
        <w:t xml:space="preserve">the </w:t>
      </w:r>
      <w:r w:rsidR="00FF4AC0" w:rsidRPr="00F71694">
        <w:t>time</w:t>
      </w:r>
      <w:r w:rsidR="002B5A66">
        <w:t xml:space="preserve"> of </w:t>
      </w:r>
      <w:r w:rsidR="007D6564">
        <w:t>scope development</w:t>
      </w:r>
      <w:r w:rsidR="00546FEA" w:rsidRPr="00F71694">
        <w:t xml:space="preserve">] or </w:t>
      </w:r>
      <w:r w:rsidR="00D16A7E" w:rsidRPr="00F71694">
        <w:t xml:space="preserve">(iii) </w:t>
      </w:r>
      <w:r w:rsidR="00AA5247">
        <w:t xml:space="preserve">Best Supportive </w:t>
      </w:r>
      <w:r w:rsidR="00546FEA" w:rsidRPr="00F71694">
        <w:t>Care (BSC).</w:t>
      </w:r>
      <w:r w:rsidR="002B5A66">
        <w:t xml:space="preserve"> </w:t>
      </w:r>
      <w:r w:rsidR="008A23AF">
        <w:t>However, t</w:t>
      </w:r>
      <w:r w:rsidR="00546FEA" w:rsidRPr="00F71694">
        <w:t>he comparators</w:t>
      </w:r>
      <w:r w:rsidR="005366DD">
        <w:t xml:space="preserve"> </w:t>
      </w:r>
      <w:r w:rsidR="00546FEA" w:rsidRPr="00F71694">
        <w:t xml:space="preserve">included in the </w:t>
      </w:r>
      <w:r w:rsidR="001D4DE1" w:rsidRPr="001D4DE1">
        <w:t xml:space="preserve">company submission </w:t>
      </w:r>
      <w:r w:rsidR="00546FEA" w:rsidRPr="00F71694">
        <w:t xml:space="preserve">were restricted to </w:t>
      </w:r>
      <w:r w:rsidR="008667ED">
        <w:t xml:space="preserve">TNF-α inhibitors </w:t>
      </w:r>
      <w:r w:rsidR="00546FEA" w:rsidRPr="00F71694">
        <w:t xml:space="preserve">and </w:t>
      </w:r>
      <w:r w:rsidR="008E2F02" w:rsidRPr="00F71694">
        <w:t>BSC</w:t>
      </w:r>
      <w:r w:rsidR="00546FEA" w:rsidRPr="00F71694">
        <w:t xml:space="preserve">. </w:t>
      </w:r>
      <w:r w:rsidR="007D6564" w:rsidRPr="00F71694">
        <w:t>DMARD</w:t>
      </w:r>
      <w:r w:rsidR="007D6564">
        <w:t>s</w:t>
      </w:r>
      <w:r w:rsidR="007D6564" w:rsidRPr="00F71694">
        <w:t xml:space="preserve"> </w:t>
      </w:r>
      <w:r w:rsidR="007D6564">
        <w:t>and u</w:t>
      </w:r>
      <w:r w:rsidR="00546FEA" w:rsidRPr="00F71694">
        <w:t xml:space="preserve">stekinumab </w:t>
      </w:r>
      <w:r w:rsidR="001D4DE1">
        <w:t>were</w:t>
      </w:r>
      <w:r w:rsidR="00546FEA" w:rsidRPr="00F71694">
        <w:t xml:space="preserve"> not included in the economic model. </w:t>
      </w:r>
      <w:r w:rsidR="00A1160F" w:rsidRPr="00F71694">
        <w:t xml:space="preserve">A </w:t>
      </w:r>
      <w:r w:rsidR="00A56DD4" w:rsidRPr="00F71694">
        <w:t>head-to-head comparison</w:t>
      </w:r>
      <w:r w:rsidR="00A1160F" w:rsidRPr="00F71694">
        <w:t xml:space="preserve"> of apremilast versus a single</w:t>
      </w:r>
      <w:r w:rsidR="001D4DE1">
        <w:t xml:space="preserve"> comparator was also not presented</w:t>
      </w:r>
      <w:r w:rsidR="003B5BE5" w:rsidRPr="00F71694">
        <w:t>.</w:t>
      </w:r>
      <w:r w:rsidR="00A1160F" w:rsidRPr="00F71694">
        <w:t xml:space="preserve"> Instead, t</w:t>
      </w:r>
      <w:r w:rsidR="00546FEA" w:rsidRPr="00F71694">
        <w:t xml:space="preserve">he decision problem was addressed by comparing treatment sequences with apremilast as </w:t>
      </w:r>
      <w:r w:rsidR="001124B0" w:rsidRPr="00F71694">
        <w:t>a</w:t>
      </w:r>
      <w:r w:rsidR="002B5A66">
        <w:t>n</w:t>
      </w:r>
      <w:r w:rsidR="00546FEA" w:rsidRPr="00F71694">
        <w:t xml:space="preserve"> </w:t>
      </w:r>
      <w:r w:rsidR="002B5A66" w:rsidRPr="00F71694">
        <w:t xml:space="preserve">additional </w:t>
      </w:r>
      <w:r w:rsidRPr="00F71694">
        <w:t xml:space="preserve">pre- </w:t>
      </w:r>
      <w:r w:rsidR="00834FDF">
        <w:t xml:space="preserve">TNF-α inhibitor </w:t>
      </w:r>
      <w:r w:rsidR="00546FEA" w:rsidRPr="00F71694">
        <w:t>therapy</w:t>
      </w:r>
      <w:r w:rsidR="00501733" w:rsidRPr="00F71694">
        <w:t xml:space="preserve">, </w:t>
      </w:r>
      <w:r w:rsidR="00546FEA" w:rsidRPr="00F71694">
        <w:t xml:space="preserve">rather than replacing an existing </w:t>
      </w:r>
      <w:r w:rsidR="00126121">
        <w:t>TNF-α inhibitor</w:t>
      </w:r>
      <w:r w:rsidR="00126121" w:rsidRPr="00F71694" w:rsidDel="003844FB">
        <w:t xml:space="preserve"> </w:t>
      </w:r>
      <w:r w:rsidR="00546FEA" w:rsidRPr="00F71694">
        <w:t>therapy</w:t>
      </w:r>
      <w:r w:rsidR="00501733" w:rsidRPr="00F71694">
        <w:t xml:space="preserve"> or being placed anywhere </w:t>
      </w:r>
      <w:r w:rsidR="00213E88">
        <w:t xml:space="preserve">else </w:t>
      </w:r>
      <w:r w:rsidR="00501733" w:rsidRPr="00F71694">
        <w:t xml:space="preserve">in the treatment </w:t>
      </w:r>
      <w:r w:rsidR="00546FEA" w:rsidRPr="00F71694">
        <w:t>sequence.</w:t>
      </w:r>
      <w:r w:rsidR="00A1160F" w:rsidRPr="00F71694">
        <w:t xml:space="preserve"> </w:t>
      </w:r>
    </w:p>
    <w:p w14:paraId="3F028A24" w14:textId="77777777" w:rsidR="00615B18" w:rsidRPr="00F71694" w:rsidRDefault="00615B18" w:rsidP="00571105"/>
    <w:p w14:paraId="5F7A4B09" w14:textId="77777777" w:rsidR="003046AD" w:rsidRPr="00F71694" w:rsidRDefault="003046AD" w:rsidP="00571105">
      <w:pPr>
        <w:pStyle w:val="Heading1"/>
        <w:spacing w:before="0" w:after="240"/>
        <w:rPr>
          <w:rFonts w:asciiTheme="minorHAnsi" w:hAnsiTheme="minorHAnsi" w:cs="Times New Roman"/>
          <w:color w:val="auto"/>
          <w:sz w:val="22"/>
          <w:szCs w:val="22"/>
        </w:rPr>
      </w:pPr>
      <w:r w:rsidRPr="00F71694">
        <w:rPr>
          <w:rFonts w:asciiTheme="minorHAnsi" w:hAnsiTheme="minorHAnsi" w:cs="Times New Roman"/>
          <w:color w:val="auto"/>
          <w:sz w:val="22"/>
          <w:szCs w:val="22"/>
        </w:rPr>
        <w:t xml:space="preserve">3. The Independent </w:t>
      </w:r>
      <w:r w:rsidR="005B7E1F" w:rsidRPr="00F71694">
        <w:rPr>
          <w:rFonts w:asciiTheme="minorHAnsi" w:hAnsiTheme="minorHAnsi" w:cs="Times New Roman"/>
          <w:color w:val="auto"/>
          <w:sz w:val="22"/>
          <w:szCs w:val="22"/>
        </w:rPr>
        <w:t>Evidence Review Group (</w:t>
      </w:r>
      <w:r w:rsidRPr="00F71694">
        <w:rPr>
          <w:rFonts w:asciiTheme="minorHAnsi" w:hAnsiTheme="minorHAnsi" w:cs="Times New Roman"/>
          <w:color w:val="auto"/>
          <w:sz w:val="22"/>
          <w:szCs w:val="22"/>
        </w:rPr>
        <w:t>ERG</w:t>
      </w:r>
      <w:r w:rsidR="005B7E1F" w:rsidRPr="00F71694">
        <w:rPr>
          <w:rFonts w:asciiTheme="minorHAnsi" w:hAnsiTheme="minorHAnsi" w:cs="Times New Roman"/>
          <w:color w:val="auto"/>
          <w:sz w:val="22"/>
          <w:szCs w:val="22"/>
        </w:rPr>
        <w:t>)</w:t>
      </w:r>
      <w:r w:rsidRPr="00F71694">
        <w:rPr>
          <w:rFonts w:asciiTheme="minorHAnsi" w:hAnsiTheme="minorHAnsi" w:cs="Times New Roman"/>
          <w:color w:val="auto"/>
          <w:sz w:val="22"/>
          <w:szCs w:val="22"/>
        </w:rPr>
        <w:t xml:space="preserve"> Review</w:t>
      </w:r>
    </w:p>
    <w:p w14:paraId="719D8ECE" w14:textId="77777777" w:rsidR="00F71694" w:rsidRPr="00F71694" w:rsidRDefault="00D17A58" w:rsidP="00571105">
      <w:pPr>
        <w:autoSpaceDE w:val="0"/>
        <w:autoSpaceDN w:val="0"/>
        <w:adjustRightInd w:val="0"/>
        <w:spacing w:after="0"/>
      </w:pPr>
      <w:r w:rsidRPr="00F71694">
        <w:t xml:space="preserve">The role of the ERG through </w:t>
      </w:r>
      <w:r w:rsidR="00213E88">
        <w:t>their</w:t>
      </w:r>
      <w:r w:rsidRPr="00F71694">
        <w:t xml:space="preserve"> critical review can be seen as threefold: </w:t>
      </w:r>
    </w:p>
    <w:p w14:paraId="447C5C50" w14:textId="77777777" w:rsidR="00F71694" w:rsidRPr="00F71694" w:rsidRDefault="00D17A58" w:rsidP="00F71694">
      <w:pPr>
        <w:pStyle w:val="ListParagraph"/>
        <w:numPr>
          <w:ilvl w:val="0"/>
          <w:numId w:val="10"/>
        </w:numPr>
        <w:autoSpaceDE w:val="0"/>
        <w:autoSpaceDN w:val="0"/>
        <w:adjustRightInd w:val="0"/>
        <w:spacing w:after="0"/>
      </w:pPr>
      <w:r w:rsidRPr="00F71694">
        <w:t xml:space="preserve">To assess whether the company submission conformed to the methodological guidelines issued by NICE; </w:t>
      </w:r>
    </w:p>
    <w:p w14:paraId="71EE3D0E" w14:textId="77777777" w:rsidR="00F71694" w:rsidRPr="00F71694" w:rsidRDefault="00D17A58" w:rsidP="00F71694">
      <w:pPr>
        <w:pStyle w:val="ListParagraph"/>
        <w:numPr>
          <w:ilvl w:val="0"/>
          <w:numId w:val="10"/>
        </w:numPr>
        <w:autoSpaceDE w:val="0"/>
        <w:autoSpaceDN w:val="0"/>
        <w:adjustRightInd w:val="0"/>
        <w:spacing w:after="0"/>
      </w:pPr>
      <w:r w:rsidRPr="00F71694">
        <w:t>To assess whether the company</w:t>
      </w:r>
      <w:r w:rsidR="00691D8E">
        <w:t>’s</w:t>
      </w:r>
      <w:r w:rsidRPr="00F71694">
        <w:t xml:space="preserve"> interpretation and analysis of the evidence w</w:t>
      </w:r>
      <w:r w:rsidR="00691D8E">
        <w:t>as</w:t>
      </w:r>
      <w:r w:rsidRPr="00F71694">
        <w:t xml:space="preserve"> appropriate; </w:t>
      </w:r>
    </w:p>
    <w:p w14:paraId="5BA933AD" w14:textId="77777777" w:rsidR="00147DA5" w:rsidRPr="00F71694" w:rsidRDefault="00D17A58" w:rsidP="00F71694">
      <w:pPr>
        <w:pStyle w:val="ListParagraph"/>
        <w:numPr>
          <w:ilvl w:val="0"/>
          <w:numId w:val="10"/>
        </w:numPr>
        <w:autoSpaceDE w:val="0"/>
        <w:autoSpaceDN w:val="0"/>
        <w:adjustRightInd w:val="0"/>
        <w:spacing w:after="0"/>
      </w:pPr>
      <w:r w:rsidRPr="00F71694">
        <w:t>To indicate the presence of other sources of evidence or alternative interpretations of the evidence that could help inform NICE guidance.</w:t>
      </w:r>
    </w:p>
    <w:p w14:paraId="05305BC7" w14:textId="77777777" w:rsidR="00E3028A" w:rsidRPr="00F71694" w:rsidRDefault="00E3028A" w:rsidP="00571105">
      <w:pPr>
        <w:pStyle w:val="Heading2"/>
        <w:numPr>
          <w:ilvl w:val="1"/>
          <w:numId w:val="1"/>
        </w:numPr>
        <w:spacing w:after="120"/>
        <w:rPr>
          <w:rFonts w:asciiTheme="minorHAnsi" w:hAnsiTheme="minorHAnsi" w:cs="Times New Roman"/>
          <w:color w:val="auto"/>
          <w:sz w:val="22"/>
          <w:szCs w:val="22"/>
        </w:rPr>
      </w:pPr>
      <w:r w:rsidRPr="00F71694">
        <w:rPr>
          <w:rFonts w:asciiTheme="minorHAnsi" w:hAnsiTheme="minorHAnsi" w:cs="Times New Roman"/>
          <w:color w:val="auto"/>
          <w:sz w:val="22"/>
          <w:szCs w:val="22"/>
        </w:rPr>
        <w:t>Clinical Evidence</w:t>
      </w:r>
    </w:p>
    <w:p w14:paraId="2B3D924C" w14:textId="77777777" w:rsidR="00F71694" w:rsidRDefault="00E3028A" w:rsidP="00093029">
      <w:pPr>
        <w:spacing w:after="0"/>
      </w:pPr>
      <w:r w:rsidRPr="00F71694">
        <w:t xml:space="preserve">The </w:t>
      </w:r>
      <w:r w:rsidR="002B5A66" w:rsidRPr="002B5A66">
        <w:t xml:space="preserve">company conducted a systematic review </w:t>
      </w:r>
      <w:r w:rsidRPr="00F71694">
        <w:t xml:space="preserve">evaluating the efficacy and safety of </w:t>
      </w:r>
      <w:r w:rsidR="00CD5B99" w:rsidRPr="00F71694">
        <w:t xml:space="preserve">the </w:t>
      </w:r>
      <w:r w:rsidR="00093029" w:rsidRPr="00F71694">
        <w:t>use of apremilast for the treatment of PsA</w:t>
      </w:r>
      <w:r w:rsidRPr="00F71694">
        <w:t xml:space="preserve">.  </w:t>
      </w:r>
    </w:p>
    <w:p w14:paraId="74223F81" w14:textId="77777777" w:rsidR="00F71694" w:rsidRDefault="00F71694" w:rsidP="00093029">
      <w:pPr>
        <w:spacing w:after="0"/>
      </w:pPr>
    </w:p>
    <w:p w14:paraId="60EB2628" w14:textId="77777777" w:rsidR="006D5A17" w:rsidRPr="00F71694" w:rsidRDefault="00093029" w:rsidP="00093029">
      <w:pPr>
        <w:spacing w:after="0"/>
      </w:pPr>
      <w:r w:rsidRPr="00F71694">
        <w:t xml:space="preserve">Four phase 3 RCTs and one phase 2 RCT were identified. The </w:t>
      </w:r>
      <w:r w:rsidR="00A20DD7" w:rsidRPr="00F71694">
        <w:t xml:space="preserve">three phase 3 </w:t>
      </w:r>
      <w:r w:rsidRPr="00F71694">
        <w:t xml:space="preserve">RCTs </w:t>
      </w:r>
      <w:r w:rsidR="00E63B3A" w:rsidRPr="00F71694">
        <w:t xml:space="preserve">that </w:t>
      </w:r>
      <w:r w:rsidR="00A20DD7" w:rsidRPr="00F71694">
        <w:t>met the inclusion criteria</w:t>
      </w:r>
      <w:r w:rsidR="00E63B3A" w:rsidRPr="00F71694">
        <w:t xml:space="preserve"> were</w:t>
      </w:r>
      <w:r w:rsidRPr="00F71694">
        <w:t xml:space="preserve">: PSA-002 (also known as PALACE </w:t>
      </w:r>
      <w:r w:rsidRPr="008011ED">
        <w:t>1),</w:t>
      </w:r>
      <w:r w:rsidR="003609FF">
        <w:t xml:space="preserve"> </w:t>
      </w:r>
      <w:r w:rsidR="008011ED" w:rsidRPr="008011ED">
        <w:fldChar w:fldCharType="begin"/>
      </w:r>
      <w:r w:rsidR="008011ED" w:rsidRPr="008011ED">
        <w:instrText xml:space="preserve"> ADDIN EN.CITE &lt;EndNote&gt;&lt;Cite&gt;&lt;Author&gt;Celgene Corporation&lt;/Author&gt;&lt;Year&gt;2013&lt;/Year&gt;&lt;RecNum&gt;127&lt;/RecNum&gt;&lt;DisplayText&gt;(2)&lt;/DisplayText&gt;&lt;record&gt;&lt;rec-number&gt;127&lt;/rec-number&gt;&lt;foreign-keys&gt;&lt;key app="EN" db-id="svtwxs2x12d223ewxf5pdxac9srd95zxdfda" timestamp="1424880859"&gt;127&lt;/key&gt;&lt;key app="ENWeb" db-id=""&gt;0&lt;/key&gt;&lt;/foreign-keys&gt;&lt;ref-type name="Report"&gt;27&lt;/ref-type&gt;&lt;contributors&gt;&lt;authors&gt;&lt;author&gt;Celgene Corporation,&lt;/author&gt;&lt;/authors&gt;&lt;/contributors&gt;&lt;titles&gt;&lt;title&gt;Apremilast Clinical Study Report CC-10004-PSA-02&lt;/title&gt;&lt;/titles&gt;&lt;dates&gt;&lt;year&gt;2013&lt;/year&gt;&lt;/dates&gt;&lt;pub-location&gt;New Jersey&lt;/pub-location&gt;&lt;publisher&gt;Clegene Corporation&lt;/publisher&gt;&lt;urls&gt;&lt;/urls&gt;&lt;/record&gt;&lt;/Cite&gt;&lt;/EndNote&gt;</w:instrText>
      </w:r>
      <w:r w:rsidR="008011ED" w:rsidRPr="008011ED">
        <w:fldChar w:fldCharType="separate"/>
      </w:r>
      <w:r w:rsidR="008011ED" w:rsidRPr="008011ED">
        <w:rPr>
          <w:noProof/>
        </w:rPr>
        <w:t>(</w:t>
      </w:r>
      <w:hyperlink w:anchor="_ENREF_2" w:tooltip="Celgene Corporation, 2013 #127" w:history="1">
        <w:r w:rsidR="000839CF" w:rsidRPr="008011ED">
          <w:rPr>
            <w:noProof/>
          </w:rPr>
          <w:t>2</w:t>
        </w:r>
      </w:hyperlink>
      <w:r w:rsidR="008011ED" w:rsidRPr="008011ED">
        <w:rPr>
          <w:noProof/>
        </w:rPr>
        <w:t>)</w:t>
      </w:r>
      <w:r w:rsidR="008011ED" w:rsidRPr="008011ED">
        <w:fldChar w:fldCharType="end"/>
      </w:r>
      <w:r w:rsidRPr="00F71694">
        <w:t xml:space="preserve"> PSA-003 (PALACE 2),</w:t>
      </w:r>
      <w:r w:rsidR="008011ED">
        <w:t xml:space="preserve"> </w:t>
      </w:r>
      <w:r w:rsidR="008011ED">
        <w:fldChar w:fldCharType="begin"/>
      </w:r>
      <w:r w:rsidR="008011ED">
        <w:instrText xml:space="preserve"> ADDIN EN.CITE &lt;EndNote&gt;&lt;Cite&gt;&lt;Author&gt;Celgene Corporation&lt;/Author&gt;&lt;Year&gt;2013&lt;/Year&gt;&lt;RecNum&gt;128&lt;/RecNum&gt;&lt;DisplayText&gt;(3)&lt;/DisplayText&gt;&lt;record&gt;&lt;rec-number&gt;128&lt;/rec-number&gt;&lt;foreign-keys&gt;&lt;key app="EN" db-id="svtwxs2x12d223ewxf5pdxac9srd95zxdfda" timestamp="1424880892"&gt;128&lt;/key&gt;&lt;key app="ENWeb" db-id=""&gt;0&lt;/key&gt;&lt;/foreign-keys&gt;&lt;ref-type name="Report"&gt;27&lt;/ref-type&gt;&lt;contributors&gt;&lt;authors&gt;&lt;author&gt;Celgene Corporation,&lt;/author&gt;&lt;/authors&gt;&lt;/contributors&gt;&lt;titles&gt;&lt;title&gt;Apremilast Clinical Study Report CC-10004-PSA-003&lt;/title&gt;&lt;/titles&gt;&lt;dates&gt;&lt;year&gt;2013&lt;/year&gt;&lt;/dates&gt;&lt;pub-location&gt;New Jersey&lt;/pub-location&gt;&lt;publisher&gt;Celgene Corporation&lt;/publisher&gt;&lt;urls&gt;&lt;/urls&gt;&lt;/record&gt;&lt;/Cite&gt;&lt;/EndNote&gt;</w:instrText>
      </w:r>
      <w:r w:rsidR="008011ED">
        <w:fldChar w:fldCharType="separate"/>
      </w:r>
      <w:r w:rsidR="008011ED">
        <w:rPr>
          <w:noProof/>
        </w:rPr>
        <w:t>(</w:t>
      </w:r>
      <w:hyperlink w:anchor="_ENREF_3" w:tooltip="Celgene Corporation, 2013 #128" w:history="1">
        <w:r w:rsidR="000839CF">
          <w:rPr>
            <w:noProof/>
          </w:rPr>
          <w:t>3</w:t>
        </w:r>
      </w:hyperlink>
      <w:r w:rsidR="008011ED">
        <w:rPr>
          <w:noProof/>
        </w:rPr>
        <w:t>)</w:t>
      </w:r>
      <w:r w:rsidR="008011ED">
        <w:fldChar w:fldCharType="end"/>
      </w:r>
      <w:r w:rsidRPr="00F71694">
        <w:t xml:space="preserve"> and PSA-004 (PALACE 3).</w:t>
      </w:r>
      <w:r w:rsidR="002F6709">
        <w:t xml:space="preserve"> </w:t>
      </w:r>
      <w:r w:rsidR="008011ED">
        <w:fldChar w:fldCharType="begin"/>
      </w:r>
      <w:r w:rsidR="008011ED">
        <w:instrText xml:space="preserve"> ADDIN EN.CITE &lt;EndNote&gt;&lt;Cite&gt;&lt;Author&gt;Celgene Corporation&lt;/Author&gt;&lt;Year&gt;2013&lt;/Year&gt;&lt;RecNum&gt;129&lt;/RecNum&gt;&lt;DisplayText&gt;(4)&lt;/DisplayText&gt;&lt;record&gt;&lt;rec-number&gt;129&lt;/rec-number&gt;&lt;foreign-keys&gt;&lt;key app="EN" db-id="svtwxs2x12d223ewxf5pdxac9srd95zxdfda" timestamp="1424880906"&gt;129&lt;/key&gt;&lt;key app="ENWeb" db-id=""&gt;0&lt;/key&gt;&lt;/foreign-keys&gt;&lt;ref-type name="Report"&gt;27&lt;/ref-type&gt;&lt;contributors&gt;&lt;authors&gt;&lt;author&gt;Celgene Corporation, &lt;/author&gt;&lt;/authors&gt;&lt;/contributors&gt;&lt;titles&gt;&lt;title&gt;Apremilast Clinical Study Report CC-10004-PSA-004&lt;/title&gt;&lt;/titles&gt;&lt;dates&gt;&lt;year&gt;2013&lt;/year&gt;&lt;/dates&gt;&lt;pub-location&gt;New Jersey&lt;/pub-location&gt;&lt;publisher&gt;Celgene Corporation&lt;/publisher&gt;&lt;urls&gt;&lt;/urls&gt;&lt;/record&gt;&lt;/Cite&gt;&lt;/EndNote&gt;</w:instrText>
      </w:r>
      <w:r w:rsidR="008011ED">
        <w:fldChar w:fldCharType="separate"/>
      </w:r>
      <w:r w:rsidR="008011ED">
        <w:rPr>
          <w:noProof/>
        </w:rPr>
        <w:t>(</w:t>
      </w:r>
      <w:hyperlink w:anchor="_ENREF_4" w:tooltip="Celgene Corporation, 2013 #129" w:history="1">
        <w:r w:rsidR="000839CF">
          <w:rPr>
            <w:noProof/>
          </w:rPr>
          <w:t>4</w:t>
        </w:r>
      </w:hyperlink>
      <w:r w:rsidR="008011ED">
        <w:rPr>
          <w:noProof/>
        </w:rPr>
        <w:t>)</w:t>
      </w:r>
      <w:r w:rsidR="008011ED">
        <w:fldChar w:fldCharType="end"/>
      </w:r>
      <w:r w:rsidRPr="00F71694">
        <w:t xml:space="preserve"> All three trials compared apremilast 20mg </w:t>
      </w:r>
      <w:r w:rsidR="003F72CE" w:rsidRPr="00F71694">
        <w:t>twice daily</w:t>
      </w:r>
      <w:r w:rsidRPr="00F71694">
        <w:t xml:space="preserve"> versus apremilast 30mg </w:t>
      </w:r>
      <w:r w:rsidR="00213E88">
        <w:t>twice da</w:t>
      </w:r>
      <w:r w:rsidR="005366DD">
        <w:t>i</w:t>
      </w:r>
      <w:r w:rsidR="00213E88">
        <w:t>ly</w:t>
      </w:r>
      <w:r w:rsidR="00213E88" w:rsidRPr="00F71694">
        <w:t xml:space="preserve"> </w:t>
      </w:r>
      <w:r w:rsidR="00A06EAD">
        <w:t xml:space="preserve">(bid) </w:t>
      </w:r>
      <w:r w:rsidRPr="00F71694">
        <w:t xml:space="preserve">versus placebo. </w:t>
      </w:r>
      <w:r w:rsidR="007E4C21" w:rsidRPr="00F71694">
        <w:t>A</w:t>
      </w:r>
      <w:r w:rsidRPr="00F71694">
        <w:t xml:space="preserve"> pooled </w:t>
      </w:r>
      <w:r w:rsidR="007E4C21" w:rsidRPr="00F71694">
        <w:t xml:space="preserve">analysis </w:t>
      </w:r>
      <w:r w:rsidRPr="00F71694">
        <w:t>from these three trials was also identified. The PALACE 4 (PSA-005)</w:t>
      </w:r>
      <w:r w:rsidR="003609FF">
        <w:t xml:space="preserve"> </w:t>
      </w:r>
      <w:r w:rsidR="008011ED">
        <w:fldChar w:fldCharType="begin"/>
      </w:r>
      <w:r w:rsidR="002E0519">
        <w:instrText xml:space="preserve"> ADDIN EN.CITE &lt;EndNote&gt;&lt;Cite&gt;&lt;Author&gt;Wells&lt;/Author&gt;&lt;Year&gt;2013&lt;/Year&gt;&lt;RecNum&gt;174&lt;/RecNum&gt;&lt;DisplayText&gt;(13)&lt;/DisplayText&gt;&lt;record&gt;&lt;rec-number&gt;174&lt;/rec-number&gt;&lt;foreign-keys&gt;&lt;key app="EN" db-id="svtwxs2x12d223ewxf5pdxac9srd95zxdfda" timestamp="1424881223"&gt;174&lt;/key&gt;&lt;key app="ENWeb" db-id=""&gt;0&lt;/key&gt;&lt;/foreign-keys&gt;&lt;ref-type name="Journal Article"&gt;17&lt;/ref-type&gt;&lt;contributors&gt;&lt;authors&gt;&lt;author&gt;Wells, A F&lt;/author&gt;&lt;author&gt;Edwards, C J&lt;/author&gt;&lt;author&gt;Adebajo, A O &lt;/author&gt;&lt;author&gt;Kivitz, A J&lt;/author&gt;&lt;author&gt;Bird, P&lt;/author&gt;&lt;author&gt;Shah, K&lt;/author&gt;&lt;author&gt;Hu, C&lt;/author&gt;&lt;/authors&gt;&lt;/contributors&gt;&lt;titles&gt;&lt;title&gt;Apremilast in the treatment of DMARD-naive psoriatic arthritis patients: results of a phase 3 randomized, controlled trial (PALACE 4)&lt;/title&gt;&lt;secondary-title&gt;Arthritis Rheum&lt;/secondary-title&gt;&lt;/titles&gt;&lt;periodical&gt;&lt;full-title&gt;Arthritis &amp;amp; Rheumatism&lt;/full-title&gt;&lt;abbr-1&gt;Arthritis Rheum&lt;/abbr-1&gt;&lt;/periodical&gt;&lt;pages&gt;3320-21&lt;/pages&gt;&lt;volume&gt;65&lt;/volume&gt;&lt;dates&gt;&lt;year&gt;2013&lt;/year&gt;&lt;/dates&gt;&lt;urls&gt;&lt;/urls&gt;&lt;electronic-resource-num&gt;10.1002/&lt;/electronic-resource-num&gt;&lt;/record&gt;&lt;/Cite&gt;&lt;/EndNote&gt;</w:instrText>
      </w:r>
      <w:r w:rsidR="008011ED">
        <w:fldChar w:fldCharType="separate"/>
      </w:r>
      <w:r w:rsidR="002E0519">
        <w:rPr>
          <w:noProof/>
        </w:rPr>
        <w:t>(</w:t>
      </w:r>
      <w:hyperlink w:anchor="_ENREF_13" w:tooltip="Wells, 2013 #174" w:history="1">
        <w:r w:rsidR="000839CF">
          <w:rPr>
            <w:noProof/>
          </w:rPr>
          <w:t>13</w:t>
        </w:r>
      </w:hyperlink>
      <w:r w:rsidR="002E0519">
        <w:rPr>
          <w:noProof/>
        </w:rPr>
        <w:t>)</w:t>
      </w:r>
      <w:r w:rsidR="008011ED">
        <w:fldChar w:fldCharType="end"/>
      </w:r>
      <w:r w:rsidR="008011ED">
        <w:rPr>
          <w:rFonts w:cs="Times New Roman"/>
        </w:rPr>
        <w:t xml:space="preserve"> </w:t>
      </w:r>
      <w:r w:rsidR="00E71F66" w:rsidRPr="00F71694">
        <w:t>study</w:t>
      </w:r>
      <w:r w:rsidRPr="00F71694">
        <w:t xml:space="preserve"> was excluded as the population had received no prior DMARD therapy, and the Schett trial (PSA-001)</w:t>
      </w:r>
      <w:r w:rsidR="003609FF">
        <w:t xml:space="preserve"> </w:t>
      </w:r>
      <w:r w:rsidR="008011ED">
        <w:fldChar w:fldCharType="begin">
          <w:fldData xml:space="preserve">PEVuZE5vdGU+PENpdGU+PEF1dGhvcj5TY2hldHQ8L0F1dGhvcj48WWVhcj4yMDEyPC9ZZWFyPjxS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</w:fldData>
        </w:fldChar>
      </w:r>
      <w:r w:rsidR="002E0519">
        <w:instrText xml:space="preserve"> ADDIN EN.CITE </w:instrText>
      </w:r>
      <w:r w:rsidR="002E0519">
        <w:fldChar w:fldCharType="begin">
          <w:fldData xml:space="preserve">PEVuZE5vdGU+PENpdGU+PEF1dGhvcj5TY2hldHQ8L0F1dGhvcj48WWVhcj4yMDEyPC9ZZWFyPjxS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</w:fldData>
        </w:fldChar>
      </w:r>
      <w:r w:rsidR="002E0519">
        <w:instrText xml:space="preserve"> ADDIN EN.CITE.DATA </w:instrText>
      </w:r>
      <w:r w:rsidR="002E0519">
        <w:fldChar w:fldCharType="end"/>
      </w:r>
      <w:r w:rsidR="008011ED">
        <w:fldChar w:fldCharType="separate"/>
      </w:r>
      <w:r w:rsidR="002E0519">
        <w:rPr>
          <w:noProof/>
        </w:rPr>
        <w:t>(</w:t>
      </w:r>
      <w:hyperlink w:anchor="_ENREF_14" w:tooltip="Schett, 2012 #153" w:history="1">
        <w:r w:rsidR="000839CF">
          <w:rPr>
            <w:noProof/>
          </w:rPr>
          <w:t>14</w:t>
        </w:r>
      </w:hyperlink>
      <w:r w:rsidR="002E0519">
        <w:rPr>
          <w:noProof/>
        </w:rPr>
        <w:t>)</w:t>
      </w:r>
      <w:r w:rsidR="008011ED">
        <w:fldChar w:fldCharType="end"/>
      </w:r>
      <w:r w:rsidRPr="00F71694">
        <w:t xml:space="preserve"> was excluded as it did not investigate the licensed dose.</w:t>
      </w:r>
      <w:r w:rsidR="006D5A17" w:rsidRPr="00F71694">
        <w:t xml:space="preserve"> Trials of </w:t>
      </w:r>
      <w:r w:rsidR="006D5A17" w:rsidRPr="00F71694">
        <w:lastRenderedPageBreak/>
        <w:t xml:space="preserve">apremilast in psoriasis (PSOR 008 </w:t>
      </w:r>
      <w:r w:rsidR="008011ED">
        <w:fldChar w:fldCharType="begin"/>
      </w:r>
      <w:r w:rsidR="002E0519">
        <w:instrText xml:space="preserve"> ADDIN EN.CITE &lt;EndNote&gt;&lt;Cite&gt;&lt;Author&gt;Celgene Corporation&lt;/Author&gt;&lt;Year&gt;2013&lt;/Year&gt;&lt;RecNum&gt;138&lt;/RecNum&gt;&lt;DisplayText&gt;(15)&lt;/DisplayText&gt;&lt;record&gt;&lt;rec-number&gt;138&lt;/rec-number&gt;&lt;foreign-keys&gt;&lt;key app="EN" db-id="svtwxs2x12d223ewxf5pdxac9srd95zxdfda" timestamp="1424880993"&gt;138&lt;/key&gt;&lt;key app="ENWeb" db-id=""&gt;0&lt;/key&gt;&lt;/foreign-keys&gt;&lt;ref-type name="Report"&gt;27&lt;/ref-type&gt;&lt;contributors&gt;&lt;authors&gt;&lt;author&gt;Celgene Corporation, &lt;/author&gt;&lt;/authors&gt;&lt;/contributors&gt;&lt;titles&gt;&lt;title&gt;Apremilast Clinical Study Report CC-10004-PSOR-008&lt;/title&gt;&lt;/titles&gt;&lt;dates&gt;&lt;year&gt;2013&lt;/year&gt;&lt;/dates&gt;&lt;pub-location&gt;New Jersey&lt;/pub-location&gt;&lt;publisher&gt;Clegene Corporation&lt;/publisher&gt;&lt;urls&gt;&lt;/urls&gt;&lt;/record&gt;&lt;/Cite&gt;&lt;/EndNote&gt;</w:instrText>
      </w:r>
      <w:r w:rsidR="008011ED">
        <w:fldChar w:fldCharType="separate"/>
      </w:r>
      <w:r w:rsidR="002E0519">
        <w:rPr>
          <w:noProof/>
        </w:rPr>
        <w:t>(</w:t>
      </w:r>
      <w:hyperlink w:anchor="_ENREF_15" w:tooltip="Celgene Corporation, 2013 #138" w:history="1">
        <w:r w:rsidR="000839CF">
          <w:rPr>
            <w:noProof/>
          </w:rPr>
          <w:t>15</w:t>
        </w:r>
      </w:hyperlink>
      <w:r w:rsidR="002E0519">
        <w:rPr>
          <w:noProof/>
        </w:rPr>
        <w:t>)</w:t>
      </w:r>
      <w:r w:rsidR="008011ED">
        <w:fldChar w:fldCharType="end"/>
      </w:r>
      <w:r w:rsidR="006D5A17" w:rsidRPr="00F71694">
        <w:t>and PSOR 009</w:t>
      </w:r>
      <w:r w:rsidR="008011ED">
        <w:rPr>
          <w:rFonts w:cs="Times New Roman"/>
        </w:rPr>
        <w:t xml:space="preserve"> </w:t>
      </w:r>
      <w:r w:rsidR="008011ED">
        <w:rPr>
          <w:rFonts w:cs="Times New Roman"/>
        </w:rPr>
        <w:fldChar w:fldCharType="begin"/>
      </w:r>
      <w:r w:rsidR="002E0519">
        <w:rPr>
          <w:rFonts w:cs="Times New Roman"/>
        </w:rPr>
        <w:instrText xml:space="preserve"> ADDIN EN.CITE &lt;EndNote&gt;&lt;Cite&gt;&lt;Author&gt;Celgene Corporation&lt;/Author&gt;&lt;Year&gt;2013&lt;/Year&gt;&lt;RecNum&gt;139&lt;/RecNum&gt;&lt;DisplayText&gt;(16)&lt;/DisplayText&gt;&lt;record&gt;&lt;rec-number&gt;139&lt;/rec-number&gt;&lt;foreign-keys&gt;&lt;key app="EN" db-id="svtwxs2x12d223ewxf5pdxac9srd95zxdfda" timestamp="1424881031"&gt;139&lt;/key&gt;&lt;key app="ENWeb" db-id=""&gt;0&lt;/key&gt;&lt;/foreign-keys&gt;&lt;ref-type name="Report"&gt;27&lt;/ref-type&gt;&lt;contributors&gt;&lt;authors&gt;&lt;author&gt;Celgene Corporation,&lt;/author&gt;&lt;/authors&gt;&lt;/contributors&gt;&lt;titles&gt;&lt;title&gt;Apremilast Clinical Study Report CC-10004-PSOR-009&lt;/title&gt;&lt;/titles&gt;&lt;dates&gt;&lt;year&gt;2013&lt;/year&gt;&lt;/dates&gt;&lt;pub-location&gt;New Jersey&lt;/pub-location&gt;&lt;publisher&gt;Celgene Corporation&lt;/publisher&gt;&lt;urls&gt;&lt;/urls&gt;&lt;/record&gt;&lt;/Cite&gt;&lt;/EndNote&gt;</w:instrText>
      </w:r>
      <w:r w:rsidR="008011ED">
        <w:rPr>
          <w:rFonts w:cs="Times New Roman"/>
        </w:rPr>
        <w:fldChar w:fldCharType="separate"/>
      </w:r>
      <w:r w:rsidR="002E0519">
        <w:rPr>
          <w:rFonts w:cs="Times New Roman"/>
          <w:noProof/>
        </w:rPr>
        <w:t>(</w:t>
      </w:r>
      <w:hyperlink w:anchor="_ENREF_16" w:tooltip="Celgene Corporation, 2013 #139" w:history="1">
        <w:r w:rsidR="000839CF">
          <w:rPr>
            <w:rFonts w:cs="Times New Roman"/>
            <w:noProof/>
          </w:rPr>
          <w:t>16</w:t>
        </w:r>
      </w:hyperlink>
      <w:r w:rsidR="002E0519">
        <w:rPr>
          <w:rFonts w:cs="Times New Roman"/>
          <w:noProof/>
        </w:rPr>
        <w:t>)</w:t>
      </w:r>
      <w:r w:rsidR="008011ED">
        <w:rPr>
          <w:rFonts w:cs="Times New Roman"/>
        </w:rPr>
        <w:fldChar w:fldCharType="end"/>
      </w:r>
      <w:r w:rsidR="006D5A17" w:rsidRPr="00F71694">
        <w:t xml:space="preserve">) were included as supporting evidence of apremilast’s tolerability and safety. </w:t>
      </w:r>
    </w:p>
    <w:p w14:paraId="3823B4C2" w14:textId="77777777" w:rsidR="006D5A17" w:rsidRPr="00F71694" w:rsidRDefault="006D5A17" w:rsidP="00093029">
      <w:pPr>
        <w:spacing w:after="0"/>
      </w:pPr>
    </w:p>
    <w:p w14:paraId="4CDA435A" w14:textId="6D5C2F9C" w:rsidR="00A20DD7" w:rsidRPr="00F71694" w:rsidRDefault="00A20DD7" w:rsidP="00093029">
      <w:pPr>
        <w:spacing w:after="0"/>
      </w:pPr>
      <w:r w:rsidRPr="00F71694">
        <w:t xml:space="preserve">All three </w:t>
      </w:r>
      <w:r w:rsidR="00E63B3A" w:rsidRPr="00F71694">
        <w:t xml:space="preserve">included </w:t>
      </w:r>
      <w:r w:rsidRPr="00F71694">
        <w:t xml:space="preserve">trials were international, parallel-group studies </w:t>
      </w:r>
      <w:r w:rsidR="00E63B3A" w:rsidRPr="00F71694">
        <w:t xml:space="preserve">of similar design, </w:t>
      </w:r>
      <w:r w:rsidRPr="00F71694">
        <w:t xml:space="preserve">with two active treatment groups (apremilast 20 mg bid and apremilast 30 mg bid) and a placebo group. </w:t>
      </w:r>
      <w:r w:rsidR="000E36A9" w:rsidRPr="00F71694">
        <w:t xml:space="preserve">Baseline characteristics were very similar across </w:t>
      </w:r>
      <w:r w:rsidR="00E63B3A" w:rsidRPr="00F71694">
        <w:t>studies</w:t>
      </w:r>
      <w:r w:rsidR="000E36A9" w:rsidRPr="00F71694">
        <w:t xml:space="preserve">. </w:t>
      </w:r>
      <w:r w:rsidRPr="00F71694">
        <w:t>Although the trials were randomised until week 24, randomised comparisons with placebo were on</w:t>
      </w:r>
      <w:r w:rsidR="002505C0" w:rsidRPr="00F71694">
        <w:t>ly available up to week 16. At w</w:t>
      </w:r>
      <w:r w:rsidRPr="00F71694">
        <w:t xml:space="preserve">eek 16, all patients in the placebo group </w:t>
      </w:r>
      <w:r w:rsidR="002505C0" w:rsidRPr="00F71694">
        <w:t xml:space="preserve">with inadequate response </w:t>
      </w:r>
      <w:r w:rsidRPr="00F71694">
        <w:t>were required to enter early escape to blinded active treatment</w:t>
      </w:r>
      <w:r w:rsidR="00033FAE" w:rsidRPr="00033FAE">
        <w:t xml:space="preserve"> (re-randomised 1:1 to apremilast 20 </w:t>
      </w:r>
      <w:r w:rsidR="00033FAE">
        <w:t>mg bid or apremilast 30 mg bid)</w:t>
      </w:r>
      <w:r w:rsidR="00C67949" w:rsidRPr="00F71694">
        <w:t>. A</w:t>
      </w:r>
      <w:r w:rsidRPr="00F71694">
        <w:t xml:space="preserve">t </w:t>
      </w:r>
      <w:r w:rsidR="002505C0" w:rsidRPr="00F71694">
        <w:t>w</w:t>
      </w:r>
      <w:r w:rsidRPr="00F71694">
        <w:t xml:space="preserve">eek 24, all remaining patients in the placebo group were re-randomised to apremilast 20 mg bid or apremilast 30 mg bid. After week 24, 4.5 year long-term safety phases were planned. In the </w:t>
      </w:r>
      <w:r w:rsidR="00A05756">
        <w:t>manufacturer submission</w:t>
      </w:r>
      <w:r w:rsidRPr="00F71694">
        <w:t xml:space="preserve">, PSA-002 </w:t>
      </w:r>
      <w:r w:rsidR="003609FF">
        <w:fldChar w:fldCharType="begin"/>
      </w:r>
      <w:r w:rsidR="003609FF">
        <w:instrText xml:space="preserve"> ADDIN EN.CITE &lt;EndNote&gt;&lt;Cite&gt;&lt;Author&gt;Celgene Corporation&lt;/Author&gt;&lt;Year&gt;2013&lt;/Year&gt;&lt;RecNum&gt;127&lt;/RecNum&gt;&lt;DisplayText&gt;(2)&lt;/DisplayText&gt;&lt;record&gt;&lt;rec-number&gt;127&lt;/rec-number&gt;&lt;foreign-keys&gt;&lt;key app="EN" db-id="svtwxs2x12d223ewxf5pdxac9srd95zxdfda" timestamp="1424880859"&gt;127&lt;/key&gt;&lt;key app="ENWeb" db-id=""&gt;0&lt;/key&gt;&lt;/foreign-keys&gt;&lt;ref-type name="Report"&gt;27&lt;/ref-type&gt;&lt;contributors&gt;&lt;authors&gt;&lt;author&gt;Celgene Corporation,&lt;/author&gt;&lt;/authors&gt;&lt;/contributors&gt;&lt;titles&gt;&lt;title&gt;Apremilast Clinical Study Report CC-10004-PSA-02&lt;/title&gt;&lt;/titles&gt;&lt;dates&gt;&lt;year&gt;2013&lt;/year&gt;&lt;/dates&gt;&lt;pub-location&gt;New Jersey&lt;/pub-location&gt;&lt;publisher&gt;Clegene Corporation&lt;/publisher&gt;&lt;urls&gt;&lt;/urls&gt;&lt;/record&gt;&lt;/Cite&gt;&lt;/EndNote&gt;</w:instrText>
      </w:r>
      <w:r w:rsidR="003609FF">
        <w:fldChar w:fldCharType="separate"/>
      </w:r>
      <w:r w:rsidR="003609FF">
        <w:rPr>
          <w:noProof/>
        </w:rPr>
        <w:t>(</w:t>
      </w:r>
      <w:hyperlink w:anchor="_ENREF_2" w:tooltip="Celgene Corporation, 2013 #127" w:history="1">
        <w:r w:rsidR="000839CF">
          <w:rPr>
            <w:noProof/>
          </w:rPr>
          <w:t>2</w:t>
        </w:r>
      </w:hyperlink>
      <w:r w:rsidR="003609FF">
        <w:rPr>
          <w:noProof/>
        </w:rPr>
        <w:t>)</w:t>
      </w:r>
      <w:r w:rsidR="003609FF">
        <w:fldChar w:fldCharType="end"/>
      </w:r>
      <w:r w:rsidR="003609FF">
        <w:t xml:space="preserve"> </w:t>
      </w:r>
      <w:r w:rsidR="00213E88">
        <w:t>reported</w:t>
      </w:r>
      <w:r w:rsidR="00213E88" w:rsidRPr="00F71694">
        <w:t xml:space="preserve"> </w:t>
      </w:r>
      <w:r w:rsidR="00E63B3A" w:rsidRPr="00F71694">
        <w:t>follow up data up to 104 weeks</w:t>
      </w:r>
      <w:r w:rsidRPr="00F71694">
        <w:t xml:space="preserve"> and PSA-003</w:t>
      </w:r>
      <w:r w:rsidR="003609FF">
        <w:rPr>
          <w:rFonts w:cs="Times New Roman"/>
        </w:rPr>
        <w:t xml:space="preserve"> </w:t>
      </w:r>
      <w:r w:rsidR="003609FF">
        <w:rPr>
          <w:rFonts w:cs="Times New Roman"/>
        </w:rPr>
        <w:fldChar w:fldCharType="begin"/>
      </w:r>
      <w:r w:rsidR="003609FF">
        <w:rPr>
          <w:rFonts w:cs="Times New Roman"/>
        </w:rPr>
        <w:instrText xml:space="preserve"> ADDIN EN.CITE &lt;EndNote&gt;&lt;Cite&gt;&lt;Author&gt;Celgene Corporation&lt;/Author&gt;&lt;Year&gt;2013&lt;/Year&gt;&lt;RecNum&gt;128&lt;/RecNum&gt;&lt;DisplayText&gt;(3)&lt;/DisplayText&gt;&lt;record&gt;&lt;rec-number&gt;128&lt;/rec-number&gt;&lt;foreign-keys&gt;&lt;key app="EN" db-id="svtwxs2x12d223ewxf5pdxac9srd95zxdfda" timestamp="1424880892"&gt;128&lt;/key&gt;&lt;key app="ENWeb" db-id=""&gt;0&lt;/key&gt;&lt;/foreign-keys&gt;&lt;ref-type name="Report"&gt;27&lt;/ref-type&gt;&lt;contributors&gt;&lt;authors&gt;&lt;author&gt;Celgene Corporation,&lt;/author&gt;&lt;/authors&gt;&lt;/contributors&gt;&lt;titles&gt;&lt;title&gt;Apremilast Clinical Study Report CC-10004-PSA-003&lt;/title&gt;&lt;/titles&gt;&lt;dates&gt;&lt;year&gt;2013&lt;/year&gt;&lt;/dates&gt;&lt;pub-location&gt;New Jersey&lt;/pub-location&gt;&lt;publisher&gt;Celgene Corporation&lt;/publisher&gt;&lt;urls&gt;&lt;/urls&gt;&lt;/record&gt;&lt;/Cite&gt;&lt;/EndNote&gt;</w:instrText>
      </w:r>
      <w:r w:rsidR="003609FF">
        <w:rPr>
          <w:rFonts w:cs="Times New Roman"/>
        </w:rPr>
        <w:fldChar w:fldCharType="separate"/>
      </w:r>
      <w:r w:rsidR="003609FF">
        <w:rPr>
          <w:rFonts w:cs="Times New Roman"/>
          <w:noProof/>
        </w:rPr>
        <w:t>(</w:t>
      </w:r>
      <w:hyperlink w:anchor="_ENREF_3" w:tooltip="Celgene Corporation, 2013 #128" w:history="1">
        <w:r w:rsidR="000839CF">
          <w:rPr>
            <w:rFonts w:cs="Times New Roman"/>
            <w:noProof/>
          </w:rPr>
          <w:t>3</w:t>
        </w:r>
      </w:hyperlink>
      <w:r w:rsidR="003609FF">
        <w:rPr>
          <w:rFonts w:cs="Times New Roman"/>
          <w:noProof/>
        </w:rPr>
        <w:t>)</w:t>
      </w:r>
      <w:r w:rsidR="003609FF">
        <w:rPr>
          <w:rFonts w:cs="Times New Roman"/>
        </w:rPr>
        <w:fldChar w:fldCharType="end"/>
      </w:r>
      <w:r w:rsidRPr="00F71694">
        <w:t xml:space="preserve">and PSA-004 </w:t>
      </w:r>
      <w:r w:rsidR="003609FF">
        <w:fldChar w:fldCharType="begin"/>
      </w:r>
      <w:r w:rsidR="003609FF">
        <w:instrText xml:space="preserve"> ADDIN EN.CITE &lt;EndNote&gt;&lt;Cite&gt;&lt;Author&gt;Celgene Corporation&lt;/Author&gt;&lt;Year&gt;2013&lt;/Year&gt;&lt;RecNum&gt;129&lt;/RecNum&gt;&lt;DisplayText&gt;(4)&lt;/DisplayText&gt;&lt;record&gt;&lt;rec-number&gt;129&lt;/rec-number&gt;&lt;foreign-keys&gt;&lt;key app="EN" db-id="svtwxs2x12d223ewxf5pdxac9srd95zxdfda" timestamp="1424880906"&gt;129&lt;/key&gt;&lt;key app="ENWeb" db-id=""&gt;0&lt;/key&gt;&lt;/foreign-keys&gt;&lt;ref-type name="Report"&gt;27&lt;/ref-type&gt;&lt;contributors&gt;&lt;authors&gt;&lt;author&gt;Celgene Corporation, &lt;/author&gt;&lt;/authors&gt;&lt;/contributors&gt;&lt;titles&gt;&lt;title&gt;Apremilast Clinical Study Report CC-10004-PSA-004&lt;/title&gt;&lt;/titles&gt;&lt;dates&gt;&lt;year&gt;2013&lt;/year&gt;&lt;/dates&gt;&lt;pub-location&gt;New Jersey&lt;/pub-location&gt;&lt;publisher&gt;Celgene Corporation&lt;/publisher&gt;&lt;urls&gt;&lt;/urls&gt;&lt;/record&gt;&lt;/Cite&gt;&lt;/EndNote&gt;</w:instrText>
      </w:r>
      <w:r w:rsidR="003609FF">
        <w:fldChar w:fldCharType="separate"/>
      </w:r>
      <w:r w:rsidR="003609FF">
        <w:rPr>
          <w:noProof/>
        </w:rPr>
        <w:t>(</w:t>
      </w:r>
      <w:hyperlink w:anchor="_ENREF_4" w:tooltip="Celgene Corporation, 2013 #129" w:history="1">
        <w:r w:rsidR="000839CF">
          <w:rPr>
            <w:noProof/>
          </w:rPr>
          <w:t>4</w:t>
        </w:r>
      </w:hyperlink>
      <w:r w:rsidR="003609FF">
        <w:rPr>
          <w:noProof/>
        </w:rPr>
        <w:t>)</w:t>
      </w:r>
      <w:r w:rsidR="003609FF">
        <w:fldChar w:fldCharType="end"/>
      </w:r>
      <w:r w:rsidR="002F6709">
        <w:t xml:space="preserve"> </w:t>
      </w:r>
      <w:r w:rsidR="00213E88">
        <w:t>reported</w:t>
      </w:r>
      <w:r w:rsidR="00213E88" w:rsidRPr="00F71694">
        <w:t xml:space="preserve"> </w:t>
      </w:r>
      <w:r w:rsidRPr="00F71694">
        <w:t>follow up data up to 52 weeks.</w:t>
      </w:r>
    </w:p>
    <w:p w14:paraId="6C56BB78" w14:textId="77777777" w:rsidR="00C67949" w:rsidRPr="00F71694" w:rsidRDefault="00C67949" w:rsidP="00093029">
      <w:pPr>
        <w:spacing w:after="0"/>
      </w:pPr>
    </w:p>
    <w:p w14:paraId="5662DA63" w14:textId="77777777" w:rsidR="00C67949" w:rsidRPr="00F71694" w:rsidRDefault="00C67949" w:rsidP="00093029">
      <w:pPr>
        <w:spacing w:after="0"/>
      </w:pPr>
      <w:r w:rsidRPr="00F71694">
        <w:t xml:space="preserve">In all three trials, the primary efficacy outcome was ACR20 response at week 16 and the major secondary efficacy outcome was change from baseline to Week 16 in HAQ-DI score. Modified PsARC response was one of the many other secondary outcomes. PASI-75 response was included to account for skin manifestations of PsA. In response to a point for clarification from the ERG about radiographic disease progression outcomes, the </w:t>
      </w:r>
      <w:r w:rsidR="00EA3622">
        <w:t>company</w:t>
      </w:r>
      <w:r w:rsidRPr="00F71694">
        <w:t xml:space="preserve"> stated that no radiographic assessments were performed.</w:t>
      </w:r>
    </w:p>
    <w:p w14:paraId="2960E21B" w14:textId="77777777" w:rsidR="00216729" w:rsidRPr="00F71694" w:rsidRDefault="00216729" w:rsidP="00093029">
      <w:pPr>
        <w:spacing w:after="0"/>
      </w:pPr>
    </w:p>
    <w:p w14:paraId="04CEECFF" w14:textId="77777777" w:rsidR="00B07284" w:rsidRDefault="00E00CE6" w:rsidP="00093029">
      <w:pPr>
        <w:spacing w:after="0"/>
      </w:pPr>
      <w:r>
        <w:t>T</w:t>
      </w:r>
      <w:r w:rsidR="00216729" w:rsidRPr="00F71694">
        <w:t xml:space="preserve">he </w:t>
      </w:r>
      <w:r w:rsidR="00EA3622">
        <w:t>company</w:t>
      </w:r>
      <w:r w:rsidR="00216729" w:rsidRPr="00F71694">
        <w:t>’s submission focused on efficacy results from trial PSA-002</w:t>
      </w:r>
      <w:r w:rsidR="003609FF">
        <w:t xml:space="preserve"> </w:t>
      </w:r>
      <w:r w:rsidR="003609FF">
        <w:fldChar w:fldCharType="begin"/>
      </w:r>
      <w:r w:rsidR="003609FF">
        <w:instrText xml:space="preserve"> ADDIN EN.CITE &lt;EndNote&gt;&lt;Cite&gt;&lt;Author&gt;Celgene Corporation&lt;/Author&gt;&lt;Year&gt;2013&lt;/Year&gt;&lt;RecNum&gt;127&lt;/RecNum&gt;&lt;DisplayText&gt;(2)&lt;/DisplayText&gt;&lt;record&gt;&lt;rec-number&gt;127&lt;/rec-number&gt;&lt;foreign-keys&gt;&lt;key app="EN" db-id="svtwxs2x12d223ewxf5pdxac9srd95zxdfda" timestamp="1424880859"&gt;127&lt;/key&gt;&lt;key app="ENWeb" db-id=""&gt;0&lt;/key&gt;&lt;/foreign-keys&gt;&lt;ref-type name="Report"&gt;27&lt;/ref-type&gt;&lt;contributors&gt;&lt;authors&gt;&lt;author&gt;Celgene Corporation,&lt;/author&gt;&lt;/authors&gt;&lt;/contributors&gt;&lt;titles&gt;&lt;title&gt;Apremilast Clinical Study Report CC-10004-PSA-02&lt;/title&gt;&lt;/titles&gt;&lt;dates&gt;&lt;year&gt;2013&lt;/year&gt;&lt;/dates&gt;&lt;pub-location&gt;New Jersey&lt;/pub-location&gt;&lt;publisher&gt;Clegene Corporation&lt;/publisher&gt;&lt;urls&gt;&lt;/urls&gt;&lt;/record&gt;&lt;/Cite&gt;&lt;/EndNote&gt;</w:instrText>
      </w:r>
      <w:r w:rsidR="003609FF">
        <w:fldChar w:fldCharType="separate"/>
      </w:r>
      <w:r w:rsidR="003609FF">
        <w:rPr>
          <w:noProof/>
        </w:rPr>
        <w:t>(</w:t>
      </w:r>
      <w:hyperlink w:anchor="_ENREF_2" w:tooltip="Celgene Corporation, 2013 #127" w:history="1">
        <w:r w:rsidR="000839CF">
          <w:rPr>
            <w:noProof/>
          </w:rPr>
          <w:t>2</w:t>
        </w:r>
      </w:hyperlink>
      <w:r w:rsidR="003609FF">
        <w:rPr>
          <w:noProof/>
        </w:rPr>
        <w:t>)</w:t>
      </w:r>
      <w:r w:rsidR="003609FF">
        <w:fldChar w:fldCharType="end"/>
      </w:r>
      <w:r w:rsidR="003609FF">
        <w:t xml:space="preserve"> </w:t>
      </w:r>
      <w:r w:rsidR="00216729" w:rsidRPr="00F71694">
        <w:t>(</w:t>
      </w:r>
      <w:r w:rsidR="003815D0" w:rsidRPr="00F71694">
        <w:t xml:space="preserve">thus </w:t>
      </w:r>
      <w:r w:rsidR="00F447A3" w:rsidRPr="00F71694">
        <w:t>not utilising the pooled analysis</w:t>
      </w:r>
      <w:r w:rsidR="00F955ED">
        <w:t xml:space="preserve"> of all three trials</w:t>
      </w:r>
      <w:r w:rsidR="00216729" w:rsidRPr="00F71694">
        <w:t xml:space="preserve">), and results from the pooled analysis for data on improvements in enthesitis, dactylitis, and psoriatic skin manifestations. </w:t>
      </w:r>
      <w:r w:rsidR="001E22BA" w:rsidRPr="001E22BA">
        <w:t>The</w:t>
      </w:r>
      <w:r w:rsidR="001E22BA">
        <w:t xml:space="preserve"> </w:t>
      </w:r>
      <w:r w:rsidR="001E22BA" w:rsidRPr="001E22BA">
        <w:t xml:space="preserve">results </w:t>
      </w:r>
      <w:r w:rsidR="001E22BA">
        <w:t xml:space="preserve">of </w:t>
      </w:r>
      <w:r w:rsidR="00E55DAE" w:rsidRPr="00E55DAE">
        <w:t xml:space="preserve">trial PSA-002 </w:t>
      </w:r>
      <w:r w:rsidR="001E22BA">
        <w:t>(Table 1) showed that a</w:t>
      </w:r>
      <w:r w:rsidR="00216729" w:rsidRPr="00F71694">
        <w:t xml:space="preserve">premilast </w:t>
      </w:r>
      <w:r w:rsidR="00033FAE">
        <w:t xml:space="preserve">30mg </w:t>
      </w:r>
      <w:r w:rsidR="00216729" w:rsidRPr="00F71694">
        <w:t>was associated with statisti</w:t>
      </w:r>
      <w:r w:rsidR="0024017F" w:rsidRPr="00F71694">
        <w:t xml:space="preserve">cally significant improvements </w:t>
      </w:r>
      <w:r w:rsidR="00216729" w:rsidRPr="00F71694">
        <w:t>compared with placebo for</w:t>
      </w:r>
      <w:r w:rsidR="00B07284" w:rsidRPr="00F71694">
        <w:t xml:space="preserve"> ACR20</w:t>
      </w:r>
      <w:r w:rsidR="00071837">
        <w:t>/50</w:t>
      </w:r>
      <w:r w:rsidR="00B07284" w:rsidRPr="00F71694">
        <w:t>, PsARC, PASI-75, and change in HAQ-DI</w:t>
      </w:r>
      <w:r w:rsidR="00B07284">
        <w:t>.</w:t>
      </w:r>
    </w:p>
    <w:p w14:paraId="1166952F" w14:textId="77777777" w:rsidR="00B07284" w:rsidRDefault="00B07284" w:rsidP="00093029">
      <w:pPr>
        <w:spacing w:after="0"/>
      </w:pPr>
    </w:p>
    <w:p w14:paraId="2775D570" w14:textId="77777777" w:rsidR="00E55DAE" w:rsidRPr="00E55DAE" w:rsidRDefault="00E55DAE" w:rsidP="00E55DAE">
      <w:pPr>
        <w:keepNext/>
        <w:spacing w:after="120" w:line="240" w:lineRule="auto"/>
        <w:rPr>
          <w:rFonts w:eastAsiaTheme="minorEastAsia"/>
          <w:b/>
          <w:bCs/>
          <w:sz w:val="20"/>
          <w:szCs w:val="18"/>
        </w:rPr>
      </w:pPr>
      <w:bookmarkStart w:id="1" w:name="_Ref395794424"/>
      <w:bookmarkStart w:id="2" w:name="_Toc408921189"/>
      <w:r w:rsidRPr="00E55DAE">
        <w:rPr>
          <w:rFonts w:eastAsiaTheme="minorEastAsia"/>
          <w:b/>
          <w:bCs/>
          <w:sz w:val="20"/>
          <w:szCs w:val="18"/>
        </w:rPr>
        <w:t>Table 1</w:t>
      </w:r>
      <w:bookmarkEnd w:id="1"/>
      <w:r w:rsidRPr="00E55DAE">
        <w:rPr>
          <w:rFonts w:eastAsiaTheme="minorEastAsia"/>
          <w:b/>
          <w:bCs/>
          <w:sz w:val="20"/>
          <w:szCs w:val="18"/>
        </w:rPr>
        <w:t xml:space="preserve"> Summary of the efficacy results at Week 16 from the PSA-002 </w:t>
      </w:r>
      <w:r w:rsidR="00C64346">
        <w:rPr>
          <w:rFonts w:eastAsiaTheme="minorEastAsia"/>
          <w:b/>
          <w:bCs/>
          <w:sz w:val="20"/>
          <w:szCs w:val="18"/>
        </w:rPr>
        <w:t>trial</w:t>
      </w:r>
      <w:r w:rsidRPr="00E55DAE">
        <w:rPr>
          <w:rFonts w:eastAsiaTheme="minorEastAsia"/>
          <w:b/>
          <w:bCs/>
          <w:sz w:val="20"/>
          <w:szCs w:val="18"/>
        </w:rPr>
        <w:t xml:space="preserve"> </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2042"/>
        <w:gridCol w:w="2042"/>
      </w:tblGrid>
      <w:tr w:rsidR="00E55DAE" w:rsidRPr="00E55DAE" w14:paraId="631D01F3" w14:textId="77777777" w:rsidTr="00E55DAE">
        <w:trPr>
          <w:trHeight w:val="407"/>
          <w:tblHeader/>
        </w:trPr>
        <w:tc>
          <w:tcPr>
            <w:tcW w:w="5070" w:type="dxa"/>
            <w:tcBorders>
              <w:top w:val="single" w:sz="4" w:space="0" w:color="auto"/>
              <w:left w:val="single" w:sz="4" w:space="0" w:color="auto"/>
              <w:bottom w:val="single" w:sz="4" w:space="0" w:color="auto"/>
              <w:right w:val="single" w:sz="4" w:space="0" w:color="auto"/>
            </w:tcBorders>
            <w:vAlign w:val="center"/>
          </w:tcPr>
          <w:p w14:paraId="6E89E75A" w14:textId="77777777" w:rsidR="00E55DAE" w:rsidRPr="00E55DAE" w:rsidRDefault="00E55DAE" w:rsidP="00E55DAE">
            <w:pPr>
              <w:widowControl w:val="0"/>
              <w:spacing w:before="60" w:after="60" w:line="240" w:lineRule="auto"/>
              <w:rPr>
                <w:rFonts w:eastAsia="Times New Roman" w:cs="Arial"/>
                <w:b/>
                <w:i/>
                <w:iCs/>
                <w:sz w:val="20"/>
                <w:szCs w:val="20"/>
              </w:rPr>
            </w:pPr>
            <w:r w:rsidRPr="00E55DAE">
              <w:rPr>
                <w:rFonts w:eastAsia="Times New Roman" w:cs="Times New Roman"/>
                <w:b/>
                <w:iCs/>
                <w:sz w:val="20"/>
                <w:szCs w:val="20"/>
              </w:rPr>
              <w:t>Outcome</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D5458" w14:textId="77777777" w:rsidR="00E55DAE" w:rsidRPr="00E55DAE" w:rsidRDefault="00E55DAE" w:rsidP="00E55DAE">
            <w:pPr>
              <w:widowControl w:val="0"/>
              <w:spacing w:before="60" w:after="60" w:line="240" w:lineRule="auto"/>
              <w:jc w:val="center"/>
              <w:rPr>
                <w:rFonts w:eastAsia="Times New Roman" w:cs="Times New Roman"/>
                <w:b/>
                <w:iCs/>
                <w:sz w:val="20"/>
                <w:szCs w:val="20"/>
              </w:rPr>
            </w:pPr>
            <w:r w:rsidRPr="00E55DAE">
              <w:rPr>
                <w:rFonts w:eastAsia="Times New Roman" w:cs="Times New Roman"/>
                <w:b/>
                <w:iCs/>
                <w:sz w:val="20"/>
                <w:szCs w:val="20"/>
              </w:rPr>
              <w:t>Apremilast 30 mg bid,</w:t>
            </w:r>
          </w:p>
          <w:p w14:paraId="52197621" w14:textId="77777777" w:rsidR="00E55DAE" w:rsidRPr="00E55DAE" w:rsidRDefault="00E55DAE" w:rsidP="00E55DAE">
            <w:pPr>
              <w:widowControl w:val="0"/>
              <w:spacing w:before="60" w:after="60" w:line="240" w:lineRule="auto"/>
              <w:jc w:val="center"/>
              <w:rPr>
                <w:rFonts w:eastAsia="Times New Roman" w:cs="Arial"/>
                <w:b/>
                <w:iCs/>
                <w:sz w:val="20"/>
                <w:szCs w:val="20"/>
              </w:rPr>
            </w:pPr>
            <w:r w:rsidRPr="00E55DAE">
              <w:rPr>
                <w:rFonts w:eastAsia="Times New Roman" w:cs="Times New Roman"/>
                <w:b/>
                <w:iCs/>
                <w:sz w:val="20"/>
                <w:szCs w:val="20"/>
              </w:rPr>
              <w:t xml:space="preserve">n = 168 </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5B8BD" w14:textId="77777777" w:rsidR="00E55DAE" w:rsidRPr="00E55DAE" w:rsidRDefault="00E55DAE" w:rsidP="00E55DAE">
            <w:pPr>
              <w:widowControl w:val="0"/>
              <w:spacing w:before="60" w:after="60" w:line="240" w:lineRule="auto"/>
              <w:jc w:val="center"/>
              <w:rPr>
                <w:rFonts w:eastAsia="Times New Roman" w:cs="Arial"/>
                <w:b/>
                <w:iCs/>
                <w:sz w:val="20"/>
                <w:szCs w:val="20"/>
              </w:rPr>
            </w:pPr>
            <w:r w:rsidRPr="00E55DAE">
              <w:rPr>
                <w:rFonts w:eastAsia="Times New Roman" w:cs="Times New Roman"/>
                <w:b/>
                <w:iCs/>
                <w:sz w:val="20"/>
                <w:szCs w:val="20"/>
              </w:rPr>
              <w:t xml:space="preserve">Placebo, n = 168 </w:t>
            </w:r>
          </w:p>
        </w:tc>
      </w:tr>
      <w:tr w:rsidR="00E55DAE" w:rsidRPr="00E55DAE" w14:paraId="267AC086" w14:textId="77777777" w:rsidTr="00E55DAE">
        <w:trPr>
          <w:trHeight w:val="223"/>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0B891" w14:textId="77777777" w:rsidR="00E55DAE" w:rsidRPr="00E55DAE" w:rsidRDefault="00E55DAE" w:rsidP="00E55DAE">
            <w:pPr>
              <w:widowControl w:val="0"/>
              <w:spacing w:before="60" w:after="60" w:line="240" w:lineRule="auto"/>
              <w:rPr>
                <w:rFonts w:eastAsia="Times New Roman" w:cs="Arial"/>
                <w:iCs/>
                <w:sz w:val="20"/>
                <w:szCs w:val="20"/>
              </w:rPr>
            </w:pPr>
            <w:r w:rsidRPr="00E55DAE">
              <w:rPr>
                <w:rFonts w:eastAsia="Times New Roman" w:cs="Times New Roman"/>
                <w:iCs/>
                <w:sz w:val="20"/>
                <w:szCs w:val="20"/>
              </w:rPr>
              <w:t xml:space="preserve">Number (%) of patients achieving an </w:t>
            </w:r>
            <w:r w:rsidRPr="00E55DAE">
              <w:rPr>
                <w:rFonts w:eastAsia="Times New Roman" w:cs="Times New Roman"/>
                <w:b/>
                <w:iCs/>
                <w:sz w:val="20"/>
                <w:szCs w:val="20"/>
              </w:rPr>
              <w:t xml:space="preserve">ACR20 </w:t>
            </w:r>
            <w:r w:rsidRPr="00E55DAE">
              <w:rPr>
                <w:rFonts w:eastAsia="Times New Roman" w:cs="Times New Roman"/>
                <w:iCs/>
                <w:sz w:val="20"/>
                <w:szCs w:val="20"/>
              </w:rPr>
              <w:t>response</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A158517"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64 (38.1)**</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69FAB48"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32 (19.0)</w:t>
            </w:r>
          </w:p>
        </w:tc>
      </w:tr>
      <w:tr w:rsidR="00E55DAE" w:rsidRPr="00E55DAE" w14:paraId="5BA656C7" w14:textId="77777777" w:rsidTr="00E55DAE">
        <w:trPr>
          <w:trHeight w:val="157"/>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8A693" w14:textId="77777777" w:rsidR="00E55DAE" w:rsidRPr="00E55DAE" w:rsidRDefault="00E55DAE" w:rsidP="00E55DAE">
            <w:pPr>
              <w:widowControl w:val="0"/>
              <w:spacing w:before="60" w:after="60" w:line="240" w:lineRule="auto"/>
              <w:rPr>
                <w:rFonts w:eastAsia="Times New Roman" w:cs="Arial"/>
                <w:iCs/>
                <w:sz w:val="20"/>
                <w:szCs w:val="20"/>
              </w:rPr>
            </w:pPr>
            <w:r w:rsidRPr="00E55DAE">
              <w:rPr>
                <w:rFonts w:eastAsia="Times New Roman" w:cs="Times New Roman"/>
                <w:iCs/>
                <w:sz w:val="20"/>
                <w:szCs w:val="20"/>
              </w:rPr>
              <w:t xml:space="preserve">Number (%) of patients achieving an </w:t>
            </w:r>
            <w:r w:rsidRPr="00E55DAE">
              <w:rPr>
                <w:rFonts w:eastAsia="Times New Roman" w:cs="Times New Roman"/>
                <w:b/>
                <w:iCs/>
                <w:sz w:val="20"/>
                <w:szCs w:val="20"/>
              </w:rPr>
              <w:t xml:space="preserve">ACR50 </w:t>
            </w:r>
            <w:r w:rsidRPr="00E55DAE">
              <w:rPr>
                <w:rFonts w:eastAsia="Times New Roman" w:cs="Times New Roman"/>
                <w:iCs/>
                <w:sz w:val="20"/>
                <w:szCs w:val="20"/>
              </w:rPr>
              <w:t>response</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E5B43B2" w14:textId="77777777" w:rsidR="00E55DAE" w:rsidRPr="00E55DAE" w:rsidRDefault="00E55DAE" w:rsidP="00071837">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27 (16.1)</w:t>
            </w:r>
            <w:r w:rsidR="00071837">
              <w:rPr>
                <w:rFonts w:eastAsia="Times New Roman" w:cs="Arial"/>
                <w:iCs/>
                <w:sz w:val="20"/>
                <w:szCs w:val="20"/>
                <w:vertAlign w:val="superscript"/>
              </w:rPr>
              <w:t>*</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E40EBE4"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10 (6.0)</w:t>
            </w:r>
          </w:p>
        </w:tc>
      </w:tr>
      <w:tr w:rsidR="00E55DAE" w:rsidRPr="00E55DAE" w14:paraId="4414C6D6" w14:textId="77777777" w:rsidTr="00E55DAE">
        <w:trPr>
          <w:trHeight w:val="10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BFF0A" w14:textId="77777777" w:rsidR="00E55DAE" w:rsidRPr="00E55DAE" w:rsidRDefault="00E55DAE" w:rsidP="00E55DAE">
            <w:pPr>
              <w:widowControl w:val="0"/>
              <w:spacing w:before="60" w:after="60" w:line="240" w:lineRule="auto"/>
              <w:rPr>
                <w:rFonts w:eastAsia="Times New Roman" w:cs="Arial"/>
                <w:iCs/>
                <w:sz w:val="20"/>
                <w:szCs w:val="20"/>
              </w:rPr>
            </w:pPr>
            <w:r w:rsidRPr="00E55DAE">
              <w:rPr>
                <w:rFonts w:eastAsia="Times New Roman" w:cs="Times New Roman"/>
                <w:iCs/>
                <w:sz w:val="20"/>
                <w:szCs w:val="20"/>
              </w:rPr>
              <w:t xml:space="preserve">Number (%) of patients achieving an </w:t>
            </w:r>
            <w:r w:rsidRPr="00E55DAE">
              <w:rPr>
                <w:rFonts w:eastAsia="Times New Roman" w:cs="Times New Roman"/>
                <w:b/>
                <w:iCs/>
                <w:sz w:val="20"/>
                <w:szCs w:val="20"/>
              </w:rPr>
              <w:t xml:space="preserve">ACR70 </w:t>
            </w:r>
            <w:r w:rsidRPr="00E55DAE">
              <w:rPr>
                <w:rFonts w:eastAsia="Times New Roman" w:cs="Times New Roman"/>
                <w:iCs/>
                <w:sz w:val="20"/>
                <w:szCs w:val="20"/>
              </w:rPr>
              <w:t>response</w:t>
            </w:r>
          </w:p>
        </w:tc>
        <w:tc>
          <w:tcPr>
            <w:tcW w:w="2042" w:type="dxa"/>
            <w:tcBorders>
              <w:top w:val="single" w:sz="4" w:space="0" w:color="auto"/>
              <w:left w:val="single" w:sz="4" w:space="0" w:color="auto"/>
              <w:bottom w:val="single" w:sz="4" w:space="0" w:color="auto"/>
              <w:right w:val="single" w:sz="4" w:space="0" w:color="auto"/>
            </w:tcBorders>
            <w:vAlign w:val="center"/>
            <w:hideMark/>
          </w:tcPr>
          <w:p w14:paraId="3F53E7F1"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7 (4.2)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10F5E311"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2 (1.2)</w:t>
            </w:r>
          </w:p>
        </w:tc>
      </w:tr>
      <w:tr w:rsidR="00E55DAE" w:rsidRPr="00E55DAE" w14:paraId="72D3359C" w14:textId="77777777" w:rsidTr="00E55DAE">
        <w:trPr>
          <w:trHeight w:val="323"/>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CDA67" w14:textId="77777777" w:rsidR="00E55DAE" w:rsidRPr="00E55DAE" w:rsidRDefault="00E55DAE" w:rsidP="00E55DAE">
            <w:pPr>
              <w:widowControl w:val="0"/>
              <w:spacing w:before="60" w:after="60" w:line="240" w:lineRule="auto"/>
              <w:rPr>
                <w:rFonts w:eastAsia="Times New Roman" w:cs="Arial"/>
                <w:iCs/>
                <w:sz w:val="20"/>
                <w:szCs w:val="20"/>
              </w:rPr>
            </w:pPr>
            <w:r w:rsidRPr="00E55DAE">
              <w:rPr>
                <w:rFonts w:eastAsia="Times New Roman" w:cs="Times New Roman"/>
                <w:iCs/>
                <w:sz w:val="20"/>
                <w:szCs w:val="20"/>
              </w:rPr>
              <w:t xml:space="preserve">LS mean (SE) change from baseline in </w:t>
            </w:r>
            <w:r w:rsidRPr="00E55DAE">
              <w:rPr>
                <w:rFonts w:eastAsia="Times New Roman" w:cs="Times New Roman"/>
                <w:b/>
                <w:iCs/>
                <w:sz w:val="20"/>
                <w:szCs w:val="20"/>
              </w:rPr>
              <w:t>HAQ-DI</w:t>
            </w:r>
            <w:r w:rsidRPr="00E55DAE">
              <w:rPr>
                <w:rFonts w:eastAsia="Times New Roman" w:cs="Times New Roman"/>
                <w:iCs/>
                <w:sz w:val="20"/>
                <w:szCs w:val="20"/>
              </w:rPr>
              <w:t xml:space="preserve"> score (</w:t>
            </w:r>
            <w:r w:rsidRPr="00E55DAE">
              <w:rPr>
                <w:rFonts w:eastAsia="Times New Roman" w:cs="Times New Roman"/>
                <w:sz w:val="20"/>
                <w:szCs w:val="20"/>
              </w:rPr>
              <w:t>0</w:t>
            </w:r>
            <w:r w:rsidRPr="00E55DAE">
              <w:rPr>
                <w:rFonts w:eastAsia="Times New Roman" w:cs="Times New Roman"/>
                <w:iCs/>
                <w:sz w:val="20"/>
                <w:szCs w:val="20"/>
              </w:rPr>
              <w:t>–3)</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9F39961"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−0.24 (0.04)*</w:t>
            </w:r>
          </w:p>
        </w:tc>
        <w:tc>
          <w:tcPr>
            <w:tcW w:w="2042" w:type="dxa"/>
            <w:tcBorders>
              <w:top w:val="single" w:sz="4" w:space="0" w:color="auto"/>
              <w:left w:val="single" w:sz="4" w:space="0" w:color="auto"/>
              <w:bottom w:val="single" w:sz="4" w:space="0" w:color="auto"/>
              <w:right w:val="single" w:sz="4" w:space="0" w:color="auto"/>
            </w:tcBorders>
            <w:vAlign w:val="center"/>
            <w:hideMark/>
          </w:tcPr>
          <w:p w14:paraId="014FF0BD"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−0.08 (0.04)</w:t>
            </w:r>
          </w:p>
        </w:tc>
      </w:tr>
      <w:tr w:rsidR="00E55DAE" w:rsidRPr="00E55DAE" w14:paraId="0DA7CFBF" w14:textId="77777777" w:rsidTr="00E55DAE">
        <w:trPr>
          <w:trHeight w:val="115"/>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8F4B" w14:textId="77777777" w:rsidR="00E55DAE" w:rsidRPr="00E55DAE" w:rsidRDefault="00E55DAE" w:rsidP="00E55DAE">
            <w:pPr>
              <w:widowControl w:val="0"/>
              <w:spacing w:before="60" w:after="60" w:line="240" w:lineRule="auto"/>
              <w:rPr>
                <w:rFonts w:eastAsia="Times New Roman" w:cs="Arial"/>
                <w:iCs/>
                <w:sz w:val="20"/>
                <w:szCs w:val="20"/>
              </w:rPr>
            </w:pPr>
            <w:r w:rsidRPr="00E55DAE">
              <w:rPr>
                <w:rFonts w:eastAsia="Times New Roman" w:cs="Times New Roman"/>
                <w:iCs/>
                <w:sz w:val="20"/>
                <w:szCs w:val="20"/>
              </w:rPr>
              <w:t xml:space="preserve">Number (%) of patients achieving a MCID of ≥0.13 on the </w:t>
            </w:r>
            <w:r w:rsidRPr="00E55DAE">
              <w:rPr>
                <w:rFonts w:eastAsia="Times New Roman" w:cs="Times New Roman"/>
                <w:b/>
                <w:iCs/>
                <w:sz w:val="20"/>
                <w:szCs w:val="20"/>
              </w:rPr>
              <w:t>HAQ-DI</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BD20BBB"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81 (48.2)</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418FCD2"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64 (38.1)</w:t>
            </w:r>
          </w:p>
        </w:tc>
      </w:tr>
      <w:tr w:rsidR="00E55DAE" w:rsidRPr="00E55DAE" w14:paraId="44C147AA" w14:textId="77777777" w:rsidTr="00E55DAE">
        <w:trPr>
          <w:trHeight w:val="71"/>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9827D" w14:textId="77777777" w:rsidR="00E55DAE" w:rsidRPr="00E55DAE" w:rsidRDefault="00E55DAE" w:rsidP="00E55DAE">
            <w:pPr>
              <w:widowControl w:val="0"/>
              <w:spacing w:before="60" w:after="60" w:line="240" w:lineRule="auto"/>
              <w:rPr>
                <w:rFonts w:eastAsia="Times New Roman" w:cs="Arial"/>
                <w:iCs/>
                <w:sz w:val="20"/>
                <w:szCs w:val="20"/>
              </w:rPr>
            </w:pPr>
            <w:r w:rsidRPr="00E55DAE">
              <w:rPr>
                <w:rFonts w:eastAsia="Times New Roman" w:cs="Times New Roman"/>
                <w:iCs/>
                <w:sz w:val="20"/>
                <w:szCs w:val="20"/>
              </w:rPr>
              <w:t xml:space="preserve">Number (%) of patients achieving a MCID of ≥0.30 on the </w:t>
            </w:r>
            <w:r w:rsidRPr="00E55DAE">
              <w:rPr>
                <w:rFonts w:eastAsia="Times New Roman" w:cs="Times New Roman"/>
                <w:b/>
                <w:iCs/>
                <w:sz w:val="20"/>
                <w:szCs w:val="20"/>
              </w:rPr>
              <w:t>HAQ-DI</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86FE6C7"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64 (38.1)</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7F53363"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45 (26.8)</w:t>
            </w:r>
          </w:p>
        </w:tc>
      </w:tr>
      <w:tr w:rsidR="00E55DAE" w:rsidRPr="00E55DAE" w14:paraId="633C38E6" w14:textId="77777777" w:rsidTr="00E55DAE">
        <w:trPr>
          <w:trHeight w:val="71"/>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1169" w14:textId="77777777" w:rsidR="00E55DAE" w:rsidRPr="00E55DAE" w:rsidRDefault="00E55DAE" w:rsidP="00E55DAE">
            <w:pPr>
              <w:widowControl w:val="0"/>
              <w:spacing w:before="60" w:after="60" w:line="240" w:lineRule="auto"/>
              <w:rPr>
                <w:rFonts w:eastAsia="Times New Roman" w:cs="Arial"/>
                <w:iCs/>
                <w:sz w:val="20"/>
                <w:szCs w:val="20"/>
              </w:rPr>
            </w:pPr>
            <w:r w:rsidRPr="00E55DAE">
              <w:rPr>
                <w:rFonts w:eastAsia="Times New Roman" w:cs="Times New Roman"/>
                <w:iCs/>
                <w:sz w:val="20"/>
                <w:szCs w:val="20"/>
              </w:rPr>
              <w:t xml:space="preserve">Number (%) of patients achieving a modified </w:t>
            </w:r>
            <w:r w:rsidRPr="00E55DAE">
              <w:rPr>
                <w:rFonts w:eastAsia="Times New Roman" w:cs="Times New Roman"/>
                <w:b/>
                <w:iCs/>
                <w:sz w:val="20"/>
                <w:szCs w:val="20"/>
              </w:rPr>
              <w:t>PsARC</w:t>
            </w:r>
            <w:r w:rsidRPr="00E55DAE">
              <w:rPr>
                <w:rFonts w:eastAsia="Times New Roman" w:cs="Times New Roman"/>
                <w:iCs/>
                <w:sz w:val="20"/>
                <w:szCs w:val="20"/>
              </w:rPr>
              <w:t xml:space="preserve"> response</w:t>
            </w:r>
          </w:p>
        </w:tc>
        <w:tc>
          <w:tcPr>
            <w:tcW w:w="2042" w:type="dxa"/>
            <w:tcBorders>
              <w:top w:val="single" w:sz="4" w:space="0" w:color="auto"/>
              <w:left w:val="single" w:sz="4" w:space="0" w:color="auto"/>
              <w:bottom w:val="single" w:sz="4" w:space="0" w:color="auto"/>
              <w:right w:val="single" w:sz="4" w:space="0" w:color="auto"/>
            </w:tcBorders>
            <w:vAlign w:val="center"/>
            <w:hideMark/>
          </w:tcPr>
          <w:p w14:paraId="4C93BC04"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78 (46.4)*</w:t>
            </w:r>
          </w:p>
        </w:tc>
        <w:tc>
          <w:tcPr>
            <w:tcW w:w="2042" w:type="dxa"/>
            <w:tcBorders>
              <w:top w:val="single" w:sz="4" w:space="0" w:color="auto"/>
              <w:left w:val="single" w:sz="4" w:space="0" w:color="auto"/>
              <w:bottom w:val="single" w:sz="4" w:space="0" w:color="auto"/>
              <w:right w:val="single" w:sz="4" w:space="0" w:color="auto"/>
            </w:tcBorders>
            <w:vAlign w:val="center"/>
            <w:hideMark/>
          </w:tcPr>
          <w:p w14:paraId="5AA0BB3F"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50 (29.8)</w:t>
            </w:r>
          </w:p>
        </w:tc>
      </w:tr>
      <w:tr w:rsidR="00E55DAE" w:rsidRPr="00E55DAE" w14:paraId="1B10047E" w14:textId="77777777" w:rsidTr="00E55DAE">
        <w:trPr>
          <w:trHeight w:val="187"/>
        </w:trPr>
        <w:tc>
          <w:tcPr>
            <w:tcW w:w="5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FC7AB" w14:textId="77777777" w:rsidR="00E55DAE" w:rsidRPr="00E55DAE" w:rsidRDefault="00E55DAE" w:rsidP="00E55DAE">
            <w:pPr>
              <w:widowControl w:val="0"/>
              <w:spacing w:before="60" w:after="60" w:line="240" w:lineRule="auto"/>
              <w:rPr>
                <w:rFonts w:eastAsia="Times New Roman" w:cs="Arial"/>
                <w:iCs/>
                <w:sz w:val="20"/>
                <w:szCs w:val="20"/>
              </w:rPr>
            </w:pPr>
            <w:r w:rsidRPr="00E55DAE">
              <w:rPr>
                <w:rFonts w:eastAsia="Times New Roman" w:cs="Times New Roman"/>
                <w:iCs/>
                <w:sz w:val="20"/>
                <w:szCs w:val="20"/>
              </w:rPr>
              <w:t xml:space="preserve">Number (%) of patients achieving a </w:t>
            </w:r>
            <w:r w:rsidRPr="00E55DAE">
              <w:rPr>
                <w:rFonts w:eastAsia="Times New Roman" w:cs="Times New Roman"/>
                <w:b/>
                <w:iCs/>
                <w:sz w:val="20"/>
                <w:szCs w:val="20"/>
              </w:rPr>
              <w:t>PASI-75</w:t>
            </w:r>
          </w:p>
        </w:tc>
        <w:tc>
          <w:tcPr>
            <w:tcW w:w="2042" w:type="dxa"/>
            <w:tcBorders>
              <w:top w:val="single" w:sz="4" w:space="0" w:color="auto"/>
              <w:left w:val="single" w:sz="4" w:space="0" w:color="auto"/>
              <w:bottom w:val="single" w:sz="4" w:space="0" w:color="auto"/>
              <w:right w:val="single" w:sz="4" w:space="0" w:color="auto"/>
            </w:tcBorders>
            <w:vAlign w:val="center"/>
            <w:hideMark/>
          </w:tcPr>
          <w:p w14:paraId="2D7BA51E" w14:textId="77777777" w:rsidR="00E55DAE" w:rsidRPr="00E55DAE" w:rsidRDefault="00E55DAE" w:rsidP="00F73634">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18 (22.0)</w:t>
            </w:r>
            <w:r w:rsidR="00F73634">
              <w:rPr>
                <w:rFonts w:eastAsia="Times New Roman" w:cs="Arial"/>
                <w:iCs/>
                <w:sz w:val="20"/>
                <w:szCs w:val="20"/>
                <w:vertAlign w:val="superscript"/>
              </w:rPr>
              <w:t>*</w:t>
            </w:r>
          </w:p>
        </w:tc>
        <w:tc>
          <w:tcPr>
            <w:tcW w:w="2042" w:type="dxa"/>
            <w:tcBorders>
              <w:top w:val="single" w:sz="4" w:space="0" w:color="auto"/>
              <w:left w:val="single" w:sz="4" w:space="0" w:color="auto"/>
              <w:bottom w:val="single" w:sz="4" w:space="0" w:color="auto"/>
              <w:right w:val="single" w:sz="4" w:space="0" w:color="auto"/>
            </w:tcBorders>
            <w:vAlign w:val="center"/>
            <w:hideMark/>
          </w:tcPr>
          <w:p w14:paraId="7B7A3A00" w14:textId="77777777" w:rsidR="00E55DAE" w:rsidRPr="00E55DAE" w:rsidRDefault="00E55DAE" w:rsidP="00E55DAE">
            <w:pPr>
              <w:widowControl w:val="0"/>
              <w:spacing w:before="60" w:after="60" w:line="240" w:lineRule="auto"/>
              <w:jc w:val="center"/>
              <w:rPr>
                <w:rFonts w:eastAsia="Times New Roman" w:cs="Arial"/>
                <w:iCs/>
                <w:sz w:val="20"/>
                <w:szCs w:val="20"/>
              </w:rPr>
            </w:pPr>
            <w:r w:rsidRPr="00E55DAE">
              <w:rPr>
                <w:rFonts w:eastAsia="Times New Roman" w:cs="Times New Roman"/>
                <w:iCs/>
                <w:sz w:val="20"/>
                <w:szCs w:val="20"/>
              </w:rPr>
              <w:t>3 (4.4)</w:t>
            </w:r>
          </w:p>
        </w:tc>
      </w:tr>
    </w:tbl>
    <w:p w14:paraId="049B778D" w14:textId="12FA0436" w:rsidR="00A05756" w:rsidRDefault="00A05756" w:rsidP="00093029">
      <w:pPr>
        <w:spacing w:after="0"/>
        <w:rPr>
          <w:sz w:val="18"/>
          <w:szCs w:val="18"/>
        </w:rPr>
      </w:pPr>
      <w:r w:rsidRPr="00A05756">
        <w:rPr>
          <w:sz w:val="18"/>
          <w:szCs w:val="18"/>
        </w:rPr>
        <w:t>ACR</w:t>
      </w:r>
      <w:r>
        <w:rPr>
          <w:sz w:val="18"/>
          <w:szCs w:val="18"/>
        </w:rPr>
        <w:t xml:space="preserve"> - </w:t>
      </w:r>
      <w:r w:rsidRPr="00A05756">
        <w:rPr>
          <w:sz w:val="18"/>
          <w:szCs w:val="18"/>
        </w:rPr>
        <w:t>American College of Rheumatology</w:t>
      </w:r>
      <w:r>
        <w:rPr>
          <w:sz w:val="18"/>
          <w:szCs w:val="18"/>
        </w:rPr>
        <w:t xml:space="preserve">; </w:t>
      </w:r>
      <w:r w:rsidRPr="00A05756">
        <w:rPr>
          <w:sz w:val="18"/>
          <w:szCs w:val="18"/>
        </w:rPr>
        <w:t>HAQ-DI</w:t>
      </w:r>
      <w:r>
        <w:rPr>
          <w:sz w:val="18"/>
          <w:szCs w:val="18"/>
        </w:rPr>
        <w:t xml:space="preserve"> - </w:t>
      </w:r>
      <w:r w:rsidRPr="00A05756">
        <w:rPr>
          <w:sz w:val="18"/>
          <w:szCs w:val="18"/>
        </w:rPr>
        <w:t>Health Assessment Questionnaire-Disability Index</w:t>
      </w:r>
      <w:r>
        <w:rPr>
          <w:sz w:val="18"/>
          <w:szCs w:val="18"/>
        </w:rPr>
        <w:t xml:space="preserve">; </w:t>
      </w:r>
      <w:r w:rsidRPr="00A05756">
        <w:rPr>
          <w:sz w:val="18"/>
          <w:szCs w:val="18"/>
        </w:rPr>
        <w:t>PsARC</w:t>
      </w:r>
      <w:r>
        <w:rPr>
          <w:sz w:val="18"/>
          <w:szCs w:val="18"/>
        </w:rPr>
        <w:t xml:space="preserve"> - </w:t>
      </w:r>
      <w:r w:rsidRPr="00A05756">
        <w:rPr>
          <w:sz w:val="18"/>
          <w:szCs w:val="18"/>
        </w:rPr>
        <w:t>Psoriatic Arthritis Response Criteria</w:t>
      </w:r>
      <w:r>
        <w:rPr>
          <w:sz w:val="18"/>
          <w:szCs w:val="18"/>
        </w:rPr>
        <w:t xml:space="preserve">; </w:t>
      </w:r>
      <w:r w:rsidRPr="00A05756">
        <w:rPr>
          <w:sz w:val="18"/>
          <w:szCs w:val="18"/>
        </w:rPr>
        <w:t>PASI</w:t>
      </w:r>
      <w:r>
        <w:rPr>
          <w:sz w:val="18"/>
          <w:szCs w:val="18"/>
        </w:rPr>
        <w:t xml:space="preserve"> - </w:t>
      </w:r>
      <w:r w:rsidRPr="00A05756">
        <w:rPr>
          <w:sz w:val="18"/>
          <w:szCs w:val="18"/>
        </w:rPr>
        <w:t>Psoriasis Area and Severity Index</w:t>
      </w:r>
    </w:p>
    <w:p w14:paraId="50891E3A" w14:textId="77777777" w:rsidR="00257E4A" w:rsidRPr="00E55DAE" w:rsidRDefault="00E55DAE" w:rsidP="00093029">
      <w:pPr>
        <w:spacing w:after="0"/>
        <w:rPr>
          <w:sz w:val="18"/>
          <w:szCs w:val="18"/>
        </w:rPr>
      </w:pPr>
      <w:r w:rsidRPr="00E55DAE">
        <w:rPr>
          <w:sz w:val="18"/>
          <w:szCs w:val="18"/>
        </w:rPr>
        <w:t>*p ≤0.05; **p ≤0.001; ***p ≤0.0001</w:t>
      </w:r>
    </w:p>
    <w:p w14:paraId="375989B6" w14:textId="77777777" w:rsidR="00E55DAE" w:rsidRDefault="00E55DAE" w:rsidP="00093029">
      <w:pPr>
        <w:spacing w:after="0"/>
      </w:pPr>
    </w:p>
    <w:p w14:paraId="0104E184" w14:textId="77777777" w:rsidR="00216729" w:rsidRPr="00F71694" w:rsidRDefault="00E00CE6" w:rsidP="00093029">
      <w:pPr>
        <w:spacing w:after="0"/>
      </w:pPr>
      <w:r w:rsidRPr="00E00CE6">
        <w:t xml:space="preserve">Longer term data </w:t>
      </w:r>
      <w:r w:rsidR="00B07284">
        <w:t>(</w:t>
      </w:r>
      <w:r w:rsidR="00B07284" w:rsidRPr="00F71694">
        <w:t>up to week 52 for apremilast 30 mg from pooled PSA-002/003/004 and up to week 104 from PSA-002</w:t>
      </w:r>
      <w:r w:rsidR="003609FF">
        <w:t xml:space="preserve"> </w:t>
      </w:r>
      <w:r w:rsidR="003609FF">
        <w:fldChar w:fldCharType="begin"/>
      </w:r>
      <w:r w:rsidR="003609FF">
        <w:instrText xml:space="preserve"> ADDIN EN.CITE &lt;EndNote&gt;&lt;Cite&gt;&lt;Author&gt;Celgene Corporation&lt;/Author&gt;&lt;Year&gt;2013&lt;/Year&gt;&lt;RecNum&gt;127&lt;/RecNum&gt;&lt;DisplayText&gt;(2)&lt;/DisplayText&gt;&lt;record&gt;&lt;rec-number&gt;127&lt;/rec-number&gt;&lt;foreign-keys&gt;&lt;key app="EN" db-id="svtwxs2x12d223ewxf5pdxac9srd95zxdfda" timestamp="1424880859"&gt;127&lt;/key&gt;&lt;key app="ENWeb" db-id=""&gt;0&lt;/key&gt;&lt;/foreign-keys&gt;&lt;ref-type name="Report"&gt;27&lt;/ref-type&gt;&lt;contributors&gt;&lt;authors&gt;&lt;author&gt;Celgene Corporation,&lt;/author&gt;&lt;/authors&gt;&lt;/contributors&gt;&lt;titles&gt;&lt;title&gt;Apremilast Clinical Study Report CC-10004-PSA-02&lt;/title&gt;&lt;/titles&gt;&lt;dates&gt;&lt;year&gt;2013&lt;/year&gt;&lt;/dates&gt;&lt;pub-location&gt;New Jersey&lt;/pub-location&gt;&lt;publisher&gt;Clegene Corporation&lt;/publisher&gt;&lt;urls&gt;&lt;/urls&gt;&lt;/record&gt;&lt;/Cite&gt;&lt;/EndNote&gt;</w:instrText>
      </w:r>
      <w:r w:rsidR="003609FF">
        <w:fldChar w:fldCharType="separate"/>
      </w:r>
      <w:r w:rsidR="003609FF">
        <w:rPr>
          <w:noProof/>
        </w:rPr>
        <w:t>(</w:t>
      </w:r>
      <w:hyperlink w:anchor="_ENREF_2" w:tooltip="Celgene Corporation, 2013 #127" w:history="1">
        <w:r w:rsidR="000839CF">
          <w:rPr>
            <w:noProof/>
          </w:rPr>
          <w:t>2</w:t>
        </w:r>
      </w:hyperlink>
      <w:r w:rsidR="003609FF">
        <w:rPr>
          <w:noProof/>
        </w:rPr>
        <w:t>)</w:t>
      </w:r>
      <w:r w:rsidR="003609FF">
        <w:fldChar w:fldCharType="end"/>
      </w:r>
      <w:r w:rsidR="00B07284">
        <w:t xml:space="preserve">) </w:t>
      </w:r>
      <w:r w:rsidRPr="00E00CE6">
        <w:t xml:space="preserve">demonstrated </w:t>
      </w:r>
      <w:r w:rsidR="00280EA3" w:rsidRPr="00F71694">
        <w:t>that responses beyond week 24 were maintained over those at week 16 for several outcomes including ACR20 ACR50, ACR70, PsARC and HAQ-DI. However, these longer-term data are subject to numerous methodological limitations</w:t>
      </w:r>
      <w:r w:rsidR="00942C7D" w:rsidRPr="00F71694">
        <w:t>, which the ERG discussed in its critique</w:t>
      </w:r>
      <w:r w:rsidR="00CF1CD0">
        <w:t xml:space="preserve"> (see Section 3.1.1)</w:t>
      </w:r>
      <w:r w:rsidR="00280EA3" w:rsidRPr="00F71694">
        <w:t xml:space="preserve">. </w:t>
      </w:r>
    </w:p>
    <w:p w14:paraId="334C22A0" w14:textId="77777777" w:rsidR="00280EA3" w:rsidRPr="00F71694" w:rsidRDefault="00280EA3" w:rsidP="00093029">
      <w:pPr>
        <w:spacing w:after="0"/>
      </w:pPr>
    </w:p>
    <w:p w14:paraId="0AD92B45" w14:textId="4E6FB4AE" w:rsidR="002505C0" w:rsidRPr="00D81286" w:rsidRDefault="00E00CE6" w:rsidP="00571105">
      <w:pPr>
        <w:spacing w:after="0"/>
      </w:pPr>
      <w:r w:rsidRPr="00E00CE6">
        <w:t xml:space="preserve">A network meta-analysis (NMA) was presented to compare </w:t>
      </w:r>
      <w:r w:rsidR="002004BC" w:rsidRPr="00F71694">
        <w:t xml:space="preserve">the efficacy of apremilast with the licensed </w:t>
      </w:r>
      <w:r w:rsidR="007F7DAD" w:rsidRPr="007F7DAD">
        <w:t xml:space="preserve">TNF-α inhibitors </w:t>
      </w:r>
      <w:r w:rsidR="002004BC" w:rsidRPr="00F71694">
        <w:t>ada</w:t>
      </w:r>
      <w:r>
        <w:t xml:space="preserve">limumab, etanercept </w:t>
      </w:r>
      <w:r w:rsidR="00CA7204">
        <w:t>and infliximab</w:t>
      </w:r>
      <w:r w:rsidR="002004BC" w:rsidRPr="00F71694">
        <w:t>.  At the ERG’s request, trial data for ustekinumab and certolizumab were also included</w:t>
      </w:r>
      <w:r w:rsidR="007F7DAD">
        <w:t xml:space="preserve"> in the initial company submission</w:t>
      </w:r>
      <w:r w:rsidR="002004BC" w:rsidRPr="00F71694">
        <w:t>.</w:t>
      </w:r>
      <w:r w:rsidR="00C02B4C" w:rsidRPr="00F71694">
        <w:t xml:space="preserve">  </w:t>
      </w:r>
      <w:r w:rsidR="008206BB" w:rsidRPr="00F71694">
        <w:t xml:space="preserve">The highest probability of response for ACR </w:t>
      </w:r>
      <w:r w:rsidRPr="00F71694">
        <w:t>20/50/70</w:t>
      </w:r>
      <w:r>
        <w:t xml:space="preserve"> </w:t>
      </w:r>
      <w:r w:rsidR="008206BB" w:rsidRPr="00F71694">
        <w:t xml:space="preserve">outcomes was seen with infliximab. For all three ACR thresholds apremilast showed a higher probability of response compared with placebo, but a lower probability of response than </w:t>
      </w:r>
      <w:r w:rsidR="00213E88">
        <w:t xml:space="preserve">any of the </w:t>
      </w:r>
      <w:r w:rsidR="00E1246A" w:rsidRPr="00E1246A">
        <w:t>TNF-α inhibitor</w:t>
      </w:r>
      <w:r w:rsidR="00E1246A">
        <w:t>s</w:t>
      </w:r>
      <w:r w:rsidR="008206BB" w:rsidRPr="00F71694">
        <w:t>. A similar pattern of results was seen for the PsARC and PASI response outcomes</w:t>
      </w:r>
      <w:r w:rsidR="001E22BA">
        <w:t xml:space="preserve"> and </w:t>
      </w:r>
      <w:r w:rsidR="001E22BA" w:rsidRPr="00F71694">
        <w:t>HAQ-DI score changes</w:t>
      </w:r>
      <w:r w:rsidR="001E22BA">
        <w:t xml:space="preserve">. </w:t>
      </w:r>
      <w:r w:rsidR="000C07BF" w:rsidRPr="00D81286">
        <w:t xml:space="preserve"> </w:t>
      </w:r>
    </w:p>
    <w:p w14:paraId="485DBE8F" w14:textId="77777777" w:rsidR="007E4F7F" w:rsidRPr="00F71694" w:rsidRDefault="007E4F7F" w:rsidP="00571105">
      <w:pPr>
        <w:spacing w:after="0"/>
      </w:pPr>
    </w:p>
    <w:p w14:paraId="4F6456E4" w14:textId="77777777" w:rsidR="00BA1FAA" w:rsidRDefault="00486B1A" w:rsidP="00571105">
      <w:pPr>
        <w:pStyle w:val="Heading2"/>
        <w:numPr>
          <w:ilvl w:val="2"/>
          <w:numId w:val="1"/>
        </w:numPr>
        <w:spacing w:after="120"/>
        <w:rPr>
          <w:rFonts w:asciiTheme="minorHAnsi" w:hAnsiTheme="minorHAnsi" w:cs="Times New Roman"/>
          <w:color w:val="auto"/>
          <w:sz w:val="22"/>
          <w:szCs w:val="22"/>
        </w:rPr>
      </w:pPr>
      <w:r w:rsidRPr="00F71694">
        <w:rPr>
          <w:rFonts w:asciiTheme="minorHAnsi" w:hAnsiTheme="minorHAnsi" w:cs="Times New Roman"/>
          <w:color w:val="auto"/>
          <w:sz w:val="22"/>
          <w:szCs w:val="22"/>
        </w:rPr>
        <w:t>Critique of the Clinical E</w:t>
      </w:r>
      <w:r w:rsidR="00BA1FAA" w:rsidRPr="00F71694">
        <w:rPr>
          <w:rFonts w:asciiTheme="minorHAnsi" w:hAnsiTheme="minorHAnsi" w:cs="Times New Roman"/>
          <w:color w:val="auto"/>
          <w:sz w:val="22"/>
          <w:szCs w:val="22"/>
        </w:rPr>
        <w:t>vidence</w:t>
      </w:r>
    </w:p>
    <w:p w14:paraId="57665061" w14:textId="77777777" w:rsidR="00057BB2" w:rsidRDefault="00057BB2" w:rsidP="001E22BA">
      <w:r w:rsidRPr="001E22BA">
        <w:t xml:space="preserve">The </w:t>
      </w:r>
      <w:r w:rsidR="00E1246A" w:rsidRPr="00E1246A">
        <w:t xml:space="preserve">ERG considered that the </w:t>
      </w:r>
      <w:r w:rsidRPr="001E22BA">
        <w:t xml:space="preserve">three included apremilast trials </w:t>
      </w:r>
      <w:r>
        <w:t xml:space="preserve">appeared to be </w:t>
      </w:r>
      <w:r w:rsidRPr="001E22BA">
        <w:t xml:space="preserve">well-conducted. </w:t>
      </w:r>
      <w:r w:rsidRPr="00057BB2">
        <w:t xml:space="preserve">However, the </w:t>
      </w:r>
      <w:r>
        <w:t>ERG commented that the siz</w:t>
      </w:r>
      <w:r w:rsidRPr="00057BB2">
        <w:t>e of t</w:t>
      </w:r>
      <w:r>
        <w:t>he treatment benefit was modest</w:t>
      </w:r>
      <w:r w:rsidR="00296BEA">
        <w:t xml:space="preserve"> compared to placebo</w:t>
      </w:r>
      <w:r>
        <w:t>.</w:t>
      </w:r>
      <w:r w:rsidR="003C1B55" w:rsidRPr="003C1B55">
        <w:rPr>
          <w:rFonts w:ascii="Times New Roman" w:hAnsi="Times New Roman" w:cs="Times New Roman"/>
          <w:color w:val="000000"/>
        </w:rPr>
        <w:t xml:space="preserve"> </w:t>
      </w:r>
      <w:r w:rsidR="003C1B55">
        <w:t>T</w:t>
      </w:r>
      <w:r w:rsidR="003C1B55" w:rsidRPr="003C1B55">
        <w:t>he proportion of apremilast patien</w:t>
      </w:r>
      <w:r w:rsidR="003C1B55">
        <w:t xml:space="preserve">ts achieving an ACR50 response - </w:t>
      </w:r>
      <w:r w:rsidR="003C1B55" w:rsidRPr="003C1B55">
        <w:t>a</w:t>
      </w:r>
      <w:r w:rsidR="003C1B55">
        <w:t xml:space="preserve"> much more</w:t>
      </w:r>
      <w:r w:rsidR="003C1B55" w:rsidRPr="003C1B55">
        <w:t xml:space="preserve"> clinically relevant response</w:t>
      </w:r>
      <w:r w:rsidR="003C1B55">
        <w:t xml:space="preserve"> than ACR20 - was quite low (Table 1</w:t>
      </w:r>
      <w:r w:rsidR="003C1B55" w:rsidRPr="003C1B55">
        <w:t>)</w:t>
      </w:r>
      <w:r w:rsidR="003C1B55">
        <w:t>.</w:t>
      </w:r>
      <w:r w:rsidR="003C1B55" w:rsidRPr="003C1B55">
        <w:t xml:space="preserve"> </w:t>
      </w:r>
      <w:r>
        <w:t xml:space="preserve"> </w:t>
      </w:r>
      <w:r w:rsidRPr="00057BB2">
        <w:t xml:space="preserve">There is also uncertainty about whether the improvement in function </w:t>
      </w:r>
      <w:r w:rsidR="00296BEA">
        <w:t xml:space="preserve">(HAQ-DI) </w:t>
      </w:r>
      <w:r w:rsidRPr="00057BB2">
        <w:t>provided by apremilast reaches clinically-relevant levels.</w:t>
      </w:r>
      <w:r>
        <w:t xml:space="preserve"> The </w:t>
      </w:r>
      <w:r w:rsidRPr="00057BB2">
        <w:t>proportion of patients on apremilast achieving a minimum clinically important difference (MCID) for HAQ-DI of ≥0.30 was 36.4% compared with 26% on placebo.</w:t>
      </w:r>
    </w:p>
    <w:p w14:paraId="0B267421" w14:textId="0DC80F1B" w:rsidR="00E1246A" w:rsidRDefault="00E1246A" w:rsidP="001E22BA">
      <w:r w:rsidRPr="00E1246A">
        <w:t>Only limited evidence was presented to support the assumption of a HAQ-DI benefit for patients who remain on treatment with apremilast beyond the randomised placebo-controlled phases. The longer-term results that the company presented (up to 52 weeks for PSA-003 (3) and PSA-004 (4) and up to 104 weeks for PSA-002 (2)) are based on observed data from selected patients who remain on treatment and therefore represent an optimistic estimate of treatment benefit. Methodological limitations such as the lack of control groups, lack of adequate blinding, lack of treatment stopping criteria and lack of data on radiographic progression were not discussed by the company.</w:t>
      </w:r>
      <w:r>
        <w:t xml:space="preserve"> </w:t>
      </w:r>
      <w:r w:rsidRPr="00E1246A">
        <w:t xml:space="preserve">Notably, when the ERG also requested additional details on radiographic disease progression of joint damage in the apremilast trials, they were informed by the company that such data was not collected. This absence of evidence is very important, given the availability of such evidence for TNF-α inhibitors and the importance of early management of PsA, as emphasised by the NICE clinical guidance. (8, 10) Without such evidence for apremilast, the validity of positioning apremilast before </w:t>
      </w:r>
      <w:r w:rsidR="00834FDF">
        <w:t xml:space="preserve">TNF-α inhibitors  </w:t>
      </w:r>
      <w:r w:rsidRPr="00E1246A">
        <w:t>in a treatment sequence appears highly questionable.</w:t>
      </w:r>
    </w:p>
    <w:p w14:paraId="5D41D620" w14:textId="77777777" w:rsidR="00057BB2" w:rsidRDefault="001E22BA" w:rsidP="001E22BA">
      <w:r w:rsidRPr="001E22BA">
        <w:t xml:space="preserve">The </w:t>
      </w:r>
      <w:r w:rsidR="00057BB2" w:rsidRPr="001E22BA">
        <w:t xml:space="preserve">systematic searches and the methods used for the </w:t>
      </w:r>
      <w:r w:rsidR="00057BB2">
        <w:t xml:space="preserve">company’s </w:t>
      </w:r>
      <w:r w:rsidR="00057BB2" w:rsidRPr="001E22BA">
        <w:t xml:space="preserve">NMA were found to be appropriate </w:t>
      </w:r>
      <w:r w:rsidR="00057BB2">
        <w:t xml:space="preserve">and the </w:t>
      </w:r>
      <w:r w:rsidRPr="001E22BA">
        <w:t xml:space="preserve">quality assessment of the trials included in the NMA suggested that these were of good quality. </w:t>
      </w:r>
      <w:r w:rsidR="00057BB2" w:rsidRPr="001E22BA">
        <w:t>The ERG</w:t>
      </w:r>
      <w:r w:rsidR="00057BB2">
        <w:t>,</w:t>
      </w:r>
      <w:r w:rsidR="00057BB2" w:rsidRPr="001E22BA">
        <w:t xml:space="preserve"> </w:t>
      </w:r>
      <w:r w:rsidR="00057BB2">
        <w:t>however,</w:t>
      </w:r>
      <w:r w:rsidR="00057BB2" w:rsidRPr="001E22BA">
        <w:t xml:space="preserve"> questioned the appropriateness of including a trial not examining the licensed dose of apremilast (</w:t>
      </w:r>
      <w:r w:rsidR="00C435B2">
        <w:t xml:space="preserve">PSA-001 </w:t>
      </w:r>
      <w:r w:rsidR="003609FF">
        <w:fldChar w:fldCharType="begin">
          <w:fldData xml:space="preserve">PEVuZE5vdGU+PENpdGU+PEF1dGhvcj5TY2hldHQ8L0F1dGhvcj48WWVhcj4yMDEyPC9ZZWFyPjxS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</w:fldData>
        </w:fldChar>
      </w:r>
      <w:r w:rsidR="002E0519">
        <w:instrText xml:space="preserve"> ADDIN EN.CITE </w:instrText>
      </w:r>
      <w:r w:rsidR="002E0519">
        <w:fldChar w:fldCharType="begin">
          <w:fldData xml:space="preserve">PEVuZE5vdGU+PENpdGU+PEF1dGhvcj5TY2hldHQ8L0F1dGhvcj48WWVhcj4yMDEyPC9ZZWFyPjxS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</w:fldData>
        </w:fldChar>
      </w:r>
      <w:r w:rsidR="002E0519">
        <w:instrText xml:space="preserve"> ADDIN EN.CITE.DATA </w:instrText>
      </w:r>
      <w:r w:rsidR="002E0519">
        <w:fldChar w:fldCharType="end"/>
      </w:r>
      <w:r w:rsidR="003609FF">
        <w:fldChar w:fldCharType="separate"/>
      </w:r>
      <w:r w:rsidR="002E0519">
        <w:rPr>
          <w:noProof/>
        </w:rPr>
        <w:t>(</w:t>
      </w:r>
      <w:hyperlink w:anchor="_ENREF_14" w:tooltip="Schett, 2012 #153" w:history="1">
        <w:r w:rsidR="000839CF">
          <w:rPr>
            <w:noProof/>
          </w:rPr>
          <w:t>14</w:t>
        </w:r>
      </w:hyperlink>
      <w:r w:rsidR="002E0519">
        <w:rPr>
          <w:noProof/>
        </w:rPr>
        <w:t>)</w:t>
      </w:r>
      <w:r w:rsidR="003609FF">
        <w:fldChar w:fldCharType="end"/>
      </w:r>
      <w:r w:rsidR="00057BB2" w:rsidRPr="001E22BA">
        <w:t>)</w:t>
      </w:r>
      <w:r w:rsidR="00C435B2" w:rsidRPr="00C435B2">
        <w:t xml:space="preserve"> </w:t>
      </w:r>
      <w:r w:rsidR="00C435B2">
        <w:t xml:space="preserve">and </w:t>
      </w:r>
      <w:r w:rsidR="00C435B2" w:rsidRPr="00C435B2">
        <w:t xml:space="preserve">data </w:t>
      </w:r>
      <w:r w:rsidR="00132B14">
        <w:t xml:space="preserve">from the identified apremilast trials </w:t>
      </w:r>
      <w:r w:rsidR="00C435B2" w:rsidRPr="00C435B2">
        <w:t>relating</w:t>
      </w:r>
      <w:r w:rsidR="00132B14">
        <w:t xml:space="preserve"> to un</w:t>
      </w:r>
      <w:r w:rsidR="00132B14" w:rsidRPr="001E22BA">
        <w:t xml:space="preserve">licensed </w:t>
      </w:r>
      <w:r w:rsidR="00C435B2" w:rsidRPr="00C435B2">
        <w:t>doses of apremilast</w:t>
      </w:r>
      <w:r w:rsidR="00132B14">
        <w:t xml:space="preserve"> (20mg)</w:t>
      </w:r>
      <w:r w:rsidR="00057BB2" w:rsidRPr="001E22BA">
        <w:t xml:space="preserve">.  The </w:t>
      </w:r>
      <w:r w:rsidR="00EA3622">
        <w:t>company</w:t>
      </w:r>
      <w:r w:rsidR="00057BB2" w:rsidRPr="001E22BA">
        <w:t xml:space="preserve"> responded with </w:t>
      </w:r>
      <w:r w:rsidR="006B597D">
        <w:t>updated</w:t>
      </w:r>
      <w:r w:rsidR="00057BB2" w:rsidRPr="001E22BA">
        <w:t xml:space="preserve"> NMAs in which inappropriate data </w:t>
      </w:r>
      <w:r w:rsidR="00057BB2">
        <w:t>were</w:t>
      </w:r>
      <w:r w:rsidR="00057BB2" w:rsidRPr="001E22BA">
        <w:t xml:space="preserve"> excluded. </w:t>
      </w:r>
    </w:p>
    <w:p w14:paraId="41C0760C" w14:textId="4BF6CD48" w:rsidR="00057BB2" w:rsidRPr="001E22BA" w:rsidRDefault="00057BB2" w:rsidP="00057BB2">
      <w:r>
        <w:lastRenderedPageBreak/>
        <w:t>U</w:t>
      </w:r>
      <w:r w:rsidRPr="001E22BA">
        <w:t xml:space="preserve">stekinumab and certolizumab were incorporated as </w:t>
      </w:r>
      <w:r>
        <w:t>NMA comparators</w:t>
      </w:r>
      <w:r w:rsidRPr="001E22BA">
        <w:t xml:space="preserve"> </w:t>
      </w:r>
      <w:r w:rsidR="00E1246A">
        <w:t xml:space="preserve">only </w:t>
      </w:r>
      <w:r w:rsidRPr="001E22BA">
        <w:t>after a request from the ERG.</w:t>
      </w:r>
      <w:r w:rsidRPr="00057BB2">
        <w:t xml:space="preserve"> </w:t>
      </w:r>
      <w:r w:rsidRPr="001E22BA">
        <w:t>NMA results for relevant subgroups of the patient population (</w:t>
      </w:r>
      <w:r w:rsidR="00834FDF">
        <w:t xml:space="preserve">TNF-α inhibitor </w:t>
      </w:r>
      <w:r w:rsidRPr="001E22BA">
        <w:t xml:space="preserve">experienced patients, </w:t>
      </w:r>
      <w:r w:rsidR="00834FDF">
        <w:t xml:space="preserve">TNF-α inhibitor </w:t>
      </w:r>
      <w:r w:rsidRPr="001E22BA">
        <w:t xml:space="preserve">contraindicated patients) were also made available only after an ERG request. A NMA scenario comparing apremilast with conventional DMARDs was not presented. In addition, although the </w:t>
      </w:r>
      <w:r w:rsidR="00EA3622">
        <w:t>company</w:t>
      </w:r>
      <w:r w:rsidRPr="001E22BA">
        <w:t xml:space="preserve"> suggested positioning apremilast before </w:t>
      </w:r>
      <w:r w:rsidR="00E1246A">
        <w:t xml:space="preserve">TNF-α inhibitors </w:t>
      </w:r>
      <w:r w:rsidRPr="001E22BA">
        <w:t xml:space="preserve">in the treatment pathway, the </w:t>
      </w:r>
      <w:r w:rsidR="00A6559A">
        <w:t>submission</w:t>
      </w:r>
      <w:r w:rsidRPr="001E22BA">
        <w:t xml:space="preserve"> did not present any data on patient response to </w:t>
      </w:r>
      <w:r w:rsidR="00E1246A">
        <w:t xml:space="preserve">TNF-α inhibitor </w:t>
      </w:r>
      <w:r w:rsidRPr="001E22BA">
        <w:t>therapies a</w:t>
      </w:r>
      <w:r>
        <w:t>fter having received apremilast.</w:t>
      </w:r>
      <w:r w:rsidRPr="00057BB2">
        <w:t xml:space="preserve"> </w:t>
      </w:r>
      <w:r w:rsidRPr="001E22BA">
        <w:t>In terms of safety, there is still uncertainty about the long-term safety of apremilast as the data is currently limited to two years.</w:t>
      </w:r>
    </w:p>
    <w:p w14:paraId="0F7D7DD5" w14:textId="77777777" w:rsidR="00E1246A" w:rsidRPr="00F71694" w:rsidRDefault="00E1246A" w:rsidP="000B4A02"/>
    <w:p w14:paraId="5C511531" w14:textId="77777777" w:rsidR="00486B1A" w:rsidRPr="00F71694" w:rsidRDefault="00486B1A" w:rsidP="00571105">
      <w:pPr>
        <w:pStyle w:val="Heading2"/>
        <w:numPr>
          <w:ilvl w:val="1"/>
          <w:numId w:val="1"/>
        </w:numPr>
        <w:spacing w:after="120"/>
        <w:rPr>
          <w:rFonts w:asciiTheme="minorHAnsi" w:hAnsiTheme="minorHAnsi" w:cs="Times New Roman"/>
          <w:color w:val="auto"/>
          <w:sz w:val="22"/>
          <w:szCs w:val="22"/>
        </w:rPr>
      </w:pPr>
      <w:r w:rsidRPr="00F71694">
        <w:rPr>
          <w:rFonts w:asciiTheme="minorHAnsi" w:hAnsiTheme="minorHAnsi" w:cs="Times New Roman"/>
          <w:color w:val="auto"/>
          <w:sz w:val="22"/>
          <w:szCs w:val="22"/>
        </w:rPr>
        <w:t>Cost-Effectiveness Evidence</w:t>
      </w:r>
      <w:r w:rsidR="00482EE9" w:rsidRPr="00F71694">
        <w:rPr>
          <w:rFonts w:asciiTheme="minorHAnsi" w:hAnsiTheme="minorHAnsi" w:cs="Times New Roman"/>
          <w:color w:val="auto"/>
          <w:sz w:val="22"/>
          <w:szCs w:val="22"/>
        </w:rPr>
        <w:t xml:space="preserve"> </w:t>
      </w:r>
    </w:p>
    <w:p w14:paraId="2DA6D736" w14:textId="77777777" w:rsidR="00DF68BB" w:rsidRPr="00F71694" w:rsidRDefault="00712349" w:rsidP="008361A2">
      <w:r w:rsidRPr="00F71694">
        <w:t>T</w:t>
      </w:r>
      <w:r w:rsidR="008361A2" w:rsidRPr="00F71694">
        <w:t xml:space="preserve">he </w:t>
      </w:r>
      <w:r w:rsidR="00EA3622">
        <w:t>company</w:t>
      </w:r>
      <w:r w:rsidR="00E50BBD" w:rsidRPr="00F71694">
        <w:t xml:space="preserve"> </w:t>
      </w:r>
      <w:r w:rsidR="009F2AFB">
        <w:t xml:space="preserve">submitted </w:t>
      </w:r>
      <w:r w:rsidR="008361A2" w:rsidRPr="00F71694">
        <w:t>a de novo economic</w:t>
      </w:r>
      <w:r w:rsidR="000F4A33">
        <w:t xml:space="preserve"> </w:t>
      </w:r>
      <w:r w:rsidR="008361A2" w:rsidRPr="00F71694">
        <w:t>model</w:t>
      </w:r>
      <w:r w:rsidR="009F2AFB">
        <w:t xml:space="preserve">. </w:t>
      </w:r>
      <w:r w:rsidR="009F2AFB" w:rsidRPr="00B01DE8">
        <w:t xml:space="preserve">The cost-effectiveness model submitted </w:t>
      </w:r>
      <w:r w:rsidR="007874BD">
        <w:t>was</w:t>
      </w:r>
      <w:r w:rsidR="009F2AFB" w:rsidRPr="00B01DE8">
        <w:t xml:space="preserve"> based on the </w:t>
      </w:r>
      <w:r w:rsidR="00E4222F">
        <w:t>Markov</w:t>
      </w:r>
      <w:r w:rsidR="000F4A33">
        <w:t xml:space="preserve"> cohort </w:t>
      </w:r>
      <w:r w:rsidR="009F2AFB" w:rsidRPr="00B01DE8">
        <w:t xml:space="preserve">structure presented in the original cost-effectiveness analysis of </w:t>
      </w:r>
      <w:r w:rsidR="00E1246A" w:rsidRPr="00E1246A">
        <w:t xml:space="preserve">TNF-α inhibitors </w:t>
      </w:r>
      <w:r w:rsidR="001871CB">
        <w:t>for PsA</w:t>
      </w:r>
      <w:r w:rsidR="00B01DE8" w:rsidRPr="00B01DE8">
        <w:t xml:space="preserve"> by the York Assessment Group</w:t>
      </w:r>
      <w:r w:rsidR="001871CB">
        <w:t xml:space="preserve"> (</w:t>
      </w:r>
      <w:r w:rsidR="000D6187">
        <w:t xml:space="preserve">TA199 </w:t>
      </w:r>
      <w:r w:rsidR="000D6187">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 </w:instrText>
      </w:r>
      <w:r w:rsidR="002E0519">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EN.CITE.DATA </w:instrText>
      </w:r>
      <w:r w:rsidR="002E0519">
        <w:fldChar w:fldCharType="end"/>
      </w:r>
      <w:r w:rsidR="000D6187">
        <w:fldChar w:fldCharType="separate"/>
      </w:r>
      <w:r w:rsidR="002E0519">
        <w:rPr>
          <w:noProof/>
        </w:rPr>
        <w:t>(</w:t>
      </w:r>
      <w:hyperlink w:anchor="_ENREF_17" w:tooltip="Rodgers, 2011 #148" w:history="1">
        <w:r w:rsidR="000839CF">
          <w:rPr>
            <w:noProof/>
          </w:rPr>
          <w:t>17</w:t>
        </w:r>
      </w:hyperlink>
      <w:r w:rsidR="002E0519">
        <w:rPr>
          <w:noProof/>
        </w:rPr>
        <w:t>)</w:t>
      </w:r>
      <w:r w:rsidR="000D6187">
        <w:fldChar w:fldCharType="end"/>
      </w:r>
      <w:r w:rsidR="001871CB">
        <w:t>)</w:t>
      </w:r>
      <w:r w:rsidR="00B01DE8" w:rsidRPr="00B01DE8">
        <w:t>.</w:t>
      </w:r>
      <w:r w:rsidR="009F2AFB" w:rsidRPr="00B01DE8">
        <w:t xml:space="preserve"> The York model structure was extended by the company to evaluate sequences of</w:t>
      </w:r>
      <w:r w:rsidR="00B01DE8" w:rsidRPr="00B01DE8">
        <w:t xml:space="preserve"> treatment</w:t>
      </w:r>
      <w:r w:rsidR="00B01DE8">
        <w:t>s</w:t>
      </w:r>
      <w:r w:rsidR="009F2AFB" w:rsidRPr="009D7EC3">
        <w:rPr>
          <w:rFonts w:ascii="Garamond" w:hAnsi="Garamond" w:cs="Times New Roman"/>
        </w:rPr>
        <w:t xml:space="preserve">.  </w:t>
      </w:r>
      <w:r w:rsidR="009F2AFB" w:rsidRPr="00F71694">
        <w:t xml:space="preserve">The target population for the base case analysis was patients with active PsA who have not responded to or are intolerant to at least two previous conventional DMARD therapies. A subgroup analysis examined the cost-effectiveness of apremilast in biologic-naïve patients. </w:t>
      </w:r>
      <w:r w:rsidR="008361A2" w:rsidRPr="00F71694">
        <w:t xml:space="preserve">The model had a 40 year time horizon and a 28-day cycle length. </w:t>
      </w:r>
    </w:p>
    <w:p w14:paraId="749B075C" w14:textId="77777777" w:rsidR="00BF69E7" w:rsidRDefault="00BF69E7" w:rsidP="008361A2">
      <w:r w:rsidRPr="00BF69E7">
        <w:t xml:space="preserve">The base-case analysis compared two sequences, with the </w:t>
      </w:r>
      <w:r w:rsidR="00B64E32">
        <w:t>inclusion</w:t>
      </w:r>
      <w:r w:rsidRPr="00BF69E7">
        <w:t xml:space="preserve"> of apremilast as a pre-</w:t>
      </w:r>
      <w:r w:rsidR="00B64E32">
        <w:t xml:space="preserve"> </w:t>
      </w:r>
      <w:r w:rsidR="00E1246A">
        <w:t xml:space="preserve">TNF-α inhibitor </w:t>
      </w:r>
      <w:r w:rsidRPr="00BF69E7">
        <w:t xml:space="preserve">line of treatment.  </w:t>
      </w:r>
      <w:r w:rsidR="00B64E32">
        <w:t>P</w:t>
      </w:r>
      <w:r w:rsidR="00B64E32" w:rsidRPr="00B64E32">
        <w:t>atients not responding to or discontinuing</w:t>
      </w:r>
      <w:r w:rsidR="00B64E32">
        <w:t xml:space="preserve"> from</w:t>
      </w:r>
      <w:r w:rsidR="00B64E32" w:rsidRPr="00B64E32">
        <w:t xml:space="preserve"> all treatment options </w:t>
      </w:r>
      <w:r w:rsidR="00B64E32">
        <w:t xml:space="preserve">were </w:t>
      </w:r>
      <w:r w:rsidR="00B64E32" w:rsidRPr="00B64E32">
        <w:t>placed on best supportive care (BSC):</w:t>
      </w:r>
    </w:p>
    <w:p w14:paraId="7A763EF7" w14:textId="77777777" w:rsidR="00B01DE8" w:rsidRPr="00B01DE8" w:rsidRDefault="00B01DE8" w:rsidP="00B01DE8">
      <w:pPr>
        <w:numPr>
          <w:ilvl w:val="0"/>
          <w:numId w:val="11"/>
        </w:numPr>
        <w:spacing w:before="120" w:after="0"/>
        <w:ind w:left="1276"/>
      </w:pPr>
      <w:r w:rsidRPr="00B01DE8">
        <w:rPr>
          <w:b/>
        </w:rPr>
        <w:t>Apremilast sequence:</w:t>
      </w:r>
      <w:r w:rsidRPr="00B01DE8">
        <w:t xml:space="preserve"> apremilast → adalimumab → etanercept → BSC</w:t>
      </w:r>
    </w:p>
    <w:p w14:paraId="255A9553" w14:textId="77777777" w:rsidR="00B01DE8" w:rsidRPr="00B01DE8" w:rsidRDefault="00B01DE8" w:rsidP="00B01DE8">
      <w:pPr>
        <w:numPr>
          <w:ilvl w:val="0"/>
          <w:numId w:val="11"/>
        </w:numPr>
        <w:spacing w:after="240"/>
        <w:ind w:left="1276"/>
      </w:pPr>
      <w:r w:rsidRPr="00B01DE8">
        <w:rPr>
          <w:b/>
        </w:rPr>
        <w:t>Comparator sequence:</w:t>
      </w:r>
      <w:r w:rsidRPr="00B01DE8">
        <w:t xml:space="preserve"> adalimumab → etanercept → BSC</w:t>
      </w:r>
    </w:p>
    <w:p w14:paraId="1F1F53EA" w14:textId="77777777" w:rsidR="006C5DCF" w:rsidRPr="00F71694" w:rsidRDefault="006C5DCF" w:rsidP="008361A2">
      <w:r w:rsidRPr="00F71694">
        <w:t xml:space="preserve">A </w:t>
      </w:r>
      <w:r w:rsidR="00344ACF" w:rsidRPr="00F71694">
        <w:t>schematic</w:t>
      </w:r>
      <w:r w:rsidRPr="00F71694">
        <w:t xml:space="preserve"> of the </w:t>
      </w:r>
      <w:r w:rsidR="00EA3622">
        <w:t>company</w:t>
      </w:r>
      <w:r w:rsidRPr="00F71694">
        <w:t>’s economic model is presented in Figure 1.</w:t>
      </w:r>
    </w:p>
    <w:p w14:paraId="0FE30BC8" w14:textId="77777777" w:rsidR="00CA3DD8" w:rsidRPr="00F71694" w:rsidRDefault="00CA3DD8" w:rsidP="00344ACF">
      <w:pPr>
        <w:keepNext/>
        <w:spacing w:after="120" w:line="240" w:lineRule="auto"/>
        <w:rPr>
          <w:rFonts w:eastAsiaTheme="minorEastAsia"/>
          <w:b/>
          <w:bCs/>
          <w:sz w:val="20"/>
          <w:szCs w:val="18"/>
        </w:rPr>
      </w:pPr>
      <w:bookmarkStart w:id="3" w:name="_Toc414378477"/>
      <w:r w:rsidRPr="00F71694">
        <w:rPr>
          <w:rFonts w:eastAsiaTheme="minorEastAsia"/>
          <w:b/>
          <w:bCs/>
          <w:sz w:val="20"/>
          <w:szCs w:val="18"/>
        </w:rPr>
        <w:t xml:space="preserve">Figure </w:t>
      </w:r>
      <w:r w:rsidRPr="00F71694">
        <w:rPr>
          <w:rFonts w:eastAsiaTheme="minorEastAsia"/>
          <w:b/>
          <w:bCs/>
          <w:sz w:val="20"/>
          <w:szCs w:val="18"/>
        </w:rPr>
        <w:fldChar w:fldCharType="begin"/>
      </w:r>
      <w:r w:rsidRPr="00F71694">
        <w:rPr>
          <w:rFonts w:eastAsiaTheme="minorEastAsia"/>
          <w:b/>
          <w:bCs/>
          <w:sz w:val="20"/>
          <w:szCs w:val="18"/>
        </w:rPr>
        <w:instrText xml:space="preserve"> SEQ Figure \* ARABIC </w:instrText>
      </w:r>
      <w:r w:rsidRPr="00F71694">
        <w:rPr>
          <w:rFonts w:eastAsiaTheme="minorEastAsia"/>
          <w:b/>
          <w:bCs/>
          <w:sz w:val="20"/>
          <w:szCs w:val="18"/>
        </w:rPr>
        <w:fldChar w:fldCharType="separate"/>
      </w:r>
      <w:r w:rsidR="00721341">
        <w:rPr>
          <w:rFonts w:eastAsiaTheme="minorEastAsia"/>
          <w:b/>
          <w:bCs/>
          <w:noProof/>
          <w:sz w:val="20"/>
          <w:szCs w:val="18"/>
        </w:rPr>
        <w:t>1</w:t>
      </w:r>
      <w:r w:rsidRPr="00F71694">
        <w:rPr>
          <w:rFonts w:eastAsiaTheme="minorEastAsia"/>
          <w:b/>
          <w:bCs/>
          <w:sz w:val="20"/>
          <w:szCs w:val="18"/>
        </w:rPr>
        <w:fldChar w:fldCharType="end"/>
      </w:r>
      <w:r w:rsidRPr="00F71694">
        <w:rPr>
          <w:rFonts w:eastAsiaTheme="minorEastAsia"/>
          <w:b/>
          <w:bCs/>
          <w:sz w:val="20"/>
          <w:szCs w:val="18"/>
        </w:rPr>
        <w:t xml:space="preserve"> </w:t>
      </w:r>
      <w:r w:rsidR="00EA3622">
        <w:rPr>
          <w:rFonts w:eastAsiaTheme="minorEastAsia"/>
          <w:b/>
          <w:bCs/>
          <w:sz w:val="20"/>
          <w:szCs w:val="18"/>
        </w:rPr>
        <w:t>Company</w:t>
      </w:r>
      <w:r w:rsidRPr="00F71694">
        <w:rPr>
          <w:rFonts w:eastAsiaTheme="minorEastAsia"/>
          <w:b/>
          <w:bCs/>
          <w:sz w:val="20"/>
          <w:szCs w:val="18"/>
        </w:rPr>
        <w:t xml:space="preserve">’s de novo Markov model structure </w:t>
      </w:r>
      <w:bookmarkEnd w:id="3"/>
    </w:p>
    <w:p w14:paraId="1447ADFB" w14:textId="77777777" w:rsidR="00CA3DD8" w:rsidRPr="00F71694" w:rsidRDefault="00CA3DD8" w:rsidP="00CA3DD8">
      <w:pPr>
        <w:spacing w:before="120" w:after="240" w:line="360" w:lineRule="auto"/>
        <w:rPr>
          <w:rFonts w:eastAsiaTheme="minorEastAsia"/>
        </w:rPr>
      </w:pPr>
      <w:r w:rsidRPr="00F71694">
        <w:rPr>
          <w:rFonts w:eastAsiaTheme="minorEastAsia"/>
          <w:noProof/>
          <w:sz w:val="24"/>
          <w:lang w:eastAsia="en-GB"/>
        </w:rPr>
        <w:drawing>
          <wp:inline distT="0" distB="0" distL="0" distR="0" wp14:anchorId="255FF629" wp14:editId="6D735863">
            <wp:extent cx="5273675" cy="260477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3675" cy="2604770"/>
                    </a:xfrm>
                    <a:prstGeom prst="rect">
                      <a:avLst/>
                    </a:prstGeom>
                    <a:noFill/>
                    <a:ln w="9525">
                      <a:noFill/>
                      <a:miter lim="800000"/>
                      <a:headEnd/>
                      <a:tailEnd/>
                    </a:ln>
                  </pic:spPr>
                </pic:pic>
              </a:graphicData>
            </a:graphic>
          </wp:inline>
        </w:drawing>
      </w:r>
    </w:p>
    <w:p w14:paraId="1CEA441D" w14:textId="77777777" w:rsidR="008361A2" w:rsidRPr="00F71694" w:rsidRDefault="008361A2" w:rsidP="008361A2">
      <w:r w:rsidRPr="00F71694">
        <w:lastRenderedPageBreak/>
        <w:t xml:space="preserve">Each treatment in the </w:t>
      </w:r>
      <w:r w:rsidR="00EA3622">
        <w:t>company</w:t>
      </w:r>
      <w:r w:rsidRPr="00F71694">
        <w:t>’s model consisted of two distinct health states: trial period (i.e. response period) and continued use (maintenance).</w:t>
      </w:r>
      <w:r w:rsidR="00BA516D" w:rsidRPr="00F71694">
        <w:t xml:space="preserve"> </w:t>
      </w:r>
      <w:r w:rsidRPr="00F71694">
        <w:t>Response to treatment was evaluated at the end of a treatment-specific trial period according to PsARC criteria. Non-responders transitioned to the subsequent treatment option</w:t>
      </w:r>
      <w:r w:rsidR="007C09BC">
        <w:t xml:space="preserve"> and </w:t>
      </w:r>
      <w:r w:rsidRPr="00F71694">
        <w:t>responders were assumed to continue treatment until they withdrew due to lack of efficacy or adverse events. Adverse events were not explicitly modelled.</w:t>
      </w:r>
    </w:p>
    <w:p w14:paraId="6243BC6A" w14:textId="167BE0A7" w:rsidR="00FA284C" w:rsidRPr="00F71694" w:rsidRDefault="004A781A" w:rsidP="008361A2">
      <w:r w:rsidRPr="00F71694">
        <w:t xml:space="preserve">The </w:t>
      </w:r>
      <w:r w:rsidR="007C09BC">
        <w:t>decision rule</w:t>
      </w:r>
      <w:r w:rsidR="007C09BC" w:rsidRPr="00F71694">
        <w:t xml:space="preserve"> </w:t>
      </w:r>
      <w:r w:rsidR="00FA284C" w:rsidRPr="00F71694">
        <w:t xml:space="preserve">for continuing treatment was the </w:t>
      </w:r>
      <w:r w:rsidR="007C09BC">
        <w:t xml:space="preserve">presence of a </w:t>
      </w:r>
      <w:r w:rsidR="00FA284C" w:rsidRPr="00F71694">
        <w:t xml:space="preserve">PsARC response, assessed at 16 weeks (for apremilast) or 12 weeks (for </w:t>
      </w:r>
      <w:r w:rsidR="00E1246A" w:rsidRPr="00E1246A">
        <w:t>TNF-α inhibitors</w:t>
      </w:r>
      <w:r w:rsidR="00FA284C" w:rsidRPr="00F71694">
        <w:t xml:space="preserve">). Treatment </w:t>
      </w:r>
      <w:r w:rsidR="007F7DAD">
        <w:t>impact</w:t>
      </w:r>
      <w:r w:rsidR="007F7DAD" w:rsidRPr="00F71694">
        <w:t xml:space="preserve"> </w:t>
      </w:r>
      <w:r w:rsidR="00FA284C" w:rsidRPr="00F71694">
        <w:t xml:space="preserve">in terms of skin disease was based on the probability of achieving PASI-75. </w:t>
      </w:r>
      <w:r w:rsidR="00BA516D" w:rsidRPr="00F71694">
        <w:t xml:space="preserve">PsARC response rates and </w:t>
      </w:r>
      <w:r w:rsidR="007C09BC">
        <w:t xml:space="preserve">conditional </w:t>
      </w:r>
      <w:r w:rsidR="00BA516D" w:rsidRPr="00F71694">
        <w:t>m</w:t>
      </w:r>
      <w:r w:rsidR="00FA284C" w:rsidRPr="00F71694">
        <w:t xml:space="preserve">ean changes in the HAQ-DI and PASI scores </w:t>
      </w:r>
      <w:r w:rsidR="00BA516D" w:rsidRPr="00F71694">
        <w:t xml:space="preserve">were </w:t>
      </w:r>
      <w:r w:rsidR="00077838" w:rsidRPr="00F71694">
        <w:t xml:space="preserve">obtained from the </w:t>
      </w:r>
      <w:r w:rsidR="00EA3622">
        <w:t>company</w:t>
      </w:r>
      <w:r w:rsidR="00077838" w:rsidRPr="00F71694">
        <w:t>’s NMA</w:t>
      </w:r>
      <w:r w:rsidR="00FA284C" w:rsidRPr="00F71694">
        <w:t xml:space="preserve">. A reduction </w:t>
      </w:r>
      <w:r w:rsidR="00C74F0F">
        <w:t xml:space="preserve">in terms of </w:t>
      </w:r>
      <w:r w:rsidR="00C74F0F" w:rsidRPr="00C74F0F">
        <w:t xml:space="preserve">and short-term efficacy (i.e. PsARC response </w:t>
      </w:r>
      <w:r w:rsidR="00C74F0F">
        <w:t xml:space="preserve">at the end of the trial period) and </w:t>
      </w:r>
      <w:r w:rsidR="00C74F0F" w:rsidRPr="00C74F0F">
        <w:t>long-term efficacy (i.e. withdrawal rates)</w:t>
      </w:r>
      <w:r w:rsidR="00C74F0F">
        <w:t xml:space="preserve"> </w:t>
      </w:r>
      <w:r w:rsidR="00FA284C" w:rsidRPr="00F71694">
        <w:t xml:space="preserve">was applied for subsequent </w:t>
      </w:r>
      <w:r w:rsidR="001C2CCA" w:rsidRPr="00F71694">
        <w:t xml:space="preserve">lines of </w:t>
      </w:r>
      <w:r w:rsidR="00E1246A" w:rsidRPr="00E1246A">
        <w:t xml:space="preserve">TNF-α inhibitors </w:t>
      </w:r>
      <w:r w:rsidR="00FA284C" w:rsidRPr="00F71694">
        <w:t xml:space="preserve">following primary non-response to a previous </w:t>
      </w:r>
      <w:r w:rsidR="00E1246A">
        <w:t xml:space="preserve">TNF-α inhibitor </w:t>
      </w:r>
      <w:r w:rsidR="00FA284C" w:rsidRPr="00F71694">
        <w:t xml:space="preserve">treatment (i.e. not attaining PsARC response at the end of the trial period) based on a study from Hyrich et al. </w:t>
      </w:r>
      <w:r w:rsidR="000D6187">
        <w:fldChar w:fldCharType="begin">
          <w:fldData xml:space="preserve">PEVuZE5vdGU+PENpdGU+PEF1dGhvcj5IeXJpY2g8L0F1dGhvcj48WWVhcj4yMDA3PC9ZZWFyPjxS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</w:fldData>
        </w:fldChar>
      </w:r>
      <w:r w:rsidR="002E0519">
        <w:instrText xml:space="preserve"> ADDIN EN.CITE </w:instrText>
      </w:r>
      <w:r w:rsidR="002E0519">
        <w:fldChar w:fldCharType="begin">
          <w:fldData xml:space="preserve">PEVuZE5vdGU+PENpdGU+PEF1dGhvcj5IeXJpY2g8L0F1dGhvcj48WWVhcj4yMDA3PC9ZZWFyPjxS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</w:fldData>
        </w:fldChar>
      </w:r>
      <w:r w:rsidR="002E0519">
        <w:instrText xml:space="preserve"> ADDIN EN.CITE.DATA </w:instrText>
      </w:r>
      <w:r w:rsidR="002E0519">
        <w:fldChar w:fldCharType="end"/>
      </w:r>
      <w:r w:rsidR="000D6187">
        <w:fldChar w:fldCharType="separate"/>
      </w:r>
      <w:r w:rsidR="002E0519">
        <w:rPr>
          <w:noProof/>
        </w:rPr>
        <w:t>(</w:t>
      </w:r>
      <w:hyperlink w:anchor="_ENREF_18" w:tooltip="Hyrich, 2007 #71" w:history="1">
        <w:r w:rsidR="000839CF">
          <w:rPr>
            <w:noProof/>
          </w:rPr>
          <w:t>18</w:t>
        </w:r>
      </w:hyperlink>
      <w:r w:rsidR="002E0519">
        <w:rPr>
          <w:noProof/>
        </w:rPr>
        <w:t>)</w:t>
      </w:r>
      <w:r w:rsidR="000D6187">
        <w:fldChar w:fldCharType="end"/>
      </w:r>
    </w:p>
    <w:p w14:paraId="5BA00AF8" w14:textId="0887FAB7" w:rsidR="00885203" w:rsidRDefault="00FA284C" w:rsidP="00FA284C">
      <w:r w:rsidRPr="00F71694">
        <w:t xml:space="preserve">A constant annual withdrawal rate of 16.5% beyond the primary response period </w:t>
      </w:r>
      <w:r w:rsidR="007F7DAD">
        <w:t>(</w:t>
      </w:r>
      <w:r w:rsidR="007F7DAD" w:rsidRPr="007F7DAD">
        <w:t>16 weeks for apremilast</w:t>
      </w:r>
      <w:r w:rsidR="007F7DAD">
        <w:t xml:space="preserve"> and </w:t>
      </w:r>
      <w:r w:rsidR="007F7DAD" w:rsidRPr="007F7DAD">
        <w:t>12 weeks for TNF-α inhibitors</w:t>
      </w:r>
      <w:r w:rsidR="007F7DAD">
        <w:t>)</w:t>
      </w:r>
      <w:r w:rsidR="007F7DAD" w:rsidRPr="007F7DAD">
        <w:t xml:space="preserve"> </w:t>
      </w:r>
      <w:r w:rsidR="001C2CCA" w:rsidRPr="00F71694">
        <w:t xml:space="preserve">was applied to </w:t>
      </w:r>
      <w:r w:rsidRPr="00F71694">
        <w:t>all treatments</w:t>
      </w:r>
      <w:r w:rsidR="001C2CCA" w:rsidRPr="00F71694">
        <w:t xml:space="preserve"> </w:t>
      </w:r>
      <w:r w:rsidRPr="00F71694">
        <w:t>in the model, based on TA199.</w:t>
      </w:r>
      <w:r w:rsidR="000D6187">
        <w:t xml:space="preserve"> </w:t>
      </w:r>
      <w:r w:rsidR="000D6187">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 </w:instrText>
      </w:r>
      <w:r w:rsidR="002E0519">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EN.CITE.DATA </w:instrText>
      </w:r>
      <w:r w:rsidR="002E0519">
        <w:fldChar w:fldCharType="end"/>
      </w:r>
      <w:r w:rsidR="000D6187">
        <w:fldChar w:fldCharType="separate"/>
      </w:r>
      <w:r w:rsidR="002E0519">
        <w:rPr>
          <w:noProof/>
        </w:rPr>
        <w:t>(</w:t>
      </w:r>
      <w:hyperlink w:anchor="_ENREF_17" w:tooltip="Rodgers, 2011 #148" w:history="1">
        <w:r w:rsidR="000839CF">
          <w:rPr>
            <w:noProof/>
          </w:rPr>
          <w:t>17</w:t>
        </w:r>
      </w:hyperlink>
      <w:r w:rsidR="002E0519">
        <w:rPr>
          <w:noProof/>
        </w:rPr>
        <w:t>)</w:t>
      </w:r>
      <w:r w:rsidR="000D6187">
        <w:fldChar w:fldCharType="end"/>
      </w:r>
      <w:r w:rsidRPr="00F71694">
        <w:t xml:space="preserve"> Patients who discontinued a treatment transitioned to the next treatment option or BSC when they had failed all treatments. Rebound to the baseline HAQ value </w:t>
      </w:r>
      <w:r w:rsidR="00E4222F">
        <w:t xml:space="preserve">(rebound to gain) </w:t>
      </w:r>
      <w:r w:rsidRPr="00F71694">
        <w:t>was ass</w:t>
      </w:r>
      <w:r w:rsidR="00643130">
        <w:t>umed for patients entering BSC</w:t>
      </w:r>
      <w:r w:rsidRPr="00F71694">
        <w:t xml:space="preserve">. </w:t>
      </w:r>
    </w:p>
    <w:p w14:paraId="25D1AB7B" w14:textId="77777777" w:rsidR="00FA284C" w:rsidRDefault="00FA284C" w:rsidP="00FA284C">
      <w:r w:rsidRPr="00F71694">
        <w:t>EQ-5D utilities were mapped onto HAQ-DI and PASI scores to reflect the quality of life associated with levels of psoriasis and arthritis functional status. In the base case analysis</w:t>
      </w:r>
      <w:r w:rsidR="007C09BC">
        <w:t>,</w:t>
      </w:r>
      <w:r w:rsidRPr="00F71694">
        <w:t xml:space="preserve"> utilities were</w:t>
      </w:r>
      <w:r w:rsidR="007C09BC">
        <w:t xml:space="preserve"> derived using the algorithm from </w:t>
      </w:r>
      <w:r w:rsidRPr="00F71694">
        <w:t xml:space="preserve">TA199. </w:t>
      </w:r>
      <w:r w:rsidR="000D6187">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 </w:instrText>
      </w:r>
      <w:r w:rsidR="002E0519">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EN.CITE.DATA </w:instrText>
      </w:r>
      <w:r w:rsidR="002E0519">
        <w:fldChar w:fldCharType="end"/>
      </w:r>
      <w:r w:rsidR="000D6187">
        <w:fldChar w:fldCharType="separate"/>
      </w:r>
      <w:r w:rsidR="002E0519">
        <w:rPr>
          <w:noProof/>
        </w:rPr>
        <w:t>(</w:t>
      </w:r>
      <w:hyperlink w:anchor="_ENREF_17" w:tooltip="Rodgers, 2011 #148" w:history="1">
        <w:r w:rsidR="000839CF">
          <w:rPr>
            <w:noProof/>
          </w:rPr>
          <w:t>17</w:t>
        </w:r>
      </w:hyperlink>
      <w:r w:rsidR="002E0519">
        <w:rPr>
          <w:noProof/>
        </w:rPr>
        <w:t>)</w:t>
      </w:r>
      <w:r w:rsidR="000D6187">
        <w:fldChar w:fldCharType="end"/>
      </w:r>
      <w:r w:rsidR="000D6187">
        <w:t xml:space="preserve"> </w:t>
      </w:r>
      <w:r w:rsidRPr="00F71694">
        <w:t xml:space="preserve">A utility model based on apremilast trial data was </w:t>
      </w:r>
      <w:r w:rsidR="00920C4D" w:rsidRPr="00F71694">
        <w:t xml:space="preserve">only </w:t>
      </w:r>
      <w:r w:rsidRPr="00F71694">
        <w:t>used in a scenario analysis.</w:t>
      </w:r>
      <w:r w:rsidR="006C5DCF" w:rsidRPr="00F71694">
        <w:t xml:space="preserve"> </w:t>
      </w:r>
      <w:r w:rsidRPr="00F71694">
        <w:t>Costs relating to drug acquisition, drug admi</w:t>
      </w:r>
      <w:r w:rsidR="00BF34C1" w:rsidRPr="00F71694">
        <w:t xml:space="preserve">nistration, </w:t>
      </w:r>
      <w:r w:rsidRPr="00F71694">
        <w:t xml:space="preserve">physician visits, </w:t>
      </w:r>
      <w:r w:rsidR="00BF34C1" w:rsidRPr="00F71694">
        <w:t xml:space="preserve">monitoring, </w:t>
      </w:r>
      <w:r w:rsidRPr="00F71694">
        <w:t>laboratory test</w:t>
      </w:r>
      <w:r w:rsidR="00BF34C1" w:rsidRPr="00F71694">
        <w:t xml:space="preserve">ing </w:t>
      </w:r>
      <w:r w:rsidRPr="00F71694">
        <w:t>and disease-related costs were included in the economic model. The disease-related healthcare costs were estimated as a function of HAQ-DI score, following the approach in TA199.</w:t>
      </w:r>
      <w:r w:rsidR="000D6187">
        <w:t xml:space="preserve"> </w:t>
      </w:r>
      <w:r w:rsidR="000D6187">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 </w:instrText>
      </w:r>
      <w:r w:rsidR="002E0519">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EN.CITE.DATA </w:instrText>
      </w:r>
      <w:r w:rsidR="002E0519">
        <w:fldChar w:fldCharType="end"/>
      </w:r>
      <w:r w:rsidR="000D6187">
        <w:fldChar w:fldCharType="separate"/>
      </w:r>
      <w:r w:rsidR="002E0519">
        <w:rPr>
          <w:noProof/>
        </w:rPr>
        <w:t>(</w:t>
      </w:r>
      <w:hyperlink w:anchor="_ENREF_17" w:tooltip="Rodgers, 2011 #148" w:history="1">
        <w:r w:rsidR="000839CF">
          <w:rPr>
            <w:noProof/>
          </w:rPr>
          <w:t>17</w:t>
        </w:r>
      </w:hyperlink>
      <w:r w:rsidR="002E0519">
        <w:rPr>
          <w:noProof/>
        </w:rPr>
        <w:t>)</w:t>
      </w:r>
      <w:r w:rsidR="000D6187">
        <w:fldChar w:fldCharType="end"/>
      </w:r>
      <w:r w:rsidRPr="00F71694">
        <w:t xml:space="preserve"> Psoriasis-related costs were estimated separately, similarly to TA199.</w:t>
      </w:r>
      <w:r w:rsidR="000D6187">
        <w:t xml:space="preserve"> </w:t>
      </w:r>
      <w:r w:rsidR="000D6187">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 </w:instrText>
      </w:r>
      <w:r w:rsidR="002E0519">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EN.CITE.DATA </w:instrText>
      </w:r>
      <w:r w:rsidR="002E0519">
        <w:fldChar w:fldCharType="end"/>
      </w:r>
      <w:r w:rsidR="000D6187">
        <w:fldChar w:fldCharType="separate"/>
      </w:r>
      <w:r w:rsidR="002E0519">
        <w:rPr>
          <w:noProof/>
        </w:rPr>
        <w:t>(</w:t>
      </w:r>
      <w:hyperlink w:anchor="_ENREF_17" w:tooltip="Rodgers, 2011 #148" w:history="1">
        <w:r w:rsidR="000839CF">
          <w:rPr>
            <w:noProof/>
          </w:rPr>
          <w:t>17</w:t>
        </w:r>
      </w:hyperlink>
      <w:r w:rsidR="002E0519">
        <w:rPr>
          <w:noProof/>
        </w:rPr>
        <w:t>)</w:t>
      </w:r>
      <w:r w:rsidR="000D6187">
        <w:fldChar w:fldCharType="end"/>
      </w:r>
    </w:p>
    <w:p w14:paraId="77AC49EC" w14:textId="29F7AD01" w:rsidR="00B01DE8" w:rsidRDefault="00421D17" w:rsidP="00421D17">
      <w:r w:rsidRPr="00F71694">
        <w:t xml:space="preserve">Table </w:t>
      </w:r>
      <w:r w:rsidR="00885203">
        <w:t>2</w:t>
      </w:r>
      <w:r w:rsidRPr="00F71694">
        <w:t xml:space="preserve"> presents the base-case cost effectiveness results, after </w:t>
      </w:r>
      <w:r w:rsidR="00A8780A">
        <w:t xml:space="preserve">these were </w:t>
      </w:r>
      <w:r w:rsidRPr="00F71694">
        <w:t xml:space="preserve">updated for discrepancies in </w:t>
      </w:r>
      <w:r w:rsidR="00A41A2C">
        <w:t xml:space="preserve">the </w:t>
      </w:r>
      <w:r w:rsidRPr="00F71694">
        <w:t>clinical</w:t>
      </w:r>
      <w:r w:rsidR="00BC7E40">
        <w:t xml:space="preserve"> efficacy</w:t>
      </w:r>
      <w:r w:rsidRPr="00F71694">
        <w:t xml:space="preserve"> inputs</w:t>
      </w:r>
      <w:r w:rsidR="00A41A2C">
        <w:t xml:space="preserve"> </w:t>
      </w:r>
      <w:r w:rsidR="00C74F0F">
        <w:t xml:space="preserve">between the model and the company submission, </w:t>
      </w:r>
      <w:r w:rsidRPr="00F71694">
        <w:t xml:space="preserve">identified by the ERG. </w:t>
      </w:r>
      <w:r w:rsidR="009A30AA" w:rsidRPr="00F71694">
        <w:t>The base case ICER for the compari</w:t>
      </w:r>
      <w:r w:rsidR="006568CE">
        <w:t>son of the apremilast sequence versus the comparator sequence was £14,</w:t>
      </w:r>
      <w:r w:rsidR="009A30AA" w:rsidRPr="00F71694">
        <w:t>683 per QALY gaine</w:t>
      </w:r>
      <w:r w:rsidR="00920C4D" w:rsidRPr="00F71694">
        <w:t xml:space="preserve">d. </w:t>
      </w:r>
    </w:p>
    <w:p w14:paraId="279CE470" w14:textId="77777777" w:rsidR="00B01DE8" w:rsidRPr="00F71694" w:rsidRDefault="00B01DE8" w:rsidP="00B01DE8">
      <w:pPr>
        <w:keepNext/>
        <w:spacing w:after="120" w:line="240" w:lineRule="auto"/>
        <w:rPr>
          <w:rFonts w:eastAsiaTheme="minorEastAsia"/>
          <w:b/>
          <w:bCs/>
          <w:sz w:val="20"/>
          <w:szCs w:val="18"/>
        </w:rPr>
      </w:pPr>
      <w:bookmarkStart w:id="4" w:name="_Toc414441237"/>
      <w:bookmarkStart w:id="5" w:name="_Toc384117108"/>
      <w:r w:rsidRPr="00F71694">
        <w:rPr>
          <w:rFonts w:eastAsiaTheme="minorEastAsia"/>
          <w:b/>
          <w:bCs/>
          <w:sz w:val="20"/>
          <w:szCs w:val="18"/>
        </w:rPr>
        <w:t xml:space="preserve">Table </w:t>
      </w:r>
      <w:r w:rsidR="00885203">
        <w:rPr>
          <w:rFonts w:eastAsiaTheme="minorEastAsia"/>
          <w:b/>
          <w:bCs/>
          <w:sz w:val="20"/>
          <w:szCs w:val="18"/>
        </w:rPr>
        <w:t>2</w:t>
      </w:r>
      <w:r w:rsidRPr="00F71694">
        <w:rPr>
          <w:rFonts w:eastAsiaTheme="minorEastAsia"/>
          <w:b/>
          <w:bCs/>
          <w:sz w:val="20"/>
          <w:szCs w:val="18"/>
        </w:rPr>
        <w:t xml:space="preserve"> Revised Base Case Results (provided in </w:t>
      </w:r>
      <w:r w:rsidR="00EA3622">
        <w:rPr>
          <w:rFonts w:eastAsiaTheme="minorEastAsia"/>
          <w:b/>
          <w:bCs/>
          <w:sz w:val="20"/>
          <w:szCs w:val="18"/>
        </w:rPr>
        <w:t>company</w:t>
      </w:r>
      <w:r w:rsidRPr="00F71694">
        <w:rPr>
          <w:rFonts w:eastAsiaTheme="minorEastAsia"/>
          <w:b/>
          <w:bCs/>
          <w:sz w:val="20"/>
          <w:szCs w:val="18"/>
        </w:rPr>
        <w:t xml:space="preserve"> clarification responses)</w:t>
      </w:r>
      <w:bookmarkEnd w:id="4"/>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1181"/>
        <w:gridCol w:w="1181"/>
        <w:gridCol w:w="1181"/>
        <w:gridCol w:w="1418"/>
        <w:gridCol w:w="1419"/>
      </w:tblGrid>
      <w:tr w:rsidR="00B01DE8" w:rsidRPr="00F71694" w14:paraId="4427FD95" w14:textId="77777777" w:rsidTr="00885203">
        <w:tc>
          <w:tcPr>
            <w:tcW w:w="1525" w:type="pct"/>
            <w:vAlign w:val="center"/>
          </w:tcPr>
          <w:bookmarkEnd w:id="5"/>
          <w:p w14:paraId="48F46059" w14:textId="77777777" w:rsidR="00B01DE8" w:rsidRPr="00F71694" w:rsidRDefault="00B01DE8" w:rsidP="00885203">
            <w:pPr>
              <w:pStyle w:val="Tabletext"/>
              <w:rPr>
                <w:rFonts w:asciiTheme="minorHAnsi" w:hAnsiTheme="minorHAnsi"/>
              </w:rPr>
            </w:pPr>
            <w:r w:rsidRPr="00F71694">
              <w:rPr>
                <w:rFonts w:asciiTheme="minorHAnsi" w:hAnsiTheme="minorHAnsi"/>
              </w:rPr>
              <w:t>Technologies</w:t>
            </w:r>
          </w:p>
        </w:tc>
        <w:tc>
          <w:tcPr>
            <w:tcW w:w="643" w:type="pct"/>
            <w:vAlign w:val="center"/>
          </w:tcPr>
          <w:p w14:paraId="622110FE"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Total costs (£)</w:t>
            </w:r>
          </w:p>
        </w:tc>
        <w:tc>
          <w:tcPr>
            <w:tcW w:w="643" w:type="pct"/>
            <w:vAlign w:val="center"/>
          </w:tcPr>
          <w:p w14:paraId="2995D83C"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Total QALYs</w:t>
            </w:r>
          </w:p>
        </w:tc>
        <w:tc>
          <w:tcPr>
            <w:tcW w:w="643" w:type="pct"/>
            <w:vAlign w:val="center"/>
          </w:tcPr>
          <w:p w14:paraId="74954837"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Incremental costs (£)</w:t>
            </w:r>
          </w:p>
        </w:tc>
        <w:tc>
          <w:tcPr>
            <w:tcW w:w="772" w:type="pct"/>
            <w:vAlign w:val="center"/>
          </w:tcPr>
          <w:p w14:paraId="1E005EB1"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Incremental QALYs</w:t>
            </w:r>
          </w:p>
        </w:tc>
        <w:tc>
          <w:tcPr>
            <w:tcW w:w="773" w:type="pct"/>
            <w:vAlign w:val="center"/>
          </w:tcPr>
          <w:p w14:paraId="0F3D77C2"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ICER (£) incremental (QALYs)</w:t>
            </w:r>
          </w:p>
        </w:tc>
      </w:tr>
      <w:tr w:rsidR="00B01DE8" w:rsidRPr="00F71694" w14:paraId="290E7816" w14:textId="77777777" w:rsidTr="00885203">
        <w:trPr>
          <w:trHeight w:val="77"/>
        </w:trPr>
        <w:tc>
          <w:tcPr>
            <w:tcW w:w="1525" w:type="pct"/>
            <w:vAlign w:val="center"/>
          </w:tcPr>
          <w:p w14:paraId="4D380822" w14:textId="77777777" w:rsidR="00B01DE8" w:rsidRPr="00F71694" w:rsidRDefault="00B01DE8" w:rsidP="00885203">
            <w:pPr>
              <w:pStyle w:val="Tabletext"/>
              <w:rPr>
                <w:rFonts w:asciiTheme="minorHAnsi" w:hAnsiTheme="minorHAnsi"/>
              </w:rPr>
            </w:pPr>
            <w:r w:rsidRPr="00F71694">
              <w:rPr>
                <w:rFonts w:asciiTheme="minorHAnsi" w:hAnsiTheme="minorHAnsi"/>
              </w:rPr>
              <w:t xml:space="preserve">Apremilast </w:t>
            </w:r>
            <w:r w:rsidRPr="00F71694">
              <w:rPr>
                <w:rFonts w:asciiTheme="minorHAnsi" w:hAnsiTheme="minorHAnsi"/>
              </w:rPr>
              <w:sym w:font="Wingdings" w:char="F0E0"/>
            </w:r>
            <w:r w:rsidRPr="00F71694">
              <w:rPr>
                <w:rFonts w:asciiTheme="minorHAnsi" w:hAnsiTheme="minorHAnsi"/>
              </w:rPr>
              <w:t xml:space="preserve"> Adalimumab </w:t>
            </w:r>
            <w:r w:rsidRPr="00F71694">
              <w:rPr>
                <w:rFonts w:asciiTheme="minorHAnsi" w:hAnsiTheme="minorHAnsi"/>
              </w:rPr>
              <w:sym w:font="Wingdings" w:char="F0E0"/>
            </w:r>
            <w:r w:rsidRPr="00F71694">
              <w:rPr>
                <w:rFonts w:asciiTheme="minorHAnsi" w:hAnsiTheme="minorHAnsi"/>
              </w:rPr>
              <w:t xml:space="preserve"> Etanercept </w:t>
            </w:r>
            <w:r w:rsidRPr="00F71694">
              <w:rPr>
                <w:rFonts w:asciiTheme="minorHAnsi" w:hAnsiTheme="minorHAnsi"/>
              </w:rPr>
              <w:sym w:font="Wingdings" w:char="F0E0"/>
            </w:r>
            <w:r w:rsidRPr="00F71694">
              <w:rPr>
                <w:rFonts w:asciiTheme="minorHAnsi" w:hAnsiTheme="minorHAnsi"/>
              </w:rPr>
              <w:t>BSC</w:t>
            </w:r>
          </w:p>
        </w:tc>
        <w:tc>
          <w:tcPr>
            <w:tcW w:w="643" w:type="pct"/>
          </w:tcPr>
          <w:p w14:paraId="799CD35E"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115,837</w:t>
            </w:r>
          </w:p>
        </w:tc>
        <w:tc>
          <w:tcPr>
            <w:tcW w:w="643" w:type="pct"/>
          </w:tcPr>
          <w:p w14:paraId="1065C73F"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8.01</w:t>
            </w:r>
          </w:p>
        </w:tc>
        <w:tc>
          <w:tcPr>
            <w:tcW w:w="643" w:type="pct"/>
          </w:tcPr>
          <w:p w14:paraId="2B99665F"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10,902</w:t>
            </w:r>
          </w:p>
        </w:tc>
        <w:tc>
          <w:tcPr>
            <w:tcW w:w="772" w:type="pct"/>
          </w:tcPr>
          <w:p w14:paraId="36F923FA"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0.74</w:t>
            </w:r>
          </w:p>
        </w:tc>
        <w:tc>
          <w:tcPr>
            <w:tcW w:w="773" w:type="pct"/>
          </w:tcPr>
          <w:p w14:paraId="0EE60304"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14,683</w:t>
            </w:r>
          </w:p>
        </w:tc>
      </w:tr>
      <w:tr w:rsidR="00B01DE8" w:rsidRPr="00F71694" w14:paraId="1D6D863F" w14:textId="77777777" w:rsidTr="00885203">
        <w:trPr>
          <w:trHeight w:val="77"/>
        </w:trPr>
        <w:tc>
          <w:tcPr>
            <w:tcW w:w="1525" w:type="pct"/>
            <w:vAlign w:val="center"/>
          </w:tcPr>
          <w:p w14:paraId="2B21B059" w14:textId="77777777" w:rsidR="00B01DE8" w:rsidRPr="00F71694" w:rsidRDefault="00B01DE8" w:rsidP="00885203">
            <w:pPr>
              <w:pStyle w:val="Tabletext"/>
              <w:rPr>
                <w:rFonts w:asciiTheme="minorHAnsi" w:hAnsiTheme="minorHAnsi"/>
              </w:rPr>
            </w:pPr>
            <w:r w:rsidRPr="00F71694">
              <w:rPr>
                <w:rFonts w:asciiTheme="minorHAnsi" w:hAnsiTheme="minorHAnsi"/>
              </w:rPr>
              <w:t xml:space="preserve">Adalimumab </w:t>
            </w:r>
            <w:r w:rsidRPr="00F71694">
              <w:rPr>
                <w:rFonts w:asciiTheme="minorHAnsi" w:hAnsiTheme="minorHAnsi"/>
              </w:rPr>
              <w:sym w:font="Wingdings" w:char="F0E0"/>
            </w:r>
            <w:r w:rsidRPr="00F71694">
              <w:rPr>
                <w:rFonts w:asciiTheme="minorHAnsi" w:hAnsiTheme="minorHAnsi"/>
              </w:rPr>
              <w:t xml:space="preserve"> Etanercept </w:t>
            </w:r>
            <w:r w:rsidRPr="00F71694">
              <w:rPr>
                <w:rFonts w:asciiTheme="minorHAnsi" w:hAnsiTheme="minorHAnsi"/>
              </w:rPr>
              <w:sym w:font="Wingdings" w:char="F0E0"/>
            </w:r>
            <w:r w:rsidRPr="00F71694">
              <w:rPr>
                <w:rFonts w:asciiTheme="minorHAnsi" w:hAnsiTheme="minorHAnsi"/>
              </w:rPr>
              <w:t>BSC</w:t>
            </w:r>
          </w:p>
        </w:tc>
        <w:tc>
          <w:tcPr>
            <w:tcW w:w="643" w:type="pct"/>
          </w:tcPr>
          <w:p w14:paraId="4676FD54"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104,936</w:t>
            </w:r>
          </w:p>
        </w:tc>
        <w:tc>
          <w:tcPr>
            <w:tcW w:w="643" w:type="pct"/>
          </w:tcPr>
          <w:p w14:paraId="5DE165CB"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7.27</w:t>
            </w:r>
          </w:p>
        </w:tc>
        <w:tc>
          <w:tcPr>
            <w:tcW w:w="643" w:type="pct"/>
          </w:tcPr>
          <w:p w14:paraId="2B0AF444"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N/A</w:t>
            </w:r>
          </w:p>
        </w:tc>
        <w:tc>
          <w:tcPr>
            <w:tcW w:w="772" w:type="pct"/>
          </w:tcPr>
          <w:p w14:paraId="5E498E2C"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N/A</w:t>
            </w:r>
          </w:p>
        </w:tc>
        <w:tc>
          <w:tcPr>
            <w:tcW w:w="773" w:type="pct"/>
          </w:tcPr>
          <w:p w14:paraId="46E01409" w14:textId="77777777" w:rsidR="00B01DE8" w:rsidRPr="00F71694" w:rsidRDefault="00B01DE8" w:rsidP="00885203">
            <w:pPr>
              <w:pStyle w:val="Tabletext"/>
              <w:jc w:val="center"/>
              <w:rPr>
                <w:rFonts w:asciiTheme="minorHAnsi" w:hAnsiTheme="minorHAnsi"/>
              </w:rPr>
            </w:pPr>
            <w:r w:rsidRPr="00F71694">
              <w:rPr>
                <w:rFonts w:asciiTheme="minorHAnsi" w:hAnsiTheme="minorHAnsi"/>
              </w:rPr>
              <w:t>N/A</w:t>
            </w:r>
          </w:p>
        </w:tc>
      </w:tr>
    </w:tbl>
    <w:p w14:paraId="0DC3E4B9" w14:textId="77777777" w:rsidR="00B01DE8" w:rsidRPr="00F71694" w:rsidRDefault="00B01DE8" w:rsidP="00B01DE8">
      <w:pPr>
        <w:spacing w:before="60" w:after="0" w:line="240" w:lineRule="auto"/>
        <w:contextualSpacing/>
        <w:jc w:val="both"/>
        <w:rPr>
          <w:rFonts w:eastAsia="Times New Roman" w:cs="Times New Roman"/>
          <w:sz w:val="18"/>
          <w:szCs w:val="16"/>
        </w:rPr>
      </w:pPr>
      <w:r w:rsidRPr="00F71694">
        <w:rPr>
          <w:rFonts w:eastAsia="Times New Roman" w:cs="Times New Roman"/>
          <w:sz w:val="18"/>
          <w:szCs w:val="16"/>
        </w:rPr>
        <w:t>ICER, incremental cost-effectiveness ratio; QALY, quality-adjusted life year</w:t>
      </w:r>
    </w:p>
    <w:p w14:paraId="2F2A4BC6" w14:textId="77777777" w:rsidR="00B01DE8" w:rsidRDefault="00B01DE8" w:rsidP="00421D17"/>
    <w:p w14:paraId="04A9B81C" w14:textId="77777777" w:rsidR="00421D17" w:rsidRPr="00F71694" w:rsidRDefault="00920C4D" w:rsidP="00421D17">
      <w:r w:rsidRPr="00F71694">
        <w:t>This indicates that</w:t>
      </w:r>
      <w:r w:rsidR="009A30AA" w:rsidRPr="00F71694">
        <w:t xml:space="preserve"> apremilast </w:t>
      </w:r>
      <w:r w:rsidR="005D4DC1" w:rsidRPr="00F71694">
        <w:t xml:space="preserve">is a cost-effective use of NHS resources </w:t>
      </w:r>
      <w:r w:rsidR="00950DAF" w:rsidRPr="00F71694">
        <w:t xml:space="preserve">as an additional line of therapy (pre </w:t>
      </w:r>
      <w:r w:rsidR="00E1246A" w:rsidRPr="00E1246A">
        <w:t>TNF-α inhibitors</w:t>
      </w:r>
      <w:r w:rsidR="00950DAF" w:rsidRPr="00F71694">
        <w:t xml:space="preserve">), </w:t>
      </w:r>
      <w:r w:rsidR="005D4DC1" w:rsidRPr="00F71694">
        <w:t>according to threshold range likely to be considered cost effective by NICE</w:t>
      </w:r>
      <w:r w:rsidR="009A30AA" w:rsidRPr="00F71694">
        <w:t>.</w:t>
      </w:r>
      <w:r w:rsidR="00421191" w:rsidRPr="00F71694">
        <w:t xml:space="preserve"> </w:t>
      </w:r>
      <w:r w:rsidR="00B64E32">
        <w:t>T</w:t>
      </w:r>
      <w:r w:rsidR="00B64E32" w:rsidRPr="00F71694">
        <w:t xml:space="preserve">he </w:t>
      </w:r>
      <w:r w:rsidR="00B64E32" w:rsidRPr="00B64E32">
        <w:t xml:space="preserve">major driver </w:t>
      </w:r>
      <w:r w:rsidR="00B64E32">
        <w:t xml:space="preserve">in the economic model appeared to be </w:t>
      </w:r>
      <w:r w:rsidR="00B64E32" w:rsidRPr="00F71694">
        <w:t xml:space="preserve">the </w:t>
      </w:r>
      <w:r w:rsidR="00135FD3">
        <w:t>reduced</w:t>
      </w:r>
      <w:r w:rsidR="00B64E32" w:rsidRPr="00F71694">
        <w:t xml:space="preserve"> time spent in BSC in the </w:t>
      </w:r>
      <w:r w:rsidR="00B64E32" w:rsidRPr="00F71694">
        <w:lastRenderedPageBreak/>
        <w:t>apremilast sequence</w:t>
      </w:r>
      <w:r w:rsidR="004617D2">
        <w:t>, due to the addition of apremilast as an additional pre-</w:t>
      </w:r>
      <w:r w:rsidR="00641A6E" w:rsidRPr="00641A6E">
        <w:t xml:space="preserve"> </w:t>
      </w:r>
      <w:r w:rsidR="00E1246A">
        <w:t xml:space="preserve">TNF-α inhibitor </w:t>
      </w:r>
      <w:r w:rsidR="004617D2">
        <w:t>step</w:t>
      </w:r>
      <w:r w:rsidR="00B64E32">
        <w:t xml:space="preserve">. </w:t>
      </w:r>
      <w:r w:rsidR="00B64E32" w:rsidRPr="00F71694">
        <w:t xml:space="preserve"> </w:t>
      </w:r>
      <w:r w:rsidR="00421191" w:rsidRPr="00F71694">
        <w:t>Th</w:t>
      </w:r>
      <w:r w:rsidR="00B64E32">
        <w:t xml:space="preserve">is did not affect the </w:t>
      </w:r>
      <w:r w:rsidR="00421191" w:rsidRPr="00F71694">
        <w:t>total life years accrued between sequences</w:t>
      </w:r>
      <w:r w:rsidR="00885203">
        <w:t>,</w:t>
      </w:r>
      <w:r w:rsidR="00421191" w:rsidRPr="00F71694">
        <w:t xml:space="preserve"> because no</w:t>
      </w:r>
      <w:r w:rsidR="00950DAF" w:rsidRPr="00F71694">
        <w:t xml:space="preserve">ne of the </w:t>
      </w:r>
      <w:r w:rsidR="00421191" w:rsidRPr="00F71694">
        <w:t>treatment</w:t>
      </w:r>
      <w:r w:rsidR="00B64E32">
        <w:t xml:space="preserve"> options</w:t>
      </w:r>
      <w:r w:rsidR="00421191" w:rsidRPr="00F71694">
        <w:t xml:space="preserve"> had an impact on mortality. </w:t>
      </w:r>
      <w:r w:rsidR="00D02D2E" w:rsidRPr="00F71694">
        <w:t>However, t</w:t>
      </w:r>
      <w:r w:rsidR="00421191" w:rsidRPr="00F71694">
        <w:t>he QALY differ</w:t>
      </w:r>
      <w:r w:rsidR="00BF34C1" w:rsidRPr="00F71694">
        <w:t>ence between the two sequences</w:t>
      </w:r>
      <w:r w:rsidR="00421191" w:rsidRPr="00F71694">
        <w:t xml:space="preserve"> was driven by</w:t>
      </w:r>
      <w:r w:rsidR="00B64E32">
        <w:t xml:space="preserve"> </w:t>
      </w:r>
      <w:r w:rsidR="00B64E32" w:rsidRPr="00F71694">
        <w:t xml:space="preserve">the </w:t>
      </w:r>
      <w:r w:rsidR="00135FD3">
        <w:t>reduced</w:t>
      </w:r>
      <w:r w:rsidR="00B64E32" w:rsidRPr="00F71694">
        <w:t xml:space="preserve"> time spent in BSC in the apremilast sequence</w:t>
      </w:r>
      <w:r w:rsidR="00421191" w:rsidRPr="00F71694">
        <w:t xml:space="preserve">. </w:t>
      </w:r>
      <w:r w:rsidR="00245BCF">
        <w:t>However, a</w:t>
      </w:r>
      <w:r w:rsidR="00245BCF" w:rsidRPr="00245BCF">
        <w:t xml:space="preserve">ccording to the ERG this could occur with the addition of any active treatment in the sequence. </w:t>
      </w:r>
      <w:r w:rsidR="00421191" w:rsidRPr="00F71694">
        <w:t xml:space="preserve">The robustness of the results was tested </w:t>
      </w:r>
      <w:r w:rsidR="00C87F6C" w:rsidRPr="00F71694">
        <w:t xml:space="preserve">by the </w:t>
      </w:r>
      <w:r w:rsidR="00EA3622">
        <w:t>company</w:t>
      </w:r>
      <w:r w:rsidR="00C87F6C" w:rsidRPr="00F71694">
        <w:t xml:space="preserve"> </w:t>
      </w:r>
      <w:r w:rsidR="00421191" w:rsidRPr="00F71694">
        <w:t xml:space="preserve">using a range of alternative </w:t>
      </w:r>
      <w:r w:rsidR="004E2BCE" w:rsidRPr="00F71694">
        <w:t xml:space="preserve">parameter </w:t>
      </w:r>
      <w:r w:rsidR="00421191" w:rsidRPr="00F71694">
        <w:t xml:space="preserve">assumptions. The model </w:t>
      </w:r>
      <w:r w:rsidR="004E2BCE" w:rsidRPr="00F71694">
        <w:t>results were</w:t>
      </w:r>
      <w:r w:rsidR="00421191" w:rsidRPr="00F71694">
        <w:t xml:space="preserve"> most sensitive to the rate of HAQ-DI natural disease progression, the time horizon, the positioning of apremilast, the utility model used and the </w:t>
      </w:r>
      <w:r w:rsidR="004E2BCE" w:rsidRPr="00F71694">
        <w:t xml:space="preserve">cost </w:t>
      </w:r>
      <w:r w:rsidR="00421191" w:rsidRPr="00F71694">
        <w:t xml:space="preserve">model </w:t>
      </w:r>
      <w:r w:rsidR="00950DAF" w:rsidRPr="00F71694">
        <w:t>applied</w:t>
      </w:r>
      <w:r w:rsidR="004E2BCE" w:rsidRPr="00F71694">
        <w:t xml:space="preserve"> </w:t>
      </w:r>
      <w:r w:rsidR="00421191" w:rsidRPr="00F71694">
        <w:t xml:space="preserve">for disease-related costs.  </w:t>
      </w:r>
    </w:p>
    <w:p w14:paraId="7E08C117" w14:textId="77777777" w:rsidR="00421D17" w:rsidRPr="00F71694" w:rsidRDefault="00421D17" w:rsidP="00421D17"/>
    <w:p w14:paraId="30E49507" w14:textId="77777777" w:rsidR="007834A3" w:rsidRPr="00F71694" w:rsidRDefault="007834A3" w:rsidP="00571105">
      <w:pPr>
        <w:pStyle w:val="Heading2"/>
        <w:numPr>
          <w:ilvl w:val="2"/>
          <w:numId w:val="1"/>
        </w:numPr>
        <w:spacing w:after="120"/>
        <w:rPr>
          <w:rFonts w:asciiTheme="minorHAnsi" w:hAnsiTheme="minorHAnsi" w:cs="Times New Roman"/>
          <w:color w:val="auto"/>
          <w:sz w:val="22"/>
          <w:szCs w:val="22"/>
        </w:rPr>
      </w:pPr>
      <w:r w:rsidRPr="00F71694">
        <w:rPr>
          <w:rFonts w:asciiTheme="minorHAnsi" w:hAnsiTheme="minorHAnsi" w:cs="Times New Roman"/>
          <w:color w:val="auto"/>
          <w:sz w:val="22"/>
          <w:szCs w:val="22"/>
        </w:rPr>
        <w:t>Critique of the Cost-Effectiveness Evidence</w:t>
      </w:r>
    </w:p>
    <w:p w14:paraId="4C36092E" w14:textId="77777777" w:rsidR="00845D46" w:rsidRPr="00F71694" w:rsidRDefault="00845D46" w:rsidP="00845D46">
      <w:r w:rsidRPr="00F71694">
        <w:t xml:space="preserve">Despite meeting many of the typical requirements of the NICE reference case, the ERG had a number of concerns regarding </w:t>
      </w:r>
      <w:r w:rsidR="00D02D2E" w:rsidRPr="00F71694">
        <w:t xml:space="preserve">the </w:t>
      </w:r>
      <w:r w:rsidR="00EA3622">
        <w:t>company</w:t>
      </w:r>
      <w:r w:rsidR="00D02D2E" w:rsidRPr="00F71694">
        <w:t>’s</w:t>
      </w:r>
      <w:r w:rsidR="009D5B66">
        <w:t xml:space="preserve"> submission and economic model. </w:t>
      </w:r>
      <w:r w:rsidR="00250BF0" w:rsidRPr="00F71694">
        <w:t>Key</w:t>
      </w:r>
      <w:r w:rsidRPr="00F71694">
        <w:t xml:space="preserve"> among them was </w:t>
      </w:r>
      <w:r w:rsidR="00EA183A">
        <w:t xml:space="preserve">that </w:t>
      </w:r>
      <w:r w:rsidRPr="00F71694">
        <w:t xml:space="preserve">the </w:t>
      </w:r>
      <w:r w:rsidR="00EA183A" w:rsidRPr="00EA183A">
        <w:t xml:space="preserve">model submitted by the company represented a limited set of relevant comparators. The model considered the use of apremilast only as an additional line of treatment prior to </w:t>
      </w:r>
      <w:r w:rsidR="009D5B66">
        <w:t>t</w:t>
      </w:r>
      <w:r w:rsidR="00EA183A">
        <w:t>w</w:t>
      </w:r>
      <w:r w:rsidR="009D5B66">
        <w:t>o</w:t>
      </w:r>
      <w:r w:rsidR="00EA183A">
        <w:t xml:space="preserve"> </w:t>
      </w:r>
      <w:r w:rsidR="00E1246A">
        <w:t xml:space="preserve">TNF-α inhibitors </w:t>
      </w:r>
      <w:r w:rsidR="00EA183A" w:rsidRPr="00EA183A">
        <w:t>(a sequence of adalimumab and etanercept in the base-case model)</w:t>
      </w:r>
      <w:r w:rsidR="00A8780A">
        <w:t>.</w:t>
      </w:r>
      <w:r w:rsidR="009B6E8E" w:rsidRPr="009B6E8E">
        <w:t xml:space="preserve"> By failing to present fully incremental cost-effectiveness results, which would simultaneously consider all possible comparator sequences, the ERG was concerned </w:t>
      </w:r>
      <w:r w:rsidR="00A8780A">
        <w:t xml:space="preserve">that this does not provide a </w:t>
      </w:r>
      <w:r w:rsidR="00A8780A" w:rsidRPr="009B6E8E">
        <w:t>sufficient basis to inform the most efficient use and position of apremilast, in terms of clinical or cost effectiveness</w:t>
      </w:r>
      <w:r w:rsidR="00F65A42">
        <w:t>.</w:t>
      </w:r>
      <w:r w:rsidR="00A8780A">
        <w:t xml:space="preserve"> </w:t>
      </w:r>
      <w:r w:rsidR="00F65A42">
        <w:t xml:space="preserve">Furthermore, there were concerns that </w:t>
      </w:r>
      <w:r w:rsidR="009B6E8E" w:rsidRPr="009B6E8E">
        <w:t>uncertainties surrounding the cost-effectiveness of the comparator sequence and any implications for the cost-effectiveness of apremilast had not been robustly demonstrated by the company.</w:t>
      </w:r>
    </w:p>
    <w:p w14:paraId="500B092B" w14:textId="77777777" w:rsidR="00F32629" w:rsidRDefault="00845D46" w:rsidP="00845D46">
      <w:r w:rsidRPr="00F71694">
        <w:t>In addition</w:t>
      </w:r>
      <w:r w:rsidR="00DA21D0" w:rsidRPr="00F71694">
        <w:t>,</w:t>
      </w:r>
      <w:r w:rsidRPr="00F71694">
        <w:t xml:space="preserve"> </w:t>
      </w:r>
      <w:r w:rsidR="00AA5C41">
        <w:t>t</w:t>
      </w:r>
      <w:r w:rsidR="00D93F57" w:rsidRPr="00F71694">
        <w:t xml:space="preserve">he ERG report highlighted concerns relating to the fact that </w:t>
      </w:r>
      <w:r w:rsidRPr="00F71694">
        <w:t xml:space="preserve">not all comparators relevant to the decision problem were included in the </w:t>
      </w:r>
      <w:r w:rsidR="00EA3622">
        <w:t>company</w:t>
      </w:r>
      <w:r w:rsidRPr="00F71694">
        <w:t>’s analysis</w:t>
      </w:r>
      <w:r w:rsidR="004C3B38" w:rsidRPr="00F71694">
        <w:t xml:space="preserve">. i.e. </w:t>
      </w:r>
      <w:r w:rsidR="00F32629" w:rsidRPr="00F71694">
        <w:t>(i) DMARD</w:t>
      </w:r>
      <w:r w:rsidR="00F32629">
        <w:t>s</w:t>
      </w:r>
      <w:r w:rsidR="00F32629" w:rsidRPr="00F71694">
        <w:t xml:space="preserve"> </w:t>
      </w:r>
      <w:r w:rsidR="00F32629">
        <w:t xml:space="preserve"> and </w:t>
      </w:r>
      <w:r w:rsidRPr="00F71694">
        <w:t>(</w:t>
      </w:r>
      <w:r w:rsidR="00F32629">
        <w:t>i</w:t>
      </w:r>
      <w:r w:rsidRPr="00F71694">
        <w:t>i) ustekinumab</w:t>
      </w:r>
      <w:r w:rsidR="004C3B38" w:rsidRPr="00F71694">
        <w:t xml:space="preserve"> </w:t>
      </w:r>
      <w:r w:rsidR="00CF1BE5" w:rsidRPr="00F71694">
        <w:t>(</w:t>
      </w:r>
      <w:r w:rsidR="00250BF0" w:rsidRPr="00F71694">
        <w:t xml:space="preserve">despite </w:t>
      </w:r>
      <w:r w:rsidR="004C3B38" w:rsidRPr="00F71694">
        <w:t>having been provisionally approved by NICE for subgroups of PsA patients</w:t>
      </w:r>
      <w:r w:rsidR="00CF1BE5" w:rsidRPr="00F71694">
        <w:t>,</w:t>
      </w:r>
      <w:r w:rsidR="004C3B38" w:rsidRPr="00F71694">
        <w:t xml:space="preserve"> </w:t>
      </w:r>
      <w:r w:rsidR="00D84111" w:rsidRPr="00F71694">
        <w:t>at the time</w:t>
      </w:r>
      <w:r w:rsidR="004C3B38" w:rsidRPr="00F71694">
        <w:t xml:space="preserve"> of the appraisal</w:t>
      </w:r>
      <w:r w:rsidR="00D84111" w:rsidRPr="00F71694">
        <w:t>)</w:t>
      </w:r>
      <w:r w:rsidR="00F32629">
        <w:t>.</w:t>
      </w:r>
    </w:p>
    <w:p w14:paraId="526BA032" w14:textId="77777777" w:rsidR="00845D46" w:rsidRPr="00F71694" w:rsidRDefault="00F32629" w:rsidP="00845D46">
      <w:r>
        <w:t>I</w:t>
      </w:r>
      <w:r w:rsidR="00845D46" w:rsidRPr="00F71694">
        <w:t xml:space="preserve">mportantly, a key assumption underpinning the </w:t>
      </w:r>
      <w:r w:rsidR="00EA3622">
        <w:t>company</w:t>
      </w:r>
      <w:r w:rsidR="00845D46" w:rsidRPr="00F71694">
        <w:t xml:space="preserve">’s analysis was that </w:t>
      </w:r>
      <w:r w:rsidR="00D84111" w:rsidRPr="00F71694">
        <w:t xml:space="preserve">patients who remain on therapy with apremilast </w:t>
      </w:r>
      <w:r w:rsidR="00A8780A">
        <w:t xml:space="preserve">will </w:t>
      </w:r>
      <w:r w:rsidR="00D84111" w:rsidRPr="00F71694">
        <w:t xml:space="preserve">maintain their response over time i.e. have </w:t>
      </w:r>
      <w:r w:rsidR="00AA5C41">
        <w:t xml:space="preserve">no </w:t>
      </w:r>
      <w:r w:rsidR="00D84111" w:rsidRPr="00F71694">
        <w:t xml:space="preserve">HAQ-DI progression while on treatment. </w:t>
      </w:r>
      <w:r w:rsidR="00845D46" w:rsidRPr="00F71694">
        <w:t xml:space="preserve">The ERG was very </w:t>
      </w:r>
      <w:r w:rsidR="00E1246A">
        <w:t xml:space="preserve">doubtful </w:t>
      </w:r>
      <w:r w:rsidR="00845D46" w:rsidRPr="00F71694">
        <w:t xml:space="preserve">of this assumption given that no </w:t>
      </w:r>
      <w:r w:rsidR="00D84111" w:rsidRPr="00F71694">
        <w:t xml:space="preserve">reliable </w:t>
      </w:r>
      <w:r w:rsidR="00845D46" w:rsidRPr="00F71694">
        <w:t xml:space="preserve">long-term evidence is available to support </w:t>
      </w:r>
      <w:r>
        <w:t xml:space="preserve">it, such as evidence on </w:t>
      </w:r>
      <w:r w:rsidR="00845D46" w:rsidRPr="00F71694">
        <w:t>radiographic disease progression</w:t>
      </w:r>
      <w:r w:rsidR="00D84111" w:rsidRPr="00F71694">
        <w:t xml:space="preserve"> which </w:t>
      </w:r>
      <w:r w:rsidR="00A8780A">
        <w:t>is</w:t>
      </w:r>
      <w:r w:rsidR="00A8780A" w:rsidRPr="00F71694">
        <w:t xml:space="preserve"> </w:t>
      </w:r>
      <w:r w:rsidR="00845D46" w:rsidRPr="00F71694">
        <w:t xml:space="preserve">available for </w:t>
      </w:r>
      <w:r w:rsidR="00E1246A">
        <w:t xml:space="preserve">TNF-α inhibitor </w:t>
      </w:r>
      <w:r w:rsidR="00845D46" w:rsidRPr="00F71694">
        <w:t>therapies.</w:t>
      </w:r>
    </w:p>
    <w:p w14:paraId="05ED7562" w14:textId="0EE76F7F" w:rsidR="0013106A" w:rsidRPr="00F71694" w:rsidRDefault="00357022" w:rsidP="00845D46">
      <w:r w:rsidRPr="00F71694">
        <w:t xml:space="preserve">The ERG also found that a number of critical assumptions made in the model had not been robustly justified by the </w:t>
      </w:r>
      <w:r w:rsidR="00EA3622">
        <w:t>company</w:t>
      </w:r>
      <w:r w:rsidRPr="00F71694">
        <w:t xml:space="preserve"> and the existing evidence.  These include</w:t>
      </w:r>
      <w:r w:rsidR="00EA183A">
        <w:t>d</w:t>
      </w:r>
      <w:r w:rsidRPr="00F71694">
        <w:t>: (i) the r</w:t>
      </w:r>
      <w:r w:rsidR="00845D46" w:rsidRPr="00F71694">
        <w:t xml:space="preserve">educed efficacy of subsequent lines of </w:t>
      </w:r>
      <w:r w:rsidR="00834FDF">
        <w:t xml:space="preserve">TNF-α inhibitor </w:t>
      </w:r>
      <w:r w:rsidR="00845D46" w:rsidRPr="00F71694">
        <w:t>therapies</w:t>
      </w:r>
      <w:r w:rsidRPr="00F71694">
        <w:t xml:space="preserve"> following primary non-response, sourced from a </w:t>
      </w:r>
      <w:r w:rsidR="009D5B66">
        <w:t>non-</w:t>
      </w:r>
      <w:r w:rsidRPr="00F71694">
        <w:t>PsA</w:t>
      </w:r>
      <w:r w:rsidR="009D5B66">
        <w:t xml:space="preserve"> </w:t>
      </w:r>
      <w:r w:rsidR="009D5B66" w:rsidRPr="00F71694">
        <w:t xml:space="preserve">study </w:t>
      </w:r>
      <w:r w:rsidR="009D5B66">
        <w:t xml:space="preserve">including </w:t>
      </w:r>
      <w:r w:rsidRPr="00F71694">
        <w:t xml:space="preserve">a limited selection of </w:t>
      </w:r>
      <w:r w:rsidR="00E1246A">
        <w:t xml:space="preserve">TNF-α inhibitor </w:t>
      </w:r>
      <w:r w:rsidR="00D93F57" w:rsidRPr="00F71694">
        <w:t>agent</w:t>
      </w:r>
      <w:r w:rsidRPr="00F71694">
        <w:t>s</w:t>
      </w:r>
      <w:r w:rsidR="004919B4" w:rsidRPr="00F71694">
        <w:t>,</w:t>
      </w:r>
      <w:r w:rsidRPr="00F71694">
        <w:t xml:space="preserve"> (ii) the exclusion of p</w:t>
      </w:r>
      <w:r w:rsidR="00845D46" w:rsidRPr="00F71694">
        <w:t>lacebo response</w:t>
      </w:r>
      <w:r w:rsidR="009D5B66">
        <w:t xml:space="preserve"> in the economic model</w:t>
      </w:r>
      <w:r w:rsidRPr="00F71694">
        <w:t>, (iii) the use of the utility model from TA199,</w:t>
      </w:r>
      <w:r w:rsidR="000D6187" w:rsidRPr="000D6187">
        <w:t xml:space="preserve"> </w:t>
      </w:r>
      <w:r w:rsidR="000D6187">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 </w:instrText>
      </w:r>
      <w:r w:rsidR="002E0519">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EN.CITE.DATA </w:instrText>
      </w:r>
      <w:r w:rsidR="002E0519">
        <w:fldChar w:fldCharType="end"/>
      </w:r>
      <w:r w:rsidR="000D6187">
        <w:fldChar w:fldCharType="separate"/>
      </w:r>
      <w:r w:rsidR="002E0519">
        <w:rPr>
          <w:noProof/>
        </w:rPr>
        <w:t>(</w:t>
      </w:r>
      <w:hyperlink w:anchor="_ENREF_17" w:tooltip="Rodgers, 2011 #148" w:history="1">
        <w:r w:rsidR="000839CF">
          <w:rPr>
            <w:noProof/>
          </w:rPr>
          <w:t>17</w:t>
        </w:r>
      </w:hyperlink>
      <w:r w:rsidR="002E0519">
        <w:rPr>
          <w:noProof/>
        </w:rPr>
        <w:t>)</w:t>
      </w:r>
      <w:r w:rsidR="000D6187">
        <w:fldChar w:fldCharType="end"/>
      </w:r>
      <w:r w:rsidRPr="00F71694">
        <w:t xml:space="preserve"> despite EQ-5D utility values being available </w:t>
      </w:r>
      <w:r w:rsidR="00876F4D" w:rsidRPr="00F71694">
        <w:t>from</w:t>
      </w:r>
      <w:r w:rsidRPr="00F71694">
        <w:t xml:space="preserve"> apremilast trial data, (iv) </w:t>
      </w:r>
      <w:r w:rsidR="0013106A" w:rsidRPr="00F71694">
        <w:t xml:space="preserve">the limited justification for </w:t>
      </w:r>
      <w:r w:rsidR="009D5B66" w:rsidRPr="00F71694">
        <w:t xml:space="preserve">incorporating disease-related costs </w:t>
      </w:r>
      <w:r w:rsidR="009D5B66">
        <w:t xml:space="preserve">similarly to </w:t>
      </w:r>
      <w:r w:rsidR="0013106A" w:rsidRPr="00F71694">
        <w:t>TA199</w:t>
      </w:r>
      <w:r w:rsidR="00466D38" w:rsidRPr="00F71694">
        <w:t>,</w:t>
      </w:r>
      <w:r w:rsidR="000D6187">
        <w:t xml:space="preserve"> </w:t>
      </w:r>
      <w:r w:rsidR="000D6187">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 </w:instrText>
      </w:r>
      <w:r w:rsidR="002E0519">
        <w:fldChar w:fldCharType="begin">
          <w:fldData xml:space="preserve">PEVuZE5vdGU+PENpdGU+PEF1dGhvcj5Sb2RnZXJzPC9BdXRob3I+PFllYXI+MjAxMTwvWWVhcj48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</w:fldData>
        </w:fldChar>
      </w:r>
      <w:r w:rsidR="002E0519">
        <w:instrText xml:space="preserve"> ADDIN EN.CITE.DATA </w:instrText>
      </w:r>
      <w:r w:rsidR="002E0519">
        <w:fldChar w:fldCharType="end"/>
      </w:r>
      <w:r w:rsidR="000D6187">
        <w:fldChar w:fldCharType="separate"/>
      </w:r>
      <w:r w:rsidR="002E0519">
        <w:rPr>
          <w:noProof/>
        </w:rPr>
        <w:t>(</w:t>
      </w:r>
      <w:hyperlink w:anchor="_ENREF_17" w:tooltip="Rodgers, 2011 #148" w:history="1">
        <w:r w:rsidR="000839CF">
          <w:rPr>
            <w:noProof/>
          </w:rPr>
          <w:t>17</w:t>
        </w:r>
      </w:hyperlink>
      <w:r w:rsidR="002E0519">
        <w:rPr>
          <w:noProof/>
        </w:rPr>
        <w:t>)</w:t>
      </w:r>
      <w:r w:rsidR="000D6187">
        <w:fldChar w:fldCharType="end"/>
      </w:r>
      <w:r w:rsidR="00466D38" w:rsidRPr="00F71694">
        <w:t xml:space="preserve"> </w:t>
      </w:r>
      <w:r w:rsidR="0013106A" w:rsidRPr="00F71694">
        <w:t>(v) optimistic t</w:t>
      </w:r>
      <w:r w:rsidR="00845D46" w:rsidRPr="00F71694">
        <w:t xml:space="preserve">reatment monitoring </w:t>
      </w:r>
      <w:r w:rsidR="0013106A" w:rsidRPr="00F71694">
        <w:t xml:space="preserve">assumptions towards apremilast </w:t>
      </w:r>
      <w:r w:rsidR="00C74F0F">
        <w:t xml:space="preserve">(i.e. apremilast requiring less frequent monitoring compared to </w:t>
      </w:r>
      <w:r w:rsidR="00C74F0F" w:rsidRPr="007F7DAD">
        <w:t>TNF-α inhibitors</w:t>
      </w:r>
      <w:r w:rsidR="00C74F0F">
        <w:t xml:space="preserve">) </w:t>
      </w:r>
      <w:r w:rsidR="0013106A" w:rsidRPr="00F71694">
        <w:t xml:space="preserve">and (vi) </w:t>
      </w:r>
      <w:r w:rsidR="00845D46" w:rsidRPr="00F71694">
        <w:t xml:space="preserve">withdrawal rate for apremilast equal to that for </w:t>
      </w:r>
      <w:r w:rsidR="00E1246A">
        <w:t>TNF-α inhibitors</w:t>
      </w:r>
      <w:r w:rsidR="0013106A" w:rsidRPr="00F71694">
        <w:t xml:space="preserve">, despite withdrawal data being available from apremilast trials. </w:t>
      </w:r>
    </w:p>
    <w:p w14:paraId="01BCF491" w14:textId="77777777" w:rsidR="00902D8E" w:rsidRPr="00F71694" w:rsidRDefault="0017122A" w:rsidP="00902D8E">
      <w:r w:rsidRPr="00F71694">
        <w:lastRenderedPageBreak/>
        <w:t xml:space="preserve">To explore the above </w:t>
      </w:r>
      <w:r>
        <w:t>areas of criticism, t</w:t>
      </w:r>
      <w:r w:rsidR="0080175C" w:rsidRPr="00F71694">
        <w:t xml:space="preserve">he </w:t>
      </w:r>
      <w:r w:rsidR="0013106A" w:rsidRPr="00F71694">
        <w:t xml:space="preserve">ERG performed a series of </w:t>
      </w:r>
      <w:r w:rsidR="00D93F57" w:rsidRPr="00F71694">
        <w:t>exploratory</w:t>
      </w:r>
      <w:r w:rsidR="006C45ED" w:rsidRPr="00F71694">
        <w:t xml:space="preserve"> </w:t>
      </w:r>
      <w:r w:rsidR="0013106A" w:rsidRPr="00F71694">
        <w:t>analyses</w:t>
      </w:r>
      <w:r w:rsidR="0080175C" w:rsidRPr="00F71694">
        <w:t xml:space="preserve"> </w:t>
      </w:r>
      <w:r w:rsidR="00ED2185" w:rsidRPr="00F71694">
        <w:t xml:space="preserve">focusing </w:t>
      </w:r>
      <w:r w:rsidR="004C3B38" w:rsidRPr="00F71694">
        <w:t xml:space="preserve">primarily </w:t>
      </w:r>
      <w:r w:rsidR="00ED2185" w:rsidRPr="00F71694">
        <w:t>on</w:t>
      </w:r>
      <w:r w:rsidR="00ED765B" w:rsidRPr="00F71694">
        <w:t xml:space="preserve"> </w:t>
      </w:r>
      <w:r w:rsidR="00704A4A" w:rsidRPr="00F71694">
        <w:t xml:space="preserve">the approaches to sequencing in the </w:t>
      </w:r>
      <w:r w:rsidR="00EA3622">
        <w:t>company</w:t>
      </w:r>
      <w:r w:rsidR="0080175C" w:rsidRPr="00F71694">
        <w:t xml:space="preserve">’s </w:t>
      </w:r>
      <w:r w:rsidR="00704A4A" w:rsidRPr="00F71694">
        <w:t>model</w:t>
      </w:r>
      <w:r w:rsidR="004C3B38" w:rsidRPr="00F71694">
        <w:t xml:space="preserve"> and </w:t>
      </w:r>
      <w:r w:rsidR="00704A4A" w:rsidRPr="00F71694">
        <w:t>the assumption of zero HAQ progression for PsARC responders to apremilast</w:t>
      </w:r>
      <w:r w:rsidR="0080175C" w:rsidRPr="00F71694">
        <w:t>. The ERG a</w:t>
      </w:r>
      <w:r w:rsidR="004C3B38" w:rsidRPr="00F71694">
        <w:t xml:space="preserve">lso </w:t>
      </w:r>
      <w:r w:rsidR="00756E40" w:rsidRPr="00F71694">
        <w:t>tested</w:t>
      </w:r>
      <w:r w:rsidR="004C3B38" w:rsidRPr="00F71694">
        <w:t xml:space="preserve"> </w:t>
      </w:r>
      <w:r w:rsidR="00704A4A" w:rsidRPr="00F71694">
        <w:t xml:space="preserve">the effect degradation for subsequent lines of </w:t>
      </w:r>
      <w:r w:rsidR="00E1246A">
        <w:t xml:space="preserve">TNF-α inhibitor </w:t>
      </w:r>
      <w:r w:rsidR="00ED765B" w:rsidRPr="00F71694">
        <w:t xml:space="preserve">therapies </w:t>
      </w:r>
      <w:r w:rsidR="00704A4A" w:rsidRPr="00F71694">
        <w:t xml:space="preserve">and uncertainties relating to </w:t>
      </w:r>
      <w:r w:rsidR="00ED765B" w:rsidRPr="00F71694">
        <w:t>other</w:t>
      </w:r>
      <w:r w:rsidR="00704A4A" w:rsidRPr="00F71694">
        <w:t xml:space="preserve"> parameters</w:t>
      </w:r>
      <w:r w:rsidR="00902D8E" w:rsidRPr="00F71694">
        <w:t xml:space="preserve"> of the model. </w:t>
      </w:r>
    </w:p>
    <w:p w14:paraId="48FF087C" w14:textId="1233AD93" w:rsidR="0017122A" w:rsidRPr="002F6709" w:rsidRDefault="00902D8E" w:rsidP="00E1246A">
      <w:pPr>
        <w:pStyle w:val="ListParagraph"/>
        <w:numPr>
          <w:ilvl w:val="0"/>
          <w:numId w:val="12"/>
        </w:numPr>
      </w:pPr>
      <w:r w:rsidRPr="00F71694">
        <w:t xml:space="preserve">In terms of the sequencing approach, </w:t>
      </w:r>
      <w:r w:rsidR="00EA183A">
        <w:t>t</w:t>
      </w:r>
      <w:r w:rsidR="00EA183A" w:rsidRPr="00EA183A">
        <w:t xml:space="preserve">he </w:t>
      </w:r>
      <w:r w:rsidR="00AA5C41">
        <w:t xml:space="preserve">ERG </w:t>
      </w:r>
      <w:r w:rsidRPr="00F71694">
        <w:t>explored additional sequences and comparisons</w:t>
      </w:r>
      <w:r w:rsidR="006B137F" w:rsidRPr="00F71694">
        <w:t xml:space="preserve"> </w:t>
      </w:r>
      <w:r w:rsidRPr="00F71694">
        <w:t>from the updated</w:t>
      </w:r>
      <w:r w:rsidR="00A43FC7">
        <w:t xml:space="preserve"> (for clinical </w:t>
      </w:r>
      <w:r w:rsidR="00BC7E40">
        <w:t>efficacy</w:t>
      </w:r>
      <w:r w:rsidR="00A43FC7" w:rsidRPr="00A43FC7">
        <w:t xml:space="preserve"> </w:t>
      </w:r>
      <w:r w:rsidR="00A43FC7">
        <w:t>discrepancies)</w:t>
      </w:r>
      <w:r w:rsidRPr="00F71694">
        <w:t xml:space="preserve"> </w:t>
      </w:r>
      <w:r w:rsidR="00EA183A">
        <w:t xml:space="preserve">company </w:t>
      </w:r>
      <w:r w:rsidRPr="00F71694">
        <w:t>model</w:t>
      </w:r>
      <w:r w:rsidR="006C45ED" w:rsidRPr="00F71694">
        <w:t>. Th</w:t>
      </w:r>
      <w:r w:rsidR="00550F1C" w:rsidRPr="00F71694">
        <w:t xml:space="preserve">ese analyses, although still a small subset of </w:t>
      </w:r>
      <w:r w:rsidR="007562A7" w:rsidRPr="00F71694">
        <w:t xml:space="preserve">all possible </w:t>
      </w:r>
      <w:r w:rsidR="00550F1C" w:rsidRPr="00F71694">
        <w:t>treatment sequences, were</w:t>
      </w:r>
      <w:r w:rsidR="006C45ED" w:rsidRPr="00F71694">
        <w:t xml:space="preserve"> considered </w:t>
      </w:r>
      <w:r w:rsidR="006B137F" w:rsidRPr="00F71694">
        <w:t>v</w:t>
      </w:r>
      <w:r w:rsidRPr="00F71694">
        <w:t xml:space="preserve">ital </w:t>
      </w:r>
      <w:r w:rsidR="006C45ED" w:rsidRPr="00F71694">
        <w:t>in</w:t>
      </w:r>
      <w:r w:rsidRPr="00F71694">
        <w:t xml:space="preserve"> understanding the economic model submitted and the evaluation of apremilast within its licenced indication, as required by the NICE scope.</w:t>
      </w:r>
      <w:r w:rsidR="006B137F" w:rsidRPr="00F71694">
        <w:t xml:space="preserve"> The ERG evaluated scenarios where apremilast displaced a </w:t>
      </w:r>
      <w:r w:rsidR="00E1246A" w:rsidRPr="00E1246A">
        <w:t xml:space="preserve">TNF-α inhibitor </w:t>
      </w:r>
      <w:r w:rsidR="006B137F" w:rsidRPr="00F71694">
        <w:t xml:space="preserve">in a treatment sequence of one or two </w:t>
      </w:r>
      <w:r w:rsidR="00C54F3F" w:rsidRPr="00E1246A">
        <w:t>TNF-α inhibitor</w:t>
      </w:r>
      <w:r w:rsidR="00C54F3F">
        <w:t>s</w:t>
      </w:r>
      <w:r w:rsidR="00641A6E">
        <w:t xml:space="preserve"> </w:t>
      </w:r>
      <w:r w:rsidR="00D84111" w:rsidRPr="00F71694">
        <w:t xml:space="preserve">(resulting in comparing treatment sequences of equal length) </w:t>
      </w:r>
      <w:r w:rsidR="006C45ED" w:rsidRPr="00F71694">
        <w:t>and</w:t>
      </w:r>
      <w:r w:rsidR="006B137F" w:rsidRPr="00F71694">
        <w:t xml:space="preserve"> scenarios where apremilast extend</w:t>
      </w:r>
      <w:r w:rsidR="006C45ED" w:rsidRPr="00F71694">
        <w:t>ed</w:t>
      </w:r>
      <w:r w:rsidR="006B137F" w:rsidRPr="00F71694">
        <w:t xml:space="preserve"> a s</w:t>
      </w:r>
      <w:r w:rsidR="005A59D1" w:rsidRPr="00F71694">
        <w:t xml:space="preserve">equence of one or two </w:t>
      </w:r>
      <w:r w:rsidR="00E1246A" w:rsidRPr="00E1246A">
        <w:t>TNF-α inhibitors</w:t>
      </w:r>
      <w:r w:rsidR="005A59D1" w:rsidRPr="00F71694">
        <w:t xml:space="preserve">, being </w:t>
      </w:r>
      <w:r w:rsidR="006B137F" w:rsidRPr="00F71694">
        <w:t>position</w:t>
      </w:r>
      <w:r w:rsidR="005A59D1" w:rsidRPr="00F71694">
        <w:t>ed</w:t>
      </w:r>
      <w:r w:rsidR="006B137F" w:rsidRPr="00F71694">
        <w:t xml:space="preserve"> either before or after </w:t>
      </w:r>
      <w:r w:rsidR="00E1246A">
        <w:t xml:space="preserve">TNF-α inhibitor </w:t>
      </w:r>
      <w:r w:rsidR="006B137F" w:rsidRPr="00F71694">
        <w:t xml:space="preserve">therapies. The fully incremental </w:t>
      </w:r>
      <w:r w:rsidR="0017122A">
        <w:t xml:space="preserve">results of these analyses are </w:t>
      </w:r>
      <w:r w:rsidR="0017122A" w:rsidRPr="002F6709">
        <w:t xml:space="preserve">shown in Table </w:t>
      </w:r>
      <w:r w:rsidR="002F6709" w:rsidRPr="002F6709">
        <w:t>3</w:t>
      </w:r>
      <w:r w:rsidR="0017122A" w:rsidRPr="002F6709">
        <w:t xml:space="preserve">. </w:t>
      </w:r>
      <w:r w:rsidR="006B137F" w:rsidRPr="002F6709">
        <w:t xml:space="preserve"> </w:t>
      </w:r>
    </w:p>
    <w:p w14:paraId="7AF56486" w14:textId="77777777" w:rsidR="0017122A" w:rsidRDefault="0017122A" w:rsidP="0017122A">
      <w:pPr>
        <w:pStyle w:val="ListParagraph"/>
      </w:pPr>
    </w:p>
    <w:p w14:paraId="331E539A" w14:textId="77777777" w:rsidR="0017122A" w:rsidRPr="0017122A" w:rsidRDefault="0017122A" w:rsidP="0017122A">
      <w:pPr>
        <w:keepNext/>
        <w:spacing w:after="120" w:line="240" w:lineRule="auto"/>
        <w:rPr>
          <w:rFonts w:eastAsiaTheme="minorEastAsia"/>
          <w:b/>
          <w:bCs/>
          <w:sz w:val="20"/>
          <w:szCs w:val="18"/>
        </w:rPr>
      </w:pPr>
      <w:bookmarkStart w:id="6" w:name="_Toc414441246"/>
      <w:r w:rsidRPr="0017122A">
        <w:rPr>
          <w:rFonts w:eastAsiaTheme="minorEastAsia"/>
          <w:b/>
          <w:bCs/>
          <w:sz w:val="20"/>
          <w:szCs w:val="18"/>
        </w:rPr>
        <w:lastRenderedPageBreak/>
        <w:t xml:space="preserve">Table </w:t>
      </w:r>
      <w:r w:rsidR="002F6709">
        <w:rPr>
          <w:rFonts w:eastAsiaTheme="minorEastAsia"/>
          <w:b/>
          <w:bCs/>
          <w:sz w:val="20"/>
          <w:szCs w:val="18"/>
        </w:rPr>
        <w:t>3</w:t>
      </w:r>
      <w:r w:rsidRPr="0017122A">
        <w:rPr>
          <w:rFonts w:eastAsiaTheme="minorEastAsia"/>
          <w:b/>
          <w:bCs/>
          <w:sz w:val="20"/>
          <w:szCs w:val="18"/>
        </w:rPr>
        <w:t xml:space="preserve"> Fully incremental analysis of </w:t>
      </w:r>
      <w:r>
        <w:rPr>
          <w:rFonts w:eastAsiaTheme="minorEastAsia"/>
          <w:b/>
          <w:bCs/>
          <w:sz w:val="20"/>
          <w:szCs w:val="18"/>
        </w:rPr>
        <w:t xml:space="preserve">ERG </w:t>
      </w:r>
      <w:r w:rsidRPr="0017122A">
        <w:rPr>
          <w:rFonts w:eastAsiaTheme="minorEastAsia"/>
          <w:b/>
          <w:bCs/>
          <w:sz w:val="20"/>
          <w:szCs w:val="18"/>
        </w:rPr>
        <w:t>displacement and sequence extension strategies</w:t>
      </w:r>
      <w:bookmarkEnd w:id="6"/>
    </w:p>
    <w:tbl>
      <w:tblPr>
        <w:tblStyle w:val="TableGrid4"/>
        <w:tblW w:w="0" w:type="auto"/>
        <w:tblLook w:val="04A0" w:firstRow="1" w:lastRow="0" w:firstColumn="1" w:lastColumn="0" w:noHBand="0" w:noVBand="1"/>
      </w:tblPr>
      <w:tblGrid>
        <w:gridCol w:w="2297"/>
        <w:gridCol w:w="1110"/>
        <w:gridCol w:w="1075"/>
        <w:gridCol w:w="1217"/>
        <w:gridCol w:w="1217"/>
        <w:gridCol w:w="1080"/>
        <w:gridCol w:w="1246"/>
      </w:tblGrid>
      <w:tr w:rsidR="0017122A" w:rsidRPr="0017122A" w14:paraId="438292CA" w14:textId="77777777" w:rsidTr="002303AD">
        <w:trPr>
          <w:trHeight w:val="765"/>
        </w:trPr>
        <w:tc>
          <w:tcPr>
            <w:tcW w:w="2297" w:type="dxa"/>
            <w:hideMark/>
          </w:tcPr>
          <w:p w14:paraId="2D7A1C94" w14:textId="77777777" w:rsidR="0017122A" w:rsidRPr="0017122A" w:rsidRDefault="0017122A" w:rsidP="0017122A">
            <w:pPr>
              <w:keepNext/>
              <w:spacing w:before="120" w:after="0"/>
              <w:rPr>
                <w:rFonts w:asciiTheme="minorHAnsi" w:hAnsiTheme="minorHAnsi"/>
                <w:b/>
                <w:bCs/>
                <w:szCs w:val="18"/>
              </w:rPr>
            </w:pPr>
            <w:r w:rsidRPr="0017122A">
              <w:rPr>
                <w:rFonts w:asciiTheme="minorHAnsi" w:hAnsiTheme="minorHAnsi"/>
                <w:b/>
                <w:bCs/>
                <w:szCs w:val="18"/>
              </w:rPr>
              <w:t>Sequence</w:t>
            </w:r>
          </w:p>
        </w:tc>
        <w:tc>
          <w:tcPr>
            <w:tcW w:w="1110" w:type="dxa"/>
            <w:hideMark/>
          </w:tcPr>
          <w:p w14:paraId="40A7273E" w14:textId="77777777" w:rsidR="0017122A" w:rsidRPr="0017122A" w:rsidRDefault="0017122A" w:rsidP="0017122A">
            <w:pPr>
              <w:keepNext/>
              <w:spacing w:before="120" w:after="0"/>
              <w:rPr>
                <w:rFonts w:asciiTheme="minorHAnsi" w:hAnsiTheme="minorHAnsi"/>
                <w:b/>
                <w:bCs/>
                <w:szCs w:val="18"/>
              </w:rPr>
            </w:pPr>
            <w:r w:rsidRPr="0017122A">
              <w:rPr>
                <w:rFonts w:asciiTheme="minorHAnsi" w:hAnsiTheme="minorHAnsi"/>
                <w:b/>
                <w:bCs/>
                <w:szCs w:val="18"/>
              </w:rPr>
              <w:t>Mean Costs</w:t>
            </w:r>
          </w:p>
        </w:tc>
        <w:tc>
          <w:tcPr>
            <w:tcW w:w="1075" w:type="dxa"/>
            <w:hideMark/>
          </w:tcPr>
          <w:p w14:paraId="67994851" w14:textId="77777777" w:rsidR="0017122A" w:rsidRPr="0017122A" w:rsidRDefault="0017122A" w:rsidP="0017122A">
            <w:pPr>
              <w:keepNext/>
              <w:spacing w:before="120" w:after="0"/>
              <w:rPr>
                <w:rFonts w:asciiTheme="minorHAnsi" w:hAnsiTheme="minorHAnsi"/>
                <w:b/>
                <w:bCs/>
                <w:szCs w:val="18"/>
              </w:rPr>
            </w:pPr>
            <w:r w:rsidRPr="0017122A">
              <w:rPr>
                <w:rFonts w:asciiTheme="minorHAnsi" w:hAnsiTheme="minorHAnsi"/>
                <w:b/>
                <w:bCs/>
                <w:szCs w:val="18"/>
              </w:rPr>
              <w:t>Mean QALYs</w:t>
            </w:r>
          </w:p>
        </w:tc>
        <w:tc>
          <w:tcPr>
            <w:tcW w:w="1217" w:type="dxa"/>
            <w:hideMark/>
          </w:tcPr>
          <w:p w14:paraId="7E78409C" w14:textId="77777777" w:rsidR="0017122A" w:rsidRPr="0017122A" w:rsidRDefault="0017122A" w:rsidP="0017122A">
            <w:pPr>
              <w:keepNext/>
              <w:spacing w:before="120" w:after="0"/>
              <w:rPr>
                <w:rFonts w:asciiTheme="minorHAnsi" w:hAnsiTheme="minorHAnsi"/>
                <w:b/>
                <w:bCs/>
                <w:szCs w:val="18"/>
              </w:rPr>
            </w:pPr>
            <w:r w:rsidRPr="0017122A">
              <w:rPr>
                <w:rFonts w:asciiTheme="minorHAnsi" w:hAnsiTheme="minorHAnsi"/>
                <w:b/>
                <w:bCs/>
                <w:szCs w:val="18"/>
              </w:rPr>
              <w:t>Incremental Costs</w:t>
            </w:r>
          </w:p>
        </w:tc>
        <w:tc>
          <w:tcPr>
            <w:tcW w:w="1217" w:type="dxa"/>
            <w:hideMark/>
          </w:tcPr>
          <w:p w14:paraId="6653A42B" w14:textId="77777777" w:rsidR="0017122A" w:rsidRPr="0017122A" w:rsidRDefault="0017122A" w:rsidP="0017122A">
            <w:pPr>
              <w:keepNext/>
              <w:spacing w:before="120" w:after="0"/>
              <w:rPr>
                <w:rFonts w:asciiTheme="minorHAnsi" w:hAnsiTheme="minorHAnsi"/>
                <w:b/>
                <w:bCs/>
                <w:szCs w:val="18"/>
              </w:rPr>
            </w:pPr>
            <w:r w:rsidRPr="0017122A">
              <w:rPr>
                <w:rFonts w:asciiTheme="minorHAnsi" w:hAnsiTheme="minorHAnsi"/>
                <w:b/>
                <w:bCs/>
                <w:szCs w:val="18"/>
              </w:rPr>
              <w:t>Incremental QALYs</w:t>
            </w:r>
          </w:p>
        </w:tc>
        <w:tc>
          <w:tcPr>
            <w:tcW w:w="1080" w:type="dxa"/>
            <w:hideMark/>
          </w:tcPr>
          <w:p w14:paraId="31CDFD6F" w14:textId="77777777" w:rsidR="0017122A" w:rsidRPr="0017122A" w:rsidRDefault="0017122A" w:rsidP="0017122A">
            <w:pPr>
              <w:keepNext/>
              <w:spacing w:before="120" w:after="0"/>
              <w:rPr>
                <w:rFonts w:asciiTheme="minorHAnsi" w:hAnsiTheme="minorHAnsi"/>
                <w:b/>
                <w:bCs/>
                <w:szCs w:val="18"/>
              </w:rPr>
            </w:pPr>
            <w:r w:rsidRPr="0017122A">
              <w:rPr>
                <w:rFonts w:asciiTheme="minorHAnsi" w:hAnsiTheme="minorHAnsi"/>
                <w:b/>
                <w:bCs/>
                <w:szCs w:val="18"/>
              </w:rPr>
              <w:t>ICER vs. next more costly strategy</w:t>
            </w:r>
          </w:p>
        </w:tc>
        <w:tc>
          <w:tcPr>
            <w:tcW w:w="1246" w:type="dxa"/>
            <w:hideMark/>
          </w:tcPr>
          <w:p w14:paraId="46804FCF" w14:textId="77777777" w:rsidR="0017122A" w:rsidRPr="0017122A" w:rsidRDefault="0017122A" w:rsidP="0017122A">
            <w:pPr>
              <w:keepNext/>
              <w:spacing w:before="120" w:after="0"/>
              <w:rPr>
                <w:rFonts w:asciiTheme="minorHAnsi" w:hAnsiTheme="minorHAnsi"/>
                <w:b/>
                <w:bCs/>
                <w:szCs w:val="18"/>
              </w:rPr>
            </w:pPr>
            <w:r w:rsidRPr="0017122A">
              <w:rPr>
                <w:rFonts w:asciiTheme="minorHAnsi" w:hAnsiTheme="minorHAnsi"/>
                <w:b/>
                <w:bCs/>
                <w:szCs w:val="18"/>
              </w:rPr>
              <w:t>Fully incremental ICER</w:t>
            </w:r>
          </w:p>
        </w:tc>
      </w:tr>
      <w:tr w:rsidR="0017122A" w:rsidRPr="0017122A" w14:paraId="705E4CF8" w14:textId="77777777" w:rsidTr="002303AD">
        <w:trPr>
          <w:trHeight w:val="300"/>
        </w:trPr>
        <w:tc>
          <w:tcPr>
            <w:tcW w:w="2297" w:type="dxa"/>
            <w:hideMark/>
          </w:tcPr>
          <w:p w14:paraId="03461A04"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b/>
                <w:szCs w:val="18"/>
              </w:rPr>
              <w:t>apremilast</w:t>
            </w:r>
            <w:r w:rsidRPr="0017122A">
              <w:rPr>
                <w:rFonts w:asciiTheme="minorHAnsi" w:hAnsiTheme="minorHAnsi"/>
                <w:szCs w:val="18"/>
              </w:rPr>
              <w:t xml:space="preserve"> → BSC </w:t>
            </w:r>
          </w:p>
        </w:tc>
        <w:tc>
          <w:tcPr>
            <w:tcW w:w="1110" w:type="dxa"/>
            <w:hideMark/>
          </w:tcPr>
          <w:p w14:paraId="3360BBA2"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£73,272</w:t>
            </w:r>
          </w:p>
        </w:tc>
        <w:tc>
          <w:tcPr>
            <w:tcW w:w="1075" w:type="dxa"/>
            <w:hideMark/>
          </w:tcPr>
          <w:p w14:paraId="210B07D4"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5.56</w:t>
            </w:r>
          </w:p>
        </w:tc>
        <w:tc>
          <w:tcPr>
            <w:tcW w:w="1217" w:type="dxa"/>
          </w:tcPr>
          <w:p w14:paraId="3F380F8E" w14:textId="77777777" w:rsidR="0017122A" w:rsidRPr="0017122A" w:rsidRDefault="0017122A" w:rsidP="0017122A">
            <w:pPr>
              <w:keepNext/>
              <w:spacing w:before="120" w:after="0"/>
              <w:rPr>
                <w:rFonts w:asciiTheme="minorHAnsi" w:hAnsiTheme="minorHAnsi"/>
                <w:szCs w:val="18"/>
              </w:rPr>
            </w:pPr>
          </w:p>
        </w:tc>
        <w:tc>
          <w:tcPr>
            <w:tcW w:w="1217" w:type="dxa"/>
          </w:tcPr>
          <w:p w14:paraId="64B9959F" w14:textId="77777777" w:rsidR="0017122A" w:rsidRPr="0017122A" w:rsidRDefault="0017122A" w:rsidP="0017122A">
            <w:pPr>
              <w:keepNext/>
              <w:spacing w:before="120" w:after="0"/>
              <w:rPr>
                <w:rFonts w:asciiTheme="minorHAnsi" w:hAnsiTheme="minorHAnsi"/>
                <w:szCs w:val="18"/>
              </w:rPr>
            </w:pPr>
          </w:p>
        </w:tc>
        <w:tc>
          <w:tcPr>
            <w:tcW w:w="1080" w:type="dxa"/>
          </w:tcPr>
          <w:p w14:paraId="3EADE933" w14:textId="77777777" w:rsidR="0017122A" w:rsidRPr="0017122A" w:rsidRDefault="0017122A" w:rsidP="0017122A">
            <w:pPr>
              <w:keepNext/>
              <w:spacing w:before="120" w:after="0"/>
              <w:rPr>
                <w:rFonts w:asciiTheme="minorHAnsi" w:hAnsiTheme="minorHAnsi"/>
                <w:szCs w:val="18"/>
              </w:rPr>
            </w:pPr>
          </w:p>
        </w:tc>
        <w:tc>
          <w:tcPr>
            <w:tcW w:w="1246" w:type="dxa"/>
          </w:tcPr>
          <w:p w14:paraId="30D82DB5" w14:textId="77777777" w:rsidR="0017122A" w:rsidRPr="0017122A" w:rsidRDefault="0017122A" w:rsidP="0017122A">
            <w:pPr>
              <w:keepNext/>
              <w:spacing w:before="120" w:after="0"/>
              <w:rPr>
                <w:rFonts w:asciiTheme="minorHAnsi" w:hAnsiTheme="minorHAnsi"/>
                <w:szCs w:val="18"/>
              </w:rPr>
            </w:pPr>
          </w:p>
        </w:tc>
      </w:tr>
      <w:tr w:rsidR="0017122A" w:rsidRPr="0017122A" w14:paraId="7815CDCF" w14:textId="77777777" w:rsidTr="002303AD">
        <w:trPr>
          <w:trHeight w:val="300"/>
        </w:trPr>
        <w:tc>
          <w:tcPr>
            <w:tcW w:w="2297" w:type="dxa"/>
            <w:hideMark/>
          </w:tcPr>
          <w:p w14:paraId="6CBBCC96"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adalimumab → BSC</w:t>
            </w:r>
          </w:p>
        </w:tc>
        <w:tc>
          <w:tcPr>
            <w:tcW w:w="1110" w:type="dxa"/>
            <w:hideMark/>
          </w:tcPr>
          <w:p w14:paraId="7BA4987D"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£83,153</w:t>
            </w:r>
          </w:p>
        </w:tc>
        <w:tc>
          <w:tcPr>
            <w:tcW w:w="1075" w:type="dxa"/>
            <w:hideMark/>
          </w:tcPr>
          <w:p w14:paraId="747AF94E"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5.98</w:t>
            </w:r>
          </w:p>
        </w:tc>
        <w:tc>
          <w:tcPr>
            <w:tcW w:w="1217" w:type="dxa"/>
            <w:hideMark/>
          </w:tcPr>
          <w:p w14:paraId="2CBB15F4"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£9,881</w:t>
            </w:r>
          </w:p>
        </w:tc>
        <w:tc>
          <w:tcPr>
            <w:tcW w:w="1217" w:type="dxa"/>
            <w:hideMark/>
          </w:tcPr>
          <w:p w14:paraId="20460BC8"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0.4207</w:t>
            </w:r>
          </w:p>
        </w:tc>
        <w:tc>
          <w:tcPr>
            <w:tcW w:w="1080" w:type="dxa"/>
            <w:hideMark/>
          </w:tcPr>
          <w:p w14:paraId="3A3EBED7"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£23,487</w:t>
            </w:r>
          </w:p>
        </w:tc>
        <w:tc>
          <w:tcPr>
            <w:tcW w:w="1246" w:type="dxa"/>
            <w:hideMark/>
          </w:tcPr>
          <w:p w14:paraId="142C0704"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ED</w:t>
            </w:r>
          </w:p>
        </w:tc>
      </w:tr>
      <w:tr w:rsidR="0017122A" w:rsidRPr="0017122A" w14:paraId="30343576" w14:textId="77777777" w:rsidTr="002303AD">
        <w:trPr>
          <w:trHeight w:val="300"/>
        </w:trPr>
        <w:tc>
          <w:tcPr>
            <w:tcW w:w="2297" w:type="dxa"/>
            <w:hideMark/>
          </w:tcPr>
          <w:p w14:paraId="77858897"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etanercept → BSC</w:t>
            </w:r>
          </w:p>
        </w:tc>
        <w:tc>
          <w:tcPr>
            <w:tcW w:w="1110" w:type="dxa"/>
            <w:hideMark/>
          </w:tcPr>
          <w:p w14:paraId="58D5F593"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£89,184</w:t>
            </w:r>
          </w:p>
        </w:tc>
        <w:tc>
          <w:tcPr>
            <w:tcW w:w="1075" w:type="dxa"/>
            <w:hideMark/>
          </w:tcPr>
          <w:p w14:paraId="233AF7D3"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6.40</w:t>
            </w:r>
          </w:p>
        </w:tc>
        <w:tc>
          <w:tcPr>
            <w:tcW w:w="1217" w:type="dxa"/>
            <w:hideMark/>
          </w:tcPr>
          <w:p w14:paraId="284210F4"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£6,031</w:t>
            </w:r>
          </w:p>
        </w:tc>
        <w:tc>
          <w:tcPr>
            <w:tcW w:w="1217" w:type="dxa"/>
            <w:hideMark/>
          </w:tcPr>
          <w:p w14:paraId="09911611"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0.4169</w:t>
            </w:r>
          </w:p>
        </w:tc>
        <w:tc>
          <w:tcPr>
            <w:tcW w:w="1080" w:type="dxa"/>
            <w:hideMark/>
          </w:tcPr>
          <w:p w14:paraId="1E085136"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£14,466</w:t>
            </w:r>
          </w:p>
        </w:tc>
        <w:tc>
          <w:tcPr>
            <w:tcW w:w="1246" w:type="dxa"/>
            <w:hideMark/>
          </w:tcPr>
          <w:p w14:paraId="40203F96"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ED</w:t>
            </w:r>
          </w:p>
        </w:tc>
      </w:tr>
      <w:tr w:rsidR="0017122A" w:rsidRPr="0017122A" w14:paraId="740BD7EF" w14:textId="77777777" w:rsidTr="002303AD">
        <w:trPr>
          <w:trHeight w:val="300"/>
        </w:trPr>
        <w:tc>
          <w:tcPr>
            <w:tcW w:w="2297" w:type="dxa"/>
            <w:hideMark/>
          </w:tcPr>
          <w:p w14:paraId="5DF3ACC8"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b/>
                <w:szCs w:val="18"/>
              </w:rPr>
              <w:t>apremilast</w:t>
            </w:r>
            <w:r w:rsidRPr="0017122A">
              <w:rPr>
                <w:rFonts w:asciiTheme="minorHAnsi" w:hAnsiTheme="minorHAnsi"/>
                <w:szCs w:val="18"/>
              </w:rPr>
              <w:t xml:space="preserve"> → adalimumab → BSC </w:t>
            </w:r>
          </w:p>
        </w:tc>
        <w:tc>
          <w:tcPr>
            <w:tcW w:w="1110" w:type="dxa"/>
            <w:hideMark/>
          </w:tcPr>
          <w:p w14:paraId="68386858"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£96,676</w:t>
            </w:r>
          </w:p>
        </w:tc>
        <w:tc>
          <w:tcPr>
            <w:tcW w:w="1075" w:type="dxa"/>
            <w:hideMark/>
          </w:tcPr>
          <w:p w14:paraId="5707E331"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6.91</w:t>
            </w:r>
          </w:p>
        </w:tc>
        <w:tc>
          <w:tcPr>
            <w:tcW w:w="1217" w:type="dxa"/>
            <w:hideMark/>
          </w:tcPr>
          <w:p w14:paraId="64A3A5DE"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£7,492</w:t>
            </w:r>
          </w:p>
        </w:tc>
        <w:tc>
          <w:tcPr>
            <w:tcW w:w="1217" w:type="dxa"/>
            <w:hideMark/>
          </w:tcPr>
          <w:p w14:paraId="751F1208"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0.5091</w:t>
            </w:r>
          </w:p>
        </w:tc>
        <w:tc>
          <w:tcPr>
            <w:tcW w:w="1080" w:type="dxa"/>
            <w:hideMark/>
          </w:tcPr>
          <w:p w14:paraId="4403BBAF"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£14,716</w:t>
            </w:r>
          </w:p>
        </w:tc>
        <w:tc>
          <w:tcPr>
            <w:tcW w:w="1246" w:type="dxa"/>
            <w:hideMark/>
          </w:tcPr>
          <w:p w14:paraId="5E440F4D"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ED</w:t>
            </w:r>
          </w:p>
        </w:tc>
      </w:tr>
      <w:tr w:rsidR="0017122A" w:rsidRPr="0017122A" w14:paraId="2D92945C" w14:textId="77777777" w:rsidTr="002303AD">
        <w:trPr>
          <w:trHeight w:val="300"/>
        </w:trPr>
        <w:tc>
          <w:tcPr>
            <w:tcW w:w="2297" w:type="dxa"/>
            <w:hideMark/>
          </w:tcPr>
          <w:p w14:paraId="0567D94C"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 xml:space="preserve">adalimumab → apremilast →BSC </w:t>
            </w:r>
          </w:p>
        </w:tc>
        <w:tc>
          <w:tcPr>
            <w:tcW w:w="1110" w:type="dxa"/>
            <w:hideMark/>
          </w:tcPr>
          <w:p w14:paraId="7C07FA9E"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£97,267</w:t>
            </w:r>
          </w:p>
        </w:tc>
        <w:tc>
          <w:tcPr>
            <w:tcW w:w="1075" w:type="dxa"/>
            <w:hideMark/>
          </w:tcPr>
          <w:p w14:paraId="59268093"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6.94</w:t>
            </w:r>
          </w:p>
        </w:tc>
        <w:tc>
          <w:tcPr>
            <w:tcW w:w="1217" w:type="dxa"/>
            <w:hideMark/>
          </w:tcPr>
          <w:p w14:paraId="351F66F0"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£591</w:t>
            </w:r>
          </w:p>
        </w:tc>
        <w:tc>
          <w:tcPr>
            <w:tcW w:w="1217" w:type="dxa"/>
            <w:hideMark/>
          </w:tcPr>
          <w:p w14:paraId="10BCCF5F"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0.0258</w:t>
            </w:r>
          </w:p>
        </w:tc>
        <w:tc>
          <w:tcPr>
            <w:tcW w:w="1080" w:type="dxa"/>
            <w:hideMark/>
          </w:tcPr>
          <w:p w14:paraId="366C1C3F"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£22,907</w:t>
            </w:r>
          </w:p>
        </w:tc>
        <w:tc>
          <w:tcPr>
            <w:tcW w:w="1246" w:type="dxa"/>
            <w:hideMark/>
          </w:tcPr>
          <w:p w14:paraId="6C846138"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ED</w:t>
            </w:r>
          </w:p>
        </w:tc>
      </w:tr>
      <w:tr w:rsidR="0017122A" w:rsidRPr="0017122A" w14:paraId="093AB3DE" w14:textId="77777777" w:rsidTr="002303AD">
        <w:trPr>
          <w:trHeight w:val="300"/>
        </w:trPr>
        <w:tc>
          <w:tcPr>
            <w:tcW w:w="2297" w:type="dxa"/>
            <w:hideMark/>
          </w:tcPr>
          <w:p w14:paraId="6B52605D"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b/>
                <w:szCs w:val="18"/>
              </w:rPr>
              <w:t>apremilast</w:t>
            </w:r>
            <w:r w:rsidRPr="0017122A">
              <w:rPr>
                <w:rFonts w:asciiTheme="minorHAnsi" w:hAnsiTheme="minorHAnsi"/>
                <w:szCs w:val="18"/>
              </w:rPr>
              <w:t xml:space="preserve"> → etanercept → BSC </w:t>
            </w:r>
          </w:p>
        </w:tc>
        <w:tc>
          <w:tcPr>
            <w:tcW w:w="1110" w:type="dxa"/>
            <w:hideMark/>
          </w:tcPr>
          <w:p w14:paraId="5247D2E9"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£102,023</w:t>
            </w:r>
          </w:p>
        </w:tc>
        <w:tc>
          <w:tcPr>
            <w:tcW w:w="1075" w:type="dxa"/>
            <w:hideMark/>
          </w:tcPr>
          <w:p w14:paraId="287309B1"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7.27</w:t>
            </w:r>
          </w:p>
        </w:tc>
        <w:tc>
          <w:tcPr>
            <w:tcW w:w="1217" w:type="dxa"/>
            <w:hideMark/>
          </w:tcPr>
          <w:p w14:paraId="604784FE"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£4,756</w:t>
            </w:r>
          </w:p>
        </w:tc>
        <w:tc>
          <w:tcPr>
            <w:tcW w:w="1217" w:type="dxa"/>
            <w:hideMark/>
          </w:tcPr>
          <w:p w14:paraId="32C5FF3B"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0.3378</w:t>
            </w:r>
          </w:p>
        </w:tc>
        <w:tc>
          <w:tcPr>
            <w:tcW w:w="1080" w:type="dxa"/>
            <w:hideMark/>
          </w:tcPr>
          <w:p w14:paraId="70DD570B"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£14,079</w:t>
            </w:r>
          </w:p>
        </w:tc>
        <w:tc>
          <w:tcPr>
            <w:tcW w:w="1246" w:type="dxa"/>
            <w:hideMark/>
          </w:tcPr>
          <w:p w14:paraId="76612E50"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£16,811</w:t>
            </w:r>
          </w:p>
        </w:tc>
      </w:tr>
      <w:tr w:rsidR="0017122A" w:rsidRPr="0017122A" w14:paraId="667294DD" w14:textId="77777777" w:rsidTr="002303AD">
        <w:trPr>
          <w:trHeight w:val="300"/>
        </w:trPr>
        <w:tc>
          <w:tcPr>
            <w:tcW w:w="2297" w:type="dxa"/>
            <w:hideMark/>
          </w:tcPr>
          <w:p w14:paraId="2C13086B"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 xml:space="preserve">etanercept → </w:t>
            </w:r>
            <w:r w:rsidRPr="0017122A">
              <w:rPr>
                <w:rFonts w:asciiTheme="minorHAnsi" w:hAnsiTheme="minorHAnsi"/>
                <w:b/>
                <w:szCs w:val="18"/>
              </w:rPr>
              <w:t>apremilast</w:t>
            </w:r>
            <w:r w:rsidRPr="0017122A">
              <w:rPr>
                <w:rFonts w:asciiTheme="minorHAnsi" w:hAnsiTheme="minorHAnsi"/>
                <w:szCs w:val="18"/>
              </w:rPr>
              <w:t xml:space="preserve"> → BSC</w:t>
            </w:r>
          </w:p>
        </w:tc>
        <w:tc>
          <w:tcPr>
            <w:tcW w:w="1110" w:type="dxa"/>
            <w:hideMark/>
          </w:tcPr>
          <w:p w14:paraId="7136B042"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£102,959</w:t>
            </w:r>
          </w:p>
        </w:tc>
        <w:tc>
          <w:tcPr>
            <w:tcW w:w="1075" w:type="dxa"/>
            <w:hideMark/>
          </w:tcPr>
          <w:p w14:paraId="5A14C771"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7.32</w:t>
            </w:r>
          </w:p>
        </w:tc>
        <w:tc>
          <w:tcPr>
            <w:tcW w:w="1217" w:type="dxa"/>
            <w:hideMark/>
          </w:tcPr>
          <w:p w14:paraId="6A341071"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£936</w:t>
            </w:r>
          </w:p>
        </w:tc>
        <w:tc>
          <w:tcPr>
            <w:tcW w:w="1217" w:type="dxa"/>
            <w:hideMark/>
          </w:tcPr>
          <w:p w14:paraId="6A67A972"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0.0479</w:t>
            </w:r>
          </w:p>
        </w:tc>
        <w:tc>
          <w:tcPr>
            <w:tcW w:w="1080" w:type="dxa"/>
            <w:hideMark/>
          </w:tcPr>
          <w:p w14:paraId="25DC77EC"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£19,541</w:t>
            </w:r>
          </w:p>
        </w:tc>
        <w:tc>
          <w:tcPr>
            <w:tcW w:w="1246" w:type="dxa"/>
            <w:hideMark/>
          </w:tcPr>
          <w:p w14:paraId="15F155BB"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ED</w:t>
            </w:r>
          </w:p>
        </w:tc>
      </w:tr>
      <w:tr w:rsidR="0017122A" w:rsidRPr="0017122A" w14:paraId="690D0B6B" w14:textId="77777777" w:rsidTr="002303AD">
        <w:trPr>
          <w:trHeight w:val="300"/>
        </w:trPr>
        <w:tc>
          <w:tcPr>
            <w:tcW w:w="2297" w:type="dxa"/>
            <w:hideMark/>
          </w:tcPr>
          <w:p w14:paraId="54C5C963"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adalimumab → etanercept → BSC</w:t>
            </w:r>
          </w:p>
        </w:tc>
        <w:tc>
          <w:tcPr>
            <w:tcW w:w="1110" w:type="dxa"/>
            <w:hideMark/>
          </w:tcPr>
          <w:p w14:paraId="42CBB268"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£104,936</w:t>
            </w:r>
          </w:p>
        </w:tc>
        <w:tc>
          <w:tcPr>
            <w:tcW w:w="1075" w:type="dxa"/>
            <w:hideMark/>
          </w:tcPr>
          <w:p w14:paraId="1B8818A6"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7.27</w:t>
            </w:r>
          </w:p>
        </w:tc>
        <w:tc>
          <w:tcPr>
            <w:tcW w:w="1217" w:type="dxa"/>
            <w:hideMark/>
          </w:tcPr>
          <w:p w14:paraId="4F265C1D"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£1,977</w:t>
            </w:r>
          </w:p>
        </w:tc>
        <w:tc>
          <w:tcPr>
            <w:tcW w:w="1217" w:type="dxa"/>
            <w:hideMark/>
          </w:tcPr>
          <w:p w14:paraId="0DA8AD23"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-0.0537</w:t>
            </w:r>
          </w:p>
        </w:tc>
        <w:tc>
          <w:tcPr>
            <w:tcW w:w="1080" w:type="dxa"/>
            <w:hideMark/>
          </w:tcPr>
          <w:p w14:paraId="1B06E112"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Dominated</w:t>
            </w:r>
          </w:p>
        </w:tc>
        <w:tc>
          <w:tcPr>
            <w:tcW w:w="1246" w:type="dxa"/>
            <w:hideMark/>
          </w:tcPr>
          <w:p w14:paraId="71F542B5"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w:t>
            </w:r>
          </w:p>
        </w:tc>
      </w:tr>
      <w:tr w:rsidR="0017122A" w:rsidRPr="0017122A" w14:paraId="199DF80F" w14:textId="77777777" w:rsidTr="002303AD">
        <w:trPr>
          <w:trHeight w:val="300"/>
        </w:trPr>
        <w:tc>
          <w:tcPr>
            <w:tcW w:w="2297" w:type="dxa"/>
            <w:hideMark/>
          </w:tcPr>
          <w:p w14:paraId="347BF6D7"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etanercept → adalimumab → BSC</w:t>
            </w:r>
          </w:p>
        </w:tc>
        <w:tc>
          <w:tcPr>
            <w:tcW w:w="1110" w:type="dxa"/>
            <w:hideMark/>
          </w:tcPr>
          <w:p w14:paraId="12B97052"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£107,541</w:t>
            </w:r>
          </w:p>
        </w:tc>
        <w:tc>
          <w:tcPr>
            <w:tcW w:w="1075" w:type="dxa"/>
            <w:hideMark/>
          </w:tcPr>
          <w:p w14:paraId="6F16C7F0"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7.44</w:t>
            </w:r>
          </w:p>
        </w:tc>
        <w:tc>
          <w:tcPr>
            <w:tcW w:w="1217" w:type="dxa"/>
            <w:hideMark/>
          </w:tcPr>
          <w:p w14:paraId="58012D55"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£2,605</w:t>
            </w:r>
          </w:p>
        </w:tc>
        <w:tc>
          <w:tcPr>
            <w:tcW w:w="1217" w:type="dxa"/>
            <w:hideMark/>
          </w:tcPr>
          <w:p w14:paraId="40350C7E"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0.1719</w:t>
            </w:r>
          </w:p>
        </w:tc>
        <w:tc>
          <w:tcPr>
            <w:tcW w:w="1080" w:type="dxa"/>
            <w:hideMark/>
          </w:tcPr>
          <w:p w14:paraId="4E2D05DB"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£15,154</w:t>
            </w:r>
          </w:p>
        </w:tc>
        <w:tc>
          <w:tcPr>
            <w:tcW w:w="1246" w:type="dxa"/>
            <w:hideMark/>
          </w:tcPr>
          <w:p w14:paraId="3046725C"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ED</w:t>
            </w:r>
          </w:p>
        </w:tc>
      </w:tr>
      <w:tr w:rsidR="0017122A" w:rsidRPr="0017122A" w14:paraId="36DB7225" w14:textId="77777777" w:rsidTr="002303AD">
        <w:trPr>
          <w:trHeight w:val="510"/>
        </w:trPr>
        <w:tc>
          <w:tcPr>
            <w:tcW w:w="2297" w:type="dxa"/>
            <w:hideMark/>
          </w:tcPr>
          <w:p w14:paraId="5C42199C"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b/>
                <w:szCs w:val="18"/>
              </w:rPr>
              <w:t>apremilast</w:t>
            </w:r>
            <w:r w:rsidRPr="0017122A">
              <w:rPr>
                <w:rFonts w:asciiTheme="minorHAnsi" w:hAnsiTheme="minorHAnsi"/>
                <w:szCs w:val="18"/>
              </w:rPr>
              <w:t xml:space="preserve"> → adalimumab → etanercept → BSC </w:t>
            </w:r>
          </w:p>
        </w:tc>
        <w:tc>
          <w:tcPr>
            <w:tcW w:w="1110" w:type="dxa"/>
            <w:hideMark/>
          </w:tcPr>
          <w:p w14:paraId="6EDD5E6B"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£115,837</w:t>
            </w:r>
          </w:p>
        </w:tc>
        <w:tc>
          <w:tcPr>
            <w:tcW w:w="1075" w:type="dxa"/>
            <w:hideMark/>
          </w:tcPr>
          <w:p w14:paraId="3D7C2C87"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8.01</w:t>
            </w:r>
          </w:p>
        </w:tc>
        <w:tc>
          <w:tcPr>
            <w:tcW w:w="1217" w:type="dxa"/>
            <w:hideMark/>
          </w:tcPr>
          <w:p w14:paraId="5FC5020B"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£8,296</w:t>
            </w:r>
          </w:p>
        </w:tc>
        <w:tc>
          <w:tcPr>
            <w:tcW w:w="1217" w:type="dxa"/>
            <w:hideMark/>
          </w:tcPr>
          <w:p w14:paraId="23EC5962"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0.5705</w:t>
            </w:r>
          </w:p>
        </w:tc>
        <w:tc>
          <w:tcPr>
            <w:tcW w:w="1080" w:type="dxa"/>
            <w:hideMark/>
          </w:tcPr>
          <w:p w14:paraId="3D2DC1F8"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£14,542</w:t>
            </w:r>
          </w:p>
        </w:tc>
        <w:tc>
          <w:tcPr>
            <w:tcW w:w="1246" w:type="dxa"/>
            <w:hideMark/>
          </w:tcPr>
          <w:p w14:paraId="1F7717DE"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ED</w:t>
            </w:r>
          </w:p>
        </w:tc>
      </w:tr>
      <w:tr w:rsidR="0017122A" w:rsidRPr="0017122A" w14:paraId="287B8BCC" w14:textId="77777777" w:rsidTr="002303AD">
        <w:trPr>
          <w:trHeight w:val="510"/>
        </w:trPr>
        <w:tc>
          <w:tcPr>
            <w:tcW w:w="2297" w:type="dxa"/>
            <w:hideMark/>
          </w:tcPr>
          <w:p w14:paraId="1BB6CEC2"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 xml:space="preserve">adalimumab → etanercept → </w:t>
            </w:r>
            <w:r w:rsidRPr="0017122A">
              <w:rPr>
                <w:rFonts w:asciiTheme="minorHAnsi" w:hAnsiTheme="minorHAnsi"/>
                <w:b/>
                <w:szCs w:val="18"/>
              </w:rPr>
              <w:t>apremilast</w:t>
            </w:r>
            <w:r w:rsidRPr="0017122A">
              <w:rPr>
                <w:rFonts w:asciiTheme="minorHAnsi" w:hAnsiTheme="minorHAnsi"/>
                <w:szCs w:val="18"/>
              </w:rPr>
              <w:t xml:space="preserve"> →BSC </w:t>
            </w:r>
          </w:p>
        </w:tc>
        <w:tc>
          <w:tcPr>
            <w:tcW w:w="1110" w:type="dxa"/>
            <w:hideMark/>
          </w:tcPr>
          <w:p w14:paraId="4F26AFBC"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£117,188</w:t>
            </w:r>
          </w:p>
        </w:tc>
        <w:tc>
          <w:tcPr>
            <w:tcW w:w="1075" w:type="dxa"/>
            <w:hideMark/>
          </w:tcPr>
          <w:p w14:paraId="1A308F2C"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8.06</w:t>
            </w:r>
          </w:p>
        </w:tc>
        <w:tc>
          <w:tcPr>
            <w:tcW w:w="1217" w:type="dxa"/>
            <w:hideMark/>
          </w:tcPr>
          <w:p w14:paraId="53F15696"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£1,351</w:t>
            </w:r>
          </w:p>
        </w:tc>
        <w:tc>
          <w:tcPr>
            <w:tcW w:w="1217" w:type="dxa"/>
            <w:hideMark/>
          </w:tcPr>
          <w:p w14:paraId="6C939CE5"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0.054</w:t>
            </w:r>
          </w:p>
        </w:tc>
        <w:tc>
          <w:tcPr>
            <w:tcW w:w="1080" w:type="dxa"/>
            <w:hideMark/>
          </w:tcPr>
          <w:p w14:paraId="75F6E650"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£25,019</w:t>
            </w:r>
          </w:p>
        </w:tc>
        <w:tc>
          <w:tcPr>
            <w:tcW w:w="1246" w:type="dxa"/>
            <w:hideMark/>
          </w:tcPr>
          <w:p w14:paraId="1BEE8546"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ED</w:t>
            </w:r>
          </w:p>
        </w:tc>
      </w:tr>
      <w:tr w:rsidR="0017122A" w:rsidRPr="0017122A" w14:paraId="6AE1B4A4" w14:textId="77777777" w:rsidTr="002303AD">
        <w:trPr>
          <w:trHeight w:val="510"/>
        </w:trPr>
        <w:tc>
          <w:tcPr>
            <w:tcW w:w="2297" w:type="dxa"/>
            <w:hideMark/>
          </w:tcPr>
          <w:p w14:paraId="26AEE1E2"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b/>
                <w:szCs w:val="18"/>
              </w:rPr>
              <w:t>apremilast</w:t>
            </w:r>
            <w:r w:rsidRPr="0017122A">
              <w:rPr>
                <w:rFonts w:asciiTheme="minorHAnsi" w:hAnsiTheme="minorHAnsi"/>
                <w:szCs w:val="18"/>
              </w:rPr>
              <w:t xml:space="preserve"> → etanercept → adalimumab → BSC </w:t>
            </w:r>
          </w:p>
        </w:tc>
        <w:tc>
          <w:tcPr>
            <w:tcW w:w="1110" w:type="dxa"/>
            <w:hideMark/>
          </w:tcPr>
          <w:p w14:paraId="1E1C6D9A"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£118,145</w:t>
            </w:r>
          </w:p>
        </w:tc>
        <w:tc>
          <w:tcPr>
            <w:tcW w:w="1075" w:type="dxa"/>
            <w:hideMark/>
          </w:tcPr>
          <w:p w14:paraId="43A55FE6"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8.16</w:t>
            </w:r>
          </w:p>
        </w:tc>
        <w:tc>
          <w:tcPr>
            <w:tcW w:w="1217" w:type="dxa"/>
            <w:hideMark/>
          </w:tcPr>
          <w:p w14:paraId="3A5CC1D0"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£957</w:t>
            </w:r>
          </w:p>
        </w:tc>
        <w:tc>
          <w:tcPr>
            <w:tcW w:w="1217" w:type="dxa"/>
            <w:hideMark/>
          </w:tcPr>
          <w:p w14:paraId="13841870"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0.0958</w:t>
            </w:r>
          </w:p>
        </w:tc>
        <w:tc>
          <w:tcPr>
            <w:tcW w:w="1080" w:type="dxa"/>
            <w:hideMark/>
          </w:tcPr>
          <w:p w14:paraId="4DAA4C4A"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£9,990</w:t>
            </w:r>
          </w:p>
        </w:tc>
        <w:tc>
          <w:tcPr>
            <w:tcW w:w="1246" w:type="dxa"/>
            <w:hideMark/>
          </w:tcPr>
          <w:p w14:paraId="193D974A"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£18,188</w:t>
            </w:r>
          </w:p>
        </w:tc>
      </w:tr>
      <w:tr w:rsidR="0017122A" w:rsidRPr="0017122A" w14:paraId="59AAA567" w14:textId="77777777" w:rsidTr="002303AD">
        <w:trPr>
          <w:trHeight w:val="510"/>
        </w:trPr>
        <w:tc>
          <w:tcPr>
            <w:tcW w:w="2297" w:type="dxa"/>
            <w:hideMark/>
          </w:tcPr>
          <w:p w14:paraId="6FDBF1B5"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 xml:space="preserve">etanercept → adalimumab → </w:t>
            </w:r>
            <w:r w:rsidRPr="0017122A">
              <w:rPr>
                <w:rFonts w:asciiTheme="minorHAnsi" w:hAnsiTheme="minorHAnsi"/>
                <w:b/>
                <w:szCs w:val="18"/>
              </w:rPr>
              <w:t>apremilast</w:t>
            </w:r>
            <w:r w:rsidRPr="0017122A">
              <w:rPr>
                <w:rFonts w:asciiTheme="minorHAnsi" w:hAnsiTheme="minorHAnsi"/>
                <w:szCs w:val="18"/>
              </w:rPr>
              <w:t xml:space="preserve"> → BSC</w:t>
            </w:r>
          </w:p>
        </w:tc>
        <w:tc>
          <w:tcPr>
            <w:tcW w:w="1110" w:type="dxa"/>
            <w:hideMark/>
          </w:tcPr>
          <w:p w14:paraId="63D4AFF4"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£119,552</w:t>
            </w:r>
          </w:p>
        </w:tc>
        <w:tc>
          <w:tcPr>
            <w:tcW w:w="1075" w:type="dxa"/>
            <w:hideMark/>
          </w:tcPr>
          <w:p w14:paraId="716EFF93"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8.22</w:t>
            </w:r>
          </w:p>
        </w:tc>
        <w:tc>
          <w:tcPr>
            <w:tcW w:w="1217" w:type="dxa"/>
            <w:hideMark/>
          </w:tcPr>
          <w:p w14:paraId="4A4FA5BC"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£1,407</w:t>
            </w:r>
          </w:p>
        </w:tc>
        <w:tc>
          <w:tcPr>
            <w:tcW w:w="1217" w:type="dxa"/>
            <w:hideMark/>
          </w:tcPr>
          <w:p w14:paraId="6C95F689"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0.0582</w:t>
            </w:r>
          </w:p>
        </w:tc>
        <w:tc>
          <w:tcPr>
            <w:tcW w:w="1080" w:type="dxa"/>
            <w:hideMark/>
          </w:tcPr>
          <w:p w14:paraId="501FCC6C"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£24,175</w:t>
            </w:r>
          </w:p>
        </w:tc>
        <w:tc>
          <w:tcPr>
            <w:tcW w:w="1246" w:type="dxa"/>
            <w:hideMark/>
          </w:tcPr>
          <w:p w14:paraId="6EF21F60" w14:textId="77777777" w:rsidR="0017122A" w:rsidRPr="0017122A" w:rsidRDefault="0017122A" w:rsidP="0017122A">
            <w:pPr>
              <w:keepNext/>
              <w:spacing w:before="120" w:after="0"/>
              <w:rPr>
                <w:rFonts w:asciiTheme="minorHAnsi" w:hAnsiTheme="minorHAnsi"/>
                <w:szCs w:val="18"/>
              </w:rPr>
            </w:pPr>
            <w:r w:rsidRPr="0017122A">
              <w:rPr>
                <w:rFonts w:asciiTheme="minorHAnsi" w:hAnsiTheme="minorHAnsi"/>
                <w:szCs w:val="18"/>
              </w:rPr>
              <w:t>£24,175</w:t>
            </w:r>
          </w:p>
        </w:tc>
      </w:tr>
    </w:tbl>
    <w:p w14:paraId="02984041" w14:textId="77777777" w:rsidR="0017122A" w:rsidRPr="0017122A" w:rsidRDefault="0017122A" w:rsidP="0017122A">
      <w:pPr>
        <w:spacing w:before="60" w:after="0" w:line="240" w:lineRule="auto"/>
        <w:contextualSpacing/>
        <w:jc w:val="both"/>
        <w:rPr>
          <w:rFonts w:eastAsia="Times New Roman" w:cs="Times New Roman"/>
          <w:sz w:val="18"/>
          <w:szCs w:val="16"/>
        </w:rPr>
      </w:pPr>
      <w:r w:rsidRPr="0017122A">
        <w:rPr>
          <w:rFonts w:eastAsia="Times New Roman" w:cs="Times New Roman"/>
          <w:sz w:val="18"/>
          <w:szCs w:val="16"/>
        </w:rPr>
        <w:t>ED = Extendedly dominated</w:t>
      </w:r>
    </w:p>
    <w:p w14:paraId="25E5BD4E" w14:textId="77777777" w:rsidR="0017122A" w:rsidRDefault="0017122A" w:rsidP="0017122A">
      <w:pPr>
        <w:pStyle w:val="ListParagraph"/>
      </w:pPr>
    </w:p>
    <w:p w14:paraId="799C1BF2" w14:textId="77777777" w:rsidR="00EA183A" w:rsidRDefault="0017122A" w:rsidP="00DA0AD3">
      <w:pPr>
        <w:pStyle w:val="ListParagraph"/>
        <w:keepNext/>
        <w:keepLines/>
      </w:pPr>
      <w:r>
        <w:t>Th</w:t>
      </w:r>
      <w:r w:rsidR="006B137F" w:rsidRPr="00F71694">
        <w:t xml:space="preserve">ese </w:t>
      </w:r>
      <w:r>
        <w:t>results demonstrate that</w:t>
      </w:r>
      <w:r w:rsidR="006B137F" w:rsidRPr="00F71694">
        <w:t xml:space="preserve">: </w:t>
      </w:r>
    </w:p>
    <w:p w14:paraId="74E9161C" w14:textId="77777777" w:rsidR="00EA183A" w:rsidRDefault="006B137F" w:rsidP="00DA0AD3">
      <w:pPr>
        <w:pStyle w:val="ListParagraph"/>
        <w:keepNext/>
        <w:keepLines/>
        <w:numPr>
          <w:ilvl w:val="1"/>
          <w:numId w:val="12"/>
        </w:numPr>
      </w:pPr>
      <w:r w:rsidRPr="00F71694">
        <w:t xml:space="preserve">adding lines of treatment (i.e. moving from sequences including </w:t>
      </w:r>
      <w:r w:rsidR="007562A7" w:rsidRPr="00F71694">
        <w:t xml:space="preserve">only </w:t>
      </w:r>
      <w:r w:rsidRPr="00F71694">
        <w:t xml:space="preserve">one treatment to sequences including two and then three lines of treatment) resulted in more effective (i.e. higher QALYs) and in </w:t>
      </w:r>
      <w:r w:rsidR="005A59D1" w:rsidRPr="00F71694">
        <w:t xml:space="preserve">many </w:t>
      </w:r>
      <w:r w:rsidRPr="00F71694">
        <w:t>cases more cost-effective strategies</w:t>
      </w:r>
    </w:p>
    <w:p w14:paraId="2D023279" w14:textId="77777777" w:rsidR="00EA183A" w:rsidRDefault="006B137F" w:rsidP="00EA183A">
      <w:pPr>
        <w:pStyle w:val="ListParagraph"/>
        <w:numPr>
          <w:ilvl w:val="1"/>
          <w:numId w:val="12"/>
        </w:numPr>
      </w:pPr>
      <w:r w:rsidRPr="00F71694">
        <w:t xml:space="preserve">in terms of the </w:t>
      </w:r>
      <w:r w:rsidR="0017122A">
        <w:t>comparator strategies without apremilast,</w:t>
      </w:r>
      <w:r w:rsidRPr="00F71694">
        <w:t xml:space="preserve"> etanercept followed by adalimumab was more effective than adalimumab followed by etanercept, </w:t>
      </w:r>
    </w:p>
    <w:p w14:paraId="48572100" w14:textId="77777777" w:rsidR="00EA183A" w:rsidRDefault="006B137F" w:rsidP="00E1246A">
      <w:pPr>
        <w:pStyle w:val="ListParagraph"/>
        <w:numPr>
          <w:ilvl w:val="1"/>
          <w:numId w:val="12"/>
        </w:numPr>
      </w:pPr>
      <w:r w:rsidRPr="00F71694">
        <w:t xml:space="preserve">apremilast was generally more cost-effective when positioned after </w:t>
      </w:r>
      <w:r w:rsidR="00E1246A" w:rsidRPr="00E1246A">
        <w:t xml:space="preserve">TNF-α inhibitor </w:t>
      </w:r>
      <w:r w:rsidRPr="00F71694">
        <w:t xml:space="preserve">therapies and </w:t>
      </w:r>
    </w:p>
    <w:p w14:paraId="5199DD0F" w14:textId="065FC570" w:rsidR="00902D8E" w:rsidRPr="00F71694" w:rsidRDefault="006B137F" w:rsidP="00C54F3F">
      <w:pPr>
        <w:pStyle w:val="ListParagraph"/>
        <w:numPr>
          <w:ilvl w:val="1"/>
          <w:numId w:val="12"/>
        </w:numPr>
      </w:pPr>
      <w:r w:rsidRPr="00F71694">
        <w:t xml:space="preserve">the most cost-effective sequence was apremilast positioned after </w:t>
      </w:r>
      <w:r w:rsidR="005A59D1" w:rsidRPr="00F71694">
        <w:t xml:space="preserve">two </w:t>
      </w:r>
      <w:r w:rsidR="00E1246A" w:rsidRPr="00E1246A">
        <w:t>TNF-α inhibitor</w:t>
      </w:r>
      <w:r w:rsidR="00E1246A">
        <w:t>s</w:t>
      </w:r>
      <w:r w:rsidR="005A59D1" w:rsidRPr="00F71694">
        <w:t xml:space="preserve">, </w:t>
      </w:r>
      <w:r w:rsidR="007562A7" w:rsidRPr="00F71694">
        <w:t xml:space="preserve">i.e. </w:t>
      </w:r>
      <w:r w:rsidRPr="00F71694">
        <w:t>etanercept followed by adalimumab, leading to an ICER of £24,175 per QALY</w:t>
      </w:r>
      <w:r w:rsidR="000E7407" w:rsidRPr="00F71694">
        <w:t xml:space="preserve"> compared to apremilast </w:t>
      </w:r>
      <w:r w:rsidR="000E7407" w:rsidRPr="00F71694">
        <w:sym w:font="Wingdings" w:char="F0E0"/>
      </w:r>
      <w:r w:rsidR="000E7407" w:rsidRPr="00F71694">
        <w:t xml:space="preserve">etanercept </w:t>
      </w:r>
      <w:r w:rsidR="000E7407" w:rsidRPr="00F71694">
        <w:sym w:font="Wingdings" w:char="F0E0"/>
      </w:r>
      <w:r w:rsidR="000E7407" w:rsidRPr="00F71694">
        <w:t xml:space="preserve"> adalimumab </w:t>
      </w:r>
      <w:r w:rsidR="000E7407" w:rsidRPr="00F71694">
        <w:sym w:font="Wingdings" w:char="F0E0"/>
      </w:r>
      <w:r w:rsidR="006C45ED" w:rsidRPr="00F71694">
        <w:t>BSC</w:t>
      </w:r>
      <w:r w:rsidRPr="00F71694">
        <w:t xml:space="preserve">. </w:t>
      </w:r>
      <w:r w:rsidR="007D22AC">
        <w:t>When</w:t>
      </w:r>
      <w:r w:rsidRPr="00F71694">
        <w:t xml:space="preserve"> excluding the degradation of </w:t>
      </w:r>
      <w:r w:rsidR="00E1246A">
        <w:t xml:space="preserve">TNF-α inhibitor </w:t>
      </w:r>
      <w:r w:rsidRPr="00F71694">
        <w:t>effect</w:t>
      </w:r>
      <w:r w:rsidR="007D22AC">
        <w:t xml:space="preserve">, </w:t>
      </w:r>
      <w:r w:rsidR="007D22AC" w:rsidRPr="00F71694">
        <w:t>the</w:t>
      </w:r>
      <w:r w:rsidRPr="00F71694">
        <w:t xml:space="preserve"> conclusion that apremilast is more effective (i.e. produces higher QALYs) when positioned after the </w:t>
      </w:r>
      <w:r w:rsidR="00C54F3F">
        <w:t xml:space="preserve">TNF-α inhibitors </w:t>
      </w:r>
      <w:r w:rsidR="007D22AC">
        <w:t xml:space="preserve">was </w:t>
      </w:r>
      <w:r w:rsidR="007D22AC" w:rsidRPr="00F71694">
        <w:t>strengthened</w:t>
      </w:r>
      <w:r w:rsidRPr="00F71694">
        <w:t>.</w:t>
      </w:r>
    </w:p>
    <w:p w14:paraId="16C25D0C" w14:textId="77777777" w:rsidR="00EA183A" w:rsidRDefault="00480BD3" w:rsidP="00E1246A">
      <w:pPr>
        <w:pStyle w:val="ListParagraph"/>
        <w:numPr>
          <w:ilvl w:val="0"/>
          <w:numId w:val="12"/>
        </w:numPr>
      </w:pPr>
      <w:r w:rsidRPr="00F71694">
        <w:lastRenderedPageBreak/>
        <w:t xml:space="preserve">Regarding </w:t>
      </w:r>
      <w:r w:rsidR="002303AD">
        <w:t>HAQ</w:t>
      </w:r>
      <w:r w:rsidRPr="00F71694">
        <w:t xml:space="preserve"> progression for responders to apremilast, </w:t>
      </w:r>
      <w:r w:rsidR="002303AD" w:rsidRPr="00F71694">
        <w:t>it</w:t>
      </w:r>
      <w:r w:rsidR="002B6394" w:rsidRPr="00F71694">
        <w:t xml:space="preserve"> was not possible for the ERG to test different alternative disease progression assumptions for apremilast within the broader set of comparisons.</w:t>
      </w:r>
      <w:r w:rsidR="002B6394">
        <w:t xml:space="preserve"> T</w:t>
      </w:r>
      <w:r w:rsidR="000614D3" w:rsidRPr="00F71694">
        <w:t>he model programming did</w:t>
      </w:r>
      <w:r w:rsidR="000858E6" w:rsidRPr="00F71694">
        <w:t xml:space="preserve"> not provide the flexibility to assign differential HAQ progression </w:t>
      </w:r>
      <w:r w:rsidRPr="00F71694">
        <w:t xml:space="preserve">neither between </w:t>
      </w:r>
      <w:r w:rsidR="000858E6" w:rsidRPr="00F71694">
        <w:t xml:space="preserve">apremilast and </w:t>
      </w:r>
      <w:r w:rsidR="00E1246A">
        <w:t xml:space="preserve">TNF-α inhibitor </w:t>
      </w:r>
      <w:r w:rsidR="000858E6" w:rsidRPr="00F71694">
        <w:t xml:space="preserve">therapies </w:t>
      </w:r>
      <w:r w:rsidRPr="00F71694">
        <w:t>n</w:t>
      </w:r>
      <w:r w:rsidR="000858E6" w:rsidRPr="00F71694">
        <w:t xml:space="preserve">or between </w:t>
      </w:r>
      <w:r w:rsidR="0029544A" w:rsidRPr="00F71694">
        <w:t xml:space="preserve">apremilast </w:t>
      </w:r>
      <w:r w:rsidR="000858E6" w:rsidRPr="00F71694">
        <w:t xml:space="preserve">and BSC. </w:t>
      </w:r>
      <w:r w:rsidR="000614D3" w:rsidRPr="00F71694">
        <w:t>Such analyses would be necessary to appropriately address the decision problem</w:t>
      </w:r>
      <w:r w:rsidR="00876F4D" w:rsidRPr="00F71694">
        <w:t xml:space="preserve"> and </w:t>
      </w:r>
      <w:r w:rsidR="000614D3" w:rsidRPr="00F71694">
        <w:t xml:space="preserve">not being able to implement these </w:t>
      </w:r>
      <w:r w:rsidR="00DD5706" w:rsidRPr="00F71694">
        <w:t>was</w:t>
      </w:r>
      <w:r w:rsidRPr="00F71694">
        <w:t xml:space="preserve"> a severe limitation</w:t>
      </w:r>
      <w:r w:rsidR="000614D3" w:rsidRPr="00F71694">
        <w:t>. The only analysis that the ERG was able to implement</w:t>
      </w:r>
      <w:r w:rsidR="002B6394">
        <w:t>,</w:t>
      </w:r>
      <w:r w:rsidR="000614D3" w:rsidRPr="00F71694">
        <w:t xml:space="preserve"> </w:t>
      </w:r>
      <w:r w:rsidR="002B6394" w:rsidRPr="00F71694">
        <w:t>to approximate the impact of a scenario where apremilast is not associated with zero HAQ progression</w:t>
      </w:r>
      <w:r w:rsidR="002B6394">
        <w:t>,</w:t>
      </w:r>
      <w:r w:rsidR="002B6394" w:rsidRPr="00F71694">
        <w:t xml:space="preserve"> </w:t>
      </w:r>
      <w:r w:rsidR="0010688E" w:rsidRPr="00F71694">
        <w:t>was</w:t>
      </w:r>
      <w:r w:rsidR="000614D3" w:rsidRPr="00F71694">
        <w:t xml:space="preserve"> the comparison of apremilast versus BSC, when </w:t>
      </w:r>
      <w:r w:rsidR="00A01B50" w:rsidRPr="00F71694">
        <w:t xml:space="preserve">setting </w:t>
      </w:r>
      <w:r w:rsidR="000614D3" w:rsidRPr="00F71694">
        <w:t>HAQ progression to zero for both apremilast and BSC. Such a comparison was argued by the ERG to still be very insightful in determining the magnitude of</w:t>
      </w:r>
      <w:r w:rsidR="00252D2F">
        <w:t xml:space="preserve"> the </w:t>
      </w:r>
      <w:r w:rsidR="000614D3" w:rsidRPr="00F71694">
        <w:t xml:space="preserve">effect </w:t>
      </w:r>
      <w:r w:rsidR="00252D2F">
        <w:t xml:space="preserve">of an </w:t>
      </w:r>
      <w:r w:rsidR="000614D3" w:rsidRPr="00F71694">
        <w:t xml:space="preserve">alternative </w:t>
      </w:r>
      <w:r w:rsidR="00305655" w:rsidRPr="00305655">
        <w:t>HAQ progression assumption</w:t>
      </w:r>
      <w:r w:rsidR="00AA5C41">
        <w:t xml:space="preserve"> </w:t>
      </w:r>
      <w:r w:rsidR="00AA5C41" w:rsidRPr="00305655">
        <w:t>within</w:t>
      </w:r>
      <w:r w:rsidR="000614D3" w:rsidRPr="00F71694">
        <w:t xml:space="preserve"> the </w:t>
      </w:r>
      <w:r w:rsidR="00725E82">
        <w:t>broader set of comparators. T</w:t>
      </w:r>
      <w:r w:rsidR="000614D3" w:rsidRPr="00F71694">
        <w:t>his scenario had a very significant impact on results</w:t>
      </w:r>
      <w:r w:rsidR="00DD5706" w:rsidRPr="00F71694">
        <w:t>;</w:t>
      </w:r>
      <w:r w:rsidR="000614D3" w:rsidRPr="00F71694">
        <w:t xml:space="preserve"> the ICER of apremilast versus BSC in this scenario increased to £66,045</w:t>
      </w:r>
      <w:r w:rsidR="007562A7" w:rsidRPr="00F71694">
        <w:t xml:space="preserve"> per QALY gained, </w:t>
      </w:r>
      <w:r w:rsidR="000614D3" w:rsidRPr="00F71694">
        <w:t>versus £14,645 when assuming natural disease progression for BSC and zero progression for apremilast.</w:t>
      </w:r>
      <w:r w:rsidR="00305655">
        <w:t xml:space="preserve"> </w:t>
      </w:r>
    </w:p>
    <w:p w14:paraId="39784B9C" w14:textId="77777777" w:rsidR="00DD5706" w:rsidRPr="00F71694" w:rsidRDefault="00DD5706" w:rsidP="000614D3">
      <w:pPr>
        <w:pStyle w:val="ListParagraph"/>
        <w:numPr>
          <w:ilvl w:val="0"/>
          <w:numId w:val="12"/>
        </w:numPr>
      </w:pPr>
      <w:r w:rsidRPr="00F71694">
        <w:t>The individual parameter scenarios</w:t>
      </w:r>
      <w:r w:rsidR="00A8780A">
        <w:t>,</w:t>
      </w:r>
      <w:r w:rsidRPr="00F71694">
        <w:t xml:space="preserve"> which appeared to have a </w:t>
      </w:r>
      <w:r w:rsidR="00A01B50" w:rsidRPr="00F71694">
        <w:t>greater</w:t>
      </w:r>
      <w:r w:rsidRPr="00F71694">
        <w:t xml:space="preserve"> impact on</w:t>
      </w:r>
      <w:r w:rsidR="00A8780A">
        <w:t xml:space="preserve"> the ICER, included </w:t>
      </w:r>
      <w:r w:rsidRPr="00F71694">
        <w:t>placebo response</w:t>
      </w:r>
      <w:r w:rsidR="00460A97" w:rsidRPr="00F71694">
        <w:t xml:space="preserve"> inclusion</w:t>
      </w:r>
      <w:r w:rsidRPr="00F71694">
        <w:t xml:space="preserve">, </w:t>
      </w:r>
      <w:r w:rsidR="00460A97" w:rsidRPr="00F71694">
        <w:t xml:space="preserve">use of </w:t>
      </w:r>
      <w:r w:rsidRPr="00F71694">
        <w:t>the apremilast u</w:t>
      </w:r>
      <w:r w:rsidR="0010688E" w:rsidRPr="00F71694">
        <w:t xml:space="preserve">tility model </w:t>
      </w:r>
      <w:r w:rsidRPr="00F71694">
        <w:t xml:space="preserve">and </w:t>
      </w:r>
      <w:r w:rsidR="00460A97" w:rsidRPr="00F71694">
        <w:t xml:space="preserve">use of the disease-related cost model from </w:t>
      </w:r>
      <w:r w:rsidR="00D84111" w:rsidRPr="00F71694">
        <w:t xml:space="preserve">an alternative </w:t>
      </w:r>
      <w:r w:rsidR="00D84111" w:rsidRPr="000D6187">
        <w:t xml:space="preserve">study </w:t>
      </w:r>
      <w:r w:rsidRPr="000D6187">
        <w:t>Poole et al.</w:t>
      </w:r>
      <w:r w:rsidR="000D6187" w:rsidRPr="000D6187">
        <w:t xml:space="preserve"> </w:t>
      </w:r>
      <w:r w:rsidR="000D6187" w:rsidRPr="000D6187">
        <w:fldChar w:fldCharType="begin"/>
      </w:r>
      <w:r w:rsidR="002E0519">
        <w:instrText xml:space="preserve"> ADDIN EN.CITE &lt;EndNote&gt;&lt;Cite&gt;&lt;Author&gt;Poole&lt;/Author&gt;&lt;Year&gt;2010&lt;/Year&gt;&lt;RecNum&gt;135&lt;/RecNum&gt;&lt;DisplayText&gt;(19)&lt;/DisplayText&gt;&lt;record&gt;&lt;rec-number&gt;135&lt;/rec-number&gt;&lt;foreign-keys&gt;&lt;key app="EN" db-id="svtwxs2x12d223ewxf5pdxac9srd95zxdfda" timestamp="1424880976"&gt;135&lt;/key&gt;&lt;key app="ENWeb" db-id=""&gt;0&lt;/key&gt;&lt;/foreign-keys&gt;&lt;ref-type name="Journal Article"&gt;17&lt;/ref-type&gt;&lt;contributors&gt;&lt;authors&gt;&lt;author&gt;Poole, C. D.&lt;/author&gt;&lt;author&gt;Lebmeier, M.&lt;/author&gt;&lt;author&gt;Ara, R.&lt;/author&gt;&lt;author&gt;Rafia, R.&lt;/author&gt;&lt;author&gt;Currie, C. J.&lt;/author&gt;&lt;/authors&gt;&lt;/contributors&gt;&lt;auth-address&gt;Pharmatelligence, University Hospital of Wales, Cardiff, UK.&lt;/auth-address&gt;&lt;titles&gt;&lt;title&gt;Estimation of health care costs as a function of disease severity in people with psoriatic arthritis in the UK&lt;/title&gt;&lt;secondary-title&gt;Rheumatology (Oxford)&lt;/secondary-title&gt;&lt;/titles&gt;&lt;periodical&gt;&lt;full-title&gt;Rheumatology&lt;/full-title&gt;&lt;abbr-1&gt;Rheumatology (Oxford)&lt;/abbr-1&gt;&lt;/periodical&gt;&lt;pages&gt;1949-56&lt;/pages&gt;&lt;volume&gt;49&lt;/volume&gt;&lt;number&gt;10&lt;/number&gt;&lt;edition&gt;2010/06/29&lt;/edition&gt;&lt;keywords&gt;&lt;keyword&gt;Adult&lt;/keyword&gt;&lt;keyword&gt;Algorithms&lt;/keyword&gt;&lt;keyword&gt;Arthritis, Psoriatic/*economics/physiopathology/therapy&lt;/keyword&gt;&lt;keyword&gt;Disability Evaluation&lt;/keyword&gt;&lt;keyword&gt;Female&lt;/keyword&gt;&lt;keyword&gt;Great Britain&lt;/keyword&gt;&lt;keyword&gt;*Health Care Costs&lt;/keyword&gt;&lt;keyword&gt;Humans&lt;/keyword&gt;&lt;keyword&gt;Male&lt;/keyword&gt;&lt;keyword&gt;Middle Aged&lt;/keyword&gt;&lt;keyword&gt;Models, Theoretical&lt;/keyword&gt;&lt;keyword&gt;Regression Analysis&lt;/keyword&gt;&lt;keyword&gt;*Severity of Illness Index&lt;/keyword&gt;&lt;/keywords&gt;&lt;dates&gt;&lt;year&gt;2010&lt;/year&gt;&lt;pub-dates&gt;&lt;date&gt;Oct&lt;/date&gt;&lt;/pub-dates&gt;&lt;/dates&gt;&lt;isbn&gt;1462-0332 (Electronic)&amp;#xD;1462-0324 (Linking)&lt;/isbn&gt;&lt;accession-num&gt;20581376&lt;/accession-num&gt;&lt;urls&gt;&lt;related-urls&gt;&lt;url&gt;http://www.ncbi.nlm.nih.gov/pubmed/20581376&lt;/url&gt;&lt;/related-urls&gt;&lt;/urls&gt;&lt;electronic-resource-num&gt;keq182 [pii]&amp;#xD;10.1093/rheumatology/keq182&lt;/electronic-resource-num&gt;&lt;language&gt;eng&lt;/language&gt;&lt;/record&gt;&lt;/Cite&gt;&lt;/EndNote&gt;</w:instrText>
      </w:r>
      <w:r w:rsidR="000D6187" w:rsidRPr="000D6187">
        <w:fldChar w:fldCharType="separate"/>
      </w:r>
      <w:r w:rsidR="002E0519">
        <w:rPr>
          <w:noProof/>
        </w:rPr>
        <w:t>(</w:t>
      </w:r>
      <w:hyperlink w:anchor="_ENREF_19" w:tooltip="Poole, 2010 #135" w:history="1">
        <w:r w:rsidR="000839CF">
          <w:rPr>
            <w:noProof/>
          </w:rPr>
          <w:t>19</w:t>
        </w:r>
      </w:hyperlink>
      <w:r w:rsidR="002E0519">
        <w:rPr>
          <w:noProof/>
        </w:rPr>
        <w:t>)</w:t>
      </w:r>
      <w:r w:rsidR="000D6187" w:rsidRPr="000D6187">
        <w:fldChar w:fldCharType="end"/>
      </w:r>
      <w:r w:rsidRPr="000D6187">
        <w:t xml:space="preserve"> </w:t>
      </w:r>
      <w:r w:rsidR="00A8780A" w:rsidRPr="000D6187">
        <w:t>However, o</w:t>
      </w:r>
      <w:r w:rsidR="00460A97" w:rsidRPr="000D6187">
        <w:t>nly</w:t>
      </w:r>
      <w:r w:rsidR="00460A97" w:rsidRPr="00F71694">
        <w:t xml:space="preserve"> t</w:t>
      </w:r>
      <w:r w:rsidRPr="00F71694">
        <w:t xml:space="preserve">he </w:t>
      </w:r>
      <w:r w:rsidR="00477888" w:rsidRPr="00F71694">
        <w:t xml:space="preserve">use of the </w:t>
      </w:r>
      <w:r w:rsidR="002B6394">
        <w:t xml:space="preserve">apremilast utility model </w:t>
      </w:r>
      <w:r w:rsidRPr="00F71694">
        <w:t>led to a</w:t>
      </w:r>
      <w:r w:rsidR="00567403" w:rsidRPr="00F71694">
        <w:t xml:space="preserve">n </w:t>
      </w:r>
      <w:r w:rsidRPr="00F71694">
        <w:t>ICER that exceeded the threshold range likely to be considered cost effective by NICE.</w:t>
      </w:r>
    </w:p>
    <w:p w14:paraId="56F966A1" w14:textId="77777777" w:rsidR="00176A5C" w:rsidRPr="00F71694" w:rsidRDefault="00176A5C" w:rsidP="000614D3">
      <w:r w:rsidRPr="00F71694">
        <w:t>Despite the additional exploratory work,</w:t>
      </w:r>
      <w:r w:rsidR="00A01B50" w:rsidRPr="00F71694">
        <w:t xml:space="preserve"> the ERG </w:t>
      </w:r>
      <w:r w:rsidR="006A73CD">
        <w:t xml:space="preserve">still </w:t>
      </w:r>
      <w:r w:rsidR="00A01B50" w:rsidRPr="00F71694">
        <w:t>considered that several key areas of uncertainty remained unresolved</w:t>
      </w:r>
      <w:r w:rsidRPr="00F71694">
        <w:t xml:space="preserve">. </w:t>
      </w:r>
      <w:r w:rsidR="00E1246A">
        <w:t>The</w:t>
      </w:r>
      <w:r w:rsidR="00A01B50" w:rsidRPr="00F71694">
        <w:t>se</w:t>
      </w:r>
      <w:r w:rsidRPr="00F71694">
        <w:t xml:space="preserve"> included (i) the impact of the sequencing approach chosen by the </w:t>
      </w:r>
      <w:r w:rsidR="00EA3622">
        <w:t>company</w:t>
      </w:r>
      <w:r w:rsidR="00305655">
        <w:t xml:space="preserve">, </w:t>
      </w:r>
      <w:r w:rsidR="00305655" w:rsidRPr="00305655">
        <w:t>failing to simultaneously consider all possible comparator sequences</w:t>
      </w:r>
      <w:r w:rsidR="00460A97" w:rsidRPr="00F71694">
        <w:t xml:space="preserve"> and </w:t>
      </w:r>
      <w:r w:rsidR="00305655">
        <w:t xml:space="preserve">possible </w:t>
      </w:r>
      <w:r w:rsidRPr="00F71694">
        <w:t xml:space="preserve">positions of apremilast </w:t>
      </w:r>
      <w:r w:rsidR="00D84111" w:rsidRPr="00F71694">
        <w:t xml:space="preserve">and </w:t>
      </w:r>
      <w:r w:rsidRPr="00F71694">
        <w:t xml:space="preserve">(ii) the consideration of alternative </w:t>
      </w:r>
      <w:r w:rsidR="00305655">
        <w:t>HAQ</w:t>
      </w:r>
      <w:r w:rsidRPr="00F71694">
        <w:t xml:space="preserve"> progression assumptions for apremilast within the broader set of comparisons</w:t>
      </w:r>
      <w:r w:rsidR="00D84111" w:rsidRPr="00F71694">
        <w:t xml:space="preserve">. </w:t>
      </w:r>
      <w:r w:rsidR="00A01B50" w:rsidRPr="00F71694">
        <w:t>We therefore did not consider that a preferred analysis is available.</w:t>
      </w:r>
    </w:p>
    <w:p w14:paraId="38E308DA" w14:textId="77777777" w:rsidR="000858E6" w:rsidRPr="00F71694" w:rsidRDefault="000858E6" w:rsidP="00902D8E"/>
    <w:p w14:paraId="78D76F47" w14:textId="77777777" w:rsidR="00A31675" w:rsidRPr="00F71694" w:rsidRDefault="00A31675" w:rsidP="00571105">
      <w:pPr>
        <w:pStyle w:val="Heading2"/>
        <w:numPr>
          <w:ilvl w:val="1"/>
          <w:numId w:val="1"/>
        </w:numPr>
        <w:spacing w:after="120"/>
        <w:rPr>
          <w:rFonts w:asciiTheme="minorHAnsi" w:hAnsiTheme="minorHAnsi" w:cs="Times New Roman"/>
          <w:color w:val="auto"/>
          <w:sz w:val="22"/>
          <w:szCs w:val="22"/>
        </w:rPr>
      </w:pPr>
      <w:r w:rsidRPr="00F71694">
        <w:rPr>
          <w:rFonts w:asciiTheme="minorHAnsi" w:hAnsiTheme="minorHAnsi" w:cs="Times New Roman"/>
          <w:color w:val="auto"/>
          <w:sz w:val="22"/>
          <w:szCs w:val="22"/>
        </w:rPr>
        <w:t>Conclusions of the ERG Review</w:t>
      </w:r>
    </w:p>
    <w:p w14:paraId="7BD5000F" w14:textId="77777777" w:rsidR="00EA183A" w:rsidRDefault="00EA183A" w:rsidP="00571105">
      <w:r w:rsidRPr="00EA183A">
        <w:t xml:space="preserve">Evidence from </w:t>
      </w:r>
      <w:r>
        <w:t>three</w:t>
      </w:r>
      <w:r w:rsidRPr="00EA183A">
        <w:t xml:space="preserve"> good quality RCTs demonstrate that apremilast was associated with statistically significant improvements </w:t>
      </w:r>
      <w:r>
        <w:t>in PsA</w:t>
      </w:r>
      <w:r w:rsidR="003E5BA4">
        <w:t xml:space="preserve"> patients</w:t>
      </w:r>
      <w:r>
        <w:t xml:space="preserve"> </w:t>
      </w:r>
      <w:r w:rsidRPr="00EA183A">
        <w:t xml:space="preserve">compared with placebo.  </w:t>
      </w:r>
      <w:r w:rsidR="00A71B59" w:rsidRPr="00A71B59">
        <w:t>However, the size of the treatment benefit was modest</w:t>
      </w:r>
      <w:r w:rsidR="00A71B59">
        <w:t xml:space="preserve"> and the</w:t>
      </w:r>
      <w:r w:rsidR="00A71B59" w:rsidRPr="00A71B59">
        <w:t xml:space="preserve">re is uncertainty about whether the improvement in function provided by apremilast reaches clinically-relevant levels. </w:t>
      </w:r>
      <w:r w:rsidR="00A71B59" w:rsidRPr="00F71694">
        <w:t xml:space="preserve"> </w:t>
      </w:r>
      <w:r w:rsidR="00A71B59">
        <w:t>T</w:t>
      </w:r>
      <w:r w:rsidRPr="00EA183A">
        <w:t xml:space="preserve">he NMA demonstrated that apremilast </w:t>
      </w:r>
      <w:r w:rsidR="00237E61">
        <w:t>wa</w:t>
      </w:r>
      <w:r w:rsidRPr="00EA183A">
        <w:t xml:space="preserve">s not as effective as any of the </w:t>
      </w:r>
      <w:r w:rsidR="00E1246A" w:rsidRPr="00E1246A">
        <w:t xml:space="preserve">TNF-α inhibitor </w:t>
      </w:r>
      <w:r w:rsidRPr="00EA183A">
        <w:t xml:space="preserve">therapies.  </w:t>
      </w:r>
      <w:r w:rsidR="00A71B59">
        <w:t xml:space="preserve">Meanwhile, </w:t>
      </w:r>
      <w:r w:rsidR="003E5BA4" w:rsidRPr="00F71694">
        <w:t xml:space="preserve">methodological limitations of the longer-term data were not discussed by the </w:t>
      </w:r>
      <w:r w:rsidR="00EA3622">
        <w:t>company</w:t>
      </w:r>
      <w:r w:rsidR="003E5BA4">
        <w:t xml:space="preserve"> and </w:t>
      </w:r>
      <w:r w:rsidR="003E5BA4" w:rsidRPr="00F71694">
        <w:t>the efficacy result</w:t>
      </w:r>
      <w:r w:rsidR="003E5BA4">
        <w:t>s of the long-term studies c</w:t>
      </w:r>
      <w:r w:rsidR="003E5BA4" w:rsidRPr="00F71694">
        <w:t>ould not be considered as being reliable. Importantly</w:t>
      </w:r>
      <w:r w:rsidR="003E5BA4">
        <w:t>,</w:t>
      </w:r>
      <w:r w:rsidR="003E5BA4" w:rsidRPr="00F71694">
        <w:t xml:space="preserve"> there </w:t>
      </w:r>
      <w:r w:rsidR="00237E61">
        <w:t>wa</w:t>
      </w:r>
      <w:r w:rsidR="003E5BA4" w:rsidRPr="00F71694">
        <w:t>s no evidence to support the impact, if any, of apremilast on radiographic progression of joint disease.</w:t>
      </w:r>
      <w:r w:rsidR="003E5BA4">
        <w:t xml:space="preserve"> T</w:t>
      </w:r>
      <w:r w:rsidR="00A71B59">
        <w:t xml:space="preserve">here </w:t>
      </w:r>
      <w:r w:rsidR="00237E61">
        <w:t>wa</w:t>
      </w:r>
      <w:r w:rsidR="00A71B59">
        <w:t xml:space="preserve">s </w:t>
      </w:r>
      <w:r w:rsidR="003E5BA4">
        <w:t xml:space="preserve">also </w:t>
      </w:r>
      <w:r w:rsidR="00A71B59">
        <w:t>u</w:t>
      </w:r>
      <w:r w:rsidR="00A71B59" w:rsidRPr="00EA183A">
        <w:t xml:space="preserve">ncertainty </w:t>
      </w:r>
      <w:r w:rsidR="006E069B">
        <w:t xml:space="preserve">regarding </w:t>
      </w:r>
      <w:r w:rsidRPr="00EA183A">
        <w:t>the long-term safety of apremilast</w:t>
      </w:r>
      <w:r w:rsidR="006E069B">
        <w:t>.</w:t>
      </w:r>
    </w:p>
    <w:p w14:paraId="357036A9" w14:textId="77777777" w:rsidR="00260CCE" w:rsidRPr="00F71694" w:rsidRDefault="00F23225" w:rsidP="00571105">
      <w:r w:rsidRPr="00F71694">
        <w:t xml:space="preserve">As a consequence, the </w:t>
      </w:r>
      <w:r w:rsidR="00EA3622">
        <w:t>company</w:t>
      </w:r>
      <w:r w:rsidRPr="00F71694">
        <w:t xml:space="preserve">’s </w:t>
      </w:r>
      <w:r w:rsidR="00A325ED" w:rsidRPr="00F71694">
        <w:t>cost-effectiveness results</w:t>
      </w:r>
      <w:r w:rsidRPr="00F71694">
        <w:t xml:space="preserve"> </w:t>
      </w:r>
      <w:r w:rsidR="00DF021B" w:rsidRPr="00F71694">
        <w:t>were</w:t>
      </w:r>
      <w:r w:rsidR="00A325ED" w:rsidRPr="00F71694">
        <w:t xml:space="preserve"> also highly uncertain. The ERG considered that the </w:t>
      </w:r>
      <w:r w:rsidR="00EA3622">
        <w:t>company</w:t>
      </w:r>
      <w:r w:rsidR="00A325ED" w:rsidRPr="00F71694">
        <w:t>’s analysis represent</w:t>
      </w:r>
      <w:r w:rsidR="003649DE" w:rsidRPr="00F71694">
        <w:t>ed</w:t>
      </w:r>
      <w:r w:rsidR="00A325ED" w:rsidRPr="00F71694">
        <w:t xml:space="preserve"> a limited set of potentially relevant sequences and that the base-case results were not a sufficient basis to inform the most efficient use and position of apremilast.  The ERG was also extremely constrained in testing the </w:t>
      </w:r>
      <w:r w:rsidR="003E5BA4">
        <w:t xml:space="preserve">alternative HAQ progression </w:t>
      </w:r>
      <w:r w:rsidR="00A325ED" w:rsidRPr="00F71694">
        <w:t>assumption</w:t>
      </w:r>
      <w:r w:rsidR="003E5BA4">
        <w:t xml:space="preserve">s for </w:t>
      </w:r>
      <w:r w:rsidR="00A325ED" w:rsidRPr="00F71694">
        <w:t xml:space="preserve">apremilast. </w:t>
      </w:r>
      <w:r w:rsidR="00C857D6" w:rsidRPr="00F71694">
        <w:t>The results of the ERG additional analyses suggest</w:t>
      </w:r>
      <w:r w:rsidR="003649DE" w:rsidRPr="00F71694">
        <w:t>ed</w:t>
      </w:r>
      <w:r w:rsidR="00C857D6" w:rsidRPr="00F71694">
        <w:t xml:space="preserve"> </w:t>
      </w:r>
      <w:r w:rsidR="00716BC0" w:rsidRPr="00F71694">
        <w:t xml:space="preserve">that apremilast is more effective when positioned after </w:t>
      </w:r>
      <w:r w:rsidR="00E1246A" w:rsidRPr="00E1246A">
        <w:t xml:space="preserve">TNF-α inhibitor </w:t>
      </w:r>
      <w:r w:rsidR="00716BC0" w:rsidRPr="00F71694">
        <w:t xml:space="preserve">therapies and that </w:t>
      </w:r>
      <w:r w:rsidR="00C857D6" w:rsidRPr="00F71694">
        <w:t>the cost-</w:t>
      </w:r>
      <w:r w:rsidR="00C857D6" w:rsidRPr="00F71694">
        <w:lastRenderedPageBreak/>
        <w:t xml:space="preserve">effectiveness results would likely be significantly altered (i.e. become less favourable for the treatment sequences including apremilast) if alternative assumptions regarding disease progression for </w:t>
      </w:r>
      <w:r w:rsidR="004E40FC" w:rsidRPr="00F71694">
        <w:t>patients</w:t>
      </w:r>
      <w:r w:rsidR="00C857D6" w:rsidRPr="00F71694">
        <w:t xml:space="preserve"> on </w:t>
      </w:r>
      <w:r w:rsidR="005201CE" w:rsidRPr="00F71694">
        <w:t xml:space="preserve">treatment with </w:t>
      </w:r>
      <w:r w:rsidR="00C857D6" w:rsidRPr="00F71694">
        <w:t xml:space="preserve">apremilast were to be explored. </w:t>
      </w:r>
      <w:r w:rsidR="003649DE" w:rsidRPr="00F71694">
        <w:t xml:space="preserve">In view of all the unresolved uncertainties </w:t>
      </w:r>
      <w:r w:rsidR="006A5CC9" w:rsidRPr="00F71694">
        <w:t xml:space="preserve">ERG </w:t>
      </w:r>
      <w:r w:rsidR="007705FF" w:rsidRPr="00F71694">
        <w:t xml:space="preserve">did not </w:t>
      </w:r>
      <w:r w:rsidR="006A5CC9" w:rsidRPr="00F71694">
        <w:t xml:space="preserve">consider </w:t>
      </w:r>
      <w:r w:rsidR="006E069B">
        <w:t xml:space="preserve">that </w:t>
      </w:r>
      <w:r w:rsidR="006A5CC9" w:rsidRPr="00F71694">
        <w:t>th</w:t>
      </w:r>
      <w:r w:rsidR="007705FF" w:rsidRPr="00F71694">
        <w:t xml:space="preserve">ey were in a position to present </w:t>
      </w:r>
      <w:r w:rsidR="006A5CC9" w:rsidRPr="00F71694">
        <w:t>a preferred analysis.</w:t>
      </w:r>
    </w:p>
    <w:p w14:paraId="2CEDCAEF" w14:textId="77777777" w:rsidR="004D5A80" w:rsidRPr="00F71694" w:rsidRDefault="004D5A80" w:rsidP="00571105"/>
    <w:p w14:paraId="398F0EFD" w14:textId="77777777" w:rsidR="00FB1688" w:rsidRPr="00F71694" w:rsidRDefault="00FB1688" w:rsidP="00571105">
      <w:pPr>
        <w:pStyle w:val="Heading1"/>
        <w:spacing w:before="0"/>
        <w:rPr>
          <w:rFonts w:asciiTheme="minorHAnsi" w:hAnsiTheme="minorHAnsi" w:cs="Times New Roman"/>
          <w:color w:val="auto"/>
          <w:sz w:val="22"/>
          <w:szCs w:val="22"/>
        </w:rPr>
      </w:pPr>
      <w:r w:rsidRPr="00F71694">
        <w:rPr>
          <w:rFonts w:asciiTheme="minorHAnsi" w:eastAsiaTheme="minorHAnsi" w:hAnsiTheme="minorHAnsi" w:cs="Times New Roman"/>
          <w:bCs w:val="0"/>
          <w:color w:val="auto"/>
          <w:sz w:val="22"/>
          <w:szCs w:val="22"/>
        </w:rPr>
        <w:t xml:space="preserve">4. </w:t>
      </w:r>
      <w:r w:rsidRPr="00F71694">
        <w:rPr>
          <w:rFonts w:asciiTheme="minorHAnsi" w:hAnsiTheme="minorHAnsi" w:cs="Times New Roman"/>
          <w:color w:val="auto"/>
          <w:sz w:val="22"/>
          <w:szCs w:val="22"/>
        </w:rPr>
        <w:t>Consideration of All Available Evidence</w:t>
      </w:r>
    </w:p>
    <w:p w14:paraId="403EC36C" w14:textId="77777777" w:rsidR="0010589A" w:rsidRPr="00F71694" w:rsidRDefault="00C876BB" w:rsidP="00571105">
      <w:r w:rsidRPr="00F71694">
        <w:t xml:space="preserve">The NICE </w:t>
      </w:r>
      <w:r w:rsidR="00C0173F" w:rsidRPr="00F71694">
        <w:t>AC</w:t>
      </w:r>
      <w:r w:rsidRPr="00F71694">
        <w:t xml:space="preserve"> reviewed the evidence available on the clinical and cost-effectiveness of</w:t>
      </w:r>
      <w:r w:rsidR="002525B3" w:rsidRPr="00F71694">
        <w:t xml:space="preserve"> apremilast for the treatment of </w:t>
      </w:r>
      <w:r w:rsidR="00CA338D" w:rsidRPr="00F71694">
        <w:t xml:space="preserve">active </w:t>
      </w:r>
      <w:r w:rsidR="002525B3" w:rsidRPr="00F71694">
        <w:t>PsA</w:t>
      </w:r>
      <w:r w:rsidRPr="00F71694">
        <w:t>, alongside expert testimony from clinical specialists and patient representatives.</w:t>
      </w:r>
    </w:p>
    <w:p w14:paraId="42DBD2F6" w14:textId="77777777" w:rsidR="00C876BB" w:rsidRPr="00F71694" w:rsidRDefault="002525B3" w:rsidP="00571105">
      <w:pPr>
        <w:spacing w:after="0"/>
        <w:rPr>
          <w:b/>
        </w:rPr>
      </w:pPr>
      <w:r w:rsidRPr="00F71694">
        <w:rPr>
          <w:b/>
        </w:rPr>
        <w:t xml:space="preserve">4.1 </w:t>
      </w:r>
      <w:r w:rsidR="00826058" w:rsidRPr="00F71694">
        <w:rPr>
          <w:b/>
        </w:rPr>
        <w:t xml:space="preserve">NICE </w:t>
      </w:r>
      <w:r w:rsidRPr="00F71694">
        <w:rPr>
          <w:b/>
        </w:rPr>
        <w:t>Preliminary</w:t>
      </w:r>
      <w:r w:rsidR="00C876BB" w:rsidRPr="00F71694">
        <w:rPr>
          <w:b/>
        </w:rPr>
        <w:t xml:space="preserve"> Guidance</w:t>
      </w:r>
    </w:p>
    <w:p w14:paraId="06390136" w14:textId="6FE17B5A" w:rsidR="00703023" w:rsidRDefault="00703023" w:rsidP="00EB3E66">
      <w:r w:rsidRPr="00703023">
        <w:t xml:space="preserve">After considering the available evidence from the company’s submission, the ERG report, expert testimony and other consultees, the NICE </w:t>
      </w:r>
      <w:r w:rsidR="00FC3AD2" w:rsidRPr="00F71694">
        <w:t xml:space="preserve">AC </w:t>
      </w:r>
      <w:r w:rsidRPr="00703023">
        <w:t>preliminary recommendation</w:t>
      </w:r>
      <w:r w:rsidR="00FC3AD2">
        <w:t>,</w:t>
      </w:r>
      <w:r w:rsidRPr="00703023">
        <w:t xml:space="preserve"> issued in the ACD</w:t>
      </w:r>
      <w:r w:rsidR="00FC3AD2">
        <w:t>,</w:t>
      </w:r>
      <w:r w:rsidRPr="00703023">
        <w:t xml:space="preserve"> was that apremilast </w:t>
      </w:r>
      <w:r w:rsidR="00FC3AD2">
        <w:t>is</w:t>
      </w:r>
      <w:r w:rsidRPr="00703023">
        <w:t xml:space="preserve"> not recommended for treating adults with active </w:t>
      </w:r>
      <w:r w:rsidR="00834FDF" w:rsidRPr="00834FDF">
        <w:t>PsA</w:t>
      </w:r>
      <w:r w:rsidR="00834FDF" w:rsidRPr="00834FDF" w:rsidDel="00834FDF">
        <w:t xml:space="preserve"> </w:t>
      </w:r>
      <w:r w:rsidRPr="00703023">
        <w:t>that has not responded to prior DMARD therapy</w:t>
      </w:r>
      <w:r w:rsidR="006E069B">
        <w:t xml:space="preserve"> or where DMARDs are contraindicated</w:t>
      </w:r>
      <w:r w:rsidRPr="00703023">
        <w:t xml:space="preserve">. </w:t>
      </w:r>
    </w:p>
    <w:p w14:paraId="53F01FED" w14:textId="77777777" w:rsidR="009C5563" w:rsidRPr="00F76FDA" w:rsidRDefault="009C5563" w:rsidP="00571105">
      <w:pPr>
        <w:pStyle w:val="Heading1"/>
        <w:spacing w:before="0"/>
        <w:rPr>
          <w:rFonts w:asciiTheme="minorHAnsi" w:hAnsiTheme="minorHAnsi" w:cs="Times New Roman"/>
          <w:color w:val="auto"/>
          <w:sz w:val="22"/>
          <w:szCs w:val="22"/>
        </w:rPr>
      </w:pPr>
      <w:r w:rsidRPr="00F76FDA">
        <w:rPr>
          <w:rFonts w:asciiTheme="minorHAnsi" w:eastAsiaTheme="minorHAnsi" w:hAnsiTheme="minorHAnsi" w:cs="Times New Roman"/>
          <w:bCs w:val="0"/>
          <w:color w:val="auto"/>
          <w:sz w:val="22"/>
          <w:szCs w:val="22"/>
        </w:rPr>
        <w:t xml:space="preserve">5. </w:t>
      </w:r>
      <w:r w:rsidR="00826058" w:rsidRPr="00F76FDA">
        <w:rPr>
          <w:rFonts w:asciiTheme="minorHAnsi" w:hAnsiTheme="minorHAnsi" w:cs="Times New Roman"/>
          <w:color w:val="auto"/>
          <w:sz w:val="22"/>
          <w:szCs w:val="22"/>
        </w:rPr>
        <w:t xml:space="preserve">NICE </w:t>
      </w:r>
      <w:r w:rsidRPr="00F76FDA">
        <w:rPr>
          <w:rFonts w:asciiTheme="minorHAnsi" w:hAnsiTheme="minorHAnsi" w:cs="Times New Roman"/>
          <w:color w:val="auto"/>
          <w:sz w:val="22"/>
          <w:szCs w:val="22"/>
        </w:rPr>
        <w:t>Final Guidance</w:t>
      </w:r>
    </w:p>
    <w:p w14:paraId="3E05A07D" w14:textId="77777777" w:rsidR="00805027" w:rsidRDefault="00706BAF" w:rsidP="00571105">
      <w:r w:rsidRPr="00706BAF">
        <w:t>As reported in their Final G</w:t>
      </w:r>
      <w:r>
        <w:t>uidance</w:t>
      </w:r>
      <w:r w:rsidR="000839CF">
        <w:t>,</w:t>
      </w:r>
      <w:r>
        <w:t xml:space="preserve"> </w:t>
      </w:r>
      <w:r w:rsidR="000839CF">
        <w:fldChar w:fldCharType="begin"/>
      </w:r>
      <w:r w:rsidR="000839CF">
        <w:instrText xml:space="preserve"> ADDIN EN.CITE &lt;EndNote&gt;&lt;Cite&gt;&lt;Year&gt;accessed 18/01/2016&lt;/Year&gt;&lt;RecNum&gt;203&lt;/RecNum&gt;&lt;DisplayText&gt;(1)&lt;/DisplayText&gt;&lt;record&gt;&lt;rec-number&gt;203&lt;/rec-number&gt;&lt;foreign-keys&gt;&lt;key app="EN" db-id="svtwxs2x12d223ewxf5pdxac9srd95zxdfda" timestamp="1454496699"&gt;203&lt;/key&gt;&lt;/foreign-keys&gt;&lt;ref-type name="Journal Article"&gt;17&lt;/ref-type&gt;&lt;contributors&gt;&lt;/contributors&gt;&lt;titles&gt;&lt;title&gt;National Institute for Health and Care Excellence&lt;/title&gt;&lt;/titles&gt;&lt;volume&gt;https://www.nice.org.uk/guidance/ta368&lt;/volume&gt;&lt;dates&gt;&lt;year&gt;accessed 18/01/2016&lt;/year&gt;&lt;/dates&gt;&lt;urls&gt;&lt;/urls&gt;&lt;/record&gt;&lt;/Cite&gt;&lt;/EndNote&gt;</w:instrText>
      </w:r>
      <w:r w:rsidR="000839CF">
        <w:fldChar w:fldCharType="separate"/>
      </w:r>
      <w:r w:rsidR="000839CF">
        <w:rPr>
          <w:noProof/>
        </w:rPr>
        <w:t>(</w:t>
      </w:r>
      <w:hyperlink w:anchor="_ENREF_1" w:tooltip=", accessed 18/01/2016 #203" w:history="1">
        <w:r w:rsidR="000839CF">
          <w:rPr>
            <w:noProof/>
          </w:rPr>
          <w:t>1</w:t>
        </w:r>
      </w:hyperlink>
      <w:r w:rsidR="000839CF">
        <w:rPr>
          <w:noProof/>
        </w:rPr>
        <w:t>)</w:t>
      </w:r>
      <w:r w:rsidR="000839CF">
        <w:fldChar w:fldCharType="end"/>
      </w:r>
      <w:r w:rsidR="000839CF">
        <w:t xml:space="preserve"> </w:t>
      </w:r>
      <w:r>
        <w:t>t</w:t>
      </w:r>
      <w:r w:rsidRPr="00706BAF">
        <w:t xml:space="preserve">he </w:t>
      </w:r>
      <w:r w:rsidR="006E069B">
        <w:t>AC</w:t>
      </w:r>
      <w:r w:rsidR="006E069B" w:rsidRPr="00F71694">
        <w:t xml:space="preserve"> </w:t>
      </w:r>
      <w:r w:rsidR="00E222F4" w:rsidRPr="00F71694">
        <w:t xml:space="preserve">concluded that </w:t>
      </w:r>
      <w:r w:rsidR="00F76FDA">
        <w:t>“</w:t>
      </w:r>
      <w:r w:rsidR="00E222F4" w:rsidRPr="00F71694">
        <w:t>in order to prevent the model being confounded by any QALY gain occurring only because of one group in the model having an extra active treatment, it was more informative to make inferences from modelling the same number of active comparators in each treatment sequence</w:t>
      </w:r>
      <w:r w:rsidR="00F76FDA">
        <w:t>”</w:t>
      </w:r>
      <w:r w:rsidR="00E222F4" w:rsidRPr="00F71694">
        <w:t>.</w:t>
      </w:r>
      <w:r w:rsidR="003947FC" w:rsidRPr="00F71694">
        <w:t xml:space="preserve"> </w:t>
      </w:r>
    </w:p>
    <w:p w14:paraId="78EAA9A2" w14:textId="2C4C6752" w:rsidR="00DB2676" w:rsidRPr="00F71694" w:rsidRDefault="00DB2676" w:rsidP="00571105">
      <w:r w:rsidRPr="00F71694">
        <w:t xml:space="preserve">The </w:t>
      </w:r>
      <w:r w:rsidR="006E069B">
        <w:t>A</w:t>
      </w:r>
      <w:r w:rsidRPr="00F71694">
        <w:t xml:space="preserve">C noted that all the ERG’s </w:t>
      </w:r>
      <w:r w:rsidR="00F76FDA" w:rsidRPr="00F71694">
        <w:t>post-ACD additional analyses</w:t>
      </w:r>
      <w:r w:rsidR="00F76FDA">
        <w:t xml:space="preserve"> </w:t>
      </w:r>
      <w:r w:rsidRPr="00F71694">
        <w:t>in which apremilast replaced a</w:t>
      </w:r>
      <w:r w:rsidR="00C54F3F">
        <w:t xml:space="preserve"> </w:t>
      </w:r>
      <w:r w:rsidR="00C54F3F" w:rsidRPr="00E1246A">
        <w:t>TNF-α inhibitor</w:t>
      </w:r>
      <w:r w:rsidRPr="00F71694">
        <w:t xml:space="preserve"> therapy (</w:t>
      </w:r>
      <w:r w:rsidR="00F76FDA">
        <w:t>being</w:t>
      </w:r>
      <w:r w:rsidR="003947FC" w:rsidRPr="00F71694">
        <w:t xml:space="preserve"> </w:t>
      </w:r>
      <w:r w:rsidRPr="00F71694">
        <w:t xml:space="preserve">considered either before or after </w:t>
      </w:r>
      <w:r w:rsidR="00706BAF" w:rsidRPr="00706BAF">
        <w:t>TNF-α inhibitors</w:t>
      </w:r>
      <w:r w:rsidRPr="00F71694">
        <w:t xml:space="preserve">) resulted in cost savings, but also a QALY loss. The </w:t>
      </w:r>
      <w:r w:rsidR="006E069B">
        <w:t>A</w:t>
      </w:r>
      <w:r w:rsidRPr="00F71694">
        <w:t>C</w:t>
      </w:r>
      <w:r w:rsidR="003947FC" w:rsidRPr="00F71694">
        <w:t xml:space="preserve"> noted </w:t>
      </w:r>
      <w:r w:rsidRPr="00F71694">
        <w:t xml:space="preserve">that the most plausible </w:t>
      </w:r>
      <w:r w:rsidR="000E0D1F" w:rsidRPr="00F71694">
        <w:t>ICER</w:t>
      </w:r>
      <w:r w:rsidR="00460732">
        <w:t>s</w:t>
      </w:r>
      <w:r w:rsidR="000E0D1F" w:rsidRPr="00F71694">
        <w:t xml:space="preserve"> for</w:t>
      </w:r>
      <w:r w:rsidRPr="00F71694">
        <w:t xml:space="preserve"> apremilast </w:t>
      </w:r>
      <w:r w:rsidR="00460732">
        <w:t xml:space="preserve">were: (i) </w:t>
      </w:r>
      <w:r w:rsidR="00460732" w:rsidRPr="00F71694">
        <w:t>£18,300 saved per QALY lost</w:t>
      </w:r>
      <w:r w:rsidR="007C441C">
        <w:t>,</w:t>
      </w:r>
      <w:r w:rsidR="00460732" w:rsidRPr="00F71694">
        <w:t xml:space="preserve"> </w:t>
      </w:r>
      <w:r w:rsidR="00460732">
        <w:t xml:space="preserve">when </w:t>
      </w:r>
      <w:r w:rsidR="004E0A62" w:rsidRPr="004E0A62">
        <w:t xml:space="preserve">administered </w:t>
      </w:r>
      <w:r w:rsidRPr="00F71694">
        <w:t xml:space="preserve">before </w:t>
      </w:r>
      <w:r w:rsidR="00C54F3F">
        <w:t xml:space="preserve">TNF-α inhibitors </w:t>
      </w:r>
      <w:r w:rsidR="00460732">
        <w:t xml:space="preserve">and (ii) </w:t>
      </w:r>
      <w:r w:rsidR="00460732" w:rsidRPr="00F71694">
        <w:t>£14,800 saved per QALY lost</w:t>
      </w:r>
      <w:r w:rsidR="007C441C">
        <w:t>,</w:t>
      </w:r>
      <w:r w:rsidR="00460732" w:rsidRPr="00F71694">
        <w:t xml:space="preserve"> </w:t>
      </w:r>
      <w:r w:rsidR="00F76FDA">
        <w:t xml:space="preserve">when </w:t>
      </w:r>
      <w:r w:rsidR="00D377E7">
        <w:t>administered</w:t>
      </w:r>
      <w:r w:rsidR="00F76FDA">
        <w:t xml:space="preserve"> </w:t>
      </w:r>
      <w:r w:rsidR="00F76FDA" w:rsidRPr="00F71694">
        <w:t>after</w:t>
      </w:r>
      <w:r w:rsidR="00F76FDA">
        <w:t xml:space="preserve"> </w:t>
      </w:r>
      <w:r w:rsidR="00706BAF" w:rsidRPr="00706BAF">
        <w:t>TNF-α inhibitors</w:t>
      </w:r>
      <w:r w:rsidR="00955A21" w:rsidRPr="00F71694">
        <w:t>. These cost savings from apremilast w</w:t>
      </w:r>
      <w:r w:rsidR="00CA338D" w:rsidRPr="00F71694">
        <w:t>ere</w:t>
      </w:r>
      <w:r w:rsidRPr="00F71694">
        <w:t xml:space="preserve"> not high enough</w:t>
      </w:r>
      <w:r w:rsidR="005201CE" w:rsidRPr="00F71694">
        <w:t>,</w:t>
      </w:r>
      <w:r w:rsidRPr="00F71694">
        <w:t xml:space="preserve"> </w:t>
      </w:r>
      <w:r w:rsidR="00955A21" w:rsidRPr="00F71694">
        <w:t xml:space="preserve">in terms of </w:t>
      </w:r>
      <w:r w:rsidRPr="00F71694">
        <w:t>additional capacity released into the healthcare system</w:t>
      </w:r>
      <w:r w:rsidR="005201CE" w:rsidRPr="00F71694">
        <w:t>,</w:t>
      </w:r>
      <w:r w:rsidRPr="00F71694">
        <w:t xml:space="preserve"> </w:t>
      </w:r>
      <w:r w:rsidR="00955A21" w:rsidRPr="00F71694">
        <w:t xml:space="preserve">to </w:t>
      </w:r>
      <w:r w:rsidRPr="00F71694">
        <w:t xml:space="preserve">compensate for the clinical effectiveness that would be lost. The </w:t>
      </w:r>
      <w:r w:rsidR="00012046">
        <w:t>final guidance</w:t>
      </w:r>
      <w:r w:rsidRPr="00F71694">
        <w:t xml:space="preserve"> concluded that apremilast could not be recommended as a treatment either before or after TNF</w:t>
      </w:r>
      <w:r w:rsidR="00C54F3F">
        <w:t>-α</w:t>
      </w:r>
      <w:r w:rsidRPr="00F71694">
        <w:t xml:space="preserve"> inhibitors</w:t>
      </w:r>
      <w:r w:rsidR="000839CF">
        <w:t>,</w:t>
      </w:r>
      <w:r w:rsidR="000839CF" w:rsidRPr="000839CF">
        <w:t xml:space="preserve"> taking into account the pricing information included in</w:t>
      </w:r>
      <w:r w:rsidR="000839CF">
        <w:t xml:space="preserve"> the initial company submission</w:t>
      </w:r>
      <w:r w:rsidRPr="00F71694">
        <w:t xml:space="preserve">. </w:t>
      </w:r>
    </w:p>
    <w:p w14:paraId="5D7A9DF7" w14:textId="77777777" w:rsidR="008074FE" w:rsidRPr="00F71694" w:rsidRDefault="008074FE" w:rsidP="008074FE">
      <w:pPr>
        <w:pStyle w:val="Heading1"/>
        <w:spacing w:before="0"/>
        <w:rPr>
          <w:rFonts w:asciiTheme="minorHAnsi" w:hAnsiTheme="minorHAnsi" w:cs="Times New Roman"/>
          <w:color w:val="auto"/>
          <w:sz w:val="22"/>
          <w:szCs w:val="22"/>
        </w:rPr>
      </w:pPr>
      <w:r w:rsidRPr="00F71694">
        <w:rPr>
          <w:rFonts w:asciiTheme="minorHAnsi" w:eastAsiaTheme="minorHAnsi" w:hAnsiTheme="minorHAnsi" w:cs="Times New Roman"/>
          <w:bCs w:val="0"/>
          <w:color w:val="auto"/>
          <w:sz w:val="22"/>
          <w:szCs w:val="22"/>
        </w:rPr>
        <w:t xml:space="preserve">6. </w:t>
      </w:r>
      <w:r w:rsidRPr="00F71694">
        <w:rPr>
          <w:rFonts w:asciiTheme="minorHAnsi" w:hAnsiTheme="minorHAnsi" w:cs="Times New Roman"/>
          <w:color w:val="auto"/>
          <w:sz w:val="22"/>
          <w:szCs w:val="22"/>
        </w:rPr>
        <w:t>Appeal against the Final Appraisal Determination</w:t>
      </w:r>
    </w:p>
    <w:p w14:paraId="440AFF25" w14:textId="77777777" w:rsidR="008074FE" w:rsidRPr="00F71694" w:rsidRDefault="008074FE" w:rsidP="00F77AD0">
      <w:r w:rsidRPr="00F71694">
        <w:t xml:space="preserve">An appeal against NICE’s FAD was submitted by </w:t>
      </w:r>
      <w:r w:rsidR="00012046">
        <w:t>the company supporting that t</w:t>
      </w:r>
      <w:r w:rsidR="00012046" w:rsidRPr="00F71694">
        <w:t>he Committee (</w:t>
      </w:r>
      <w:r w:rsidR="00012046">
        <w:t xml:space="preserve">i) </w:t>
      </w:r>
      <w:r w:rsidRPr="00F71694">
        <w:t>unreasonably dismissed the scenario in which apremilast would be used in addition to existing treatment options and (</w:t>
      </w:r>
      <w:r w:rsidR="00012046">
        <w:t>ii</w:t>
      </w:r>
      <w:r w:rsidRPr="00F71694">
        <w:t xml:space="preserve">) rejected robust clinical trial evidence supporting the assumption of zero deterioration in HAQ-DI whilst on apremilast therapy. An </w:t>
      </w:r>
      <w:r w:rsidR="00F77AD0" w:rsidRPr="00F71694">
        <w:t xml:space="preserve">Appeal Panel </w:t>
      </w:r>
      <w:r w:rsidRPr="00F71694">
        <w:t xml:space="preserve">was convened </w:t>
      </w:r>
      <w:r w:rsidR="00012046">
        <w:t>in</w:t>
      </w:r>
      <w:r w:rsidRPr="00F71694">
        <w:t xml:space="preserve"> November 2015 to consider the appeal and </w:t>
      </w:r>
      <w:r w:rsidR="00012046">
        <w:t xml:space="preserve">rejected both aforementioned points. </w:t>
      </w:r>
      <w:r w:rsidR="000839CF">
        <w:fldChar w:fldCharType="begin"/>
      </w:r>
      <w:r w:rsidR="000839CF">
        <w:instrText xml:space="preserve"> ADDIN EN.CITE &lt;EndNote&gt;&lt;Cite&gt;&lt;Year&gt;accessed 18/01/2016&lt;/Year&gt;&lt;RecNum&gt;203&lt;/RecNum&gt;&lt;DisplayText&gt;(1)&lt;/DisplayText&gt;&lt;record&gt;&lt;rec-number&gt;203&lt;/rec-number&gt;&lt;foreign-keys&gt;&lt;key app="EN" db-id="svtwxs2x12d223ewxf5pdxac9srd95zxdfda" timestamp="1454496699"&gt;203&lt;/key&gt;&lt;/foreign-keys&gt;&lt;ref-type name="Journal Article"&gt;17&lt;/ref-type&gt;&lt;contributors&gt;&lt;/contributors&gt;&lt;titles&gt;&lt;title&gt;National Institute for Health and Care Excellence&lt;/title&gt;&lt;/titles&gt;&lt;volume&gt;https://www.nice.org.uk/guidance/ta368&lt;/volume&gt;&lt;dates&gt;&lt;year&gt;accessed 18/01/2016&lt;/year&gt;&lt;/dates&gt;&lt;urls&gt;&lt;/urls&gt;&lt;/record&gt;&lt;/Cite&gt;&lt;/EndNote&gt;</w:instrText>
      </w:r>
      <w:r w:rsidR="000839CF">
        <w:fldChar w:fldCharType="separate"/>
      </w:r>
      <w:r w:rsidR="000839CF">
        <w:rPr>
          <w:noProof/>
        </w:rPr>
        <w:t>(</w:t>
      </w:r>
      <w:hyperlink w:anchor="_ENREF_1" w:tooltip=", accessed 18/01/2016 #203" w:history="1">
        <w:r w:rsidR="000839CF">
          <w:rPr>
            <w:noProof/>
          </w:rPr>
          <w:t>1</w:t>
        </w:r>
      </w:hyperlink>
      <w:r w:rsidR="000839CF">
        <w:rPr>
          <w:noProof/>
        </w:rPr>
        <w:t>)</w:t>
      </w:r>
      <w:r w:rsidR="000839CF">
        <w:fldChar w:fldCharType="end"/>
      </w:r>
      <w:r w:rsidR="000839CF" w:rsidRPr="00F71694">
        <w:t xml:space="preserve"> </w:t>
      </w:r>
      <w:r w:rsidR="00F77AD0" w:rsidRPr="00F71694">
        <w:t xml:space="preserve">The final guidance from </w:t>
      </w:r>
      <w:r w:rsidR="00057F8A" w:rsidRPr="00F71694">
        <w:t xml:space="preserve">NICE thus </w:t>
      </w:r>
      <w:r w:rsidR="00012046">
        <w:t xml:space="preserve">remained </w:t>
      </w:r>
      <w:r w:rsidR="00057F8A" w:rsidRPr="00F71694">
        <w:t>that a</w:t>
      </w:r>
      <w:r w:rsidR="00F77AD0" w:rsidRPr="00F71694">
        <w:t xml:space="preserve">premilast is not recommended for adults with active </w:t>
      </w:r>
      <w:r w:rsidR="007C441C">
        <w:t>PsA</w:t>
      </w:r>
      <w:r w:rsidR="000839CF">
        <w:t xml:space="preserve">, taking into account the </w:t>
      </w:r>
      <w:r w:rsidR="000839CF" w:rsidRPr="000839CF">
        <w:t xml:space="preserve">pricing </w:t>
      </w:r>
      <w:r w:rsidR="000839CF">
        <w:t xml:space="preserve">information included in </w:t>
      </w:r>
      <w:r w:rsidR="000839CF" w:rsidRPr="000839CF">
        <w:t>the initial company submission</w:t>
      </w:r>
      <w:r w:rsidR="007C441C">
        <w:t>.</w:t>
      </w:r>
    </w:p>
    <w:p w14:paraId="74EB164A" w14:textId="77777777" w:rsidR="009C5563" w:rsidRPr="00F71694" w:rsidRDefault="007B1C58" w:rsidP="00571105">
      <w:pPr>
        <w:spacing w:after="0"/>
        <w:rPr>
          <w:b/>
        </w:rPr>
      </w:pPr>
      <w:r w:rsidRPr="00F71694">
        <w:rPr>
          <w:b/>
          <w:bCs/>
        </w:rPr>
        <w:t>6</w:t>
      </w:r>
      <w:r w:rsidRPr="00F71694">
        <w:rPr>
          <w:b/>
        </w:rPr>
        <w:t xml:space="preserve">. </w:t>
      </w:r>
      <w:r w:rsidR="00BF148E">
        <w:rPr>
          <w:b/>
        </w:rPr>
        <w:t xml:space="preserve">ERG </w:t>
      </w:r>
      <w:r w:rsidR="003B4824" w:rsidRPr="00F71694">
        <w:rPr>
          <w:b/>
        </w:rPr>
        <w:t>Conclusion</w:t>
      </w:r>
    </w:p>
    <w:p w14:paraId="79C30BA4" w14:textId="77777777" w:rsidR="0094044F" w:rsidRPr="0094044F" w:rsidRDefault="000E0D1F" w:rsidP="0094044F">
      <w:r w:rsidRPr="0094044F">
        <w:t>While the described appraisal is a typical example of the</w:t>
      </w:r>
      <w:r w:rsidR="009B6252" w:rsidRPr="0094044F">
        <w:t xml:space="preserve"> </w:t>
      </w:r>
      <w:r w:rsidRPr="0094044F">
        <w:t>NICE STA process, this case study has several implications</w:t>
      </w:r>
      <w:r w:rsidR="009B6252" w:rsidRPr="0094044F">
        <w:t xml:space="preserve"> and </w:t>
      </w:r>
      <w:r w:rsidRPr="0094044F">
        <w:t>highlights the role of independent academic</w:t>
      </w:r>
      <w:r w:rsidR="009B6252" w:rsidRPr="0094044F">
        <w:t xml:space="preserve"> </w:t>
      </w:r>
      <w:r w:rsidRPr="0094044F">
        <w:t xml:space="preserve">review groups in interpreting and amending the </w:t>
      </w:r>
      <w:r w:rsidR="00235C89" w:rsidRPr="0094044F">
        <w:t xml:space="preserve">modelling approaches </w:t>
      </w:r>
      <w:r w:rsidR="009B6252" w:rsidRPr="0094044F">
        <w:t xml:space="preserve">and </w:t>
      </w:r>
      <w:r w:rsidR="00235C89" w:rsidRPr="0094044F">
        <w:t xml:space="preserve">evidence </w:t>
      </w:r>
      <w:r w:rsidRPr="0094044F">
        <w:t xml:space="preserve">submitted by </w:t>
      </w:r>
      <w:r w:rsidR="00795414">
        <w:t>manufacturers</w:t>
      </w:r>
      <w:r w:rsidRPr="0094044F">
        <w:t>.</w:t>
      </w:r>
    </w:p>
    <w:p w14:paraId="4AA28F09" w14:textId="77777777" w:rsidR="0094044F" w:rsidRDefault="0094044F" w:rsidP="00BF148E">
      <w:r w:rsidRPr="0094044F">
        <w:lastRenderedPageBreak/>
        <w:t>A number of general issues were raised</w:t>
      </w:r>
      <w:r w:rsidR="00BF148E">
        <w:t xml:space="preserve"> by the ERG </w:t>
      </w:r>
      <w:r w:rsidR="00BF148E" w:rsidRPr="0094044F">
        <w:t>throughout</w:t>
      </w:r>
      <w:r w:rsidRPr="0094044F">
        <w:t xml:space="preserve"> this appraisal. The first concerns the positioning of a new therapy in a sequence and the appropriate consideration of the often large number of potential combinations and treatment strategies.  Secondly, the significant impact </w:t>
      </w:r>
      <w:r w:rsidR="000D6706">
        <w:t xml:space="preserve">of </w:t>
      </w:r>
      <w:r w:rsidR="00BF148E" w:rsidRPr="00BF148E">
        <w:t xml:space="preserve">the </w:t>
      </w:r>
      <w:r w:rsidR="00BF148E" w:rsidRPr="004E2C97">
        <w:rPr>
          <w:i/>
        </w:rPr>
        <w:t>lack</w:t>
      </w:r>
      <w:r w:rsidR="00BF148E" w:rsidRPr="00BF148E">
        <w:t xml:space="preserve"> of any </w:t>
      </w:r>
      <w:r w:rsidR="00CB018E">
        <w:t xml:space="preserve">reliable </w:t>
      </w:r>
      <w:r w:rsidR="00BF148E" w:rsidRPr="00BF148E">
        <w:t xml:space="preserve">evidence of a beneficial </w:t>
      </w:r>
      <w:r w:rsidR="00732CC1">
        <w:t xml:space="preserve">longer-term </w:t>
      </w:r>
      <w:r w:rsidR="00BF148E" w:rsidRPr="00BF148E">
        <w:t xml:space="preserve">effect on </w:t>
      </w:r>
      <w:r w:rsidR="00CB018E">
        <w:t>disease</w:t>
      </w:r>
      <w:r w:rsidR="00BF148E" w:rsidRPr="00BF148E">
        <w:t xml:space="preserve"> progression.</w:t>
      </w:r>
    </w:p>
    <w:p w14:paraId="59561ADE" w14:textId="77777777" w:rsidR="00BF148E" w:rsidRDefault="00BF148E" w:rsidP="00BF148E">
      <w:r w:rsidRPr="00BF148E">
        <w:t xml:space="preserve">The ERG were critical of the company for not presenting a full range of incremental analyses considering the wide range of possible combinations of treatments available for </w:t>
      </w:r>
      <w:r w:rsidR="00732CC1">
        <w:t xml:space="preserve">PsA patients, </w:t>
      </w:r>
      <w:r w:rsidRPr="00BF148E">
        <w:t xml:space="preserve">covering potential alternative treatments and the positioning of apremilast.  While the sequences presented were expected to represent the most typically used current practice and placement of apremilast, there was </w:t>
      </w:r>
      <w:r w:rsidR="00732CC1">
        <w:t xml:space="preserve">neither any </w:t>
      </w:r>
      <w:r w:rsidRPr="00BF148E">
        <w:t xml:space="preserve">demonstration that the comparator sequence was itself cost-effective nor any consideration of any implications for the resultant cost-effectiveness of apremilast.  Additionally the company made the initial assumption that apremilast would be used prior to existing </w:t>
      </w:r>
      <w:r w:rsidR="00012046" w:rsidRPr="00012046">
        <w:t>TNF-α inhibitors</w:t>
      </w:r>
      <w:r w:rsidRPr="00BF148E">
        <w:t>, without any clinical or cost-effective</w:t>
      </w:r>
      <w:r w:rsidR="006E069B">
        <w:t>ness</w:t>
      </w:r>
      <w:r w:rsidRPr="00BF148E">
        <w:t xml:space="preserve"> justification, </w:t>
      </w:r>
      <w:r w:rsidR="000D6706">
        <w:t>although</w:t>
      </w:r>
      <w:r w:rsidR="004E2C97">
        <w:t xml:space="preserve"> </w:t>
      </w:r>
      <w:r w:rsidRPr="00BF148E">
        <w:t xml:space="preserve">the use of apremilast prior to more effective treatments may not be clinically appealing.  Failing to report or provide a model able to conduct </w:t>
      </w:r>
      <w:r w:rsidR="00732CC1">
        <w:t xml:space="preserve">fully </w:t>
      </w:r>
      <w:r w:rsidRPr="00BF148E">
        <w:t>incremental analyses comparing all the possible sequences simultaneously can be potentially misleading</w:t>
      </w:r>
      <w:r w:rsidR="00CB018E">
        <w:t>,</w:t>
      </w:r>
      <w:r w:rsidRPr="00BF148E">
        <w:t xml:space="preserve"> as has previously been demonstrated by the NICE decision support unit (DSU</w:t>
      </w:r>
      <w:r w:rsidRPr="00732CC1">
        <w:t>).</w:t>
      </w:r>
      <w:r w:rsidR="000D6187">
        <w:t xml:space="preserve"> </w:t>
      </w:r>
      <w:r w:rsidR="000D6187">
        <w:fldChar w:fldCharType="begin"/>
      </w:r>
      <w:r w:rsidR="002E0519">
        <w:instrText xml:space="preserve"> ADDIN EN.CITE &lt;EndNote&gt;&lt;Cite&gt;&lt;Author&gt;Decision Support Unit&lt;/Author&gt;&lt;Year&gt;2010&lt;/Year&gt;&lt;RecNum&gt;190&lt;/RecNum&gt;&lt;DisplayText&gt;(20)&lt;/DisplayText&gt;&lt;record&gt;&lt;rec-number&gt;190&lt;/rec-number&gt;&lt;foreign-keys&gt;&lt;key app="EN" db-id="svtwxs2x12d223ewxf5pdxac9srd95zxdfda" timestamp="1426261033"&gt;190&lt;/key&gt;&lt;/foreign-keys&gt;&lt;ref-type name="Report"&gt;27&lt;/ref-type&gt;&lt;contributors&gt;&lt;authors&gt;&lt;author&gt;Decision Support Unit,&lt;/author&gt;&lt;/authors&gt;&lt;/contributors&gt;&lt;titles&gt;&lt;title&gt;Tocilizumab for the treatment of rheumatoid arthritis&lt;/title&gt;&lt;/titles&gt;&lt;dates&gt;&lt;year&gt;2010&lt;/year&gt;&lt;/dates&gt;&lt;pub-location&gt;Sheffield&lt;/pub-location&gt;&lt;publisher&gt;Decision Support Unit&lt;/publisher&gt;&lt;urls&gt;&lt;/urls&gt;&lt;/record&gt;&lt;/Cite&gt;&lt;/EndNote&gt;</w:instrText>
      </w:r>
      <w:r w:rsidR="000D6187">
        <w:fldChar w:fldCharType="separate"/>
      </w:r>
      <w:r w:rsidR="002E0519">
        <w:rPr>
          <w:noProof/>
        </w:rPr>
        <w:t>(</w:t>
      </w:r>
      <w:hyperlink w:anchor="_ENREF_20" w:tooltip="Decision Support Unit, 2010 #190" w:history="1">
        <w:r w:rsidR="000839CF">
          <w:rPr>
            <w:noProof/>
          </w:rPr>
          <w:t>20</w:t>
        </w:r>
      </w:hyperlink>
      <w:r w:rsidR="002E0519">
        <w:rPr>
          <w:noProof/>
        </w:rPr>
        <w:t>)</w:t>
      </w:r>
      <w:r w:rsidR="000D6187">
        <w:fldChar w:fldCharType="end"/>
      </w:r>
    </w:p>
    <w:p w14:paraId="5751A53E" w14:textId="77777777" w:rsidR="00BF148E" w:rsidRDefault="00BF148E" w:rsidP="00BF148E">
      <w:r w:rsidRPr="00BF148E">
        <w:t xml:space="preserve">Equally important, </w:t>
      </w:r>
      <w:r w:rsidR="00686CCC">
        <w:t>the company</w:t>
      </w:r>
      <w:r>
        <w:t xml:space="preserve"> failed to provide compelling </w:t>
      </w:r>
      <w:r w:rsidRPr="00BF148E">
        <w:t>supporting evidence that the HAQ-DI benefit for patients who remain on treatment with apremilast was maintained beyond the randomised placebo-controlled phases</w:t>
      </w:r>
      <w:r w:rsidR="00E84F64">
        <w:t xml:space="preserve">; </w:t>
      </w:r>
      <w:r w:rsidR="006E069B">
        <w:t xml:space="preserve">in particular they did not present any </w:t>
      </w:r>
      <w:r w:rsidR="006E069B" w:rsidRPr="00BF148E">
        <w:t xml:space="preserve">radiographic </w:t>
      </w:r>
      <w:r w:rsidR="006E069B">
        <w:t>data</w:t>
      </w:r>
      <w:r w:rsidR="00E84F64">
        <w:t xml:space="preserve">. Methodological limitations </w:t>
      </w:r>
      <w:r w:rsidR="00686CCC">
        <w:t>of the longer-term data</w:t>
      </w:r>
      <w:r w:rsidR="006E069B">
        <w:t xml:space="preserve"> that </w:t>
      </w:r>
      <w:r w:rsidR="00E84F64">
        <w:t>were submitted,</w:t>
      </w:r>
      <w:r w:rsidR="00686CCC">
        <w:t xml:space="preserve"> </w:t>
      </w:r>
      <w:r w:rsidRPr="00BF148E">
        <w:t>such as the lack of control groups, lack of adequate blinding</w:t>
      </w:r>
      <w:r>
        <w:t xml:space="preserve"> and </w:t>
      </w:r>
      <w:r w:rsidRPr="00BF148E">
        <w:t xml:space="preserve">lack of treatment stopping criteria were not discussed by the </w:t>
      </w:r>
      <w:r w:rsidR="00EA3622">
        <w:t>company</w:t>
      </w:r>
      <w:r w:rsidRPr="00BF148E">
        <w:t xml:space="preserve">. </w:t>
      </w:r>
      <w:r w:rsidR="006E069B">
        <w:t xml:space="preserve"> </w:t>
      </w:r>
      <w:r w:rsidRPr="00BF148E">
        <w:t xml:space="preserve">Without such evidence for apremilast, the validity of positioning this treatment before </w:t>
      </w:r>
      <w:r w:rsidR="00012046" w:rsidRPr="00012046">
        <w:t>TNF-α inhibitors</w:t>
      </w:r>
      <w:r w:rsidR="00012046">
        <w:t xml:space="preserve"> </w:t>
      </w:r>
      <w:r w:rsidRPr="00BF148E">
        <w:t>in a sequence of treatments appears highly questionable.</w:t>
      </w:r>
    </w:p>
    <w:p w14:paraId="723D1942" w14:textId="77777777" w:rsidR="00BF148E" w:rsidRDefault="00BF148E" w:rsidP="00BF148E">
      <w:pPr>
        <w:rPr>
          <w:rFonts w:cs="Times New Roman"/>
        </w:rPr>
      </w:pPr>
    </w:p>
    <w:p w14:paraId="2CFEDBBC" w14:textId="77777777" w:rsidR="00111E5F" w:rsidRDefault="00111E5F">
      <w:pPr>
        <w:rPr>
          <w:b/>
          <w:color w:val="FF0000"/>
        </w:rPr>
      </w:pPr>
      <w:r>
        <w:rPr>
          <w:b/>
          <w:color w:val="FF0000"/>
        </w:rPr>
        <w:br w:type="page"/>
      </w:r>
    </w:p>
    <w:p w14:paraId="48407E5C" w14:textId="77777777" w:rsidR="00F96CE4" w:rsidRPr="00F71694" w:rsidRDefault="00F96CE4" w:rsidP="00571105">
      <w:pPr>
        <w:pBdr>
          <w:bottom w:val="single" w:sz="12" w:space="1" w:color="auto"/>
        </w:pBdr>
        <w:spacing w:after="0"/>
        <w:rPr>
          <w:b/>
          <w:color w:val="FF0000"/>
        </w:rPr>
      </w:pPr>
    </w:p>
    <w:p w14:paraId="6D3C58B3" w14:textId="77777777" w:rsidR="00F96CE4" w:rsidRPr="00F71694" w:rsidRDefault="00F96CE4" w:rsidP="00571105">
      <w:pPr>
        <w:spacing w:after="0"/>
        <w:rPr>
          <w:b/>
          <w:color w:val="FF0000"/>
        </w:rPr>
      </w:pPr>
    </w:p>
    <w:p w14:paraId="3F23BD98" w14:textId="77777777" w:rsidR="001859A0" w:rsidRPr="00F71694" w:rsidRDefault="001859A0" w:rsidP="00571105">
      <w:pPr>
        <w:spacing w:after="0"/>
        <w:rPr>
          <w:b/>
        </w:rPr>
      </w:pPr>
      <w:r w:rsidRPr="00F71694">
        <w:rPr>
          <w:b/>
        </w:rPr>
        <w:t>Acknowledgements</w:t>
      </w:r>
    </w:p>
    <w:p w14:paraId="592D3FB7" w14:textId="77777777" w:rsidR="00A55B89" w:rsidRPr="00F71694" w:rsidRDefault="00E80BD5" w:rsidP="00571105">
      <w:pPr>
        <w:spacing w:after="0"/>
      </w:pPr>
      <w:r w:rsidRPr="00F71694">
        <w:t>This project was funded by the National Institute for Health Research (NIHR) Health Technology Assessment (HTA) programme (project number</w:t>
      </w:r>
      <w:r w:rsidR="00A55B89" w:rsidRPr="00F71694">
        <w:t xml:space="preserve"> </w:t>
      </w:r>
      <w:r w:rsidR="00E574D4" w:rsidRPr="00F71694">
        <w:t>13/169/01</w:t>
      </w:r>
      <w:r w:rsidRPr="00F71694">
        <w:t>)</w:t>
      </w:r>
      <w:r w:rsidR="00A55B89" w:rsidRPr="00F71694">
        <w:t xml:space="preserve">.  </w:t>
      </w:r>
      <w:r w:rsidR="004C4603" w:rsidRPr="00F71694">
        <w:t>The authors would like to acknowledge</w:t>
      </w:r>
      <w:r w:rsidR="001859A0" w:rsidRPr="00F71694">
        <w:t xml:space="preserve"> </w:t>
      </w:r>
      <w:r w:rsidR="00E574D4" w:rsidRPr="00F71694">
        <w:t>Dr Pauline Ho (Consultant Rheumatologist) and Professor Ian Bruce (Lead Clinician) both from the Kellgren Centre for Rheumatology, Central Manchester and Manchester Children's University Hospitals Trust, for clinical advice throughout the project.</w:t>
      </w:r>
      <w:r w:rsidR="001859A0" w:rsidRPr="00F71694">
        <w:t xml:space="preserve"> </w:t>
      </w:r>
      <w:r w:rsidR="00E574D4" w:rsidRPr="00F71694">
        <w:t>Mark Simmonds, Centre for Reviews and Dissemination provided statistical advice.</w:t>
      </w:r>
    </w:p>
    <w:p w14:paraId="37F244F8" w14:textId="77777777" w:rsidR="00E574D4" w:rsidRPr="00F71694" w:rsidRDefault="00E574D4" w:rsidP="00571105">
      <w:pPr>
        <w:spacing w:after="0"/>
      </w:pPr>
    </w:p>
    <w:p w14:paraId="644CB0BD" w14:textId="77777777" w:rsidR="00A55B89" w:rsidRPr="00F71694" w:rsidRDefault="00A55B89" w:rsidP="00571105">
      <w:pPr>
        <w:spacing w:after="0"/>
      </w:pPr>
      <w:r w:rsidRPr="00F71694">
        <w:t>The views and opinions expressed herein are those of the authors and do not necessarily reflect those of NICE or the Department of Health.  The authors have no conflicts of interest that are directly relevant to the content of this summary.</w:t>
      </w:r>
    </w:p>
    <w:p w14:paraId="6D2529E9" w14:textId="77777777" w:rsidR="007A0169" w:rsidRPr="00F71694" w:rsidRDefault="007A0169" w:rsidP="00571105">
      <w:pPr>
        <w:spacing w:after="0"/>
      </w:pPr>
    </w:p>
    <w:p w14:paraId="45C5B506" w14:textId="77777777" w:rsidR="00A271BC" w:rsidRPr="00F71694" w:rsidRDefault="00A271BC" w:rsidP="00571105">
      <w:pPr>
        <w:spacing w:after="0"/>
      </w:pPr>
    </w:p>
    <w:p w14:paraId="4CBE77E1" w14:textId="77777777" w:rsidR="00A55B89" w:rsidRPr="00F71694" w:rsidRDefault="00A55B89" w:rsidP="00571105">
      <w:pPr>
        <w:spacing w:after="0"/>
        <w:rPr>
          <w:b/>
        </w:rPr>
      </w:pPr>
      <w:r w:rsidRPr="00F71694">
        <w:rPr>
          <w:b/>
        </w:rPr>
        <w:t>Author contributions</w:t>
      </w:r>
    </w:p>
    <w:p w14:paraId="4209BE44" w14:textId="77777777" w:rsidR="00A55B89" w:rsidRPr="00F71694" w:rsidRDefault="009321FD" w:rsidP="00571105">
      <w:pPr>
        <w:spacing w:after="0"/>
      </w:pPr>
      <w:r w:rsidRPr="00F71694">
        <w:t xml:space="preserve">Eleftherios Sideris, </w:t>
      </w:r>
      <w:r w:rsidR="00E574D4" w:rsidRPr="00F71694">
        <w:t>Mark Corbett</w:t>
      </w:r>
      <w:r w:rsidRPr="00F71694">
        <w:t xml:space="preserve">, </w:t>
      </w:r>
      <w:r w:rsidR="00E574D4" w:rsidRPr="00F71694">
        <w:t>Stephen Palmer</w:t>
      </w:r>
      <w:r w:rsidRPr="00F71694">
        <w:t>, Laura Bo</w:t>
      </w:r>
      <w:r w:rsidR="006E069B">
        <w:t>j</w:t>
      </w:r>
      <w:r w:rsidRPr="00F71694">
        <w:t>ke and Nerys Woolacott all formed part of the ERG that produced the ERG report that this paper describes.</w:t>
      </w:r>
      <w:r w:rsidR="00E574D4" w:rsidRPr="00F71694">
        <w:t xml:space="preserve"> Laura Bo</w:t>
      </w:r>
      <w:r w:rsidR="006E069B">
        <w:t>j</w:t>
      </w:r>
      <w:r w:rsidR="00E574D4" w:rsidRPr="00F71694">
        <w:t xml:space="preserve">ke </w:t>
      </w:r>
      <w:r w:rsidRPr="00F71694">
        <w:t xml:space="preserve">and </w:t>
      </w:r>
      <w:r w:rsidR="00E574D4" w:rsidRPr="00F71694">
        <w:t xml:space="preserve">Nerys Woolacott took overall responsibility for </w:t>
      </w:r>
      <w:r w:rsidRPr="00F71694">
        <w:t xml:space="preserve">the cost-effectiveness and clinical effectiveness parts of the project. </w:t>
      </w:r>
      <w:r w:rsidR="00E574D4" w:rsidRPr="00F71694">
        <w:t xml:space="preserve">Eleftherios Sideris </w:t>
      </w:r>
      <w:r w:rsidR="00A55B89" w:rsidRPr="00F71694">
        <w:t>wrote the draft of the manuscript.  All authors commented on the manuscript and approved the final version.</w:t>
      </w:r>
    </w:p>
    <w:p w14:paraId="0AD51424" w14:textId="77777777" w:rsidR="00295D53" w:rsidRPr="00F71694" w:rsidRDefault="00295D53">
      <w:pPr>
        <w:rPr>
          <w:b/>
        </w:rPr>
      </w:pPr>
      <w:r w:rsidRPr="00F71694">
        <w:rPr>
          <w:b/>
        </w:rPr>
        <w:br w:type="page"/>
      </w:r>
    </w:p>
    <w:p w14:paraId="2B726FF6" w14:textId="77777777" w:rsidR="00695346" w:rsidRPr="00FF5289" w:rsidRDefault="00695346" w:rsidP="00695346">
      <w:pPr>
        <w:rPr>
          <w:b/>
        </w:rPr>
      </w:pPr>
      <w:r w:rsidRPr="00695346">
        <w:rPr>
          <w:b/>
          <w:sz w:val="28"/>
        </w:rPr>
        <w:lastRenderedPageBreak/>
        <w:t>References</w:t>
      </w:r>
    </w:p>
    <w:p w14:paraId="603E03C3" w14:textId="77777777" w:rsidR="000839CF" w:rsidRPr="000839CF" w:rsidRDefault="00EF3C3F" w:rsidP="000839CF">
      <w:pPr>
        <w:pStyle w:val="EndNoteBibliography"/>
        <w:spacing w:after="0"/>
      </w:pPr>
      <w:r>
        <w:rPr>
          <w:b/>
        </w:rPr>
        <w:fldChar w:fldCharType="begin"/>
      </w:r>
      <w:r>
        <w:rPr>
          <w:b/>
        </w:rPr>
        <w:instrText xml:space="preserve"> ADDIN EN.REFLIST </w:instrText>
      </w:r>
      <w:r>
        <w:rPr>
          <w:b/>
        </w:rPr>
        <w:fldChar w:fldCharType="separate"/>
      </w:r>
      <w:bookmarkStart w:id="7" w:name="_ENREF_1"/>
      <w:r w:rsidR="000839CF" w:rsidRPr="000839CF">
        <w:t>1.</w:t>
      </w:r>
      <w:r w:rsidR="000839CF" w:rsidRPr="000839CF">
        <w:tab/>
        <w:t>National Institute for Health and Care Excellence. accessed 18/01/2016;</w:t>
      </w:r>
      <w:hyperlink r:id="rId10" w:history="1">
        <w:r w:rsidR="000839CF" w:rsidRPr="000839CF">
          <w:rPr>
            <w:rStyle w:val="Hyperlink"/>
          </w:rPr>
          <w:t>https://www.nice.org.uk/guidance/ta368</w:t>
        </w:r>
      </w:hyperlink>
      <w:r w:rsidR="000839CF" w:rsidRPr="000839CF">
        <w:t>.</w:t>
      </w:r>
      <w:bookmarkEnd w:id="7"/>
    </w:p>
    <w:p w14:paraId="4623300C" w14:textId="77777777" w:rsidR="000839CF" w:rsidRPr="000839CF" w:rsidRDefault="000839CF" w:rsidP="000839CF">
      <w:pPr>
        <w:pStyle w:val="EndNoteBibliography"/>
        <w:spacing w:after="0"/>
      </w:pPr>
      <w:bookmarkStart w:id="8" w:name="_ENREF_2"/>
      <w:r w:rsidRPr="000839CF">
        <w:t>2.</w:t>
      </w:r>
      <w:r w:rsidRPr="000839CF">
        <w:tab/>
        <w:t>Celgene Corporation. Apremilast Clinical Study Report CC-10004-PSA-02. New Jersey: Clegene Corporation, 2013.</w:t>
      </w:r>
      <w:bookmarkEnd w:id="8"/>
    </w:p>
    <w:p w14:paraId="4EF71EE4" w14:textId="77777777" w:rsidR="000839CF" w:rsidRPr="000839CF" w:rsidRDefault="000839CF" w:rsidP="000839CF">
      <w:pPr>
        <w:pStyle w:val="EndNoteBibliography"/>
        <w:spacing w:after="0"/>
      </w:pPr>
      <w:bookmarkStart w:id="9" w:name="_ENREF_3"/>
      <w:r w:rsidRPr="000839CF">
        <w:t>3.</w:t>
      </w:r>
      <w:r w:rsidRPr="000839CF">
        <w:tab/>
        <w:t>Celgene Corporation. Apremilast Clinical Study Report CC-10004-PSA-003. New Jersey: Celgene Corporation, 2013.</w:t>
      </w:r>
      <w:bookmarkEnd w:id="9"/>
    </w:p>
    <w:p w14:paraId="7968E532" w14:textId="77777777" w:rsidR="000839CF" w:rsidRPr="000839CF" w:rsidRDefault="000839CF" w:rsidP="000839CF">
      <w:pPr>
        <w:pStyle w:val="EndNoteBibliography"/>
        <w:spacing w:after="0"/>
      </w:pPr>
      <w:bookmarkStart w:id="10" w:name="_ENREF_4"/>
      <w:r w:rsidRPr="000839CF">
        <w:t>4.</w:t>
      </w:r>
      <w:r w:rsidRPr="000839CF">
        <w:tab/>
        <w:t>Celgene Corporation. Apremilast Clinical Study Report CC-10004-PSA-004. New Jersey: Celgene Corporation, 2013.</w:t>
      </w:r>
      <w:bookmarkEnd w:id="10"/>
    </w:p>
    <w:p w14:paraId="482D9D3C" w14:textId="77777777" w:rsidR="000839CF" w:rsidRPr="000839CF" w:rsidRDefault="000839CF" w:rsidP="000839CF">
      <w:pPr>
        <w:pStyle w:val="EndNoteBibliography"/>
        <w:spacing w:after="0"/>
      </w:pPr>
      <w:bookmarkStart w:id="11" w:name="_ENREF_5"/>
      <w:r w:rsidRPr="000839CF">
        <w:t>5.</w:t>
      </w:r>
      <w:r w:rsidRPr="000839CF">
        <w:tab/>
        <w:t xml:space="preserve">NICE quality standards - QS40: Psoriasis. August 2013. National Institute for Health and Care Excellence.Available from: </w:t>
      </w:r>
      <w:hyperlink r:id="rId11" w:history="1">
        <w:r w:rsidRPr="000839CF">
          <w:rPr>
            <w:rStyle w:val="Hyperlink"/>
          </w:rPr>
          <w:t>http://www.nice.org.uk/guidance/qs40/resources/guidance-psoriasis-pdf</w:t>
        </w:r>
      </w:hyperlink>
      <w:r w:rsidRPr="000839CF">
        <w:t>. .</w:t>
      </w:r>
      <w:bookmarkEnd w:id="11"/>
    </w:p>
    <w:p w14:paraId="18F5DA32" w14:textId="77777777" w:rsidR="000839CF" w:rsidRPr="000839CF" w:rsidRDefault="000839CF" w:rsidP="000839CF">
      <w:pPr>
        <w:pStyle w:val="EndNoteBibliography"/>
        <w:spacing w:after="0"/>
      </w:pPr>
      <w:bookmarkStart w:id="12" w:name="_ENREF_6"/>
      <w:r w:rsidRPr="000839CF">
        <w:t>6.</w:t>
      </w:r>
      <w:r w:rsidRPr="000839CF">
        <w:tab/>
        <w:t>Biologic drugs commissioning guide – November 2012: Biologic drugs for the treatment of inflammatory disease in rheumatology, dermatology and gastroenterology. National Institute for Health and Care Excellence.</w:t>
      </w:r>
      <w:bookmarkEnd w:id="12"/>
    </w:p>
    <w:p w14:paraId="2AC06A03" w14:textId="77777777" w:rsidR="000839CF" w:rsidRPr="000839CF" w:rsidRDefault="000839CF" w:rsidP="000839CF">
      <w:pPr>
        <w:pStyle w:val="EndNoteBibliography"/>
        <w:spacing w:after="0"/>
      </w:pPr>
      <w:bookmarkStart w:id="13" w:name="_ENREF_7"/>
      <w:r w:rsidRPr="000839CF">
        <w:t>7.</w:t>
      </w:r>
      <w:r w:rsidRPr="000839CF">
        <w:tab/>
        <w:t xml:space="preserve">Population Estimates for UK, England and Wales, Scotland and Northern Ireland, Mid-2013. Data tables. Available from: </w:t>
      </w:r>
      <w:hyperlink r:id="rId12" w:history="1">
        <w:r w:rsidRPr="000839CF">
          <w:rPr>
            <w:rStyle w:val="Hyperlink"/>
          </w:rPr>
          <w:t>http://www.ons.gov.uk/ons/publications/re-reference-tables.html?edition=tcm%3A77-322718</w:t>
        </w:r>
      </w:hyperlink>
      <w:r w:rsidRPr="000839CF">
        <w:t>. Office for National Statistics.</w:t>
      </w:r>
      <w:bookmarkEnd w:id="13"/>
    </w:p>
    <w:p w14:paraId="32AFB142" w14:textId="77777777" w:rsidR="000839CF" w:rsidRPr="000839CF" w:rsidRDefault="000839CF" w:rsidP="000839CF">
      <w:pPr>
        <w:pStyle w:val="EndNoteBibliography"/>
        <w:spacing w:after="0"/>
      </w:pPr>
      <w:bookmarkStart w:id="14" w:name="_ENREF_8"/>
      <w:r w:rsidRPr="000839CF">
        <w:t>8.</w:t>
      </w:r>
      <w:r w:rsidRPr="000839CF">
        <w:tab/>
        <w:t xml:space="preserve">CG153. Psoriasis: the assessment and management of psoriasis, October 2012. Available from: </w:t>
      </w:r>
      <w:hyperlink r:id="rId13" w:history="1">
        <w:r w:rsidRPr="000839CF">
          <w:rPr>
            <w:rStyle w:val="Hyperlink"/>
          </w:rPr>
          <w:t>http://www.nice.org.uk/guidance/cg153/resources/guidance-psoriasis-pdf</w:t>
        </w:r>
      </w:hyperlink>
      <w:r w:rsidRPr="000839CF">
        <w:t>. National Institute for Health and Care Excellence.</w:t>
      </w:r>
      <w:bookmarkEnd w:id="14"/>
    </w:p>
    <w:p w14:paraId="19300559" w14:textId="77777777" w:rsidR="000839CF" w:rsidRPr="000839CF" w:rsidRDefault="000839CF" w:rsidP="000839CF">
      <w:pPr>
        <w:pStyle w:val="EndNoteBibliography"/>
        <w:spacing w:after="0"/>
      </w:pPr>
      <w:bookmarkStart w:id="15" w:name="_ENREF_9"/>
      <w:r w:rsidRPr="000839CF">
        <w:t>9.</w:t>
      </w:r>
      <w:r w:rsidRPr="000839CF">
        <w:tab/>
        <w:t xml:space="preserve">TA199. Etanercept, infliximab and adalimumab for the treatment of psoriatic arthritis, August 2010. Available from: </w:t>
      </w:r>
      <w:hyperlink r:id="rId14" w:history="1">
        <w:r w:rsidRPr="000839CF">
          <w:rPr>
            <w:rStyle w:val="Hyperlink"/>
          </w:rPr>
          <w:t>https://www.nice.org.uk/guidance/ta199/resources/guidance-etanercept-infliximab-and-adalimumab-for-the-treatment-of-psoriatic-arthritis-pdf</w:t>
        </w:r>
      </w:hyperlink>
      <w:r w:rsidRPr="000839CF">
        <w:t>. National Institute for Health and Care Excellence.</w:t>
      </w:r>
      <w:bookmarkEnd w:id="15"/>
    </w:p>
    <w:p w14:paraId="6249EF09" w14:textId="77777777" w:rsidR="000839CF" w:rsidRPr="000839CF" w:rsidRDefault="000839CF" w:rsidP="000839CF">
      <w:pPr>
        <w:pStyle w:val="EndNoteBibliography"/>
        <w:spacing w:after="0"/>
      </w:pPr>
      <w:bookmarkStart w:id="16" w:name="_ENREF_10"/>
      <w:r w:rsidRPr="000839CF">
        <w:t>10.</w:t>
      </w:r>
      <w:r w:rsidRPr="000839CF">
        <w:tab/>
        <w:t xml:space="preserve">NICE pathways: Systemic biological therapy for psoriasis and psoriatic arthritis. Available from: </w:t>
      </w:r>
      <w:hyperlink r:id="rId15" w:anchor="path=view%3A/pathways/psoriasis/systemic-biological-therapy-for-psoriasis-and-psoriatic-arthritis.xml&amp;content=view-index" w:history="1">
        <w:r w:rsidRPr="000839CF">
          <w:rPr>
            <w:rStyle w:val="Hyperlink"/>
          </w:rPr>
          <w:t>http://pathways.nice.org.uk/pathways/psoriasis#path=view%3A/pathways/psoriasis/systemic-biological-therapy-for-psoriasis-and-psoriatic-arthritis.xml&amp;content=view-index</w:t>
        </w:r>
      </w:hyperlink>
      <w:r w:rsidRPr="000839CF">
        <w:t>. National Institute for Health and Care Excellence.</w:t>
      </w:r>
      <w:bookmarkEnd w:id="16"/>
    </w:p>
    <w:p w14:paraId="496425F4" w14:textId="77777777" w:rsidR="000839CF" w:rsidRPr="000839CF" w:rsidRDefault="000839CF" w:rsidP="000839CF">
      <w:pPr>
        <w:pStyle w:val="EndNoteBibliography"/>
        <w:spacing w:after="0"/>
      </w:pPr>
      <w:bookmarkStart w:id="17" w:name="_ENREF_11"/>
      <w:r w:rsidRPr="000839CF">
        <w:t>11.</w:t>
      </w:r>
      <w:r w:rsidRPr="000839CF">
        <w:tab/>
        <w:t xml:space="preserve">TA220. Golimumab for the treatment of psoriatic arthritis, April 2011. Available from: </w:t>
      </w:r>
      <w:hyperlink r:id="rId16" w:history="1">
        <w:r w:rsidRPr="000839CF">
          <w:rPr>
            <w:rStyle w:val="Hyperlink"/>
          </w:rPr>
          <w:t>http://www.nice.org.uk/guidance/TA220</w:t>
        </w:r>
      </w:hyperlink>
      <w:r w:rsidRPr="000839CF">
        <w:t>. National Institute for Health and Care Excellence.</w:t>
      </w:r>
      <w:bookmarkEnd w:id="17"/>
    </w:p>
    <w:p w14:paraId="2210DAE2" w14:textId="77777777" w:rsidR="000839CF" w:rsidRPr="000839CF" w:rsidRDefault="000839CF" w:rsidP="000839CF">
      <w:pPr>
        <w:pStyle w:val="EndNoteBibliography"/>
        <w:spacing w:after="0"/>
      </w:pPr>
      <w:bookmarkStart w:id="18" w:name="_ENREF_12"/>
      <w:r w:rsidRPr="000839CF">
        <w:t>12.</w:t>
      </w:r>
      <w:r w:rsidRPr="000839CF">
        <w:tab/>
        <w:t>National Institute for Health and Care Excellence. TA 313. Ustekinumab for treating active psoriatic arthritis. London: National Institute for Health and Care Excellence, 2014.</w:t>
      </w:r>
      <w:bookmarkEnd w:id="18"/>
    </w:p>
    <w:p w14:paraId="7BA9D063" w14:textId="77777777" w:rsidR="000839CF" w:rsidRPr="000839CF" w:rsidRDefault="000839CF" w:rsidP="000839CF">
      <w:pPr>
        <w:pStyle w:val="EndNoteBibliography"/>
        <w:spacing w:after="0"/>
      </w:pPr>
      <w:bookmarkStart w:id="19" w:name="_ENREF_13"/>
      <w:r w:rsidRPr="000839CF">
        <w:t>13.</w:t>
      </w:r>
      <w:r w:rsidRPr="000839CF">
        <w:tab/>
        <w:t>Wells AF, Edwards CJ, Adebajo AO, Kivitz AJ, Bird P, Shah K, et al. Apremilast in the treatment of DMARD-naive psoriatic arthritis patients: results of a phase 3 randomized, controlled trial (PALACE 4). Arthritis Rheum. 2013;65:3320-21.</w:t>
      </w:r>
      <w:bookmarkEnd w:id="19"/>
    </w:p>
    <w:p w14:paraId="3CAC6053" w14:textId="77777777" w:rsidR="000839CF" w:rsidRPr="000839CF" w:rsidRDefault="000839CF" w:rsidP="000839CF">
      <w:pPr>
        <w:pStyle w:val="EndNoteBibliography"/>
        <w:spacing w:after="0"/>
      </w:pPr>
      <w:bookmarkStart w:id="20" w:name="_ENREF_14"/>
      <w:r w:rsidRPr="000839CF">
        <w:t>14.</w:t>
      </w:r>
      <w:r w:rsidRPr="000839CF">
        <w:tab/>
        <w:t>Schett G, Wollenhaupt J, Papp K, Joos R, Rodrigues JF, Vessey AR, et al. Oral apremilast in the treatment of active psoriatic arthritis: results of a multicenter, randomized, double-blind, placebo-controlled study. Arthritis Rheum. 2012;64(10):3156-67.</w:t>
      </w:r>
      <w:bookmarkEnd w:id="20"/>
    </w:p>
    <w:p w14:paraId="3BF81B75" w14:textId="77777777" w:rsidR="000839CF" w:rsidRPr="000839CF" w:rsidRDefault="000839CF" w:rsidP="000839CF">
      <w:pPr>
        <w:pStyle w:val="EndNoteBibliography"/>
        <w:spacing w:after="0"/>
      </w:pPr>
      <w:bookmarkStart w:id="21" w:name="_ENREF_15"/>
      <w:r w:rsidRPr="000839CF">
        <w:t>15.</w:t>
      </w:r>
      <w:r w:rsidRPr="000839CF">
        <w:tab/>
        <w:t>Celgene Corporation. Apremilast Clinical Study Report CC-10004-PSOR-008. New Jersey: Clegene Corporation, 2013.</w:t>
      </w:r>
      <w:bookmarkEnd w:id="21"/>
    </w:p>
    <w:p w14:paraId="38422009" w14:textId="77777777" w:rsidR="000839CF" w:rsidRPr="000839CF" w:rsidRDefault="000839CF" w:rsidP="000839CF">
      <w:pPr>
        <w:pStyle w:val="EndNoteBibliography"/>
        <w:spacing w:after="0"/>
      </w:pPr>
      <w:bookmarkStart w:id="22" w:name="_ENREF_16"/>
      <w:r w:rsidRPr="000839CF">
        <w:t>16.</w:t>
      </w:r>
      <w:r w:rsidRPr="000839CF">
        <w:tab/>
        <w:t>Celgene Corporation. Apremilast Clinical Study Report CC-10004-PSOR-009. New Jersey: Celgene Corporation, 2013.</w:t>
      </w:r>
      <w:bookmarkEnd w:id="22"/>
    </w:p>
    <w:p w14:paraId="5BD3CC83" w14:textId="77777777" w:rsidR="000839CF" w:rsidRPr="000839CF" w:rsidRDefault="000839CF" w:rsidP="000839CF">
      <w:pPr>
        <w:pStyle w:val="EndNoteBibliography"/>
        <w:spacing w:after="0"/>
      </w:pPr>
      <w:bookmarkStart w:id="23" w:name="_ENREF_17"/>
      <w:r w:rsidRPr="000839CF">
        <w:t>17.</w:t>
      </w:r>
      <w:r w:rsidRPr="000839CF">
        <w:tab/>
        <w:t>Rodgers M, Epstein D, Bojke L, Yang H, Craig D, Fonseca T, et al. Etanercept, infliximab and adalimumab for the treatment of psoriatic arthritis: a systematic review and economic evaluation. Health Technol Assess. 2011;15(10):1-329.</w:t>
      </w:r>
      <w:bookmarkEnd w:id="23"/>
    </w:p>
    <w:p w14:paraId="6759B639" w14:textId="77777777" w:rsidR="000839CF" w:rsidRPr="000839CF" w:rsidRDefault="000839CF" w:rsidP="000839CF">
      <w:pPr>
        <w:pStyle w:val="EndNoteBibliography"/>
        <w:spacing w:after="0"/>
      </w:pPr>
      <w:bookmarkStart w:id="24" w:name="_ENREF_18"/>
      <w:r w:rsidRPr="000839CF">
        <w:t>18.</w:t>
      </w:r>
      <w:r w:rsidRPr="000839CF">
        <w:tab/>
        <w:t xml:space="preserve">Hyrich KL, Lunt M, Watson KD, Symmons DP, Silman AJ. Outcomes after switching from one anti-tumor necrosis factor alpha agent to a second anti-tumor necrosis factor alpha agent in patients </w:t>
      </w:r>
      <w:r w:rsidRPr="000839CF">
        <w:lastRenderedPageBreak/>
        <w:t>with rheumatoid arthritis: results from a large UK national cohort study. Arthritis Rheum. 2007;56(1):13-20.</w:t>
      </w:r>
      <w:bookmarkEnd w:id="24"/>
    </w:p>
    <w:p w14:paraId="77B0937A" w14:textId="77777777" w:rsidR="000839CF" w:rsidRPr="000839CF" w:rsidRDefault="000839CF" w:rsidP="000839CF">
      <w:pPr>
        <w:pStyle w:val="EndNoteBibliography"/>
        <w:spacing w:after="0"/>
      </w:pPr>
      <w:bookmarkStart w:id="25" w:name="_ENREF_19"/>
      <w:r w:rsidRPr="000839CF">
        <w:t>19.</w:t>
      </w:r>
      <w:r w:rsidRPr="000839CF">
        <w:tab/>
        <w:t>Poole CD, Lebmeier M, Ara R, Rafia R, Currie CJ. Estimation of health care costs as a function of disease severity in people with psoriatic arthritis in the UK. Rheumatology (Oxford). 2010;49(10):1949-56.</w:t>
      </w:r>
      <w:bookmarkEnd w:id="25"/>
    </w:p>
    <w:p w14:paraId="4C16A94E" w14:textId="77777777" w:rsidR="000839CF" w:rsidRPr="000839CF" w:rsidRDefault="000839CF" w:rsidP="000839CF">
      <w:pPr>
        <w:pStyle w:val="EndNoteBibliography"/>
      </w:pPr>
      <w:bookmarkStart w:id="26" w:name="_ENREF_20"/>
      <w:r w:rsidRPr="000839CF">
        <w:t>20.</w:t>
      </w:r>
      <w:r w:rsidRPr="000839CF">
        <w:tab/>
        <w:t>Decision Support Unit. Tocilizumab for the treatment of rheumatoid arthritis. Sheffield: Decision Support Unit, 2010.</w:t>
      </w:r>
      <w:bookmarkEnd w:id="26"/>
    </w:p>
    <w:p w14:paraId="1C69E417" w14:textId="77777777" w:rsidR="00402767" w:rsidRPr="00F71694" w:rsidRDefault="00EF3C3F" w:rsidP="000C07BF">
      <w:pPr>
        <w:rPr>
          <w:b/>
        </w:rPr>
      </w:pPr>
      <w:r>
        <w:rPr>
          <w:b/>
        </w:rPr>
        <w:fldChar w:fldCharType="end"/>
      </w:r>
    </w:p>
    <w:sectPr w:rsidR="00402767" w:rsidRPr="00F71694">
      <w:footerReference w:type="default" r:id="rId1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2F2AD3" w15:done="0"/>
  <w15:commentEx w15:paraId="198ABF97" w15:done="0"/>
  <w15:commentEx w15:paraId="7AE4BCA6" w15:done="0"/>
  <w15:commentEx w15:paraId="3426205F" w15:done="0"/>
  <w15:commentEx w15:paraId="35B49DED" w15:done="0"/>
  <w15:commentEx w15:paraId="6D1B5686" w15:done="0"/>
  <w15:commentEx w15:paraId="4CD3532E" w15:done="0"/>
  <w15:commentEx w15:paraId="622AF954" w15:done="0"/>
  <w15:commentEx w15:paraId="25AC01C1" w15:done="0"/>
  <w15:commentEx w15:paraId="52CC14B7" w15:done="0"/>
  <w15:commentEx w15:paraId="7A4394E2" w15:done="0"/>
  <w15:commentEx w15:paraId="0DB38B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25533" w14:textId="77777777" w:rsidR="00C54F3F" w:rsidRDefault="00C54F3F" w:rsidP="00212A70">
      <w:pPr>
        <w:spacing w:after="0" w:line="240" w:lineRule="auto"/>
      </w:pPr>
      <w:r>
        <w:separator/>
      </w:r>
    </w:p>
  </w:endnote>
  <w:endnote w:type="continuationSeparator" w:id="0">
    <w:p w14:paraId="775EF1AC" w14:textId="77777777" w:rsidR="00C54F3F" w:rsidRDefault="00C54F3F" w:rsidP="0021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954266"/>
      <w:docPartObj>
        <w:docPartGallery w:val="Page Numbers (Bottom of Page)"/>
        <w:docPartUnique/>
      </w:docPartObj>
    </w:sdtPr>
    <w:sdtEndPr>
      <w:rPr>
        <w:noProof/>
      </w:rPr>
    </w:sdtEndPr>
    <w:sdtContent>
      <w:p w14:paraId="573699FF" w14:textId="77777777" w:rsidR="00C54F3F" w:rsidRDefault="00C54F3F">
        <w:pPr>
          <w:pStyle w:val="Footer"/>
          <w:jc w:val="right"/>
        </w:pPr>
        <w:r>
          <w:fldChar w:fldCharType="begin"/>
        </w:r>
        <w:r>
          <w:instrText xml:space="preserve"> PAGE   \* MERGEFORMAT </w:instrText>
        </w:r>
        <w:r>
          <w:fldChar w:fldCharType="separate"/>
        </w:r>
        <w:r w:rsidR="001970C6">
          <w:rPr>
            <w:noProof/>
          </w:rPr>
          <w:t>10</w:t>
        </w:r>
        <w:r>
          <w:rPr>
            <w:noProof/>
          </w:rPr>
          <w:fldChar w:fldCharType="end"/>
        </w:r>
      </w:p>
    </w:sdtContent>
  </w:sdt>
  <w:p w14:paraId="64BEA3E6" w14:textId="77777777" w:rsidR="00C54F3F" w:rsidRDefault="00C54F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00BAA" w14:textId="77777777" w:rsidR="00C54F3F" w:rsidRDefault="00C54F3F" w:rsidP="00212A70">
      <w:pPr>
        <w:spacing w:after="0" w:line="240" w:lineRule="auto"/>
      </w:pPr>
      <w:r>
        <w:separator/>
      </w:r>
    </w:p>
  </w:footnote>
  <w:footnote w:type="continuationSeparator" w:id="0">
    <w:p w14:paraId="60D264EE" w14:textId="77777777" w:rsidR="00C54F3F" w:rsidRDefault="00C54F3F" w:rsidP="00212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83B"/>
    <w:multiLevelType w:val="multilevel"/>
    <w:tmpl w:val="2D1E5D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C64DE2"/>
    <w:multiLevelType w:val="hybridMultilevel"/>
    <w:tmpl w:val="7A0804EE"/>
    <w:lvl w:ilvl="0" w:tplc="F288E326">
      <w:start w:val="17"/>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DF971AC"/>
    <w:multiLevelType w:val="multilevel"/>
    <w:tmpl w:val="32B258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F3F2084"/>
    <w:multiLevelType w:val="hybridMultilevel"/>
    <w:tmpl w:val="23667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E05500"/>
    <w:multiLevelType w:val="hybridMultilevel"/>
    <w:tmpl w:val="D2A6D504"/>
    <w:lvl w:ilvl="0" w:tplc="9F02B0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B87FCC"/>
    <w:multiLevelType w:val="hybridMultilevel"/>
    <w:tmpl w:val="42228BEC"/>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A350AF"/>
    <w:multiLevelType w:val="hybridMultilevel"/>
    <w:tmpl w:val="4014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3A4507"/>
    <w:multiLevelType w:val="hybridMultilevel"/>
    <w:tmpl w:val="C40ED8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nsid w:val="5B0F29C6"/>
    <w:multiLevelType w:val="hybridMultilevel"/>
    <w:tmpl w:val="7B62C7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674F181A"/>
    <w:multiLevelType w:val="multilevel"/>
    <w:tmpl w:val="2D1E5D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AE81276"/>
    <w:multiLevelType w:val="hybridMultilevel"/>
    <w:tmpl w:val="67F24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46B76BD"/>
    <w:multiLevelType w:val="hybridMultilevel"/>
    <w:tmpl w:val="E034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2"/>
  </w:num>
  <w:num w:numId="5">
    <w:abstractNumId w:val="4"/>
  </w:num>
  <w:num w:numId="6">
    <w:abstractNumId w:val="3"/>
  </w:num>
  <w:num w:numId="7">
    <w:abstractNumId w:val="6"/>
  </w:num>
  <w:num w:numId="8">
    <w:abstractNumId w:val="11"/>
  </w:num>
  <w:num w:numId="9">
    <w:abstractNumId w:val="9"/>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212A70"/>
    <w:rsid w:val="00004814"/>
    <w:rsid w:val="00005D31"/>
    <w:rsid w:val="00012046"/>
    <w:rsid w:val="00017401"/>
    <w:rsid w:val="00017D21"/>
    <w:rsid w:val="000219EC"/>
    <w:rsid w:val="00033FAE"/>
    <w:rsid w:val="00051870"/>
    <w:rsid w:val="00053EEF"/>
    <w:rsid w:val="00054C47"/>
    <w:rsid w:val="00056ED6"/>
    <w:rsid w:val="00057BB2"/>
    <w:rsid w:val="00057F8A"/>
    <w:rsid w:val="000614D3"/>
    <w:rsid w:val="00071837"/>
    <w:rsid w:val="000746BA"/>
    <w:rsid w:val="00074A18"/>
    <w:rsid w:val="00074DCD"/>
    <w:rsid w:val="00077586"/>
    <w:rsid w:val="00077838"/>
    <w:rsid w:val="000820AD"/>
    <w:rsid w:val="000839CF"/>
    <w:rsid w:val="000858E6"/>
    <w:rsid w:val="00087022"/>
    <w:rsid w:val="00090CC9"/>
    <w:rsid w:val="00093029"/>
    <w:rsid w:val="000A147F"/>
    <w:rsid w:val="000A50D9"/>
    <w:rsid w:val="000A762C"/>
    <w:rsid w:val="000B18E5"/>
    <w:rsid w:val="000B225A"/>
    <w:rsid w:val="000B4A02"/>
    <w:rsid w:val="000B74B8"/>
    <w:rsid w:val="000C07BF"/>
    <w:rsid w:val="000C27F3"/>
    <w:rsid w:val="000C7D80"/>
    <w:rsid w:val="000D6187"/>
    <w:rsid w:val="000D6706"/>
    <w:rsid w:val="000E07F0"/>
    <w:rsid w:val="000E0D1F"/>
    <w:rsid w:val="000E36A9"/>
    <w:rsid w:val="000E7407"/>
    <w:rsid w:val="000F158B"/>
    <w:rsid w:val="000F4A33"/>
    <w:rsid w:val="000F7FD9"/>
    <w:rsid w:val="0010589A"/>
    <w:rsid w:val="0010688E"/>
    <w:rsid w:val="00106A92"/>
    <w:rsid w:val="00111E5F"/>
    <w:rsid w:val="001124B0"/>
    <w:rsid w:val="001168F6"/>
    <w:rsid w:val="001170BD"/>
    <w:rsid w:val="00120DC2"/>
    <w:rsid w:val="001232A0"/>
    <w:rsid w:val="001257EE"/>
    <w:rsid w:val="00126121"/>
    <w:rsid w:val="001266B9"/>
    <w:rsid w:val="0013106A"/>
    <w:rsid w:val="00132B14"/>
    <w:rsid w:val="00135FD3"/>
    <w:rsid w:val="00144C1F"/>
    <w:rsid w:val="00147DA5"/>
    <w:rsid w:val="00155B1D"/>
    <w:rsid w:val="00166586"/>
    <w:rsid w:val="00166A36"/>
    <w:rsid w:val="00167B4D"/>
    <w:rsid w:val="0017122A"/>
    <w:rsid w:val="00176A5C"/>
    <w:rsid w:val="001859A0"/>
    <w:rsid w:val="001871CB"/>
    <w:rsid w:val="0018797C"/>
    <w:rsid w:val="00187E9C"/>
    <w:rsid w:val="00191548"/>
    <w:rsid w:val="0019651E"/>
    <w:rsid w:val="001970C6"/>
    <w:rsid w:val="001A713D"/>
    <w:rsid w:val="001B75D1"/>
    <w:rsid w:val="001C2BDC"/>
    <w:rsid w:val="001C2CCA"/>
    <w:rsid w:val="001C4AB3"/>
    <w:rsid w:val="001D4DE1"/>
    <w:rsid w:val="001E1FA4"/>
    <w:rsid w:val="001E22BA"/>
    <w:rsid w:val="001E2B25"/>
    <w:rsid w:val="001F3AF5"/>
    <w:rsid w:val="002004BC"/>
    <w:rsid w:val="0020540D"/>
    <w:rsid w:val="00212A70"/>
    <w:rsid w:val="00213E88"/>
    <w:rsid w:val="00216729"/>
    <w:rsid w:val="002303AD"/>
    <w:rsid w:val="00235C89"/>
    <w:rsid w:val="00237E61"/>
    <w:rsid w:val="0024017F"/>
    <w:rsid w:val="0024057C"/>
    <w:rsid w:val="00240F48"/>
    <w:rsid w:val="00245173"/>
    <w:rsid w:val="00245BCF"/>
    <w:rsid w:val="00247509"/>
    <w:rsid w:val="002505C0"/>
    <w:rsid w:val="00250BF0"/>
    <w:rsid w:val="002525B3"/>
    <w:rsid w:val="00252D2F"/>
    <w:rsid w:val="00257E4A"/>
    <w:rsid w:val="00260CCE"/>
    <w:rsid w:val="0027076F"/>
    <w:rsid w:val="00280EA3"/>
    <w:rsid w:val="00290757"/>
    <w:rsid w:val="0029544A"/>
    <w:rsid w:val="00295D53"/>
    <w:rsid w:val="00296BEA"/>
    <w:rsid w:val="002A177D"/>
    <w:rsid w:val="002A30A1"/>
    <w:rsid w:val="002A5E50"/>
    <w:rsid w:val="002B5A66"/>
    <w:rsid w:val="002B6394"/>
    <w:rsid w:val="002C30B7"/>
    <w:rsid w:val="002D6C9F"/>
    <w:rsid w:val="002E02E6"/>
    <w:rsid w:val="002E0519"/>
    <w:rsid w:val="002F6709"/>
    <w:rsid w:val="003046AD"/>
    <w:rsid w:val="00305655"/>
    <w:rsid w:val="003309BD"/>
    <w:rsid w:val="0033586A"/>
    <w:rsid w:val="00342E86"/>
    <w:rsid w:val="00344ACF"/>
    <w:rsid w:val="00344F93"/>
    <w:rsid w:val="003479B7"/>
    <w:rsid w:val="003518CD"/>
    <w:rsid w:val="00351C11"/>
    <w:rsid w:val="003551D2"/>
    <w:rsid w:val="00357022"/>
    <w:rsid w:val="003609FF"/>
    <w:rsid w:val="00362670"/>
    <w:rsid w:val="003649DE"/>
    <w:rsid w:val="00365577"/>
    <w:rsid w:val="003673A2"/>
    <w:rsid w:val="003762F6"/>
    <w:rsid w:val="003815D0"/>
    <w:rsid w:val="00384A22"/>
    <w:rsid w:val="00385E0B"/>
    <w:rsid w:val="003870A9"/>
    <w:rsid w:val="003874F9"/>
    <w:rsid w:val="00392151"/>
    <w:rsid w:val="003947FC"/>
    <w:rsid w:val="003A10B0"/>
    <w:rsid w:val="003A28CE"/>
    <w:rsid w:val="003A55A8"/>
    <w:rsid w:val="003B0AD2"/>
    <w:rsid w:val="003B1483"/>
    <w:rsid w:val="003B4824"/>
    <w:rsid w:val="003B5BE5"/>
    <w:rsid w:val="003B64EC"/>
    <w:rsid w:val="003C03AD"/>
    <w:rsid w:val="003C19B9"/>
    <w:rsid w:val="003C1B55"/>
    <w:rsid w:val="003D0797"/>
    <w:rsid w:val="003D7ACB"/>
    <w:rsid w:val="003E5BA4"/>
    <w:rsid w:val="003E75F0"/>
    <w:rsid w:val="003F1A75"/>
    <w:rsid w:val="003F72CE"/>
    <w:rsid w:val="003F78A0"/>
    <w:rsid w:val="00402767"/>
    <w:rsid w:val="00405241"/>
    <w:rsid w:val="004067FF"/>
    <w:rsid w:val="00406899"/>
    <w:rsid w:val="00415385"/>
    <w:rsid w:val="00421191"/>
    <w:rsid w:val="00421D17"/>
    <w:rsid w:val="004249FD"/>
    <w:rsid w:val="0043076A"/>
    <w:rsid w:val="0043277A"/>
    <w:rsid w:val="00433584"/>
    <w:rsid w:val="00451607"/>
    <w:rsid w:val="00460732"/>
    <w:rsid w:val="00460A97"/>
    <w:rsid w:val="00461286"/>
    <w:rsid w:val="004617D2"/>
    <w:rsid w:val="00462612"/>
    <w:rsid w:val="00465555"/>
    <w:rsid w:val="00466D38"/>
    <w:rsid w:val="0047293C"/>
    <w:rsid w:val="00477888"/>
    <w:rsid w:val="00480BD3"/>
    <w:rsid w:val="00480EE2"/>
    <w:rsid w:val="00482EE9"/>
    <w:rsid w:val="004849F0"/>
    <w:rsid w:val="0048696A"/>
    <w:rsid w:val="00486B1A"/>
    <w:rsid w:val="00491810"/>
    <w:rsid w:val="004919B4"/>
    <w:rsid w:val="004A253A"/>
    <w:rsid w:val="004A781A"/>
    <w:rsid w:val="004B628C"/>
    <w:rsid w:val="004B6EBA"/>
    <w:rsid w:val="004C1A64"/>
    <w:rsid w:val="004C3B38"/>
    <w:rsid w:val="004C4603"/>
    <w:rsid w:val="004C4785"/>
    <w:rsid w:val="004D5A80"/>
    <w:rsid w:val="004E0A62"/>
    <w:rsid w:val="004E1738"/>
    <w:rsid w:val="004E2BCE"/>
    <w:rsid w:val="004E2C08"/>
    <w:rsid w:val="004E2C97"/>
    <w:rsid w:val="004E40FC"/>
    <w:rsid w:val="004E428D"/>
    <w:rsid w:val="004E6934"/>
    <w:rsid w:val="004F54BA"/>
    <w:rsid w:val="004F5644"/>
    <w:rsid w:val="00501733"/>
    <w:rsid w:val="00506708"/>
    <w:rsid w:val="00507CDC"/>
    <w:rsid w:val="00510B0D"/>
    <w:rsid w:val="005201CE"/>
    <w:rsid w:val="00521CB0"/>
    <w:rsid w:val="00524E33"/>
    <w:rsid w:val="00527E3B"/>
    <w:rsid w:val="005305A3"/>
    <w:rsid w:val="00532C57"/>
    <w:rsid w:val="005347E3"/>
    <w:rsid w:val="005366DD"/>
    <w:rsid w:val="0053785D"/>
    <w:rsid w:val="0054072A"/>
    <w:rsid w:val="00540D64"/>
    <w:rsid w:val="00546FEA"/>
    <w:rsid w:val="00550F1C"/>
    <w:rsid w:val="00560B7B"/>
    <w:rsid w:val="00564E7C"/>
    <w:rsid w:val="00567403"/>
    <w:rsid w:val="00567C67"/>
    <w:rsid w:val="00571105"/>
    <w:rsid w:val="005744D3"/>
    <w:rsid w:val="00580079"/>
    <w:rsid w:val="00585DDA"/>
    <w:rsid w:val="00587D14"/>
    <w:rsid w:val="0059626B"/>
    <w:rsid w:val="005A38ED"/>
    <w:rsid w:val="005A59D1"/>
    <w:rsid w:val="005A6F41"/>
    <w:rsid w:val="005B431F"/>
    <w:rsid w:val="005B7E1F"/>
    <w:rsid w:val="005C3427"/>
    <w:rsid w:val="005C4E2F"/>
    <w:rsid w:val="005C6B31"/>
    <w:rsid w:val="005D080F"/>
    <w:rsid w:val="005D27A9"/>
    <w:rsid w:val="005D4DC1"/>
    <w:rsid w:val="005E385A"/>
    <w:rsid w:val="005F22EA"/>
    <w:rsid w:val="005F294F"/>
    <w:rsid w:val="0060413D"/>
    <w:rsid w:val="006056BF"/>
    <w:rsid w:val="00606E5F"/>
    <w:rsid w:val="00607250"/>
    <w:rsid w:val="00615B18"/>
    <w:rsid w:val="006209FF"/>
    <w:rsid w:val="00622221"/>
    <w:rsid w:val="00622629"/>
    <w:rsid w:val="00624413"/>
    <w:rsid w:val="00624684"/>
    <w:rsid w:val="00641A6E"/>
    <w:rsid w:val="00643130"/>
    <w:rsid w:val="006463FB"/>
    <w:rsid w:val="00647C00"/>
    <w:rsid w:val="006568CE"/>
    <w:rsid w:val="0066012F"/>
    <w:rsid w:val="00665502"/>
    <w:rsid w:val="00666BDD"/>
    <w:rsid w:val="0068010B"/>
    <w:rsid w:val="006815C8"/>
    <w:rsid w:val="00686CCC"/>
    <w:rsid w:val="00691D8E"/>
    <w:rsid w:val="006920EF"/>
    <w:rsid w:val="00695346"/>
    <w:rsid w:val="006A44ED"/>
    <w:rsid w:val="006A5CC9"/>
    <w:rsid w:val="006A6401"/>
    <w:rsid w:val="006A73CD"/>
    <w:rsid w:val="006B137F"/>
    <w:rsid w:val="006B1EFF"/>
    <w:rsid w:val="006B597D"/>
    <w:rsid w:val="006C4260"/>
    <w:rsid w:val="006C45ED"/>
    <w:rsid w:val="006C5DCF"/>
    <w:rsid w:val="006C7800"/>
    <w:rsid w:val="006D128E"/>
    <w:rsid w:val="006D4710"/>
    <w:rsid w:val="006D5A17"/>
    <w:rsid w:val="006D7F5D"/>
    <w:rsid w:val="006E0032"/>
    <w:rsid w:val="006E069B"/>
    <w:rsid w:val="006E5C2C"/>
    <w:rsid w:val="006F749B"/>
    <w:rsid w:val="006F7C06"/>
    <w:rsid w:val="00703023"/>
    <w:rsid w:val="0070431E"/>
    <w:rsid w:val="00704A4A"/>
    <w:rsid w:val="00706BAF"/>
    <w:rsid w:val="00712349"/>
    <w:rsid w:val="00713CB0"/>
    <w:rsid w:val="007156D0"/>
    <w:rsid w:val="00716BC0"/>
    <w:rsid w:val="00721341"/>
    <w:rsid w:val="00721E4D"/>
    <w:rsid w:val="007235F5"/>
    <w:rsid w:val="00725E82"/>
    <w:rsid w:val="00726296"/>
    <w:rsid w:val="00732CC1"/>
    <w:rsid w:val="00740AF0"/>
    <w:rsid w:val="00745959"/>
    <w:rsid w:val="00745E95"/>
    <w:rsid w:val="007562A7"/>
    <w:rsid w:val="00756E40"/>
    <w:rsid w:val="0076656B"/>
    <w:rsid w:val="007705FF"/>
    <w:rsid w:val="007819D4"/>
    <w:rsid w:val="007834A3"/>
    <w:rsid w:val="007836C5"/>
    <w:rsid w:val="00785591"/>
    <w:rsid w:val="007874BD"/>
    <w:rsid w:val="0078785D"/>
    <w:rsid w:val="00795414"/>
    <w:rsid w:val="007962DF"/>
    <w:rsid w:val="007A0169"/>
    <w:rsid w:val="007A10D2"/>
    <w:rsid w:val="007A63E0"/>
    <w:rsid w:val="007A6773"/>
    <w:rsid w:val="007B031F"/>
    <w:rsid w:val="007B1C58"/>
    <w:rsid w:val="007B792A"/>
    <w:rsid w:val="007B7A43"/>
    <w:rsid w:val="007C09BC"/>
    <w:rsid w:val="007C1588"/>
    <w:rsid w:val="007C31DA"/>
    <w:rsid w:val="007C441C"/>
    <w:rsid w:val="007D22AC"/>
    <w:rsid w:val="007D2A07"/>
    <w:rsid w:val="007D6564"/>
    <w:rsid w:val="007D7172"/>
    <w:rsid w:val="007E4C21"/>
    <w:rsid w:val="007E4DCA"/>
    <w:rsid w:val="007E4F7F"/>
    <w:rsid w:val="007E5667"/>
    <w:rsid w:val="007F2A5C"/>
    <w:rsid w:val="007F31C5"/>
    <w:rsid w:val="007F35AB"/>
    <w:rsid w:val="007F7DAD"/>
    <w:rsid w:val="008011ED"/>
    <w:rsid w:val="0080175C"/>
    <w:rsid w:val="008025BB"/>
    <w:rsid w:val="00805027"/>
    <w:rsid w:val="008074FE"/>
    <w:rsid w:val="008206BB"/>
    <w:rsid w:val="008226CC"/>
    <w:rsid w:val="008241A2"/>
    <w:rsid w:val="00826058"/>
    <w:rsid w:val="00832F53"/>
    <w:rsid w:val="00834FDF"/>
    <w:rsid w:val="00835D64"/>
    <w:rsid w:val="008361A2"/>
    <w:rsid w:val="00845D46"/>
    <w:rsid w:val="008549B3"/>
    <w:rsid w:val="00860C9C"/>
    <w:rsid w:val="008667ED"/>
    <w:rsid w:val="0087267C"/>
    <w:rsid w:val="0087605E"/>
    <w:rsid w:val="00876F4D"/>
    <w:rsid w:val="00885203"/>
    <w:rsid w:val="00897EE2"/>
    <w:rsid w:val="008A0F86"/>
    <w:rsid w:val="008A23AF"/>
    <w:rsid w:val="008B7EFC"/>
    <w:rsid w:val="008C21AE"/>
    <w:rsid w:val="008C3C54"/>
    <w:rsid w:val="008C43FA"/>
    <w:rsid w:val="008C451F"/>
    <w:rsid w:val="008C6EE1"/>
    <w:rsid w:val="008D0E20"/>
    <w:rsid w:val="008E0441"/>
    <w:rsid w:val="008E2F02"/>
    <w:rsid w:val="008E6DC5"/>
    <w:rsid w:val="008F6896"/>
    <w:rsid w:val="00902D8E"/>
    <w:rsid w:val="00904236"/>
    <w:rsid w:val="00905657"/>
    <w:rsid w:val="00906FC6"/>
    <w:rsid w:val="00910189"/>
    <w:rsid w:val="00920C4D"/>
    <w:rsid w:val="0092344A"/>
    <w:rsid w:val="0092475A"/>
    <w:rsid w:val="0092543D"/>
    <w:rsid w:val="009321FD"/>
    <w:rsid w:val="00934E8F"/>
    <w:rsid w:val="0094044F"/>
    <w:rsid w:val="00942C7D"/>
    <w:rsid w:val="00943327"/>
    <w:rsid w:val="00946A1D"/>
    <w:rsid w:val="0095082A"/>
    <w:rsid w:val="00950B2E"/>
    <w:rsid w:val="00950DAF"/>
    <w:rsid w:val="00955A21"/>
    <w:rsid w:val="00964E24"/>
    <w:rsid w:val="009724F6"/>
    <w:rsid w:val="00987FB7"/>
    <w:rsid w:val="009918B3"/>
    <w:rsid w:val="0099535E"/>
    <w:rsid w:val="00996C8C"/>
    <w:rsid w:val="0099762E"/>
    <w:rsid w:val="009A30AA"/>
    <w:rsid w:val="009A3E40"/>
    <w:rsid w:val="009B0510"/>
    <w:rsid w:val="009B3724"/>
    <w:rsid w:val="009B542A"/>
    <w:rsid w:val="009B6252"/>
    <w:rsid w:val="009B6E8E"/>
    <w:rsid w:val="009C51DB"/>
    <w:rsid w:val="009C5563"/>
    <w:rsid w:val="009D5B66"/>
    <w:rsid w:val="009E6FA8"/>
    <w:rsid w:val="009F0921"/>
    <w:rsid w:val="009F2AFB"/>
    <w:rsid w:val="009F4F45"/>
    <w:rsid w:val="00A01B50"/>
    <w:rsid w:val="00A03CB0"/>
    <w:rsid w:val="00A05756"/>
    <w:rsid w:val="00A06EAD"/>
    <w:rsid w:val="00A1160F"/>
    <w:rsid w:val="00A1431A"/>
    <w:rsid w:val="00A20DD7"/>
    <w:rsid w:val="00A243BE"/>
    <w:rsid w:val="00A271BC"/>
    <w:rsid w:val="00A31675"/>
    <w:rsid w:val="00A325ED"/>
    <w:rsid w:val="00A326EE"/>
    <w:rsid w:val="00A34B18"/>
    <w:rsid w:val="00A4118D"/>
    <w:rsid w:val="00A41A2C"/>
    <w:rsid w:val="00A43FC7"/>
    <w:rsid w:val="00A55B89"/>
    <w:rsid w:val="00A56DD4"/>
    <w:rsid w:val="00A571EC"/>
    <w:rsid w:val="00A6559A"/>
    <w:rsid w:val="00A71B59"/>
    <w:rsid w:val="00A74DA4"/>
    <w:rsid w:val="00A76833"/>
    <w:rsid w:val="00A76D16"/>
    <w:rsid w:val="00A8780A"/>
    <w:rsid w:val="00A91BED"/>
    <w:rsid w:val="00A9623E"/>
    <w:rsid w:val="00A97753"/>
    <w:rsid w:val="00AA1F5E"/>
    <w:rsid w:val="00AA42FE"/>
    <w:rsid w:val="00AA5247"/>
    <w:rsid w:val="00AA5C41"/>
    <w:rsid w:val="00AA698A"/>
    <w:rsid w:val="00AB44EF"/>
    <w:rsid w:val="00AC2F8F"/>
    <w:rsid w:val="00AC3828"/>
    <w:rsid w:val="00AD3CC8"/>
    <w:rsid w:val="00AD6DB0"/>
    <w:rsid w:val="00AE06AF"/>
    <w:rsid w:val="00AE5B7D"/>
    <w:rsid w:val="00AE5C59"/>
    <w:rsid w:val="00AE5D43"/>
    <w:rsid w:val="00AF2F35"/>
    <w:rsid w:val="00AF3DB3"/>
    <w:rsid w:val="00B01DE8"/>
    <w:rsid w:val="00B07284"/>
    <w:rsid w:val="00B25841"/>
    <w:rsid w:val="00B26C5E"/>
    <w:rsid w:val="00B33BBE"/>
    <w:rsid w:val="00B34517"/>
    <w:rsid w:val="00B34F4D"/>
    <w:rsid w:val="00B46CF5"/>
    <w:rsid w:val="00B632FA"/>
    <w:rsid w:val="00B64E32"/>
    <w:rsid w:val="00B830DF"/>
    <w:rsid w:val="00B903C7"/>
    <w:rsid w:val="00B94391"/>
    <w:rsid w:val="00B9669C"/>
    <w:rsid w:val="00BA1FAA"/>
    <w:rsid w:val="00BA4286"/>
    <w:rsid w:val="00BA48D4"/>
    <w:rsid w:val="00BA516D"/>
    <w:rsid w:val="00BB2932"/>
    <w:rsid w:val="00BB2ABF"/>
    <w:rsid w:val="00BB2E7C"/>
    <w:rsid w:val="00BB6AB3"/>
    <w:rsid w:val="00BC604B"/>
    <w:rsid w:val="00BC7E40"/>
    <w:rsid w:val="00BD7665"/>
    <w:rsid w:val="00BE21AB"/>
    <w:rsid w:val="00BE464B"/>
    <w:rsid w:val="00BF093B"/>
    <w:rsid w:val="00BF148E"/>
    <w:rsid w:val="00BF245C"/>
    <w:rsid w:val="00BF2FC6"/>
    <w:rsid w:val="00BF34C1"/>
    <w:rsid w:val="00BF455B"/>
    <w:rsid w:val="00BF5FCF"/>
    <w:rsid w:val="00BF69E7"/>
    <w:rsid w:val="00C0173F"/>
    <w:rsid w:val="00C02965"/>
    <w:rsid w:val="00C02B4C"/>
    <w:rsid w:val="00C02C60"/>
    <w:rsid w:val="00C03750"/>
    <w:rsid w:val="00C05594"/>
    <w:rsid w:val="00C07ADA"/>
    <w:rsid w:val="00C14CCF"/>
    <w:rsid w:val="00C1767E"/>
    <w:rsid w:val="00C2571B"/>
    <w:rsid w:val="00C25F6C"/>
    <w:rsid w:val="00C3774B"/>
    <w:rsid w:val="00C42D37"/>
    <w:rsid w:val="00C435B2"/>
    <w:rsid w:val="00C54F3F"/>
    <w:rsid w:val="00C64346"/>
    <w:rsid w:val="00C655C6"/>
    <w:rsid w:val="00C67949"/>
    <w:rsid w:val="00C70E3D"/>
    <w:rsid w:val="00C74F0F"/>
    <w:rsid w:val="00C776F4"/>
    <w:rsid w:val="00C857D6"/>
    <w:rsid w:val="00C8631A"/>
    <w:rsid w:val="00C876BB"/>
    <w:rsid w:val="00C87F6C"/>
    <w:rsid w:val="00C95C98"/>
    <w:rsid w:val="00CA338D"/>
    <w:rsid w:val="00CA3DD8"/>
    <w:rsid w:val="00CA64BC"/>
    <w:rsid w:val="00CA7204"/>
    <w:rsid w:val="00CA7A9F"/>
    <w:rsid w:val="00CB018E"/>
    <w:rsid w:val="00CC086F"/>
    <w:rsid w:val="00CD2F44"/>
    <w:rsid w:val="00CD5B99"/>
    <w:rsid w:val="00CE19C3"/>
    <w:rsid w:val="00CE371B"/>
    <w:rsid w:val="00CE43A9"/>
    <w:rsid w:val="00CF1513"/>
    <w:rsid w:val="00CF1BE5"/>
    <w:rsid w:val="00CF1CD0"/>
    <w:rsid w:val="00CF4B23"/>
    <w:rsid w:val="00D01E96"/>
    <w:rsid w:val="00D02D2E"/>
    <w:rsid w:val="00D14DB8"/>
    <w:rsid w:val="00D16A7E"/>
    <w:rsid w:val="00D17A58"/>
    <w:rsid w:val="00D2088A"/>
    <w:rsid w:val="00D3400C"/>
    <w:rsid w:val="00D377E7"/>
    <w:rsid w:val="00D43092"/>
    <w:rsid w:val="00D5657A"/>
    <w:rsid w:val="00D72F16"/>
    <w:rsid w:val="00D741D0"/>
    <w:rsid w:val="00D81286"/>
    <w:rsid w:val="00D84111"/>
    <w:rsid w:val="00D9141B"/>
    <w:rsid w:val="00D93F57"/>
    <w:rsid w:val="00D97185"/>
    <w:rsid w:val="00DA0AD3"/>
    <w:rsid w:val="00DA21D0"/>
    <w:rsid w:val="00DB2676"/>
    <w:rsid w:val="00DB6348"/>
    <w:rsid w:val="00DC549A"/>
    <w:rsid w:val="00DC64BE"/>
    <w:rsid w:val="00DD01E3"/>
    <w:rsid w:val="00DD059B"/>
    <w:rsid w:val="00DD112F"/>
    <w:rsid w:val="00DD1D81"/>
    <w:rsid w:val="00DD266E"/>
    <w:rsid w:val="00DD5706"/>
    <w:rsid w:val="00DE5233"/>
    <w:rsid w:val="00DE759A"/>
    <w:rsid w:val="00DF021B"/>
    <w:rsid w:val="00DF1ED8"/>
    <w:rsid w:val="00DF40D5"/>
    <w:rsid w:val="00DF68BB"/>
    <w:rsid w:val="00E00CE6"/>
    <w:rsid w:val="00E014C1"/>
    <w:rsid w:val="00E0305B"/>
    <w:rsid w:val="00E1246A"/>
    <w:rsid w:val="00E21D73"/>
    <w:rsid w:val="00E222F4"/>
    <w:rsid w:val="00E246F9"/>
    <w:rsid w:val="00E24FE2"/>
    <w:rsid w:val="00E26751"/>
    <w:rsid w:val="00E26B42"/>
    <w:rsid w:val="00E3028A"/>
    <w:rsid w:val="00E30FC0"/>
    <w:rsid w:val="00E41491"/>
    <w:rsid w:val="00E4222F"/>
    <w:rsid w:val="00E50BBD"/>
    <w:rsid w:val="00E52DB5"/>
    <w:rsid w:val="00E54963"/>
    <w:rsid w:val="00E55DAE"/>
    <w:rsid w:val="00E574D4"/>
    <w:rsid w:val="00E62BF8"/>
    <w:rsid w:val="00E63937"/>
    <w:rsid w:val="00E63B3A"/>
    <w:rsid w:val="00E71F66"/>
    <w:rsid w:val="00E72331"/>
    <w:rsid w:val="00E72AA7"/>
    <w:rsid w:val="00E74BBA"/>
    <w:rsid w:val="00E80BD5"/>
    <w:rsid w:val="00E84F64"/>
    <w:rsid w:val="00E928CB"/>
    <w:rsid w:val="00EA183A"/>
    <w:rsid w:val="00EA3622"/>
    <w:rsid w:val="00EA544C"/>
    <w:rsid w:val="00EB3E66"/>
    <w:rsid w:val="00EB691D"/>
    <w:rsid w:val="00ED2185"/>
    <w:rsid w:val="00ED277C"/>
    <w:rsid w:val="00ED765B"/>
    <w:rsid w:val="00EE6364"/>
    <w:rsid w:val="00EF14C7"/>
    <w:rsid w:val="00EF1EDB"/>
    <w:rsid w:val="00EF3C3F"/>
    <w:rsid w:val="00EF4F2A"/>
    <w:rsid w:val="00F00228"/>
    <w:rsid w:val="00F02304"/>
    <w:rsid w:val="00F06B02"/>
    <w:rsid w:val="00F210D2"/>
    <w:rsid w:val="00F230B5"/>
    <w:rsid w:val="00F23225"/>
    <w:rsid w:val="00F23786"/>
    <w:rsid w:val="00F247C5"/>
    <w:rsid w:val="00F32629"/>
    <w:rsid w:val="00F42ECA"/>
    <w:rsid w:val="00F447A3"/>
    <w:rsid w:val="00F455A6"/>
    <w:rsid w:val="00F46BB9"/>
    <w:rsid w:val="00F5035C"/>
    <w:rsid w:val="00F542D2"/>
    <w:rsid w:val="00F56BE9"/>
    <w:rsid w:val="00F654CB"/>
    <w:rsid w:val="00F65A42"/>
    <w:rsid w:val="00F71694"/>
    <w:rsid w:val="00F717DD"/>
    <w:rsid w:val="00F73634"/>
    <w:rsid w:val="00F73BCE"/>
    <w:rsid w:val="00F748A5"/>
    <w:rsid w:val="00F74A45"/>
    <w:rsid w:val="00F74C16"/>
    <w:rsid w:val="00F76FDA"/>
    <w:rsid w:val="00F77AD0"/>
    <w:rsid w:val="00F922DC"/>
    <w:rsid w:val="00F92382"/>
    <w:rsid w:val="00F955ED"/>
    <w:rsid w:val="00F96CE4"/>
    <w:rsid w:val="00FA284C"/>
    <w:rsid w:val="00FA2BF1"/>
    <w:rsid w:val="00FB1688"/>
    <w:rsid w:val="00FC3AD2"/>
    <w:rsid w:val="00FC7259"/>
    <w:rsid w:val="00FD7F45"/>
    <w:rsid w:val="00FF4AC0"/>
    <w:rsid w:val="00FF5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D0"/>
  </w:style>
  <w:style w:type="paragraph" w:styleId="Heading1">
    <w:name w:val="heading 1"/>
    <w:basedOn w:val="Normal"/>
    <w:next w:val="Normal"/>
    <w:link w:val="Heading1Char"/>
    <w:uiPriority w:val="9"/>
    <w:qFormat/>
    <w:rsid w:val="00433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0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70"/>
  </w:style>
  <w:style w:type="paragraph" w:styleId="Footer">
    <w:name w:val="footer"/>
    <w:basedOn w:val="Normal"/>
    <w:link w:val="FooterChar"/>
    <w:uiPriority w:val="99"/>
    <w:unhideWhenUsed/>
    <w:rsid w:val="00212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70"/>
  </w:style>
  <w:style w:type="character" w:customStyle="1" w:styleId="Heading1Char">
    <w:name w:val="Heading 1 Char"/>
    <w:basedOn w:val="DefaultParagraphFont"/>
    <w:link w:val="Heading1"/>
    <w:uiPriority w:val="9"/>
    <w:rsid w:val="0043358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33584"/>
    <w:rPr>
      <w:sz w:val="16"/>
      <w:szCs w:val="16"/>
    </w:rPr>
  </w:style>
  <w:style w:type="paragraph" w:styleId="CommentText">
    <w:name w:val="annotation text"/>
    <w:basedOn w:val="Normal"/>
    <w:link w:val="CommentTextChar"/>
    <w:uiPriority w:val="99"/>
    <w:semiHidden/>
    <w:unhideWhenUsed/>
    <w:rsid w:val="00433584"/>
    <w:pPr>
      <w:spacing w:line="240" w:lineRule="auto"/>
    </w:pPr>
    <w:rPr>
      <w:sz w:val="20"/>
      <w:szCs w:val="20"/>
    </w:rPr>
  </w:style>
  <w:style w:type="character" w:customStyle="1" w:styleId="CommentTextChar">
    <w:name w:val="Comment Text Char"/>
    <w:basedOn w:val="DefaultParagraphFont"/>
    <w:link w:val="CommentText"/>
    <w:uiPriority w:val="99"/>
    <w:semiHidden/>
    <w:rsid w:val="00433584"/>
    <w:rPr>
      <w:sz w:val="20"/>
      <w:szCs w:val="20"/>
    </w:rPr>
  </w:style>
  <w:style w:type="paragraph" w:styleId="BalloonText">
    <w:name w:val="Balloon Text"/>
    <w:basedOn w:val="Normal"/>
    <w:link w:val="BalloonTextChar"/>
    <w:uiPriority w:val="99"/>
    <w:semiHidden/>
    <w:unhideWhenUsed/>
    <w:rsid w:val="00433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84"/>
    <w:rPr>
      <w:rFonts w:ascii="Tahoma" w:hAnsi="Tahoma" w:cs="Tahoma"/>
      <w:sz w:val="16"/>
      <w:szCs w:val="16"/>
    </w:rPr>
  </w:style>
  <w:style w:type="character" w:customStyle="1" w:styleId="Heading2Char">
    <w:name w:val="Heading 2 Char"/>
    <w:basedOn w:val="DefaultParagraphFont"/>
    <w:link w:val="Heading2"/>
    <w:uiPriority w:val="9"/>
    <w:rsid w:val="00E302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5241"/>
    <w:rPr>
      <w:color w:val="0000FF" w:themeColor="hyperlink"/>
      <w:u w:val="single"/>
    </w:rPr>
  </w:style>
  <w:style w:type="paragraph" w:styleId="ListParagraph">
    <w:name w:val="List Paragraph"/>
    <w:basedOn w:val="Normal"/>
    <w:uiPriority w:val="34"/>
    <w:qFormat/>
    <w:rsid w:val="00E41491"/>
    <w:pPr>
      <w:ind w:left="720"/>
      <w:contextualSpacing/>
    </w:pPr>
  </w:style>
  <w:style w:type="paragraph" w:styleId="Caption">
    <w:name w:val="caption"/>
    <w:aliases w:val="Table caption,Caption Char Char,Char Char Char,Char Char1,Caption Char,Char Char,Char1,Caption 3,c,appendix,Char,TableCaption"/>
    <w:basedOn w:val="Normal"/>
    <w:next w:val="Normal"/>
    <w:link w:val="CaptionChar1"/>
    <w:uiPriority w:val="35"/>
    <w:unhideWhenUsed/>
    <w:qFormat/>
    <w:rsid w:val="00F247C5"/>
    <w:pPr>
      <w:spacing w:line="240" w:lineRule="auto"/>
    </w:pPr>
    <w:rPr>
      <w:b/>
      <w:bCs/>
      <w:color w:val="4F81BD" w:themeColor="accent1"/>
      <w:sz w:val="18"/>
      <w:szCs w:val="18"/>
    </w:rPr>
  </w:style>
  <w:style w:type="character" w:styleId="Strong">
    <w:name w:val="Strong"/>
    <w:uiPriority w:val="22"/>
    <w:qFormat/>
    <w:rsid w:val="00F247C5"/>
    <w:rPr>
      <w:b/>
      <w:bCs/>
    </w:rPr>
  </w:style>
  <w:style w:type="paragraph" w:customStyle="1" w:styleId="Tabletext">
    <w:name w:val="Table text"/>
    <w:basedOn w:val="Normal"/>
    <w:link w:val="TabletextChar"/>
    <w:qFormat/>
    <w:rsid w:val="00F247C5"/>
    <w:pPr>
      <w:keepNext/>
      <w:spacing w:after="0" w:line="240" w:lineRule="auto"/>
    </w:pPr>
    <w:rPr>
      <w:rFonts w:ascii="Times New Roman" w:eastAsia="Times New Roman" w:hAnsi="Times New Roman" w:cs="Times New Roman"/>
      <w:sz w:val="20"/>
      <w:szCs w:val="24"/>
      <w:lang w:val="en-US"/>
    </w:rPr>
  </w:style>
  <w:style w:type="character" w:customStyle="1" w:styleId="TabletextChar">
    <w:name w:val="Table text Char"/>
    <w:link w:val="Tabletext"/>
    <w:rsid w:val="00F247C5"/>
    <w:rPr>
      <w:rFonts w:ascii="Times New Roman" w:eastAsia="Times New Roman" w:hAnsi="Times New Roman" w:cs="Times New Roman"/>
      <w:sz w:val="20"/>
      <w:szCs w:val="24"/>
      <w:lang w:val="en-US"/>
    </w:rPr>
  </w:style>
  <w:style w:type="paragraph" w:styleId="FootnoteText">
    <w:name w:val="footnote text"/>
    <w:basedOn w:val="Normal"/>
    <w:link w:val="FootnoteTextChar"/>
    <w:uiPriority w:val="99"/>
    <w:unhideWhenUsed/>
    <w:rsid w:val="00AB44EF"/>
    <w:pPr>
      <w:spacing w:after="0" w:line="240" w:lineRule="auto"/>
    </w:pPr>
    <w:rPr>
      <w:sz w:val="20"/>
      <w:szCs w:val="20"/>
    </w:rPr>
  </w:style>
  <w:style w:type="character" w:customStyle="1" w:styleId="FootnoteTextChar">
    <w:name w:val="Footnote Text Char"/>
    <w:basedOn w:val="DefaultParagraphFont"/>
    <w:link w:val="FootnoteText"/>
    <w:uiPriority w:val="99"/>
    <w:rsid w:val="00AB44EF"/>
    <w:rPr>
      <w:sz w:val="20"/>
      <w:szCs w:val="20"/>
    </w:rPr>
  </w:style>
  <w:style w:type="character" w:styleId="FootnoteReference">
    <w:name w:val="footnote reference"/>
    <w:basedOn w:val="DefaultParagraphFont"/>
    <w:uiPriority w:val="99"/>
    <w:semiHidden/>
    <w:unhideWhenUsed/>
    <w:rsid w:val="00AB44EF"/>
    <w:rPr>
      <w:vertAlign w:val="superscript"/>
    </w:rPr>
  </w:style>
  <w:style w:type="paragraph" w:customStyle="1" w:styleId="EndNoteBibliographyTitle">
    <w:name w:val="EndNote Bibliography Title"/>
    <w:basedOn w:val="Normal"/>
    <w:link w:val="EndNoteBibliographyTitleChar"/>
    <w:rsid w:val="00EF4F2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F4F2A"/>
    <w:rPr>
      <w:rFonts w:ascii="Calibri" w:hAnsi="Calibri"/>
      <w:noProof/>
      <w:lang w:val="en-US"/>
    </w:rPr>
  </w:style>
  <w:style w:type="paragraph" w:customStyle="1" w:styleId="EndNoteBibliography">
    <w:name w:val="EndNote Bibliography"/>
    <w:basedOn w:val="Normal"/>
    <w:link w:val="EndNoteBibliographyChar"/>
    <w:rsid w:val="00EF4F2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F4F2A"/>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6920EF"/>
    <w:rPr>
      <w:b/>
      <w:bCs/>
    </w:rPr>
  </w:style>
  <w:style w:type="character" w:customStyle="1" w:styleId="CommentSubjectChar">
    <w:name w:val="Comment Subject Char"/>
    <w:basedOn w:val="CommentTextChar"/>
    <w:link w:val="CommentSubject"/>
    <w:uiPriority w:val="99"/>
    <w:semiHidden/>
    <w:rsid w:val="006920EF"/>
    <w:rPr>
      <w:b/>
      <w:bCs/>
      <w:sz w:val="20"/>
      <w:szCs w:val="20"/>
    </w:rPr>
  </w:style>
  <w:style w:type="character" w:styleId="IntenseEmphasis">
    <w:name w:val="Intense Emphasis"/>
    <w:uiPriority w:val="21"/>
    <w:qFormat/>
    <w:rsid w:val="00295D53"/>
    <w:rPr>
      <w:b/>
      <w:bCs/>
      <w:i/>
    </w:rPr>
  </w:style>
  <w:style w:type="character" w:customStyle="1" w:styleId="AIC">
    <w:name w:val="AIC"/>
    <w:basedOn w:val="DefaultParagraphFont"/>
    <w:uiPriority w:val="1"/>
    <w:rsid w:val="00295D53"/>
    <w:rPr>
      <w:u w:val="single"/>
      <w:bdr w:val="none" w:sz="0" w:space="0" w:color="auto"/>
      <w:shd w:val="clear" w:color="auto" w:fill="FFFF00"/>
    </w:rPr>
  </w:style>
  <w:style w:type="table" w:customStyle="1" w:styleId="TableGrid1">
    <w:name w:val="Table Grid1"/>
    <w:basedOn w:val="TableNormal"/>
    <w:next w:val="TableGrid"/>
    <w:uiPriority w:val="59"/>
    <w:rsid w:val="00295D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5D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Table caption Char,Caption Char Char Char,Char Char Char Char,Char Char1 Char,Caption Char Char1,Char Char Char1,Char1 Char,Caption 3 Char,c Char,appendix Char,Char Char2,TableCaption Char"/>
    <w:link w:val="Caption"/>
    <w:uiPriority w:val="35"/>
    <w:rsid w:val="00295D53"/>
    <w:rPr>
      <w:b/>
      <w:bCs/>
      <w:color w:val="4F81BD" w:themeColor="accent1"/>
      <w:sz w:val="18"/>
      <w:szCs w:val="18"/>
    </w:rPr>
  </w:style>
  <w:style w:type="table" w:styleId="TableGrid">
    <w:name w:val="Table Grid"/>
    <w:basedOn w:val="TableNormal"/>
    <w:uiPriority w:val="59"/>
    <w:rsid w:val="0029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7284"/>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Grid4">
    <w:name w:val="Table Grid4"/>
    <w:basedOn w:val="TableNormal"/>
    <w:next w:val="TableGrid"/>
    <w:uiPriority w:val="59"/>
    <w:rsid w:val="0017122A"/>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D0"/>
  </w:style>
  <w:style w:type="paragraph" w:styleId="Heading1">
    <w:name w:val="heading 1"/>
    <w:basedOn w:val="Normal"/>
    <w:next w:val="Normal"/>
    <w:link w:val="Heading1Char"/>
    <w:uiPriority w:val="9"/>
    <w:qFormat/>
    <w:rsid w:val="004335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0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70"/>
  </w:style>
  <w:style w:type="paragraph" w:styleId="Footer">
    <w:name w:val="footer"/>
    <w:basedOn w:val="Normal"/>
    <w:link w:val="FooterChar"/>
    <w:uiPriority w:val="99"/>
    <w:unhideWhenUsed/>
    <w:rsid w:val="00212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70"/>
  </w:style>
  <w:style w:type="character" w:customStyle="1" w:styleId="Heading1Char">
    <w:name w:val="Heading 1 Char"/>
    <w:basedOn w:val="DefaultParagraphFont"/>
    <w:link w:val="Heading1"/>
    <w:uiPriority w:val="9"/>
    <w:rsid w:val="00433584"/>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433584"/>
    <w:rPr>
      <w:sz w:val="16"/>
      <w:szCs w:val="16"/>
    </w:rPr>
  </w:style>
  <w:style w:type="paragraph" w:styleId="CommentText">
    <w:name w:val="annotation text"/>
    <w:basedOn w:val="Normal"/>
    <w:link w:val="CommentTextChar"/>
    <w:uiPriority w:val="99"/>
    <w:semiHidden/>
    <w:unhideWhenUsed/>
    <w:rsid w:val="00433584"/>
    <w:pPr>
      <w:spacing w:line="240" w:lineRule="auto"/>
    </w:pPr>
    <w:rPr>
      <w:sz w:val="20"/>
      <w:szCs w:val="20"/>
    </w:rPr>
  </w:style>
  <w:style w:type="character" w:customStyle="1" w:styleId="CommentTextChar">
    <w:name w:val="Comment Text Char"/>
    <w:basedOn w:val="DefaultParagraphFont"/>
    <w:link w:val="CommentText"/>
    <w:uiPriority w:val="99"/>
    <w:semiHidden/>
    <w:rsid w:val="00433584"/>
    <w:rPr>
      <w:sz w:val="20"/>
      <w:szCs w:val="20"/>
    </w:rPr>
  </w:style>
  <w:style w:type="paragraph" w:styleId="BalloonText">
    <w:name w:val="Balloon Text"/>
    <w:basedOn w:val="Normal"/>
    <w:link w:val="BalloonTextChar"/>
    <w:uiPriority w:val="99"/>
    <w:semiHidden/>
    <w:unhideWhenUsed/>
    <w:rsid w:val="00433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84"/>
    <w:rPr>
      <w:rFonts w:ascii="Tahoma" w:hAnsi="Tahoma" w:cs="Tahoma"/>
      <w:sz w:val="16"/>
      <w:szCs w:val="16"/>
    </w:rPr>
  </w:style>
  <w:style w:type="character" w:customStyle="1" w:styleId="Heading2Char">
    <w:name w:val="Heading 2 Char"/>
    <w:basedOn w:val="DefaultParagraphFont"/>
    <w:link w:val="Heading2"/>
    <w:uiPriority w:val="9"/>
    <w:rsid w:val="00E302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5241"/>
    <w:rPr>
      <w:color w:val="0000FF" w:themeColor="hyperlink"/>
      <w:u w:val="single"/>
    </w:rPr>
  </w:style>
  <w:style w:type="paragraph" w:styleId="ListParagraph">
    <w:name w:val="List Paragraph"/>
    <w:basedOn w:val="Normal"/>
    <w:uiPriority w:val="34"/>
    <w:qFormat/>
    <w:rsid w:val="00E41491"/>
    <w:pPr>
      <w:ind w:left="720"/>
      <w:contextualSpacing/>
    </w:pPr>
  </w:style>
  <w:style w:type="paragraph" w:styleId="Caption">
    <w:name w:val="caption"/>
    <w:aliases w:val="Table caption,Caption Char Char,Char Char Char,Char Char1,Caption Char,Char Char,Char1,Caption 3,c,appendix,Char,TableCaption"/>
    <w:basedOn w:val="Normal"/>
    <w:next w:val="Normal"/>
    <w:link w:val="CaptionChar1"/>
    <w:uiPriority w:val="35"/>
    <w:unhideWhenUsed/>
    <w:qFormat/>
    <w:rsid w:val="00F247C5"/>
    <w:pPr>
      <w:spacing w:line="240" w:lineRule="auto"/>
    </w:pPr>
    <w:rPr>
      <w:b/>
      <w:bCs/>
      <w:color w:val="4F81BD" w:themeColor="accent1"/>
      <w:sz w:val="18"/>
      <w:szCs w:val="18"/>
    </w:rPr>
  </w:style>
  <w:style w:type="character" w:styleId="Strong">
    <w:name w:val="Strong"/>
    <w:uiPriority w:val="22"/>
    <w:qFormat/>
    <w:rsid w:val="00F247C5"/>
    <w:rPr>
      <w:b/>
      <w:bCs/>
    </w:rPr>
  </w:style>
  <w:style w:type="paragraph" w:customStyle="1" w:styleId="Tabletext">
    <w:name w:val="Table text"/>
    <w:basedOn w:val="Normal"/>
    <w:link w:val="TabletextChar"/>
    <w:qFormat/>
    <w:rsid w:val="00F247C5"/>
    <w:pPr>
      <w:keepNext/>
      <w:spacing w:after="0" w:line="240" w:lineRule="auto"/>
    </w:pPr>
    <w:rPr>
      <w:rFonts w:ascii="Times New Roman" w:eastAsia="Times New Roman" w:hAnsi="Times New Roman" w:cs="Times New Roman"/>
      <w:sz w:val="20"/>
      <w:szCs w:val="24"/>
      <w:lang w:val="en-US"/>
    </w:rPr>
  </w:style>
  <w:style w:type="character" w:customStyle="1" w:styleId="TabletextChar">
    <w:name w:val="Table text Char"/>
    <w:link w:val="Tabletext"/>
    <w:rsid w:val="00F247C5"/>
    <w:rPr>
      <w:rFonts w:ascii="Times New Roman" w:eastAsia="Times New Roman" w:hAnsi="Times New Roman" w:cs="Times New Roman"/>
      <w:sz w:val="20"/>
      <w:szCs w:val="24"/>
      <w:lang w:val="en-US"/>
    </w:rPr>
  </w:style>
  <w:style w:type="paragraph" w:styleId="FootnoteText">
    <w:name w:val="footnote text"/>
    <w:basedOn w:val="Normal"/>
    <w:link w:val="FootnoteTextChar"/>
    <w:uiPriority w:val="99"/>
    <w:unhideWhenUsed/>
    <w:rsid w:val="00AB44EF"/>
    <w:pPr>
      <w:spacing w:after="0" w:line="240" w:lineRule="auto"/>
    </w:pPr>
    <w:rPr>
      <w:sz w:val="20"/>
      <w:szCs w:val="20"/>
    </w:rPr>
  </w:style>
  <w:style w:type="character" w:customStyle="1" w:styleId="FootnoteTextChar">
    <w:name w:val="Footnote Text Char"/>
    <w:basedOn w:val="DefaultParagraphFont"/>
    <w:link w:val="FootnoteText"/>
    <w:uiPriority w:val="99"/>
    <w:rsid w:val="00AB44EF"/>
    <w:rPr>
      <w:sz w:val="20"/>
      <w:szCs w:val="20"/>
    </w:rPr>
  </w:style>
  <w:style w:type="character" w:styleId="FootnoteReference">
    <w:name w:val="footnote reference"/>
    <w:basedOn w:val="DefaultParagraphFont"/>
    <w:uiPriority w:val="99"/>
    <w:semiHidden/>
    <w:unhideWhenUsed/>
    <w:rsid w:val="00AB44EF"/>
    <w:rPr>
      <w:vertAlign w:val="superscript"/>
    </w:rPr>
  </w:style>
  <w:style w:type="paragraph" w:customStyle="1" w:styleId="EndNoteBibliographyTitle">
    <w:name w:val="EndNote Bibliography Title"/>
    <w:basedOn w:val="Normal"/>
    <w:link w:val="EndNoteBibliographyTitleChar"/>
    <w:rsid w:val="00EF4F2A"/>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F4F2A"/>
    <w:rPr>
      <w:rFonts w:ascii="Calibri" w:hAnsi="Calibri"/>
      <w:noProof/>
      <w:lang w:val="en-US"/>
    </w:rPr>
  </w:style>
  <w:style w:type="paragraph" w:customStyle="1" w:styleId="EndNoteBibliography">
    <w:name w:val="EndNote Bibliography"/>
    <w:basedOn w:val="Normal"/>
    <w:link w:val="EndNoteBibliographyChar"/>
    <w:rsid w:val="00EF4F2A"/>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F4F2A"/>
    <w:rPr>
      <w:rFonts w:ascii="Calibri" w:hAnsi="Calibri"/>
      <w:noProof/>
      <w:lang w:val="en-US"/>
    </w:rPr>
  </w:style>
  <w:style w:type="paragraph" w:styleId="CommentSubject">
    <w:name w:val="annotation subject"/>
    <w:basedOn w:val="CommentText"/>
    <w:next w:val="CommentText"/>
    <w:link w:val="CommentSubjectChar"/>
    <w:uiPriority w:val="99"/>
    <w:semiHidden/>
    <w:unhideWhenUsed/>
    <w:rsid w:val="006920EF"/>
    <w:rPr>
      <w:b/>
      <w:bCs/>
    </w:rPr>
  </w:style>
  <w:style w:type="character" w:customStyle="1" w:styleId="CommentSubjectChar">
    <w:name w:val="Comment Subject Char"/>
    <w:basedOn w:val="CommentTextChar"/>
    <w:link w:val="CommentSubject"/>
    <w:uiPriority w:val="99"/>
    <w:semiHidden/>
    <w:rsid w:val="006920EF"/>
    <w:rPr>
      <w:b/>
      <w:bCs/>
      <w:sz w:val="20"/>
      <w:szCs w:val="20"/>
    </w:rPr>
  </w:style>
  <w:style w:type="character" w:styleId="IntenseEmphasis">
    <w:name w:val="Intense Emphasis"/>
    <w:uiPriority w:val="21"/>
    <w:qFormat/>
    <w:rsid w:val="00295D53"/>
    <w:rPr>
      <w:b/>
      <w:bCs/>
      <w:i/>
    </w:rPr>
  </w:style>
  <w:style w:type="character" w:customStyle="1" w:styleId="AIC">
    <w:name w:val="AIC"/>
    <w:basedOn w:val="DefaultParagraphFont"/>
    <w:uiPriority w:val="1"/>
    <w:rsid w:val="00295D53"/>
    <w:rPr>
      <w:u w:val="single"/>
      <w:bdr w:val="none" w:sz="0" w:space="0" w:color="auto"/>
      <w:shd w:val="clear" w:color="auto" w:fill="FFFF00"/>
    </w:rPr>
  </w:style>
  <w:style w:type="table" w:customStyle="1" w:styleId="TableGrid1">
    <w:name w:val="Table Grid1"/>
    <w:basedOn w:val="TableNormal"/>
    <w:next w:val="TableGrid"/>
    <w:uiPriority w:val="59"/>
    <w:rsid w:val="00295D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95D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aliases w:val="Table caption Char,Caption Char Char Char,Char Char Char Char,Char Char1 Char,Caption Char Char1,Char Char Char1,Char1 Char,Caption 3 Char,c Char,appendix Char,Char Char2,TableCaption Char"/>
    <w:link w:val="Caption"/>
    <w:uiPriority w:val="35"/>
    <w:rsid w:val="00295D53"/>
    <w:rPr>
      <w:b/>
      <w:bCs/>
      <w:color w:val="4F81BD" w:themeColor="accent1"/>
      <w:sz w:val="18"/>
      <w:szCs w:val="18"/>
    </w:rPr>
  </w:style>
  <w:style w:type="table" w:styleId="TableGrid">
    <w:name w:val="Table Grid"/>
    <w:basedOn w:val="TableNormal"/>
    <w:uiPriority w:val="59"/>
    <w:rsid w:val="00295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7284"/>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Grid4">
    <w:name w:val="Table Grid4"/>
    <w:basedOn w:val="TableNormal"/>
    <w:next w:val="TableGrid"/>
    <w:uiPriority w:val="59"/>
    <w:rsid w:val="0017122A"/>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ice.org.uk/guidance/cg153/resources/guidance-psoriasis-pd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ons.gov.uk/ons/publications/re-reference-tables.html?edition=tcm%3A77-3227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ice.org.uk/guidance/TA2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e.org.uk/guidance/qs40/resources/guidance-psoriasis-pdf" TargetMode="External"/><Relationship Id="rId5" Type="http://schemas.openxmlformats.org/officeDocument/2006/relationships/settings" Target="settings.xml"/><Relationship Id="rId15" Type="http://schemas.openxmlformats.org/officeDocument/2006/relationships/hyperlink" Target="http://pathways.nice.org.uk/pathways/psoriasis" TargetMode="External"/><Relationship Id="rId10" Type="http://schemas.openxmlformats.org/officeDocument/2006/relationships/hyperlink" Target="https://www.nice.org.uk/guidance/ta368"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nice.org.uk/guidance/ta199/resources/guidance-etanercept-infliximab-and-adalimumab-for-the-treatment-of-psoriatic-arthrit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3927-3DFB-4087-8309-24AF9C2F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742C88AE.dotm</Template>
  <TotalTime>0</TotalTime>
  <Pages>17</Pages>
  <Words>9494</Words>
  <Characters>54119</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2016-05-04T21:34:00Z</cp:lastPrinted>
  <dcterms:created xsi:type="dcterms:W3CDTF">2016-07-18T09:16:00Z</dcterms:created>
  <dcterms:modified xsi:type="dcterms:W3CDTF">2016-07-18T09:16:00Z</dcterms:modified>
</cp:coreProperties>
</file>