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EAEF5" w14:textId="77777777" w:rsidR="00287B31" w:rsidRPr="000F5F5E" w:rsidRDefault="00287B31" w:rsidP="00287B31">
      <w:pPr>
        <w:spacing w:after="0" w:line="240" w:lineRule="auto"/>
        <w:rPr>
          <w:rFonts w:asciiTheme="majorHAnsi" w:hAnsiTheme="majorHAnsi" w:cstheme="majorHAnsi"/>
          <w:b/>
          <w:sz w:val="28"/>
          <w:szCs w:val="28"/>
        </w:rPr>
      </w:pPr>
      <w:bookmarkStart w:id="0" w:name="_GoBack"/>
      <w:bookmarkEnd w:id="0"/>
      <w:proofErr w:type="spellStart"/>
      <w:r w:rsidRPr="000F5F5E">
        <w:rPr>
          <w:rFonts w:asciiTheme="majorHAnsi" w:hAnsiTheme="majorHAnsi" w:cstheme="majorHAnsi"/>
          <w:b/>
          <w:sz w:val="28"/>
          <w:szCs w:val="28"/>
        </w:rPr>
        <w:t>Pharmac</w:t>
      </w:r>
      <w:r w:rsidR="00412EAA">
        <w:rPr>
          <w:rFonts w:asciiTheme="majorHAnsi" w:hAnsiTheme="majorHAnsi" w:cstheme="majorHAnsi"/>
          <w:b/>
          <w:sz w:val="28"/>
          <w:szCs w:val="28"/>
        </w:rPr>
        <w:t>oeconomics</w:t>
      </w:r>
      <w:proofErr w:type="spellEnd"/>
      <w:r w:rsidR="00412EAA">
        <w:rPr>
          <w:rFonts w:asciiTheme="majorHAnsi" w:hAnsiTheme="majorHAnsi" w:cstheme="majorHAnsi"/>
          <w:b/>
          <w:sz w:val="28"/>
          <w:szCs w:val="28"/>
        </w:rPr>
        <w:t xml:space="preserve"> Review Article</w:t>
      </w:r>
    </w:p>
    <w:p w14:paraId="40CACE09" w14:textId="77777777" w:rsidR="00287B31" w:rsidRPr="000F5F5E" w:rsidRDefault="00287B31" w:rsidP="00287B31">
      <w:pPr>
        <w:spacing w:after="0" w:line="240" w:lineRule="auto"/>
        <w:rPr>
          <w:rFonts w:asciiTheme="majorHAnsi" w:hAnsiTheme="majorHAnsi" w:cstheme="majorHAnsi"/>
          <w:sz w:val="28"/>
          <w:szCs w:val="28"/>
        </w:rPr>
      </w:pPr>
    </w:p>
    <w:p w14:paraId="3F4F11BA" w14:textId="77777777" w:rsidR="00287B31" w:rsidRPr="000F5F5E" w:rsidRDefault="00287B31" w:rsidP="00287B31">
      <w:pPr>
        <w:spacing w:after="0" w:line="240" w:lineRule="auto"/>
        <w:rPr>
          <w:rFonts w:asciiTheme="majorHAnsi" w:hAnsiTheme="majorHAnsi" w:cstheme="majorHAnsi"/>
          <w:b/>
          <w:sz w:val="28"/>
          <w:szCs w:val="28"/>
        </w:rPr>
      </w:pPr>
      <w:r w:rsidRPr="000F5F5E">
        <w:rPr>
          <w:rFonts w:asciiTheme="majorHAnsi" w:hAnsiTheme="majorHAnsi" w:cstheme="majorHAnsi"/>
          <w:b/>
          <w:sz w:val="28"/>
          <w:szCs w:val="28"/>
        </w:rPr>
        <w:t>Title page</w:t>
      </w:r>
    </w:p>
    <w:p w14:paraId="5767D9F8" w14:textId="77777777" w:rsidR="00287B31" w:rsidRPr="00287B31" w:rsidRDefault="00287B31" w:rsidP="00287B31">
      <w:pPr>
        <w:spacing w:after="0" w:line="240" w:lineRule="auto"/>
        <w:rPr>
          <w:rFonts w:ascii="Times New Roman" w:hAnsi="Times New Roman" w:cs="Times New Roman"/>
          <w:b/>
        </w:rPr>
      </w:pPr>
    </w:p>
    <w:p w14:paraId="1F325078" w14:textId="39FB031B" w:rsidR="006D2FFF" w:rsidRDefault="00B637A3" w:rsidP="00287B31">
      <w:pPr>
        <w:spacing w:after="0" w:line="240" w:lineRule="auto"/>
        <w:rPr>
          <w:rFonts w:ascii="Times New Roman" w:hAnsi="Times New Roman" w:cs="Times New Roman"/>
          <w:b/>
        </w:rPr>
      </w:pPr>
      <w:r w:rsidRPr="00CB3AB8">
        <w:rPr>
          <w:rFonts w:ascii="Arial" w:hAnsi="Arial" w:cs="Arial"/>
          <w:b/>
          <w:color w:val="222222"/>
          <w:shd w:val="clear" w:color="auto" w:fill="FFFFFF"/>
        </w:rPr>
        <w:t xml:space="preserve">The clinical and cost-effectiveness of </w:t>
      </w:r>
      <w:proofErr w:type="spellStart"/>
      <w:r w:rsidRPr="00CB3AB8">
        <w:rPr>
          <w:rFonts w:ascii="Arial" w:hAnsi="Arial" w:cs="Arial"/>
          <w:b/>
          <w:color w:val="222222"/>
          <w:shd w:val="clear" w:color="auto" w:fill="FFFFFF"/>
        </w:rPr>
        <w:t>vortioxetine</w:t>
      </w:r>
      <w:proofErr w:type="spellEnd"/>
      <w:r w:rsidRPr="00CB3AB8">
        <w:rPr>
          <w:rFonts w:ascii="Arial" w:hAnsi="Arial" w:cs="Arial"/>
          <w:b/>
          <w:color w:val="222222"/>
          <w:shd w:val="clear" w:color="auto" w:fill="FFFFFF"/>
        </w:rPr>
        <w:t xml:space="preserve"> for the treatment of a major depressive episode in patients who have failed prior anti-depressant therapy: A critique of the evidence.</w:t>
      </w:r>
    </w:p>
    <w:p w14:paraId="6845C1FD" w14:textId="77777777" w:rsidR="00287B31" w:rsidRPr="00F11768" w:rsidRDefault="0058376E" w:rsidP="00287B31">
      <w:pPr>
        <w:pStyle w:val="Header"/>
        <w:spacing w:line="240" w:lineRule="auto"/>
        <w:rPr>
          <w:sz w:val="22"/>
          <w:szCs w:val="22"/>
        </w:rPr>
      </w:pPr>
      <w:r>
        <w:rPr>
          <w:sz w:val="22"/>
          <w:szCs w:val="22"/>
        </w:rPr>
        <w:t>James Lomas</w:t>
      </w:r>
      <w:proofErr w:type="gramStart"/>
      <w:r w:rsidR="00287B31">
        <w:rPr>
          <w:sz w:val="22"/>
          <w:szCs w:val="22"/>
        </w:rPr>
        <w:t>,</w:t>
      </w:r>
      <w:r w:rsidR="00287B31" w:rsidRPr="004F1E30">
        <w:rPr>
          <w:sz w:val="22"/>
          <w:szCs w:val="22"/>
          <w:vertAlign w:val="superscript"/>
        </w:rPr>
        <w:t>1</w:t>
      </w:r>
      <w:proofErr w:type="gramEnd"/>
      <w:r w:rsidR="00287B31">
        <w:rPr>
          <w:sz w:val="22"/>
          <w:szCs w:val="22"/>
        </w:rPr>
        <w:t xml:space="preserve"> </w:t>
      </w:r>
      <w:r w:rsidR="001B3E2F">
        <w:rPr>
          <w:sz w:val="22"/>
          <w:szCs w:val="22"/>
        </w:rPr>
        <w:t>Alexis Llewellyn</w:t>
      </w:r>
      <w:r w:rsidR="00287B31" w:rsidRPr="00F11768">
        <w:rPr>
          <w:sz w:val="22"/>
          <w:szCs w:val="22"/>
        </w:rPr>
        <w:t>,</w:t>
      </w:r>
      <w:r w:rsidR="001B3E2F">
        <w:rPr>
          <w:sz w:val="22"/>
          <w:szCs w:val="22"/>
          <w:vertAlign w:val="superscript"/>
        </w:rPr>
        <w:t>2</w:t>
      </w:r>
      <w:r w:rsidR="00287B31" w:rsidRPr="00F11768">
        <w:rPr>
          <w:sz w:val="22"/>
          <w:szCs w:val="22"/>
        </w:rPr>
        <w:t xml:space="preserve"> </w:t>
      </w:r>
      <w:r w:rsidR="001B3E2F">
        <w:rPr>
          <w:sz w:val="22"/>
          <w:szCs w:val="22"/>
        </w:rPr>
        <w:t>Marta Soares</w:t>
      </w:r>
      <w:r w:rsidR="00287B31" w:rsidRPr="00F11768">
        <w:rPr>
          <w:sz w:val="22"/>
          <w:szCs w:val="22"/>
        </w:rPr>
        <w:t>,</w:t>
      </w:r>
      <w:r w:rsidR="00287B31" w:rsidRPr="004F1E30">
        <w:rPr>
          <w:sz w:val="22"/>
          <w:szCs w:val="22"/>
          <w:vertAlign w:val="superscript"/>
        </w:rPr>
        <w:t>1</w:t>
      </w:r>
      <w:r w:rsidR="00287B31" w:rsidRPr="00F11768">
        <w:rPr>
          <w:sz w:val="22"/>
          <w:szCs w:val="22"/>
        </w:rPr>
        <w:t xml:space="preserve"> </w:t>
      </w:r>
      <w:r w:rsidR="00A60A2D">
        <w:rPr>
          <w:sz w:val="22"/>
          <w:szCs w:val="22"/>
        </w:rPr>
        <w:t>Mark Simmonds</w:t>
      </w:r>
      <w:r w:rsidR="00A60A2D" w:rsidRPr="00F11768">
        <w:rPr>
          <w:sz w:val="22"/>
          <w:szCs w:val="22"/>
        </w:rPr>
        <w:t>,</w:t>
      </w:r>
      <w:r w:rsidR="00A60A2D">
        <w:rPr>
          <w:sz w:val="22"/>
          <w:szCs w:val="22"/>
          <w:vertAlign w:val="superscript"/>
        </w:rPr>
        <w:t>2</w:t>
      </w:r>
      <w:r w:rsidR="00A60A2D">
        <w:rPr>
          <w:sz w:val="22"/>
          <w:szCs w:val="22"/>
        </w:rPr>
        <w:t xml:space="preserve"> </w:t>
      </w:r>
      <w:r w:rsidR="00511C7A">
        <w:rPr>
          <w:sz w:val="22"/>
          <w:szCs w:val="22"/>
        </w:rPr>
        <w:t>Kath Wright,</w:t>
      </w:r>
      <w:r w:rsidR="00511C7A">
        <w:rPr>
          <w:sz w:val="22"/>
          <w:szCs w:val="22"/>
          <w:vertAlign w:val="superscript"/>
        </w:rPr>
        <w:t>2</w:t>
      </w:r>
      <w:r w:rsidR="00511C7A">
        <w:rPr>
          <w:sz w:val="22"/>
          <w:szCs w:val="22"/>
        </w:rPr>
        <w:t xml:space="preserve"> </w:t>
      </w:r>
      <w:r w:rsidR="001B3E2F">
        <w:rPr>
          <w:sz w:val="22"/>
          <w:szCs w:val="22"/>
        </w:rPr>
        <w:t>Alison Eastwood</w:t>
      </w:r>
      <w:r w:rsidR="00287B31" w:rsidRPr="00F11768">
        <w:rPr>
          <w:sz w:val="22"/>
          <w:szCs w:val="22"/>
        </w:rPr>
        <w:t>,</w:t>
      </w:r>
      <w:r w:rsidR="006D2FFF">
        <w:rPr>
          <w:sz w:val="22"/>
          <w:szCs w:val="22"/>
          <w:vertAlign w:val="superscript"/>
        </w:rPr>
        <w:t>2</w:t>
      </w:r>
      <w:r w:rsidR="004F1E30">
        <w:rPr>
          <w:sz w:val="22"/>
          <w:szCs w:val="22"/>
        </w:rPr>
        <w:t xml:space="preserve"> </w:t>
      </w:r>
      <w:r w:rsidR="001B3E2F">
        <w:rPr>
          <w:sz w:val="22"/>
          <w:szCs w:val="22"/>
        </w:rPr>
        <w:t>Stephen Palmer</w:t>
      </w:r>
      <w:r w:rsidR="00287B31" w:rsidRPr="00F11768">
        <w:rPr>
          <w:sz w:val="22"/>
          <w:szCs w:val="22"/>
        </w:rPr>
        <w:t>,</w:t>
      </w:r>
      <w:r w:rsidR="004F1E30" w:rsidRPr="004F1E30">
        <w:rPr>
          <w:sz w:val="22"/>
          <w:szCs w:val="22"/>
          <w:vertAlign w:val="superscript"/>
        </w:rPr>
        <w:t>1</w:t>
      </w:r>
      <w:r w:rsidR="00287B31" w:rsidRPr="00F11768">
        <w:rPr>
          <w:sz w:val="22"/>
          <w:szCs w:val="22"/>
        </w:rPr>
        <w:t xml:space="preserve"> </w:t>
      </w:r>
    </w:p>
    <w:p w14:paraId="5730022B" w14:textId="77777777" w:rsidR="004F1E30" w:rsidRDefault="004F1E30" w:rsidP="00287B31">
      <w:pPr>
        <w:spacing w:after="0" w:line="240" w:lineRule="auto"/>
        <w:rPr>
          <w:rFonts w:ascii="Times New Roman" w:hAnsi="Times New Roman" w:cs="Times New Roman"/>
        </w:rPr>
      </w:pPr>
    </w:p>
    <w:p w14:paraId="67CFFDBE" w14:textId="77777777" w:rsidR="006D2FFF" w:rsidRDefault="004F1E30" w:rsidP="00287B31">
      <w:pPr>
        <w:spacing w:after="0" w:line="240" w:lineRule="auto"/>
        <w:rPr>
          <w:rFonts w:ascii="Times New Roman" w:hAnsi="Times New Roman" w:cs="Times New Roman"/>
        </w:rPr>
      </w:pPr>
      <w:proofErr w:type="gramStart"/>
      <w:r w:rsidRPr="004F1E30">
        <w:rPr>
          <w:rFonts w:ascii="Times New Roman" w:hAnsi="Times New Roman" w:cs="Times New Roman"/>
          <w:vertAlign w:val="superscript"/>
        </w:rPr>
        <w:t>1</w:t>
      </w:r>
      <w:r>
        <w:rPr>
          <w:rFonts w:ascii="Times New Roman" w:hAnsi="Times New Roman" w:cs="Times New Roman"/>
        </w:rPr>
        <w:t xml:space="preserve">  </w:t>
      </w:r>
      <w:r w:rsidR="0058376E">
        <w:t>Centre</w:t>
      </w:r>
      <w:proofErr w:type="gramEnd"/>
      <w:r w:rsidR="0058376E">
        <w:t xml:space="preserve"> for Health Economics (CHE), University of York, York, UK</w:t>
      </w:r>
      <w:r w:rsidR="0058376E">
        <w:rPr>
          <w:rFonts w:ascii="Times New Roman" w:hAnsi="Times New Roman" w:cs="Times New Roman"/>
        </w:rPr>
        <w:t xml:space="preserve"> </w:t>
      </w:r>
    </w:p>
    <w:p w14:paraId="31463EDC" w14:textId="77777777" w:rsidR="00287B31" w:rsidRPr="0058376E" w:rsidRDefault="004F1E30" w:rsidP="00287B31">
      <w:pPr>
        <w:pStyle w:val="Header"/>
        <w:spacing w:line="240" w:lineRule="auto"/>
        <w:rPr>
          <w:sz w:val="22"/>
          <w:szCs w:val="22"/>
        </w:rPr>
      </w:pPr>
      <w:proofErr w:type="gramStart"/>
      <w:r w:rsidRPr="0058376E">
        <w:rPr>
          <w:sz w:val="22"/>
          <w:szCs w:val="22"/>
          <w:vertAlign w:val="superscript"/>
        </w:rPr>
        <w:t>2</w:t>
      </w:r>
      <w:r w:rsidRPr="0058376E">
        <w:rPr>
          <w:sz w:val="22"/>
          <w:szCs w:val="22"/>
        </w:rPr>
        <w:t xml:space="preserve">  </w:t>
      </w:r>
      <w:r w:rsidR="0058376E" w:rsidRPr="0058376E">
        <w:rPr>
          <w:sz w:val="22"/>
          <w:szCs w:val="22"/>
        </w:rPr>
        <w:t>Centre</w:t>
      </w:r>
      <w:proofErr w:type="gramEnd"/>
      <w:r w:rsidR="0058376E" w:rsidRPr="0058376E">
        <w:rPr>
          <w:sz w:val="22"/>
          <w:szCs w:val="22"/>
        </w:rPr>
        <w:t xml:space="preserve"> for Reviews and Dissemination (CRD), University of York, York, UK</w:t>
      </w:r>
    </w:p>
    <w:p w14:paraId="6EE659C8" w14:textId="77777777" w:rsidR="00287B31" w:rsidRDefault="00287B31" w:rsidP="00287B31">
      <w:pPr>
        <w:spacing w:after="0" w:line="240" w:lineRule="auto"/>
        <w:rPr>
          <w:rFonts w:ascii="Times New Roman" w:hAnsi="Times New Roman" w:cs="Times New Roman"/>
        </w:rPr>
      </w:pPr>
    </w:p>
    <w:p w14:paraId="160F4206" w14:textId="77777777" w:rsidR="001B743D" w:rsidRPr="001B743D" w:rsidRDefault="001B743D" w:rsidP="001B743D">
      <w:pPr>
        <w:spacing w:after="0" w:line="240" w:lineRule="auto"/>
        <w:rPr>
          <w:rFonts w:ascii="Times New Roman" w:hAnsi="Times New Roman" w:cs="Times New Roman"/>
        </w:rPr>
      </w:pPr>
      <w:r>
        <w:rPr>
          <w:rFonts w:ascii="Times New Roman" w:hAnsi="Times New Roman" w:cs="Times New Roman"/>
          <w:b/>
        </w:rPr>
        <w:t>Corresponding author:</w:t>
      </w:r>
      <w:r w:rsidR="00F81D84">
        <w:rPr>
          <w:rFonts w:ascii="Times New Roman" w:hAnsi="Times New Roman" w:cs="Times New Roman"/>
          <w:b/>
        </w:rPr>
        <w:t xml:space="preserve"> </w:t>
      </w:r>
      <w:r w:rsidR="0058376E">
        <w:rPr>
          <w:rFonts w:ascii="Times New Roman" w:hAnsi="Times New Roman" w:cs="Times New Roman"/>
        </w:rPr>
        <w:t>James Lomas</w:t>
      </w:r>
      <w:r>
        <w:rPr>
          <w:rFonts w:ascii="Times New Roman" w:hAnsi="Times New Roman" w:cs="Times New Roman"/>
        </w:rPr>
        <w:t xml:space="preserve">, </w:t>
      </w:r>
      <w:r w:rsidR="0058376E">
        <w:t>Centre for Health Economics (CHE)</w:t>
      </w:r>
      <w:r>
        <w:rPr>
          <w:rFonts w:ascii="Times New Roman" w:hAnsi="Times New Roman" w:cs="Times New Roman"/>
        </w:rPr>
        <w:t xml:space="preserve">, University of York, </w:t>
      </w:r>
      <w:proofErr w:type="gramStart"/>
      <w:r>
        <w:rPr>
          <w:rFonts w:ascii="Times New Roman" w:hAnsi="Times New Roman" w:cs="Times New Roman"/>
        </w:rPr>
        <w:t>York</w:t>
      </w:r>
      <w:proofErr w:type="gramEnd"/>
      <w:r>
        <w:rPr>
          <w:rFonts w:ascii="Times New Roman" w:hAnsi="Times New Roman" w:cs="Times New Roman"/>
        </w:rPr>
        <w:t xml:space="preserve"> YO10 5DD, UK.</w:t>
      </w:r>
      <w:r w:rsidR="00F81D84">
        <w:rPr>
          <w:rFonts w:ascii="Times New Roman" w:hAnsi="Times New Roman" w:cs="Times New Roman"/>
        </w:rPr>
        <w:t xml:space="preserve"> </w:t>
      </w:r>
      <w:r w:rsidRPr="001B743D">
        <w:rPr>
          <w:rFonts w:ascii="Times New Roman" w:hAnsi="Times New Roman" w:cs="Times New Roman"/>
        </w:rPr>
        <w:t>Telephone: +44 (0)1904 321</w:t>
      </w:r>
      <w:r w:rsidR="0058376E">
        <w:rPr>
          <w:rFonts w:ascii="Times New Roman" w:hAnsi="Times New Roman" w:cs="Times New Roman"/>
        </w:rPr>
        <w:t>464</w:t>
      </w:r>
    </w:p>
    <w:p w14:paraId="6264971A" w14:textId="77777777" w:rsidR="001B743D" w:rsidRPr="001B743D" w:rsidRDefault="001B743D" w:rsidP="001B743D">
      <w:pPr>
        <w:spacing w:after="0" w:line="240" w:lineRule="auto"/>
        <w:rPr>
          <w:rFonts w:ascii="Times New Roman" w:hAnsi="Times New Roman" w:cs="Times New Roman"/>
        </w:rPr>
      </w:pPr>
      <w:r>
        <w:rPr>
          <w:rFonts w:ascii="Times New Roman" w:hAnsi="Times New Roman" w:cs="Times New Roman"/>
        </w:rPr>
        <w:t xml:space="preserve">E-mail: </w:t>
      </w:r>
      <w:r w:rsidR="0058376E">
        <w:rPr>
          <w:rFonts w:ascii="Times New Roman" w:hAnsi="Times New Roman" w:cs="Times New Roman"/>
        </w:rPr>
        <w:t>james.lomas</w:t>
      </w:r>
      <w:r>
        <w:rPr>
          <w:rFonts w:ascii="Times New Roman" w:hAnsi="Times New Roman" w:cs="Times New Roman"/>
        </w:rPr>
        <w:t>@york.ac.uk.</w:t>
      </w:r>
    </w:p>
    <w:p w14:paraId="48059FC1" w14:textId="77777777" w:rsidR="001B743D" w:rsidRDefault="001B743D" w:rsidP="00287B31">
      <w:pPr>
        <w:spacing w:after="0" w:line="240" w:lineRule="auto"/>
        <w:rPr>
          <w:rFonts w:ascii="Times New Roman" w:hAnsi="Times New Roman" w:cs="Times New Roman"/>
        </w:rPr>
      </w:pPr>
    </w:p>
    <w:p w14:paraId="1ACE8AC1" w14:textId="6DB2F501" w:rsidR="004F1E30" w:rsidRDefault="004F1E30" w:rsidP="00287B31">
      <w:pPr>
        <w:spacing w:after="0" w:line="240" w:lineRule="auto"/>
        <w:rPr>
          <w:rFonts w:ascii="Times New Roman" w:hAnsi="Times New Roman" w:cs="Times New Roman"/>
        </w:rPr>
      </w:pPr>
      <w:r w:rsidRPr="001B743D">
        <w:rPr>
          <w:rFonts w:ascii="Times New Roman" w:hAnsi="Times New Roman" w:cs="Times New Roman"/>
          <w:b/>
        </w:rPr>
        <w:t>Running title:</w:t>
      </w:r>
      <w:r>
        <w:rPr>
          <w:rFonts w:ascii="Times New Roman" w:hAnsi="Times New Roman" w:cs="Times New Roman"/>
        </w:rPr>
        <w:t xml:space="preserve"> </w:t>
      </w:r>
      <w:r w:rsidR="0058376E">
        <w:rPr>
          <w:rFonts w:ascii="Times New Roman" w:hAnsi="Times New Roman" w:cs="Times New Roman"/>
        </w:rPr>
        <w:t>Vortioxetine</w:t>
      </w:r>
      <w:r w:rsidR="00D935AC">
        <w:rPr>
          <w:rFonts w:ascii="Times New Roman" w:hAnsi="Times New Roman" w:cs="Times New Roman"/>
        </w:rPr>
        <w:t xml:space="preserve"> for the second and third line treatment of a major depressive </w:t>
      </w:r>
      <w:r w:rsidR="00324C0F">
        <w:rPr>
          <w:rFonts w:ascii="Times New Roman" w:hAnsi="Times New Roman" w:cs="Times New Roman"/>
        </w:rPr>
        <w:t>episode</w:t>
      </w:r>
    </w:p>
    <w:p w14:paraId="00ADC736" w14:textId="77777777" w:rsidR="00F81D84" w:rsidRDefault="00F81D84" w:rsidP="00287B31">
      <w:pPr>
        <w:spacing w:after="0" w:line="240" w:lineRule="auto"/>
        <w:rPr>
          <w:rFonts w:ascii="Times New Roman" w:hAnsi="Times New Roman" w:cs="Times New Roman"/>
        </w:rPr>
      </w:pPr>
    </w:p>
    <w:p w14:paraId="25C025D4" w14:textId="77777777" w:rsidR="00F81D84" w:rsidRPr="00F81D84" w:rsidRDefault="00F81D84" w:rsidP="00287B31">
      <w:pPr>
        <w:spacing w:after="0" w:line="240" w:lineRule="auto"/>
        <w:rPr>
          <w:rFonts w:ascii="Times New Roman" w:hAnsi="Times New Roman" w:cs="Times New Roman"/>
        </w:rPr>
      </w:pPr>
      <w:r>
        <w:rPr>
          <w:rFonts w:ascii="Times New Roman" w:hAnsi="Times New Roman" w:cs="Times New Roman"/>
          <w:b/>
        </w:rPr>
        <w:t xml:space="preserve">Key words: </w:t>
      </w:r>
      <w:r w:rsidR="0058376E">
        <w:rPr>
          <w:rFonts w:ascii="Times New Roman" w:hAnsi="Times New Roman" w:cs="Times New Roman"/>
        </w:rPr>
        <w:t>Vortioxetine</w:t>
      </w:r>
      <w:r w:rsidR="00D935AC">
        <w:rPr>
          <w:rFonts w:ascii="Times New Roman" w:hAnsi="Times New Roman" w:cs="Times New Roman"/>
        </w:rPr>
        <w:t>, major depressive</w:t>
      </w:r>
      <w:r w:rsidR="00BF72C4">
        <w:rPr>
          <w:rFonts w:ascii="Times New Roman" w:hAnsi="Times New Roman" w:cs="Times New Roman"/>
        </w:rPr>
        <w:t xml:space="preserve"> disorder, major depressive epis</w:t>
      </w:r>
      <w:r w:rsidR="00D935AC">
        <w:rPr>
          <w:rFonts w:ascii="Times New Roman" w:hAnsi="Times New Roman" w:cs="Times New Roman"/>
        </w:rPr>
        <w:t>ode</w:t>
      </w:r>
    </w:p>
    <w:p w14:paraId="57780D3B" w14:textId="77777777" w:rsidR="001B743D" w:rsidRDefault="001B743D" w:rsidP="00287B31">
      <w:pPr>
        <w:spacing w:after="0" w:line="240" w:lineRule="auto"/>
        <w:rPr>
          <w:rFonts w:ascii="Times New Roman" w:hAnsi="Times New Roman" w:cs="Times New Roman"/>
        </w:rPr>
      </w:pPr>
    </w:p>
    <w:p w14:paraId="65E4F1F4" w14:textId="455F77A2" w:rsidR="00280C4A" w:rsidRDefault="00F81D84" w:rsidP="00C23534">
      <w:pPr>
        <w:pStyle w:val="TOCHeading"/>
        <w:rPr>
          <w:rFonts w:cstheme="majorHAnsi"/>
        </w:rPr>
      </w:pPr>
      <w:r w:rsidRPr="000F5F5E">
        <w:br w:type="page"/>
      </w:r>
      <w:r w:rsidRPr="000F5F5E">
        <w:lastRenderedPageBreak/>
        <w:cr/>
      </w:r>
      <w:r w:rsidR="000F5F5E" w:rsidRPr="00825CC3">
        <w:rPr>
          <w:rFonts w:cstheme="majorHAnsi"/>
        </w:rPr>
        <w:t>Key points for decision makers</w:t>
      </w:r>
      <w:r w:rsidR="000F5F5E" w:rsidRPr="000F5F5E">
        <w:rPr>
          <w:rFonts w:cstheme="majorHAnsi"/>
        </w:rPr>
        <w:cr/>
      </w:r>
    </w:p>
    <w:p w14:paraId="1B2306B1" w14:textId="77777777" w:rsidR="00FC668D" w:rsidRPr="00FC668D" w:rsidRDefault="006A6576" w:rsidP="007B6AF2">
      <w:pPr>
        <w:pStyle w:val="ListParagraph"/>
        <w:numPr>
          <w:ilvl w:val="0"/>
          <w:numId w:val="11"/>
        </w:numPr>
        <w:rPr>
          <w:rFonts w:ascii="Times New Roman" w:hAnsi="Times New Roman" w:cs="Times New Roman"/>
        </w:rPr>
      </w:pPr>
      <w:r>
        <w:t xml:space="preserve">Only limited data were presented to support the efficacy of </w:t>
      </w:r>
      <w:proofErr w:type="spellStart"/>
      <w:r>
        <w:t>vortioxetine</w:t>
      </w:r>
      <w:proofErr w:type="spellEnd"/>
      <w:r>
        <w:t xml:space="preserve"> as </w:t>
      </w:r>
      <w:r w:rsidR="00B8631F">
        <w:t>a second-</w:t>
      </w:r>
      <w:proofErr w:type="gramStart"/>
      <w:r w:rsidR="00B8631F">
        <w:t xml:space="preserve">line </w:t>
      </w:r>
      <w:r>
        <w:t xml:space="preserve"> treatment</w:t>
      </w:r>
      <w:proofErr w:type="gramEnd"/>
      <w:r>
        <w:t xml:space="preserve"> for major depressive disorder. </w:t>
      </w:r>
    </w:p>
    <w:p w14:paraId="29C4811B" w14:textId="77777777" w:rsidR="009C0C60" w:rsidRPr="009C0C60" w:rsidRDefault="00FC668D" w:rsidP="00FC668D">
      <w:pPr>
        <w:pStyle w:val="ListParagraph"/>
        <w:numPr>
          <w:ilvl w:val="0"/>
          <w:numId w:val="11"/>
        </w:numPr>
        <w:rPr>
          <w:rFonts w:ascii="Times New Roman" w:hAnsi="Times New Roman" w:cs="Times New Roman"/>
        </w:rPr>
      </w:pPr>
      <w:r>
        <w:t>The ERG concluded that</w:t>
      </w:r>
      <w:r w:rsidR="006A6576">
        <w:t>, based on the broader evidence,</w:t>
      </w:r>
      <w:r w:rsidR="00576119">
        <w:t xml:space="preserve"> </w:t>
      </w:r>
      <w:proofErr w:type="spellStart"/>
      <w:r>
        <w:t>vortioxetine</w:t>
      </w:r>
      <w:proofErr w:type="spellEnd"/>
      <w:r>
        <w:t xml:space="preserve"> is likely to be similar in efficacy to other analysed antidepressants</w:t>
      </w:r>
      <w:r w:rsidR="009C0C60">
        <w:t xml:space="preserve"> (citalopram, sertraline, escitalopram and venlafaxine</w:t>
      </w:r>
      <w:r w:rsidR="004A63BB">
        <w:t xml:space="preserve"> XR</w:t>
      </w:r>
      <w:r w:rsidR="009C0C60">
        <w:t>)</w:t>
      </w:r>
      <w:r>
        <w:t>,</w:t>
      </w:r>
      <w:r w:rsidR="009C0C60">
        <w:t xml:space="preserve"> but</w:t>
      </w:r>
      <w:r>
        <w:t xml:space="preserve"> may be more efficacious than </w:t>
      </w:r>
      <w:proofErr w:type="spellStart"/>
      <w:r>
        <w:t>agomelatine</w:t>
      </w:r>
      <w:proofErr w:type="spellEnd"/>
      <w:r>
        <w:t xml:space="preserve"> and inferior to duloxetine</w:t>
      </w:r>
      <w:r w:rsidR="00576119">
        <w:t xml:space="preserve"> in the treatment of major depression</w:t>
      </w:r>
      <w:r>
        <w:t>. The ERG</w:t>
      </w:r>
      <w:r w:rsidRPr="00167DD0">
        <w:t xml:space="preserve"> concluded that </w:t>
      </w:r>
      <w:proofErr w:type="spellStart"/>
      <w:r w:rsidRPr="00167DD0">
        <w:t>vortioxetine</w:t>
      </w:r>
      <w:proofErr w:type="spellEnd"/>
      <w:r w:rsidRPr="00167DD0">
        <w:t xml:space="preserve"> may </w:t>
      </w:r>
      <w:r>
        <w:t>be more tolerable</w:t>
      </w:r>
      <w:r w:rsidRPr="00167DD0">
        <w:t xml:space="preserve"> than other</w:t>
      </w:r>
      <w:r>
        <w:t xml:space="preserve"> analysed</w:t>
      </w:r>
      <w:r w:rsidRPr="00167DD0">
        <w:t xml:space="preserve"> antidepressants</w:t>
      </w:r>
      <w:r w:rsidR="009C0C60">
        <w:t xml:space="preserve"> (sertraline, venlafaxine</w:t>
      </w:r>
      <w:r w:rsidR="004A63BB">
        <w:t xml:space="preserve"> XR</w:t>
      </w:r>
      <w:r w:rsidR="009C0C60">
        <w:t xml:space="preserve"> and bupropion)</w:t>
      </w:r>
      <w:r w:rsidRPr="00167DD0">
        <w:t>,</w:t>
      </w:r>
      <w:r>
        <w:t xml:space="preserve"> although the limited data prevents firm conclusions</w:t>
      </w:r>
      <w:r w:rsidR="00576119">
        <w:t>.</w:t>
      </w:r>
    </w:p>
    <w:p w14:paraId="7299A340" w14:textId="77777777" w:rsidR="00576119" w:rsidRPr="00FC668D" w:rsidRDefault="00576119" w:rsidP="00FC668D">
      <w:pPr>
        <w:pStyle w:val="ListParagraph"/>
        <w:numPr>
          <w:ilvl w:val="0"/>
          <w:numId w:val="11"/>
        </w:numPr>
        <w:rPr>
          <w:rFonts w:ascii="Times New Roman" w:hAnsi="Times New Roman" w:cs="Times New Roman"/>
        </w:rPr>
      </w:pPr>
      <w:r>
        <w:t>There was considerable uncertainty surrounding the manufacturer’s cost-effectiveness estimates due to limitations in the evidence and the manufacturers’ model.</w:t>
      </w:r>
    </w:p>
    <w:p w14:paraId="0B18C22B" w14:textId="77777777" w:rsidR="00FC668D" w:rsidRPr="00FC668D" w:rsidRDefault="00B8631F" w:rsidP="007B6AF2">
      <w:pPr>
        <w:pStyle w:val="ListParagraph"/>
        <w:numPr>
          <w:ilvl w:val="0"/>
          <w:numId w:val="11"/>
        </w:numPr>
        <w:rPr>
          <w:rFonts w:ascii="Times New Roman" w:hAnsi="Times New Roman" w:cs="Times New Roman"/>
        </w:rPr>
      </w:pPr>
      <w:r>
        <w:rPr>
          <w:rFonts w:ascii="Times New Roman" w:hAnsi="Times New Roman" w:cs="Times New Roman"/>
        </w:rPr>
        <w:t xml:space="preserve">Following the Appraisal Consultation Document (ACD), the manufacturer provided a revised economic model considering the cost-effectiveness of </w:t>
      </w:r>
      <w:proofErr w:type="spellStart"/>
      <w:r>
        <w:rPr>
          <w:rFonts w:ascii="Times New Roman" w:hAnsi="Times New Roman" w:cs="Times New Roman"/>
        </w:rPr>
        <w:t>vortioxetine</w:t>
      </w:r>
      <w:proofErr w:type="spellEnd"/>
      <w:r>
        <w:rPr>
          <w:rFonts w:ascii="Times New Roman" w:hAnsi="Times New Roman" w:cs="Times New Roman"/>
        </w:rPr>
        <w:t xml:space="preserve"> as a third-line treatment. </w:t>
      </w:r>
      <w:r w:rsidR="00BD71CF">
        <w:rPr>
          <w:rFonts w:ascii="Times New Roman" w:hAnsi="Times New Roman" w:cs="Times New Roman"/>
        </w:rPr>
        <w:t>In this context, and a</w:t>
      </w:r>
      <w:r>
        <w:rPr>
          <w:rFonts w:ascii="Times New Roman" w:hAnsi="Times New Roman" w:cs="Times New Roman"/>
        </w:rPr>
        <w:t>ssuming equal eff</w:t>
      </w:r>
      <w:r w:rsidR="008D3182">
        <w:rPr>
          <w:rFonts w:ascii="Times New Roman" w:hAnsi="Times New Roman" w:cs="Times New Roman"/>
        </w:rPr>
        <w:t>icacy</w:t>
      </w:r>
      <w:r>
        <w:rPr>
          <w:rFonts w:ascii="Times New Roman" w:hAnsi="Times New Roman" w:cs="Times New Roman"/>
        </w:rPr>
        <w:t xml:space="preserve"> </w:t>
      </w:r>
      <w:proofErr w:type="spellStart"/>
      <w:r>
        <w:rPr>
          <w:rFonts w:ascii="Times New Roman" w:hAnsi="Times New Roman" w:cs="Times New Roman"/>
        </w:rPr>
        <w:t>vortioxetine</w:t>
      </w:r>
      <w:proofErr w:type="spellEnd"/>
      <w:r>
        <w:rPr>
          <w:rFonts w:ascii="Times New Roman" w:hAnsi="Times New Roman" w:cs="Times New Roman"/>
        </w:rPr>
        <w:t xml:space="preserve"> was shown to be less costly and more effective, owing to its tolerability and adverse event profile, than the relevant comparators.</w:t>
      </w:r>
    </w:p>
    <w:p w14:paraId="4FDD9F19" w14:textId="77777777" w:rsidR="007B6AF2" w:rsidRPr="007B6AF2" w:rsidRDefault="007B6AF2" w:rsidP="007B6AF2">
      <w:pPr>
        <w:pStyle w:val="ListParagraph"/>
        <w:numPr>
          <w:ilvl w:val="0"/>
          <w:numId w:val="11"/>
        </w:numPr>
        <w:rPr>
          <w:rFonts w:ascii="Times New Roman" w:hAnsi="Times New Roman" w:cs="Times New Roman"/>
        </w:rPr>
      </w:pPr>
      <w:r>
        <w:t>The National Institute for Health and Care Excellence (NICE) Appraisal Committee</w:t>
      </w:r>
      <w:r w:rsidR="00FC668D">
        <w:t xml:space="preserve"> </w:t>
      </w:r>
      <w:r w:rsidRPr="00E92C04">
        <w:t>recommended</w:t>
      </w:r>
      <w:r w:rsidR="00FC668D">
        <w:t xml:space="preserve"> </w:t>
      </w:r>
      <w:proofErr w:type="spellStart"/>
      <w:r w:rsidR="00FC668D">
        <w:t>v</w:t>
      </w:r>
      <w:r w:rsidR="00FC668D" w:rsidRPr="00E92C04">
        <w:t>ortioxetine</w:t>
      </w:r>
      <w:proofErr w:type="spellEnd"/>
      <w:r w:rsidRPr="00E92C04">
        <w:t xml:space="preserve"> as an option for treating major depressive episodes in adults whose condition</w:t>
      </w:r>
      <w:r>
        <w:t xml:space="preserve"> has responded inadequately to two</w:t>
      </w:r>
      <w:r w:rsidRPr="00E92C04">
        <w:t xml:space="preserve"> antidepressants within the current episode.</w:t>
      </w:r>
    </w:p>
    <w:p w14:paraId="042D53C2" w14:textId="77777777" w:rsidR="00412EAA" w:rsidRPr="00412EAA" w:rsidRDefault="00412EAA" w:rsidP="00412EAA">
      <w:pPr>
        <w:rPr>
          <w:rFonts w:ascii="Times New Roman" w:hAnsi="Times New Roman" w:cs="Times New Roman"/>
        </w:rPr>
      </w:pPr>
    </w:p>
    <w:p w14:paraId="59F2EC80" w14:textId="77777777" w:rsidR="000F5F5E" w:rsidRDefault="000F5F5E">
      <w:pPr>
        <w:rPr>
          <w:rFonts w:asciiTheme="majorHAnsi" w:eastAsiaTheme="majorEastAsia" w:hAnsiTheme="majorHAnsi" w:cstheme="majorBidi"/>
          <w:b/>
          <w:bCs/>
          <w:sz w:val="28"/>
          <w:szCs w:val="28"/>
        </w:rPr>
      </w:pPr>
      <w:r>
        <w:br w:type="page"/>
      </w:r>
    </w:p>
    <w:p w14:paraId="5767DF16" w14:textId="77777777" w:rsidR="004613ED" w:rsidRDefault="00304AC2" w:rsidP="004613ED">
      <w:pPr>
        <w:pStyle w:val="Heading1"/>
      </w:pPr>
      <w:bookmarkStart w:id="1" w:name="_Toc429652471"/>
      <w:bookmarkStart w:id="2" w:name="_Toc448503391"/>
      <w:r w:rsidRPr="00863649">
        <w:lastRenderedPageBreak/>
        <w:t>Abstract</w:t>
      </w:r>
      <w:bookmarkEnd w:id="1"/>
      <w:bookmarkEnd w:id="2"/>
    </w:p>
    <w:p w14:paraId="46E6411C" w14:textId="63AF1A3A" w:rsidR="00064B89" w:rsidRDefault="00BD71CF">
      <w:pPr>
        <w:rPr>
          <w:rFonts w:ascii="Times New Roman" w:hAnsi="Times New Roman"/>
          <w:highlight w:val="yellow"/>
        </w:rPr>
      </w:pPr>
      <w:r w:rsidRPr="00BD71CF">
        <w:rPr>
          <w:rFonts w:ascii="Times New Roman" w:hAnsi="Times New Roman" w:cs="Times New Roman"/>
        </w:rPr>
        <w:t xml:space="preserve">The National Institute for Health and Care Excellence (NICE) invited the manufacturer of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w:t>
      </w:r>
      <w:proofErr w:type="spellStart"/>
      <w:r w:rsidRPr="00BD71CF">
        <w:rPr>
          <w:rFonts w:ascii="Times New Roman" w:hAnsi="Times New Roman" w:cs="Times New Roman"/>
        </w:rPr>
        <w:t>Lundbeck</w:t>
      </w:r>
      <w:proofErr w:type="spellEnd"/>
      <w:r w:rsidRPr="00BD71CF">
        <w:rPr>
          <w:rFonts w:ascii="Times New Roman" w:hAnsi="Times New Roman" w:cs="Times New Roman"/>
        </w:rPr>
        <w:t xml:space="preserve">) to submit clinical and cost-effectiveness evidence for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for the treatment of major depressive episodes</w:t>
      </w:r>
      <w:r w:rsidR="00324C0F">
        <w:rPr>
          <w:rFonts w:ascii="Times New Roman" w:hAnsi="Times New Roman" w:cs="Times New Roman"/>
        </w:rPr>
        <w:t xml:space="preserve"> (MDEs)</w:t>
      </w:r>
      <w:r w:rsidRPr="00BD71CF">
        <w:rPr>
          <w:rFonts w:ascii="Times New Roman" w:hAnsi="Times New Roman" w:cs="Times New Roman"/>
        </w:rPr>
        <w:t xml:space="preserve">, as part of the Institute’s Single Technology Appraisal process. The Centre for Reviews and Dissemination and Centre for Health Economics at the University of York were commissioned to act as the independent Evidence Review Group (ERG). This article provides a description of the company submission, the ERG review and the resulting NICE guidance TA367 issued in November 2015. The ERG critically reviewed the evidence presented in the manufacturer’s submission and identified areas requiring clarification, for which the manufacturer provided additional evidence. Two phase III randomised controlled trials for a second-line population involving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were identified, REVIVE and TAK318. These two trials represent only 972 patients of over 7,000 patients included in </w:t>
      </w:r>
      <w:r w:rsidR="00230B8C">
        <w:rPr>
          <w:rFonts w:ascii="Times New Roman" w:hAnsi="Times New Roman" w:cs="Times New Roman"/>
        </w:rPr>
        <w:t>trials</w:t>
      </w:r>
      <w:r w:rsidR="00230B8C" w:rsidRPr="00BD71CF">
        <w:rPr>
          <w:rFonts w:ascii="Times New Roman" w:hAnsi="Times New Roman" w:cs="Times New Roman"/>
        </w:rPr>
        <w:t xml:space="preserve"> </w:t>
      </w:r>
      <w:r w:rsidRPr="00BD71CF">
        <w:rPr>
          <w:rFonts w:ascii="Times New Roman" w:hAnsi="Times New Roman" w:cs="Times New Roman"/>
        </w:rPr>
        <w:t xml:space="preserve">of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In </w:t>
      </w:r>
      <w:proofErr w:type="gramStart"/>
      <w:r w:rsidRPr="00BD71CF">
        <w:rPr>
          <w:rFonts w:ascii="Times New Roman" w:hAnsi="Times New Roman" w:cs="Times New Roman"/>
        </w:rPr>
        <w:t>REVIVE,</w:t>
      </w:r>
      <w:proofErr w:type="gramEnd"/>
      <w:r w:rsidRPr="00BD71CF">
        <w:rPr>
          <w:rFonts w:ascii="Times New Roman" w:hAnsi="Times New Roman" w:cs="Times New Roman"/>
        </w:rPr>
        <w:t xml:space="preserve"> </w:t>
      </w:r>
      <w:r w:rsidR="00576119">
        <w:rPr>
          <w:rFonts w:ascii="Times New Roman" w:hAnsi="Times New Roman" w:cs="Times New Roman"/>
        </w:rPr>
        <w:t xml:space="preserve">there was a </w:t>
      </w:r>
      <w:r w:rsidRPr="00BD71CF">
        <w:rPr>
          <w:rFonts w:ascii="Times New Roman" w:hAnsi="Times New Roman" w:cs="Times New Roman"/>
        </w:rPr>
        <w:t xml:space="preserve">statistically significant </w:t>
      </w:r>
      <w:r w:rsidR="00576119">
        <w:rPr>
          <w:rFonts w:ascii="Times New Roman" w:hAnsi="Times New Roman" w:cs="Times New Roman"/>
        </w:rPr>
        <w:t xml:space="preserve">difference in depression scores favouring </w:t>
      </w:r>
      <w:proofErr w:type="spellStart"/>
      <w:r w:rsidR="00576119">
        <w:rPr>
          <w:rFonts w:ascii="Times New Roman" w:hAnsi="Times New Roman" w:cs="Times New Roman"/>
        </w:rPr>
        <w:t>vortioxetine</w:t>
      </w:r>
      <w:proofErr w:type="spellEnd"/>
      <w:r w:rsidR="00576119">
        <w:rPr>
          <w:rFonts w:ascii="Times New Roman" w:hAnsi="Times New Roman" w:cs="Times New Roman"/>
        </w:rPr>
        <w:t xml:space="preserve"> compared with</w:t>
      </w:r>
      <w:r w:rsidRPr="00BD71CF">
        <w:rPr>
          <w:rFonts w:ascii="Times New Roman" w:hAnsi="Times New Roman" w:cs="Times New Roman"/>
        </w:rPr>
        <w:t xml:space="preserve"> </w:t>
      </w:r>
      <w:proofErr w:type="spellStart"/>
      <w:r w:rsidRPr="00BD71CF">
        <w:rPr>
          <w:rFonts w:ascii="Times New Roman" w:hAnsi="Times New Roman" w:cs="Times New Roman"/>
        </w:rPr>
        <w:t>agomelatine</w:t>
      </w:r>
      <w:proofErr w:type="spellEnd"/>
      <w:r w:rsidR="00576119">
        <w:rPr>
          <w:rFonts w:ascii="Times New Roman" w:hAnsi="Times New Roman" w:cs="Times New Roman"/>
        </w:rPr>
        <w:t xml:space="preserve"> (mean</w:t>
      </w:r>
      <w:r w:rsidRPr="00BD71CF">
        <w:rPr>
          <w:rFonts w:ascii="Times New Roman" w:hAnsi="Times New Roman" w:cs="Times New Roman"/>
        </w:rPr>
        <w:t xml:space="preserve"> MADRS scores </w:t>
      </w:r>
      <w:r w:rsidR="00576119">
        <w:rPr>
          <w:rFonts w:ascii="Times New Roman" w:hAnsi="Times New Roman" w:cs="Times New Roman"/>
        </w:rPr>
        <w:t xml:space="preserve">difference of </w:t>
      </w:r>
      <w:r w:rsidRPr="00BD71CF">
        <w:rPr>
          <w:rFonts w:ascii="Times New Roman" w:hAnsi="Times New Roman" w:cs="Times New Roman"/>
        </w:rPr>
        <w:t>2.16 points</w:t>
      </w:r>
      <w:r w:rsidR="00576119">
        <w:rPr>
          <w:rFonts w:ascii="Times New Roman" w:hAnsi="Times New Roman" w:cs="Times New Roman"/>
        </w:rPr>
        <w:t xml:space="preserve">, </w:t>
      </w:r>
      <w:r w:rsidRPr="00BD71CF">
        <w:rPr>
          <w:rFonts w:ascii="Times New Roman" w:hAnsi="Times New Roman" w:cs="Times New Roman"/>
        </w:rPr>
        <w:t xml:space="preserve">95% CI 0.81 to 3.51). The ERG concluded that, based on all the evidence, rather than the substantially restricted subset of evidence originally considered by the manufacturer,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is likely to be similar in efficacy to other analysed antidepressants</w:t>
      </w:r>
      <w:r w:rsidR="00ED2859">
        <w:rPr>
          <w:rFonts w:ascii="Times New Roman" w:hAnsi="Times New Roman" w:cs="Times New Roman"/>
        </w:rPr>
        <w:t xml:space="preserve"> </w:t>
      </w:r>
      <w:r w:rsidR="00ED2859">
        <w:t>(citalopram, sertraline, escitalopram and venlafaxine</w:t>
      </w:r>
      <w:r w:rsidR="004A63BB">
        <w:t xml:space="preserve"> XR</w:t>
      </w:r>
      <w:r w:rsidR="00ED2859">
        <w:t>)</w:t>
      </w:r>
      <w:r w:rsidRPr="00BD71CF">
        <w:rPr>
          <w:rFonts w:ascii="Times New Roman" w:hAnsi="Times New Roman" w:cs="Times New Roman"/>
        </w:rPr>
        <w:t xml:space="preserve">, may be more efficacious than </w:t>
      </w:r>
      <w:proofErr w:type="spellStart"/>
      <w:r w:rsidRPr="00BD71CF">
        <w:rPr>
          <w:rFonts w:ascii="Times New Roman" w:hAnsi="Times New Roman" w:cs="Times New Roman"/>
        </w:rPr>
        <w:t>agomelatine</w:t>
      </w:r>
      <w:proofErr w:type="spellEnd"/>
      <w:r w:rsidRPr="00BD71CF">
        <w:rPr>
          <w:rFonts w:ascii="Times New Roman" w:hAnsi="Times New Roman" w:cs="Times New Roman"/>
        </w:rPr>
        <w:t xml:space="preserve"> and inferior to duloxetine. The ERG concluded that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may be more tolerable than other analysed antidepressants</w:t>
      </w:r>
      <w:r w:rsidR="004A63BB">
        <w:rPr>
          <w:rFonts w:ascii="Times New Roman" w:hAnsi="Times New Roman" w:cs="Times New Roman"/>
        </w:rPr>
        <w:t xml:space="preserve"> </w:t>
      </w:r>
      <w:r w:rsidR="004A63BB">
        <w:t>(sertraline, venlafaxine XR and bupropion)</w:t>
      </w:r>
      <w:r w:rsidRPr="00BD71CF">
        <w:rPr>
          <w:rFonts w:ascii="Times New Roman" w:hAnsi="Times New Roman" w:cs="Times New Roman"/>
        </w:rPr>
        <w:t xml:space="preserve">, although the limited data prevents firm conclusions. The base case incremental cost-effectiveness ratio (ICER) of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reported by the manufacturer was £378 per QALY compared to venlafaxine. Given considerable concerns about the indirect treatment comparison undertaken by the manufacturer</w:t>
      </w:r>
      <w:r w:rsidR="0013028B">
        <w:rPr>
          <w:rFonts w:ascii="Times New Roman" w:hAnsi="Times New Roman" w:cs="Times New Roman"/>
        </w:rPr>
        <w:t>, the</w:t>
      </w:r>
      <w:r w:rsidRPr="00BD71CF">
        <w:rPr>
          <w:rFonts w:ascii="Times New Roman" w:hAnsi="Times New Roman" w:cs="Times New Roman"/>
        </w:rPr>
        <w:t xml:space="preserve"> us</w:t>
      </w:r>
      <w:r w:rsidR="0013028B">
        <w:rPr>
          <w:rFonts w:ascii="Times New Roman" w:hAnsi="Times New Roman" w:cs="Times New Roman"/>
        </w:rPr>
        <w:t>e</w:t>
      </w:r>
      <w:r w:rsidRPr="00BD71CF">
        <w:rPr>
          <w:rFonts w:ascii="Times New Roman" w:hAnsi="Times New Roman" w:cs="Times New Roman"/>
        </w:rPr>
        <w:t xml:space="preserve"> </w:t>
      </w:r>
      <w:r w:rsidR="00230B8C">
        <w:rPr>
          <w:rFonts w:ascii="Times New Roman" w:hAnsi="Times New Roman" w:cs="Times New Roman"/>
        </w:rPr>
        <w:t xml:space="preserve">of </w:t>
      </w:r>
      <w:r w:rsidRPr="00BD71CF">
        <w:rPr>
          <w:rFonts w:ascii="Times New Roman" w:hAnsi="Times New Roman" w:cs="Times New Roman"/>
        </w:rPr>
        <w:t xml:space="preserve">only a restrictive subset of the available evidence, </w:t>
      </w:r>
      <w:r w:rsidR="0013028B">
        <w:rPr>
          <w:rFonts w:ascii="Times New Roman" w:hAnsi="Times New Roman" w:cs="Times New Roman"/>
        </w:rPr>
        <w:t>and</w:t>
      </w:r>
      <w:r w:rsidRPr="00BD71CF">
        <w:rPr>
          <w:rFonts w:ascii="Times New Roman" w:hAnsi="Times New Roman" w:cs="Times New Roman"/>
        </w:rPr>
        <w:t xml:space="preserve"> concerns regarding comparators and structural model assumptions, the ERG believes that this is not a valid estimate of the cost-effectiveness of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Following corrections made to the model made by the ERG, the estimated cost-effectiveness of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was sensitive to the source of evidence used, in addition to whether certain comparators were excluded. NICE thus asked the manufacturer to provide a revised economic model, which incorporated the broader evidence base and considered the cost-effectiveness of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as a third-line treatment. Assuming equal eff</w:t>
      </w:r>
      <w:r w:rsidR="004A63BB">
        <w:rPr>
          <w:rFonts w:ascii="Times New Roman" w:hAnsi="Times New Roman" w:cs="Times New Roman"/>
        </w:rPr>
        <w:t>icacy</w:t>
      </w:r>
      <w:r w:rsidRPr="00BD71CF">
        <w:rPr>
          <w:rFonts w:ascii="Times New Roman" w:hAnsi="Times New Roman" w:cs="Times New Roman"/>
        </w:rPr>
        <w:t xml:space="preserve">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was shown to be less costly and </w:t>
      </w:r>
      <w:r w:rsidR="00C23534">
        <w:rPr>
          <w:rFonts w:ascii="Times New Roman" w:hAnsi="Times New Roman" w:cs="Times New Roman"/>
        </w:rPr>
        <w:t xml:space="preserve">generate </w:t>
      </w:r>
      <w:proofErr w:type="gramStart"/>
      <w:r w:rsidR="00C23534">
        <w:rPr>
          <w:rFonts w:ascii="Times New Roman" w:hAnsi="Times New Roman" w:cs="Times New Roman"/>
        </w:rPr>
        <w:t>a higher</w:t>
      </w:r>
      <w:proofErr w:type="gramEnd"/>
      <w:r w:rsidR="00C23534">
        <w:rPr>
          <w:rFonts w:ascii="Times New Roman" w:hAnsi="Times New Roman" w:cs="Times New Roman"/>
        </w:rPr>
        <w:t xml:space="preserve"> QALY </w:t>
      </w:r>
      <w:proofErr w:type="spellStart"/>
      <w:r w:rsidR="00C23534">
        <w:rPr>
          <w:rFonts w:ascii="Times New Roman" w:hAnsi="Times New Roman" w:cs="Times New Roman"/>
        </w:rPr>
        <w:t>gain</w:t>
      </w:r>
      <w:r w:rsidRPr="00BD71CF">
        <w:rPr>
          <w:rFonts w:ascii="Times New Roman" w:hAnsi="Times New Roman" w:cs="Times New Roman"/>
        </w:rPr>
        <w:t>than</w:t>
      </w:r>
      <w:proofErr w:type="spellEnd"/>
      <w:r w:rsidRPr="00BD71CF">
        <w:rPr>
          <w:rFonts w:ascii="Times New Roman" w:hAnsi="Times New Roman" w:cs="Times New Roman"/>
        </w:rPr>
        <w:t xml:space="preserve"> relevant comparators at third</w:t>
      </w:r>
      <w:r w:rsidR="004A63BB">
        <w:rPr>
          <w:rFonts w:ascii="Times New Roman" w:hAnsi="Times New Roman" w:cs="Times New Roman"/>
        </w:rPr>
        <w:t>-</w:t>
      </w:r>
      <w:r w:rsidRPr="00BD71CF">
        <w:rPr>
          <w:rFonts w:ascii="Times New Roman" w:hAnsi="Times New Roman" w:cs="Times New Roman"/>
        </w:rPr>
        <w:t xml:space="preserve">line of treatment, owing to its tolerability and adverse event profile. The National Institute for Health and Care Excellence (NICE) Appraisal Committee recommended </w:t>
      </w:r>
      <w:proofErr w:type="spellStart"/>
      <w:r w:rsidRPr="00BD71CF">
        <w:rPr>
          <w:rFonts w:ascii="Times New Roman" w:hAnsi="Times New Roman" w:cs="Times New Roman"/>
        </w:rPr>
        <w:t>vortioxetine</w:t>
      </w:r>
      <w:proofErr w:type="spellEnd"/>
      <w:r w:rsidRPr="00BD71CF">
        <w:rPr>
          <w:rFonts w:ascii="Times New Roman" w:hAnsi="Times New Roman" w:cs="Times New Roman"/>
        </w:rPr>
        <w:t xml:space="preserve"> as an option for treating </w:t>
      </w:r>
      <w:r w:rsidR="00324C0F">
        <w:rPr>
          <w:rFonts w:ascii="Times New Roman" w:hAnsi="Times New Roman" w:cs="Times New Roman"/>
        </w:rPr>
        <w:t>MDEs</w:t>
      </w:r>
      <w:r w:rsidRPr="00BD71CF">
        <w:rPr>
          <w:rFonts w:ascii="Times New Roman" w:hAnsi="Times New Roman" w:cs="Times New Roman"/>
        </w:rPr>
        <w:t xml:space="preserve"> in adults whose condition has responded inadequately to two antidepressants within the current episode.</w:t>
      </w:r>
      <w:r w:rsidR="00064B89">
        <w:rPr>
          <w:rFonts w:ascii="Times New Roman" w:hAnsi="Times New Roman"/>
          <w:highlight w:val="yellow"/>
        </w:rPr>
        <w:br w:type="page"/>
      </w:r>
    </w:p>
    <w:p w14:paraId="0A5C9B27" w14:textId="77777777" w:rsidR="00E05A80" w:rsidRDefault="00E05A80" w:rsidP="00E05A80">
      <w:pPr>
        <w:pStyle w:val="Heading1"/>
      </w:pPr>
      <w:bookmarkStart w:id="3" w:name="_Toc429652472"/>
      <w:bookmarkStart w:id="4" w:name="_Toc448503392"/>
      <w:r>
        <w:lastRenderedPageBreak/>
        <w:t>1.</w:t>
      </w:r>
      <w:r>
        <w:tab/>
        <w:t>Introduction</w:t>
      </w:r>
      <w:bookmarkEnd w:id="3"/>
      <w:bookmarkEnd w:id="4"/>
    </w:p>
    <w:p w14:paraId="1DB8E1B0" w14:textId="4F8E04B4" w:rsidR="00953303" w:rsidRDefault="00953303" w:rsidP="00953303">
      <w:r>
        <w:t xml:space="preserve">The National Institute for Health and Clinical Excellence (NICE) is an independent organization responsible for providing national guidance to the NHS in England and Wales on the use of selected new health technologies.  Single technology appraisals (STAs) evaluate a single product, device or other technology that has a single indication, for example, a new pharmaceutical </w:t>
      </w:r>
      <w:r w:rsidR="00285F80">
        <w:t xml:space="preserve">product or licensed indication </w:t>
      </w:r>
      <w:r w:rsidR="00285F80">
        <w:fldChar w:fldCharType="begin" w:fldLock="1"/>
      </w:r>
      <w:r w:rsidR="00191B9B">
        <w:instrText>ADDIN CSL_CITATION { "citationItems" : [ { "id" : "ITEM-1", "itemData" : { "ISBN" : "978-1-84936-104-0", "author" : [ { "dropping-particle" : "", "family" : "NICE", "given" : "", "non-dropping-particle" : "", "parse-names" : false, "suffix" : "" } ], "id" : "ITEM-1", "issued" : { "date-parts" : [ [ "2009" ] ] }, "title" : "Guide to the single technology appraisal process", "type" : "article-journal" }, "uris" : [ "http://www.mendeley.com/documents/?uuid=709f2ad8-ec4e-3858-b5e8-6a3ac27a919b" ] } ], "mendeley" : { "formattedCitation" : "[1]", "plainTextFormattedCitation" : "[1]", "previouslyFormattedCitation" : "[1]" }, "properties" : { "noteIndex" : 0 }, "schema" : "https://github.com/citation-style-language/schema/raw/master/csl-citation.json" }</w:instrText>
      </w:r>
      <w:r w:rsidR="00285F80">
        <w:fldChar w:fldCharType="separate"/>
      </w:r>
      <w:r w:rsidR="00315DE8" w:rsidRPr="00315DE8">
        <w:rPr>
          <w:noProof/>
        </w:rPr>
        <w:t>[1]</w:t>
      </w:r>
      <w:r w:rsidR="00285F80">
        <w:fldChar w:fldCharType="end"/>
      </w:r>
      <w:r w:rsidR="00285F80">
        <w:t xml:space="preserve">. </w:t>
      </w:r>
      <w:r>
        <w:t>The manufacturer (or sponsor of the technology) submits the principal evidence supporting the clinical and cost</w:t>
      </w:r>
      <w:r w:rsidR="0061142F">
        <w:t>-</w:t>
      </w:r>
      <w:r>
        <w:t>effectiveness of the product, and an external independent academic organization (the Evidence Review Group [ERG]) is commissioned to produce a review and critique of the evidence submitted</w:t>
      </w:r>
      <w:r w:rsidR="00393C5C">
        <w:t xml:space="preserve"> </w:t>
      </w:r>
      <w:r w:rsidR="00393C5C">
        <w:fldChar w:fldCharType="begin" w:fldLock="1"/>
      </w:r>
      <w:r w:rsidR="00191B9B">
        <w:instrText>ADDIN CSL_CITATION { "citationItems" : [ { "id" : "ITEM-1", "itemData" : { "author" : [ { "dropping-particle" : "", "family" : "Simmonds", "given" : "Mark", "non-dropping-particle" : "", "parse-names" : false, "suffix" : "" }, { "dropping-particle" : "", "family" : "Lomas", "given" : "James", "non-dropping-particle" : "", "parse-names" : false, "suffix" : "" }, { "dropping-particle" : "", "family" : "Llewellyn", "given" : "Alexis", "non-dropping-particle" : "", "parse-names" : false, "suffix" : "" }, { "dropping-particle" : "", "family" : "Soares", "given" : "Marta", "non-dropping-particle" : "", "parse-names" : false, "suffix" : "" }, { "dropping-particle" : "", "family" : "Wright", "given" : "Kath", "non-dropping-particle" : "", "parse-names" : false, "suffix" : "" }, { "dropping-particle" : "", "family" : "Eastwood", "given" : "Alison", "non-dropping-particle" : "", "parse-names" : false, "suffix" : "" }, { "dropping-particle" : "", "family" : "Palmer", "given" : "Stephen", "non-dropping-particle" : "", "parse-names" : false, "suffix" : "" } ], "container-title" : "CRD and CHE Technology Assessment Group", "id" : "ITEM-1", "issued" : { "date-parts" : [ [ "2015" ] ] }, "title" : "Vortioxetine for treating major depressive disorder: A Single Technology Appraisal", "type" : "article-journal" }, "uris" : [ "http://www.mendeley.com/documents/?uuid=176de768-5889-4180-8cdb-98ebf684b297" ] } ], "mendeley" : { "formattedCitation" : "[2]", "plainTextFormattedCitation" : "[2]", "previouslyFormattedCitation" : "[2]" }, "properties" : { "noteIndex" : 0 }, "schema" : "https://github.com/citation-style-language/schema/raw/master/csl-citation.json" }</w:instrText>
      </w:r>
      <w:r w:rsidR="00393C5C">
        <w:fldChar w:fldCharType="separate"/>
      </w:r>
      <w:r w:rsidR="00315DE8" w:rsidRPr="00315DE8">
        <w:rPr>
          <w:noProof/>
        </w:rPr>
        <w:t>[2]</w:t>
      </w:r>
      <w:r w:rsidR="00393C5C">
        <w:fldChar w:fldCharType="end"/>
      </w:r>
      <w:r>
        <w:t>.  Clinical specialists, NHS commissioning experts and patient experts also provide evidence for consideration by the NICE Appraisal Committee in formulating their guidance</w:t>
      </w:r>
      <w:r w:rsidRPr="00953303">
        <w:t xml:space="preserve"> </w:t>
      </w:r>
      <w:r w:rsidR="00393C5C">
        <w:fldChar w:fldCharType="begin" w:fldLock="1"/>
      </w:r>
      <w:r w:rsidR="00191B9B">
        <w:instrText>ADDIN CSL_CITATION { "citationItems" : [ { "id" : "ITEM-1", "itemData" : { "ISBN" : "978-1-84936-104-0", "author" : [ { "dropping-particle" : "", "family" : "NICE", "given" : "", "non-dropping-particle" : "", "parse-names" : false, "suffix" : "" } ], "id" : "ITEM-1", "issued" : { "date-parts" : [ [ "2009" ] ] }, "title" : "Guide to the single technology appraisal process", "type" : "article-journal" }, "uris" : [ "http://www.mendeley.com/documents/?uuid=709f2ad8-ec4e-3858-b5e8-6a3ac27a919b" ] } ], "mendeley" : { "formattedCitation" : "[1]", "plainTextFormattedCitation" : "[1]", "previouslyFormattedCitation" : "[1]" }, "properties" : { "noteIndex" : 0 }, "schema" : "https://github.com/citation-style-language/schema/raw/master/csl-citation.json" }</w:instrText>
      </w:r>
      <w:r w:rsidR="00393C5C">
        <w:fldChar w:fldCharType="separate"/>
      </w:r>
      <w:r w:rsidR="00315DE8" w:rsidRPr="00315DE8">
        <w:rPr>
          <w:noProof/>
        </w:rPr>
        <w:t>[1]</w:t>
      </w:r>
      <w:r w:rsidR="00393C5C">
        <w:fldChar w:fldCharType="end"/>
      </w:r>
      <w:r w:rsidR="00393C5C">
        <w:t xml:space="preserve">. </w:t>
      </w:r>
      <w:r>
        <w:t>Once published, NICE technology guidance provides a legal obligation for NHS providers to reimburse technologies that have been approved</w:t>
      </w:r>
      <w:r w:rsidR="00393C5C">
        <w:t xml:space="preserve"> </w:t>
      </w:r>
      <w:r w:rsidR="00393C5C">
        <w:fldChar w:fldCharType="begin" w:fldLock="1"/>
      </w:r>
      <w:r w:rsidR="00191B9B">
        <w:instrText>ADDIN CSL_CITATION { "citationItems" : [ { "id" : "ITEM-1", "itemData" : { "ISBN" : "978-1-84936-104-0", "author" : [ { "dropping-particle" : "", "family" : "NICE", "given" : "", "non-dropping-particle" : "", "parse-names" : false, "suffix" : "" } ], "id" : "ITEM-1", "issued" : { "date-parts" : [ [ "2009" ] ] }, "title" : "Guide to the single technology appraisal process", "type" : "article-journal" }, "uris" : [ "http://www.mendeley.com/documents/?uuid=709f2ad8-ec4e-3858-b5e8-6a3ac27a919b" ] } ], "mendeley" : { "formattedCitation" : "[1]", "plainTextFormattedCitation" : "[1]", "previouslyFormattedCitation" : "[1]" }, "properties" : { "noteIndex" : 0 }, "schema" : "https://github.com/citation-style-language/schema/raw/master/csl-citation.json" }</w:instrText>
      </w:r>
      <w:r w:rsidR="00393C5C">
        <w:fldChar w:fldCharType="separate"/>
      </w:r>
      <w:r w:rsidR="00315DE8" w:rsidRPr="00315DE8">
        <w:rPr>
          <w:noProof/>
        </w:rPr>
        <w:t>[1]</w:t>
      </w:r>
      <w:r w:rsidR="00393C5C">
        <w:fldChar w:fldCharType="end"/>
      </w:r>
      <w:r>
        <w:t>.</w:t>
      </w:r>
      <w:r w:rsidRPr="00953303">
        <w:t xml:space="preserve"> </w:t>
      </w:r>
      <w:r>
        <w:t xml:space="preserve">This article presents a summary of the ERG report and subsequent development of NICE guidance for the use of </w:t>
      </w:r>
      <w:proofErr w:type="spellStart"/>
      <w:r w:rsidR="00393C5C">
        <w:t>vortioxetine</w:t>
      </w:r>
      <w:proofErr w:type="spellEnd"/>
      <w:r w:rsidR="00393C5C">
        <w:t xml:space="preserve"> for the treatment of a </w:t>
      </w:r>
      <w:r w:rsidR="00324C0F">
        <w:t>MDE</w:t>
      </w:r>
      <w:r w:rsidR="00393C5C">
        <w:t xml:space="preserve"> with patients who have </w:t>
      </w:r>
      <w:r w:rsidR="00393C5C" w:rsidRPr="00AF798D">
        <w:t>responded inadequately in terms of efficacy or tolerability to initial antidepressant treatment</w:t>
      </w:r>
      <w:r>
        <w:t xml:space="preserve">.  </w:t>
      </w:r>
    </w:p>
    <w:p w14:paraId="58B6F175" w14:textId="77777777" w:rsidR="00953303" w:rsidRDefault="00953303" w:rsidP="00953303">
      <w:r>
        <w:t>Full details of the relevant appraisal documents, including the appraisal scope, manufacturer submission, ERG report, Appraisal Consultation Document (ACD), Final Appraisal Determination (FAD) and responses to these documents, can be found on the NICE website</w:t>
      </w:r>
      <w:r w:rsidR="00393C5C">
        <w:t xml:space="preserve"> </w:t>
      </w:r>
      <w:r w:rsidR="00393C5C">
        <w:fldChar w:fldCharType="begin" w:fldLock="1"/>
      </w:r>
      <w:r w:rsidR="00191B9B">
        <w:instrText>ADDIN CSL_CITATION { "citationItems" : [ { "id" : "ITEM-1", "itemData" : { "URL" : "https://www.nice.org.uk/guidance/ta367", "author" : [ { "dropping-particle" : "", "family" : "NICE", "given" : "", "non-dropping-particle" : "", "parse-names" : false, "suffix" : "" } ], "id" : "ITEM-1", "issued" : { "date-parts" : [ [ "2015" ] ] }, "title" : "Vortioxetine for treating major depressive episodes", "type" : "webpage" }, "uris" : [ "http://www.mendeley.com/documents/?uuid=bebd4cb5-4e84-4ed1-a810-3d56f6ab2671" ] } ], "mendeley" : { "formattedCitation" : "[3]", "plainTextFormattedCitation" : "[3]", "previouslyFormattedCitation" : "[3]" }, "properties" : { "noteIndex" : 0 }, "schema" : "https://github.com/citation-style-language/schema/raw/master/csl-citation.json" }</w:instrText>
      </w:r>
      <w:r w:rsidR="00393C5C">
        <w:fldChar w:fldCharType="separate"/>
      </w:r>
      <w:r w:rsidR="00315DE8" w:rsidRPr="00315DE8">
        <w:rPr>
          <w:noProof/>
        </w:rPr>
        <w:t>[3]</w:t>
      </w:r>
      <w:r w:rsidR="00393C5C">
        <w:fldChar w:fldCharType="end"/>
      </w:r>
      <w:r>
        <w:t>.</w:t>
      </w:r>
    </w:p>
    <w:p w14:paraId="7D59EB25" w14:textId="77777777" w:rsidR="00976C2A" w:rsidRDefault="00976C2A">
      <w:pPr>
        <w:rPr>
          <w:rFonts w:asciiTheme="majorHAnsi" w:eastAsiaTheme="majorEastAsia" w:hAnsiTheme="majorHAnsi" w:cstheme="majorBidi"/>
          <w:b/>
          <w:bCs/>
          <w:sz w:val="28"/>
          <w:szCs w:val="28"/>
        </w:rPr>
      </w:pPr>
      <w:r>
        <w:br w:type="page"/>
      </w:r>
    </w:p>
    <w:p w14:paraId="7D9EDBE1" w14:textId="77777777" w:rsidR="00E374E7" w:rsidRDefault="00E05A80" w:rsidP="000F5F5E">
      <w:pPr>
        <w:pStyle w:val="Heading1"/>
      </w:pPr>
      <w:bookmarkStart w:id="5" w:name="_Toc429652473"/>
      <w:bookmarkStart w:id="6" w:name="_Toc448503393"/>
      <w:r>
        <w:lastRenderedPageBreak/>
        <w:t>2</w:t>
      </w:r>
      <w:r w:rsidR="00F81D84">
        <w:t>.</w:t>
      </w:r>
      <w:r w:rsidR="00F81D84">
        <w:tab/>
        <w:t>The Decision Problem</w:t>
      </w:r>
      <w:bookmarkEnd w:id="5"/>
      <w:bookmarkEnd w:id="6"/>
    </w:p>
    <w:p w14:paraId="5266473D" w14:textId="2B7A2972" w:rsidR="00FD1814" w:rsidRDefault="00FD1814" w:rsidP="00FD1814">
      <w:r>
        <w:t>Vortioxetine (brand name Brintellix</w:t>
      </w:r>
      <w:r>
        <w:rPr>
          <w:rFonts w:cs="Times New Roman"/>
        </w:rPr>
        <w:t>®</w:t>
      </w:r>
      <w:r>
        <w:t xml:space="preserve">) is an antidepressant with a different mechanism of action to other antidepressants such as SSRIs and SNRIs, </w:t>
      </w:r>
      <w:r w:rsidR="0013028B">
        <w:t xml:space="preserve">and </w:t>
      </w:r>
      <w:r>
        <w:t xml:space="preserve">has been claimed to act on a number of transmitter systems. The Committee for Medicinal Products for Human Use of the EMA granted marketing authorisation on 18 December 2013 for the treatment of </w:t>
      </w:r>
      <w:r w:rsidR="00324C0F">
        <w:t>MDE</w:t>
      </w:r>
      <w:r>
        <w:t xml:space="preserve">s in people with major depressive disorder (MDD). </w:t>
      </w:r>
    </w:p>
    <w:p w14:paraId="38C7DCC8" w14:textId="77777777" w:rsidR="00FD1814" w:rsidRDefault="001145FD" w:rsidP="00FD1814">
      <w:r w:rsidRPr="001145FD">
        <w:rPr>
          <w:rFonts w:ascii="Times New Roman" w:eastAsia="Times New Roman" w:hAnsi="Times New Roman" w:cs="Times New Roman"/>
          <w:lang w:eastAsia="en-US"/>
        </w:rPr>
        <w:t>The final scope issued by NICE identified a wide range of relevant comparators including SSRIs, SNRIs, tri-cyclic antidepressants</w:t>
      </w:r>
      <w:r w:rsidR="00393C5C">
        <w:rPr>
          <w:rFonts w:ascii="Times New Roman" w:eastAsia="Times New Roman" w:hAnsi="Times New Roman" w:cs="Times New Roman"/>
          <w:lang w:eastAsia="en-US"/>
        </w:rPr>
        <w:t xml:space="preserve"> (TCAs)</w:t>
      </w:r>
      <w:r w:rsidRPr="001145FD">
        <w:rPr>
          <w:rFonts w:ascii="Times New Roman" w:eastAsia="Times New Roman" w:hAnsi="Times New Roman" w:cs="Times New Roman"/>
          <w:lang w:eastAsia="en-US"/>
        </w:rPr>
        <w:t xml:space="preserve">, </w:t>
      </w:r>
      <w:proofErr w:type="gramStart"/>
      <w:r w:rsidRPr="001145FD">
        <w:rPr>
          <w:rFonts w:ascii="Times New Roman" w:eastAsia="Times New Roman" w:hAnsi="Times New Roman" w:cs="Times New Roman"/>
          <w:lang w:eastAsia="en-US"/>
        </w:rPr>
        <w:t>other</w:t>
      </w:r>
      <w:proofErr w:type="gramEnd"/>
      <w:r w:rsidRPr="001145FD">
        <w:rPr>
          <w:rFonts w:ascii="Times New Roman" w:eastAsia="Times New Roman" w:hAnsi="Times New Roman" w:cs="Times New Roman"/>
          <w:lang w:eastAsia="en-US"/>
        </w:rPr>
        <w:t xml:space="preserve"> types of antidepressant and augmentation treatments. </w:t>
      </w:r>
      <w:r>
        <w:rPr>
          <w:rFonts w:ascii="Times New Roman" w:eastAsia="Times New Roman" w:hAnsi="Times New Roman" w:cs="Times New Roman"/>
          <w:lang w:eastAsia="en-US"/>
        </w:rPr>
        <w:t xml:space="preserve">However, </w:t>
      </w:r>
      <w:r>
        <w:t>t</w:t>
      </w:r>
      <w:r w:rsidR="00FD1814">
        <w:t>he manufacturer’s submission</w:t>
      </w:r>
      <w:r w:rsidR="00FF6505">
        <w:t xml:space="preserve"> </w:t>
      </w:r>
      <w:r w:rsidR="00FD1814">
        <w:t>considered a</w:t>
      </w:r>
      <w:r w:rsidR="004A63BB">
        <w:t xml:space="preserve"> more restrictive</w:t>
      </w:r>
      <w:r w:rsidR="00FD1814">
        <w:t xml:space="preserve"> decision problem</w:t>
      </w:r>
      <w:r w:rsidR="004A63BB">
        <w:t>, limiting attention to a “switch” population defined as</w:t>
      </w:r>
      <w:r w:rsidR="00FD1814">
        <w:t xml:space="preserve"> patients who </w:t>
      </w:r>
      <w:r>
        <w:t xml:space="preserve">have </w:t>
      </w:r>
      <w:r w:rsidR="00FD1814" w:rsidRPr="00AF798D">
        <w:t xml:space="preserve">responded inadequately in terms of efficacy or tolerability to initial antidepressant treatment, and who </w:t>
      </w:r>
      <w:r>
        <w:t>re</w:t>
      </w:r>
      <w:r w:rsidR="000221D8">
        <w:t>quire and</w:t>
      </w:r>
      <w:r>
        <w:t xml:space="preserve"> want to </w:t>
      </w:r>
      <w:r w:rsidR="00FD1814" w:rsidRPr="00AF798D">
        <w:t>swi</w:t>
      </w:r>
      <w:r w:rsidR="00FD1814">
        <w:t xml:space="preserve">tch to an alternative antidepressant. The manufacturer justified this restriction by </w:t>
      </w:r>
      <w:r w:rsidR="00C77998" w:rsidRPr="00C77998">
        <w:rPr>
          <w:rFonts w:ascii="Times New Roman" w:eastAsia="Times New Roman" w:hAnsi="Times New Roman" w:cs="Times New Roman"/>
          <w:lang w:eastAsia="en-US"/>
        </w:rPr>
        <w:t>highlight</w:t>
      </w:r>
      <w:r w:rsidR="00C77998">
        <w:rPr>
          <w:rFonts w:ascii="Times New Roman" w:eastAsia="Times New Roman" w:hAnsi="Times New Roman" w:cs="Times New Roman"/>
          <w:lang w:eastAsia="en-US"/>
        </w:rPr>
        <w:t>ing</w:t>
      </w:r>
      <w:r w:rsidR="00C77998" w:rsidRPr="00C77998">
        <w:rPr>
          <w:rFonts w:ascii="Times New Roman" w:eastAsia="Times New Roman" w:hAnsi="Times New Roman" w:cs="Times New Roman"/>
          <w:lang w:eastAsia="en-US"/>
        </w:rPr>
        <w:t xml:space="preserve"> the potential unmet clinical and economic need for more effective and better-tolerated options for</w:t>
      </w:r>
      <w:r w:rsidR="00BF2857">
        <w:rPr>
          <w:rFonts w:ascii="Times New Roman" w:eastAsia="Times New Roman" w:hAnsi="Times New Roman" w:cs="Times New Roman"/>
          <w:lang w:eastAsia="en-US"/>
        </w:rPr>
        <w:t xml:space="preserve"> this group of</w:t>
      </w:r>
      <w:r w:rsidR="00C77998" w:rsidRPr="00C77998">
        <w:rPr>
          <w:rFonts w:ascii="Times New Roman" w:eastAsia="Times New Roman" w:hAnsi="Times New Roman" w:cs="Times New Roman"/>
          <w:lang w:eastAsia="en-US"/>
        </w:rPr>
        <w:t xml:space="preserve"> patients.  </w:t>
      </w:r>
    </w:p>
    <w:p w14:paraId="666DB487" w14:textId="77777777" w:rsidR="000E0AB9" w:rsidRDefault="001B5142" w:rsidP="002B54AF">
      <w:pPr>
        <w:rPr>
          <w:rFonts w:ascii="Times New Roman" w:eastAsia="Times New Roman" w:hAnsi="Times New Roman" w:cs="Times New Roman"/>
          <w:bCs/>
          <w:lang w:eastAsia="en-US"/>
        </w:rPr>
      </w:pPr>
      <w:r>
        <w:rPr>
          <w:rFonts w:ascii="Times New Roman" w:eastAsia="Times New Roman" w:hAnsi="Times New Roman" w:cs="Times New Roman"/>
          <w:lang w:eastAsia="en-US"/>
        </w:rPr>
        <w:t>Accordingly, t</w:t>
      </w:r>
      <w:r w:rsidRPr="001B5142">
        <w:rPr>
          <w:rFonts w:ascii="Times New Roman" w:eastAsia="Times New Roman" w:hAnsi="Times New Roman" w:cs="Times New Roman"/>
          <w:lang w:eastAsia="en-US"/>
        </w:rPr>
        <w:t xml:space="preserve">he manufacturer significantly restricted the number of eligible comparators </w:t>
      </w:r>
      <w:r w:rsidR="00BF2857">
        <w:rPr>
          <w:rFonts w:ascii="Times New Roman" w:eastAsia="Times New Roman" w:hAnsi="Times New Roman" w:cs="Times New Roman"/>
          <w:lang w:eastAsia="en-US"/>
        </w:rPr>
        <w:t>to</w:t>
      </w:r>
      <w:r w:rsidRPr="001B5142">
        <w:rPr>
          <w:rFonts w:ascii="Times New Roman" w:eastAsia="Times New Roman" w:hAnsi="Times New Roman" w:cs="Times New Roman"/>
          <w:lang w:eastAsia="en-US"/>
        </w:rPr>
        <w:t xml:space="preserve"> those which they considered represented alternatives in the proposed switch population</w:t>
      </w:r>
      <w:r>
        <w:rPr>
          <w:rFonts w:ascii="Times New Roman" w:eastAsia="Times New Roman" w:hAnsi="Times New Roman" w:cs="Times New Roman"/>
          <w:lang w:eastAsia="en-US"/>
        </w:rPr>
        <w:t xml:space="preserve">. </w:t>
      </w:r>
      <w:r w:rsidRPr="001B5142">
        <w:rPr>
          <w:rFonts w:ascii="Times New Roman" w:eastAsia="Times New Roman" w:hAnsi="Times New Roman" w:cs="Times New Roman"/>
          <w:lang w:eastAsia="en-US"/>
        </w:rPr>
        <w:t xml:space="preserve"> </w:t>
      </w:r>
      <w:r w:rsidR="00802A47">
        <w:t>For moderate-to-severe MDEs, NICE Clinical Guideline 90</w:t>
      </w:r>
      <w:r w:rsidR="00AF047E">
        <w:t xml:space="preserve"> </w:t>
      </w:r>
      <w:r w:rsidR="00393C5C">
        <w:fldChar w:fldCharType="begin" w:fldLock="1"/>
      </w:r>
      <w:r w:rsidR="00191B9B">
        <w:instrText>ADDIN CSL_CITATION { "citationItems" : [ { "id" : "ITEM-1", "itemData" : { "author" : [ { "dropping-particle" : "", "family" : "NICE", "given" : "", "non-dropping-particle" : "", "parse-names" : false, "suffix" : "" } ], "id" : "ITEM-1", "issued" : { "date-parts" : [ [ "2009" ] ] }, "publisher" : "NICE", "title" : "Depression in adults: recognition and management", "type" : "article-journal" }, "uris" : [ "http://www.mendeley.com/documents/?uuid=58962761-c6d3-39ce-b16f-39a90e7088aa" ] } ], "mendeley" : { "formattedCitation" : "[4]", "plainTextFormattedCitation" : "[4]", "previouslyFormattedCitation" : "[4]" }, "properties" : { "noteIndex" : 0 }, "schema" : "https://github.com/citation-style-language/schema/raw/master/csl-citation.json" }</w:instrText>
      </w:r>
      <w:r w:rsidR="00393C5C">
        <w:fldChar w:fldCharType="separate"/>
      </w:r>
      <w:r w:rsidR="00315DE8" w:rsidRPr="00315DE8">
        <w:rPr>
          <w:noProof/>
        </w:rPr>
        <w:t>[4]</w:t>
      </w:r>
      <w:r w:rsidR="00393C5C">
        <w:fldChar w:fldCharType="end"/>
      </w:r>
      <w:r w:rsidR="00393C5C">
        <w:t xml:space="preserve"> </w:t>
      </w:r>
      <w:r w:rsidR="00802A47">
        <w:t>recommends</w:t>
      </w:r>
      <w:r w:rsidRPr="001B5142">
        <w:rPr>
          <w:rFonts w:ascii="Times New Roman" w:eastAsia="Times New Roman" w:hAnsi="Times New Roman" w:cs="Times New Roman"/>
          <w:lang w:eastAsia="en-US"/>
        </w:rPr>
        <w:t xml:space="preserve"> that when switching to another antidepressant, clinicians should consider switching initially to a different SSRI or a better tolerated newer-generation antidepressant and subsequently to an antidepressant of a different pharmacological class that may be less well tolerated, for example venlafaxine, an older</w:t>
      </w:r>
      <w:r w:rsidR="00102AFB">
        <w:rPr>
          <w:rFonts w:ascii="Times New Roman" w:eastAsia="Times New Roman" w:hAnsi="Times New Roman" w:cs="Times New Roman"/>
          <w:lang w:eastAsia="en-US"/>
        </w:rPr>
        <w:t xml:space="preserve"> </w:t>
      </w:r>
      <w:r w:rsidRPr="001B5142">
        <w:rPr>
          <w:rFonts w:ascii="Times New Roman" w:eastAsia="Times New Roman" w:hAnsi="Times New Roman" w:cs="Times New Roman"/>
          <w:lang w:eastAsia="en-US"/>
        </w:rPr>
        <w:t>TCA</w:t>
      </w:r>
      <w:r w:rsidR="00102AFB">
        <w:rPr>
          <w:rFonts w:ascii="Times New Roman" w:eastAsia="Times New Roman" w:hAnsi="Times New Roman" w:cs="Times New Roman"/>
          <w:lang w:eastAsia="en-US"/>
        </w:rPr>
        <w:t xml:space="preserve"> </w:t>
      </w:r>
      <w:r w:rsidR="00393C5C">
        <w:rPr>
          <w:rFonts w:ascii="Times New Roman" w:eastAsia="Times New Roman" w:hAnsi="Times New Roman" w:cs="Times New Roman"/>
          <w:lang w:eastAsia="en-US"/>
        </w:rPr>
        <w:t xml:space="preserve">(e.g. amitriptyline) </w:t>
      </w:r>
      <w:r w:rsidR="00102AFB">
        <w:rPr>
          <w:rFonts w:ascii="Times New Roman" w:eastAsia="Times New Roman" w:hAnsi="Times New Roman" w:cs="Times New Roman"/>
          <w:lang w:eastAsia="en-US"/>
        </w:rPr>
        <w:t xml:space="preserve">or a </w:t>
      </w:r>
      <w:r w:rsidR="000E0AB9">
        <w:rPr>
          <w:rFonts w:ascii="Times New Roman" w:eastAsia="Times New Roman" w:hAnsi="Times New Roman" w:cs="Times New Roman"/>
          <w:bCs/>
          <w:lang w:eastAsia="en-US"/>
        </w:rPr>
        <w:t>monoamine oxidase inhibitor</w:t>
      </w:r>
      <w:r w:rsidRPr="001B5142">
        <w:rPr>
          <w:rFonts w:ascii="Times New Roman" w:eastAsia="Times New Roman" w:hAnsi="Times New Roman" w:cs="Times New Roman"/>
          <w:lang w:eastAsia="en-US"/>
        </w:rPr>
        <w:t xml:space="preserve"> </w:t>
      </w:r>
      <w:r w:rsidR="00102AFB">
        <w:rPr>
          <w:rFonts w:ascii="Times New Roman" w:eastAsia="Times New Roman" w:hAnsi="Times New Roman" w:cs="Times New Roman"/>
          <w:lang w:eastAsia="en-US"/>
        </w:rPr>
        <w:t>(</w:t>
      </w:r>
      <w:r w:rsidRPr="001B5142">
        <w:rPr>
          <w:rFonts w:ascii="Times New Roman" w:eastAsia="Times New Roman" w:hAnsi="Times New Roman" w:cs="Times New Roman"/>
          <w:lang w:eastAsia="en-US"/>
        </w:rPr>
        <w:t>MAOI</w:t>
      </w:r>
      <w:r w:rsidR="00102AFB">
        <w:rPr>
          <w:rFonts w:ascii="Times New Roman" w:eastAsia="Times New Roman" w:hAnsi="Times New Roman" w:cs="Times New Roman"/>
          <w:lang w:eastAsia="en-US"/>
        </w:rPr>
        <w:t xml:space="preserve">, </w:t>
      </w:r>
      <w:r w:rsidRPr="001B5142">
        <w:rPr>
          <w:rFonts w:ascii="Times New Roman" w:eastAsia="Times New Roman" w:hAnsi="Times New Roman" w:cs="Times New Roman"/>
          <w:lang w:eastAsia="en-US"/>
        </w:rPr>
        <w:t xml:space="preserve">e.g. </w:t>
      </w:r>
      <w:proofErr w:type="spellStart"/>
      <w:r w:rsidRPr="001B5142">
        <w:rPr>
          <w:rFonts w:ascii="Times New Roman" w:eastAsia="Times New Roman" w:hAnsi="Times New Roman" w:cs="Times New Roman"/>
          <w:lang w:eastAsia="en-US"/>
        </w:rPr>
        <w:t>phenelzine</w:t>
      </w:r>
      <w:proofErr w:type="spellEnd"/>
      <w:r w:rsidRPr="001B5142">
        <w:rPr>
          <w:rFonts w:ascii="Times New Roman" w:eastAsia="Times New Roman" w:hAnsi="Times New Roman" w:cs="Times New Roman"/>
          <w:lang w:eastAsia="en-US"/>
        </w:rPr>
        <w:t xml:space="preserve">). </w:t>
      </w:r>
      <w:r w:rsidR="00802A47">
        <w:t xml:space="preserve"> </w:t>
      </w:r>
      <w:r w:rsidRPr="001B5142">
        <w:rPr>
          <w:rFonts w:ascii="Times New Roman" w:eastAsia="Times New Roman" w:hAnsi="Times New Roman" w:cs="Times New Roman"/>
          <w:lang w:eastAsia="en-US"/>
        </w:rPr>
        <w:t xml:space="preserve">The manufacturer stated that the tolerability profile of </w:t>
      </w:r>
      <w:proofErr w:type="spellStart"/>
      <w:r w:rsidRPr="001B5142">
        <w:rPr>
          <w:rFonts w:ascii="Times New Roman" w:eastAsia="Times New Roman" w:hAnsi="Times New Roman" w:cs="Times New Roman"/>
          <w:lang w:eastAsia="en-US"/>
        </w:rPr>
        <w:t>vortioxetine</w:t>
      </w:r>
      <w:proofErr w:type="spellEnd"/>
      <w:r w:rsidRPr="001B5142">
        <w:rPr>
          <w:rFonts w:ascii="Times New Roman" w:eastAsia="Times New Roman" w:hAnsi="Times New Roman" w:cs="Times New Roman"/>
          <w:lang w:eastAsia="en-US"/>
        </w:rPr>
        <w:t xml:space="preserve">, supported by the clinical efficacy data available within this </w:t>
      </w:r>
      <w:r>
        <w:rPr>
          <w:rFonts w:ascii="Times New Roman" w:eastAsia="Times New Roman" w:hAnsi="Times New Roman" w:cs="Times New Roman"/>
          <w:lang w:eastAsia="en-US"/>
        </w:rPr>
        <w:t xml:space="preserve">population, was consistent with </w:t>
      </w:r>
      <w:r w:rsidR="00B52FE8">
        <w:rPr>
          <w:rFonts w:ascii="Times New Roman" w:eastAsia="Times New Roman" w:hAnsi="Times New Roman" w:cs="Times New Roman"/>
          <w:lang w:eastAsia="en-US"/>
        </w:rPr>
        <w:t xml:space="preserve">their </w:t>
      </w:r>
      <w:r>
        <w:rPr>
          <w:rFonts w:ascii="Times New Roman" w:eastAsia="Times New Roman" w:hAnsi="Times New Roman" w:cs="Times New Roman"/>
          <w:lang w:eastAsia="en-US"/>
        </w:rPr>
        <w:t xml:space="preserve">proposed positioning </w:t>
      </w:r>
      <w:r w:rsidR="00B52FE8">
        <w:rPr>
          <w:rFonts w:ascii="Times New Roman" w:eastAsia="Times New Roman" w:hAnsi="Times New Roman" w:cs="Times New Roman"/>
          <w:lang w:eastAsia="en-US"/>
        </w:rPr>
        <w:t xml:space="preserve">of </w:t>
      </w:r>
      <w:proofErr w:type="spellStart"/>
      <w:r w:rsidR="00B52FE8">
        <w:rPr>
          <w:rFonts w:ascii="Times New Roman" w:eastAsia="Times New Roman" w:hAnsi="Times New Roman" w:cs="Times New Roman"/>
          <w:lang w:eastAsia="en-US"/>
        </w:rPr>
        <w:t>vortioxetine</w:t>
      </w:r>
      <w:proofErr w:type="spellEnd"/>
      <w:r w:rsidR="00B52FE8">
        <w:rPr>
          <w:rFonts w:ascii="Times New Roman" w:eastAsia="Times New Roman" w:hAnsi="Times New Roman" w:cs="Times New Roman"/>
          <w:lang w:eastAsia="en-US"/>
        </w:rPr>
        <w:t xml:space="preserve"> as an initial switch treatment within existing clinical pathways.</w:t>
      </w:r>
      <w:r>
        <w:rPr>
          <w:rFonts w:ascii="Times New Roman" w:eastAsia="Times New Roman" w:hAnsi="Times New Roman" w:cs="Times New Roman"/>
          <w:lang w:eastAsia="en-US"/>
        </w:rPr>
        <w:t xml:space="preserve">  </w:t>
      </w:r>
      <w:r w:rsidR="00B52FE8">
        <w:rPr>
          <w:rFonts w:ascii="Times New Roman" w:eastAsia="Times New Roman" w:hAnsi="Times New Roman" w:cs="Times New Roman"/>
          <w:bCs/>
          <w:lang w:eastAsia="en-US"/>
        </w:rPr>
        <w:t>T</w:t>
      </w:r>
      <w:r w:rsidR="00B52FE8" w:rsidRPr="00B52FE8">
        <w:rPr>
          <w:rFonts w:ascii="Times New Roman" w:eastAsia="Times New Roman" w:hAnsi="Times New Roman" w:cs="Times New Roman"/>
          <w:bCs/>
          <w:lang w:eastAsia="en-US"/>
        </w:rPr>
        <w:t xml:space="preserve">he main comparators for </w:t>
      </w:r>
      <w:proofErr w:type="spellStart"/>
      <w:r w:rsidR="00B52FE8" w:rsidRPr="00B52FE8">
        <w:rPr>
          <w:rFonts w:ascii="Times New Roman" w:eastAsia="Times New Roman" w:hAnsi="Times New Roman" w:cs="Times New Roman"/>
          <w:bCs/>
          <w:lang w:eastAsia="en-US"/>
        </w:rPr>
        <w:t>vortioxetine</w:t>
      </w:r>
      <w:proofErr w:type="spellEnd"/>
      <w:r w:rsidR="00B52FE8" w:rsidRPr="00B52FE8">
        <w:rPr>
          <w:rFonts w:ascii="Times New Roman" w:eastAsia="Times New Roman" w:hAnsi="Times New Roman" w:cs="Times New Roman"/>
          <w:bCs/>
          <w:lang w:eastAsia="en-US"/>
        </w:rPr>
        <w:t xml:space="preserve"> as an initial switch therapy </w:t>
      </w:r>
      <w:r w:rsidR="00B52FE8">
        <w:rPr>
          <w:rFonts w:ascii="Times New Roman" w:eastAsia="Times New Roman" w:hAnsi="Times New Roman" w:cs="Times New Roman"/>
          <w:bCs/>
          <w:lang w:eastAsia="en-US"/>
        </w:rPr>
        <w:t xml:space="preserve">were considered </w:t>
      </w:r>
      <w:r w:rsidR="00B52FE8" w:rsidRPr="00B52FE8">
        <w:rPr>
          <w:rFonts w:ascii="Times New Roman" w:eastAsia="Times New Roman" w:hAnsi="Times New Roman" w:cs="Times New Roman"/>
          <w:bCs/>
          <w:lang w:eastAsia="en-US"/>
        </w:rPr>
        <w:t xml:space="preserve">by the manufacturer to be SSRIs and better tolerated, newer-generation antidepressants.  The SNRIs (e.g. venlafaxine), </w:t>
      </w:r>
      <w:r w:rsidR="00102AFB">
        <w:rPr>
          <w:rFonts w:ascii="Times New Roman" w:eastAsia="Times New Roman" w:hAnsi="Times New Roman" w:cs="Times New Roman"/>
          <w:bCs/>
          <w:lang w:eastAsia="en-US"/>
        </w:rPr>
        <w:t>TCAs</w:t>
      </w:r>
      <w:r w:rsidR="00B52FE8" w:rsidRPr="00B52FE8">
        <w:rPr>
          <w:rFonts w:ascii="Times New Roman" w:eastAsia="Times New Roman" w:hAnsi="Times New Roman" w:cs="Times New Roman"/>
          <w:bCs/>
          <w:lang w:eastAsia="en-US"/>
        </w:rPr>
        <w:t xml:space="preserve"> and </w:t>
      </w:r>
      <w:r w:rsidR="00102AFB">
        <w:rPr>
          <w:rFonts w:ascii="Times New Roman" w:eastAsia="Times New Roman" w:hAnsi="Times New Roman" w:cs="Times New Roman"/>
          <w:bCs/>
          <w:lang w:eastAsia="en-US"/>
        </w:rPr>
        <w:t>MAOIs</w:t>
      </w:r>
      <w:r w:rsidR="00B52FE8" w:rsidRPr="00B52FE8">
        <w:rPr>
          <w:rFonts w:ascii="Times New Roman" w:eastAsia="Times New Roman" w:hAnsi="Times New Roman" w:cs="Times New Roman"/>
          <w:bCs/>
          <w:lang w:eastAsia="en-US"/>
        </w:rPr>
        <w:t xml:space="preserve"> were argued by the manufacturer to be reserved f</w:t>
      </w:r>
      <w:r w:rsidR="00B52FE8">
        <w:rPr>
          <w:rFonts w:ascii="Times New Roman" w:eastAsia="Times New Roman" w:hAnsi="Times New Roman" w:cs="Times New Roman"/>
          <w:bCs/>
          <w:lang w:eastAsia="en-US"/>
        </w:rPr>
        <w:t>or subsequent switches, due to tolerability issues</w:t>
      </w:r>
      <w:r w:rsidR="00B52FE8" w:rsidRPr="00B52FE8">
        <w:rPr>
          <w:rFonts w:ascii="Times New Roman" w:eastAsia="Times New Roman" w:hAnsi="Times New Roman" w:cs="Times New Roman"/>
          <w:bCs/>
          <w:lang w:eastAsia="en-US"/>
        </w:rPr>
        <w:t xml:space="preserve">.  </w:t>
      </w:r>
    </w:p>
    <w:p w14:paraId="19B39103" w14:textId="77777777" w:rsidR="00B138AF" w:rsidRDefault="00BA48CA" w:rsidP="00E374E7">
      <w:r>
        <w:rPr>
          <w:rFonts w:ascii="Times New Roman" w:eastAsia="Times New Roman" w:hAnsi="Times New Roman" w:cs="Times New Roman"/>
          <w:bCs/>
          <w:lang w:eastAsia="en-US"/>
        </w:rPr>
        <w:t>Although the ERG acknowledged</w:t>
      </w:r>
      <w:r w:rsidRPr="00BA48CA">
        <w:rPr>
          <w:rFonts w:ascii="Times New Roman" w:eastAsia="Times New Roman" w:hAnsi="Times New Roman" w:cs="Times New Roman"/>
          <w:bCs/>
          <w:lang w:eastAsia="en-US"/>
        </w:rPr>
        <w:t xml:space="preserve"> the justification provided by the manufacturer for restricting the patient population</w:t>
      </w:r>
      <w:r>
        <w:rPr>
          <w:rFonts w:ascii="Times New Roman" w:eastAsia="Times New Roman" w:hAnsi="Times New Roman" w:cs="Times New Roman"/>
          <w:bCs/>
          <w:lang w:eastAsia="en-US"/>
        </w:rPr>
        <w:t xml:space="preserve">, </w:t>
      </w:r>
      <w:r w:rsidRPr="00BA48CA">
        <w:rPr>
          <w:rFonts w:ascii="Times New Roman" w:eastAsia="Times New Roman" w:hAnsi="Times New Roman" w:cs="Times New Roman"/>
          <w:bCs/>
          <w:lang w:eastAsia="en-US"/>
        </w:rPr>
        <w:t xml:space="preserve">this </w:t>
      </w:r>
      <w:r>
        <w:rPr>
          <w:rFonts w:ascii="Times New Roman" w:eastAsia="Times New Roman" w:hAnsi="Times New Roman" w:cs="Times New Roman"/>
          <w:bCs/>
          <w:lang w:eastAsia="en-US"/>
        </w:rPr>
        <w:t>was also considered to represent</w:t>
      </w:r>
      <w:r w:rsidRPr="00BA48CA">
        <w:rPr>
          <w:rFonts w:ascii="Times New Roman" w:eastAsia="Times New Roman" w:hAnsi="Times New Roman" w:cs="Times New Roman"/>
          <w:bCs/>
          <w:lang w:eastAsia="en-US"/>
        </w:rPr>
        <w:t xml:space="preserve"> an important limitation from both a clinical and cost-effectiveness perspective.  T</w:t>
      </w:r>
      <w:r>
        <w:rPr>
          <w:rFonts w:ascii="Times New Roman" w:eastAsia="Times New Roman" w:hAnsi="Times New Roman" w:cs="Times New Roman"/>
          <w:bCs/>
          <w:lang w:eastAsia="en-US"/>
        </w:rPr>
        <w:t>he ERG considered</w:t>
      </w:r>
      <w:r w:rsidRPr="00BA48CA">
        <w:rPr>
          <w:rFonts w:ascii="Times New Roman" w:eastAsia="Times New Roman" w:hAnsi="Times New Roman" w:cs="Times New Roman"/>
          <w:bCs/>
          <w:lang w:eastAsia="en-US"/>
        </w:rPr>
        <w:t xml:space="preserve"> that the appropriate population and potential position of </w:t>
      </w:r>
      <w:proofErr w:type="spellStart"/>
      <w:r w:rsidRPr="00BA48CA">
        <w:rPr>
          <w:rFonts w:ascii="Times New Roman" w:eastAsia="Times New Roman" w:hAnsi="Times New Roman" w:cs="Times New Roman"/>
          <w:bCs/>
          <w:lang w:eastAsia="en-US"/>
        </w:rPr>
        <w:t>vortioxetine</w:t>
      </w:r>
      <w:proofErr w:type="spellEnd"/>
      <w:r w:rsidRPr="00BA48CA">
        <w:rPr>
          <w:rFonts w:ascii="Times New Roman" w:eastAsia="Times New Roman" w:hAnsi="Times New Roman" w:cs="Times New Roman"/>
          <w:bCs/>
          <w:lang w:eastAsia="en-US"/>
        </w:rPr>
        <w:t xml:space="preserve"> should have been more formally demonstrated </w:t>
      </w:r>
      <w:r>
        <w:rPr>
          <w:rFonts w:ascii="Times New Roman" w:eastAsia="Times New Roman" w:hAnsi="Times New Roman" w:cs="Times New Roman"/>
          <w:bCs/>
          <w:lang w:eastAsia="en-US"/>
        </w:rPr>
        <w:t>by the manufacturer</w:t>
      </w:r>
      <w:r w:rsidRPr="00BA48CA">
        <w:rPr>
          <w:rFonts w:ascii="Times New Roman" w:eastAsia="Times New Roman" w:hAnsi="Times New Roman" w:cs="Times New Roman"/>
          <w:bCs/>
          <w:lang w:eastAsia="en-US"/>
        </w:rPr>
        <w:t xml:space="preserve">, based on consideration of the full evidence base for </w:t>
      </w:r>
      <w:proofErr w:type="spellStart"/>
      <w:r w:rsidRPr="00BA48CA">
        <w:rPr>
          <w:rFonts w:ascii="Times New Roman" w:eastAsia="Times New Roman" w:hAnsi="Times New Roman" w:cs="Times New Roman"/>
          <w:bCs/>
          <w:lang w:eastAsia="en-US"/>
        </w:rPr>
        <w:t>vortioxetine</w:t>
      </w:r>
      <w:proofErr w:type="spellEnd"/>
      <w:r w:rsidRPr="00BA48CA">
        <w:rPr>
          <w:rFonts w:ascii="Times New Roman" w:eastAsia="Times New Roman" w:hAnsi="Times New Roman" w:cs="Times New Roman"/>
          <w:bCs/>
          <w:lang w:eastAsia="en-US"/>
        </w:rPr>
        <w:t xml:space="preserve"> and other comparators, rather than restricting the decision population and evidence base from the outset. </w:t>
      </w:r>
      <w:r w:rsidR="004C5000">
        <w:rPr>
          <w:rFonts w:ascii="Times New Roman" w:eastAsia="Times New Roman" w:hAnsi="Times New Roman" w:cs="Times New Roman"/>
          <w:bCs/>
          <w:lang w:eastAsia="en-US"/>
        </w:rPr>
        <w:t>A</w:t>
      </w:r>
      <w:r w:rsidRPr="00BA48CA">
        <w:rPr>
          <w:rFonts w:ascii="Times New Roman" w:eastAsia="Times New Roman" w:hAnsi="Times New Roman" w:cs="Times New Roman"/>
          <w:lang w:eastAsia="en-US"/>
        </w:rPr>
        <w:t xml:space="preserve">lthough </w:t>
      </w:r>
      <w:proofErr w:type="spellStart"/>
      <w:r w:rsidRPr="00BA48CA">
        <w:rPr>
          <w:rFonts w:ascii="Times New Roman" w:eastAsia="Times New Roman" w:hAnsi="Times New Roman" w:cs="Times New Roman"/>
          <w:lang w:eastAsia="en-US"/>
        </w:rPr>
        <w:t>vortioxetine</w:t>
      </w:r>
      <w:proofErr w:type="spellEnd"/>
      <w:r w:rsidRPr="00BA48CA">
        <w:rPr>
          <w:rFonts w:ascii="Times New Roman" w:eastAsia="Times New Roman" w:hAnsi="Times New Roman" w:cs="Times New Roman"/>
          <w:lang w:eastAsia="en-US"/>
        </w:rPr>
        <w:t xml:space="preserve"> has been studied in 24 completed trials (some of which were healthy volunteer trials) involving over 7,000 patients, the m</w:t>
      </w:r>
      <w:r>
        <w:rPr>
          <w:rFonts w:ascii="Times New Roman" w:eastAsia="Times New Roman" w:hAnsi="Times New Roman" w:cs="Times New Roman"/>
          <w:lang w:eastAsia="en-US"/>
        </w:rPr>
        <w:t>anufacturer’s submission focused</w:t>
      </w:r>
      <w:r w:rsidRPr="00BA48CA">
        <w:rPr>
          <w:rFonts w:ascii="Times New Roman" w:eastAsia="Times New Roman" w:hAnsi="Times New Roman" w:cs="Times New Roman"/>
          <w:lang w:eastAsia="en-US"/>
        </w:rPr>
        <w:t xml:space="preserve"> largely on 2 studies considered relevant to the decision problem; </w:t>
      </w:r>
      <w:r w:rsidR="004C5000">
        <w:rPr>
          <w:rFonts w:ascii="Times New Roman" w:eastAsia="Times New Roman" w:hAnsi="Times New Roman" w:cs="Times New Roman"/>
          <w:lang w:eastAsia="en-US"/>
        </w:rPr>
        <w:t>REVIVE</w:t>
      </w:r>
      <w:r w:rsidRPr="00BA48CA">
        <w:rPr>
          <w:rFonts w:ascii="Times New Roman" w:eastAsia="Times New Roman" w:hAnsi="Times New Roman" w:cs="Times New Roman"/>
          <w:lang w:eastAsia="en-US"/>
        </w:rPr>
        <w:t xml:space="preserve"> and TAK318</w:t>
      </w:r>
      <w:r>
        <w:rPr>
          <w:rFonts w:ascii="Times New Roman" w:eastAsia="Times New Roman" w:hAnsi="Times New Roman" w:cs="Times New Roman"/>
          <w:lang w:eastAsia="en-US"/>
        </w:rPr>
        <w:t>.</w:t>
      </w:r>
      <w:r w:rsidRPr="00BA48CA">
        <w:rPr>
          <w:rFonts w:ascii="Times New Roman" w:eastAsia="Times New Roman" w:hAnsi="Times New Roman" w:cs="Times New Roman"/>
          <w:bCs/>
          <w:lang w:eastAsia="en-US"/>
        </w:rPr>
        <w:t xml:space="preserve"> </w:t>
      </w:r>
      <w:r w:rsidR="00F81D84">
        <w:br w:type="page"/>
      </w:r>
    </w:p>
    <w:p w14:paraId="18CEDE22" w14:textId="77777777" w:rsidR="000F5F5E" w:rsidRDefault="00E05A80" w:rsidP="000F5F5E">
      <w:pPr>
        <w:pStyle w:val="Heading1"/>
      </w:pPr>
      <w:bookmarkStart w:id="7" w:name="_Toc429652474"/>
      <w:bookmarkStart w:id="8" w:name="_Toc448503394"/>
      <w:r>
        <w:lastRenderedPageBreak/>
        <w:t>3</w:t>
      </w:r>
      <w:r w:rsidR="00F81D84">
        <w:t>.</w:t>
      </w:r>
      <w:r w:rsidR="00F81D84">
        <w:tab/>
        <w:t>The Independent Evidence Review Group (ERG) Review</w:t>
      </w:r>
      <w:bookmarkEnd w:id="7"/>
      <w:bookmarkEnd w:id="8"/>
    </w:p>
    <w:p w14:paraId="532C811D" w14:textId="0894C93E" w:rsidR="00840FEB" w:rsidRDefault="00840FEB" w:rsidP="00840FEB">
      <w:r>
        <w:t xml:space="preserve">The manufacturer provided a submission to NICE on the use of </w:t>
      </w:r>
      <w:proofErr w:type="spellStart"/>
      <w:r w:rsidR="003B041A">
        <w:t>vortioxetine</w:t>
      </w:r>
      <w:proofErr w:type="spellEnd"/>
      <w:r w:rsidR="003B041A">
        <w:t xml:space="preserve"> for the treatment of a </w:t>
      </w:r>
      <w:r w:rsidR="00324C0F">
        <w:t>MDE</w:t>
      </w:r>
      <w:r w:rsidR="003B041A">
        <w:t xml:space="preserve"> with patients who have </w:t>
      </w:r>
      <w:r w:rsidR="003B041A" w:rsidRPr="00AF798D">
        <w:t>responded inadequately in terms of efficacy or tolerability to initial antidepressant treatment</w:t>
      </w:r>
      <w:r w:rsidR="003B041A">
        <w:t>.</w:t>
      </w:r>
    </w:p>
    <w:p w14:paraId="6D62094D" w14:textId="77777777" w:rsidR="00840FEB" w:rsidRDefault="00840FEB" w:rsidP="00840FEB">
      <w:r>
        <w:t>The ERG critically reviewed the evidence presented in the manufacturer’s submission by assessing: (</w:t>
      </w:r>
      <w:proofErr w:type="spellStart"/>
      <w:r>
        <w:t>i</w:t>
      </w:r>
      <w:proofErr w:type="spellEnd"/>
      <w:r>
        <w:t>) whether the submission conformed to NICE methodological guidelines; (ii) whether the manufacturer’s interpretation and analysis of the evidence were appropriate; and (iii) the presence of other evidence or alternative interpretations of the evidence.  In addition, the ERG identified areas requiring clarification, for which the manufacturer provided additional evidence</w:t>
      </w:r>
      <w:r w:rsidR="003B041A">
        <w:t xml:space="preserve"> </w:t>
      </w:r>
      <w:r w:rsidR="003B041A">
        <w:fldChar w:fldCharType="begin" w:fldLock="1"/>
      </w:r>
      <w:r w:rsidR="00191B9B">
        <w:instrText>ADDIN CSL_CITATION { "citationItems" : [ { "id" : "ITEM-1", "itemData" : { "author" : [ { "dropping-particle" : "", "family" : "Simmonds", "given" : "Mark", "non-dropping-particle" : "", "parse-names" : false, "suffix" : "" }, { "dropping-particle" : "", "family" : "Lomas", "given" : "James", "non-dropping-particle" : "", "parse-names" : false, "suffix" : "" }, { "dropping-particle" : "", "family" : "Llewellyn", "given" : "Alexis", "non-dropping-particle" : "", "parse-names" : false, "suffix" : "" }, { "dropping-particle" : "", "family" : "Soares", "given" : "Marta", "non-dropping-particle" : "", "parse-names" : false, "suffix" : "" }, { "dropping-particle" : "", "family" : "Wright", "given" : "Kath", "non-dropping-particle" : "", "parse-names" : false, "suffix" : "" }, { "dropping-particle" : "", "family" : "Eastwood", "given" : "Alison", "non-dropping-particle" : "", "parse-names" : false, "suffix" : "" }, { "dropping-particle" : "", "family" : "Palmer", "given" : "Stephen", "non-dropping-particle" : "", "parse-names" : false, "suffix" : "" } ], "container-title" : "CRD and CHE Technology Assessment Group", "id" : "ITEM-1", "issued" : { "date-parts" : [ [ "2015" ] ] }, "title" : "Vortioxetine for treating major depressive disorder: A Single Technology Appraisal", "type" : "article-journal" }, "uris" : [ "http://www.mendeley.com/documents/?uuid=176de768-5889-4180-8cdb-98ebf684b297" ] } ], "mendeley" : { "formattedCitation" : "[2]", "plainTextFormattedCitation" : "[2]", "previouslyFormattedCitation" : "[2]" }, "properties" : { "noteIndex" : 0 }, "schema" : "https://github.com/citation-style-language/schema/raw/master/csl-citation.json" }</w:instrText>
      </w:r>
      <w:r w:rsidR="003B041A">
        <w:fldChar w:fldCharType="separate"/>
      </w:r>
      <w:r w:rsidR="00315DE8" w:rsidRPr="00315DE8">
        <w:rPr>
          <w:noProof/>
        </w:rPr>
        <w:t>[2]</w:t>
      </w:r>
      <w:r w:rsidR="003B041A">
        <w:fldChar w:fldCharType="end"/>
      </w:r>
      <w:r>
        <w:t>.</w:t>
      </w:r>
    </w:p>
    <w:p w14:paraId="650BD205" w14:textId="77777777" w:rsidR="00C211C9" w:rsidRDefault="00E05A80" w:rsidP="00C211C9">
      <w:pPr>
        <w:pStyle w:val="Heading2"/>
      </w:pPr>
      <w:bookmarkStart w:id="9" w:name="_Toc429652475"/>
      <w:bookmarkStart w:id="10" w:name="_Toc448503395"/>
      <w:r>
        <w:t>3</w:t>
      </w:r>
      <w:r w:rsidR="000F5F5E">
        <w:t>.1</w:t>
      </w:r>
      <w:r w:rsidR="000F5F5E">
        <w:tab/>
        <w:t>Clinical Evidence</w:t>
      </w:r>
      <w:bookmarkEnd w:id="9"/>
      <w:bookmarkEnd w:id="10"/>
    </w:p>
    <w:p w14:paraId="1184FE2F" w14:textId="77777777" w:rsidR="000221D8" w:rsidRPr="000221D8" w:rsidRDefault="007B3395" w:rsidP="00704A62">
      <w:pPr>
        <w:rPr>
          <w:rFonts w:ascii="Times New Roman" w:eastAsia="Times New Roman" w:hAnsi="Times New Roman" w:cs="Times New Roman"/>
          <w:lang w:eastAsia="en-US"/>
        </w:rPr>
      </w:pPr>
      <w:r w:rsidRPr="00065CF9">
        <w:t>The company conducted a systematic review of the literature to identify studies evaluating the clinical effectiveness and safety of</w:t>
      </w:r>
      <w:r>
        <w:t xml:space="preserve"> </w:t>
      </w:r>
      <w:proofErr w:type="spellStart"/>
      <w:r>
        <w:t>vortioxetine</w:t>
      </w:r>
      <w:proofErr w:type="spellEnd"/>
      <w:r>
        <w:t xml:space="preserve"> for treating</w:t>
      </w:r>
      <w:r w:rsidR="00BD1AE9">
        <w:t xml:space="preserve"> </w:t>
      </w:r>
      <w:r w:rsidR="000221D8">
        <w:t xml:space="preserve">individuals </w:t>
      </w:r>
      <w:r w:rsidR="000221D8" w:rsidRPr="000221D8">
        <w:rPr>
          <w:rFonts w:ascii="Times New Roman" w:eastAsia="Times New Roman" w:hAnsi="Times New Roman" w:cs="Times New Roman"/>
          <w:lang w:eastAsia="en-US"/>
        </w:rPr>
        <w:t xml:space="preserve">with moderate-to-severe </w:t>
      </w:r>
      <w:r w:rsidR="000221D8">
        <w:rPr>
          <w:rFonts w:ascii="Times New Roman" w:eastAsia="Times New Roman" w:hAnsi="Times New Roman" w:cs="Times New Roman"/>
          <w:lang w:eastAsia="en-US"/>
        </w:rPr>
        <w:t>MDD who are experiencing an MDE and</w:t>
      </w:r>
      <w:r w:rsidR="000221D8" w:rsidRPr="000221D8">
        <w:rPr>
          <w:rFonts w:ascii="Times New Roman" w:eastAsia="Times New Roman" w:hAnsi="Times New Roman" w:cs="Times New Roman"/>
          <w:lang w:eastAsia="en-US"/>
        </w:rPr>
        <w:t xml:space="preserve"> who have responded inadequately in terms of efficacy or tolerability to initial antidepressant treatment</w:t>
      </w:r>
      <w:r w:rsidR="000221D8">
        <w:rPr>
          <w:rFonts w:ascii="Times New Roman" w:eastAsia="Times New Roman" w:hAnsi="Times New Roman" w:cs="Times New Roman"/>
          <w:lang w:eastAsia="en-US"/>
        </w:rPr>
        <w:t>.</w:t>
      </w:r>
      <w:r>
        <w:t xml:space="preserve"> </w:t>
      </w:r>
      <w:r w:rsidR="001E5CD8">
        <w:t>Two</w:t>
      </w:r>
      <w:r>
        <w:t> phase III randomised controlled trials</w:t>
      </w:r>
      <w:r w:rsidR="00CB72A5">
        <w:t xml:space="preserve"> for a second-line population involving </w:t>
      </w:r>
      <w:proofErr w:type="spellStart"/>
      <w:r w:rsidR="00CB72A5">
        <w:t>vortioxetine</w:t>
      </w:r>
      <w:proofErr w:type="spellEnd"/>
      <w:r w:rsidR="001E5CD8">
        <w:t xml:space="preserve"> were identified</w:t>
      </w:r>
      <w:r>
        <w:t>, REVIVE and TAK318.</w:t>
      </w:r>
      <w:r w:rsidR="00F85823">
        <w:t xml:space="preserve"> </w:t>
      </w:r>
    </w:p>
    <w:p w14:paraId="361807EC" w14:textId="77777777" w:rsidR="000221D8" w:rsidRDefault="00D728E7" w:rsidP="00704A62">
      <w:r>
        <w:t xml:space="preserve">REVIVE </w:t>
      </w:r>
      <w:r w:rsidR="00A11DDD">
        <w:t xml:space="preserve">was </w:t>
      </w:r>
      <w:r w:rsidR="000221D8">
        <w:t xml:space="preserve">a </w:t>
      </w:r>
      <w:r w:rsidR="000221D8">
        <w:rPr>
          <w:rFonts w:ascii="Times New Roman" w:eastAsia="Times New Roman" w:hAnsi="Times New Roman" w:cs="Times New Roman"/>
          <w:lang w:eastAsia="en-US"/>
        </w:rPr>
        <w:t xml:space="preserve">12-week, </w:t>
      </w:r>
      <w:r w:rsidR="000221D8" w:rsidRPr="000221D8">
        <w:rPr>
          <w:rFonts w:ascii="Times New Roman" w:eastAsia="Times New Roman" w:hAnsi="Times New Roman" w:cs="Times New Roman"/>
          <w:lang w:eastAsia="en-US"/>
        </w:rPr>
        <w:t xml:space="preserve">phase </w:t>
      </w:r>
      <w:proofErr w:type="spellStart"/>
      <w:r w:rsidR="000221D8" w:rsidRPr="000221D8">
        <w:rPr>
          <w:rFonts w:ascii="Times New Roman" w:eastAsia="Times New Roman" w:hAnsi="Times New Roman" w:cs="Times New Roman"/>
          <w:lang w:eastAsia="en-US"/>
        </w:rPr>
        <w:t>IIIb</w:t>
      </w:r>
      <w:proofErr w:type="spellEnd"/>
      <w:r w:rsidR="000221D8" w:rsidRPr="000221D8">
        <w:rPr>
          <w:rFonts w:ascii="Times New Roman" w:eastAsia="Times New Roman" w:hAnsi="Times New Roman" w:cs="Times New Roman"/>
          <w:lang w:eastAsia="en-US"/>
        </w:rPr>
        <w:t>, non-inferiority</w:t>
      </w:r>
      <w:r w:rsidR="000221D8">
        <w:rPr>
          <w:rFonts w:ascii="Times New Roman" w:eastAsia="Times New Roman" w:hAnsi="Times New Roman" w:cs="Times New Roman"/>
          <w:lang w:eastAsia="en-US"/>
        </w:rPr>
        <w:t xml:space="preserve"> RCT (n=501)</w:t>
      </w:r>
      <w:r w:rsidR="000221D8" w:rsidRPr="000221D8">
        <w:rPr>
          <w:rFonts w:ascii="Times New Roman" w:eastAsia="Times New Roman" w:hAnsi="Times New Roman" w:cs="Times New Roman"/>
          <w:lang w:eastAsia="en-US"/>
        </w:rPr>
        <w:t xml:space="preserve">, that assessed the efficacy and safety of </w:t>
      </w:r>
      <w:proofErr w:type="spellStart"/>
      <w:r w:rsidR="000221D8" w:rsidRPr="000221D8">
        <w:rPr>
          <w:rFonts w:ascii="Times New Roman" w:eastAsia="Times New Roman" w:hAnsi="Times New Roman" w:cs="Times New Roman"/>
          <w:lang w:eastAsia="en-US"/>
        </w:rPr>
        <w:t>vortioxetine</w:t>
      </w:r>
      <w:proofErr w:type="spellEnd"/>
      <w:r w:rsidR="000221D8" w:rsidRPr="000221D8">
        <w:rPr>
          <w:rFonts w:ascii="Times New Roman" w:eastAsia="Times New Roman" w:hAnsi="Times New Roman" w:cs="Times New Roman"/>
          <w:lang w:eastAsia="en-US"/>
        </w:rPr>
        <w:t xml:space="preserve"> versus </w:t>
      </w:r>
      <w:proofErr w:type="spellStart"/>
      <w:r w:rsidR="000221D8" w:rsidRPr="000221D8">
        <w:rPr>
          <w:rFonts w:ascii="Times New Roman" w:eastAsia="Times New Roman" w:hAnsi="Times New Roman" w:cs="Times New Roman"/>
          <w:lang w:eastAsia="en-US"/>
        </w:rPr>
        <w:t>agomelatine</w:t>
      </w:r>
      <w:proofErr w:type="spellEnd"/>
      <w:r w:rsidR="000221D8" w:rsidRPr="000221D8">
        <w:rPr>
          <w:rFonts w:ascii="Times New Roman" w:eastAsia="Times New Roman" w:hAnsi="Times New Roman" w:cs="Times New Roman"/>
          <w:lang w:eastAsia="en-US"/>
        </w:rPr>
        <w:t xml:space="preserve"> in</w:t>
      </w:r>
      <w:r w:rsidR="000221D8">
        <w:rPr>
          <w:rFonts w:ascii="Times New Roman" w:eastAsia="Times New Roman" w:hAnsi="Times New Roman" w:cs="Times New Roman"/>
          <w:lang w:eastAsia="en-US"/>
        </w:rPr>
        <w:t xml:space="preserve"> adult</w:t>
      </w:r>
      <w:r w:rsidR="000221D8" w:rsidRPr="000221D8">
        <w:rPr>
          <w:rFonts w:ascii="Times New Roman" w:eastAsia="Times New Roman" w:hAnsi="Times New Roman" w:cs="Times New Roman"/>
          <w:lang w:eastAsia="en-US"/>
        </w:rPr>
        <w:t xml:space="preserve"> patients with MDD who had failed initial antidepressant therapy</w:t>
      </w:r>
      <w:r w:rsidR="000221D8">
        <w:t>.</w:t>
      </w:r>
      <w:r>
        <w:t xml:space="preserve"> Patients were randomised </w:t>
      </w:r>
      <w:r w:rsidR="00A11DDD">
        <w:t xml:space="preserve">to either </w:t>
      </w:r>
      <w:proofErr w:type="spellStart"/>
      <w:r>
        <w:t>vortioxetine</w:t>
      </w:r>
      <w:proofErr w:type="spellEnd"/>
      <w:r w:rsidR="00A11DDD">
        <w:t xml:space="preserve"> </w:t>
      </w:r>
      <w:r>
        <w:t>(10–20 mg daily; starting dose 10 mg daily), or</w:t>
      </w:r>
      <w:r w:rsidR="00A11DDD">
        <w:t xml:space="preserve"> </w:t>
      </w:r>
      <w:proofErr w:type="spellStart"/>
      <w:r>
        <w:t>agomelatine</w:t>
      </w:r>
      <w:proofErr w:type="spellEnd"/>
      <w:r w:rsidR="00A11DDD">
        <w:t xml:space="preserve"> arm</w:t>
      </w:r>
      <w:r>
        <w:t xml:space="preserve"> (25–50 mg daily; starting dose 25 mg daily). The primary outcome measure was change in </w:t>
      </w:r>
      <w:r w:rsidR="002B5928" w:rsidRPr="002B5928">
        <w:t>Montgomery–</w:t>
      </w:r>
      <w:proofErr w:type="spellStart"/>
      <w:r w:rsidR="002B5928" w:rsidRPr="002B5928">
        <w:t>Åsberg</w:t>
      </w:r>
      <w:proofErr w:type="spellEnd"/>
      <w:r w:rsidR="002B5928" w:rsidRPr="002B5928">
        <w:t xml:space="preserve"> Depression Rating Scale </w:t>
      </w:r>
      <w:r w:rsidR="002B5928">
        <w:t>(</w:t>
      </w:r>
      <w:r>
        <w:t>MADRS</w:t>
      </w:r>
      <w:r w:rsidR="002B5928">
        <w:t>)</w:t>
      </w:r>
      <w:r>
        <w:t xml:space="preserve"> score from baseline to week 8</w:t>
      </w:r>
      <w:r w:rsidR="00CC3FEE">
        <w:t>.</w:t>
      </w:r>
      <w:r w:rsidR="00BF2857">
        <w:rPr>
          <w:rStyle w:val="FootnoteReference"/>
        </w:rPr>
        <w:footnoteReference w:id="1"/>
      </w:r>
      <w:r w:rsidR="00CC3FEE">
        <w:t xml:space="preserve"> </w:t>
      </w:r>
      <w:r w:rsidR="000221D8" w:rsidRPr="000221D8">
        <w:rPr>
          <w:rFonts w:ascii="Times New Roman" w:eastAsia="Times New Roman" w:hAnsi="Times New Roman" w:cs="Times New Roman"/>
          <w:lang w:eastAsia="en-US"/>
        </w:rPr>
        <w:t>Secondary efficacy outcomes included response (defined as ≥50% decrease from baseline in MADRS total score, or a</w:t>
      </w:r>
      <w:r w:rsidR="00BF2857">
        <w:rPr>
          <w:rFonts w:ascii="Times New Roman" w:eastAsia="Times New Roman" w:hAnsi="Times New Roman" w:cs="Times New Roman"/>
          <w:lang w:eastAsia="en-US"/>
        </w:rPr>
        <w:t xml:space="preserve"> </w:t>
      </w:r>
      <w:r w:rsidR="00BF2857" w:rsidRPr="00BF2857">
        <w:rPr>
          <w:rFonts w:ascii="Times New Roman" w:eastAsia="Times New Roman" w:hAnsi="Times New Roman" w:cs="Times New Roman"/>
          <w:lang w:eastAsia="en-US"/>
        </w:rPr>
        <w:t xml:space="preserve">Clinical Global Impression – </w:t>
      </w:r>
      <w:r w:rsidR="00BF2857">
        <w:rPr>
          <w:rFonts w:ascii="Times New Roman" w:eastAsia="Times New Roman" w:hAnsi="Times New Roman" w:cs="Times New Roman"/>
          <w:lang w:eastAsia="en-US"/>
        </w:rPr>
        <w:t>Improvement</w:t>
      </w:r>
      <w:r w:rsidR="00BF2857" w:rsidRPr="00BF2857">
        <w:rPr>
          <w:rFonts w:ascii="Times New Roman" w:eastAsia="Times New Roman" w:hAnsi="Times New Roman" w:cs="Times New Roman"/>
          <w:lang w:eastAsia="en-US"/>
        </w:rPr>
        <w:t xml:space="preserve"> scale</w:t>
      </w:r>
      <w:r w:rsidR="000221D8" w:rsidRPr="000221D8">
        <w:rPr>
          <w:rFonts w:ascii="Times New Roman" w:eastAsia="Times New Roman" w:hAnsi="Times New Roman" w:cs="Times New Roman"/>
          <w:lang w:eastAsia="en-US"/>
        </w:rPr>
        <w:t xml:space="preserve"> </w:t>
      </w:r>
      <w:r w:rsidR="00BF2857">
        <w:rPr>
          <w:rFonts w:ascii="Times New Roman" w:eastAsia="Times New Roman" w:hAnsi="Times New Roman" w:cs="Times New Roman"/>
          <w:lang w:eastAsia="en-US"/>
        </w:rPr>
        <w:t>(</w:t>
      </w:r>
      <w:r w:rsidR="000221D8" w:rsidRPr="000221D8">
        <w:rPr>
          <w:rFonts w:ascii="Times New Roman" w:eastAsia="Times New Roman" w:hAnsi="Times New Roman" w:cs="Times New Roman"/>
          <w:lang w:eastAsia="en-US"/>
        </w:rPr>
        <w:t>CGI-I</w:t>
      </w:r>
      <w:r w:rsidR="00BF2857">
        <w:rPr>
          <w:rFonts w:ascii="Times New Roman" w:eastAsia="Times New Roman" w:hAnsi="Times New Roman" w:cs="Times New Roman"/>
          <w:lang w:eastAsia="en-US"/>
        </w:rPr>
        <w:t>)</w:t>
      </w:r>
      <w:r w:rsidR="000221D8" w:rsidRPr="000221D8">
        <w:rPr>
          <w:rFonts w:ascii="Times New Roman" w:eastAsia="Times New Roman" w:hAnsi="Times New Roman" w:cs="Times New Roman"/>
          <w:lang w:eastAsia="en-US"/>
        </w:rPr>
        <w:t xml:space="preserve"> ≤2), and remission (defined as a MADRS total score ≤10, or a</w:t>
      </w:r>
      <w:r w:rsidR="00BF2857">
        <w:rPr>
          <w:rFonts w:ascii="Times New Roman" w:eastAsia="Times New Roman" w:hAnsi="Times New Roman" w:cs="Times New Roman"/>
          <w:lang w:eastAsia="en-US"/>
        </w:rPr>
        <w:t xml:space="preserve"> </w:t>
      </w:r>
      <w:r w:rsidR="00BF2857" w:rsidRPr="00BF2857">
        <w:rPr>
          <w:rFonts w:ascii="Times New Roman" w:eastAsia="Times New Roman" w:hAnsi="Times New Roman" w:cs="Times New Roman"/>
          <w:lang w:eastAsia="en-US"/>
        </w:rPr>
        <w:t>Clinical Global Impression – Severity scale</w:t>
      </w:r>
      <w:r w:rsidR="000221D8" w:rsidRPr="000221D8">
        <w:rPr>
          <w:rFonts w:ascii="Times New Roman" w:eastAsia="Times New Roman" w:hAnsi="Times New Roman" w:cs="Times New Roman"/>
          <w:lang w:eastAsia="en-US"/>
        </w:rPr>
        <w:t xml:space="preserve"> CGI-S ≤2).</w:t>
      </w:r>
    </w:p>
    <w:p w14:paraId="52F4C113" w14:textId="77777777" w:rsidR="00CB72A5" w:rsidRDefault="00A97ABC" w:rsidP="00704A62">
      <w:r>
        <w:rPr>
          <w:rFonts w:ascii="Times New Roman" w:hAnsi="Times New Roman" w:cs="Times New Roman"/>
        </w:rPr>
        <w:t xml:space="preserve">There was a </w:t>
      </w:r>
      <w:r w:rsidRPr="00BD71CF">
        <w:rPr>
          <w:rFonts w:ascii="Times New Roman" w:hAnsi="Times New Roman" w:cs="Times New Roman"/>
        </w:rPr>
        <w:t xml:space="preserve">statistically significant </w:t>
      </w:r>
      <w:r>
        <w:rPr>
          <w:rFonts w:ascii="Times New Roman" w:hAnsi="Times New Roman" w:cs="Times New Roman"/>
        </w:rPr>
        <w:t xml:space="preserve">difference in depression scores favouring </w:t>
      </w:r>
      <w:proofErr w:type="spellStart"/>
      <w:r>
        <w:rPr>
          <w:rFonts w:ascii="Times New Roman" w:hAnsi="Times New Roman" w:cs="Times New Roman"/>
        </w:rPr>
        <w:t>vortioxetine</w:t>
      </w:r>
      <w:proofErr w:type="spellEnd"/>
      <w:r>
        <w:rPr>
          <w:rFonts w:ascii="Times New Roman" w:hAnsi="Times New Roman" w:cs="Times New Roman"/>
        </w:rPr>
        <w:t xml:space="preserve"> compared with</w:t>
      </w:r>
      <w:r w:rsidRPr="00BD71CF">
        <w:rPr>
          <w:rFonts w:ascii="Times New Roman" w:hAnsi="Times New Roman" w:cs="Times New Roman"/>
        </w:rPr>
        <w:t xml:space="preserve"> </w:t>
      </w:r>
      <w:proofErr w:type="spellStart"/>
      <w:r w:rsidRPr="00BD71CF">
        <w:rPr>
          <w:rFonts w:ascii="Times New Roman" w:hAnsi="Times New Roman" w:cs="Times New Roman"/>
        </w:rPr>
        <w:t>agomelatine</w:t>
      </w:r>
      <w:proofErr w:type="spellEnd"/>
      <w:r>
        <w:rPr>
          <w:rFonts w:ascii="Times New Roman" w:hAnsi="Times New Roman" w:cs="Times New Roman"/>
        </w:rPr>
        <w:t xml:space="preserve"> (mean</w:t>
      </w:r>
      <w:r w:rsidRPr="00BD71CF">
        <w:rPr>
          <w:rFonts w:ascii="Times New Roman" w:hAnsi="Times New Roman" w:cs="Times New Roman"/>
        </w:rPr>
        <w:t xml:space="preserve"> MADRS score </w:t>
      </w:r>
      <w:r>
        <w:rPr>
          <w:rFonts w:ascii="Times New Roman" w:hAnsi="Times New Roman" w:cs="Times New Roman"/>
        </w:rPr>
        <w:t xml:space="preserve">difference of </w:t>
      </w:r>
      <w:r w:rsidRPr="00BD71CF">
        <w:rPr>
          <w:rFonts w:ascii="Times New Roman" w:hAnsi="Times New Roman" w:cs="Times New Roman"/>
        </w:rPr>
        <w:t>2.16 points</w:t>
      </w:r>
      <w:r>
        <w:rPr>
          <w:rFonts w:ascii="Times New Roman" w:hAnsi="Times New Roman" w:cs="Times New Roman"/>
        </w:rPr>
        <w:t xml:space="preserve">, </w:t>
      </w:r>
      <w:r w:rsidRPr="00BD71CF">
        <w:rPr>
          <w:rFonts w:ascii="Times New Roman" w:hAnsi="Times New Roman" w:cs="Times New Roman"/>
        </w:rPr>
        <w:t>95% CI 0.81 to 3.51)</w:t>
      </w:r>
      <w:r>
        <w:rPr>
          <w:rFonts w:ascii="Times New Roman" w:hAnsi="Times New Roman" w:cs="Times New Roman"/>
        </w:rPr>
        <w:t>.</w:t>
      </w:r>
      <w:r w:rsidR="00132431">
        <w:t xml:space="preserve"> </w:t>
      </w:r>
      <w:r w:rsidR="00F8762F">
        <w:t xml:space="preserve">Vortioxetine was also superior to </w:t>
      </w:r>
      <w:proofErr w:type="spellStart"/>
      <w:r w:rsidR="00F8762F">
        <w:t>agomelatine</w:t>
      </w:r>
      <w:proofErr w:type="spellEnd"/>
      <w:r w:rsidR="00F8762F">
        <w:t xml:space="preserve"> in terms of response rate using MADRS at 8 weeks (OR 1.81, 95% CI 1.26 to 2.60) and remission rate (OR 1.72, 95% CI 1.17 to 2.52). </w:t>
      </w:r>
      <w:r w:rsidR="00132431">
        <w:t xml:space="preserve">Vortioxetine and </w:t>
      </w:r>
      <w:proofErr w:type="spellStart"/>
      <w:r w:rsidR="00132431">
        <w:t>agomelatine</w:t>
      </w:r>
      <w:proofErr w:type="spellEnd"/>
      <w:r w:rsidR="00132431">
        <w:t xml:space="preserve"> had similar rates of treatment-emergent adverse events (around 54%) and serious adverse events (around 1.5%), but </w:t>
      </w:r>
      <w:proofErr w:type="spellStart"/>
      <w:r w:rsidR="00132431">
        <w:t>vortioxetine</w:t>
      </w:r>
      <w:proofErr w:type="spellEnd"/>
      <w:r w:rsidR="00132431">
        <w:t xml:space="preserve"> had lower rates of adverse events leading to withdrawal (5.9% vs 9.5%).</w:t>
      </w:r>
      <w:r w:rsidR="00CC3FEE">
        <w:t xml:space="preserve"> </w:t>
      </w:r>
    </w:p>
    <w:p w14:paraId="129FD5AA" w14:textId="5ADE8B26" w:rsidR="00132431" w:rsidRDefault="004C5000" w:rsidP="00704A62">
      <w:r w:rsidRPr="004C5000">
        <w:rPr>
          <w:rFonts w:ascii="Times New Roman" w:eastAsia="Times New Roman" w:hAnsi="Times New Roman" w:cs="Times New Roman"/>
          <w:lang w:eastAsia="en-US"/>
        </w:rPr>
        <w:t xml:space="preserve">Study TAK318 was a multicentre phase </w:t>
      </w:r>
      <w:proofErr w:type="spellStart"/>
      <w:r w:rsidRPr="004C5000">
        <w:rPr>
          <w:rFonts w:ascii="Times New Roman" w:eastAsia="Times New Roman" w:hAnsi="Times New Roman" w:cs="Times New Roman"/>
          <w:lang w:eastAsia="en-US"/>
        </w:rPr>
        <w:t>IIIb</w:t>
      </w:r>
      <w:proofErr w:type="spellEnd"/>
      <w:r>
        <w:rPr>
          <w:rFonts w:ascii="Times New Roman" w:eastAsia="Times New Roman" w:hAnsi="Times New Roman" w:cs="Times New Roman"/>
          <w:lang w:eastAsia="en-US"/>
        </w:rPr>
        <w:t xml:space="preserve"> RCT</w:t>
      </w:r>
      <w:r w:rsidRPr="004C5000">
        <w:rPr>
          <w:rFonts w:ascii="Times New Roman" w:eastAsia="Times New Roman" w:hAnsi="Times New Roman" w:cs="Times New Roman"/>
          <w:lang w:eastAsia="en-US"/>
        </w:rPr>
        <w:t xml:space="preserve"> </w:t>
      </w:r>
      <w:r>
        <w:rPr>
          <w:rFonts w:ascii="Times New Roman" w:eastAsia="Times New Roman" w:hAnsi="Times New Roman" w:cs="Times New Roman"/>
          <w:lang w:eastAsia="en-US"/>
        </w:rPr>
        <w:t xml:space="preserve">(n=447) </w:t>
      </w:r>
      <w:r w:rsidRPr="004C5000">
        <w:rPr>
          <w:rFonts w:ascii="Times New Roman" w:eastAsia="Times New Roman" w:hAnsi="Times New Roman" w:cs="Times New Roman"/>
          <w:lang w:eastAsia="en-US"/>
        </w:rPr>
        <w:t xml:space="preserve">that assessed the efficacy and safety of </w:t>
      </w:r>
      <w:proofErr w:type="spellStart"/>
      <w:r w:rsidRPr="004C5000">
        <w:rPr>
          <w:rFonts w:ascii="Times New Roman" w:eastAsia="Times New Roman" w:hAnsi="Times New Roman" w:cs="Times New Roman"/>
          <w:lang w:eastAsia="en-US"/>
        </w:rPr>
        <w:t>vortioxetine</w:t>
      </w:r>
      <w:proofErr w:type="spellEnd"/>
      <w:r w:rsidRPr="004C5000">
        <w:rPr>
          <w:rFonts w:ascii="Times New Roman" w:eastAsia="Times New Roman" w:hAnsi="Times New Roman" w:cs="Times New Roman"/>
          <w:lang w:eastAsia="en-US"/>
        </w:rPr>
        <w:t xml:space="preserve"> versus escitalopram in patients with well-treated MDD</w:t>
      </w:r>
      <w:r w:rsidR="009F2F75">
        <w:rPr>
          <w:rFonts w:ascii="Times New Roman" w:eastAsia="Times New Roman" w:hAnsi="Times New Roman" w:cs="Times New Roman"/>
          <w:lang w:eastAsia="en-US"/>
        </w:rPr>
        <w:t xml:space="preserve"> </w:t>
      </w:r>
      <w:r w:rsidR="009F2F75" w:rsidRPr="009F2F75">
        <w:rPr>
          <w:rFonts w:ascii="Times New Roman" w:eastAsia="Times New Roman" w:hAnsi="Times New Roman" w:cs="Times New Roman"/>
          <w:lang w:eastAsia="en-US"/>
        </w:rPr>
        <w:t>(CGI-S score ≤3)</w:t>
      </w:r>
      <w:r w:rsidRPr="004C5000">
        <w:rPr>
          <w:rFonts w:ascii="Times New Roman" w:eastAsia="Times New Roman" w:hAnsi="Times New Roman" w:cs="Times New Roman"/>
          <w:lang w:eastAsia="en-US"/>
        </w:rPr>
        <w:t xml:space="preserve"> who were experiencing SSRI-induced sexual dysfunction</w:t>
      </w:r>
      <w:r>
        <w:rPr>
          <w:rFonts w:ascii="Times New Roman" w:eastAsia="Times New Roman" w:hAnsi="Times New Roman" w:cs="Times New Roman"/>
          <w:lang w:eastAsia="en-US"/>
        </w:rPr>
        <w:t xml:space="preserve">. </w:t>
      </w:r>
      <w:r w:rsidR="00132431">
        <w:t>The population contained within TAK318</w:t>
      </w:r>
      <w:r w:rsidR="009F2F75">
        <w:t xml:space="preserve"> therefore</w:t>
      </w:r>
      <w:r w:rsidR="00132431">
        <w:t xml:space="preserve"> represented a subset of the</w:t>
      </w:r>
      <w:r w:rsidR="009F2F75">
        <w:t xml:space="preserve"> broader</w:t>
      </w:r>
      <w:r w:rsidR="00132431">
        <w:t xml:space="preserve"> </w:t>
      </w:r>
      <w:r w:rsidR="00A97ABC">
        <w:t>switch</w:t>
      </w:r>
      <w:r w:rsidR="00132431">
        <w:t xml:space="preserve"> population</w:t>
      </w:r>
      <w:r w:rsidR="00D64C6A">
        <w:t xml:space="preserve"> where the reason for changing to a different antidepressant may be due to either tolerability issues (of which </w:t>
      </w:r>
      <w:r w:rsidR="00D64C6A" w:rsidRPr="005F349A">
        <w:t>treatment-emergent sexual dysfunction</w:t>
      </w:r>
      <w:r w:rsidR="00D64C6A">
        <w:t xml:space="preserve"> is one possible example) or efficacy issues. </w:t>
      </w:r>
      <w:r w:rsidR="00132431">
        <w:t xml:space="preserve"> As the primary outcome and population of this trial differed from those of the </w:t>
      </w:r>
      <w:r w:rsidR="004B3FCE">
        <w:t xml:space="preserve">manufacturer submission’s </w:t>
      </w:r>
      <w:r w:rsidR="00132431">
        <w:t xml:space="preserve">decision problem, this trial </w:t>
      </w:r>
      <w:r>
        <w:t>was not formally included in subsequent analyses</w:t>
      </w:r>
      <w:r w:rsidR="00132431">
        <w:t>.</w:t>
      </w:r>
    </w:p>
    <w:p w14:paraId="18D4937B" w14:textId="77777777" w:rsidR="00F8762F" w:rsidRPr="00F8762F" w:rsidRDefault="00F8762F" w:rsidP="00F8762F">
      <w:pPr>
        <w:rPr>
          <w:rFonts w:ascii="Times New Roman" w:eastAsia="Times New Roman" w:hAnsi="Times New Roman" w:cs="Times New Roman"/>
          <w:lang w:eastAsia="en-US"/>
        </w:rPr>
      </w:pPr>
      <w:r w:rsidRPr="00F8762F">
        <w:rPr>
          <w:rFonts w:ascii="Times New Roman" w:eastAsia="Times New Roman" w:hAnsi="Times New Roman" w:cs="Times New Roman"/>
          <w:lang w:eastAsia="en-US"/>
        </w:rPr>
        <w:lastRenderedPageBreak/>
        <w:t xml:space="preserve">The submission </w:t>
      </w:r>
      <w:r>
        <w:rPr>
          <w:rFonts w:ascii="Times New Roman" w:eastAsia="Times New Roman" w:hAnsi="Times New Roman" w:cs="Times New Roman"/>
          <w:lang w:eastAsia="en-US"/>
        </w:rPr>
        <w:t xml:space="preserve">also </w:t>
      </w:r>
      <w:r w:rsidRPr="00F8762F">
        <w:rPr>
          <w:rFonts w:ascii="Times New Roman" w:eastAsia="Times New Roman" w:hAnsi="Times New Roman" w:cs="Times New Roman"/>
          <w:lang w:eastAsia="en-US"/>
        </w:rPr>
        <w:t xml:space="preserve">included a systematic review of treatments other than </w:t>
      </w:r>
      <w:proofErr w:type="spellStart"/>
      <w:r w:rsidRPr="00F8762F">
        <w:rPr>
          <w:rFonts w:ascii="Times New Roman" w:eastAsia="Times New Roman" w:hAnsi="Times New Roman" w:cs="Times New Roman"/>
          <w:lang w:eastAsia="en-US"/>
        </w:rPr>
        <w:t>vortioxetine</w:t>
      </w:r>
      <w:proofErr w:type="spellEnd"/>
      <w:r w:rsidRPr="00F8762F">
        <w:rPr>
          <w:rFonts w:ascii="Times New Roman" w:eastAsia="Times New Roman" w:hAnsi="Times New Roman" w:cs="Times New Roman"/>
          <w:lang w:eastAsia="en-US"/>
        </w:rPr>
        <w:t xml:space="preserve"> in the switch population </w:t>
      </w:r>
      <w:r w:rsidR="004B3FCE">
        <w:rPr>
          <w:rFonts w:ascii="Times New Roman" w:eastAsia="Times New Roman" w:hAnsi="Times New Roman" w:cs="Times New Roman"/>
          <w:lang w:eastAsia="en-US"/>
        </w:rPr>
        <w:t>and</w:t>
      </w:r>
      <w:r w:rsidRPr="00F8762F">
        <w:rPr>
          <w:rFonts w:ascii="Times New Roman" w:eastAsia="Times New Roman" w:hAnsi="Times New Roman" w:cs="Times New Roman"/>
          <w:lang w:eastAsia="en-US"/>
        </w:rPr>
        <w:t xml:space="preserve"> an indirect treatment comparison with </w:t>
      </w:r>
      <w:proofErr w:type="spellStart"/>
      <w:r w:rsidRPr="00F8762F">
        <w:rPr>
          <w:rFonts w:ascii="Times New Roman" w:eastAsia="Times New Roman" w:hAnsi="Times New Roman" w:cs="Times New Roman"/>
          <w:lang w:eastAsia="en-US"/>
        </w:rPr>
        <w:t>vortioxetine</w:t>
      </w:r>
      <w:proofErr w:type="spellEnd"/>
      <w:r>
        <w:rPr>
          <w:rFonts w:ascii="Times New Roman" w:eastAsia="Times New Roman" w:hAnsi="Times New Roman" w:cs="Times New Roman"/>
          <w:lang w:eastAsia="en-US"/>
        </w:rPr>
        <w:t>.</w:t>
      </w:r>
      <w:r w:rsidRPr="00ED2DB6" w:rsidDel="004C5000">
        <w:t xml:space="preserve"> </w:t>
      </w:r>
      <w:r w:rsidRPr="00F8762F">
        <w:rPr>
          <w:rFonts w:ascii="Times New Roman" w:eastAsia="Times New Roman" w:hAnsi="Times New Roman" w:cs="Times New Roman"/>
          <w:lang w:eastAsia="en-US"/>
        </w:rPr>
        <w:t xml:space="preserve">Four trials were </w:t>
      </w:r>
      <w:r>
        <w:rPr>
          <w:rFonts w:ascii="Times New Roman" w:eastAsia="Times New Roman" w:hAnsi="Times New Roman" w:cs="Times New Roman"/>
          <w:lang w:eastAsia="en-US"/>
        </w:rPr>
        <w:t>included in the indirect comparison and the outcomes assessed were remission rate and withdrawal rates due to adverse events.</w:t>
      </w:r>
    </w:p>
    <w:p w14:paraId="2E2A9C6B" w14:textId="77777777" w:rsidR="00132431" w:rsidRDefault="00BA2279" w:rsidP="00F8762F">
      <w:r>
        <w:t>The base case indirect treatment comparison carried out by the company</w:t>
      </w:r>
      <w:r w:rsidR="00132431">
        <w:t>, schematic below</w:t>
      </w:r>
      <w:r w:rsidR="002D6FAB">
        <w:t xml:space="preserve"> (</w:t>
      </w:r>
      <w:r w:rsidR="002D6FAB">
        <w:fldChar w:fldCharType="begin"/>
      </w:r>
      <w:r w:rsidR="002D6FAB">
        <w:instrText xml:space="preserve"> REF _Ref444610959 \h </w:instrText>
      </w:r>
      <w:r w:rsidR="002D6FAB">
        <w:fldChar w:fldCharType="separate"/>
      </w:r>
      <w:r w:rsidR="00C5039B">
        <w:t xml:space="preserve">Figure </w:t>
      </w:r>
      <w:r w:rsidR="00C5039B">
        <w:rPr>
          <w:noProof/>
        </w:rPr>
        <w:t>1</w:t>
      </w:r>
      <w:r w:rsidR="002D6FAB">
        <w:fldChar w:fldCharType="end"/>
      </w:r>
      <w:r w:rsidR="002D6FAB">
        <w:t>)</w:t>
      </w:r>
      <w:r w:rsidR="00132431">
        <w:t>,</w:t>
      </w:r>
      <w:r>
        <w:t xml:space="preserve"> was conducted in a frequentist framework using the Bucher method</w:t>
      </w:r>
      <w:r w:rsidR="00FC668D">
        <w:t xml:space="preserve"> </w:t>
      </w:r>
      <w:r w:rsidR="00FC668D">
        <w:fldChar w:fldCharType="begin" w:fldLock="1"/>
      </w:r>
      <w:r w:rsidR="00191B9B">
        <w:instrText>ADDIN CSL_CITATION { "citationItems" : [ { "id" : "ITEM-1", "itemData" : { "ISSN" : "0895-4356", "PMID" : "9250266", "abstract" : "When little or no data directly comparing two treatments are available, investigators often rely on indirect comparisons from studies testing the treatments against a control or placebo. One approach to indirect comparison is to pool findings from the active treatment arms of the original controlled trials. This approach offers no advantage over a comparison of observational study data and is prone to bias. We present an alternative model that evaluates the differences between treatment and placebo in two sets of clinical trials, and preserves the randomization of the originally assigned patient groups. We apply the method to data on sulphamethoxazole-trimethoprim or dapsone/pyrimethamine as prophylaxis against Pneumocystis carinii in HIV infected patients. The indirect comparison showed substantial increased benefit from the former (odds ratio 0.37, 95% CI 0.21 to 0.65), while direct comparisons from randomized trials suggests a much smaller difference (risk ratio 0.64, 95% CI 0.45 to 0.90; p-value for difference of effect = 0.11). Direct comparisons of treatments should be sought. When direct comparisons are unavailable, indirect comparison meta-analysis should evaluate the magnitude of treatment effects across studies, recognizing the limited strength of inference.", "author" : [ { "dropping-particle" : "", "family" : "Bucher", "given" : "H C", "non-dropping-particle" : "", "parse-names" : false, "suffix" : "" }, { "dropping-particle" : "", "family" : "Guyatt", "given" : "G H", "non-dropping-particle" : "", "parse-names" : false, "suffix" : "" }, { "dropping-particle" : "", "family" : "Griffith", "given" : "L E", "non-dropping-particle" : "", "parse-names" : false, "suffix" : "" }, { "dropping-particle" : "", "family" : "Walter", "given" : "S D", "non-dropping-particle" : "", "parse-names" : false, "suffix" : "" } ], "container-title" : "Journal of clinical epidemiology", "id" : "ITEM-1", "issue" : "6", "issued" : { "date-parts" : [ [ "1997", "6" ] ] }, "page" : "683-91", "title" : "The results of direct and indirect treatment comparisons in meta-analysis of randomized controlled trials.", "type" : "article-journal", "volume" : "50" }, "uris" : [ "http://www.mendeley.com/documents/?uuid=afb29d8b-39c1-370e-a4fa-d61bf5f221db" ] } ], "mendeley" : { "formattedCitation" : "[5]", "plainTextFormattedCitation" : "[5]", "previouslyFormattedCitation" : "[5]" }, "properties" : { "noteIndex" : 0 }, "schema" : "https://github.com/citation-style-language/schema/raw/master/csl-citation.json" }</w:instrText>
      </w:r>
      <w:r w:rsidR="00FC668D">
        <w:fldChar w:fldCharType="separate"/>
      </w:r>
      <w:r w:rsidR="00315DE8" w:rsidRPr="00315DE8">
        <w:rPr>
          <w:noProof/>
        </w:rPr>
        <w:t>[5]</w:t>
      </w:r>
      <w:r w:rsidR="00FC668D">
        <w:fldChar w:fldCharType="end"/>
      </w:r>
      <w:r>
        <w:t xml:space="preserve"> applied to risk differences</w:t>
      </w:r>
      <w:r w:rsidR="00407607">
        <w:t xml:space="preserve">, with results </w:t>
      </w:r>
      <w:r w:rsidR="004C5000">
        <w:t xml:space="preserve">reported </w:t>
      </w:r>
      <w:proofErr w:type="spellStart"/>
      <w:r w:rsidR="00407607">
        <w:t>in</w:t>
      </w:r>
      <w:r w:rsidR="002D6FAB">
        <w:fldChar w:fldCharType="begin"/>
      </w:r>
      <w:r w:rsidR="002D6FAB">
        <w:instrText xml:space="preserve"> REF _Ref444610943 \h </w:instrText>
      </w:r>
      <w:r w:rsidR="002D6FAB">
        <w:fldChar w:fldCharType="separate"/>
      </w:r>
      <w:r w:rsidR="00C5039B">
        <w:t>Table</w:t>
      </w:r>
      <w:proofErr w:type="spellEnd"/>
      <w:r w:rsidR="00C5039B">
        <w:t xml:space="preserve"> </w:t>
      </w:r>
      <w:r w:rsidR="00C5039B">
        <w:rPr>
          <w:noProof/>
        </w:rPr>
        <w:t>1</w:t>
      </w:r>
      <w:r w:rsidR="002D6FAB">
        <w:fldChar w:fldCharType="end"/>
      </w:r>
      <w:r>
        <w:t>.</w:t>
      </w:r>
    </w:p>
    <w:p w14:paraId="33BF7A55" w14:textId="77777777" w:rsidR="0031600C" w:rsidRDefault="001D6E5D" w:rsidP="00B32AA8">
      <w:pPr>
        <w:keepNext/>
      </w:pPr>
      <w:r>
        <w:rPr>
          <w:noProof/>
        </w:rPr>
        <w:drawing>
          <wp:inline distT="0" distB="0" distL="0" distR="0" wp14:anchorId="28C47A36" wp14:editId="149127BC">
            <wp:extent cx="5943600" cy="3448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448685"/>
                    </a:xfrm>
                    <a:prstGeom prst="rect">
                      <a:avLst/>
                    </a:prstGeom>
                  </pic:spPr>
                </pic:pic>
              </a:graphicData>
            </a:graphic>
          </wp:inline>
        </w:drawing>
      </w:r>
    </w:p>
    <w:p w14:paraId="53C4D0F7" w14:textId="3E2B0DD8" w:rsidR="00132431" w:rsidRDefault="0031600C" w:rsidP="00B32AA8">
      <w:pPr>
        <w:pStyle w:val="Caption"/>
      </w:pPr>
      <w:bookmarkStart w:id="11" w:name="_Ref444610959"/>
      <w:r>
        <w:t xml:space="preserve">Figure </w:t>
      </w:r>
      <w:r w:rsidR="00CB3AB8">
        <w:fldChar w:fldCharType="begin"/>
      </w:r>
      <w:r w:rsidR="00CB3AB8">
        <w:instrText xml:space="preserve"> SEQ Figure \* ARABIC </w:instrText>
      </w:r>
      <w:r w:rsidR="00CB3AB8">
        <w:fldChar w:fldCharType="separate"/>
      </w:r>
      <w:r w:rsidR="00C5039B">
        <w:rPr>
          <w:noProof/>
        </w:rPr>
        <w:t>1</w:t>
      </w:r>
      <w:r w:rsidR="00CB3AB8">
        <w:rPr>
          <w:noProof/>
        </w:rPr>
        <w:fldChar w:fldCharType="end"/>
      </w:r>
      <w:bookmarkEnd w:id="11"/>
      <w:r>
        <w:t xml:space="preserve"> – Schematic of company's indirect treatment comparison</w:t>
      </w:r>
      <w:r w:rsidR="00102AFB">
        <w:t>, adapted from</w:t>
      </w:r>
      <w:r w:rsidR="00BF2857">
        <w:t xml:space="preserve"> the</w:t>
      </w:r>
      <w:r w:rsidR="00102AFB">
        <w:t xml:space="preserve"> </w:t>
      </w:r>
      <w:r w:rsidR="004A63BB">
        <w:t>manufacturer’s submission</w:t>
      </w:r>
      <w:r w:rsidR="009F2F75">
        <w:t xml:space="preserve">, available on the NICE website </w:t>
      </w:r>
      <w:r w:rsidR="009F2F75">
        <w:fldChar w:fldCharType="begin" w:fldLock="1"/>
      </w:r>
      <w:r w:rsidR="009F2F75">
        <w:instrText>ADDIN CSL_CITATION { "citationItems" : [ { "id" : "ITEM-1", "itemData" : { "URL" : "https://www.nice.org.uk/guidance/ta367", "author" : [ { "dropping-particle" : "", "family" : "NICE", "given" : "", "non-dropping-particle" : "", "parse-names" : false, "suffix" : "" } ], "id" : "ITEM-1", "issued" : { "date-parts" : [ [ "2015" ] ] }, "title" : "Vortioxetine for treating major depressive episodes", "type" : "webpage" }, "uris" : [ "http://www.mendeley.com/documents/?uuid=bebd4cb5-4e84-4ed1-a810-3d56f6ab2671" ] } ], "mendeley" : { "formattedCitation" : "[3]", "plainTextFormattedCitation" : "[3]", "previouslyFormattedCitation" : "[3]" }, "properties" : { "noteIndex" : 0 }, "schema" : "https://github.com/citation-style-language/schema/raw/master/csl-citation.json" }</w:instrText>
      </w:r>
      <w:r w:rsidR="009F2F75">
        <w:fldChar w:fldCharType="separate"/>
      </w:r>
      <w:r w:rsidR="009F2F75" w:rsidRPr="00315DE8">
        <w:rPr>
          <w:noProof/>
        </w:rPr>
        <w:t>[3]</w:t>
      </w:r>
      <w:r w:rsidR="009F2F75">
        <w:fldChar w:fldCharType="end"/>
      </w:r>
    </w:p>
    <w:p w14:paraId="40917583" w14:textId="77777777" w:rsidR="00A8462E" w:rsidRDefault="00A8462E" w:rsidP="00704A62"/>
    <w:p w14:paraId="2755FE01" w14:textId="77777777" w:rsidR="0031600C" w:rsidRDefault="0031600C" w:rsidP="00B32AA8">
      <w:pPr>
        <w:pStyle w:val="Caption"/>
        <w:keepNext/>
      </w:pPr>
      <w:bookmarkStart w:id="12" w:name="_Ref444610943"/>
      <w:r>
        <w:lastRenderedPageBreak/>
        <w:t xml:space="preserve">Table </w:t>
      </w:r>
      <w:r w:rsidR="00CB3AB8">
        <w:fldChar w:fldCharType="begin"/>
      </w:r>
      <w:r w:rsidR="00CB3AB8">
        <w:instrText xml:space="preserve"> SE</w:instrText>
      </w:r>
      <w:r w:rsidR="00CB3AB8">
        <w:instrText xml:space="preserve">Q Table \* ARABIC </w:instrText>
      </w:r>
      <w:r w:rsidR="00CB3AB8">
        <w:fldChar w:fldCharType="separate"/>
      </w:r>
      <w:r w:rsidR="00C5039B">
        <w:rPr>
          <w:noProof/>
        </w:rPr>
        <w:t>1</w:t>
      </w:r>
      <w:r w:rsidR="00CB3AB8">
        <w:rPr>
          <w:noProof/>
        </w:rPr>
        <w:fldChar w:fldCharType="end"/>
      </w:r>
      <w:bookmarkEnd w:id="12"/>
      <w:r>
        <w:t xml:space="preserve"> - </w:t>
      </w:r>
      <w:r w:rsidRPr="0031600C">
        <w:t>Summary of the results of the frequentist network meta-analyses</w:t>
      </w:r>
    </w:p>
    <w:tbl>
      <w:tblPr>
        <w:tblStyle w:val="TableGrid"/>
        <w:tblW w:w="9039" w:type="dxa"/>
        <w:tblLayout w:type="fixed"/>
        <w:tblLook w:val="04A0" w:firstRow="1" w:lastRow="0" w:firstColumn="1" w:lastColumn="0" w:noHBand="0" w:noVBand="1"/>
      </w:tblPr>
      <w:tblGrid>
        <w:gridCol w:w="1526"/>
        <w:gridCol w:w="709"/>
        <w:gridCol w:w="1559"/>
        <w:gridCol w:w="1488"/>
        <w:gridCol w:w="780"/>
        <w:gridCol w:w="1559"/>
        <w:gridCol w:w="1418"/>
      </w:tblGrid>
      <w:tr w:rsidR="00BA2279" w:rsidRPr="00BA2279" w14:paraId="76095140" w14:textId="77777777" w:rsidTr="00BA2279">
        <w:tc>
          <w:tcPr>
            <w:tcW w:w="1526" w:type="dxa"/>
            <w:vMerge w:val="restart"/>
          </w:tcPr>
          <w:p w14:paraId="28FE36EB" w14:textId="77777777" w:rsidR="00BA2279" w:rsidRPr="00BA2279" w:rsidRDefault="00BA2279" w:rsidP="00BA2279">
            <w:pPr>
              <w:pStyle w:val="Tabletext"/>
              <w:rPr>
                <w:b/>
                <w:bCs/>
                <w:sz w:val="20"/>
                <w:vertAlign w:val="subscript"/>
              </w:rPr>
            </w:pPr>
            <w:r w:rsidRPr="00BA2279">
              <w:rPr>
                <w:b/>
                <w:bCs/>
                <w:sz w:val="20"/>
                <w:vertAlign w:val="subscript"/>
              </w:rPr>
              <w:t>Treatment</w:t>
            </w:r>
          </w:p>
        </w:tc>
        <w:tc>
          <w:tcPr>
            <w:tcW w:w="3756" w:type="dxa"/>
            <w:gridSpan w:val="3"/>
          </w:tcPr>
          <w:p w14:paraId="3B8DA4F2" w14:textId="77777777" w:rsidR="00BA2279" w:rsidRPr="00BA2279" w:rsidRDefault="00BA2279" w:rsidP="00BA2279">
            <w:pPr>
              <w:pStyle w:val="Tabletext"/>
              <w:rPr>
                <w:b/>
                <w:bCs/>
                <w:sz w:val="20"/>
                <w:vertAlign w:val="subscript"/>
              </w:rPr>
            </w:pPr>
            <w:r w:rsidRPr="00BA2279">
              <w:rPr>
                <w:b/>
                <w:bCs/>
                <w:sz w:val="20"/>
                <w:vertAlign w:val="subscript"/>
              </w:rPr>
              <w:t>Remission rate</w:t>
            </w:r>
          </w:p>
        </w:tc>
        <w:tc>
          <w:tcPr>
            <w:tcW w:w="3757" w:type="dxa"/>
            <w:gridSpan w:val="3"/>
          </w:tcPr>
          <w:p w14:paraId="43FDAE02" w14:textId="77777777" w:rsidR="00BA2279" w:rsidRPr="00BA2279" w:rsidRDefault="00BA2279" w:rsidP="00BA2279">
            <w:pPr>
              <w:pStyle w:val="Tabletext"/>
              <w:rPr>
                <w:b/>
                <w:bCs/>
                <w:sz w:val="20"/>
                <w:vertAlign w:val="subscript"/>
              </w:rPr>
            </w:pPr>
            <w:r w:rsidRPr="00BA2279">
              <w:rPr>
                <w:b/>
                <w:bCs/>
                <w:sz w:val="20"/>
                <w:vertAlign w:val="subscript"/>
              </w:rPr>
              <w:t>People stopping treatment because of adverse events (withdrawal)</w:t>
            </w:r>
          </w:p>
        </w:tc>
      </w:tr>
      <w:tr w:rsidR="00BA2279" w:rsidRPr="00BA2279" w14:paraId="69BA884C" w14:textId="77777777" w:rsidTr="00BA2279">
        <w:tc>
          <w:tcPr>
            <w:tcW w:w="1526" w:type="dxa"/>
            <w:vMerge/>
          </w:tcPr>
          <w:p w14:paraId="5E7EEBE0" w14:textId="77777777" w:rsidR="00BA2279" w:rsidRPr="00BA2279" w:rsidRDefault="00BA2279" w:rsidP="00BA2279">
            <w:pPr>
              <w:pStyle w:val="Tabletext"/>
              <w:rPr>
                <w:b/>
                <w:bCs/>
                <w:sz w:val="20"/>
                <w:vertAlign w:val="subscript"/>
              </w:rPr>
            </w:pPr>
          </w:p>
        </w:tc>
        <w:tc>
          <w:tcPr>
            <w:tcW w:w="709" w:type="dxa"/>
          </w:tcPr>
          <w:p w14:paraId="462BD24E" w14:textId="77777777" w:rsidR="00BA2279" w:rsidRPr="00BA2279" w:rsidRDefault="00BA2279" w:rsidP="00BA2279">
            <w:pPr>
              <w:pStyle w:val="Tabletext"/>
              <w:rPr>
                <w:b/>
                <w:bCs/>
                <w:sz w:val="20"/>
                <w:vertAlign w:val="subscript"/>
              </w:rPr>
            </w:pPr>
            <w:r w:rsidRPr="00BA2279">
              <w:rPr>
                <w:b/>
                <w:bCs/>
                <w:sz w:val="20"/>
                <w:vertAlign w:val="subscript"/>
              </w:rPr>
              <w:t>Rate (%)</w:t>
            </w:r>
          </w:p>
        </w:tc>
        <w:tc>
          <w:tcPr>
            <w:tcW w:w="1559" w:type="dxa"/>
          </w:tcPr>
          <w:p w14:paraId="1A2FE3B0" w14:textId="77777777" w:rsidR="00BA2279" w:rsidRPr="00BA2279" w:rsidRDefault="00BA2279" w:rsidP="00BA2279">
            <w:pPr>
              <w:pStyle w:val="Tabletext"/>
              <w:rPr>
                <w:b/>
                <w:bCs/>
                <w:sz w:val="20"/>
                <w:vertAlign w:val="subscript"/>
              </w:rPr>
            </w:pPr>
            <w:r w:rsidRPr="00BA2279">
              <w:rPr>
                <w:b/>
                <w:bCs/>
                <w:sz w:val="20"/>
                <w:vertAlign w:val="subscript"/>
              </w:rPr>
              <w:t xml:space="preserve">Risk difference versus </w:t>
            </w:r>
            <w:proofErr w:type="spellStart"/>
            <w:r w:rsidRPr="00BA2279">
              <w:rPr>
                <w:b/>
                <w:bCs/>
                <w:sz w:val="20"/>
                <w:vertAlign w:val="subscript"/>
              </w:rPr>
              <w:t>vortioxetine</w:t>
            </w:r>
            <w:proofErr w:type="spellEnd"/>
            <w:r w:rsidRPr="00BA2279">
              <w:rPr>
                <w:b/>
                <w:bCs/>
                <w:sz w:val="20"/>
                <w:vertAlign w:val="subscript"/>
              </w:rPr>
              <w:t xml:space="preserve"> (%)</w:t>
            </w:r>
          </w:p>
        </w:tc>
        <w:tc>
          <w:tcPr>
            <w:tcW w:w="1488" w:type="dxa"/>
          </w:tcPr>
          <w:p w14:paraId="3A3E9940" w14:textId="77777777" w:rsidR="00BA2279" w:rsidRPr="00BA2279" w:rsidRDefault="00BA2279" w:rsidP="00BA2279">
            <w:pPr>
              <w:pStyle w:val="Tabletext"/>
              <w:rPr>
                <w:b/>
                <w:bCs/>
                <w:sz w:val="20"/>
                <w:vertAlign w:val="subscript"/>
              </w:rPr>
            </w:pPr>
            <w:r w:rsidRPr="00BA2279">
              <w:rPr>
                <w:b/>
                <w:bCs/>
                <w:sz w:val="20"/>
                <w:vertAlign w:val="subscript"/>
              </w:rPr>
              <w:t>95% CI</w:t>
            </w:r>
          </w:p>
        </w:tc>
        <w:tc>
          <w:tcPr>
            <w:tcW w:w="780" w:type="dxa"/>
          </w:tcPr>
          <w:p w14:paraId="0E89FC94" w14:textId="77777777" w:rsidR="00BA2279" w:rsidRPr="00BA2279" w:rsidRDefault="00BA2279" w:rsidP="00BA2279">
            <w:pPr>
              <w:pStyle w:val="Tabletext"/>
              <w:rPr>
                <w:b/>
                <w:bCs/>
                <w:sz w:val="20"/>
                <w:vertAlign w:val="subscript"/>
              </w:rPr>
            </w:pPr>
            <w:r w:rsidRPr="00BA2279">
              <w:rPr>
                <w:b/>
                <w:bCs/>
                <w:sz w:val="20"/>
                <w:vertAlign w:val="subscript"/>
              </w:rPr>
              <w:t>Rate (%)</w:t>
            </w:r>
          </w:p>
        </w:tc>
        <w:tc>
          <w:tcPr>
            <w:tcW w:w="1559" w:type="dxa"/>
          </w:tcPr>
          <w:p w14:paraId="5EAB6273" w14:textId="77777777" w:rsidR="00BA2279" w:rsidRPr="00BA2279" w:rsidRDefault="00BA2279" w:rsidP="00BA2279">
            <w:pPr>
              <w:pStyle w:val="Tabletext"/>
              <w:rPr>
                <w:b/>
                <w:bCs/>
                <w:sz w:val="20"/>
                <w:vertAlign w:val="subscript"/>
              </w:rPr>
            </w:pPr>
            <w:r w:rsidRPr="00BA2279">
              <w:rPr>
                <w:b/>
                <w:bCs/>
                <w:sz w:val="20"/>
                <w:vertAlign w:val="subscript"/>
              </w:rPr>
              <w:t xml:space="preserve">Risk difference versus </w:t>
            </w:r>
            <w:proofErr w:type="spellStart"/>
            <w:r w:rsidRPr="00BA2279">
              <w:rPr>
                <w:b/>
                <w:bCs/>
                <w:sz w:val="20"/>
                <w:vertAlign w:val="subscript"/>
              </w:rPr>
              <w:t>vortioxetine</w:t>
            </w:r>
            <w:proofErr w:type="spellEnd"/>
            <w:r w:rsidRPr="00BA2279">
              <w:rPr>
                <w:b/>
                <w:bCs/>
                <w:sz w:val="20"/>
                <w:vertAlign w:val="subscript"/>
              </w:rPr>
              <w:t xml:space="preserve"> (%)</w:t>
            </w:r>
          </w:p>
        </w:tc>
        <w:tc>
          <w:tcPr>
            <w:tcW w:w="1418" w:type="dxa"/>
          </w:tcPr>
          <w:p w14:paraId="6FECC7D1" w14:textId="77777777" w:rsidR="00BA2279" w:rsidRPr="00BA2279" w:rsidRDefault="00BA2279" w:rsidP="00BA2279">
            <w:pPr>
              <w:pStyle w:val="Tabletext"/>
              <w:rPr>
                <w:b/>
                <w:bCs/>
                <w:sz w:val="20"/>
                <w:vertAlign w:val="subscript"/>
              </w:rPr>
            </w:pPr>
            <w:r w:rsidRPr="00BA2279">
              <w:rPr>
                <w:b/>
                <w:bCs/>
                <w:sz w:val="20"/>
                <w:vertAlign w:val="subscript"/>
              </w:rPr>
              <w:t>95% CI</w:t>
            </w:r>
          </w:p>
        </w:tc>
      </w:tr>
      <w:tr w:rsidR="00BA2279" w:rsidRPr="00BA2279" w14:paraId="56A28F4E" w14:textId="77777777" w:rsidTr="00BA2279">
        <w:tc>
          <w:tcPr>
            <w:tcW w:w="1526" w:type="dxa"/>
          </w:tcPr>
          <w:p w14:paraId="340BB0B0" w14:textId="77777777" w:rsidR="00BA2279" w:rsidRPr="00BA2279" w:rsidRDefault="00BA2279" w:rsidP="00BA2279">
            <w:pPr>
              <w:pStyle w:val="Tabletext"/>
              <w:rPr>
                <w:sz w:val="20"/>
                <w:vertAlign w:val="subscript"/>
              </w:rPr>
            </w:pPr>
            <w:r w:rsidRPr="00BA2279">
              <w:rPr>
                <w:sz w:val="20"/>
                <w:vertAlign w:val="subscript"/>
              </w:rPr>
              <w:t>Vortioxetine</w:t>
            </w:r>
          </w:p>
        </w:tc>
        <w:tc>
          <w:tcPr>
            <w:tcW w:w="709" w:type="dxa"/>
          </w:tcPr>
          <w:p w14:paraId="3F862B0D" w14:textId="77777777" w:rsidR="00BA2279" w:rsidRPr="00BA2279" w:rsidRDefault="00BA2279" w:rsidP="00BA2279">
            <w:pPr>
              <w:pStyle w:val="Tabletext"/>
              <w:jc w:val="right"/>
              <w:rPr>
                <w:sz w:val="20"/>
                <w:vertAlign w:val="subscript"/>
              </w:rPr>
            </w:pPr>
            <w:r w:rsidRPr="00BA2279">
              <w:rPr>
                <w:sz w:val="20"/>
                <w:vertAlign w:val="subscript"/>
              </w:rPr>
              <w:t>40.5</w:t>
            </w:r>
          </w:p>
        </w:tc>
        <w:tc>
          <w:tcPr>
            <w:tcW w:w="1559" w:type="dxa"/>
          </w:tcPr>
          <w:p w14:paraId="192E66C5" w14:textId="77777777" w:rsidR="00BA2279" w:rsidRPr="00BA2279" w:rsidRDefault="00BA2279" w:rsidP="00BA2279">
            <w:pPr>
              <w:pStyle w:val="Tabletext"/>
              <w:jc w:val="right"/>
              <w:rPr>
                <w:sz w:val="20"/>
                <w:vertAlign w:val="subscript"/>
              </w:rPr>
            </w:pPr>
            <w:r w:rsidRPr="00BA2279">
              <w:rPr>
                <w:sz w:val="20"/>
                <w:vertAlign w:val="subscript"/>
              </w:rPr>
              <w:t>n/a</w:t>
            </w:r>
          </w:p>
        </w:tc>
        <w:tc>
          <w:tcPr>
            <w:tcW w:w="1488" w:type="dxa"/>
          </w:tcPr>
          <w:p w14:paraId="24294D43" w14:textId="77777777" w:rsidR="00BA2279" w:rsidRPr="00BA2279" w:rsidRDefault="00BA2279" w:rsidP="00BA2279">
            <w:pPr>
              <w:pStyle w:val="Tabletext"/>
              <w:jc w:val="right"/>
              <w:rPr>
                <w:sz w:val="20"/>
                <w:vertAlign w:val="subscript"/>
              </w:rPr>
            </w:pPr>
            <w:r w:rsidRPr="00BA2279">
              <w:rPr>
                <w:sz w:val="20"/>
                <w:vertAlign w:val="subscript"/>
              </w:rPr>
              <w:t>n/a</w:t>
            </w:r>
          </w:p>
        </w:tc>
        <w:tc>
          <w:tcPr>
            <w:tcW w:w="780" w:type="dxa"/>
          </w:tcPr>
          <w:p w14:paraId="5F85D7EF" w14:textId="77777777" w:rsidR="00BA2279" w:rsidRPr="00BA2279" w:rsidRDefault="00BA2279" w:rsidP="00BA2279">
            <w:pPr>
              <w:pStyle w:val="Tabletext"/>
              <w:jc w:val="right"/>
              <w:rPr>
                <w:sz w:val="20"/>
                <w:vertAlign w:val="subscript"/>
              </w:rPr>
            </w:pPr>
            <w:r w:rsidRPr="00BA2279">
              <w:rPr>
                <w:sz w:val="20"/>
                <w:vertAlign w:val="subscript"/>
              </w:rPr>
              <w:t>5.9</w:t>
            </w:r>
          </w:p>
        </w:tc>
        <w:tc>
          <w:tcPr>
            <w:tcW w:w="1559" w:type="dxa"/>
          </w:tcPr>
          <w:p w14:paraId="2CB9C870" w14:textId="77777777" w:rsidR="00BA2279" w:rsidRPr="00BA2279" w:rsidRDefault="00BA2279" w:rsidP="00BA2279">
            <w:pPr>
              <w:pStyle w:val="Tabletext"/>
              <w:jc w:val="right"/>
              <w:rPr>
                <w:sz w:val="20"/>
                <w:vertAlign w:val="subscript"/>
              </w:rPr>
            </w:pPr>
            <w:r w:rsidRPr="00BA2279">
              <w:rPr>
                <w:sz w:val="20"/>
                <w:vertAlign w:val="subscript"/>
              </w:rPr>
              <w:t>n/a</w:t>
            </w:r>
          </w:p>
        </w:tc>
        <w:tc>
          <w:tcPr>
            <w:tcW w:w="1418" w:type="dxa"/>
          </w:tcPr>
          <w:p w14:paraId="6E4B37A4" w14:textId="77777777" w:rsidR="00BA2279" w:rsidRPr="00BA2279" w:rsidRDefault="00BA2279" w:rsidP="00BA2279">
            <w:pPr>
              <w:pStyle w:val="Tabletext"/>
              <w:jc w:val="right"/>
              <w:rPr>
                <w:sz w:val="20"/>
                <w:vertAlign w:val="subscript"/>
              </w:rPr>
            </w:pPr>
            <w:r w:rsidRPr="00BA2279">
              <w:rPr>
                <w:sz w:val="20"/>
                <w:vertAlign w:val="subscript"/>
              </w:rPr>
              <w:t>n/a</w:t>
            </w:r>
          </w:p>
        </w:tc>
      </w:tr>
      <w:tr w:rsidR="00BA2279" w:rsidRPr="00BA2279" w14:paraId="1D375C88" w14:textId="77777777" w:rsidTr="00BA2279">
        <w:tc>
          <w:tcPr>
            <w:tcW w:w="1526" w:type="dxa"/>
          </w:tcPr>
          <w:p w14:paraId="35607F93" w14:textId="77777777" w:rsidR="00BA2279" w:rsidRPr="00BA2279" w:rsidRDefault="00BA2279" w:rsidP="00BA2279">
            <w:pPr>
              <w:pStyle w:val="Tabletext"/>
              <w:rPr>
                <w:sz w:val="20"/>
                <w:vertAlign w:val="subscript"/>
              </w:rPr>
            </w:pPr>
            <w:r w:rsidRPr="00BA2279">
              <w:rPr>
                <w:sz w:val="20"/>
                <w:vertAlign w:val="subscript"/>
              </w:rPr>
              <w:t>Agomelatine</w:t>
            </w:r>
          </w:p>
        </w:tc>
        <w:tc>
          <w:tcPr>
            <w:tcW w:w="709" w:type="dxa"/>
          </w:tcPr>
          <w:p w14:paraId="520AF4E1" w14:textId="77777777" w:rsidR="00BA2279" w:rsidRPr="00BA2279" w:rsidRDefault="00BA2279" w:rsidP="00BA2279">
            <w:pPr>
              <w:pStyle w:val="Tabletext"/>
              <w:jc w:val="right"/>
              <w:rPr>
                <w:sz w:val="20"/>
                <w:vertAlign w:val="subscript"/>
              </w:rPr>
            </w:pPr>
            <w:r w:rsidRPr="00BA2279">
              <w:rPr>
                <w:sz w:val="20"/>
                <w:vertAlign w:val="subscript"/>
              </w:rPr>
              <w:t>29.5</w:t>
            </w:r>
          </w:p>
        </w:tc>
        <w:tc>
          <w:tcPr>
            <w:tcW w:w="1559" w:type="dxa"/>
          </w:tcPr>
          <w:p w14:paraId="09614AB6"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11.0</w:t>
            </w:r>
          </w:p>
        </w:tc>
        <w:tc>
          <w:tcPr>
            <w:tcW w:w="1488" w:type="dxa"/>
          </w:tcPr>
          <w:p w14:paraId="747BDBF7"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 xml:space="preserve">19.4 to </w:t>
            </w:r>
            <w:r w:rsidRPr="00BA2279">
              <w:rPr>
                <w:rFonts w:cs="Arial"/>
                <w:sz w:val="20"/>
                <w:vertAlign w:val="subscript"/>
              </w:rPr>
              <w:t>−</w:t>
            </w:r>
            <w:r w:rsidRPr="00BA2279">
              <w:rPr>
                <w:sz w:val="20"/>
                <w:vertAlign w:val="subscript"/>
              </w:rPr>
              <w:t>2.6</w:t>
            </w:r>
          </w:p>
        </w:tc>
        <w:tc>
          <w:tcPr>
            <w:tcW w:w="780" w:type="dxa"/>
          </w:tcPr>
          <w:p w14:paraId="4EB2873E" w14:textId="77777777" w:rsidR="00BA2279" w:rsidRPr="00BA2279" w:rsidRDefault="00BA2279" w:rsidP="00BA2279">
            <w:pPr>
              <w:pStyle w:val="Tabletext"/>
              <w:jc w:val="right"/>
              <w:rPr>
                <w:sz w:val="20"/>
                <w:vertAlign w:val="subscript"/>
              </w:rPr>
            </w:pPr>
            <w:r w:rsidRPr="00BA2279">
              <w:rPr>
                <w:sz w:val="20"/>
                <w:vertAlign w:val="subscript"/>
              </w:rPr>
              <w:t>9.5</w:t>
            </w:r>
          </w:p>
        </w:tc>
        <w:tc>
          <w:tcPr>
            <w:tcW w:w="1559" w:type="dxa"/>
          </w:tcPr>
          <w:p w14:paraId="31FB40BF" w14:textId="77777777" w:rsidR="00BA2279" w:rsidRPr="00BA2279" w:rsidRDefault="00BA2279" w:rsidP="00BA2279">
            <w:pPr>
              <w:pStyle w:val="Tabletext"/>
              <w:jc w:val="right"/>
              <w:rPr>
                <w:sz w:val="20"/>
                <w:vertAlign w:val="subscript"/>
              </w:rPr>
            </w:pPr>
            <w:r w:rsidRPr="00BA2279">
              <w:rPr>
                <w:sz w:val="20"/>
                <w:vertAlign w:val="subscript"/>
              </w:rPr>
              <w:t>3.6</w:t>
            </w:r>
          </w:p>
        </w:tc>
        <w:tc>
          <w:tcPr>
            <w:tcW w:w="1418" w:type="dxa"/>
          </w:tcPr>
          <w:p w14:paraId="0EEFB675"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1.1 to 8.3</w:t>
            </w:r>
          </w:p>
        </w:tc>
      </w:tr>
      <w:tr w:rsidR="00BA2279" w:rsidRPr="00BA2279" w14:paraId="33C5EB50" w14:textId="77777777" w:rsidTr="00BA2279">
        <w:tc>
          <w:tcPr>
            <w:tcW w:w="1526" w:type="dxa"/>
          </w:tcPr>
          <w:p w14:paraId="6FE57F75" w14:textId="77777777" w:rsidR="00BA2279" w:rsidRPr="00BA2279" w:rsidRDefault="00BA2279" w:rsidP="00BA2279">
            <w:pPr>
              <w:pStyle w:val="Tabletext"/>
              <w:rPr>
                <w:sz w:val="20"/>
                <w:vertAlign w:val="subscript"/>
              </w:rPr>
            </w:pPr>
            <w:r w:rsidRPr="00BA2279">
              <w:rPr>
                <w:sz w:val="20"/>
                <w:vertAlign w:val="subscript"/>
              </w:rPr>
              <w:t>Sertraline</w:t>
            </w:r>
          </w:p>
        </w:tc>
        <w:tc>
          <w:tcPr>
            <w:tcW w:w="709" w:type="dxa"/>
          </w:tcPr>
          <w:p w14:paraId="5257923B" w14:textId="77777777" w:rsidR="00BA2279" w:rsidRPr="00BA2279" w:rsidRDefault="00BA2279" w:rsidP="00BA2279">
            <w:pPr>
              <w:pStyle w:val="Tabletext"/>
              <w:jc w:val="right"/>
              <w:rPr>
                <w:sz w:val="20"/>
                <w:vertAlign w:val="subscript"/>
              </w:rPr>
            </w:pPr>
            <w:r w:rsidRPr="00BA2279">
              <w:rPr>
                <w:sz w:val="20"/>
                <w:vertAlign w:val="subscript"/>
              </w:rPr>
              <w:t>26.1</w:t>
            </w:r>
          </w:p>
        </w:tc>
        <w:tc>
          <w:tcPr>
            <w:tcW w:w="1559" w:type="dxa"/>
          </w:tcPr>
          <w:p w14:paraId="0491BC7A"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14.4</w:t>
            </w:r>
          </w:p>
        </w:tc>
        <w:tc>
          <w:tcPr>
            <w:tcW w:w="1488" w:type="dxa"/>
          </w:tcPr>
          <w:p w14:paraId="65F83C08"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29.9 to 1.1</w:t>
            </w:r>
          </w:p>
        </w:tc>
        <w:tc>
          <w:tcPr>
            <w:tcW w:w="780" w:type="dxa"/>
          </w:tcPr>
          <w:p w14:paraId="7F23E315" w14:textId="77777777" w:rsidR="00BA2279" w:rsidRPr="00BA2279" w:rsidRDefault="00BA2279" w:rsidP="00BA2279">
            <w:pPr>
              <w:pStyle w:val="Tabletext"/>
              <w:jc w:val="right"/>
              <w:rPr>
                <w:sz w:val="20"/>
                <w:vertAlign w:val="subscript"/>
              </w:rPr>
            </w:pPr>
            <w:r w:rsidRPr="00BA2279">
              <w:rPr>
                <w:sz w:val="20"/>
                <w:vertAlign w:val="subscript"/>
              </w:rPr>
              <w:t>18.0</w:t>
            </w:r>
          </w:p>
        </w:tc>
        <w:tc>
          <w:tcPr>
            <w:tcW w:w="1559" w:type="dxa"/>
          </w:tcPr>
          <w:p w14:paraId="1ECB9737" w14:textId="77777777" w:rsidR="00BA2279" w:rsidRPr="00BA2279" w:rsidRDefault="00BA2279" w:rsidP="00BA2279">
            <w:pPr>
              <w:pStyle w:val="Tabletext"/>
              <w:jc w:val="right"/>
              <w:rPr>
                <w:sz w:val="20"/>
                <w:vertAlign w:val="subscript"/>
              </w:rPr>
            </w:pPr>
            <w:r w:rsidRPr="00BA2279">
              <w:rPr>
                <w:sz w:val="20"/>
                <w:vertAlign w:val="subscript"/>
              </w:rPr>
              <w:t>12.1</w:t>
            </w:r>
          </w:p>
        </w:tc>
        <w:tc>
          <w:tcPr>
            <w:tcW w:w="1418" w:type="dxa"/>
          </w:tcPr>
          <w:p w14:paraId="0374D2C1" w14:textId="77777777" w:rsidR="00BA2279" w:rsidRPr="00BA2279" w:rsidRDefault="00BA2279" w:rsidP="00BA2279">
            <w:pPr>
              <w:pStyle w:val="Tabletext"/>
              <w:jc w:val="right"/>
              <w:rPr>
                <w:sz w:val="20"/>
                <w:vertAlign w:val="subscript"/>
              </w:rPr>
            </w:pPr>
            <w:r w:rsidRPr="00BA2279">
              <w:rPr>
                <w:sz w:val="20"/>
                <w:vertAlign w:val="subscript"/>
              </w:rPr>
              <w:t>3.1 to 21.1</w:t>
            </w:r>
          </w:p>
        </w:tc>
      </w:tr>
      <w:tr w:rsidR="00BA2279" w:rsidRPr="00BA2279" w14:paraId="2971B9BE" w14:textId="77777777" w:rsidTr="00BA2279">
        <w:tc>
          <w:tcPr>
            <w:tcW w:w="1526" w:type="dxa"/>
          </w:tcPr>
          <w:p w14:paraId="4AE1348D" w14:textId="77777777" w:rsidR="00BA2279" w:rsidRPr="00BA2279" w:rsidRDefault="00BA2279" w:rsidP="00BA2279">
            <w:pPr>
              <w:pStyle w:val="Tabletext"/>
              <w:rPr>
                <w:sz w:val="20"/>
                <w:vertAlign w:val="subscript"/>
              </w:rPr>
            </w:pPr>
            <w:r w:rsidRPr="00BA2279">
              <w:rPr>
                <w:sz w:val="20"/>
                <w:vertAlign w:val="subscript"/>
              </w:rPr>
              <w:t>Venlafaxine</w:t>
            </w:r>
          </w:p>
        </w:tc>
        <w:tc>
          <w:tcPr>
            <w:tcW w:w="709" w:type="dxa"/>
          </w:tcPr>
          <w:p w14:paraId="3CA9F2EB" w14:textId="77777777" w:rsidR="00BA2279" w:rsidRPr="00BA2279" w:rsidRDefault="00BA2279" w:rsidP="00BA2279">
            <w:pPr>
              <w:pStyle w:val="Tabletext"/>
              <w:jc w:val="right"/>
              <w:rPr>
                <w:sz w:val="20"/>
                <w:vertAlign w:val="subscript"/>
              </w:rPr>
            </w:pPr>
            <w:r w:rsidRPr="00BA2279">
              <w:rPr>
                <w:sz w:val="20"/>
                <w:vertAlign w:val="subscript"/>
              </w:rPr>
              <w:t>33.3</w:t>
            </w:r>
          </w:p>
        </w:tc>
        <w:tc>
          <w:tcPr>
            <w:tcW w:w="1559" w:type="dxa"/>
          </w:tcPr>
          <w:p w14:paraId="5ED8F836"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7.2</w:t>
            </w:r>
          </w:p>
        </w:tc>
        <w:tc>
          <w:tcPr>
            <w:tcW w:w="1488" w:type="dxa"/>
          </w:tcPr>
          <w:p w14:paraId="44B71D76"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24.3 to 9.9</w:t>
            </w:r>
          </w:p>
        </w:tc>
        <w:tc>
          <w:tcPr>
            <w:tcW w:w="780" w:type="dxa"/>
          </w:tcPr>
          <w:p w14:paraId="3FF21CA5" w14:textId="77777777" w:rsidR="00BA2279" w:rsidRPr="00BA2279" w:rsidRDefault="00BA2279" w:rsidP="00BA2279">
            <w:pPr>
              <w:pStyle w:val="Tabletext"/>
              <w:jc w:val="right"/>
              <w:rPr>
                <w:sz w:val="20"/>
                <w:vertAlign w:val="subscript"/>
              </w:rPr>
            </w:pPr>
            <w:r w:rsidRPr="00BA2279">
              <w:rPr>
                <w:sz w:val="20"/>
                <w:vertAlign w:val="subscript"/>
              </w:rPr>
              <w:t>18.2</w:t>
            </w:r>
          </w:p>
        </w:tc>
        <w:tc>
          <w:tcPr>
            <w:tcW w:w="1559" w:type="dxa"/>
          </w:tcPr>
          <w:p w14:paraId="4641CB8B" w14:textId="77777777" w:rsidR="00BA2279" w:rsidRPr="00BA2279" w:rsidRDefault="00BA2279" w:rsidP="00BA2279">
            <w:pPr>
              <w:pStyle w:val="Tabletext"/>
              <w:jc w:val="right"/>
              <w:rPr>
                <w:sz w:val="20"/>
                <w:vertAlign w:val="subscript"/>
              </w:rPr>
            </w:pPr>
            <w:r w:rsidRPr="00BA2279">
              <w:rPr>
                <w:sz w:val="20"/>
                <w:vertAlign w:val="subscript"/>
              </w:rPr>
              <w:t>12.3</w:t>
            </w:r>
          </w:p>
        </w:tc>
        <w:tc>
          <w:tcPr>
            <w:tcW w:w="1418" w:type="dxa"/>
          </w:tcPr>
          <w:p w14:paraId="652A7906" w14:textId="77777777" w:rsidR="00BA2279" w:rsidRPr="00BA2279" w:rsidRDefault="00BA2279" w:rsidP="00BA2279">
            <w:pPr>
              <w:pStyle w:val="Tabletext"/>
              <w:jc w:val="right"/>
              <w:rPr>
                <w:sz w:val="20"/>
                <w:vertAlign w:val="subscript"/>
              </w:rPr>
            </w:pPr>
            <w:r w:rsidRPr="00BA2279">
              <w:rPr>
                <w:sz w:val="20"/>
                <w:vertAlign w:val="subscript"/>
              </w:rPr>
              <w:t>0.8 to 23.8</w:t>
            </w:r>
          </w:p>
        </w:tc>
      </w:tr>
      <w:tr w:rsidR="00BA2279" w:rsidRPr="00BA2279" w14:paraId="6629CBB8" w14:textId="77777777" w:rsidTr="00BA2279">
        <w:tc>
          <w:tcPr>
            <w:tcW w:w="1526" w:type="dxa"/>
          </w:tcPr>
          <w:p w14:paraId="0AEF6A58" w14:textId="77777777" w:rsidR="00BA2279" w:rsidRPr="00BA2279" w:rsidRDefault="00BA2279" w:rsidP="00BA2279">
            <w:pPr>
              <w:pStyle w:val="Tabletext"/>
              <w:rPr>
                <w:sz w:val="20"/>
                <w:vertAlign w:val="subscript"/>
              </w:rPr>
            </w:pPr>
            <w:r w:rsidRPr="00BA2279">
              <w:rPr>
                <w:sz w:val="20"/>
                <w:vertAlign w:val="subscript"/>
              </w:rPr>
              <w:t>Bupropion</w:t>
            </w:r>
          </w:p>
        </w:tc>
        <w:tc>
          <w:tcPr>
            <w:tcW w:w="709" w:type="dxa"/>
          </w:tcPr>
          <w:p w14:paraId="1DCF6DEA" w14:textId="77777777" w:rsidR="00BA2279" w:rsidRPr="00BA2279" w:rsidRDefault="00BA2279" w:rsidP="00BA2279">
            <w:pPr>
              <w:pStyle w:val="Tabletext"/>
              <w:jc w:val="right"/>
              <w:rPr>
                <w:sz w:val="20"/>
                <w:vertAlign w:val="subscript"/>
              </w:rPr>
            </w:pPr>
            <w:r w:rsidRPr="00BA2279">
              <w:rPr>
                <w:sz w:val="20"/>
                <w:vertAlign w:val="subscript"/>
              </w:rPr>
              <w:t>29.8</w:t>
            </w:r>
          </w:p>
        </w:tc>
        <w:tc>
          <w:tcPr>
            <w:tcW w:w="1559" w:type="dxa"/>
          </w:tcPr>
          <w:p w14:paraId="39B86979"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10.7</w:t>
            </w:r>
          </w:p>
        </w:tc>
        <w:tc>
          <w:tcPr>
            <w:tcW w:w="1488" w:type="dxa"/>
          </w:tcPr>
          <w:p w14:paraId="72B31B06"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27.8 to 6.4</w:t>
            </w:r>
          </w:p>
        </w:tc>
        <w:tc>
          <w:tcPr>
            <w:tcW w:w="780" w:type="dxa"/>
          </w:tcPr>
          <w:p w14:paraId="5C20ADBD" w14:textId="77777777" w:rsidR="00BA2279" w:rsidRPr="00BA2279" w:rsidRDefault="00BA2279" w:rsidP="00BA2279">
            <w:pPr>
              <w:pStyle w:val="Tabletext"/>
              <w:jc w:val="right"/>
              <w:rPr>
                <w:sz w:val="20"/>
                <w:vertAlign w:val="subscript"/>
              </w:rPr>
            </w:pPr>
            <w:r w:rsidRPr="00BA2279">
              <w:rPr>
                <w:sz w:val="20"/>
                <w:vertAlign w:val="subscript"/>
              </w:rPr>
              <w:t>24.2</w:t>
            </w:r>
          </w:p>
        </w:tc>
        <w:tc>
          <w:tcPr>
            <w:tcW w:w="1559" w:type="dxa"/>
          </w:tcPr>
          <w:p w14:paraId="6CB60F8A" w14:textId="77777777" w:rsidR="00BA2279" w:rsidRPr="00BA2279" w:rsidRDefault="00BA2279" w:rsidP="00BA2279">
            <w:pPr>
              <w:pStyle w:val="Tabletext"/>
              <w:jc w:val="right"/>
              <w:rPr>
                <w:sz w:val="20"/>
                <w:vertAlign w:val="subscript"/>
              </w:rPr>
            </w:pPr>
            <w:r w:rsidRPr="00BA2279">
              <w:rPr>
                <w:sz w:val="20"/>
                <w:vertAlign w:val="subscript"/>
              </w:rPr>
              <w:t>18.3</w:t>
            </w:r>
          </w:p>
        </w:tc>
        <w:tc>
          <w:tcPr>
            <w:tcW w:w="1418" w:type="dxa"/>
          </w:tcPr>
          <w:p w14:paraId="1F7EFFD8" w14:textId="77777777" w:rsidR="00BA2279" w:rsidRPr="00BA2279" w:rsidRDefault="00BA2279" w:rsidP="00BA2279">
            <w:pPr>
              <w:pStyle w:val="Tabletext"/>
              <w:jc w:val="right"/>
              <w:rPr>
                <w:sz w:val="20"/>
                <w:vertAlign w:val="subscript"/>
              </w:rPr>
            </w:pPr>
            <w:r w:rsidRPr="00BA2279">
              <w:rPr>
                <w:sz w:val="20"/>
                <w:vertAlign w:val="subscript"/>
              </w:rPr>
              <w:t>6.4 to 30.1</w:t>
            </w:r>
          </w:p>
        </w:tc>
      </w:tr>
      <w:tr w:rsidR="00BA2279" w:rsidRPr="00BA2279" w14:paraId="3A114FF5" w14:textId="77777777" w:rsidTr="00BA2279">
        <w:tc>
          <w:tcPr>
            <w:tcW w:w="1526" w:type="dxa"/>
          </w:tcPr>
          <w:p w14:paraId="6C795245" w14:textId="77777777" w:rsidR="00BA2279" w:rsidRPr="00BA2279" w:rsidRDefault="00BA2279" w:rsidP="00BA2279">
            <w:pPr>
              <w:pStyle w:val="Tabletext"/>
              <w:rPr>
                <w:sz w:val="20"/>
                <w:vertAlign w:val="subscript"/>
              </w:rPr>
            </w:pPr>
            <w:r w:rsidRPr="00BA2279">
              <w:rPr>
                <w:sz w:val="20"/>
                <w:vertAlign w:val="subscript"/>
              </w:rPr>
              <w:t>Citalopram</w:t>
            </w:r>
          </w:p>
        </w:tc>
        <w:tc>
          <w:tcPr>
            <w:tcW w:w="709" w:type="dxa"/>
          </w:tcPr>
          <w:p w14:paraId="055607A6" w14:textId="77777777" w:rsidR="00BA2279" w:rsidRPr="00BA2279" w:rsidRDefault="00BA2279" w:rsidP="00BA2279">
            <w:pPr>
              <w:pStyle w:val="Tabletext"/>
              <w:jc w:val="right"/>
              <w:rPr>
                <w:sz w:val="20"/>
                <w:vertAlign w:val="subscript"/>
              </w:rPr>
            </w:pPr>
            <w:r w:rsidRPr="00BA2279">
              <w:rPr>
                <w:sz w:val="20"/>
                <w:vertAlign w:val="subscript"/>
              </w:rPr>
              <w:t>23.7</w:t>
            </w:r>
          </w:p>
        </w:tc>
        <w:tc>
          <w:tcPr>
            <w:tcW w:w="1559" w:type="dxa"/>
          </w:tcPr>
          <w:p w14:paraId="5070120B"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16.8</w:t>
            </w:r>
          </w:p>
        </w:tc>
        <w:tc>
          <w:tcPr>
            <w:tcW w:w="1488" w:type="dxa"/>
          </w:tcPr>
          <w:p w14:paraId="7671064F"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41.1 to 7.5</w:t>
            </w:r>
          </w:p>
        </w:tc>
        <w:tc>
          <w:tcPr>
            <w:tcW w:w="780" w:type="dxa"/>
          </w:tcPr>
          <w:p w14:paraId="690C0E7D" w14:textId="77777777" w:rsidR="00BA2279" w:rsidRPr="00BA2279" w:rsidRDefault="00BA2279" w:rsidP="00BA2279">
            <w:pPr>
              <w:pStyle w:val="Tabletext"/>
              <w:jc w:val="right"/>
              <w:rPr>
                <w:sz w:val="20"/>
                <w:vertAlign w:val="subscript"/>
              </w:rPr>
            </w:pPr>
            <w:r w:rsidRPr="00BA2279">
              <w:rPr>
                <w:sz w:val="20"/>
                <w:vertAlign w:val="subscript"/>
              </w:rPr>
              <w:t>18.0</w:t>
            </w:r>
          </w:p>
        </w:tc>
        <w:tc>
          <w:tcPr>
            <w:tcW w:w="1559" w:type="dxa"/>
          </w:tcPr>
          <w:p w14:paraId="0E94D31D" w14:textId="77777777" w:rsidR="00BA2279" w:rsidRPr="00BA2279" w:rsidRDefault="00BA2279" w:rsidP="00BA2279">
            <w:pPr>
              <w:pStyle w:val="Tabletext"/>
              <w:jc w:val="right"/>
              <w:rPr>
                <w:sz w:val="20"/>
                <w:vertAlign w:val="subscript"/>
              </w:rPr>
            </w:pPr>
            <w:r w:rsidRPr="00BA2279">
              <w:rPr>
                <w:sz w:val="20"/>
                <w:vertAlign w:val="subscript"/>
              </w:rPr>
              <w:t>12.1</w:t>
            </w:r>
          </w:p>
        </w:tc>
        <w:tc>
          <w:tcPr>
            <w:tcW w:w="1418" w:type="dxa"/>
          </w:tcPr>
          <w:p w14:paraId="7E73C31E" w14:textId="77777777" w:rsidR="00BA2279" w:rsidRPr="00BA2279" w:rsidRDefault="00BA2279" w:rsidP="00BA2279">
            <w:pPr>
              <w:pStyle w:val="Tabletext"/>
              <w:jc w:val="right"/>
              <w:rPr>
                <w:sz w:val="20"/>
                <w:vertAlign w:val="subscript"/>
              </w:rPr>
            </w:pPr>
            <w:r w:rsidRPr="00BA2279">
              <w:rPr>
                <w:rFonts w:cs="Arial"/>
                <w:sz w:val="20"/>
                <w:vertAlign w:val="subscript"/>
              </w:rPr>
              <w:t>−</w:t>
            </w:r>
            <w:r w:rsidRPr="00BA2279">
              <w:rPr>
                <w:sz w:val="20"/>
                <w:vertAlign w:val="subscript"/>
              </w:rPr>
              <w:t>0.3 to 24.5</w:t>
            </w:r>
          </w:p>
        </w:tc>
      </w:tr>
      <w:tr w:rsidR="00BA2279" w:rsidRPr="00BA2279" w14:paraId="26DD4E20" w14:textId="77777777" w:rsidTr="00BA2279">
        <w:tc>
          <w:tcPr>
            <w:tcW w:w="9039" w:type="dxa"/>
            <w:gridSpan w:val="7"/>
          </w:tcPr>
          <w:p w14:paraId="45353FCC" w14:textId="77777777" w:rsidR="00BA2279" w:rsidRPr="00BA2279" w:rsidRDefault="00BA2279" w:rsidP="00BA2279">
            <w:pPr>
              <w:pStyle w:val="Tabletext"/>
              <w:rPr>
                <w:sz w:val="20"/>
                <w:vertAlign w:val="subscript"/>
              </w:rPr>
            </w:pPr>
            <w:r w:rsidRPr="00BA2279">
              <w:rPr>
                <w:sz w:val="20"/>
                <w:vertAlign w:val="subscript"/>
              </w:rPr>
              <w:t>Abbreviation: CI, confidence interval; n/a, not applicable.</w:t>
            </w:r>
          </w:p>
        </w:tc>
      </w:tr>
    </w:tbl>
    <w:p w14:paraId="130AF360" w14:textId="77777777" w:rsidR="00BA2279" w:rsidRDefault="00BA2279" w:rsidP="00704A62"/>
    <w:p w14:paraId="262763DF" w14:textId="34135A41" w:rsidR="00132431" w:rsidRDefault="00132431" w:rsidP="00704A62">
      <w:r>
        <w:t xml:space="preserve">Vortioxetine had higher remission rates than all other treatments, but results were only statistically significant for </w:t>
      </w:r>
      <w:proofErr w:type="spellStart"/>
      <w:r>
        <w:t>agomelatine</w:t>
      </w:r>
      <w:proofErr w:type="spellEnd"/>
      <w:r>
        <w:t>.</w:t>
      </w:r>
      <w:r w:rsidR="0031600C">
        <w:t xml:space="preserve"> The indirect treatment comparisons provided by the manufacturer and in </w:t>
      </w:r>
      <w:proofErr w:type="spellStart"/>
      <w:r w:rsidR="0031600C">
        <w:t>Llorca</w:t>
      </w:r>
      <w:proofErr w:type="spellEnd"/>
      <w:r w:rsidR="0031600C">
        <w:t xml:space="preserve"> et al</w:t>
      </w:r>
      <w:r w:rsidR="00704A71">
        <w:t>.</w:t>
      </w:r>
      <w:r w:rsidR="00D64C6A">
        <w:t xml:space="preserve"> </w:t>
      </w:r>
      <w:r w:rsidR="00D64C6A">
        <w:fldChar w:fldCharType="begin" w:fldLock="1"/>
      </w:r>
      <w:r w:rsidR="00D64C6A">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64C6A">
        <w:fldChar w:fldCharType="separate"/>
      </w:r>
      <w:r w:rsidR="00D64C6A" w:rsidRPr="00191B9B">
        <w:rPr>
          <w:noProof/>
        </w:rPr>
        <w:t>[9]</w:t>
      </w:r>
      <w:r w:rsidR="00D64C6A">
        <w:fldChar w:fldCharType="end"/>
      </w:r>
      <w:r w:rsidR="0031600C">
        <w:t xml:space="preserve"> both reported withdrawal due to adverse events, which can be considered a reasonable proxy for </w:t>
      </w:r>
      <w:r w:rsidR="004B3FCE">
        <w:t>tolerability</w:t>
      </w:r>
      <w:r w:rsidR="0031600C">
        <w:t xml:space="preserve"> overall.</w:t>
      </w:r>
      <w:r>
        <w:t xml:space="preserve"> Vortioxetine had lower rates of withdrawal due to adverse events than all other treatments, but results were only statistically significant for comparisons with sertraline, venlafaxine (XR) and bupropion.</w:t>
      </w:r>
    </w:p>
    <w:p w14:paraId="502F2C1D" w14:textId="77777777" w:rsidR="000F5F5E" w:rsidRDefault="00E05A80" w:rsidP="00FD107E">
      <w:pPr>
        <w:pStyle w:val="Heading3"/>
      </w:pPr>
      <w:bookmarkStart w:id="13" w:name="_Toc429652476"/>
      <w:bookmarkStart w:id="14" w:name="_Toc448503396"/>
      <w:r>
        <w:t>3</w:t>
      </w:r>
      <w:r w:rsidR="000F5F5E">
        <w:t>.1.1</w:t>
      </w:r>
      <w:r w:rsidR="000F5F5E">
        <w:tab/>
        <w:t>Critique of the Clinical Evidence</w:t>
      </w:r>
      <w:bookmarkEnd w:id="13"/>
      <w:bookmarkEnd w:id="14"/>
    </w:p>
    <w:p w14:paraId="3CBC4707" w14:textId="77777777" w:rsidR="003922D9" w:rsidRDefault="003922D9" w:rsidP="00FF6EA2">
      <w:pPr>
        <w:pStyle w:val="CommentText"/>
        <w:spacing w:line="276" w:lineRule="auto"/>
      </w:pPr>
      <w:r w:rsidRPr="007E15FD">
        <w:rPr>
          <w:sz w:val="22"/>
          <w:szCs w:val="22"/>
        </w:rPr>
        <w:t xml:space="preserve">The ERG commented that REVIVE and TAK318 </w:t>
      </w:r>
      <w:r w:rsidR="00407607" w:rsidRPr="007E15FD">
        <w:rPr>
          <w:sz w:val="22"/>
          <w:szCs w:val="22"/>
        </w:rPr>
        <w:t>were appropriately conducted</w:t>
      </w:r>
      <w:r w:rsidRPr="007E15FD">
        <w:rPr>
          <w:sz w:val="22"/>
          <w:szCs w:val="22"/>
        </w:rPr>
        <w:t xml:space="preserve"> but </w:t>
      </w:r>
      <w:r w:rsidR="00CC3FEE" w:rsidRPr="007E15FD">
        <w:rPr>
          <w:sz w:val="22"/>
          <w:szCs w:val="22"/>
        </w:rPr>
        <w:t xml:space="preserve">found </w:t>
      </w:r>
      <w:r w:rsidRPr="007E15FD">
        <w:rPr>
          <w:sz w:val="22"/>
          <w:szCs w:val="22"/>
        </w:rPr>
        <w:t xml:space="preserve">that </w:t>
      </w:r>
      <w:r w:rsidR="00407607" w:rsidRPr="007E15FD">
        <w:rPr>
          <w:sz w:val="22"/>
          <w:szCs w:val="22"/>
        </w:rPr>
        <w:t>the two</w:t>
      </w:r>
      <w:r w:rsidRPr="007E15FD">
        <w:rPr>
          <w:sz w:val="22"/>
          <w:szCs w:val="22"/>
        </w:rPr>
        <w:t xml:space="preserve"> comparators</w:t>
      </w:r>
      <w:r w:rsidR="00407607" w:rsidRPr="007E15FD">
        <w:rPr>
          <w:sz w:val="22"/>
          <w:szCs w:val="22"/>
        </w:rPr>
        <w:t xml:space="preserve"> considered in the trials were only</w:t>
      </w:r>
      <w:r w:rsidRPr="007E15FD">
        <w:rPr>
          <w:sz w:val="22"/>
          <w:szCs w:val="22"/>
        </w:rPr>
        <w:t xml:space="preserve"> of limited relevance to clinical practice in </w:t>
      </w:r>
      <w:r w:rsidR="004B3FCE">
        <w:rPr>
          <w:sz w:val="22"/>
          <w:szCs w:val="22"/>
        </w:rPr>
        <w:t>the UK</w:t>
      </w:r>
      <w:r w:rsidR="004B3FCE" w:rsidRPr="007E15FD">
        <w:rPr>
          <w:sz w:val="22"/>
          <w:szCs w:val="22"/>
        </w:rPr>
        <w:t xml:space="preserve"> </w:t>
      </w:r>
      <w:r w:rsidRPr="007E15FD">
        <w:rPr>
          <w:sz w:val="22"/>
          <w:szCs w:val="22"/>
        </w:rPr>
        <w:t>(NICE has not issu</w:t>
      </w:r>
      <w:r w:rsidR="001D6E5D">
        <w:rPr>
          <w:sz w:val="22"/>
          <w:szCs w:val="22"/>
        </w:rPr>
        <w:t xml:space="preserve">ed any guidance for Agomelatine - </w:t>
      </w:r>
      <w:r w:rsidR="001D6E5D">
        <w:rPr>
          <w:sz w:val="22"/>
          <w:szCs w:val="22"/>
        </w:rPr>
        <w:fldChar w:fldCharType="begin" w:fldLock="1"/>
      </w:r>
      <w:r w:rsidR="00191B9B">
        <w:rPr>
          <w:sz w:val="22"/>
          <w:szCs w:val="22"/>
        </w:rPr>
        <w:instrText>ADDIN CSL_CITATION { "citationItems" : [ { "id" : "ITEM-1", "itemData" : { "author" : [ { "dropping-particle" : "", "family" : "NICE", "given" : "", "non-dropping-particle" : "", "parse-names" : false, "suffix" : "" } ], "id" : "ITEM-1", "issued" : { "date-parts" : [ [ "2011" ] ] }, "publisher" : "NICE", "title" : "Agomelatine for the treatment of major depressive episodes (terminated appraisal)", "type" : "article-journal" }, "uris" : [ "http://www.mendeley.com/documents/?uuid=c92eae5f-cf42-391e-8d18-bd235b87f069" ] } ], "mendeley" : { "formattedCitation" : "[6]", "manualFormatting" : "NICE, 2011", "plainTextFormattedCitation" : "[6]", "previouslyFormattedCitation" : "[6]" }, "properties" : { "noteIndex" : 0 }, "schema" : "https://github.com/citation-style-language/schema/raw/master/csl-citation.json" }</w:instrText>
      </w:r>
      <w:r w:rsidR="001D6E5D">
        <w:rPr>
          <w:sz w:val="22"/>
          <w:szCs w:val="22"/>
        </w:rPr>
        <w:fldChar w:fldCharType="separate"/>
      </w:r>
      <w:r w:rsidR="001D6E5D" w:rsidRPr="001D6E5D">
        <w:rPr>
          <w:noProof/>
          <w:sz w:val="22"/>
          <w:szCs w:val="22"/>
        </w:rPr>
        <w:t>NICE, 2011</w:t>
      </w:r>
      <w:r w:rsidR="001D6E5D">
        <w:rPr>
          <w:sz w:val="22"/>
          <w:szCs w:val="22"/>
        </w:rPr>
        <w:fldChar w:fldCharType="end"/>
      </w:r>
      <w:r w:rsidR="004B3FCE">
        <w:rPr>
          <w:sz w:val="22"/>
          <w:szCs w:val="22"/>
        </w:rPr>
        <w:t>, and escitalopram is not commonly used</w:t>
      </w:r>
      <w:r w:rsidRPr="007E15FD">
        <w:rPr>
          <w:sz w:val="22"/>
          <w:szCs w:val="22"/>
        </w:rPr>
        <w:t>).</w:t>
      </w:r>
      <w:r>
        <w:t xml:space="preserve"> </w:t>
      </w:r>
      <w:r w:rsidR="0060649D" w:rsidRPr="00530A8E">
        <w:rPr>
          <w:rFonts w:ascii="Times New Roman" w:hAnsi="Times New Roman" w:cs="Times New Roman"/>
          <w:color w:val="000000"/>
          <w:sz w:val="22"/>
          <w:szCs w:val="22"/>
        </w:rPr>
        <w:t xml:space="preserve">These two trials represent only 972 patients of over 7,000 patients included in </w:t>
      </w:r>
      <w:r w:rsidR="00230B8C">
        <w:rPr>
          <w:rFonts w:ascii="Times New Roman" w:hAnsi="Times New Roman" w:cs="Times New Roman"/>
          <w:color w:val="000000"/>
          <w:sz w:val="22"/>
          <w:szCs w:val="22"/>
        </w:rPr>
        <w:t>trials</w:t>
      </w:r>
      <w:r w:rsidR="00230B8C" w:rsidRPr="00530A8E">
        <w:rPr>
          <w:rFonts w:ascii="Times New Roman" w:hAnsi="Times New Roman" w:cs="Times New Roman"/>
          <w:color w:val="000000"/>
          <w:sz w:val="22"/>
          <w:szCs w:val="22"/>
        </w:rPr>
        <w:t xml:space="preserve"> </w:t>
      </w:r>
      <w:r w:rsidR="0060649D" w:rsidRPr="00530A8E">
        <w:rPr>
          <w:rFonts w:ascii="Times New Roman" w:hAnsi="Times New Roman" w:cs="Times New Roman"/>
          <w:color w:val="000000"/>
          <w:sz w:val="22"/>
          <w:szCs w:val="22"/>
        </w:rPr>
        <w:t xml:space="preserve">of </w:t>
      </w:r>
      <w:proofErr w:type="spellStart"/>
      <w:r w:rsidR="0060649D" w:rsidRPr="00530A8E">
        <w:rPr>
          <w:rFonts w:ascii="Times New Roman" w:hAnsi="Times New Roman" w:cs="Times New Roman"/>
          <w:color w:val="000000"/>
          <w:sz w:val="22"/>
          <w:szCs w:val="22"/>
        </w:rPr>
        <w:t>vortioxetine</w:t>
      </w:r>
      <w:proofErr w:type="spellEnd"/>
      <w:r w:rsidR="0060649D" w:rsidRPr="00530A8E">
        <w:rPr>
          <w:rFonts w:ascii="Times New Roman" w:hAnsi="Times New Roman" w:cs="Times New Roman"/>
          <w:color w:val="000000"/>
          <w:sz w:val="22"/>
          <w:szCs w:val="22"/>
        </w:rPr>
        <w:t>. Only four trials were included in the primary in</w:t>
      </w:r>
      <w:r w:rsidR="0060649D">
        <w:rPr>
          <w:rFonts w:ascii="Times New Roman" w:hAnsi="Times New Roman" w:cs="Times New Roman"/>
          <w:color w:val="000000"/>
          <w:sz w:val="22"/>
          <w:szCs w:val="22"/>
        </w:rPr>
        <w:t xml:space="preserve">direct comparison of treatments. </w:t>
      </w:r>
      <w:r w:rsidR="0060649D" w:rsidRPr="00530A8E">
        <w:rPr>
          <w:rFonts w:ascii="Times New Roman" w:hAnsi="Times New Roman" w:cs="Times New Roman"/>
          <w:sz w:val="22"/>
          <w:szCs w:val="22"/>
        </w:rPr>
        <w:t xml:space="preserve">The ERG considers that the appropriate population and potential position of </w:t>
      </w:r>
      <w:proofErr w:type="spellStart"/>
      <w:r w:rsidR="0060649D" w:rsidRPr="00530A8E">
        <w:rPr>
          <w:rFonts w:ascii="Times New Roman" w:hAnsi="Times New Roman" w:cs="Times New Roman"/>
          <w:sz w:val="22"/>
          <w:szCs w:val="22"/>
        </w:rPr>
        <w:t>vortioxetine</w:t>
      </w:r>
      <w:proofErr w:type="spellEnd"/>
      <w:r w:rsidR="0060649D" w:rsidRPr="00530A8E">
        <w:rPr>
          <w:rFonts w:ascii="Times New Roman" w:hAnsi="Times New Roman" w:cs="Times New Roman"/>
          <w:sz w:val="22"/>
          <w:szCs w:val="22"/>
        </w:rPr>
        <w:t xml:space="preserve"> should have been based on a broader consideration of the evidence for </w:t>
      </w:r>
      <w:proofErr w:type="spellStart"/>
      <w:r w:rsidR="0060649D" w:rsidRPr="00530A8E">
        <w:rPr>
          <w:rFonts w:ascii="Times New Roman" w:hAnsi="Times New Roman" w:cs="Times New Roman"/>
          <w:sz w:val="22"/>
          <w:szCs w:val="22"/>
        </w:rPr>
        <w:t>vortioxetine</w:t>
      </w:r>
      <w:proofErr w:type="spellEnd"/>
      <w:r w:rsidR="0060649D" w:rsidRPr="00530A8E">
        <w:rPr>
          <w:rFonts w:ascii="Times New Roman" w:hAnsi="Times New Roman" w:cs="Times New Roman"/>
          <w:sz w:val="22"/>
          <w:szCs w:val="22"/>
        </w:rPr>
        <w:t xml:space="preserve"> and other comparators.</w:t>
      </w:r>
    </w:p>
    <w:p w14:paraId="1DFDA000" w14:textId="77777777" w:rsidR="003922D9" w:rsidRDefault="003922D9" w:rsidP="003922D9">
      <w:r>
        <w:t xml:space="preserve">The ERG stated that </w:t>
      </w:r>
      <w:r w:rsidRPr="00994DD5">
        <w:t xml:space="preserve">the validity of the </w:t>
      </w:r>
      <w:r>
        <w:t>company’s indirect treatment comparison</w:t>
      </w:r>
      <w:r w:rsidR="00407607">
        <w:t xml:space="preserve"> was highly questionable</w:t>
      </w:r>
      <w:r w:rsidRPr="00994DD5">
        <w:t xml:space="preserve"> </w:t>
      </w:r>
      <w:r w:rsidR="00407607">
        <w:t>given</w:t>
      </w:r>
      <w:r w:rsidRPr="00994DD5">
        <w:t xml:space="preserve"> the </w:t>
      </w:r>
      <w:r>
        <w:t xml:space="preserve">differences in the baseline patient characteristics </w:t>
      </w:r>
      <w:r w:rsidRPr="00994DD5">
        <w:t>and severit</w:t>
      </w:r>
      <w:r>
        <w:t xml:space="preserve">y </w:t>
      </w:r>
      <w:r w:rsidRPr="00994DD5">
        <w:t xml:space="preserve">of </w:t>
      </w:r>
      <w:r w:rsidR="00407607">
        <w:t>conditions</w:t>
      </w:r>
      <w:r>
        <w:t xml:space="preserve"> of </w:t>
      </w:r>
      <w:r w:rsidRPr="00994DD5">
        <w:t xml:space="preserve">the populations across </w:t>
      </w:r>
      <w:r w:rsidR="00407607">
        <w:t>the four</w:t>
      </w:r>
      <w:r w:rsidR="00B01689">
        <w:t xml:space="preserve"> </w:t>
      </w:r>
      <w:r w:rsidRPr="00994DD5">
        <w:t>trial</w:t>
      </w:r>
      <w:r>
        <w:t xml:space="preserve">s. For instance in </w:t>
      </w:r>
      <w:r w:rsidR="00FF6EA2">
        <w:fldChar w:fldCharType="begin" w:fldLock="1"/>
      </w:r>
      <w:r w:rsidR="00704A71">
        <w:instrText>ADDIN CSL_CITATION { "citationItems" : [ { "id" : "ITEM-1", "itemData" : { "DOI" : "10.4088/JCP.09m05347blu", "ISSN" : "1555-2101", "PMID" : "20193645", "abstract" : "OBJECTIVE This study evaluates the efficacy of agomelatine, the first antidepressant to be an agonist at MT(1)/MT(2) receptors and an antagonist at 5-HT(2C) receptors, versus sertraline with regard to the amplitude of the circadian rest-activity cycle and depressive and anxiety symptoms in patients with major depressive disorder (MDD). METHOD Outpatients with DSM-IV-TR-defined MDD received either agomelatine 25 to 50 mg (n = 154) or sertraline 50 to 100 mg (n = 159) during a 6-week, randomized, double-blind treatment period. The study was conducted from 2005 to 2006. The main outcome measure was the relative amplitude of the individual rest-activity cycles, expressed as change from baseline to week 6 and collected from continuous records using wrist actigraphy and sleep logs. Secondary outcome measures were sleep efficiency and sleep latency, both derived from actigraphy, and efficacy on depression symptoms (17-Item Hamilton Depression Rating Scale total score and Clinical Global Impressions scale scores) and anxiety symptoms (Hamilton Anxiety Rating Scale total score and subscores). RESULTS A significant difference in favor of agomelatine compared to sertraline on the relative amplitude of the circadian rest-activity cycle was observed at the end of the first week (P = .01). In parallel, a significant improvement of sleep latency (P &lt;.001) and sleep efficiency (P &lt;.001) from week 1 to week 6 was observed with agomelatine as compared to sertraline. Over the 6-week treatment period, depressive symptoms improved significantly more with agomelatine than with sertraline (P &lt;.05), as did anxiety symptoms (P &lt;.05). CONCLUSIONS The favorable effect of agomelatine on the relative amplitude of the circadian rest-activity/sleep-wake cycle in depressed patients at week 1 reflects early improvement in sleep and daytime functioning. Higher efficacy results were observed with agomelatine as compared to sertraline on both depressive and anxiety symptoms over the 6-week treatment period, together with a good tolerability profile. These findings indicate that agomelatine offers promising benefits for MDD patients. TRIAL REGISTRATION www.isrctn.org: ISRCTN49376288.", "author" : [ { "dropping-particle" : "", "family" : "Kasper", "given" : "Siegfried", "non-dropping-particle" : "", "parse-names" : false, "suffix" : "" }, { "dropping-particle" : "", "family" : "Hajak", "given" : "G\u00f6ran", "non-dropping-particle" : "", "parse-names" : false, "suffix" : "" }, { "dropping-particle" : "", "family" : "Wulff", "given" : "Katharina", "non-dropping-particle" : "", "parse-names" : false, "suffix" : "" }, { "dropping-particle" : "", "family" : "Hoogendijk", "given" : "Witte J G", "non-dropping-particle" : "", "parse-names" : false, "suffix" : "" }, { "dropping-particle" : "", "family" : "Montejo", "given" : "Angel Luis", "non-dropping-particle" : "", "parse-names" : false, "suffix" : "" }, { "dropping-particle" : "", "family" : "Smeraldi", "given" : "Enrico", "non-dropping-particle" : "", "parse-names" : false, "suffix" : "" }, { "dropping-particle" : "", "family" : "Rybakowski", "given" : "Janusz K", "non-dropping-particle" : "", "parse-names" : false, "suffix" : "" }, { "dropping-particle" : "", "family" : "Quera-Salva", "given" : "Maria-Antonia", "non-dropping-particle" : "", "parse-names" : false, "suffix" : "" }, { "dropping-particle" : "", "family" : "Wirz-Justice", "given" : "Anna M", "non-dropping-particle" : "", "parse-names" : false, "suffix" : "" }, { "dropping-particle" : "", "family" : "Picarel-Blanchot", "given" : "Fran\u00e7oise", "non-dropping-particle" : "", "parse-names" : false, "suffix" : "" }, { "dropping-particle" : "", "family" : "Bayl\u00e9", "given" : "Franck J", "non-dropping-particle" : "", "parse-names" : false, "suffix" : "" } ], "container-title" : "The Journal of clinical psychiatry", "id" : "ITEM-1", "issue" : "2", "issued" : { "date-parts" : [ [ "2010", "2" ] ] }, "page" : "109-20", "title" : "Efficacy of the novel antidepressant agomelatine on the circadian rest-activity cycle and depressive and anxiety symptoms in patients with major depressive disorder: a randomized, double-blind comparison with sertraline.", "type" : "article-journal", "volume" : "71" }, "uris" : [ "http://www.mendeley.com/documents/?uuid=59ecb0d7-ec7c-3e56-ad82-0ed7d196933c" ] } ], "mendeley" : { "formattedCitation" : "[7]", "manualFormatting" : "Kasper et al. ", "plainTextFormattedCitation" : "[7]", "previouslyFormattedCitation" : "[7]" }, "properties" : { "noteIndex" : 0 }, "schema" : "https://github.com/citation-style-language/schema/raw/master/csl-citation.json" }</w:instrText>
      </w:r>
      <w:r w:rsidR="00FF6EA2">
        <w:fldChar w:fldCharType="separate"/>
      </w:r>
      <w:r w:rsidR="00FF6EA2">
        <w:rPr>
          <w:noProof/>
        </w:rPr>
        <w:t>Kasper et al.</w:t>
      </w:r>
      <w:r w:rsidR="00FF6EA2" w:rsidRPr="00FF6EA2">
        <w:rPr>
          <w:noProof/>
        </w:rPr>
        <w:t xml:space="preserve"> </w:t>
      </w:r>
      <w:r w:rsidR="00FF6EA2">
        <w:fldChar w:fldCharType="end"/>
      </w:r>
      <w:r w:rsidR="00191B9B">
        <w:fldChar w:fldCharType="begin" w:fldLock="1"/>
      </w:r>
      <w:r w:rsidR="00191B9B">
        <w:instrText>ADDIN CSL_CITATION { "citationItems" : [ { "id" : "ITEM-1", "itemData" : { "DOI" : "10.4088/JCP.09m05347blu", "ISSN" : "1555-2101", "PMID" : "20193645", "abstract" : "OBJECTIVE This study evaluates the efficacy of agomelatine, the first antidepressant to be an agonist at MT(1)/MT(2) receptors and an antagonist at 5-HT(2C) receptors, versus sertraline with regard to the amplitude of the circadian rest-activity cycle and depressive and anxiety symptoms in patients with major depressive disorder (MDD). METHOD Outpatients with DSM-IV-TR-defined MDD received either agomelatine 25 to 50 mg (n = 154) or sertraline 50 to 100 mg (n = 159) during a 6-week, randomized, double-blind treatment period. The study was conducted from 2005 to 2006. The main outcome measure was the relative amplitude of the individual rest-activity cycles, expressed as change from baseline to week 6 and collected from continuous records using wrist actigraphy and sleep logs. Secondary outcome measures were sleep efficiency and sleep latency, both derived from actigraphy, and efficacy on depression symptoms (17-Item Hamilton Depression Rating Scale total score and Clinical Global Impressions scale scores) and anxiety symptoms (Hamilton Anxiety Rating Scale total score and subscores). RESULTS A significant difference in favor of agomelatine compared to sertraline on the relative amplitude of the circadian rest-activity cycle was observed at the end of the first week (P = .01). In parallel, a significant improvement of sleep latency (P &lt;.001) and sleep efficiency (P &lt;.001) from week 1 to week 6 was observed with agomelatine as compared to sertraline. Over the 6-week treatment period, depressive symptoms improved significantly more with agomelatine than with sertraline (P &lt;.05), as did anxiety symptoms (P &lt;.05). CONCLUSIONS The favorable effect of agomelatine on the relative amplitude of the circadian rest-activity/sleep-wake cycle in depressed patients at week 1 reflects early improvement in sleep and daytime functioning. Higher efficacy results were observed with agomelatine as compared to sertraline on both depressive and anxiety symptoms over the 6-week treatment period, together with a good tolerability profile. These findings indicate that agomelatine offers promising benefits for MDD patients. TRIAL REGISTRATION www.isrctn.org: ISRCTN49376288.", "author" : [ { "dropping-particle" : "", "family" : "Kasper", "given" : "Siegfried", "non-dropping-particle" : "", "parse-names" : false, "suffix" : "" }, { "dropping-particle" : "", "family" : "Hajak", "given" : "G\u00f6ran", "non-dropping-particle" : "", "parse-names" : false, "suffix" : "" }, { "dropping-particle" : "", "family" : "Wulff", "given" : "Katharina", "non-dropping-particle" : "", "parse-names" : false, "suffix" : "" }, { "dropping-particle" : "", "family" : "Hoogendijk", "given" : "Witte J G", "non-dropping-particle" : "", "parse-names" : false, "suffix" : "" }, { "dropping-particle" : "", "family" : "Montejo", "given" : "Angel Luis", "non-dropping-particle" : "", "parse-names" : false, "suffix" : "" }, { "dropping-particle" : "", "family" : "Smeraldi", "given" : "Enrico", "non-dropping-particle" : "", "parse-names" : false, "suffix" : "" }, { "dropping-particle" : "", "family" : "Rybakowski", "given" : "Janusz K", "non-dropping-particle" : "", "parse-names" : false, "suffix" : "" }, { "dropping-particle" : "", "family" : "Quera-Salva", "given" : "Maria-Antonia", "non-dropping-particle" : "", "parse-names" : false, "suffix" : "" }, { "dropping-particle" : "", "family" : "Wirz-Justice", "given" : "Anna M", "non-dropping-particle" : "", "parse-names" : false, "suffix" : "" }, { "dropping-particle" : "", "family" : "Picarel-Blanchot", "given" : "Fran\u00e7oise", "non-dropping-particle" : "", "parse-names" : false, "suffix" : "" }, { "dropping-particle" : "", "family" : "Bayl\u00e9", "given" : "Franck J", "non-dropping-particle" : "", "parse-names" : false, "suffix" : "" } ], "container-title" : "The Journal of clinical psychiatry", "id" : "ITEM-1", "issue" : "2", "issued" : { "date-parts" : [ [ "2010", "2" ] ] }, "page" : "109-20", "title" : "Efficacy of the novel antidepressant agomelatine on the circadian rest-activity cycle and depressive and anxiety symptoms in patients with major depressive disorder: a randomized, double-blind comparison with sertraline.", "type" : "article-journal", "volume" : "71" }, "uris" : [ "http://www.mendeley.com/documents/?uuid=59ecb0d7-ec7c-3e56-ad82-0ed7d196933c" ] } ], "mendeley" : { "formattedCitation" : "[7]", "plainTextFormattedCitation" : "[7]", "previouslyFormattedCitation" : "[7]" }, "properties" : { "noteIndex" : 0 }, "schema" : "https://github.com/citation-style-language/schema/raw/master/csl-citation.json" }</w:instrText>
      </w:r>
      <w:r w:rsidR="00191B9B">
        <w:fldChar w:fldCharType="separate"/>
      </w:r>
      <w:r w:rsidR="00191B9B" w:rsidRPr="00191B9B">
        <w:rPr>
          <w:noProof/>
        </w:rPr>
        <w:t>[7]</w:t>
      </w:r>
      <w:r w:rsidR="00191B9B">
        <w:fldChar w:fldCharType="end"/>
      </w:r>
      <w:r w:rsidR="00FF6EA2">
        <w:t xml:space="preserve"> </w:t>
      </w:r>
      <w:r>
        <w:t xml:space="preserve">it was unclear whether the population consisted entirely of patients receiving second-line treatment. </w:t>
      </w:r>
      <w:r w:rsidR="00407607">
        <w:t>Across the four trials there was considerable variation in the</w:t>
      </w:r>
      <w:r>
        <w:t xml:space="preserve"> time</w:t>
      </w:r>
      <w:r w:rsidR="00407607">
        <w:t>s</w:t>
      </w:r>
      <w:r>
        <w:t xml:space="preserve"> of ou</w:t>
      </w:r>
      <w:r w:rsidR="002C7B46">
        <w:t xml:space="preserve">tcome assessment (varying from six–14 </w:t>
      </w:r>
      <w:r>
        <w:t>weeks)</w:t>
      </w:r>
      <w:r w:rsidR="00407607">
        <w:t>, which was considered likely</w:t>
      </w:r>
      <w:r>
        <w:t xml:space="preserve"> </w:t>
      </w:r>
      <w:r w:rsidR="00407607">
        <w:t>to alter</w:t>
      </w:r>
      <w:r>
        <w:t xml:space="preserve"> results </w:t>
      </w:r>
      <w:r w:rsidR="00407607">
        <w:t>assuming</w:t>
      </w:r>
      <w:r>
        <w:t xml:space="preserve"> rates of remission and withdrawal are time-dependent. The ERG concluded that the heterogeneous nature of data included in the network meant that the results</w:t>
      </w:r>
      <w:r w:rsidR="00407607">
        <w:t xml:space="preserve"> of any indirect treatment comparison</w:t>
      </w:r>
      <w:r>
        <w:t xml:space="preserve"> may not be</w:t>
      </w:r>
      <w:r w:rsidR="00407607">
        <w:t xml:space="preserve"> sufficiently</w:t>
      </w:r>
      <w:r>
        <w:t xml:space="preserve"> reliable.</w:t>
      </w:r>
    </w:p>
    <w:p w14:paraId="25EFEC47" w14:textId="77777777" w:rsidR="003922D9" w:rsidRDefault="00E04953" w:rsidP="003922D9">
      <w:r>
        <w:t>The manufacturer justified excluding trials of non-switching populations by claiming that treatment efficacy in a switch population may be different from in initial use.</w:t>
      </w:r>
      <w:r w:rsidR="0026542A">
        <w:t xml:space="preserve"> </w:t>
      </w:r>
      <w:r w:rsidR="00CE169C">
        <w:t xml:space="preserve">Given the limited nature of the data in the switch population the ERG stated that data in non-switching and first-line populations should have been considered. </w:t>
      </w:r>
      <w:r w:rsidR="0026542A">
        <w:t>The</w:t>
      </w:r>
      <w:r>
        <w:t xml:space="preserve"> </w:t>
      </w:r>
      <w:r w:rsidR="003922D9">
        <w:t xml:space="preserve">ERG noted that the company presented no evidence to suggest that the relative efficacy between non-SSRIs may vary between </w:t>
      </w:r>
      <w:r w:rsidR="00421881">
        <w:t>subsequent lines of treatment</w:t>
      </w:r>
      <w:r w:rsidR="003922D9">
        <w:t xml:space="preserve">. </w:t>
      </w:r>
      <w:r>
        <w:t xml:space="preserve">The ERG stated that this </w:t>
      </w:r>
      <w:r>
        <w:lastRenderedPageBreak/>
        <w:t xml:space="preserve">restriction was inappropriate and evidence on non-switch populations was relevant when examining the efficacy and safety of </w:t>
      </w:r>
      <w:proofErr w:type="spellStart"/>
      <w:r>
        <w:t>vortioxetine</w:t>
      </w:r>
      <w:proofErr w:type="spellEnd"/>
      <w:r>
        <w:t>. T</w:t>
      </w:r>
      <w:r w:rsidR="00167DD0">
        <w:t>he ERG sought further evidenc</w:t>
      </w:r>
      <w:r w:rsidR="00421881">
        <w:t>e from the company on</w:t>
      </w:r>
      <w:r w:rsidR="00167DD0">
        <w:t xml:space="preserve"> first-line population</w:t>
      </w:r>
      <w:r w:rsidR="00421881">
        <w:t xml:space="preserve"> studies</w:t>
      </w:r>
      <w:r w:rsidR="00167DD0">
        <w:t xml:space="preserve"> during the clarification stage.</w:t>
      </w:r>
    </w:p>
    <w:p w14:paraId="00483631" w14:textId="79E18522" w:rsidR="007E15FD" w:rsidRDefault="0060649D" w:rsidP="00167DD0">
      <w:r>
        <w:t xml:space="preserve">The ERG identified two key meta-analyses: </w:t>
      </w:r>
      <w:r w:rsidR="0026542A">
        <w:fldChar w:fldCharType="begin" w:fldLock="1"/>
      </w:r>
      <w:r w:rsidR="00704A71">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"manualFormatting" : "Pae et al.", "plainTextFormattedCitation" : "[8]", "previouslyFormattedCitation" : "[8]" }, "properties" : { "noteIndex" : 0 }, "schema" : "https://github.com/citation-style-language/schema/raw/master/csl-citation.json" }</w:instrText>
      </w:r>
      <w:r w:rsidR="0026542A">
        <w:fldChar w:fldCharType="separate"/>
      </w:r>
      <w:r w:rsidR="0026542A">
        <w:rPr>
          <w:noProof/>
        </w:rPr>
        <w:t>Pae et al.</w:t>
      </w:r>
      <w:r w:rsidR="0026542A">
        <w:fldChar w:fldCharType="end"/>
      </w:r>
      <w:r w:rsidR="00704A71">
        <w:t xml:space="preserve"> </w:t>
      </w:r>
      <w:r w:rsidR="00191B9B">
        <w:fldChar w:fldCharType="begin" w:fldLock="1"/>
      </w:r>
      <w:r w:rsidR="00191B9B">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191B9B">
        <w:fldChar w:fldCharType="separate"/>
      </w:r>
      <w:r w:rsidR="00191B9B" w:rsidRPr="00191B9B">
        <w:rPr>
          <w:noProof/>
        </w:rPr>
        <w:t>[8]</w:t>
      </w:r>
      <w:r w:rsidR="00191B9B">
        <w:fldChar w:fldCharType="end"/>
      </w:r>
      <w:r w:rsidR="0026542A">
        <w:t xml:space="preserve"> </w:t>
      </w:r>
      <w:r>
        <w:t>and</w:t>
      </w:r>
      <w:r w:rsidR="0026542A">
        <w:t xml:space="preserve"> </w:t>
      </w:r>
      <w:r w:rsidR="0026542A">
        <w:fldChar w:fldCharType="begin" w:fldLock="1"/>
      </w:r>
      <w:r w:rsidR="00704A71">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"manualFormatting" : "Llorca et al.", "plainTextFormattedCitation" : "[9]", "previouslyFormattedCitation" : "[9]" }, "properties" : { "noteIndex" : 0 }, "schema" : "https://github.com/citation-style-language/schema/raw/master/csl-citation.json" }</w:instrText>
      </w:r>
      <w:r w:rsidR="0026542A">
        <w:fldChar w:fldCharType="separate"/>
      </w:r>
      <w:r w:rsidR="0026542A">
        <w:rPr>
          <w:noProof/>
        </w:rPr>
        <w:t>Llorca et al.</w:t>
      </w:r>
      <w:r w:rsidR="0026542A">
        <w:fldChar w:fldCharType="end"/>
      </w:r>
      <w:r w:rsidR="00704A71">
        <w:t xml:space="preserve"> </w:t>
      </w:r>
      <w:r w:rsidR="00191B9B">
        <w:fldChar w:fldCharType="begin" w:fldLock="1"/>
      </w:r>
      <w:r w:rsidR="00191B9B">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191B9B">
        <w:fldChar w:fldCharType="separate"/>
      </w:r>
      <w:r w:rsidR="00191B9B" w:rsidRPr="00191B9B">
        <w:rPr>
          <w:noProof/>
        </w:rPr>
        <w:t>[9]</w:t>
      </w:r>
      <w:r w:rsidR="00191B9B">
        <w:fldChar w:fldCharType="end"/>
      </w:r>
      <w:r>
        <w:t xml:space="preserve">. </w:t>
      </w:r>
      <w:r w:rsidR="0026542A">
        <w:fldChar w:fldCharType="begin" w:fldLock="1"/>
      </w:r>
      <w:r w:rsidR="00704A71">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"manualFormatting" : "Pae et al.", "plainTextFormattedCitation" : "[8]", "previouslyFormattedCitation" : "[8]" }, "properties" : { "noteIndex" : 0 }, "schema" : "https://github.com/citation-style-language/schema/raw/master/csl-citation.json" }</w:instrText>
      </w:r>
      <w:r w:rsidR="0026542A">
        <w:fldChar w:fldCharType="separate"/>
      </w:r>
      <w:r w:rsidR="0026542A">
        <w:rPr>
          <w:noProof/>
        </w:rPr>
        <w:t>Pae et al.</w:t>
      </w:r>
      <w:r w:rsidR="0026542A">
        <w:fldChar w:fldCharType="end"/>
      </w:r>
      <w:r w:rsidR="00DE1EBD">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r>
        <w:t xml:space="preserve"> contains a</w:t>
      </w:r>
      <w:r w:rsidR="00167DD0">
        <w:t xml:space="preserve"> meta-analysis of</w:t>
      </w:r>
      <w:r w:rsidR="007E15FD">
        <w:t xml:space="preserve"> 7</w:t>
      </w:r>
      <w:r w:rsidR="00167DD0">
        <w:t xml:space="preserve"> placebo-controlled trials with active reference treatment arms</w:t>
      </w:r>
      <w:r>
        <w:t xml:space="preserve">, whereas </w:t>
      </w:r>
      <w:r w:rsidR="0026542A">
        <w:fldChar w:fldCharType="begin" w:fldLock="1"/>
      </w:r>
      <w:r w:rsidR="00704A71">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"manualFormatting" : "Llorca et al. ", "plainTextFormattedCitation" : "[9]", "previouslyFormattedCitation" : "[9]" }, "properties" : { "noteIndex" : 0 }, "schema" : "https://github.com/citation-style-language/schema/raw/master/csl-citation.json" }</w:instrText>
      </w:r>
      <w:r w:rsidR="0026542A">
        <w:fldChar w:fldCharType="separate"/>
      </w:r>
      <w:r w:rsidR="0026542A">
        <w:rPr>
          <w:noProof/>
        </w:rPr>
        <w:t>Llorca et al.</w:t>
      </w:r>
      <w:r w:rsidR="00DE1EBD">
        <w:rPr>
          <w:noProof/>
        </w:rPr>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r w:rsidR="0026542A" w:rsidRPr="0026542A">
        <w:rPr>
          <w:noProof/>
        </w:rPr>
        <w:t xml:space="preserve"> </w:t>
      </w:r>
      <w:r w:rsidR="0026542A">
        <w:fldChar w:fldCharType="end"/>
      </w:r>
      <w:r>
        <w:t>consists of an indirect tr</w:t>
      </w:r>
      <w:r w:rsidR="007E15FD">
        <w:t>eatment comparison that includes</w:t>
      </w:r>
      <w:r>
        <w:t xml:space="preserve"> 57 placebo</w:t>
      </w:r>
      <w:r w:rsidR="0061142F">
        <w:t>-</w:t>
      </w:r>
      <w:r>
        <w:t>controlled trials</w:t>
      </w:r>
      <w:r w:rsidR="007E15FD">
        <w:t>.</w:t>
      </w:r>
    </w:p>
    <w:p w14:paraId="6D539378" w14:textId="271BF46D" w:rsidR="00A35B86" w:rsidRDefault="0060649D" w:rsidP="00167DD0">
      <w:r>
        <w:t xml:space="preserve">The data from </w:t>
      </w:r>
      <w:r w:rsidR="0026542A">
        <w:fldChar w:fldCharType="begin" w:fldLock="1"/>
      </w:r>
      <w:r w:rsidR="00704A71">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"manualFormatting" : "Pae et al.", "plainTextFormattedCitation" : "[8]", "previouslyFormattedCitation" : "[8]" }, "properties" : { "noteIndex" : 0 }, "schema" : "https://github.com/citation-style-language/schema/raw/master/csl-citation.json" }</w:instrText>
      </w:r>
      <w:r w:rsidR="0026542A">
        <w:fldChar w:fldCharType="separate"/>
      </w:r>
      <w:r w:rsidR="0026542A">
        <w:rPr>
          <w:noProof/>
        </w:rPr>
        <w:t>Pae et al.</w:t>
      </w:r>
      <w:r w:rsidR="0026542A">
        <w:fldChar w:fldCharType="end"/>
      </w:r>
      <w:r w:rsidR="00DE1EBD">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r w:rsidR="007E15FD">
        <w:t xml:space="preserve">, comprising of comparisons of </w:t>
      </w:r>
      <w:proofErr w:type="spellStart"/>
      <w:r w:rsidR="007E15FD">
        <w:t>vortioxetine</w:t>
      </w:r>
      <w:proofErr w:type="spellEnd"/>
      <w:r w:rsidR="007E15FD">
        <w:t xml:space="preserve"> with </w:t>
      </w:r>
      <w:proofErr w:type="spellStart"/>
      <w:r w:rsidR="007E15FD">
        <w:t>agomelatine</w:t>
      </w:r>
      <w:proofErr w:type="spellEnd"/>
      <w:r w:rsidR="007E15FD">
        <w:t xml:space="preserve"> (1 trial), duloxetine (5 trials) and venlafaxine (1 trial),</w:t>
      </w:r>
      <w:r w:rsidR="00167DD0">
        <w:t xml:space="preserve"> </w:t>
      </w:r>
      <w:r w:rsidR="00421881">
        <w:t>w</w:t>
      </w:r>
      <w:r w:rsidR="00410CFB">
        <w:t>ere</w:t>
      </w:r>
      <w:r w:rsidR="00421881">
        <w:t xml:space="preserve"> re-analysed by the ERG</w:t>
      </w:r>
      <w:r w:rsidR="00167DD0">
        <w:t xml:space="preserve">. </w:t>
      </w:r>
      <w:r w:rsidR="00A35B86">
        <w:t xml:space="preserve"> The </w:t>
      </w:r>
      <w:r w:rsidR="00421881">
        <w:t xml:space="preserve">results for the remission outcome </w:t>
      </w:r>
      <w:r w:rsidR="00B726EB">
        <w:t>are</w:t>
      </w:r>
      <w:r w:rsidR="00A35B86">
        <w:t xml:space="preserve"> shown below in</w:t>
      </w:r>
      <w:r w:rsidR="007E15FD">
        <w:t xml:space="preserve"> </w:t>
      </w:r>
      <w:r w:rsidR="002D6FAB">
        <w:fldChar w:fldCharType="begin"/>
      </w:r>
      <w:r w:rsidR="002D6FAB">
        <w:instrText xml:space="preserve"> REF _Ref444610928 \h </w:instrText>
      </w:r>
      <w:r w:rsidR="002D6FAB">
        <w:fldChar w:fldCharType="separate"/>
      </w:r>
      <w:r w:rsidR="00C5039B">
        <w:t xml:space="preserve">Table </w:t>
      </w:r>
      <w:r w:rsidR="00C5039B">
        <w:rPr>
          <w:noProof/>
        </w:rPr>
        <w:t>2</w:t>
      </w:r>
      <w:r w:rsidR="002D6FAB">
        <w:fldChar w:fldCharType="end"/>
      </w:r>
      <w:r w:rsidR="00A35B86">
        <w:t>.</w:t>
      </w:r>
    </w:p>
    <w:p w14:paraId="3A4D601A" w14:textId="31A4D485" w:rsidR="00B726EB" w:rsidRDefault="00B726EB" w:rsidP="00B32AA8">
      <w:pPr>
        <w:pStyle w:val="Caption"/>
        <w:keepNext/>
      </w:pPr>
      <w:bookmarkStart w:id="15" w:name="_Ref444610928"/>
      <w:r>
        <w:t xml:space="preserve">Table </w:t>
      </w:r>
      <w:r w:rsidR="00CB3AB8">
        <w:fldChar w:fldCharType="begin"/>
      </w:r>
      <w:r w:rsidR="00CB3AB8">
        <w:instrText xml:space="preserve"> SEQ Table \* ARABIC </w:instrText>
      </w:r>
      <w:r w:rsidR="00CB3AB8">
        <w:fldChar w:fldCharType="separate"/>
      </w:r>
      <w:r w:rsidR="00C5039B">
        <w:rPr>
          <w:noProof/>
        </w:rPr>
        <w:t>2</w:t>
      </w:r>
      <w:r w:rsidR="00CB3AB8">
        <w:rPr>
          <w:noProof/>
        </w:rPr>
        <w:fldChar w:fldCharType="end"/>
      </w:r>
      <w:bookmarkEnd w:id="15"/>
      <w:r>
        <w:t xml:space="preserve"> - Remission results from re-analysis of </w:t>
      </w:r>
      <w:proofErr w:type="spellStart"/>
      <w:r>
        <w:t>Pae</w:t>
      </w:r>
      <w:proofErr w:type="spellEnd"/>
      <w:r>
        <w:t xml:space="preserve"> et al.</w:t>
      </w:r>
      <w:r w:rsidR="00DE1EBD">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p>
    <w:tbl>
      <w:tblPr>
        <w:tblStyle w:val="TableGrid"/>
        <w:tblW w:w="0" w:type="auto"/>
        <w:tblLook w:val="04A0" w:firstRow="1" w:lastRow="0" w:firstColumn="1" w:lastColumn="0" w:noHBand="0" w:noVBand="1"/>
      </w:tblPr>
      <w:tblGrid>
        <w:gridCol w:w="3080"/>
        <w:gridCol w:w="3081"/>
        <w:gridCol w:w="3081"/>
      </w:tblGrid>
      <w:tr w:rsidR="00B726EB" w14:paraId="49AC392B" w14:textId="77777777" w:rsidTr="00B726EB">
        <w:tc>
          <w:tcPr>
            <w:tcW w:w="3080" w:type="dxa"/>
          </w:tcPr>
          <w:p w14:paraId="456C90E6" w14:textId="77777777" w:rsidR="00B726EB" w:rsidRPr="00BA2279" w:rsidRDefault="00B726EB" w:rsidP="00B726EB">
            <w:pPr>
              <w:pStyle w:val="Tabletext"/>
              <w:rPr>
                <w:b/>
                <w:bCs/>
                <w:sz w:val="20"/>
                <w:vertAlign w:val="subscript"/>
              </w:rPr>
            </w:pPr>
            <w:r>
              <w:rPr>
                <w:b/>
                <w:bCs/>
                <w:sz w:val="20"/>
                <w:vertAlign w:val="subscript"/>
              </w:rPr>
              <w:t>Treatment</w:t>
            </w:r>
          </w:p>
        </w:tc>
        <w:tc>
          <w:tcPr>
            <w:tcW w:w="3081" w:type="dxa"/>
          </w:tcPr>
          <w:p w14:paraId="70FF9E05" w14:textId="77777777" w:rsidR="00B726EB" w:rsidRPr="00FA4DD2" w:rsidRDefault="00B726EB" w:rsidP="00B726EB">
            <w:pPr>
              <w:pStyle w:val="Tabletext"/>
              <w:rPr>
                <w:b/>
                <w:bCs/>
                <w:sz w:val="20"/>
                <w:vertAlign w:val="subscript"/>
                <w:lang w:val="fr-FR"/>
              </w:rPr>
            </w:pPr>
            <w:proofErr w:type="spellStart"/>
            <w:r w:rsidRPr="00FA4DD2">
              <w:rPr>
                <w:b/>
                <w:bCs/>
                <w:sz w:val="20"/>
                <w:vertAlign w:val="subscript"/>
                <w:lang w:val="fr-FR"/>
              </w:rPr>
              <w:t>Remission</w:t>
            </w:r>
            <w:proofErr w:type="spellEnd"/>
            <w:r w:rsidRPr="00FA4DD2">
              <w:rPr>
                <w:b/>
                <w:bCs/>
                <w:sz w:val="20"/>
                <w:vertAlign w:val="subscript"/>
                <w:lang w:val="fr-FR"/>
              </w:rPr>
              <w:t xml:space="preserve"> rate</w:t>
            </w:r>
            <w:r w:rsidR="00CE169C">
              <w:rPr>
                <w:b/>
                <w:bCs/>
                <w:sz w:val="20"/>
                <w:vertAlign w:val="subscript"/>
                <w:lang w:val="fr-FR"/>
              </w:rPr>
              <w:t>:</w:t>
            </w:r>
            <w:r w:rsidRPr="00FA4DD2">
              <w:rPr>
                <w:b/>
                <w:bCs/>
                <w:sz w:val="20"/>
                <w:vertAlign w:val="subscript"/>
                <w:lang w:val="fr-FR"/>
              </w:rPr>
              <w:t xml:space="preserve"> </w:t>
            </w:r>
            <w:proofErr w:type="spellStart"/>
            <w:r w:rsidRPr="00FA4DD2">
              <w:rPr>
                <w:b/>
                <w:bCs/>
                <w:sz w:val="20"/>
                <w:vertAlign w:val="subscript"/>
                <w:lang w:val="fr-FR"/>
              </w:rPr>
              <w:t>odds</w:t>
            </w:r>
            <w:proofErr w:type="spellEnd"/>
            <w:r w:rsidRPr="00FA4DD2">
              <w:rPr>
                <w:b/>
                <w:bCs/>
                <w:sz w:val="20"/>
                <w:vertAlign w:val="subscript"/>
                <w:lang w:val="fr-FR"/>
              </w:rPr>
              <w:t xml:space="preserve"> ratio versus </w:t>
            </w:r>
            <w:proofErr w:type="spellStart"/>
            <w:r w:rsidRPr="00FA4DD2">
              <w:rPr>
                <w:b/>
                <w:bCs/>
                <w:sz w:val="20"/>
                <w:vertAlign w:val="subscript"/>
                <w:lang w:val="fr-FR"/>
              </w:rPr>
              <w:t>vortioxetine</w:t>
            </w:r>
            <w:proofErr w:type="spellEnd"/>
            <w:r w:rsidRPr="00FA4DD2">
              <w:rPr>
                <w:b/>
                <w:bCs/>
                <w:sz w:val="20"/>
                <w:vertAlign w:val="subscript"/>
                <w:lang w:val="fr-FR"/>
              </w:rPr>
              <w:t xml:space="preserve"> (&gt;1 </w:t>
            </w:r>
            <w:proofErr w:type="spellStart"/>
            <w:r w:rsidRPr="00FA4DD2">
              <w:rPr>
                <w:b/>
                <w:bCs/>
                <w:sz w:val="20"/>
                <w:vertAlign w:val="subscript"/>
                <w:lang w:val="fr-FR"/>
              </w:rPr>
              <w:t>favours</w:t>
            </w:r>
            <w:proofErr w:type="spellEnd"/>
            <w:r w:rsidRPr="00FA4DD2">
              <w:rPr>
                <w:b/>
                <w:bCs/>
                <w:sz w:val="20"/>
                <w:vertAlign w:val="subscript"/>
                <w:lang w:val="fr-FR"/>
              </w:rPr>
              <w:t xml:space="preserve"> </w:t>
            </w:r>
            <w:proofErr w:type="spellStart"/>
            <w:r w:rsidRPr="00FA4DD2">
              <w:rPr>
                <w:b/>
                <w:bCs/>
                <w:sz w:val="20"/>
                <w:vertAlign w:val="subscript"/>
                <w:lang w:val="fr-FR"/>
              </w:rPr>
              <w:t>vortioxetine</w:t>
            </w:r>
            <w:proofErr w:type="spellEnd"/>
            <w:r w:rsidRPr="00FA4DD2">
              <w:rPr>
                <w:b/>
                <w:bCs/>
                <w:sz w:val="20"/>
                <w:vertAlign w:val="subscript"/>
                <w:lang w:val="fr-FR"/>
              </w:rPr>
              <w:t>)</w:t>
            </w:r>
          </w:p>
        </w:tc>
        <w:tc>
          <w:tcPr>
            <w:tcW w:w="3081" w:type="dxa"/>
          </w:tcPr>
          <w:p w14:paraId="195E1730" w14:textId="77777777" w:rsidR="00B726EB" w:rsidRPr="00BA2279" w:rsidRDefault="00B726EB" w:rsidP="007479DD">
            <w:pPr>
              <w:pStyle w:val="Tabletext"/>
              <w:rPr>
                <w:b/>
                <w:bCs/>
                <w:sz w:val="20"/>
                <w:vertAlign w:val="subscript"/>
              </w:rPr>
            </w:pPr>
            <w:r>
              <w:rPr>
                <w:b/>
                <w:bCs/>
                <w:sz w:val="20"/>
                <w:vertAlign w:val="subscript"/>
              </w:rPr>
              <w:t xml:space="preserve">95% </w:t>
            </w:r>
            <w:r w:rsidR="007479DD">
              <w:rPr>
                <w:b/>
                <w:bCs/>
                <w:sz w:val="20"/>
                <w:vertAlign w:val="subscript"/>
              </w:rPr>
              <w:t>Confidence Interval</w:t>
            </w:r>
          </w:p>
        </w:tc>
      </w:tr>
      <w:tr w:rsidR="00B726EB" w14:paraId="2162CB66" w14:textId="77777777" w:rsidTr="00B726EB">
        <w:tc>
          <w:tcPr>
            <w:tcW w:w="3080" w:type="dxa"/>
          </w:tcPr>
          <w:p w14:paraId="6F1A1151" w14:textId="77777777" w:rsidR="00B726EB" w:rsidRPr="00BA2279" w:rsidRDefault="00B726EB" w:rsidP="00B726EB">
            <w:pPr>
              <w:pStyle w:val="Tabletext"/>
              <w:rPr>
                <w:sz w:val="20"/>
                <w:vertAlign w:val="subscript"/>
              </w:rPr>
            </w:pPr>
            <w:r w:rsidRPr="00BA2279">
              <w:rPr>
                <w:sz w:val="20"/>
                <w:vertAlign w:val="subscript"/>
              </w:rPr>
              <w:t>Agomelatine</w:t>
            </w:r>
          </w:p>
        </w:tc>
        <w:tc>
          <w:tcPr>
            <w:tcW w:w="3081" w:type="dxa"/>
          </w:tcPr>
          <w:p w14:paraId="56174371" w14:textId="77777777" w:rsidR="00B726EB" w:rsidRPr="00BA2279" w:rsidRDefault="00B726EB" w:rsidP="00B726EB">
            <w:pPr>
              <w:pStyle w:val="Tabletext"/>
              <w:jc w:val="right"/>
              <w:rPr>
                <w:sz w:val="20"/>
                <w:vertAlign w:val="subscript"/>
              </w:rPr>
            </w:pPr>
            <w:r>
              <w:rPr>
                <w:sz w:val="20"/>
                <w:vertAlign w:val="subscript"/>
              </w:rPr>
              <w:t>1.89</w:t>
            </w:r>
          </w:p>
        </w:tc>
        <w:tc>
          <w:tcPr>
            <w:tcW w:w="3081" w:type="dxa"/>
          </w:tcPr>
          <w:p w14:paraId="558318FF" w14:textId="77777777" w:rsidR="00B726EB" w:rsidRPr="001C2A1F" w:rsidRDefault="00B726EB" w:rsidP="00B726EB">
            <w:pPr>
              <w:pStyle w:val="Tabletext"/>
              <w:jc w:val="right"/>
              <w:rPr>
                <w:sz w:val="20"/>
                <w:vertAlign w:val="subscript"/>
              </w:rPr>
            </w:pPr>
            <w:r>
              <w:rPr>
                <w:rFonts w:cs="Arial"/>
                <w:sz w:val="20"/>
                <w:vertAlign w:val="subscript"/>
              </w:rPr>
              <w:t>1.32 to 2.70</w:t>
            </w:r>
          </w:p>
        </w:tc>
      </w:tr>
      <w:tr w:rsidR="00B726EB" w14:paraId="5F63DFB0" w14:textId="77777777" w:rsidTr="00B726EB">
        <w:tc>
          <w:tcPr>
            <w:tcW w:w="3080" w:type="dxa"/>
          </w:tcPr>
          <w:p w14:paraId="6621DCF2" w14:textId="77777777" w:rsidR="00B726EB" w:rsidRPr="00BA2279" w:rsidRDefault="00B726EB" w:rsidP="00B726EB">
            <w:pPr>
              <w:pStyle w:val="Tabletext"/>
              <w:rPr>
                <w:sz w:val="20"/>
                <w:vertAlign w:val="subscript"/>
              </w:rPr>
            </w:pPr>
            <w:r>
              <w:rPr>
                <w:sz w:val="20"/>
                <w:vertAlign w:val="subscript"/>
              </w:rPr>
              <w:t>Venlafaxine</w:t>
            </w:r>
          </w:p>
        </w:tc>
        <w:tc>
          <w:tcPr>
            <w:tcW w:w="3081" w:type="dxa"/>
          </w:tcPr>
          <w:p w14:paraId="3C262866" w14:textId="77777777" w:rsidR="00B726EB" w:rsidRPr="00BA2279" w:rsidRDefault="00B726EB" w:rsidP="00B726EB">
            <w:pPr>
              <w:pStyle w:val="Tabletext"/>
              <w:jc w:val="right"/>
              <w:rPr>
                <w:sz w:val="20"/>
                <w:vertAlign w:val="subscript"/>
              </w:rPr>
            </w:pPr>
            <w:r>
              <w:rPr>
                <w:sz w:val="20"/>
                <w:vertAlign w:val="subscript"/>
              </w:rPr>
              <w:t>0.92</w:t>
            </w:r>
          </w:p>
        </w:tc>
        <w:tc>
          <w:tcPr>
            <w:tcW w:w="3081" w:type="dxa"/>
          </w:tcPr>
          <w:p w14:paraId="1EE8ADE5" w14:textId="77777777" w:rsidR="00B726EB" w:rsidRPr="001C2A1F" w:rsidRDefault="00B726EB" w:rsidP="00B726EB">
            <w:pPr>
              <w:pStyle w:val="Tabletext"/>
              <w:jc w:val="right"/>
              <w:rPr>
                <w:sz w:val="20"/>
                <w:vertAlign w:val="subscript"/>
              </w:rPr>
            </w:pPr>
            <w:r>
              <w:rPr>
                <w:rFonts w:cs="Arial"/>
                <w:sz w:val="20"/>
                <w:vertAlign w:val="subscript"/>
              </w:rPr>
              <w:t>0.58 to 1.46</w:t>
            </w:r>
          </w:p>
        </w:tc>
      </w:tr>
      <w:tr w:rsidR="00B726EB" w14:paraId="74E2CB43" w14:textId="77777777" w:rsidTr="00B726EB">
        <w:tc>
          <w:tcPr>
            <w:tcW w:w="3080" w:type="dxa"/>
          </w:tcPr>
          <w:p w14:paraId="1589574E" w14:textId="77777777" w:rsidR="00B726EB" w:rsidRPr="00BA2279" w:rsidRDefault="00B726EB" w:rsidP="00B726EB">
            <w:pPr>
              <w:pStyle w:val="Tabletext"/>
              <w:rPr>
                <w:sz w:val="20"/>
                <w:vertAlign w:val="subscript"/>
              </w:rPr>
            </w:pPr>
            <w:r>
              <w:rPr>
                <w:sz w:val="20"/>
                <w:vertAlign w:val="subscript"/>
              </w:rPr>
              <w:t>Duloxetine</w:t>
            </w:r>
          </w:p>
        </w:tc>
        <w:tc>
          <w:tcPr>
            <w:tcW w:w="3081" w:type="dxa"/>
          </w:tcPr>
          <w:p w14:paraId="50E7022F" w14:textId="77777777" w:rsidR="00B726EB" w:rsidRPr="00BA2279" w:rsidRDefault="00B726EB" w:rsidP="00B726EB">
            <w:pPr>
              <w:pStyle w:val="Tabletext"/>
              <w:jc w:val="right"/>
              <w:rPr>
                <w:sz w:val="20"/>
                <w:vertAlign w:val="subscript"/>
              </w:rPr>
            </w:pPr>
            <w:r>
              <w:rPr>
                <w:sz w:val="20"/>
                <w:vertAlign w:val="subscript"/>
              </w:rPr>
              <w:t>0.70</w:t>
            </w:r>
          </w:p>
        </w:tc>
        <w:tc>
          <w:tcPr>
            <w:tcW w:w="3081" w:type="dxa"/>
          </w:tcPr>
          <w:p w14:paraId="494B9D6A" w14:textId="77777777" w:rsidR="00B726EB" w:rsidRPr="001C2A1F" w:rsidRDefault="00B726EB" w:rsidP="00B726EB">
            <w:pPr>
              <w:jc w:val="right"/>
              <w:rPr>
                <w:rFonts w:ascii="Arial" w:hAnsi="Arial" w:cs="Arial"/>
                <w:sz w:val="20"/>
                <w:szCs w:val="20"/>
                <w:vertAlign w:val="subscript"/>
              </w:rPr>
            </w:pPr>
            <w:r>
              <w:rPr>
                <w:rFonts w:ascii="Arial" w:hAnsi="Arial" w:cs="Arial"/>
                <w:sz w:val="20"/>
                <w:szCs w:val="20"/>
                <w:vertAlign w:val="subscript"/>
              </w:rPr>
              <w:t>0.49 to 1.00</w:t>
            </w:r>
          </w:p>
        </w:tc>
      </w:tr>
    </w:tbl>
    <w:p w14:paraId="3B9CCECA" w14:textId="77777777" w:rsidR="00A35B86" w:rsidRDefault="00A35B86" w:rsidP="00167DD0"/>
    <w:p w14:paraId="09B5E232" w14:textId="130DAD1A" w:rsidR="007E15FD" w:rsidRDefault="00791E63" w:rsidP="00167DD0">
      <w:r w:rsidRPr="00791E63">
        <w:t>Active reference arms are included in trials of antidepressants to assess whether patients are responding to therapy. An active reference should be a drug of proven superiority over placebo, to check whether the trial has successfully treated patients by confirming a difference between the active reference and placebo. In active reference arms, patients known to be non-responsive to the reference were excluded, possibly biasing results in favour of the active reference.</w:t>
      </w:r>
      <w:r w:rsidR="00E04953">
        <w:t xml:space="preserve"> While the ERG acknowledged </w:t>
      </w:r>
      <w:r w:rsidR="00CE169C">
        <w:t xml:space="preserve">this </w:t>
      </w:r>
      <w:r w:rsidR="00E04953">
        <w:t xml:space="preserve">it did not consider this potential bias to be substantial enough to exclude these trials.  </w:t>
      </w:r>
      <w:r w:rsidR="0026542A">
        <w:fldChar w:fldCharType="begin" w:fldLock="1"/>
      </w:r>
      <w:r w:rsidR="00704A71">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"manualFormatting" : "Pae et al.", "plainTextFormattedCitation" : "[8]", "previouslyFormattedCitation" : "[8]" }, "properties" : { "noteIndex" : 0 }, "schema" : "https://github.com/citation-style-language/schema/raw/master/csl-citation.json" }</w:instrText>
      </w:r>
      <w:r w:rsidR="0026542A">
        <w:fldChar w:fldCharType="separate"/>
      </w:r>
      <w:r w:rsidR="0026542A">
        <w:rPr>
          <w:noProof/>
        </w:rPr>
        <w:t>Pae et al.</w:t>
      </w:r>
      <w:r w:rsidR="0026542A">
        <w:fldChar w:fldCharType="end"/>
      </w:r>
      <w:r w:rsidR="00DE1EBD">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r w:rsidR="0026542A">
        <w:t xml:space="preserve"> </w:t>
      </w:r>
      <w:r w:rsidR="00167DD0">
        <w:t xml:space="preserve">found no evidence of any difference in efficacy between </w:t>
      </w:r>
      <w:proofErr w:type="spellStart"/>
      <w:r w:rsidR="00167DD0">
        <w:t>vortioxetine</w:t>
      </w:r>
      <w:proofErr w:type="spellEnd"/>
      <w:r w:rsidR="00167DD0">
        <w:t xml:space="preserve"> and venlafaxine, </w:t>
      </w:r>
      <w:r w:rsidR="00421881">
        <w:t>while</w:t>
      </w:r>
      <w:r w:rsidR="00167DD0">
        <w:t xml:space="preserve"> </w:t>
      </w:r>
      <w:proofErr w:type="spellStart"/>
      <w:r w:rsidR="00167DD0">
        <w:t>vortioxetine</w:t>
      </w:r>
      <w:proofErr w:type="spellEnd"/>
      <w:r w:rsidR="00167DD0">
        <w:t xml:space="preserve"> was less effective than duloxetine in reducing depression scores, or achieving response and remission</w:t>
      </w:r>
      <w:r w:rsidR="005225F7">
        <w:rPr>
          <w:rStyle w:val="FootnoteReference"/>
        </w:rPr>
        <w:footnoteReference w:id="2"/>
      </w:r>
      <w:r w:rsidR="00167DD0">
        <w:t>.</w:t>
      </w:r>
    </w:p>
    <w:p w14:paraId="21B33E3B" w14:textId="0B8769C5" w:rsidR="00A35B86" w:rsidRDefault="007E15FD" w:rsidP="00167DD0">
      <w:r>
        <w:t xml:space="preserve">The </w:t>
      </w:r>
      <w:r w:rsidR="0026542A">
        <w:fldChar w:fldCharType="begin" w:fldLock="1"/>
      </w:r>
      <w:r w:rsidR="00704A71">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"manualFormatting" : "Llorca et al.", "plainTextFormattedCitation" : "[9]", "previouslyFormattedCitation" : "[9]" }, "properties" : { "noteIndex" : 0 }, "schema" : "https://github.com/citation-style-language/schema/raw/master/csl-citation.json" }</w:instrText>
      </w:r>
      <w:r w:rsidR="0026542A">
        <w:fldChar w:fldCharType="separate"/>
      </w:r>
      <w:r w:rsidR="0026542A">
        <w:rPr>
          <w:noProof/>
        </w:rPr>
        <w:t>Llorca et al.</w:t>
      </w:r>
      <w:r w:rsidR="0026542A">
        <w:fldChar w:fldCharType="end"/>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r w:rsidR="00167DD0">
        <w:t xml:space="preserve"> indirect treatment comparison include</w:t>
      </w:r>
      <w:r>
        <w:t>s</w:t>
      </w:r>
      <w:r w:rsidR="00167DD0">
        <w:t xml:space="preserve"> 57 placebo controlled trials of the following drugs: </w:t>
      </w:r>
      <w:proofErr w:type="spellStart"/>
      <w:r w:rsidR="00167DD0">
        <w:t>vortioxetine</w:t>
      </w:r>
      <w:proofErr w:type="spellEnd"/>
      <w:r w:rsidR="00167DD0">
        <w:t xml:space="preserve">, </w:t>
      </w:r>
      <w:proofErr w:type="spellStart"/>
      <w:r w:rsidR="00167DD0">
        <w:t>agomelatine</w:t>
      </w:r>
      <w:proofErr w:type="spellEnd"/>
      <w:r w:rsidR="00167DD0">
        <w:t xml:space="preserve">, </w:t>
      </w:r>
      <w:proofErr w:type="spellStart"/>
      <w:r w:rsidR="00167DD0">
        <w:t>desvenlafaxine</w:t>
      </w:r>
      <w:proofErr w:type="spellEnd"/>
      <w:r w:rsidR="00167DD0">
        <w:t xml:space="preserve">, duloxetine, escitalopram, sertraline, venlafaxine, </w:t>
      </w:r>
      <w:proofErr w:type="spellStart"/>
      <w:r w:rsidR="00167DD0">
        <w:t>vilazodo</w:t>
      </w:r>
      <w:r w:rsidR="00A35B86">
        <w:t>ne</w:t>
      </w:r>
      <w:proofErr w:type="spellEnd"/>
      <w:r w:rsidR="00A35B86">
        <w:t>. A summary of the</w:t>
      </w:r>
      <w:r w:rsidR="00B726EB">
        <w:t xml:space="preserve"> remission</w:t>
      </w:r>
      <w:r w:rsidR="00A35B86">
        <w:t xml:space="preserve"> results from this study</w:t>
      </w:r>
      <w:r>
        <w:t xml:space="preserve"> for relevant comparators for </w:t>
      </w:r>
      <w:proofErr w:type="spellStart"/>
      <w:r>
        <w:t>vortioxetine</w:t>
      </w:r>
      <w:proofErr w:type="spellEnd"/>
      <w:r>
        <w:t xml:space="preserve"> in the switch population under consideration</w:t>
      </w:r>
      <w:r w:rsidR="00A35B86">
        <w:t xml:space="preserve"> are provided below in </w:t>
      </w:r>
      <w:r w:rsidR="002D6FAB">
        <w:fldChar w:fldCharType="begin"/>
      </w:r>
      <w:r w:rsidR="002D6FAB">
        <w:instrText xml:space="preserve"> REF _Ref444610910 \h </w:instrText>
      </w:r>
      <w:r w:rsidR="002D6FAB">
        <w:fldChar w:fldCharType="separate"/>
      </w:r>
      <w:r w:rsidR="00C5039B">
        <w:t xml:space="preserve">Table </w:t>
      </w:r>
      <w:r w:rsidR="00C5039B">
        <w:rPr>
          <w:noProof/>
        </w:rPr>
        <w:t>3</w:t>
      </w:r>
      <w:r w:rsidR="002D6FAB">
        <w:fldChar w:fldCharType="end"/>
      </w:r>
      <w:r w:rsidR="00A35B86">
        <w:t>.</w:t>
      </w:r>
    </w:p>
    <w:p w14:paraId="74671B65" w14:textId="1DD95954" w:rsidR="00B726EB" w:rsidRDefault="00B726EB" w:rsidP="00B32AA8">
      <w:pPr>
        <w:pStyle w:val="Caption"/>
        <w:keepNext/>
      </w:pPr>
      <w:bookmarkStart w:id="16" w:name="_Ref444610910"/>
      <w:r>
        <w:t xml:space="preserve">Table </w:t>
      </w:r>
      <w:r w:rsidR="00CB3AB8">
        <w:fldChar w:fldCharType="begin"/>
      </w:r>
      <w:r w:rsidR="00CB3AB8">
        <w:instrText xml:space="preserve"> SEQ Table \* ARABIC </w:instrText>
      </w:r>
      <w:r w:rsidR="00CB3AB8">
        <w:fldChar w:fldCharType="separate"/>
      </w:r>
      <w:r w:rsidR="00C5039B">
        <w:rPr>
          <w:noProof/>
        </w:rPr>
        <w:t>3</w:t>
      </w:r>
      <w:r w:rsidR="00CB3AB8">
        <w:rPr>
          <w:noProof/>
        </w:rPr>
        <w:fldChar w:fldCharType="end"/>
      </w:r>
      <w:bookmarkEnd w:id="16"/>
      <w:r>
        <w:t xml:space="preserve"> - Remission </w:t>
      </w:r>
      <w:r w:rsidR="00704A71">
        <w:t xml:space="preserve">results from </w:t>
      </w:r>
      <w:proofErr w:type="spellStart"/>
      <w:r w:rsidR="00704A71">
        <w:t>Llorca</w:t>
      </w:r>
      <w:proofErr w:type="spellEnd"/>
      <w:r w:rsidR="00704A71">
        <w:t xml:space="preserve"> et al.</w:t>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p>
    <w:tbl>
      <w:tblPr>
        <w:tblStyle w:val="TableGrid"/>
        <w:tblW w:w="0" w:type="auto"/>
        <w:tblLook w:val="04A0" w:firstRow="1" w:lastRow="0" w:firstColumn="1" w:lastColumn="0" w:noHBand="0" w:noVBand="1"/>
      </w:tblPr>
      <w:tblGrid>
        <w:gridCol w:w="3080"/>
        <w:gridCol w:w="3081"/>
        <w:gridCol w:w="3081"/>
      </w:tblGrid>
      <w:tr w:rsidR="00B726EB" w14:paraId="0669775D" w14:textId="77777777" w:rsidTr="00B726EB">
        <w:tc>
          <w:tcPr>
            <w:tcW w:w="3080" w:type="dxa"/>
          </w:tcPr>
          <w:p w14:paraId="3292FA36" w14:textId="77777777" w:rsidR="00B726EB" w:rsidRPr="00BA2279" w:rsidRDefault="00B726EB" w:rsidP="00B726EB">
            <w:pPr>
              <w:pStyle w:val="Tabletext"/>
              <w:rPr>
                <w:b/>
                <w:bCs/>
                <w:sz w:val="20"/>
                <w:vertAlign w:val="subscript"/>
              </w:rPr>
            </w:pPr>
            <w:r>
              <w:rPr>
                <w:b/>
                <w:bCs/>
                <w:sz w:val="20"/>
                <w:vertAlign w:val="subscript"/>
              </w:rPr>
              <w:t>Treatment</w:t>
            </w:r>
          </w:p>
        </w:tc>
        <w:tc>
          <w:tcPr>
            <w:tcW w:w="3081" w:type="dxa"/>
          </w:tcPr>
          <w:p w14:paraId="4B95C1A8" w14:textId="77777777" w:rsidR="00B726EB" w:rsidRPr="00FA4DD2" w:rsidRDefault="00B726EB" w:rsidP="00B726EB">
            <w:pPr>
              <w:pStyle w:val="Tabletext"/>
              <w:rPr>
                <w:b/>
                <w:bCs/>
                <w:sz w:val="20"/>
                <w:vertAlign w:val="subscript"/>
                <w:lang w:val="fr-FR"/>
              </w:rPr>
            </w:pPr>
            <w:proofErr w:type="spellStart"/>
            <w:r w:rsidRPr="00FA4DD2">
              <w:rPr>
                <w:b/>
                <w:bCs/>
                <w:sz w:val="20"/>
                <w:vertAlign w:val="subscript"/>
                <w:lang w:val="fr-FR"/>
              </w:rPr>
              <w:t>Remission</w:t>
            </w:r>
            <w:proofErr w:type="spellEnd"/>
            <w:r w:rsidRPr="00FA4DD2">
              <w:rPr>
                <w:b/>
                <w:bCs/>
                <w:sz w:val="20"/>
                <w:vertAlign w:val="subscript"/>
                <w:lang w:val="fr-FR"/>
              </w:rPr>
              <w:t xml:space="preserve"> rate </w:t>
            </w:r>
            <w:proofErr w:type="spellStart"/>
            <w:r w:rsidRPr="00FA4DD2">
              <w:rPr>
                <w:b/>
                <w:bCs/>
                <w:sz w:val="20"/>
                <w:vertAlign w:val="subscript"/>
                <w:lang w:val="fr-FR"/>
              </w:rPr>
              <w:t>odds</w:t>
            </w:r>
            <w:proofErr w:type="spellEnd"/>
            <w:r w:rsidRPr="00FA4DD2">
              <w:rPr>
                <w:b/>
                <w:bCs/>
                <w:sz w:val="20"/>
                <w:vertAlign w:val="subscript"/>
                <w:lang w:val="fr-FR"/>
              </w:rPr>
              <w:t xml:space="preserve"> ratio versus </w:t>
            </w:r>
            <w:proofErr w:type="spellStart"/>
            <w:r w:rsidRPr="00FA4DD2">
              <w:rPr>
                <w:b/>
                <w:bCs/>
                <w:sz w:val="20"/>
                <w:vertAlign w:val="subscript"/>
                <w:lang w:val="fr-FR"/>
              </w:rPr>
              <w:t>vortioxetine</w:t>
            </w:r>
            <w:proofErr w:type="spellEnd"/>
            <w:r w:rsidRPr="00FA4DD2">
              <w:rPr>
                <w:b/>
                <w:bCs/>
                <w:sz w:val="20"/>
                <w:vertAlign w:val="subscript"/>
                <w:lang w:val="fr-FR"/>
              </w:rPr>
              <w:t xml:space="preserve"> (&gt;1 </w:t>
            </w:r>
            <w:proofErr w:type="spellStart"/>
            <w:r w:rsidRPr="00FA4DD2">
              <w:rPr>
                <w:b/>
                <w:bCs/>
                <w:sz w:val="20"/>
                <w:vertAlign w:val="subscript"/>
                <w:lang w:val="fr-FR"/>
              </w:rPr>
              <w:t>favours</w:t>
            </w:r>
            <w:proofErr w:type="spellEnd"/>
            <w:r w:rsidRPr="00FA4DD2">
              <w:rPr>
                <w:b/>
                <w:bCs/>
                <w:sz w:val="20"/>
                <w:vertAlign w:val="subscript"/>
                <w:lang w:val="fr-FR"/>
              </w:rPr>
              <w:t xml:space="preserve"> </w:t>
            </w:r>
            <w:proofErr w:type="spellStart"/>
            <w:r w:rsidRPr="00FA4DD2">
              <w:rPr>
                <w:b/>
                <w:bCs/>
                <w:sz w:val="20"/>
                <w:vertAlign w:val="subscript"/>
                <w:lang w:val="fr-FR"/>
              </w:rPr>
              <w:t>vortioxetine</w:t>
            </w:r>
            <w:proofErr w:type="spellEnd"/>
            <w:r w:rsidRPr="00FA4DD2">
              <w:rPr>
                <w:b/>
                <w:bCs/>
                <w:sz w:val="20"/>
                <w:vertAlign w:val="subscript"/>
                <w:lang w:val="fr-FR"/>
              </w:rPr>
              <w:t>)</w:t>
            </w:r>
          </w:p>
        </w:tc>
        <w:tc>
          <w:tcPr>
            <w:tcW w:w="3081" w:type="dxa"/>
          </w:tcPr>
          <w:p w14:paraId="4B333447" w14:textId="77777777" w:rsidR="00B726EB" w:rsidRPr="00BA2279" w:rsidRDefault="00B726EB" w:rsidP="00B726EB">
            <w:pPr>
              <w:pStyle w:val="Tabletext"/>
              <w:rPr>
                <w:b/>
                <w:bCs/>
                <w:sz w:val="20"/>
                <w:vertAlign w:val="subscript"/>
              </w:rPr>
            </w:pPr>
            <w:r>
              <w:rPr>
                <w:b/>
                <w:bCs/>
                <w:sz w:val="20"/>
                <w:vertAlign w:val="subscript"/>
              </w:rPr>
              <w:t xml:space="preserve">P-value of difference versus </w:t>
            </w:r>
            <w:proofErr w:type="spellStart"/>
            <w:r>
              <w:rPr>
                <w:b/>
                <w:bCs/>
                <w:sz w:val="20"/>
                <w:vertAlign w:val="subscript"/>
              </w:rPr>
              <w:t>vortioxetine</w:t>
            </w:r>
            <w:proofErr w:type="spellEnd"/>
          </w:p>
        </w:tc>
      </w:tr>
      <w:tr w:rsidR="00B726EB" w14:paraId="7A192AF6" w14:textId="77777777" w:rsidTr="00B726EB">
        <w:tc>
          <w:tcPr>
            <w:tcW w:w="3080" w:type="dxa"/>
          </w:tcPr>
          <w:p w14:paraId="1714F006" w14:textId="77777777" w:rsidR="00B726EB" w:rsidRPr="00BA2279" w:rsidRDefault="00B726EB" w:rsidP="00B726EB">
            <w:pPr>
              <w:pStyle w:val="Tabletext"/>
              <w:rPr>
                <w:sz w:val="20"/>
                <w:vertAlign w:val="subscript"/>
              </w:rPr>
            </w:pPr>
            <w:r w:rsidRPr="00BA2279">
              <w:rPr>
                <w:sz w:val="20"/>
                <w:vertAlign w:val="subscript"/>
              </w:rPr>
              <w:t>Agomelatine</w:t>
            </w:r>
          </w:p>
        </w:tc>
        <w:tc>
          <w:tcPr>
            <w:tcW w:w="3081" w:type="dxa"/>
          </w:tcPr>
          <w:p w14:paraId="1948C35D" w14:textId="77777777" w:rsidR="00B726EB" w:rsidRPr="00BA2279" w:rsidRDefault="00B726EB" w:rsidP="00B726EB">
            <w:pPr>
              <w:pStyle w:val="Tabletext"/>
              <w:jc w:val="right"/>
              <w:rPr>
                <w:sz w:val="20"/>
                <w:vertAlign w:val="subscript"/>
              </w:rPr>
            </w:pPr>
            <w:r>
              <w:rPr>
                <w:sz w:val="20"/>
                <w:vertAlign w:val="subscript"/>
              </w:rPr>
              <w:t>1.22</w:t>
            </w:r>
          </w:p>
        </w:tc>
        <w:tc>
          <w:tcPr>
            <w:tcW w:w="3081" w:type="dxa"/>
          </w:tcPr>
          <w:p w14:paraId="177B8E92" w14:textId="77777777" w:rsidR="00B726EB" w:rsidRPr="001C2A1F" w:rsidRDefault="00B726EB" w:rsidP="00B726EB">
            <w:pPr>
              <w:pStyle w:val="Tabletext"/>
              <w:jc w:val="right"/>
              <w:rPr>
                <w:sz w:val="20"/>
                <w:vertAlign w:val="subscript"/>
              </w:rPr>
            </w:pPr>
            <w:r>
              <w:rPr>
                <w:rFonts w:cs="Arial"/>
                <w:sz w:val="20"/>
                <w:vertAlign w:val="subscript"/>
              </w:rPr>
              <w:t>0.47</w:t>
            </w:r>
          </w:p>
        </w:tc>
      </w:tr>
      <w:tr w:rsidR="00B726EB" w14:paraId="09402CAE" w14:textId="77777777" w:rsidTr="00B726EB">
        <w:tc>
          <w:tcPr>
            <w:tcW w:w="3080" w:type="dxa"/>
          </w:tcPr>
          <w:p w14:paraId="32921ADA" w14:textId="77777777" w:rsidR="00B726EB" w:rsidRPr="00BA2279" w:rsidRDefault="00B726EB" w:rsidP="00B726EB">
            <w:pPr>
              <w:pStyle w:val="Tabletext"/>
              <w:rPr>
                <w:sz w:val="20"/>
                <w:vertAlign w:val="subscript"/>
              </w:rPr>
            </w:pPr>
            <w:r>
              <w:rPr>
                <w:sz w:val="20"/>
                <w:vertAlign w:val="subscript"/>
              </w:rPr>
              <w:t>Venlafaxine</w:t>
            </w:r>
          </w:p>
        </w:tc>
        <w:tc>
          <w:tcPr>
            <w:tcW w:w="3081" w:type="dxa"/>
          </w:tcPr>
          <w:p w14:paraId="2A1CDDDC" w14:textId="77777777" w:rsidR="00B726EB" w:rsidRPr="00BA2279" w:rsidRDefault="00B726EB" w:rsidP="00B726EB">
            <w:pPr>
              <w:pStyle w:val="Tabletext"/>
              <w:jc w:val="right"/>
              <w:rPr>
                <w:sz w:val="20"/>
                <w:vertAlign w:val="subscript"/>
              </w:rPr>
            </w:pPr>
            <w:r>
              <w:rPr>
                <w:sz w:val="20"/>
                <w:vertAlign w:val="subscript"/>
              </w:rPr>
              <w:t>0.69</w:t>
            </w:r>
          </w:p>
        </w:tc>
        <w:tc>
          <w:tcPr>
            <w:tcW w:w="3081" w:type="dxa"/>
          </w:tcPr>
          <w:p w14:paraId="30781165" w14:textId="77777777" w:rsidR="00B726EB" w:rsidRPr="001C2A1F" w:rsidRDefault="00B726EB" w:rsidP="00B726EB">
            <w:pPr>
              <w:pStyle w:val="Tabletext"/>
              <w:jc w:val="right"/>
              <w:rPr>
                <w:sz w:val="20"/>
                <w:vertAlign w:val="subscript"/>
              </w:rPr>
            </w:pPr>
            <w:r>
              <w:rPr>
                <w:rFonts w:cs="Arial"/>
                <w:sz w:val="20"/>
                <w:vertAlign w:val="subscript"/>
              </w:rPr>
              <w:t>0.44</w:t>
            </w:r>
          </w:p>
        </w:tc>
      </w:tr>
      <w:tr w:rsidR="00B726EB" w14:paraId="49D22419" w14:textId="77777777" w:rsidTr="00B726EB">
        <w:tc>
          <w:tcPr>
            <w:tcW w:w="3080" w:type="dxa"/>
          </w:tcPr>
          <w:p w14:paraId="7DFED2A5" w14:textId="77777777" w:rsidR="00B726EB" w:rsidRDefault="00B726EB" w:rsidP="00B726EB">
            <w:pPr>
              <w:pStyle w:val="Tabletext"/>
              <w:rPr>
                <w:sz w:val="20"/>
                <w:vertAlign w:val="subscript"/>
              </w:rPr>
            </w:pPr>
            <w:r>
              <w:rPr>
                <w:sz w:val="20"/>
                <w:vertAlign w:val="subscript"/>
              </w:rPr>
              <w:t>Escitalopram</w:t>
            </w:r>
          </w:p>
        </w:tc>
        <w:tc>
          <w:tcPr>
            <w:tcW w:w="3081" w:type="dxa"/>
          </w:tcPr>
          <w:p w14:paraId="33E3F010" w14:textId="77777777" w:rsidR="00B726EB" w:rsidRDefault="00B726EB" w:rsidP="00B726EB">
            <w:pPr>
              <w:pStyle w:val="Tabletext"/>
              <w:jc w:val="right"/>
              <w:rPr>
                <w:sz w:val="20"/>
                <w:vertAlign w:val="subscript"/>
              </w:rPr>
            </w:pPr>
            <w:r>
              <w:rPr>
                <w:sz w:val="20"/>
                <w:vertAlign w:val="subscript"/>
              </w:rPr>
              <w:t>0.99</w:t>
            </w:r>
          </w:p>
        </w:tc>
        <w:tc>
          <w:tcPr>
            <w:tcW w:w="3081" w:type="dxa"/>
          </w:tcPr>
          <w:p w14:paraId="4A7D73D9" w14:textId="77777777" w:rsidR="00B726EB" w:rsidRDefault="00B726EB" w:rsidP="00B726EB">
            <w:pPr>
              <w:jc w:val="right"/>
              <w:rPr>
                <w:rFonts w:ascii="Arial" w:hAnsi="Arial" w:cs="Arial"/>
                <w:sz w:val="20"/>
                <w:szCs w:val="20"/>
                <w:vertAlign w:val="subscript"/>
              </w:rPr>
            </w:pPr>
            <w:r>
              <w:rPr>
                <w:rFonts w:ascii="Arial" w:hAnsi="Arial" w:cs="Arial"/>
                <w:sz w:val="20"/>
                <w:szCs w:val="20"/>
                <w:vertAlign w:val="subscript"/>
              </w:rPr>
              <w:t>0.98</w:t>
            </w:r>
          </w:p>
        </w:tc>
      </w:tr>
      <w:tr w:rsidR="00B726EB" w14:paraId="125B9960" w14:textId="77777777" w:rsidTr="00B726EB">
        <w:tc>
          <w:tcPr>
            <w:tcW w:w="3080" w:type="dxa"/>
          </w:tcPr>
          <w:p w14:paraId="1DBFABE0" w14:textId="77777777" w:rsidR="00B726EB" w:rsidRPr="00BA2279" w:rsidRDefault="00B726EB" w:rsidP="00B726EB">
            <w:pPr>
              <w:pStyle w:val="Tabletext"/>
              <w:rPr>
                <w:sz w:val="20"/>
                <w:vertAlign w:val="subscript"/>
              </w:rPr>
            </w:pPr>
            <w:r>
              <w:rPr>
                <w:sz w:val="20"/>
                <w:vertAlign w:val="subscript"/>
              </w:rPr>
              <w:t>Duloxetine</w:t>
            </w:r>
          </w:p>
        </w:tc>
        <w:tc>
          <w:tcPr>
            <w:tcW w:w="3081" w:type="dxa"/>
          </w:tcPr>
          <w:p w14:paraId="5D316D37" w14:textId="77777777" w:rsidR="00B726EB" w:rsidRPr="00BA2279" w:rsidRDefault="00B726EB" w:rsidP="00B726EB">
            <w:pPr>
              <w:pStyle w:val="Tabletext"/>
              <w:jc w:val="right"/>
              <w:rPr>
                <w:sz w:val="20"/>
                <w:vertAlign w:val="subscript"/>
              </w:rPr>
            </w:pPr>
            <w:r>
              <w:rPr>
                <w:sz w:val="20"/>
                <w:vertAlign w:val="subscript"/>
              </w:rPr>
              <w:t>0.89</w:t>
            </w:r>
          </w:p>
        </w:tc>
        <w:tc>
          <w:tcPr>
            <w:tcW w:w="3081" w:type="dxa"/>
          </w:tcPr>
          <w:p w14:paraId="4C37C3B3" w14:textId="77777777" w:rsidR="00B726EB" w:rsidRPr="001C2A1F" w:rsidRDefault="00B726EB" w:rsidP="00B726EB">
            <w:pPr>
              <w:jc w:val="right"/>
              <w:rPr>
                <w:rFonts w:ascii="Arial" w:hAnsi="Arial" w:cs="Arial"/>
                <w:sz w:val="20"/>
                <w:szCs w:val="20"/>
                <w:vertAlign w:val="subscript"/>
              </w:rPr>
            </w:pPr>
            <w:r>
              <w:rPr>
                <w:rFonts w:ascii="Arial" w:hAnsi="Arial" w:cs="Arial"/>
                <w:sz w:val="20"/>
                <w:szCs w:val="20"/>
                <w:vertAlign w:val="subscript"/>
              </w:rPr>
              <w:t>0.53</w:t>
            </w:r>
          </w:p>
        </w:tc>
      </w:tr>
    </w:tbl>
    <w:p w14:paraId="5F17A834" w14:textId="77777777" w:rsidR="006D2245" w:rsidRDefault="006D2245" w:rsidP="006D2245">
      <w:pPr>
        <w:pStyle w:val="Caption"/>
      </w:pPr>
    </w:p>
    <w:p w14:paraId="299CB2CD" w14:textId="409989E6" w:rsidR="00167DD0" w:rsidRDefault="0026542A" w:rsidP="00167DD0">
      <w:r>
        <w:lastRenderedPageBreak/>
        <w:fldChar w:fldCharType="begin" w:fldLock="1"/>
      </w:r>
      <w:r w:rsidR="00704A71">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"manualFormatting" : "Llorca et al.", "plainTextFormattedCitation" : "[9]", "previouslyFormattedCitation" : "[9]" }, "properties" : { "noteIndex" : 0 }, "schema" : "https://github.com/citation-style-language/schema/raw/master/csl-citation.json" }</w:instrText>
      </w:r>
      <w:r>
        <w:fldChar w:fldCharType="separate"/>
      </w:r>
      <w:r>
        <w:rPr>
          <w:noProof/>
        </w:rPr>
        <w:t>Llorca et al.</w:t>
      </w:r>
      <w:r>
        <w:fldChar w:fldCharType="end"/>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r w:rsidR="00A35B86">
        <w:t xml:space="preserve"> found no evidence of any difference in efficacy between </w:t>
      </w:r>
      <w:proofErr w:type="spellStart"/>
      <w:r w:rsidR="00A35B86">
        <w:t>vortioxetine</w:t>
      </w:r>
      <w:proofErr w:type="spellEnd"/>
      <w:r w:rsidR="00A35B86">
        <w:t xml:space="preserve"> and its comparators.</w:t>
      </w:r>
      <w:r w:rsidR="00167DD0">
        <w:t xml:space="preserve"> </w:t>
      </w:r>
      <w:r w:rsidR="00421881">
        <w:t>However,</w:t>
      </w:r>
      <w:r w:rsidR="00167DD0">
        <w:t xml:space="preserve"> there was evidence to suggest fewer people stop </w:t>
      </w:r>
      <w:proofErr w:type="spellStart"/>
      <w:r w:rsidR="00167DD0">
        <w:t>vortioxetine</w:t>
      </w:r>
      <w:proofErr w:type="spellEnd"/>
      <w:r w:rsidR="00167DD0">
        <w:t xml:space="preserve"> </w:t>
      </w:r>
      <w:r w:rsidR="00421881">
        <w:t>due to</w:t>
      </w:r>
      <w:r w:rsidR="00167DD0">
        <w:t xml:space="preserve"> adverse events </w:t>
      </w:r>
      <w:r w:rsidR="00421881">
        <w:t>compared to</w:t>
      </w:r>
      <w:r w:rsidR="00167DD0">
        <w:t xml:space="preserve"> other treatments, including sertraline and venlafaxine. The ERG considered that </w:t>
      </w:r>
      <w:r>
        <w:fldChar w:fldCharType="begin" w:fldLock="1"/>
      </w:r>
      <w:r w:rsidR="00704A71">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"manualFormatting" : "Llorca et al.", "plainTextFormattedCitation" : "[9]", "previouslyFormattedCitation" : "[9]" }, "properties" : { "noteIndex" : 0 }, "schema" : "https://github.com/citation-style-language/schema/raw/master/csl-citation.json" }</w:instrText>
      </w:r>
      <w:r>
        <w:fldChar w:fldCharType="separate"/>
      </w:r>
      <w:r>
        <w:rPr>
          <w:noProof/>
        </w:rPr>
        <w:t>Llorca et al.</w:t>
      </w:r>
      <w:r>
        <w:fldChar w:fldCharType="end"/>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r w:rsidR="00167DD0">
        <w:t xml:space="preserve"> may </w:t>
      </w:r>
      <w:r w:rsidR="006D2245">
        <w:t xml:space="preserve">provide </w:t>
      </w:r>
      <w:r w:rsidR="00421881">
        <w:t>the most reliable</w:t>
      </w:r>
      <w:r w:rsidR="006D2245">
        <w:t xml:space="preserve"> evidence</w:t>
      </w:r>
      <w:r w:rsidR="00421881">
        <w:t xml:space="preserve"> </w:t>
      </w:r>
      <w:r w:rsidR="00167DD0">
        <w:t xml:space="preserve">comparing </w:t>
      </w:r>
      <w:proofErr w:type="spellStart"/>
      <w:r w:rsidR="00167DD0">
        <w:t>vortioxetine</w:t>
      </w:r>
      <w:proofErr w:type="spellEnd"/>
      <w:r w:rsidR="00167DD0">
        <w:t xml:space="preserve"> with other treatments.</w:t>
      </w:r>
    </w:p>
    <w:p w14:paraId="7B842920" w14:textId="77777777" w:rsidR="00167DD0" w:rsidRPr="003922D9" w:rsidRDefault="00167DD0" w:rsidP="00167DD0">
      <w:r>
        <w:t>Con</w:t>
      </w:r>
      <w:r w:rsidR="00A35B86">
        <w:t>sistent</w:t>
      </w:r>
      <w:r>
        <w:t xml:space="preserve"> </w:t>
      </w:r>
      <w:r w:rsidR="00A35B86">
        <w:t xml:space="preserve">with </w:t>
      </w:r>
      <w:r>
        <w:t>the findings of the company’s indirect treatment comparison, the ERG concluded that, based on all the evidence,</w:t>
      </w:r>
      <w:r w:rsidR="007E15FD">
        <w:t xml:space="preserve"> rather than the substantially restricted subset of evidence originally considered by the manufacturer,</w:t>
      </w:r>
      <w:r>
        <w:t xml:space="preserve"> </w:t>
      </w:r>
      <w:proofErr w:type="spellStart"/>
      <w:r>
        <w:t>vortioxetine</w:t>
      </w:r>
      <w:proofErr w:type="spellEnd"/>
      <w:r>
        <w:t xml:space="preserve"> is likely to be similar in efficacy to other</w:t>
      </w:r>
      <w:r w:rsidR="00784B6C">
        <w:t xml:space="preserve"> analysed antidepressants,</w:t>
      </w:r>
      <w:r w:rsidR="007479DD">
        <w:t xml:space="preserve"> but</w:t>
      </w:r>
      <w:r w:rsidR="00784B6C">
        <w:t xml:space="preserve"> may</w:t>
      </w:r>
      <w:r w:rsidR="007479DD">
        <w:t xml:space="preserve"> be</w:t>
      </w:r>
      <w:r w:rsidR="00784B6C">
        <w:t xml:space="preserve"> more efficacious than</w:t>
      </w:r>
      <w:r>
        <w:t xml:space="preserve"> </w:t>
      </w:r>
      <w:proofErr w:type="spellStart"/>
      <w:r>
        <w:t>agomelatine</w:t>
      </w:r>
      <w:proofErr w:type="spellEnd"/>
      <w:r>
        <w:t xml:space="preserve"> and inferior to duloxetine. </w:t>
      </w:r>
      <w:r w:rsidR="00784B6C">
        <w:t>The ERG</w:t>
      </w:r>
      <w:r w:rsidRPr="00167DD0">
        <w:t xml:space="preserve"> concluded that </w:t>
      </w:r>
      <w:proofErr w:type="spellStart"/>
      <w:r w:rsidRPr="00167DD0">
        <w:t>vortioxetine</w:t>
      </w:r>
      <w:proofErr w:type="spellEnd"/>
      <w:r w:rsidRPr="00167DD0">
        <w:t xml:space="preserve"> may </w:t>
      </w:r>
      <w:r w:rsidR="006D2245">
        <w:t>be more tolerable</w:t>
      </w:r>
      <w:r w:rsidRPr="00167DD0">
        <w:t xml:space="preserve"> than other</w:t>
      </w:r>
      <w:r w:rsidR="00784B6C">
        <w:t xml:space="preserve"> analysed</w:t>
      </w:r>
      <w:r w:rsidRPr="00167DD0">
        <w:t xml:space="preserve"> antidepressants,</w:t>
      </w:r>
      <w:r w:rsidR="006D2245">
        <w:t xml:space="preserve"> although the limited data prevents </w:t>
      </w:r>
      <w:r w:rsidR="00784B6C">
        <w:t>firm conclusion</w:t>
      </w:r>
      <w:r w:rsidR="006D2245">
        <w:t>s</w:t>
      </w:r>
      <w:r w:rsidRPr="00167DD0">
        <w:t>.</w:t>
      </w:r>
    </w:p>
    <w:p w14:paraId="182ABBD8" w14:textId="77777777" w:rsidR="000F5F5E" w:rsidRDefault="00E05A80" w:rsidP="004C57B8">
      <w:pPr>
        <w:pStyle w:val="Heading2"/>
        <w:keepNext/>
      </w:pPr>
      <w:bookmarkStart w:id="17" w:name="_Toc429652477"/>
      <w:bookmarkStart w:id="18" w:name="_Toc448503397"/>
      <w:r>
        <w:t>3</w:t>
      </w:r>
      <w:r w:rsidR="00064B89">
        <w:t>.2</w:t>
      </w:r>
      <w:r w:rsidR="00064B89">
        <w:tab/>
        <w:t xml:space="preserve">Cost </w:t>
      </w:r>
      <w:r w:rsidR="000F5F5E">
        <w:t>Effectiveness Evidence</w:t>
      </w:r>
      <w:bookmarkEnd w:id="17"/>
      <w:bookmarkEnd w:id="18"/>
    </w:p>
    <w:p w14:paraId="3A7513D4" w14:textId="77777777" w:rsidR="00044090" w:rsidRDefault="001E5CD8" w:rsidP="00044090">
      <w:r w:rsidRPr="00C20275">
        <w:t xml:space="preserve">The </w:t>
      </w:r>
      <w:r>
        <w:t>company</w:t>
      </w:r>
      <w:r w:rsidRPr="00C20275">
        <w:t xml:space="preserve"> did not identify any published studies of the cost</w:t>
      </w:r>
      <w:r w:rsidR="0061142F">
        <w:t>-</w:t>
      </w:r>
      <w:r w:rsidRPr="00C20275">
        <w:t xml:space="preserve">effectiveness of </w:t>
      </w:r>
      <w:proofErr w:type="spellStart"/>
      <w:r>
        <w:t>vortioxetine</w:t>
      </w:r>
      <w:proofErr w:type="spellEnd"/>
      <w:r w:rsidRPr="00C20275">
        <w:t xml:space="preserve"> </w:t>
      </w:r>
      <w:r w:rsidR="007479DD">
        <w:t>in a</w:t>
      </w:r>
      <w:r>
        <w:t xml:space="preserve"> second-line population</w:t>
      </w:r>
      <w:r w:rsidRPr="00C20275">
        <w:t xml:space="preserve">. </w:t>
      </w:r>
      <w:r w:rsidR="00044090" w:rsidRPr="00044090">
        <w:rPr>
          <w:rFonts w:ascii="Times New Roman" w:eastAsia="Times New Roman" w:hAnsi="Times New Roman" w:cs="Times New Roman"/>
          <w:lang w:eastAsia="en-US"/>
        </w:rPr>
        <w:t xml:space="preserve">To evaluate cost-effectiveness, the </w:t>
      </w:r>
      <w:r w:rsidR="004A63BB">
        <w:rPr>
          <w:rFonts w:ascii="Times New Roman" w:eastAsia="Times New Roman" w:hAnsi="Times New Roman" w:cs="Times New Roman"/>
          <w:lang w:eastAsia="en-US"/>
        </w:rPr>
        <w:t>manufacturer’s submission</w:t>
      </w:r>
      <w:r w:rsidR="00044090" w:rsidRPr="00044090">
        <w:rPr>
          <w:rFonts w:ascii="Times New Roman" w:eastAsia="Times New Roman" w:hAnsi="Times New Roman" w:cs="Times New Roman"/>
          <w:lang w:eastAsia="en-US"/>
        </w:rPr>
        <w:t xml:space="preserve"> presented a decision model that evaluated the progression of a single MDE. The model was based on treatment success defined in terms of remission at 8-weeks. It followed up patients for 12 months and considered three stages of disease progression: the acute phase (2 months duration), a maintenance phase (6 months duration), and a recovery phase (4 months duration).  The model used a decision-tree to evaluate progression within second-line of treatment, and a separate Markov process to describe further lines of therapy that may subsequently be used.</w:t>
      </w:r>
      <w:r w:rsidR="00DB55C4">
        <w:t xml:space="preserve"> </w:t>
      </w:r>
      <w:r w:rsidR="00044090">
        <w:t xml:space="preserve">The </w:t>
      </w:r>
      <w:r w:rsidR="00DB55C4">
        <w:t xml:space="preserve">model schematic </w:t>
      </w:r>
      <w:r w:rsidR="00044090">
        <w:t xml:space="preserve">is reported </w:t>
      </w:r>
      <w:r w:rsidR="00DB55C4">
        <w:t xml:space="preserve">in </w:t>
      </w:r>
      <w:r w:rsidR="00DB55C4">
        <w:fldChar w:fldCharType="begin"/>
      </w:r>
      <w:r w:rsidR="00DB55C4">
        <w:instrText xml:space="preserve"> REF _Ref444613670 \h </w:instrText>
      </w:r>
      <w:r w:rsidR="00DB55C4">
        <w:fldChar w:fldCharType="separate"/>
      </w:r>
      <w:r w:rsidR="00C5039B">
        <w:t xml:space="preserve">Figure </w:t>
      </w:r>
      <w:r w:rsidR="00C5039B">
        <w:rPr>
          <w:noProof/>
        </w:rPr>
        <w:t>2</w:t>
      </w:r>
      <w:r w:rsidR="00DB55C4">
        <w:fldChar w:fldCharType="end"/>
      </w:r>
      <w:r w:rsidR="00DB55C4">
        <w:t>.</w:t>
      </w:r>
      <w:r>
        <w:t xml:space="preserve"> </w:t>
      </w:r>
    </w:p>
    <w:p w14:paraId="388674FF" w14:textId="77777777" w:rsidR="001E5CD8" w:rsidRDefault="001E5CD8" w:rsidP="00044090">
      <w:r w:rsidRPr="00C20275">
        <w:t xml:space="preserve">The </w:t>
      </w:r>
      <w:r>
        <w:t>company</w:t>
      </w:r>
      <w:r w:rsidRPr="00C20275">
        <w:t xml:space="preserve"> conducted the economic analysis from an NHS and personal social services perspective and chose a time horizon of </w:t>
      </w:r>
      <w:r>
        <w:t>12 months</w:t>
      </w:r>
      <w:r w:rsidR="00784B6C">
        <w:t>, negating the need to</w:t>
      </w:r>
      <w:r>
        <w:t xml:space="preserve"> discount</w:t>
      </w:r>
      <w:r w:rsidRPr="00C20275">
        <w:t xml:space="preserve"> </w:t>
      </w:r>
      <w:r>
        <w:t>c</w:t>
      </w:r>
      <w:r w:rsidRPr="00C20275">
        <w:t>osts and health effects</w:t>
      </w:r>
      <w:r>
        <w:t>.</w:t>
      </w:r>
      <w:r w:rsidRPr="00C20275">
        <w:t xml:space="preserve"> </w:t>
      </w:r>
      <w:r>
        <w:t>A</w:t>
      </w:r>
      <w:r w:rsidRPr="00C20275">
        <w:t xml:space="preserve"> half-cycle correction was applied</w:t>
      </w:r>
      <w:r>
        <w:t xml:space="preserve"> to the health effects but not the costs in the Markov part of the model (cycle length 2 months)</w:t>
      </w:r>
      <w:r w:rsidRPr="00C20275">
        <w:t>.</w:t>
      </w:r>
    </w:p>
    <w:p w14:paraId="19433155" w14:textId="77777777" w:rsidR="00DB55C4" w:rsidRDefault="00DB55C4" w:rsidP="00B32AA8">
      <w:pPr>
        <w:keepNext/>
      </w:pPr>
      <w:r w:rsidRPr="009F0B89">
        <w:rPr>
          <w:noProof/>
        </w:rPr>
        <w:lastRenderedPageBreak/>
        <w:drawing>
          <wp:inline distT="0" distB="0" distL="0" distR="0" wp14:anchorId="1FAE2107" wp14:editId="7635D930">
            <wp:extent cx="5145205" cy="3999334"/>
            <wp:effectExtent l="0" t="0" r="0" b="127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l="1839" r="4998"/>
                    <a:stretch>
                      <a:fillRect/>
                    </a:stretch>
                  </pic:blipFill>
                  <pic:spPr bwMode="auto">
                    <a:xfrm>
                      <a:off x="0" y="0"/>
                      <a:ext cx="5142558" cy="3997276"/>
                    </a:xfrm>
                    <a:prstGeom prst="rect">
                      <a:avLst/>
                    </a:prstGeom>
                    <a:noFill/>
                    <a:ln w="9525">
                      <a:noFill/>
                      <a:miter lim="800000"/>
                      <a:headEnd/>
                      <a:tailEnd/>
                    </a:ln>
                  </pic:spPr>
                </pic:pic>
              </a:graphicData>
            </a:graphic>
          </wp:inline>
        </w:drawing>
      </w:r>
    </w:p>
    <w:p w14:paraId="41C8436D" w14:textId="46930950" w:rsidR="00DB55C4" w:rsidRDefault="00DB55C4" w:rsidP="00B32AA8">
      <w:pPr>
        <w:pStyle w:val="Caption"/>
      </w:pPr>
      <w:bookmarkStart w:id="19" w:name="_Ref444613670"/>
      <w:r>
        <w:t xml:space="preserve">Figure </w:t>
      </w:r>
      <w:r w:rsidR="00CB3AB8">
        <w:fldChar w:fldCharType="begin"/>
      </w:r>
      <w:r w:rsidR="00CB3AB8">
        <w:instrText xml:space="preserve"> SEQ Figure \* ARABIC </w:instrText>
      </w:r>
      <w:r w:rsidR="00CB3AB8">
        <w:fldChar w:fldCharType="separate"/>
      </w:r>
      <w:r w:rsidR="00C5039B">
        <w:rPr>
          <w:noProof/>
        </w:rPr>
        <w:t>2</w:t>
      </w:r>
      <w:r w:rsidR="00CB3AB8">
        <w:rPr>
          <w:noProof/>
        </w:rPr>
        <w:fldChar w:fldCharType="end"/>
      </w:r>
      <w:bookmarkEnd w:id="19"/>
      <w:r>
        <w:t xml:space="preserve"> - Model schematic from the </w:t>
      </w:r>
      <w:r w:rsidR="004A63BB">
        <w:t>manufacturer’s submission</w:t>
      </w:r>
      <w:r w:rsidR="007A0675">
        <w:t xml:space="preserve">, available on the NICE website </w:t>
      </w:r>
      <w:r w:rsidR="007A0675">
        <w:fldChar w:fldCharType="begin" w:fldLock="1"/>
      </w:r>
      <w:r w:rsidR="007A0675">
        <w:instrText>ADDIN CSL_CITATION { "citationItems" : [ { "id" : "ITEM-1", "itemData" : { "URL" : "https://www.nice.org.uk/guidance/ta367", "author" : [ { "dropping-particle" : "", "family" : "NICE", "given" : "", "non-dropping-particle" : "", "parse-names" : false, "suffix" : "" } ], "id" : "ITEM-1", "issued" : { "date-parts" : [ [ "2015" ] ] }, "title" : "Vortioxetine for treating major depressive episodes", "type" : "webpage" }, "uris" : [ "http://www.mendeley.com/documents/?uuid=bebd4cb5-4e84-4ed1-a810-3d56f6ab2671" ] } ], "mendeley" : { "formattedCitation" : "[3]", "plainTextFormattedCitation" : "[3]", "previouslyFormattedCitation" : "[3]" }, "properties" : { "noteIndex" : 0 }, "schema" : "https://github.com/citation-style-language/schema/raw/master/csl-citation.json" }</w:instrText>
      </w:r>
      <w:r w:rsidR="007A0675">
        <w:fldChar w:fldCharType="separate"/>
      </w:r>
      <w:r w:rsidR="007A0675" w:rsidRPr="00315DE8">
        <w:rPr>
          <w:noProof/>
        </w:rPr>
        <w:t>[3]</w:t>
      </w:r>
      <w:r w:rsidR="007A0675">
        <w:fldChar w:fldCharType="end"/>
      </w:r>
    </w:p>
    <w:p w14:paraId="3ACF7341" w14:textId="77777777" w:rsidR="006B145B" w:rsidRDefault="00DB55C4" w:rsidP="001E5CD8">
      <w:r>
        <w:t xml:space="preserve">The model was populated using various types of studies to inform the parameters. </w:t>
      </w:r>
      <w:r w:rsidR="00044090">
        <w:t>The probability</w:t>
      </w:r>
      <w:r w:rsidR="006D6E5C">
        <w:t xml:space="preserve"> of </w:t>
      </w:r>
      <w:proofErr w:type="gramStart"/>
      <w:r w:rsidR="006D6E5C">
        <w:t xml:space="preserve">remission </w:t>
      </w:r>
      <w:r w:rsidR="00016C62">
        <w:t xml:space="preserve"> was</w:t>
      </w:r>
      <w:proofErr w:type="gramEnd"/>
      <w:r w:rsidR="00016C62">
        <w:t xml:space="preserve"> </w:t>
      </w:r>
      <w:r w:rsidR="006D6E5C">
        <w:t>taken from</w:t>
      </w:r>
      <w:r w:rsidR="00016C62">
        <w:t xml:space="preserve"> </w:t>
      </w:r>
      <w:r w:rsidR="006D6E5C">
        <w:t>t</w:t>
      </w:r>
      <w:r w:rsidR="006B145B">
        <w:t>he indirect comparison conducted by the company</w:t>
      </w:r>
      <w:r w:rsidR="00D21B0E">
        <w:t>, the results of which are in</w:t>
      </w:r>
      <w:r w:rsidR="006B0685">
        <w:t xml:space="preserve"> </w:t>
      </w:r>
      <w:r>
        <w:fldChar w:fldCharType="begin"/>
      </w:r>
      <w:r>
        <w:instrText xml:space="preserve"> REF _Ref444610943 \h </w:instrText>
      </w:r>
      <w:r>
        <w:fldChar w:fldCharType="separate"/>
      </w:r>
      <w:r w:rsidR="00C5039B">
        <w:t xml:space="preserve">Table </w:t>
      </w:r>
      <w:r w:rsidR="00C5039B">
        <w:rPr>
          <w:noProof/>
        </w:rPr>
        <w:t>1</w:t>
      </w:r>
      <w:r>
        <w:fldChar w:fldCharType="end"/>
      </w:r>
      <w:r w:rsidR="006B145B">
        <w:t>.</w:t>
      </w:r>
      <w:r w:rsidR="006D6E5C">
        <w:t xml:space="preserve"> </w:t>
      </w:r>
      <w:r w:rsidR="00044090">
        <w:t>The</w:t>
      </w:r>
      <w:r w:rsidR="006D6E5C">
        <w:t xml:space="preserve"> probability of relapse </w:t>
      </w:r>
      <w:r w:rsidR="00044090">
        <w:t xml:space="preserve">for the maintenance phase was assumed to be the </w:t>
      </w:r>
      <w:r w:rsidR="00410CFB">
        <w:t>same for all treatments and was</w:t>
      </w:r>
      <w:r w:rsidR="006D6E5C">
        <w:t xml:space="preserve"> sourced from</w:t>
      </w:r>
      <w:r w:rsidR="006B0685">
        <w:t xml:space="preserve"> </w:t>
      </w:r>
      <w:r w:rsidR="006B0685">
        <w:fldChar w:fldCharType="begin" w:fldLock="1"/>
      </w:r>
      <w:r w:rsidR="00704A71">
        <w:instrText>ADDIN CSL_CITATION { "citationItems" : [ { "id" : "ITEM-1", "itemData" : { "ISSN" : "0706-7437", "PMID" : "15065746", "abstract" : "OBJECTIVE Depression is reported to be common in primary care settings and to have a high likelihood of relapse during the 4- to 6-month period following initial symptomatic improvement. However, most prospective studies of long-term treatment of depression have been conducted with patients selected for participation in placebo-controlled drug protocols or psychiatric clinics associated with tertiary referral centres. METHOD We examined the treatment course and outcome of outpatients with major depressive episode treated in a primary care setting. The general practitioners were free to choose the treatment and its duration. Their only obligation was to assess the therapeutic outcome in terms of efficacy and safety and to perform a final evaluation at the end of the 6-month observation period or, if the patient was treated for a shorter period, at the end of the treatment. RESULTS Of the 476 patients involved, 308 (64.7%) responded to treatment and remained well, 117 (24.6%) showed no response, and 51 (10.7%) had an early relapse after initial improvement. Among the studied demographic, clinical, and therapeutic factors, the history of recurrent depression was the only variable with a significant effect size in predicting the course of the illness. CONCLUSION Patients with recurrent depression were at higher risk of relapse or nonresponse.", "author" : [ { "dropping-particle" : "", "family" : "Limosin", "given" : "Fr\u00e9d\u00e9ric", "non-dropping-particle" : "", "parse-names" : false, "suffix" : "" }, { "dropping-particle" : "", "family" : "Loze", "given" : "Jean-Yves", "non-dropping-particle" : "", "parse-names" : false, "suffix" : "" }, { "dropping-particle" : "", "family" : "Zylberman-Bouhassira", "given" : "Myriam", "non-dropping-particle" : "", "parse-names" : false, "suffix" : "" }, { "dropping-particle" : "", "family" : "Schmidt", "given" : "Mark E", "non-dropping-particle" : "", "parse-names" : false, "suffix" : "" }, { "dropping-particle" : "", "family" : "Perrin", "given" : "El\u00e9na", "non-dropping-particle" : "", "parse-names" : false, "suffix" : "" }, { "dropping-particle" : "", "family" : "Rouillon", "given" : "Fr\u00e9d\u00e9ric", "non-dropping-particle" : "", "parse-names" : false, "suffix" : "" } ], "container-title" : "Canadian journal of psychiatry. Revue canadienne de psychiatrie", "id" : "ITEM-1", "issue" : "2", "issued" : { "date-parts" : [ [ "2004", "2" ] ] }, "page" : "119-23", "title" : "The course of depressive illness in general practice.", "type" : "article-journal", "volume" : "49" }, "uris" : [ "http://www.mendeley.com/documents/?uuid=23e820fc-d39d-37bd-9552-0a8a09ae0394" ] } ], "mendeley" : { "formattedCitation" : "[10]", "manualFormatting" : "Limosin et al.", "plainTextFormattedCitation" : "[10]", "previouslyFormattedCitation" : "[10]" }, "properties" : { "noteIndex" : 0 }, "schema" : "https://github.com/citation-style-language/schema/raw/master/csl-citation.json" }</w:instrText>
      </w:r>
      <w:r w:rsidR="006B0685">
        <w:fldChar w:fldCharType="separate"/>
      </w:r>
      <w:r w:rsidR="006B0685" w:rsidRPr="006B0685">
        <w:rPr>
          <w:noProof/>
        </w:rPr>
        <w:t>Limosin et al.</w:t>
      </w:r>
      <w:r w:rsidR="006B0685">
        <w:fldChar w:fldCharType="end"/>
      </w:r>
      <w:r w:rsidR="00191B9B">
        <w:t xml:space="preserve"> </w:t>
      </w:r>
      <w:r w:rsidR="00191B9B">
        <w:fldChar w:fldCharType="begin" w:fldLock="1"/>
      </w:r>
      <w:r w:rsidR="00191B9B">
        <w:instrText>ADDIN CSL_CITATION { "citationItems" : [ { "id" : "ITEM-1", "itemData" : { "ISSN" : "0706-7437", "PMID" : "15065746", "abstract" : "OBJECTIVE Depression is reported to be common in primary care settings and to have a high likelihood of relapse during the 4- to 6-month period following initial symptomatic improvement. However, most prospective studies of long-term treatment of depression have been conducted with patients selected for participation in placebo-controlled drug protocols or psychiatric clinics associated with tertiary referral centres. METHOD We examined the treatment course and outcome of outpatients with major depressive episode treated in a primary care setting. The general practitioners were free to choose the treatment and its duration. Their only obligation was to assess the therapeutic outcome in terms of efficacy and safety and to perform a final evaluation at the end of the 6-month observation period or, if the patient was treated for a shorter period, at the end of the treatment. RESULTS Of the 476 patients involved, 308 (64.7%) responded to treatment and remained well, 117 (24.6%) showed no response, and 51 (10.7%) had an early relapse after initial improvement. Among the studied demographic, clinical, and therapeutic factors, the history of recurrent depression was the only variable with a significant effect size in predicting the course of the illness. CONCLUSION Patients with recurrent depression were at higher risk of relapse or nonresponse.", "author" : [ { "dropping-particle" : "", "family" : "Limosin", "given" : "Fr\u00e9d\u00e9ric", "non-dropping-particle" : "", "parse-names" : false, "suffix" : "" }, { "dropping-particle" : "", "family" : "Loze", "given" : "Jean-Yves", "non-dropping-particle" : "", "parse-names" : false, "suffix" : "" }, { "dropping-particle" : "", "family" : "Zylberman-Bouhassira", "given" : "Myriam", "non-dropping-particle" : "", "parse-names" : false, "suffix" : "" }, { "dropping-particle" : "", "family" : "Schmidt", "given" : "Mark E", "non-dropping-particle" : "", "parse-names" : false, "suffix" : "" }, { "dropping-particle" : "", "family" : "Perrin", "given" : "El\u00e9na", "non-dropping-particle" : "", "parse-names" : false, "suffix" : "" }, { "dropping-particle" : "", "family" : "Rouillon", "given" : "Fr\u00e9d\u00e9ric", "non-dropping-particle" : "", "parse-names" : false, "suffix" : "" } ], "container-title" : "Canadian journal of psychiatry. Revue canadienne de psychiatrie", "id" : "ITEM-1", "issue" : "2", "issued" : { "date-parts" : [ [ "2004", "2" ] ] }, "page" : "119-23", "title" : "The course of depressive illness in general practice.", "type" : "article-journal", "volume" : "49" }, "uris" : [ "http://www.mendeley.com/documents/?uuid=23e820fc-d39d-37bd-9552-0a8a09ae0394" ] } ], "mendeley" : { "formattedCitation" : "[10]", "plainTextFormattedCitation" : "[10]", "previouslyFormattedCitation" : "[10]" }, "properties" : { "noteIndex" : 0 }, "schema" : "https://github.com/citation-style-language/schema/raw/master/csl-citation.json" }</w:instrText>
      </w:r>
      <w:r w:rsidR="00191B9B">
        <w:fldChar w:fldCharType="separate"/>
      </w:r>
      <w:r w:rsidR="00191B9B" w:rsidRPr="00191B9B">
        <w:rPr>
          <w:noProof/>
        </w:rPr>
        <w:t>[10]</w:t>
      </w:r>
      <w:r w:rsidR="00191B9B">
        <w:fldChar w:fldCharType="end"/>
      </w:r>
      <w:r w:rsidR="006D6E5C">
        <w:t>.</w:t>
      </w:r>
      <w:r w:rsidR="00D21B0E">
        <w:t xml:space="preserve"> </w:t>
      </w:r>
      <w:r w:rsidR="00044090">
        <w:t>T</w:t>
      </w:r>
      <w:r w:rsidR="00D21B0E">
        <w:t>he probability of remission</w:t>
      </w:r>
      <w:r w:rsidR="00D47A5D">
        <w:t xml:space="preserve"> and relapse</w:t>
      </w:r>
      <w:r w:rsidR="00D21B0E">
        <w:t xml:space="preserve"> from subsequent lines of treatment were taken from</w:t>
      </w:r>
      <w:r w:rsidR="00D47A5D">
        <w:t xml:space="preserve"> the data obtained for a blend of treatments in</w:t>
      </w:r>
      <w:r w:rsidR="00D21B0E">
        <w:t xml:space="preserve"> STAR*D</w:t>
      </w:r>
      <w:r w:rsidR="006B0685">
        <w:t xml:space="preserve"> </w:t>
      </w:r>
      <w:r w:rsidR="006B0685">
        <w:fldChar w:fldCharType="begin" w:fldLock="1"/>
      </w:r>
      <w:r w:rsidR="00191B9B">
        <w:instrText>ADDIN CSL_CITATION { "citationItems" : [ { "id" : "ITEM-1", "itemData" : { "DOI" : "10.1176/ajp.2006.163.11.1905", "ISSN" : "0002-953X", "author" : [ { "dropping-particle" : "", "family" : "Rush", "given" : "A. John", "non-dropping-particle" : "", "parse-names" : false, "suffix" : "" }, { "dropping-particle" : "", "family" : "Trivedi", "given" : "Madhukar H.", "non-dropping-particle" : "", "parse-names" : false, "suffix" : "" }, { "dropping-particle" : "", "family" : "Wisniewski", "given" : "Stephen R.", "non-dropping-particle" : "", "parse-names" : false, "suffix" : "" }, { "dropping-particle" : "", "family" : "Nierenberg", "given" : "Andrew A.", "non-dropping-particle" : "", "parse-names" : false, "suffix" : "" }, { "dropping-particle" : "", "family" : "Stewart", "given" : "Jonathan W.", "non-dropping-particle" : "", "parse-names" : false, "suffix" : "" }, { "dropping-particle" : "", "family" : "Warden", "given" : "Diane", "non-dropping-particle" : "", "parse-names" : false, "suffix" : "" }, { "dropping-particle" : "", "family" : "Niederehe", "given" : "George", "non-dropping-particle" : "", "parse-names" : false, "suffix" : "" }, { "dropping-particle" : "", "family" : "Thase", "given" : "Michael E.", "non-dropping-particle" : "", "parse-names" : false, "suffix" : "" }, { "dropping-particle" : "", "family" : "Lavori", "given" : "Philip W.", "non-dropping-particle" : "", "parse-names" : false, "suffix" : "" }, { "dropping-particle" : "", "family" : "Lebowitz", "given" : "Barry D.", "non-dropping-particle" : "", "parse-names" : false, "suffix" : "" }, { "dropping-particle" : "", "family" : "McGrath", "given" : "Patrick J.", "non-dropping-particle" : "", "parse-names" : false, "suffix" : "" }, { "dropping-particle" : "", "family" : "Rosenbaum", "given" : "Jerrold F.", "non-dropping-particle" : "", "parse-names" : false, "suffix" : "" }, { "dropping-particle" : "", "family" : "Sackeim", "given" : "Harold A.", "non-dropping-particle" : "", "parse-names" : false, "suffix" : "" }, { "dropping-particle" : "", "family" : "Kupfer", "given" : "David J.", "non-dropping-particle" : "", "parse-names" : false, "suffix" : "" }, { "dropping-particle" : "", "family" : "Luther", "given" : "James", "non-dropping-particle" : "", "parse-names" : false, "suffix" : "" }, { "dropping-particle" : "", "family" : "Fava", "given" : "Maurizio", "non-dropping-particle" : "", "parse-names" : false, "suffix" : "" } ], "container-title" : "American Journal of Psychiatry", "id" : "ITEM-1", "issue" : "11", "issued" : { "date-parts" : [ [ "2006", "11" ] ] }, "page" : "1905-1917", "title" : "Acute and Longer-Term Outcomes in Depressed Outpatients Requiring One or Several Treatment Steps: A STAR*D Report", "type" : "article-journal", "volume" : "163" }, "uris" : [ "http://www.mendeley.com/documents/?uuid=dee6e56d-4fef-3ea0-a425-a42616a7b89a" ] } ], "mendeley" : { "formattedCitation" : "[11]", "plainTextFormattedCitation" : "[11]", "previouslyFormattedCitation" : "[11]" }, "properties" : { "noteIndex" : 0 }, "schema" : "https://github.com/citation-style-language/schema/raw/master/csl-citation.json" }</w:instrText>
      </w:r>
      <w:r w:rsidR="006B0685">
        <w:fldChar w:fldCharType="separate"/>
      </w:r>
      <w:r w:rsidR="00315DE8" w:rsidRPr="00315DE8">
        <w:rPr>
          <w:noProof/>
        </w:rPr>
        <w:t>[11]</w:t>
      </w:r>
      <w:r w:rsidR="006B0685">
        <w:fldChar w:fldCharType="end"/>
      </w:r>
      <w:r w:rsidR="00D47A5D">
        <w:t xml:space="preserve">. </w:t>
      </w:r>
      <w:r w:rsidR="00D21B0E">
        <w:t>At all lines of treatment, t</w:t>
      </w:r>
      <w:r w:rsidR="006B145B">
        <w:t>he company considered that p</w:t>
      </w:r>
      <w:r w:rsidR="006B145B" w:rsidRPr="009075E5">
        <w:t xml:space="preserve">atients who </w:t>
      </w:r>
      <w:r w:rsidR="006B145B">
        <w:t>had</w:t>
      </w:r>
      <w:r w:rsidR="00D21B0E">
        <w:t xml:space="preserve"> successfully followed six months of maintenance treatment without relapse had recovered.</w:t>
      </w:r>
      <w:r w:rsidR="006B145B" w:rsidRPr="009075E5">
        <w:t xml:space="preserve"> The</w:t>
      </w:r>
      <w:r w:rsidR="006B145B">
        <w:t>se patients</w:t>
      </w:r>
      <w:r w:rsidR="006B145B" w:rsidRPr="009075E5">
        <w:t xml:space="preserve"> stop</w:t>
      </w:r>
      <w:r w:rsidR="006B145B">
        <w:t>ped</w:t>
      </w:r>
      <w:r w:rsidR="006B145B" w:rsidRPr="009075E5">
        <w:t xml:space="preserve"> treatment and</w:t>
      </w:r>
      <w:r w:rsidR="006B145B">
        <w:t xml:space="preserve"> the company assumed that they could not experience recurrent depression</w:t>
      </w:r>
      <w:r w:rsidR="006B145B" w:rsidRPr="009075E5">
        <w:t>.</w:t>
      </w:r>
    </w:p>
    <w:p w14:paraId="43856978" w14:textId="77777777" w:rsidR="00C76465" w:rsidRDefault="00D47A5D" w:rsidP="00C76465">
      <w:r>
        <w:t xml:space="preserve">Information on costs and </w:t>
      </w:r>
      <w:proofErr w:type="spellStart"/>
      <w:r>
        <w:t>HRQoL</w:t>
      </w:r>
      <w:proofErr w:type="spellEnd"/>
      <w:r>
        <w:t xml:space="preserve"> was obtained from a variety of sources depending upon the phase in the model under consideration. Drug costs were calculated using a combination of trial data and WHO Defined Daily Dose and list prices from Monthly Index of Medical Specialities. Resource use was taken from the PERFORM study for the acute phase and from the </w:t>
      </w:r>
      <w:r w:rsidR="00077BEE">
        <w:fldChar w:fldCharType="begin" w:fldLock="1"/>
      </w:r>
      <w:r w:rsidR="00704A71">
        <w:instrText>ADDIN CSL_CITATION { "citationItems" : [ { "id" : "ITEM-1", "itemData" : { "DOI" : "10.2165/11537360-000000000-00000", "ISSN" : "1179-2027", "PMID" : "21142289", "abstract" : "BACKGROUND Research has consistently demonstrated a relationship between depression and increased levels of health service use over the short term. However, much less is known about how this relationship is influenced by the success, or otherwise, of depression management strategies, and the economic impact over the longer term. OBJECTIVE To investigate the economic impact of non-remission on health service use and costs over 12 months from the index episode in patients with depression. METHODS A naturalistic, longitudinal study was carried out using data from a large primary care UK general practice research database between 2001 and 2006. The records of 88\u2009935 patients aged \u226518 years, diagnosed with depression and in receipt of at least two antidepressant prescriptions (for amitriptyline, citalopram, escitalopram, fluoxetine, paroxetine, sertraline or venlafaxine) in the first 3 months after the index prescription were included. The main outcome measures were health service use and cost over the 12-month study period, by remission status, where remission is defined as patients not using antidepressants for at least 6 months after antidepressant treatment has ended. RESULTS Sociodemographic and clinical characteristics were similar for participants classified as in remission and those not in remission. Over 12 months from the index prescription, patients classified as non-remitters spent longer, on average, than patients classified as remitters on concomitant psychotropic medication (204 days vs 93 days, respectively), and had more contact with primary care services (17 vs 13 GP visits), secondary care psychiatrists and other specialists (47% vs 40%). Days in hospital, accident and emergency attendances and psychological therapy contacts did not differ between the groups. Total 12-month costs per participant were significantly lower for remitters (mean \u00a3656 vs \u00a3937; mean difference \u00a3317; p\u2009&lt;\u20090.0001). Total costs fell over time for both groups, but at a faster rate for those in remission, and for those who remitted earlier after the index prescription than for those who remitted later. CONCLUSIONS Successful cessation of antidepressant medication treatment in adults with depression can result in significant cost savings to the health service.", "author" : [ { "dropping-particle" : "", "family" : "Byford", "given" : "Sarah", "non-dropping-particle" : "", "parse-names" : false, "suffix" : "" }, { "dropping-particle" : "", "family" : "Barrett", "given" : "Barbara", "non-dropping-particle" : "", "parse-names" : false, "suffix" : "" }, { "dropping-particle" : "", "family" : "Despi\u00e9gel", "given" : "Nicolas", "non-dropping-particle" : "", "parse-names" : false, "suffix" : "" }, { "dropping-particle" : "", "family" : "Wade", "given" : "Alan", "non-dropping-particle" : "", "parse-names" : false, "suffix" : "" } ], "container-title" : "PharmacoEconomics", "id" : "ITEM-1", "issue" : "2", "issued" : { "date-parts" : [ [ "2011", "2" ] ] }, "page" : "157-70", "title" : "Impact of treatment success on health service use and cost in depression: longitudinal database analysis.", "type" : "article-journal", "volume" : "29" }, "uris" : [ "http://www.mendeley.com/documents/?uuid=81d6620d-7009-3383-9133-4dd081d51b7f" ] } ], "mendeley" : { "formattedCitation" : "[12]", "manualFormatting" : "Byford, Barrett, Despi\u00e9gel, &amp; Wade", "plainTextFormattedCitation" : "[12]", "previouslyFormattedCitation" : "[12]" }, "properties" : { "noteIndex" : 0 }, "schema" : "https://github.com/citation-style-language/schema/raw/master/csl-citation.json" }</w:instrText>
      </w:r>
      <w:r w:rsidR="00077BEE">
        <w:fldChar w:fldCharType="separate"/>
      </w:r>
      <w:r w:rsidR="00077BEE" w:rsidRPr="00077BEE">
        <w:rPr>
          <w:noProof/>
        </w:rPr>
        <w:t>Byf</w:t>
      </w:r>
      <w:r w:rsidR="00077BEE">
        <w:rPr>
          <w:noProof/>
        </w:rPr>
        <w:t>ord, Barrett, Despiégel, &amp; Wade</w:t>
      </w:r>
      <w:r w:rsidR="00077BEE">
        <w:fldChar w:fldCharType="end"/>
      </w:r>
      <w:r w:rsidR="00191B9B">
        <w:t xml:space="preserve"> </w:t>
      </w:r>
      <w:r w:rsidR="00191B9B">
        <w:fldChar w:fldCharType="begin" w:fldLock="1"/>
      </w:r>
      <w:r w:rsidR="00191B9B">
        <w:instrText>ADDIN CSL_CITATION { "citationItems" : [ { "id" : "ITEM-1", "itemData" : { "DOI" : "10.2165/11537360-000000000-00000", "ISSN" : "1179-2027", "PMID" : "21142289", "abstract" : "BACKGROUND Research has consistently demonstrated a relationship between depression and increased levels of health service use over the short term. However, much less is known about how this relationship is influenced by the success, or otherwise, of depression management strategies, and the economic impact over the longer term. OBJECTIVE To investigate the economic impact of non-remission on health service use and costs over 12 months from the index episode in patients with depression. METHODS A naturalistic, longitudinal study was carried out using data from a large primary care UK general practice research database between 2001 and 2006. The records of 88\u2009935 patients aged \u226518 years, diagnosed with depression and in receipt of at least two antidepressant prescriptions (for amitriptyline, citalopram, escitalopram, fluoxetine, paroxetine, sertraline or venlafaxine) in the first 3 months after the index prescription were included. The main outcome measures were health service use and cost over the 12-month study period, by remission status, where remission is defined as patients not using antidepressants for at least 6 months after antidepressant treatment has ended. RESULTS Sociodemographic and clinical characteristics were similar for participants classified as in remission and those not in remission. Over 12 months from the index prescription, patients classified as non-remitters spent longer, on average, than patients classified as remitters on concomitant psychotropic medication (204 days vs 93 days, respectively), and had more contact with primary care services (17 vs 13 GP visits), secondary care psychiatrists and other specialists (47% vs 40%). Days in hospital, accident and emergency attendances and psychological therapy contacts did not differ between the groups. Total 12-month costs per participant were significantly lower for remitters (mean \u00a3656 vs \u00a3937; mean difference \u00a3317; p\u2009&lt;\u20090.0001). Total costs fell over time for both groups, but at a faster rate for those in remission, and for those who remitted earlier after the index prescription than for those who remitted later. CONCLUSIONS Successful cessation of antidepressant medication treatment in adults with depression can result in significant cost savings to the health service.", "author" : [ { "dropping-particle" : "", "family" : "Byford", "given" : "Sarah", "non-dropping-particle" : "", "parse-names" : false, "suffix" : "" }, { "dropping-particle" : "", "family" : "Barrett", "given" : "Barbara", "non-dropping-particle" : "", "parse-names" : false, "suffix" : "" }, { "dropping-particle" : "", "family" : "Despi\u00e9gel", "given" : "Nicolas", "non-dropping-particle" : "", "parse-names" : false, "suffix" : "" }, { "dropping-particle" : "", "family" : "Wade", "given" : "Alan", "non-dropping-particle" : "", "parse-names" : false, "suffix" : "" } ], "container-title" : "PharmacoEconomics", "id" : "ITEM-1", "issue" : "2", "issued" : { "date-parts" : [ [ "2011", "2" ] ] }, "page" : "157-70", "title" : "Impact of treatment success on health service use and cost in depression: longitudinal database analysis.", "type" : "article-journal", "volume" : "29" }, "uris" : [ "http://www.mendeley.com/documents/?uuid=81d6620d-7009-3383-9133-4dd081d51b7f" ] } ], "mendeley" : { "formattedCitation" : "[12]", "plainTextFormattedCitation" : "[12]", "previouslyFormattedCitation" : "[12]" }, "properties" : { "noteIndex" : 0 }, "schema" : "https://github.com/citation-style-language/schema/raw/master/csl-citation.json" }</w:instrText>
      </w:r>
      <w:r w:rsidR="00191B9B">
        <w:fldChar w:fldCharType="separate"/>
      </w:r>
      <w:r w:rsidR="00191B9B" w:rsidRPr="00191B9B">
        <w:rPr>
          <w:noProof/>
        </w:rPr>
        <w:t>[12]</w:t>
      </w:r>
      <w:r w:rsidR="00191B9B">
        <w:fldChar w:fldCharType="end"/>
      </w:r>
      <w:r w:rsidR="00191B9B">
        <w:t xml:space="preserve"> </w:t>
      </w:r>
      <w:r>
        <w:t xml:space="preserve">study for longer-term outcomes, applying unit costs from </w:t>
      </w:r>
      <w:r w:rsidR="00077BEE">
        <w:fldChar w:fldCharType="begin" w:fldLock="1"/>
      </w:r>
      <w:r w:rsidR="00191B9B">
        <w:instrText>ADDIN CSL_CITATION { "citationItems" : [ { "id" : "ITEM-1", "itemData" : { "author" : [ { "dropping-particle" : "", "family" : "Curtis", "given" : "Lesley", "non-dropping-particle" : "", "parse-names" : false, "suffix" : "" } ], "container-title" : "PSSRU", "id" : "ITEM-1", "issued" : { "date-parts" : [ [ "2013" ] ] }, "title" : "Unit Costs of Health and Social Care 2013", "type" : "article-journal" }, "uris" : [ "http://www.mendeley.com/documents/?uuid=8a01fb30-080a-4825-864e-0cb77860aa15" ] } ], "mendeley" : { "formattedCitation" : "[13]", "manualFormatting" : "Curtis (2013)", "plainTextFormattedCitation" : "[13]", "previouslyFormattedCitation" : "[13]" }, "properties" : { "noteIndex" : 0 }, "schema" : "https://github.com/citation-style-language/schema/raw/master/csl-citation.json" }</w:instrText>
      </w:r>
      <w:r w:rsidR="00077BEE">
        <w:fldChar w:fldCharType="separate"/>
      </w:r>
      <w:r w:rsidR="00077BEE" w:rsidRPr="00077BEE">
        <w:rPr>
          <w:noProof/>
        </w:rPr>
        <w:t xml:space="preserve">Curtis </w:t>
      </w:r>
      <w:r w:rsidR="00077BEE">
        <w:rPr>
          <w:noProof/>
        </w:rPr>
        <w:t>(</w:t>
      </w:r>
      <w:r w:rsidR="00077BEE" w:rsidRPr="00077BEE">
        <w:rPr>
          <w:noProof/>
        </w:rPr>
        <w:t>2013)</w:t>
      </w:r>
      <w:r w:rsidR="00077BEE">
        <w:fldChar w:fldCharType="end"/>
      </w:r>
      <w:r w:rsidR="00191B9B">
        <w:t xml:space="preserve"> </w:t>
      </w:r>
      <w:r w:rsidR="00191B9B">
        <w:fldChar w:fldCharType="begin" w:fldLock="1"/>
      </w:r>
      <w:r w:rsidR="00191B9B">
        <w:instrText>ADDIN CSL_CITATION { "citationItems" : [ { "id" : "ITEM-1", "itemData" : { "author" : [ { "dropping-particle" : "", "family" : "Curtis", "given" : "Lesley", "non-dropping-particle" : "", "parse-names" : false, "suffix" : "" } ], "container-title" : "PSSRU", "id" : "ITEM-1", "issued" : { "date-parts" : [ [ "2013" ] ] }, "title" : "Unit Costs of Health and Social Care 2013", "type" : "article-journal" }, "uris" : [ "http://www.mendeley.com/documents/?uuid=8a01fb30-080a-4825-864e-0cb77860aa15" ] } ], "mendeley" : { "formattedCitation" : "[13]", "plainTextFormattedCitation" : "[13]", "previouslyFormattedCitation" : "[13]" }, "properties" : { "noteIndex" : 0 }, "schema" : "https://github.com/citation-style-language/schema/raw/master/csl-citation.json" }</w:instrText>
      </w:r>
      <w:r w:rsidR="00191B9B">
        <w:fldChar w:fldCharType="separate"/>
      </w:r>
      <w:r w:rsidR="00191B9B" w:rsidRPr="00191B9B">
        <w:rPr>
          <w:noProof/>
        </w:rPr>
        <w:t>[13]</w:t>
      </w:r>
      <w:r w:rsidR="00191B9B">
        <w:fldChar w:fldCharType="end"/>
      </w:r>
      <w:r w:rsidR="00077BEE">
        <w:t xml:space="preserve"> </w:t>
      </w:r>
      <w:r>
        <w:t xml:space="preserve">and NHS Reference Costs. </w:t>
      </w:r>
      <w:proofErr w:type="spellStart"/>
      <w:r>
        <w:t>HRQoL</w:t>
      </w:r>
      <w:proofErr w:type="spellEnd"/>
      <w:r>
        <w:t xml:space="preserve"> data for health states (e.g. baseline, remission, relapse) were obtained from the REVIVE trial for the acute phase and from </w:t>
      </w:r>
      <w:r w:rsidR="00077BEE">
        <w:fldChar w:fldCharType="begin" w:fldLock="1"/>
      </w:r>
      <w:r w:rsidR="00704A71">
        <w:instrText>ADDIN CSL_CITATION { "citationItems" : [ { "id" : "ITEM-1", "itemData" : { "author" : [ { "dropping-particle" : "", "family" : "Sapin", "given" : "Christophe", "non-dropping-particle" : "", "parse-names" : false, "suffix" : "" }, { "dropping-particle" : "", "family" : "Fantino", "given" : "Bruno", "non-dropping-particle" : "", "parse-names" : false, "suffix" : "" }, { "dropping-particle" : "", "family" : "Nowicki", "given" : "Marie-Laure", "non-dropping-particle" : "", "parse-names" : false, "suffix" : "" }, { "dropping-particle" : "", "family" : "Kind", "given" : "Paul", "non-dropping-particle" : "", "parse-names" : false, "suffix" : "" } ], "container-title" : "Health and Quality of Life Outcomes", "id" : "ITEM-1", "issue" : "1", "issued" : { "date-parts" : [ [ "2004" ] ] }, "title" : "Usefulness of EQ-5D in Assessing Health Status in Primary Care Patients with Major Depressive Disorder", "type" : "article-journal", "volume" : "2" }, "uris" : [ "http://www.mendeley.com/documents/?uuid=8955c98d-2498-4398-9df1-ce6ebc7fc4ca" ] } ], "mendeley" : { "formattedCitation" : "[14]", "manualFormatting" : "Sapin, Fantino, Nowicki, &amp; Kind ", "plainTextFormattedCitation" : "[14]", "previouslyFormattedCitation" : "[14]" }, "properties" : { "noteIndex" : 0 }, "schema" : "https://github.com/citation-style-language/schema/raw/master/csl-citation.json" }</w:instrText>
      </w:r>
      <w:r w:rsidR="00077BEE">
        <w:fldChar w:fldCharType="separate"/>
      </w:r>
      <w:r w:rsidR="00077BEE">
        <w:rPr>
          <w:noProof/>
        </w:rPr>
        <w:t>Sapin, Fantino, Nowicki, &amp; Kind</w:t>
      </w:r>
      <w:r w:rsidR="00077BEE" w:rsidRPr="00077BEE">
        <w:rPr>
          <w:noProof/>
        </w:rPr>
        <w:t xml:space="preserve"> </w:t>
      </w:r>
      <w:r w:rsidR="00077BEE">
        <w:fldChar w:fldCharType="end"/>
      </w:r>
      <w:r w:rsidR="00191B9B">
        <w:fldChar w:fldCharType="begin" w:fldLock="1"/>
      </w:r>
      <w:r w:rsidR="00191B9B">
        <w:instrText>ADDIN CSL_CITATION { "citationItems" : [ { "id" : "ITEM-1", "itemData" : { "author" : [ { "dropping-particle" : "", "family" : "Sapin", "given" : "Christophe", "non-dropping-particle" : "", "parse-names" : false, "suffix" : "" }, { "dropping-particle" : "", "family" : "Fantino", "given" : "Bruno", "non-dropping-particle" : "", "parse-names" : false, "suffix" : "" }, { "dropping-particle" : "", "family" : "Nowicki", "given" : "Marie-Laure", "non-dropping-particle" : "", "parse-names" : false, "suffix" : "" }, { "dropping-particle" : "", "family" : "Kind", "given" : "Paul", "non-dropping-particle" : "", "parse-names" : false, "suffix" : "" } ], "container-title" : "Health and Quality of Life Outcomes", "id" : "ITEM-1", "issue" : "1", "issued" : { "date-parts" : [ [ "2004" ] ] }, "title" : "Usefulness of EQ-5D in Assessing Health Status in Primary Care Patients with Major Depressive Disorder", "type" : "article-journal", "volume" : "2" }, "uris" : [ "http://www.mendeley.com/documents/?uuid=8955c98d-2498-4398-9df1-ce6ebc7fc4ca" ] } ], "mendeley" : { "formattedCitation" : "[14]", "plainTextFormattedCitation" : "[14]", "previouslyFormattedCitation" : "[14]" }, "properties" : { "noteIndex" : 0 }, "schema" : "https://github.com/citation-style-language/schema/raw/master/csl-citation.json" }</w:instrText>
      </w:r>
      <w:r w:rsidR="00191B9B">
        <w:fldChar w:fldCharType="separate"/>
      </w:r>
      <w:r w:rsidR="00191B9B" w:rsidRPr="00191B9B">
        <w:rPr>
          <w:noProof/>
        </w:rPr>
        <w:t>[14]</w:t>
      </w:r>
      <w:r w:rsidR="00191B9B">
        <w:fldChar w:fldCharType="end"/>
      </w:r>
      <w:r w:rsidR="00077BEE">
        <w:t xml:space="preserve"> </w:t>
      </w:r>
      <w:r>
        <w:t xml:space="preserve">for the maintenance phase, while </w:t>
      </w:r>
      <w:proofErr w:type="spellStart"/>
      <w:r>
        <w:t>disutilities</w:t>
      </w:r>
      <w:proofErr w:type="spellEnd"/>
      <w:r>
        <w:t xml:space="preserve"> for adverse events were taken from</w:t>
      </w:r>
      <w:r w:rsidR="00077BEE">
        <w:t xml:space="preserve"> </w:t>
      </w:r>
      <w:r w:rsidR="00077BEE">
        <w:fldChar w:fldCharType="begin" w:fldLock="1"/>
      </w:r>
      <w:r w:rsidR="00704A71">
        <w:instrText>ADDIN CSL_CITATION { "citationItems" : [ { "id" : "ITEM-1", "itemData" : { "ISSN" : "1172-7047", "PMID" : "15521793", "abstract" : "BACKGROUND The economic burden of depression is known to be high and was estimated to be USD 83.1 billion in 2000. Serotonin reuptake inhibitors (SRIs), including both selective serotonin reuptake inhibitors (SSRIs) and serotonin norepinephrine reuptake inhibitors (SNRIs), have a superior adverse effect and safety profile relative to traditional agents (e.g. TCAs), and as a result have demonstrated superior cost effectiveness. Although efficacy across the SRIs is similar, the incidence of adverse drug reactions (ADRs) within SRIs remains significant and varies by agent. Patients who experience ADRs from SRIs may seek medical care, require additional treatment, and even discontinue treatment altogether, leading to increased utilisation and cost of therapy. OBJECTIVE This study estimates the direct cost and cost effectiveness, taking into account the impact of treatment-related ADRs, of eight currently marketed SRIs (citalopram, escitalopram, generic fluoxetine, paroxetine, paroxetine controlled release [CR], sertraline, venlafaxine and venlafaxine extended release [XR]) used as initial treatment for depression. METHODS A decision analytic model with a 6-month treatment goal was used to estimate the direct cost and cost effectiveness of treatment from the managed care/payer perspective. Estimates of SRI-related ADRs, associated treatments and costs were derived from the US FDA-approved prescribing information and published literature. Efficacy was assumed to be similar across all SRIs. Effectiveness was measured using quality-adjusted life years (QALY) based on EuroQol EQ-5D scores derived from the 2000 Medical Expenditure Panel Survey (MEPS). Censored least absolute deviations (CLAD) regression analysis was used to derive age-adjusted estimates of utility for all health states. Univariate and Bayesian second-order multivariate probabilistic sensitivity analyses were conducted to examine the impact of uncertainty in the parameter estimates. RESULTS The expected direct cost and cost effectiveness of treatment from least to most expensive were: escitalopram (USD 3891; 0.341), citalopram (USD 3938; 0.340), generic fluoxetine (USD 4034; 0.335), venlafaxine XR (USD 4226; 0.336), sertraline (USD 4250; 0.335), generic paroxetine (USD 4385; 0.332), paroxetine CR (USD 4440; 0.332) and venlafaxine (USD 4613; 0.326). Monte Carlo simulation results suggested that escitalopram was the most likely (77%) to be cost effective for a willingness to pay &lt; or = USD 50,000 pe\u2026", "author" : [ { "dropping-particle" : "", "family" : "Sullivan", "given" : "Patrick W", "non-dropping-particle" : "", "parse-names" : false, "suffix" : "" }, { "dropping-particle" : "", "family" : "Valuck", "given" : "Robert", "non-dropping-particle" : "", "parse-names" : false, "suffix" : "" }, { "dropping-particle" : "", "family" : "Saseen", "given" : "Joseph", "non-dropping-particle" : "", "parse-names" : false, "suffix" : "" }, { "dropping-particle" : "", "family" : "MacFall", "given" : "Holly M", "non-dropping-particle" : "", "parse-names" : false, "suffix" : "" } ], "container-title" : "CNS drugs", "id" : "ITEM-1", "issue" : "13", "issued" : { "date-parts" : [ [ "2004" ] ] }, "page" : "911-32", "title" : "A comparison of the direct costs and cost effectiveness of serotonin reuptake inhibitors and associated adverse drug reactions.", "type" : "article-journal", "volume" : "18" }, "uris" : [ "http://www.mendeley.com/documents/?uuid=799ef82c-1bfd-3b08-b138-0073c0c86453" ] } ], "mendeley" : { "formattedCitation" : "[15]", "manualFormatting" : "Sullivan, Valuck, Saseen, &amp; MacFall", "plainTextFormattedCitation" : "[15]", "previouslyFormattedCitation" : "[15]" }, "properties" : { "noteIndex" : 0 }, "schema" : "https://github.com/citation-style-language/schema/raw/master/csl-citation.json" }</w:instrText>
      </w:r>
      <w:r w:rsidR="00077BEE">
        <w:fldChar w:fldCharType="separate"/>
      </w:r>
      <w:r w:rsidR="00077BEE" w:rsidRPr="00077BEE">
        <w:rPr>
          <w:noProof/>
        </w:rPr>
        <w:t>Sull</w:t>
      </w:r>
      <w:r w:rsidR="00077BEE">
        <w:rPr>
          <w:noProof/>
        </w:rPr>
        <w:t>ivan, Valuck, Saseen, &amp; MacFall</w:t>
      </w:r>
      <w:r w:rsidR="00077BEE">
        <w:fldChar w:fldCharType="end"/>
      </w:r>
      <w:r w:rsidR="00191B9B">
        <w:t xml:space="preserve"> </w:t>
      </w:r>
      <w:r w:rsidR="00191B9B">
        <w:fldChar w:fldCharType="begin" w:fldLock="1"/>
      </w:r>
      <w:r w:rsidR="00704A71">
        <w:instrText>ADDIN CSL_CITATION { "citationItems" : [ { "id" : "ITEM-1", "itemData" : { "ISSN" : "1172-7047", "PMID" : "15521793", "abstract" : "BACKGROUND The economic burden of depression is known to be high and was estimated to be USD 83.1 billion in 2000. Serotonin reuptake inhibitors (SRIs), including both selective serotonin reuptake inhibitors (SSRIs) and serotonin norepinephrine reuptake inhibitors (SNRIs), have a superior adverse effect and safety profile relative to traditional agents (e.g. TCAs), and as a result have demonstrated superior cost effectiveness. Although efficacy across the SRIs is similar, the incidence of adverse drug reactions (ADRs) within SRIs remains significant and varies by agent. Patients who experience ADRs from SRIs may seek medical care, require additional treatment, and even discontinue treatment altogether, leading to increased utilisation and cost of therapy. OBJECTIVE This study estimates the direct cost and cost effectiveness, taking into account the impact of treatment-related ADRs, of eight currently marketed SRIs (citalopram, escitalopram, generic fluoxetine, paroxetine, paroxetine controlled release [CR], sertraline, venlafaxine and venlafaxine extended release [XR]) used as initial treatment for depression. METHODS A decision analytic model with a 6-month treatment goal was used to estimate the direct cost and cost effectiveness of treatment from the managed care/payer perspective. Estimates of SRI-related ADRs, associated treatments and costs were derived from the US FDA-approved prescribing information and published literature. Efficacy was assumed to be similar across all SRIs. Effectiveness was measured using quality-adjusted life years (QALY) based on EuroQol EQ-5D scores derived from the 2000 Medical Expenditure Panel Survey (MEPS). Censored least absolute deviations (CLAD) regression analysis was used to derive age-adjusted estimates of utility for all health states. Univariate and Bayesian second-order multivariate probabilistic sensitivity analyses were conducted to examine the impact of uncertainty in the parameter estimates. RESULTS The expected direct cost and cost effectiveness of treatment from least to most expensive were: escitalopram (USD 3891; 0.341), citalopram (USD 3938; 0.340), generic fluoxetine (USD 4034; 0.335), venlafaxine XR (USD 4226; 0.336), sertraline (USD 4250; 0.335), generic paroxetine (USD 4385; 0.332), paroxetine CR (USD 4440; 0.332) and venlafaxine (USD 4613; 0.326). Monte Carlo simulation results suggested that escitalopram was the most likely (77%) to be cost effective for a willingness to pay &lt; or = USD 50,000 pe\u2026", "author" : [ { "dropping-particle" : "", "family" : "Sullivan", "given" : "Patrick W", "non-dropping-particle" : "", "parse-names" : false, "suffix" : "" }, { "dropping-particle" : "", "family" : "Valuck", "given" : "Robert", "non-dropping-particle" : "", "parse-names" : false, "suffix" : "" }, { "dropping-particle" : "", "family" : "Saseen", "given" : "Joseph", "non-dropping-particle" : "", "parse-names" : false, "suffix" : "" }, { "dropping-particle" : "", "family" : "MacFall", "given" : "Holly M", "non-dropping-particle" : "", "parse-names" : false, "suffix" : "" } ], "container-title" : "CNS drugs", "id" : "ITEM-1", "issue" : "13", "issued" : { "date-parts" : [ [ "2004" ] ] }, "page" : "911-32", "title" : "A comparison of the direct costs and cost effectiveness of serotonin reuptake inhibitors and associated adverse drug reactions.", "type" : "article-journal", "volume" : "18" }, "uris" : [ "http://www.mendeley.com/documents/?uuid=799ef82c-1bfd-3b08-b138-0073c0c86453" ] } ], "mendeley" : { "formattedCitation" : "[15]", "plainTextFormattedCitation" : "[15]", "previouslyFormattedCitation" : "[15]" }, "properties" : { "noteIndex" : 0 }, "schema" : "https://github.com/citation-style-language/schema/raw/master/csl-citation.json" }</w:instrText>
      </w:r>
      <w:r w:rsidR="00191B9B">
        <w:fldChar w:fldCharType="separate"/>
      </w:r>
      <w:r w:rsidR="00191B9B" w:rsidRPr="00191B9B">
        <w:rPr>
          <w:noProof/>
        </w:rPr>
        <w:t>[15]</w:t>
      </w:r>
      <w:r w:rsidR="00191B9B">
        <w:fldChar w:fldCharType="end"/>
      </w:r>
      <w:r>
        <w:t>.</w:t>
      </w:r>
    </w:p>
    <w:p w14:paraId="702BE6CD" w14:textId="77777777" w:rsidR="006B145B" w:rsidRDefault="006B145B" w:rsidP="00C76465">
      <w:r>
        <w:lastRenderedPageBreak/>
        <w:t xml:space="preserve">The base case results presented by the company showed </w:t>
      </w:r>
      <w:proofErr w:type="spellStart"/>
      <w:r>
        <w:t>vortioxetine</w:t>
      </w:r>
      <w:proofErr w:type="spellEnd"/>
      <w:r>
        <w:t xml:space="preserve"> to have an incremental cost-effectiveness ratio (ICER) of £378 per QALY compared to venlafaxine</w:t>
      </w:r>
      <w:r w:rsidR="007479DD">
        <w:t xml:space="preserve"> (see </w:t>
      </w:r>
      <w:r w:rsidR="007479DD">
        <w:fldChar w:fldCharType="begin"/>
      </w:r>
      <w:r w:rsidR="007479DD">
        <w:instrText xml:space="preserve"> REF _Ref446588873 \h </w:instrText>
      </w:r>
      <w:r w:rsidR="007479DD">
        <w:fldChar w:fldCharType="separate"/>
      </w:r>
      <w:r w:rsidR="00C5039B">
        <w:t xml:space="preserve">Table </w:t>
      </w:r>
      <w:r w:rsidR="00C5039B">
        <w:rPr>
          <w:noProof/>
        </w:rPr>
        <w:t>4</w:t>
      </w:r>
      <w:r w:rsidR="00C5039B">
        <w:t xml:space="preserve"> - Base case results from the </w:t>
      </w:r>
      <w:r w:rsidR="007479DD">
        <w:fldChar w:fldCharType="end"/>
      </w:r>
      <w:r w:rsidR="007479DD">
        <w:t>)</w:t>
      </w:r>
      <w:r>
        <w:t>.</w:t>
      </w:r>
    </w:p>
    <w:p w14:paraId="5F4227E1" w14:textId="11D91623" w:rsidR="006B0685" w:rsidRDefault="006B0685" w:rsidP="006B0685">
      <w:pPr>
        <w:pStyle w:val="Caption"/>
        <w:keepNext/>
      </w:pPr>
      <w:bookmarkStart w:id="20" w:name="_Ref446590527"/>
      <w:bookmarkStart w:id="21" w:name="_Ref446588873"/>
      <w:r>
        <w:t xml:space="preserve">Table </w:t>
      </w:r>
      <w:r w:rsidR="00CB3AB8">
        <w:fldChar w:fldCharType="begin"/>
      </w:r>
      <w:r w:rsidR="00CB3AB8">
        <w:instrText xml:space="preserve"> SEQ Table \* ARABIC </w:instrText>
      </w:r>
      <w:r w:rsidR="00CB3AB8">
        <w:fldChar w:fldCharType="separate"/>
      </w:r>
      <w:r w:rsidR="00C5039B">
        <w:rPr>
          <w:noProof/>
        </w:rPr>
        <w:t>4</w:t>
      </w:r>
      <w:r w:rsidR="00CB3AB8">
        <w:rPr>
          <w:noProof/>
        </w:rPr>
        <w:fldChar w:fldCharType="end"/>
      </w:r>
      <w:bookmarkEnd w:id="20"/>
      <w:r>
        <w:t xml:space="preserve"> - Base case results from the </w:t>
      </w:r>
      <w:bookmarkEnd w:id="21"/>
      <w:r w:rsidR="004A63BB">
        <w:t>manufacturer’s submission</w:t>
      </w:r>
      <w:r w:rsidR="007A0675">
        <w:t xml:space="preserve">, available on the NICE website </w:t>
      </w:r>
      <w:r w:rsidR="007A0675">
        <w:fldChar w:fldCharType="begin" w:fldLock="1"/>
      </w:r>
      <w:r w:rsidR="007A0675">
        <w:instrText>ADDIN CSL_CITATION { "citationItems" : [ { "id" : "ITEM-1", "itemData" : { "URL" : "https://www.nice.org.uk/guidance/ta367", "author" : [ { "dropping-particle" : "", "family" : "NICE", "given" : "", "non-dropping-particle" : "", "parse-names" : false, "suffix" : "" } ], "id" : "ITEM-1", "issued" : { "date-parts" : [ [ "2015" ] ] }, "title" : "Vortioxetine for treating major depressive episodes", "type" : "webpage" }, "uris" : [ "http://www.mendeley.com/documents/?uuid=bebd4cb5-4e84-4ed1-a810-3d56f6ab2671" ] } ], "mendeley" : { "formattedCitation" : "[3]", "plainTextFormattedCitation" : "[3]", "previouslyFormattedCitation" : "[3]" }, "properties" : { "noteIndex" : 0 }, "schema" : "https://github.com/citation-style-language/schema/raw/master/csl-citation.json" }</w:instrText>
      </w:r>
      <w:r w:rsidR="007A0675">
        <w:fldChar w:fldCharType="separate"/>
      </w:r>
      <w:r w:rsidR="007A0675" w:rsidRPr="00315DE8">
        <w:rPr>
          <w:noProof/>
        </w:rPr>
        <w:t>[3]</w:t>
      </w:r>
      <w:r w:rsidR="007A0675">
        <w:fldChar w:fldCharType="end"/>
      </w:r>
    </w:p>
    <w:tbl>
      <w:tblPr>
        <w:tblStyle w:val="TableGrid"/>
        <w:tblW w:w="0" w:type="auto"/>
        <w:tblLook w:val="04A0" w:firstRow="1" w:lastRow="0" w:firstColumn="1" w:lastColumn="0" w:noHBand="0" w:noVBand="1"/>
      </w:tblPr>
      <w:tblGrid>
        <w:gridCol w:w="1563"/>
        <w:gridCol w:w="1539"/>
        <w:gridCol w:w="1539"/>
        <w:gridCol w:w="1564"/>
        <w:gridCol w:w="1564"/>
        <w:gridCol w:w="1540"/>
      </w:tblGrid>
      <w:tr w:rsidR="006B145B" w:rsidRPr="00014EBD" w14:paraId="2784BD5A" w14:textId="77777777" w:rsidTr="006B145B">
        <w:tc>
          <w:tcPr>
            <w:tcW w:w="1563" w:type="dxa"/>
          </w:tcPr>
          <w:p w14:paraId="0800C1AD" w14:textId="77777777" w:rsidR="006B145B" w:rsidRPr="00014EBD" w:rsidRDefault="006B145B" w:rsidP="006B145B">
            <w:pPr>
              <w:pStyle w:val="Tabletext"/>
              <w:rPr>
                <w:b/>
                <w:bCs/>
                <w:sz w:val="20"/>
                <w:lang w:eastAsia="en-GB"/>
              </w:rPr>
            </w:pPr>
            <w:r w:rsidRPr="00014EBD">
              <w:rPr>
                <w:b/>
                <w:bCs/>
                <w:sz w:val="20"/>
                <w:lang w:eastAsia="en-GB"/>
              </w:rPr>
              <w:t>Technology</w:t>
            </w:r>
          </w:p>
        </w:tc>
        <w:tc>
          <w:tcPr>
            <w:tcW w:w="1539" w:type="dxa"/>
          </w:tcPr>
          <w:p w14:paraId="2012C2A5" w14:textId="77777777" w:rsidR="006B145B" w:rsidRPr="00014EBD" w:rsidRDefault="006B145B" w:rsidP="006B145B">
            <w:pPr>
              <w:pStyle w:val="Tabletext"/>
              <w:jc w:val="center"/>
              <w:rPr>
                <w:b/>
                <w:bCs/>
                <w:sz w:val="20"/>
                <w:lang w:eastAsia="en-GB"/>
              </w:rPr>
            </w:pPr>
            <w:r w:rsidRPr="00014EBD">
              <w:rPr>
                <w:b/>
                <w:bCs/>
                <w:sz w:val="20"/>
                <w:lang w:eastAsia="en-GB"/>
              </w:rPr>
              <w:t>Total costs (£)</w:t>
            </w:r>
          </w:p>
        </w:tc>
        <w:tc>
          <w:tcPr>
            <w:tcW w:w="1539" w:type="dxa"/>
          </w:tcPr>
          <w:p w14:paraId="0AC201A5" w14:textId="77777777" w:rsidR="006B145B" w:rsidRPr="00014EBD" w:rsidRDefault="006B145B" w:rsidP="006B145B">
            <w:pPr>
              <w:pStyle w:val="Tabletext"/>
              <w:jc w:val="center"/>
              <w:rPr>
                <w:b/>
                <w:bCs/>
                <w:sz w:val="20"/>
                <w:lang w:eastAsia="en-GB"/>
              </w:rPr>
            </w:pPr>
            <w:r w:rsidRPr="00014EBD">
              <w:rPr>
                <w:b/>
                <w:bCs/>
                <w:sz w:val="20"/>
                <w:lang w:eastAsia="en-GB"/>
              </w:rPr>
              <w:t>Total QALYs</w:t>
            </w:r>
          </w:p>
        </w:tc>
        <w:tc>
          <w:tcPr>
            <w:tcW w:w="1564" w:type="dxa"/>
          </w:tcPr>
          <w:p w14:paraId="4FC5D847" w14:textId="77777777" w:rsidR="006B145B" w:rsidRPr="00014EBD" w:rsidRDefault="006B145B" w:rsidP="006B145B">
            <w:pPr>
              <w:pStyle w:val="Tabletext"/>
              <w:jc w:val="center"/>
              <w:rPr>
                <w:b/>
                <w:bCs/>
                <w:sz w:val="20"/>
                <w:lang w:eastAsia="en-GB"/>
              </w:rPr>
            </w:pPr>
            <w:r w:rsidRPr="00014EBD">
              <w:rPr>
                <w:b/>
                <w:bCs/>
                <w:sz w:val="20"/>
                <w:lang w:eastAsia="en-GB"/>
              </w:rPr>
              <w:t>Incremental costs (£)</w:t>
            </w:r>
          </w:p>
        </w:tc>
        <w:tc>
          <w:tcPr>
            <w:tcW w:w="1564" w:type="dxa"/>
          </w:tcPr>
          <w:p w14:paraId="7407049D" w14:textId="77777777" w:rsidR="006B145B" w:rsidRPr="00014EBD" w:rsidRDefault="006B145B" w:rsidP="006B145B">
            <w:pPr>
              <w:pStyle w:val="Tabletext"/>
              <w:jc w:val="center"/>
              <w:rPr>
                <w:b/>
                <w:bCs/>
                <w:sz w:val="20"/>
                <w:lang w:eastAsia="en-GB"/>
              </w:rPr>
            </w:pPr>
            <w:r w:rsidRPr="00014EBD">
              <w:rPr>
                <w:b/>
                <w:bCs/>
                <w:sz w:val="20"/>
                <w:lang w:eastAsia="en-GB"/>
              </w:rPr>
              <w:t>Incremental QALYs</w:t>
            </w:r>
          </w:p>
        </w:tc>
        <w:tc>
          <w:tcPr>
            <w:tcW w:w="1540" w:type="dxa"/>
          </w:tcPr>
          <w:p w14:paraId="4C48FFA8" w14:textId="77777777" w:rsidR="006B145B" w:rsidRPr="00014EBD" w:rsidRDefault="006B145B" w:rsidP="006B145B">
            <w:pPr>
              <w:pStyle w:val="Tabletext"/>
              <w:jc w:val="center"/>
              <w:rPr>
                <w:b/>
                <w:bCs/>
                <w:sz w:val="20"/>
                <w:lang w:eastAsia="en-GB"/>
              </w:rPr>
            </w:pPr>
            <w:r w:rsidRPr="00014EBD">
              <w:rPr>
                <w:b/>
                <w:bCs/>
                <w:sz w:val="20"/>
                <w:lang w:eastAsia="en-GB"/>
              </w:rPr>
              <w:t>ICER (£/QALY)</w:t>
            </w:r>
          </w:p>
        </w:tc>
      </w:tr>
      <w:tr w:rsidR="006B145B" w:rsidRPr="00014EBD" w14:paraId="6AA98DC7" w14:textId="77777777" w:rsidTr="006B145B">
        <w:tc>
          <w:tcPr>
            <w:tcW w:w="1563" w:type="dxa"/>
            <w:vAlign w:val="center"/>
          </w:tcPr>
          <w:p w14:paraId="2A61000F" w14:textId="77777777" w:rsidR="006B145B" w:rsidRPr="00014EBD" w:rsidRDefault="006B145B" w:rsidP="006B145B">
            <w:pPr>
              <w:pStyle w:val="Tabletext"/>
              <w:rPr>
                <w:sz w:val="20"/>
                <w:lang w:eastAsia="en-GB"/>
              </w:rPr>
            </w:pPr>
            <w:r w:rsidRPr="00014EBD">
              <w:rPr>
                <w:sz w:val="20"/>
                <w:lang w:eastAsia="en-GB"/>
              </w:rPr>
              <w:t>Venlafaxine</w:t>
            </w:r>
          </w:p>
        </w:tc>
        <w:tc>
          <w:tcPr>
            <w:tcW w:w="1539" w:type="dxa"/>
            <w:vAlign w:val="center"/>
          </w:tcPr>
          <w:p w14:paraId="664C1B89" w14:textId="77777777" w:rsidR="006B145B" w:rsidRPr="00014EBD" w:rsidRDefault="006B145B" w:rsidP="006B145B">
            <w:pPr>
              <w:pStyle w:val="Tabletext"/>
              <w:jc w:val="right"/>
              <w:rPr>
                <w:sz w:val="20"/>
              </w:rPr>
            </w:pPr>
            <w:r w:rsidRPr="00014EBD">
              <w:rPr>
                <w:sz w:val="20"/>
              </w:rPr>
              <w:t>£964</w:t>
            </w:r>
          </w:p>
        </w:tc>
        <w:tc>
          <w:tcPr>
            <w:tcW w:w="1539" w:type="dxa"/>
            <w:vAlign w:val="center"/>
          </w:tcPr>
          <w:p w14:paraId="10C939AE" w14:textId="77777777" w:rsidR="006B145B" w:rsidRPr="00014EBD" w:rsidRDefault="006B145B" w:rsidP="006B145B">
            <w:pPr>
              <w:pStyle w:val="Tabletext"/>
              <w:jc w:val="right"/>
              <w:rPr>
                <w:sz w:val="20"/>
              </w:rPr>
            </w:pPr>
            <w:r w:rsidRPr="00014EBD">
              <w:rPr>
                <w:sz w:val="20"/>
              </w:rPr>
              <w:t>0.675</w:t>
            </w:r>
          </w:p>
        </w:tc>
        <w:tc>
          <w:tcPr>
            <w:tcW w:w="1564" w:type="dxa"/>
            <w:vAlign w:val="center"/>
          </w:tcPr>
          <w:p w14:paraId="12B672B3" w14:textId="77777777" w:rsidR="006B145B" w:rsidRPr="00014EBD" w:rsidRDefault="006B145B" w:rsidP="006B145B">
            <w:pPr>
              <w:pStyle w:val="Tabletext"/>
              <w:jc w:val="right"/>
              <w:rPr>
                <w:sz w:val="20"/>
              </w:rPr>
            </w:pPr>
            <w:r w:rsidRPr="00014EBD">
              <w:rPr>
                <w:sz w:val="20"/>
              </w:rPr>
              <w:t>n/a</w:t>
            </w:r>
          </w:p>
        </w:tc>
        <w:tc>
          <w:tcPr>
            <w:tcW w:w="1564" w:type="dxa"/>
            <w:vAlign w:val="center"/>
          </w:tcPr>
          <w:p w14:paraId="7C5AF020" w14:textId="77777777" w:rsidR="006B145B" w:rsidRPr="00014EBD" w:rsidRDefault="006B145B" w:rsidP="006B145B">
            <w:pPr>
              <w:pStyle w:val="Tabletext"/>
              <w:jc w:val="right"/>
              <w:rPr>
                <w:sz w:val="20"/>
              </w:rPr>
            </w:pPr>
            <w:r w:rsidRPr="00014EBD">
              <w:rPr>
                <w:sz w:val="20"/>
              </w:rPr>
              <w:t>n/a</w:t>
            </w:r>
          </w:p>
        </w:tc>
        <w:tc>
          <w:tcPr>
            <w:tcW w:w="1540" w:type="dxa"/>
            <w:vAlign w:val="center"/>
          </w:tcPr>
          <w:p w14:paraId="47BAF72E" w14:textId="77777777" w:rsidR="006B145B" w:rsidRPr="00014EBD" w:rsidRDefault="006B145B" w:rsidP="006B145B">
            <w:pPr>
              <w:pStyle w:val="Tabletext"/>
              <w:jc w:val="right"/>
              <w:rPr>
                <w:sz w:val="20"/>
              </w:rPr>
            </w:pPr>
            <w:r w:rsidRPr="00014EBD">
              <w:rPr>
                <w:sz w:val="20"/>
              </w:rPr>
              <w:t>n/a</w:t>
            </w:r>
          </w:p>
        </w:tc>
      </w:tr>
      <w:tr w:rsidR="006B145B" w:rsidRPr="00014EBD" w14:paraId="72FAAA9D" w14:textId="77777777" w:rsidTr="006B145B">
        <w:tc>
          <w:tcPr>
            <w:tcW w:w="1563" w:type="dxa"/>
            <w:vAlign w:val="center"/>
          </w:tcPr>
          <w:p w14:paraId="05B104FB" w14:textId="77777777" w:rsidR="006B145B" w:rsidRPr="00014EBD" w:rsidRDefault="006B145B" w:rsidP="006B145B">
            <w:pPr>
              <w:pStyle w:val="Tabletext"/>
              <w:rPr>
                <w:sz w:val="20"/>
                <w:lang w:eastAsia="en-GB"/>
              </w:rPr>
            </w:pPr>
            <w:r w:rsidRPr="00014EBD">
              <w:rPr>
                <w:sz w:val="20"/>
                <w:lang w:eastAsia="en-GB"/>
              </w:rPr>
              <w:t>Vortioxetine</w:t>
            </w:r>
          </w:p>
        </w:tc>
        <w:tc>
          <w:tcPr>
            <w:tcW w:w="1539" w:type="dxa"/>
            <w:vAlign w:val="center"/>
          </w:tcPr>
          <w:p w14:paraId="7318C40F" w14:textId="77777777" w:rsidR="006B145B" w:rsidRPr="00014EBD" w:rsidRDefault="006B145B" w:rsidP="006B145B">
            <w:pPr>
              <w:pStyle w:val="Tabletext"/>
              <w:jc w:val="right"/>
              <w:rPr>
                <w:sz w:val="20"/>
              </w:rPr>
            </w:pPr>
            <w:r w:rsidRPr="00014EBD">
              <w:rPr>
                <w:sz w:val="20"/>
              </w:rPr>
              <w:t>£971</w:t>
            </w:r>
          </w:p>
        </w:tc>
        <w:tc>
          <w:tcPr>
            <w:tcW w:w="1539" w:type="dxa"/>
            <w:vAlign w:val="center"/>
          </w:tcPr>
          <w:p w14:paraId="18265A1B" w14:textId="77777777" w:rsidR="006B145B" w:rsidRPr="00014EBD" w:rsidRDefault="006B145B" w:rsidP="006B145B">
            <w:pPr>
              <w:pStyle w:val="Tabletext"/>
              <w:jc w:val="right"/>
              <w:rPr>
                <w:sz w:val="20"/>
              </w:rPr>
            </w:pPr>
            <w:r w:rsidRPr="00014EBD">
              <w:rPr>
                <w:sz w:val="20"/>
              </w:rPr>
              <w:t>0.694</w:t>
            </w:r>
          </w:p>
        </w:tc>
        <w:tc>
          <w:tcPr>
            <w:tcW w:w="1564" w:type="dxa"/>
            <w:shd w:val="clear" w:color="auto" w:fill="auto"/>
            <w:vAlign w:val="center"/>
          </w:tcPr>
          <w:p w14:paraId="125B6B98" w14:textId="77777777" w:rsidR="006B145B" w:rsidRPr="00014EBD" w:rsidRDefault="006B145B" w:rsidP="006B145B">
            <w:pPr>
              <w:pStyle w:val="Tabletext"/>
              <w:jc w:val="right"/>
              <w:rPr>
                <w:sz w:val="20"/>
              </w:rPr>
            </w:pPr>
            <w:r w:rsidRPr="00014EBD">
              <w:rPr>
                <w:sz w:val="20"/>
              </w:rPr>
              <w:t>£7</w:t>
            </w:r>
          </w:p>
        </w:tc>
        <w:tc>
          <w:tcPr>
            <w:tcW w:w="1564" w:type="dxa"/>
            <w:shd w:val="clear" w:color="auto" w:fill="auto"/>
            <w:vAlign w:val="center"/>
          </w:tcPr>
          <w:p w14:paraId="583B5905" w14:textId="77777777" w:rsidR="006B145B" w:rsidRPr="00014EBD" w:rsidRDefault="006B145B" w:rsidP="006B145B">
            <w:pPr>
              <w:pStyle w:val="Tabletext"/>
              <w:jc w:val="right"/>
              <w:rPr>
                <w:sz w:val="20"/>
              </w:rPr>
            </w:pPr>
            <w:r w:rsidRPr="00014EBD">
              <w:rPr>
                <w:sz w:val="20"/>
              </w:rPr>
              <w:t>0.019</w:t>
            </w:r>
          </w:p>
        </w:tc>
        <w:tc>
          <w:tcPr>
            <w:tcW w:w="1540" w:type="dxa"/>
            <w:vAlign w:val="center"/>
          </w:tcPr>
          <w:p w14:paraId="77D2F47F" w14:textId="77777777" w:rsidR="006B145B" w:rsidRPr="00014EBD" w:rsidRDefault="006B145B" w:rsidP="006B145B">
            <w:pPr>
              <w:pStyle w:val="Tabletext"/>
              <w:jc w:val="right"/>
              <w:rPr>
                <w:sz w:val="20"/>
              </w:rPr>
            </w:pPr>
            <w:r w:rsidRPr="00014EBD">
              <w:rPr>
                <w:sz w:val="20"/>
              </w:rPr>
              <w:t>£378</w:t>
            </w:r>
          </w:p>
        </w:tc>
      </w:tr>
      <w:tr w:rsidR="006B145B" w:rsidRPr="00014EBD" w14:paraId="482CE338" w14:textId="77777777" w:rsidTr="006B145B">
        <w:tc>
          <w:tcPr>
            <w:tcW w:w="1563" w:type="dxa"/>
            <w:vAlign w:val="center"/>
          </w:tcPr>
          <w:p w14:paraId="15703A41" w14:textId="77777777" w:rsidR="006B145B" w:rsidRPr="00014EBD" w:rsidRDefault="006B145B" w:rsidP="006B145B">
            <w:pPr>
              <w:pStyle w:val="Tabletext"/>
              <w:rPr>
                <w:sz w:val="20"/>
                <w:lang w:eastAsia="en-GB"/>
              </w:rPr>
            </w:pPr>
            <w:r w:rsidRPr="00014EBD">
              <w:rPr>
                <w:sz w:val="20"/>
                <w:lang w:eastAsia="en-GB"/>
              </w:rPr>
              <w:t>Citalopram</w:t>
            </w:r>
          </w:p>
        </w:tc>
        <w:tc>
          <w:tcPr>
            <w:tcW w:w="1539" w:type="dxa"/>
            <w:vAlign w:val="center"/>
          </w:tcPr>
          <w:p w14:paraId="0D7794C7" w14:textId="77777777" w:rsidR="006B145B" w:rsidRPr="00014EBD" w:rsidRDefault="006B145B" w:rsidP="006B145B">
            <w:pPr>
              <w:pStyle w:val="Tabletext"/>
              <w:jc w:val="right"/>
              <w:rPr>
                <w:sz w:val="20"/>
              </w:rPr>
            </w:pPr>
            <w:r w:rsidRPr="00014EBD">
              <w:rPr>
                <w:sz w:val="20"/>
              </w:rPr>
              <w:t>£976</w:t>
            </w:r>
          </w:p>
        </w:tc>
        <w:tc>
          <w:tcPr>
            <w:tcW w:w="1539" w:type="dxa"/>
            <w:vAlign w:val="center"/>
          </w:tcPr>
          <w:p w14:paraId="3F933C82" w14:textId="77777777" w:rsidR="006B145B" w:rsidRPr="00014EBD" w:rsidRDefault="006B145B" w:rsidP="006B145B">
            <w:pPr>
              <w:pStyle w:val="Tabletext"/>
              <w:jc w:val="right"/>
              <w:rPr>
                <w:sz w:val="20"/>
              </w:rPr>
            </w:pPr>
            <w:r w:rsidRPr="00014EBD">
              <w:rPr>
                <w:sz w:val="20"/>
              </w:rPr>
              <w:t>0.664</w:t>
            </w:r>
          </w:p>
        </w:tc>
        <w:tc>
          <w:tcPr>
            <w:tcW w:w="1564" w:type="dxa"/>
            <w:shd w:val="clear" w:color="auto" w:fill="auto"/>
            <w:vAlign w:val="center"/>
          </w:tcPr>
          <w:p w14:paraId="0E851322" w14:textId="77777777" w:rsidR="006B145B" w:rsidRPr="00014EBD" w:rsidRDefault="006B145B" w:rsidP="006B145B">
            <w:pPr>
              <w:pStyle w:val="Tabletext"/>
              <w:jc w:val="right"/>
              <w:rPr>
                <w:sz w:val="20"/>
              </w:rPr>
            </w:pPr>
            <w:r w:rsidRPr="00014EBD">
              <w:rPr>
                <w:sz w:val="20"/>
              </w:rPr>
              <w:t>£5</w:t>
            </w:r>
          </w:p>
        </w:tc>
        <w:tc>
          <w:tcPr>
            <w:tcW w:w="1564" w:type="dxa"/>
            <w:shd w:val="clear" w:color="auto" w:fill="auto"/>
            <w:vAlign w:val="center"/>
          </w:tcPr>
          <w:p w14:paraId="223BB2E8" w14:textId="77777777" w:rsidR="006B145B" w:rsidRPr="00014EBD" w:rsidRDefault="006B145B" w:rsidP="006B145B">
            <w:pPr>
              <w:pStyle w:val="Tabletext"/>
              <w:jc w:val="right"/>
              <w:rPr>
                <w:sz w:val="20"/>
              </w:rPr>
            </w:pPr>
            <w:r w:rsidRPr="00014EBD">
              <w:rPr>
                <w:rFonts w:cs="Arial"/>
                <w:sz w:val="20"/>
              </w:rPr>
              <w:t>−</w:t>
            </w:r>
            <w:r w:rsidRPr="00014EBD">
              <w:rPr>
                <w:sz w:val="20"/>
              </w:rPr>
              <w:t>0.030</w:t>
            </w:r>
          </w:p>
        </w:tc>
        <w:tc>
          <w:tcPr>
            <w:tcW w:w="1540" w:type="dxa"/>
            <w:vAlign w:val="center"/>
          </w:tcPr>
          <w:p w14:paraId="674B208E" w14:textId="77777777" w:rsidR="006B145B" w:rsidRPr="00014EBD" w:rsidRDefault="006B145B" w:rsidP="006B145B">
            <w:pPr>
              <w:pStyle w:val="Tabletext"/>
              <w:jc w:val="right"/>
              <w:rPr>
                <w:sz w:val="20"/>
              </w:rPr>
            </w:pPr>
            <w:r w:rsidRPr="00014EBD">
              <w:rPr>
                <w:sz w:val="20"/>
              </w:rPr>
              <w:t>Dominated</w:t>
            </w:r>
          </w:p>
        </w:tc>
      </w:tr>
      <w:tr w:rsidR="006B145B" w:rsidRPr="00014EBD" w14:paraId="7D6A52AA" w14:textId="77777777" w:rsidTr="006B145B">
        <w:trPr>
          <w:trHeight w:val="64"/>
        </w:trPr>
        <w:tc>
          <w:tcPr>
            <w:tcW w:w="1563" w:type="dxa"/>
            <w:vAlign w:val="center"/>
          </w:tcPr>
          <w:p w14:paraId="7D15A9F1" w14:textId="77777777" w:rsidR="006B145B" w:rsidRPr="00014EBD" w:rsidRDefault="006B145B" w:rsidP="006B145B">
            <w:pPr>
              <w:pStyle w:val="Tabletext"/>
              <w:rPr>
                <w:sz w:val="20"/>
                <w:lang w:eastAsia="en-GB"/>
              </w:rPr>
            </w:pPr>
            <w:r w:rsidRPr="00014EBD">
              <w:rPr>
                <w:sz w:val="20"/>
                <w:lang w:eastAsia="en-GB"/>
              </w:rPr>
              <w:t>Sertraline</w:t>
            </w:r>
          </w:p>
        </w:tc>
        <w:tc>
          <w:tcPr>
            <w:tcW w:w="1539" w:type="dxa"/>
            <w:vAlign w:val="center"/>
          </w:tcPr>
          <w:p w14:paraId="43257125" w14:textId="77777777" w:rsidR="006B145B" w:rsidRPr="00014EBD" w:rsidRDefault="006B145B" w:rsidP="006B145B">
            <w:pPr>
              <w:pStyle w:val="Tabletext"/>
              <w:jc w:val="right"/>
              <w:rPr>
                <w:sz w:val="20"/>
              </w:rPr>
            </w:pPr>
            <w:r w:rsidRPr="00014EBD">
              <w:rPr>
                <w:sz w:val="20"/>
              </w:rPr>
              <w:t>£977</w:t>
            </w:r>
          </w:p>
        </w:tc>
        <w:tc>
          <w:tcPr>
            <w:tcW w:w="1539" w:type="dxa"/>
            <w:vAlign w:val="center"/>
          </w:tcPr>
          <w:p w14:paraId="0E72762E" w14:textId="77777777" w:rsidR="006B145B" w:rsidRPr="00014EBD" w:rsidRDefault="006B145B" w:rsidP="006B145B">
            <w:pPr>
              <w:pStyle w:val="Tabletext"/>
              <w:jc w:val="right"/>
              <w:rPr>
                <w:sz w:val="20"/>
              </w:rPr>
            </w:pPr>
            <w:r w:rsidRPr="00014EBD">
              <w:rPr>
                <w:sz w:val="20"/>
              </w:rPr>
              <w:t>0.664</w:t>
            </w:r>
          </w:p>
        </w:tc>
        <w:tc>
          <w:tcPr>
            <w:tcW w:w="1564" w:type="dxa"/>
            <w:vAlign w:val="center"/>
          </w:tcPr>
          <w:p w14:paraId="582C7F1A" w14:textId="77777777" w:rsidR="006B145B" w:rsidRPr="00014EBD" w:rsidRDefault="006B145B" w:rsidP="006B145B">
            <w:pPr>
              <w:pStyle w:val="Tabletext"/>
              <w:jc w:val="right"/>
              <w:rPr>
                <w:sz w:val="20"/>
              </w:rPr>
            </w:pPr>
            <w:r w:rsidRPr="00014EBD">
              <w:rPr>
                <w:sz w:val="20"/>
              </w:rPr>
              <w:t>£0</w:t>
            </w:r>
          </w:p>
        </w:tc>
        <w:tc>
          <w:tcPr>
            <w:tcW w:w="1564" w:type="dxa"/>
            <w:vAlign w:val="center"/>
          </w:tcPr>
          <w:p w14:paraId="3E14F1B8" w14:textId="77777777" w:rsidR="006B145B" w:rsidRPr="00014EBD" w:rsidRDefault="006B145B" w:rsidP="006B145B">
            <w:pPr>
              <w:pStyle w:val="Tabletext"/>
              <w:jc w:val="right"/>
              <w:rPr>
                <w:sz w:val="20"/>
              </w:rPr>
            </w:pPr>
            <w:r w:rsidRPr="00014EBD">
              <w:rPr>
                <w:rFonts w:cs="Arial"/>
                <w:sz w:val="20"/>
              </w:rPr>
              <w:t>−</w:t>
            </w:r>
            <w:r w:rsidRPr="00014EBD">
              <w:rPr>
                <w:sz w:val="20"/>
              </w:rPr>
              <w:t>0.001</w:t>
            </w:r>
          </w:p>
        </w:tc>
        <w:tc>
          <w:tcPr>
            <w:tcW w:w="1540" w:type="dxa"/>
            <w:vAlign w:val="center"/>
          </w:tcPr>
          <w:p w14:paraId="448A018D" w14:textId="77777777" w:rsidR="006B145B" w:rsidRPr="00014EBD" w:rsidRDefault="006B145B" w:rsidP="006B145B">
            <w:pPr>
              <w:pStyle w:val="Tabletext"/>
              <w:jc w:val="right"/>
              <w:rPr>
                <w:sz w:val="20"/>
              </w:rPr>
            </w:pPr>
            <w:r w:rsidRPr="00014EBD">
              <w:rPr>
                <w:sz w:val="20"/>
              </w:rPr>
              <w:t>Dominated</w:t>
            </w:r>
          </w:p>
        </w:tc>
      </w:tr>
      <w:tr w:rsidR="006B145B" w:rsidRPr="00014EBD" w14:paraId="07DB1171" w14:textId="77777777" w:rsidTr="006B145B">
        <w:tc>
          <w:tcPr>
            <w:tcW w:w="1563" w:type="dxa"/>
            <w:vAlign w:val="center"/>
          </w:tcPr>
          <w:p w14:paraId="72F238CB" w14:textId="77777777" w:rsidR="006B145B" w:rsidRPr="00014EBD" w:rsidRDefault="006B145B" w:rsidP="006B145B">
            <w:pPr>
              <w:pStyle w:val="Tabletext"/>
              <w:rPr>
                <w:sz w:val="20"/>
                <w:lang w:eastAsia="en-GB"/>
              </w:rPr>
            </w:pPr>
            <w:r w:rsidRPr="00014EBD">
              <w:rPr>
                <w:sz w:val="20"/>
                <w:lang w:eastAsia="en-GB"/>
              </w:rPr>
              <w:t>Agomelatine</w:t>
            </w:r>
          </w:p>
        </w:tc>
        <w:tc>
          <w:tcPr>
            <w:tcW w:w="1539" w:type="dxa"/>
            <w:vAlign w:val="center"/>
          </w:tcPr>
          <w:p w14:paraId="5179B975" w14:textId="77777777" w:rsidR="006B145B" w:rsidRPr="00014EBD" w:rsidRDefault="006B145B" w:rsidP="006B145B">
            <w:pPr>
              <w:pStyle w:val="Tabletext"/>
              <w:jc w:val="right"/>
              <w:rPr>
                <w:sz w:val="20"/>
              </w:rPr>
            </w:pPr>
            <w:r w:rsidRPr="00014EBD">
              <w:rPr>
                <w:sz w:val="20"/>
              </w:rPr>
              <w:t>£1082</w:t>
            </w:r>
          </w:p>
        </w:tc>
        <w:tc>
          <w:tcPr>
            <w:tcW w:w="1539" w:type="dxa"/>
            <w:vAlign w:val="center"/>
          </w:tcPr>
          <w:p w14:paraId="45CCA521" w14:textId="77777777" w:rsidR="006B145B" w:rsidRPr="00014EBD" w:rsidRDefault="006B145B" w:rsidP="006B145B">
            <w:pPr>
              <w:pStyle w:val="Tabletext"/>
              <w:jc w:val="right"/>
              <w:rPr>
                <w:sz w:val="20"/>
              </w:rPr>
            </w:pPr>
            <w:r w:rsidRPr="00014EBD">
              <w:rPr>
                <w:sz w:val="20"/>
              </w:rPr>
              <w:t>0.676</w:t>
            </w:r>
          </w:p>
        </w:tc>
        <w:tc>
          <w:tcPr>
            <w:tcW w:w="1564" w:type="dxa"/>
            <w:vAlign w:val="center"/>
          </w:tcPr>
          <w:p w14:paraId="56E7C4D8" w14:textId="77777777" w:rsidR="006B145B" w:rsidRPr="00014EBD" w:rsidRDefault="006B145B" w:rsidP="006B145B">
            <w:pPr>
              <w:pStyle w:val="Tabletext"/>
              <w:jc w:val="right"/>
              <w:rPr>
                <w:sz w:val="20"/>
              </w:rPr>
            </w:pPr>
            <w:r w:rsidRPr="00014EBD">
              <w:rPr>
                <w:sz w:val="20"/>
              </w:rPr>
              <w:t>£105</w:t>
            </w:r>
          </w:p>
        </w:tc>
        <w:tc>
          <w:tcPr>
            <w:tcW w:w="1564" w:type="dxa"/>
            <w:vAlign w:val="center"/>
          </w:tcPr>
          <w:p w14:paraId="147774DA" w14:textId="77777777" w:rsidR="006B145B" w:rsidRPr="00014EBD" w:rsidRDefault="006B145B" w:rsidP="006B145B">
            <w:pPr>
              <w:pStyle w:val="Tabletext"/>
              <w:jc w:val="right"/>
              <w:rPr>
                <w:sz w:val="20"/>
              </w:rPr>
            </w:pPr>
            <w:r w:rsidRPr="00014EBD">
              <w:rPr>
                <w:sz w:val="20"/>
              </w:rPr>
              <w:t>0.012</w:t>
            </w:r>
          </w:p>
        </w:tc>
        <w:tc>
          <w:tcPr>
            <w:tcW w:w="1540" w:type="dxa"/>
            <w:vAlign w:val="center"/>
          </w:tcPr>
          <w:p w14:paraId="45CA95A1" w14:textId="77777777" w:rsidR="006B145B" w:rsidRPr="00014EBD" w:rsidRDefault="006B145B" w:rsidP="006B145B">
            <w:pPr>
              <w:pStyle w:val="Tabletext"/>
              <w:jc w:val="right"/>
              <w:rPr>
                <w:sz w:val="20"/>
              </w:rPr>
            </w:pPr>
            <w:r w:rsidRPr="00014EBD">
              <w:rPr>
                <w:sz w:val="20"/>
              </w:rPr>
              <w:t>Dominated</w:t>
            </w:r>
          </w:p>
        </w:tc>
      </w:tr>
    </w:tbl>
    <w:p w14:paraId="7A38C841" w14:textId="77777777" w:rsidR="00F4527E" w:rsidRPr="001E5CD8" w:rsidRDefault="00F4527E" w:rsidP="00C76465"/>
    <w:p w14:paraId="6F676C42" w14:textId="77777777" w:rsidR="000F5F5E" w:rsidRDefault="00E05A80" w:rsidP="00FD107E">
      <w:pPr>
        <w:pStyle w:val="Heading3"/>
      </w:pPr>
      <w:bookmarkStart w:id="22" w:name="_Toc429652478"/>
      <w:bookmarkStart w:id="23" w:name="_Toc448503398"/>
      <w:r>
        <w:t>3</w:t>
      </w:r>
      <w:r w:rsidR="00064B89">
        <w:t>.2.1</w:t>
      </w:r>
      <w:r w:rsidR="00064B89">
        <w:tab/>
        <w:t>Critique of the Cost</w:t>
      </w:r>
      <w:r w:rsidR="0061142F">
        <w:t>-</w:t>
      </w:r>
      <w:r w:rsidR="000F5F5E">
        <w:t>Effectiveness Evidence</w:t>
      </w:r>
      <w:bookmarkEnd w:id="22"/>
      <w:bookmarkEnd w:id="23"/>
    </w:p>
    <w:p w14:paraId="6DB1098C" w14:textId="77777777" w:rsidR="008B6BA0" w:rsidRDefault="007479DD" w:rsidP="008B6BA0">
      <w:r>
        <w:t>The ERG had</w:t>
      </w:r>
      <w:r w:rsidR="008B6BA0">
        <w:t xml:space="preserve"> a number of significant concerns regarding the model structure employed by the </w:t>
      </w:r>
      <w:r w:rsidR="00077BEE">
        <w:t>m</w:t>
      </w:r>
      <w:r w:rsidR="008B6BA0">
        <w:t>anufact</w:t>
      </w:r>
      <w:r>
        <w:t>urer. Firstly, the ERG considered</w:t>
      </w:r>
      <w:r w:rsidR="008B6BA0">
        <w:t xml:space="preserve"> the model structure </w:t>
      </w:r>
      <w:r>
        <w:t>to be</w:t>
      </w:r>
      <w:r w:rsidR="008B6BA0">
        <w:t xml:space="preserve"> unnecessarily complicated and necessitated including additional crude assumptions concerning the timing of particular events. Secondly, the decision to base treatment success and decisions to switch therapy only on remission data reported at 8-weeks </w:t>
      </w:r>
      <w:r>
        <w:t>was</w:t>
      </w:r>
      <w:r w:rsidR="008B6BA0">
        <w:t xml:space="preserve"> considered an important limitation by the ERG. The third main structural concern identified by the ERG </w:t>
      </w:r>
      <w:r>
        <w:t>was</w:t>
      </w:r>
      <w:r w:rsidR="008B6BA0">
        <w:t xml:space="preserve"> the assumption that patients do not face a risk of subsequent relapse (or recurrence) in the recovery period. </w:t>
      </w:r>
      <w:r w:rsidR="008B6BA0" w:rsidRPr="00EE3776">
        <w:t xml:space="preserve">A </w:t>
      </w:r>
      <w:r w:rsidR="008B6BA0">
        <w:t xml:space="preserve">final major structural </w:t>
      </w:r>
      <w:r w:rsidR="008B6BA0" w:rsidRPr="00A91C6D">
        <w:t>limitation of the approach adopted</w:t>
      </w:r>
      <w:r w:rsidR="008B6BA0">
        <w:t xml:space="preserve"> by the manufacturer </w:t>
      </w:r>
      <w:r>
        <w:t>was</w:t>
      </w:r>
      <w:r w:rsidR="008B6BA0">
        <w:t xml:space="preserve"> the approach to modelling additional lines of treatment and the position of </w:t>
      </w:r>
      <w:proofErr w:type="spellStart"/>
      <w:r w:rsidR="008B6BA0">
        <w:t>vortioxetine</w:t>
      </w:r>
      <w:proofErr w:type="spellEnd"/>
      <w:r w:rsidR="008B6BA0">
        <w:t xml:space="preserve"> assumed within current sequential treatment.  Although the manufacturer incorporate</w:t>
      </w:r>
      <w:r w:rsidR="00AA7C47">
        <w:t>d</w:t>
      </w:r>
      <w:r w:rsidR="008B6BA0">
        <w:t xml:space="preserve"> additional lines of therapy (e.g. 3</w:t>
      </w:r>
      <w:r w:rsidR="008B6BA0" w:rsidRPr="00AA7C47">
        <w:rPr>
          <w:vertAlign w:val="superscript"/>
        </w:rPr>
        <w:t>rd</w:t>
      </w:r>
      <w:r w:rsidR="008B6BA0">
        <w:t>-5</w:t>
      </w:r>
      <w:r w:rsidR="008B6BA0" w:rsidRPr="00BC1C10">
        <w:rPr>
          <w:vertAlign w:val="superscript"/>
        </w:rPr>
        <w:t>th</w:t>
      </w:r>
      <w:r w:rsidR="008B6BA0">
        <w:t xml:space="preserve"> lines), the approaches to modelling these additional lines </w:t>
      </w:r>
      <w:r w:rsidR="00AA7C47">
        <w:t>was</w:t>
      </w:r>
      <w:r w:rsidR="008B6BA0">
        <w:t xml:space="preserve"> relatively crude, such that rather than each line representing potentially distinct treatment options, subsequent therapies </w:t>
      </w:r>
      <w:r w:rsidR="00AA7C47">
        <w:t>we</w:t>
      </w:r>
      <w:r w:rsidR="008B6BA0">
        <w:t>re assumed to reflect the costs and effects of a combination of different treatment options. While the ERG a</w:t>
      </w:r>
      <w:r w:rsidR="00044090">
        <w:t>cknowledged</w:t>
      </w:r>
      <w:r w:rsidR="008B6BA0">
        <w:t xml:space="preserve"> that a full sequential analysis might be considered to be beyond the remit of an STA, the decision to only evaluate the cost-effectiveness of </w:t>
      </w:r>
      <w:proofErr w:type="spellStart"/>
      <w:r w:rsidR="008B6BA0">
        <w:t>vortioxetine</w:t>
      </w:r>
      <w:proofErr w:type="spellEnd"/>
      <w:r w:rsidR="008B6BA0">
        <w:t xml:space="preserve"> at a single point in the pathway preclude</w:t>
      </w:r>
      <w:r w:rsidR="00AA7C47">
        <w:t>d</w:t>
      </w:r>
      <w:r w:rsidR="008B6BA0">
        <w:t xml:space="preserve"> a more appropriate demonstration that this </w:t>
      </w:r>
      <w:r w:rsidR="00AA7C47">
        <w:t>was</w:t>
      </w:r>
      <w:r w:rsidR="008B6BA0">
        <w:t xml:space="preserve"> also the most efficient position. Consequently, this limit</w:t>
      </w:r>
      <w:r w:rsidR="00AA7C47">
        <w:t>ed</w:t>
      </w:r>
      <w:r w:rsidR="008B6BA0">
        <w:t xml:space="preserve"> the conclusions that c</w:t>
      </w:r>
      <w:r w:rsidR="00AA7C47">
        <w:t>ould</w:t>
      </w:r>
      <w:r w:rsidR="008B6BA0">
        <w:t xml:space="preserve"> be drawn from the associated results. Without such a consideration it </w:t>
      </w:r>
      <w:r w:rsidR="00AA7C47">
        <w:t>was</w:t>
      </w:r>
      <w:r w:rsidR="008B6BA0">
        <w:t xml:space="preserve"> impossible to establish whether </w:t>
      </w:r>
      <w:proofErr w:type="spellStart"/>
      <w:r w:rsidR="008B6BA0">
        <w:t>v</w:t>
      </w:r>
      <w:r w:rsidR="008B6BA0" w:rsidRPr="00A91C6D">
        <w:t>or</w:t>
      </w:r>
      <w:r w:rsidR="008B6BA0">
        <w:t>tioxetine</w:t>
      </w:r>
      <w:proofErr w:type="spellEnd"/>
      <w:r w:rsidR="008B6BA0">
        <w:t xml:space="preserve"> </w:t>
      </w:r>
      <w:r w:rsidR="00AA7C47">
        <w:t>was</w:t>
      </w:r>
      <w:r w:rsidR="008B6BA0">
        <w:t xml:space="preserve"> more or less efficiently positioned</w:t>
      </w:r>
      <w:r w:rsidR="008B6BA0" w:rsidRPr="00A91C6D">
        <w:t xml:space="preserve"> as a first line treatment or as a third, fourth or fifth line o</w:t>
      </w:r>
      <w:r w:rsidR="008B6BA0" w:rsidRPr="001D04CE">
        <w:t>f tr</w:t>
      </w:r>
      <w:r w:rsidR="00077BEE">
        <w:t>eatment.</w:t>
      </w:r>
    </w:p>
    <w:p w14:paraId="3BC83D84" w14:textId="606071FA" w:rsidR="00DC538E" w:rsidRDefault="00DC538E" w:rsidP="00DC538E">
      <w:r>
        <w:t>T</w:t>
      </w:r>
      <w:r w:rsidR="00972F7F">
        <w:t>he ERG commented that</w:t>
      </w:r>
      <w:r w:rsidR="00A62C2D">
        <w:t xml:space="preserve"> basing</w:t>
      </w:r>
      <w:r w:rsidR="00972F7F">
        <w:t xml:space="preserve"> the decision model around remission data at eight </w:t>
      </w:r>
      <w:r>
        <w:t>weeks was</w:t>
      </w:r>
      <w:r w:rsidR="00972F7F">
        <w:t xml:space="preserve"> both unreflective of clinical practice and likely to introduce bias in the resulting estimates of cost-effectiveness</w:t>
      </w:r>
      <w:r>
        <w:t xml:space="preserve">. </w:t>
      </w:r>
      <w:r w:rsidR="00972F7F">
        <w:t>Those patients</w:t>
      </w:r>
      <w:r>
        <w:t xml:space="preserve"> whose condition responded to treatment partially but had not remitted </w:t>
      </w:r>
      <w:r w:rsidR="00972F7F">
        <w:t>w</w:t>
      </w:r>
      <w:r w:rsidR="00A62C2D">
        <w:t>ere treated in the same way in the model as those who had not responded, i.e. were assumed to switch onto third-line treatment at four weeks</w:t>
      </w:r>
      <w:r>
        <w:t>.</w:t>
      </w:r>
      <w:r w:rsidR="00A62C2D">
        <w:t xml:space="preserve"> The ERG explained that this ignored the costs of additional treatment for people whose disease responded but did not</w:t>
      </w:r>
      <w:r w:rsidR="00324C0F">
        <w:t xml:space="preserve"> go into remission</w:t>
      </w:r>
      <w:r w:rsidR="00A62C2D">
        <w:t>.</w:t>
      </w:r>
      <w:r>
        <w:t xml:space="preserve"> The ERG commented </w:t>
      </w:r>
      <w:r w:rsidR="00A62C2D">
        <w:t>that the company also used the eight</w:t>
      </w:r>
      <w:r>
        <w:noBreakHyphen/>
        <w:t xml:space="preserve">week remission data in its original economic model to inform </w:t>
      </w:r>
      <w:r w:rsidR="00A62C2D">
        <w:t xml:space="preserve">changes in treatment and utility at four </w:t>
      </w:r>
      <w:r>
        <w:t xml:space="preserve">weeks in the model. </w:t>
      </w:r>
      <w:r w:rsidR="00A62C2D">
        <w:t xml:space="preserve">As a result, the health benefits of patients that </w:t>
      </w:r>
      <w:r w:rsidR="00324C0F">
        <w:t xml:space="preserve">went into remission </w:t>
      </w:r>
      <w:r>
        <w:t>may have</w:t>
      </w:r>
      <w:r w:rsidR="00AA7C47">
        <w:t xml:space="preserve"> been</w:t>
      </w:r>
      <w:r>
        <w:t xml:space="preserve"> overestimated</w:t>
      </w:r>
      <w:r w:rsidR="00A62C2D">
        <w:t xml:space="preserve"> because the company's model</w:t>
      </w:r>
      <w:r>
        <w:t xml:space="preserve"> assigned a utility value based on improved health improvements </w:t>
      </w:r>
      <w:r w:rsidR="00A62C2D">
        <w:t>observed at eight w</w:t>
      </w:r>
      <w:r>
        <w:t xml:space="preserve">eeks rather than </w:t>
      </w:r>
      <w:r w:rsidR="00A62C2D">
        <w:t>four weeks.</w:t>
      </w:r>
    </w:p>
    <w:p w14:paraId="0BECBBF6" w14:textId="77777777" w:rsidR="00972F7F" w:rsidRDefault="00014EBD" w:rsidP="00014EBD">
      <w:r>
        <w:lastRenderedPageBreak/>
        <w:t xml:space="preserve">At the clarification stage, the company was asked to provide exploratory scenarios investigating the impact of an extended time horizon, given that NICE recommends 2 years of continued treatment in people considered to be at high risk of relapse, and a relaxation of the assumption that patients in recovery receive no treatment or monitoring whilst also having no probability of relapse. The company responded by providing two analyses. One in which a two year time horizon was assumed and another where treatment and monitoring costs were continued in a patient's recovery phase. The company's response showed that the results of their model were robust to these scenarios, but that each increased the ICER associated with </w:t>
      </w:r>
      <w:proofErr w:type="spellStart"/>
      <w:r>
        <w:t>vortioxetine</w:t>
      </w:r>
      <w:proofErr w:type="spellEnd"/>
      <w:r>
        <w:t>.</w:t>
      </w:r>
    </w:p>
    <w:p w14:paraId="13F37907" w14:textId="24441001" w:rsidR="00972F7F" w:rsidRDefault="00972F7F" w:rsidP="00972F7F">
      <w:r>
        <w:t>The ERG highlighted that there was uncertainty around whether STAR*D was an appropriate study to inform the</w:t>
      </w:r>
      <w:r w:rsidR="00014EBD">
        <w:t xml:space="preserve"> absolute probabilities regarding the</w:t>
      </w:r>
      <w:r>
        <w:t xml:space="preserve"> prognosis of people with depression whose condition had not remitted after second-line treatment.</w:t>
      </w:r>
      <w:r w:rsidR="00014EBD">
        <w:t xml:space="preserve"> This was for two reasons: </w:t>
      </w:r>
      <w:r>
        <w:t>STAR*D included treatments that did not reflect the co</w:t>
      </w:r>
      <w:r w:rsidR="00014EBD">
        <w:t>mparators in the model, and</w:t>
      </w:r>
      <w:r>
        <w:t xml:space="preserve"> the population of STAR*D was different from the population of REVIVE. </w:t>
      </w:r>
      <w:r w:rsidR="005C62FB">
        <w:t xml:space="preserve">Given the absence of other high-quality data to inform parameters at successive lines of treatment, the ERG considered that it would be preferable if STAR*D </w:t>
      </w:r>
      <w:r w:rsidR="00324C0F">
        <w:t xml:space="preserve">was </w:t>
      </w:r>
      <w:r w:rsidR="005C62FB">
        <w:t>used to inform relative differences between lines of treatment rather than absolute values.</w:t>
      </w:r>
    </w:p>
    <w:p w14:paraId="7E76BEE8" w14:textId="77777777" w:rsidR="00852CE3" w:rsidRDefault="00972F7F" w:rsidP="00DC538E">
      <w:r w:rsidRPr="00972F7F">
        <w:t>The ERG presented</w:t>
      </w:r>
      <w:r w:rsidR="00436DF9">
        <w:t xml:space="preserve"> deterministic ICERs for four</w:t>
      </w:r>
      <w:r w:rsidRPr="00972F7F">
        <w:t xml:space="preserve"> exploratory analyses for second-line treatment using the company’s original economic model</w:t>
      </w:r>
      <w:r w:rsidR="00436DF9">
        <w:t xml:space="preserve"> with </w:t>
      </w:r>
      <w:r w:rsidR="004A7DFF">
        <w:t xml:space="preserve">minor </w:t>
      </w:r>
      <w:r w:rsidR="00436DF9">
        <w:t>corrections made to utilities</w:t>
      </w:r>
      <w:r w:rsidR="004A7DFF">
        <w:t xml:space="preserve"> and </w:t>
      </w:r>
      <w:r w:rsidR="004A7DFF" w:rsidRPr="004A7DFF" w:rsidDel="004A7DFF">
        <w:t>us</w:t>
      </w:r>
      <w:r w:rsidR="00852CE3">
        <w:t xml:space="preserve">ing </w:t>
      </w:r>
      <w:r w:rsidR="004A7DFF" w:rsidRPr="004A7DFF" w:rsidDel="004A7DFF">
        <w:t>STAR*D to inform a proportionate reduction in probability of remission between lines of treatment</w:t>
      </w:r>
      <w:r w:rsidR="004A7DFF">
        <w:t>.</w:t>
      </w:r>
      <w:r w:rsidR="004A7DFF" w:rsidRPr="004A7DFF" w:rsidDel="004A7DFF">
        <w:t xml:space="preserve"> </w:t>
      </w:r>
      <w:r w:rsidR="00852CE3">
        <w:t xml:space="preserve">To reflect the ERG’s view that the broader evidence should have been considered alongside REVIVE, a series of </w:t>
      </w:r>
      <w:r w:rsidR="00952EA2">
        <w:t xml:space="preserve">effectiveness </w:t>
      </w:r>
      <w:r w:rsidR="00852CE3">
        <w:t>scenarios were explored by the ERG</w:t>
      </w:r>
      <w:r w:rsidR="00AA7C47">
        <w:t xml:space="preserve"> for each of the exploratory analyses</w:t>
      </w:r>
      <w:r w:rsidR="00852CE3">
        <w:t>:</w:t>
      </w:r>
    </w:p>
    <w:p w14:paraId="2C86C16B" w14:textId="4A7718B3" w:rsidR="00852CE3" w:rsidRPr="00852CE3" w:rsidRDefault="00852CE3" w:rsidP="00852CE3">
      <w:pPr>
        <w:numPr>
          <w:ilvl w:val="0"/>
          <w:numId w:val="10"/>
        </w:numPr>
        <w:spacing w:before="120" w:after="240" w:line="360" w:lineRule="auto"/>
        <w:contextualSpacing/>
        <w:rPr>
          <w:rFonts w:ascii="Times New Roman" w:eastAsia="Times New Roman" w:hAnsi="Times New Roman" w:cs="Times New Roman"/>
          <w:lang w:eastAsia="en-US"/>
        </w:rPr>
      </w:pPr>
      <w:r w:rsidRPr="00852CE3">
        <w:rPr>
          <w:rFonts w:ascii="Times New Roman" w:eastAsia="Times New Roman" w:hAnsi="Times New Roman" w:cs="Times New Roman"/>
          <w:lang w:eastAsia="en-US"/>
        </w:rPr>
        <w:t xml:space="preserve">Scenario 1: Assuming relative effectiveness for remission using placebo controlled trials – based on the meta-analysis reported by </w:t>
      </w:r>
      <w:proofErr w:type="spellStart"/>
      <w:r w:rsidRPr="00852CE3">
        <w:rPr>
          <w:rFonts w:ascii="Times New Roman" w:eastAsia="Times New Roman" w:hAnsi="Times New Roman" w:cs="Times New Roman"/>
          <w:lang w:eastAsia="en-US"/>
        </w:rPr>
        <w:t>Llorca</w:t>
      </w:r>
      <w:proofErr w:type="spellEnd"/>
      <w:r w:rsidRPr="00852CE3">
        <w:rPr>
          <w:rFonts w:ascii="Times New Roman" w:eastAsia="Times New Roman" w:hAnsi="Times New Roman" w:cs="Times New Roman"/>
          <w:lang w:eastAsia="en-US"/>
        </w:rPr>
        <w:t xml:space="preserve"> et al.</w:t>
      </w:r>
      <w:r w:rsidR="00DE1EBD">
        <w:rPr>
          <w:rFonts w:ascii="Times New Roman" w:eastAsia="Times New Roman" w:hAnsi="Times New Roman" w:cs="Times New Roman"/>
          <w:lang w:eastAsia="en-US"/>
        </w:rPr>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p>
    <w:p w14:paraId="48B6F884" w14:textId="75900242" w:rsidR="00852CE3" w:rsidRPr="00852CE3" w:rsidRDefault="00852CE3" w:rsidP="00852CE3">
      <w:pPr>
        <w:numPr>
          <w:ilvl w:val="0"/>
          <w:numId w:val="10"/>
        </w:numPr>
        <w:spacing w:before="120" w:after="240" w:line="360" w:lineRule="auto"/>
        <w:contextualSpacing/>
        <w:rPr>
          <w:rFonts w:ascii="Times New Roman" w:eastAsia="Times New Roman" w:hAnsi="Times New Roman" w:cs="Times New Roman"/>
          <w:lang w:eastAsia="en-US"/>
        </w:rPr>
      </w:pPr>
      <w:r w:rsidRPr="00852CE3">
        <w:rPr>
          <w:rFonts w:ascii="Times New Roman" w:eastAsia="Times New Roman" w:hAnsi="Times New Roman" w:cs="Times New Roman"/>
          <w:lang w:eastAsia="en-US"/>
        </w:rPr>
        <w:t>Scenario 2: Assuming relative effectiveness for remission using evidence</w:t>
      </w:r>
      <w:r w:rsidR="004E0C86">
        <w:rPr>
          <w:rFonts w:ascii="Times New Roman" w:eastAsia="Times New Roman" w:hAnsi="Times New Roman" w:cs="Times New Roman"/>
          <w:lang w:eastAsia="en-US"/>
        </w:rPr>
        <w:t xml:space="preserve"> comparing </w:t>
      </w:r>
      <w:proofErr w:type="spellStart"/>
      <w:r w:rsidR="004E0C86">
        <w:rPr>
          <w:rFonts w:ascii="Times New Roman" w:eastAsia="Times New Roman" w:hAnsi="Times New Roman" w:cs="Times New Roman"/>
          <w:lang w:eastAsia="en-US"/>
        </w:rPr>
        <w:t>vortioxetine</w:t>
      </w:r>
      <w:proofErr w:type="spellEnd"/>
      <w:r w:rsidRPr="00852CE3">
        <w:rPr>
          <w:rFonts w:ascii="Times New Roman" w:eastAsia="Times New Roman" w:hAnsi="Times New Roman" w:cs="Times New Roman"/>
          <w:lang w:eastAsia="en-US"/>
        </w:rPr>
        <w:t xml:space="preserve"> </w:t>
      </w:r>
      <w:r w:rsidR="004E0C86">
        <w:rPr>
          <w:rFonts w:ascii="Times New Roman" w:eastAsia="Times New Roman" w:hAnsi="Times New Roman" w:cs="Times New Roman"/>
          <w:lang w:eastAsia="en-US"/>
        </w:rPr>
        <w:t>with</w:t>
      </w:r>
      <w:r w:rsidR="00324C0F">
        <w:rPr>
          <w:rFonts w:ascii="Times New Roman" w:eastAsia="Times New Roman" w:hAnsi="Times New Roman" w:cs="Times New Roman"/>
          <w:lang w:eastAsia="en-US"/>
        </w:rPr>
        <w:t xml:space="preserve"> active </w:t>
      </w:r>
      <w:r w:rsidR="004E0C86">
        <w:rPr>
          <w:rFonts w:ascii="Times New Roman" w:eastAsia="Times New Roman" w:hAnsi="Times New Roman" w:cs="Times New Roman"/>
          <w:lang w:eastAsia="en-US"/>
        </w:rPr>
        <w:t>comparator</w:t>
      </w:r>
      <w:r w:rsidR="00324C0F">
        <w:rPr>
          <w:rFonts w:ascii="Times New Roman" w:eastAsia="Times New Roman" w:hAnsi="Times New Roman" w:cs="Times New Roman"/>
          <w:lang w:eastAsia="en-US"/>
        </w:rPr>
        <w:t xml:space="preserve">s </w:t>
      </w:r>
      <w:r w:rsidRPr="00852CE3">
        <w:rPr>
          <w:rFonts w:ascii="Times New Roman" w:eastAsia="Times New Roman" w:hAnsi="Times New Roman" w:cs="Times New Roman"/>
          <w:lang w:eastAsia="en-US"/>
        </w:rPr>
        <w:t xml:space="preserve">– based on the meta-analysis reported by </w:t>
      </w:r>
      <w:proofErr w:type="spellStart"/>
      <w:r w:rsidRPr="00852CE3">
        <w:rPr>
          <w:rFonts w:ascii="Times New Roman" w:eastAsia="Times New Roman" w:hAnsi="Times New Roman" w:cs="Times New Roman"/>
          <w:lang w:eastAsia="en-US"/>
        </w:rPr>
        <w:t>Pae</w:t>
      </w:r>
      <w:proofErr w:type="spellEnd"/>
      <w:r w:rsidRPr="00852CE3">
        <w:rPr>
          <w:rFonts w:ascii="Times New Roman" w:eastAsia="Times New Roman" w:hAnsi="Times New Roman" w:cs="Times New Roman"/>
          <w:lang w:eastAsia="en-US"/>
        </w:rPr>
        <w:t xml:space="preserve"> et al.</w:t>
      </w:r>
      <w:r w:rsidR="00DE1EBD">
        <w:rPr>
          <w:rFonts w:ascii="Times New Roman" w:eastAsia="Times New Roman" w:hAnsi="Times New Roman" w:cs="Times New Roman"/>
          <w:lang w:eastAsia="en-US"/>
        </w:rPr>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p>
    <w:p w14:paraId="2E68C735" w14:textId="77777777" w:rsidR="00852CE3" w:rsidRPr="00852CE3" w:rsidRDefault="00852CE3" w:rsidP="00852CE3">
      <w:pPr>
        <w:numPr>
          <w:ilvl w:val="0"/>
          <w:numId w:val="10"/>
        </w:numPr>
        <w:spacing w:before="120" w:after="240" w:line="360" w:lineRule="auto"/>
        <w:contextualSpacing/>
        <w:rPr>
          <w:rFonts w:ascii="Times New Roman" w:eastAsia="Times New Roman" w:hAnsi="Times New Roman" w:cs="Times New Roman"/>
          <w:lang w:eastAsia="en-US"/>
        </w:rPr>
      </w:pPr>
      <w:r w:rsidRPr="00852CE3">
        <w:rPr>
          <w:rFonts w:ascii="Times New Roman" w:eastAsia="Times New Roman" w:hAnsi="Times New Roman" w:cs="Times New Roman"/>
          <w:lang w:eastAsia="en-US"/>
        </w:rPr>
        <w:t>Scenario 3: Assuming equal eff</w:t>
      </w:r>
      <w:r w:rsidR="008D3182">
        <w:rPr>
          <w:rFonts w:ascii="Times New Roman" w:eastAsia="Times New Roman" w:hAnsi="Times New Roman" w:cs="Times New Roman"/>
          <w:lang w:eastAsia="en-US"/>
        </w:rPr>
        <w:t>icacy</w:t>
      </w:r>
      <w:r w:rsidRPr="00852CE3">
        <w:rPr>
          <w:rFonts w:ascii="Times New Roman" w:eastAsia="Times New Roman" w:hAnsi="Times New Roman" w:cs="Times New Roman"/>
          <w:lang w:eastAsia="en-US"/>
        </w:rPr>
        <w:t xml:space="preserve"> for remission.</w:t>
      </w:r>
    </w:p>
    <w:p w14:paraId="04AEFB46" w14:textId="77777777" w:rsidR="00852CE3" w:rsidRDefault="00852CE3" w:rsidP="00DC538E"/>
    <w:p w14:paraId="47EA56B0" w14:textId="77777777" w:rsidR="00852CE3" w:rsidRPr="00852CE3" w:rsidRDefault="00952EA2" w:rsidP="00852CE3">
      <w:pPr>
        <w:spacing w:before="120" w:after="240" w:line="360" w:lineRule="auto"/>
      </w:pPr>
      <w:r>
        <w:fldChar w:fldCharType="begin"/>
      </w:r>
      <w:r>
        <w:instrText xml:space="preserve"> REF _Ref446597637 \h </w:instrText>
      </w:r>
      <w:r>
        <w:fldChar w:fldCharType="separate"/>
      </w:r>
      <w:r w:rsidR="00C5039B">
        <w:t xml:space="preserve">Table </w:t>
      </w:r>
      <w:r w:rsidR="00C5039B">
        <w:rPr>
          <w:noProof/>
        </w:rPr>
        <w:t>5</w:t>
      </w:r>
      <w:r>
        <w:fldChar w:fldCharType="end"/>
      </w:r>
      <w:r w:rsidR="00852CE3">
        <w:t xml:space="preserve"> </w:t>
      </w:r>
      <w:r>
        <w:t>provides the results for the</w:t>
      </w:r>
      <w:r w:rsidR="00AA7C47">
        <w:t>se</w:t>
      </w:r>
      <w:r>
        <w:t xml:space="preserve"> three effectiveness scenarios for the fourth exploratory</w:t>
      </w:r>
      <w:r w:rsidR="00AA7C47">
        <w:t xml:space="preserve"> analysis</w:t>
      </w:r>
      <w:r>
        <w:t xml:space="preserve"> undertaken, where rate of relapse was assumed to not vary by line of treatment, and where STAR*D was used to inform a proportionate </w:t>
      </w:r>
      <w:r w:rsidRPr="00952EA2">
        <w:t xml:space="preserve">reduction in effectiveness </w:t>
      </w:r>
      <w:r>
        <w:t xml:space="preserve">at </w:t>
      </w:r>
      <w:r w:rsidRPr="00952EA2">
        <w:t>each subsequent switch</w:t>
      </w:r>
      <w:r>
        <w:t xml:space="preserve"> compared</w:t>
      </w:r>
      <w:r w:rsidRPr="00952EA2">
        <w:t xml:space="preserve"> to</w:t>
      </w:r>
      <w:r>
        <w:t xml:space="preserve"> the</w:t>
      </w:r>
      <w:r w:rsidRPr="00952EA2">
        <w:t xml:space="preserve"> average of the remission rates for the comparators at initial switch</w:t>
      </w:r>
      <w:r w:rsidR="006429B9">
        <w:t>.</w:t>
      </w:r>
    </w:p>
    <w:p w14:paraId="040C88DD" w14:textId="77777777" w:rsidR="00DC538E" w:rsidRDefault="00DC538E" w:rsidP="00DC538E"/>
    <w:p w14:paraId="6FEB417A" w14:textId="36B9C615" w:rsidR="00952EA2" w:rsidRDefault="00952EA2" w:rsidP="00952EA2">
      <w:pPr>
        <w:pStyle w:val="Caption"/>
        <w:keepNext/>
      </w:pPr>
      <w:bookmarkStart w:id="24" w:name="_Ref446597637"/>
      <w:r>
        <w:lastRenderedPageBreak/>
        <w:t xml:space="preserve">Table </w:t>
      </w:r>
      <w:r w:rsidR="00CB3AB8">
        <w:fldChar w:fldCharType="begin"/>
      </w:r>
      <w:r w:rsidR="00CB3AB8">
        <w:instrText xml:space="preserve"> SEQ Table \* ARABIC </w:instrText>
      </w:r>
      <w:r w:rsidR="00CB3AB8">
        <w:fldChar w:fldCharType="separate"/>
      </w:r>
      <w:r w:rsidR="00C5039B">
        <w:rPr>
          <w:noProof/>
        </w:rPr>
        <w:t>5</w:t>
      </w:r>
      <w:r w:rsidR="00CB3AB8">
        <w:rPr>
          <w:noProof/>
        </w:rPr>
        <w:fldChar w:fldCharType="end"/>
      </w:r>
      <w:bookmarkEnd w:id="24"/>
      <w:r>
        <w:t xml:space="preserve"> - </w:t>
      </w:r>
      <w:r w:rsidRPr="00700964">
        <w:t>ERG exploratory analysis 4 assuming same relapse rate and</w:t>
      </w:r>
      <w:r w:rsidR="00324C0F">
        <w:t xml:space="preserve"> using</w:t>
      </w:r>
      <w:r w:rsidRPr="00700964">
        <w:t xml:space="preserve"> average remission rate of 2nd line </w:t>
      </w:r>
      <w:r w:rsidR="00324C0F">
        <w:t xml:space="preserve">as basis for subsequent lines’ effectiveness </w:t>
      </w:r>
      <w:r w:rsidRPr="00700964">
        <w:t>with proportionate reduction</w:t>
      </w:r>
      <w:r w:rsidR="00324C0F">
        <w:t xml:space="preserve"> between lines of treatment applied</w:t>
      </w:r>
      <w:r w:rsidRPr="00700964">
        <w:t xml:space="preserve"> based on STAR*D [with up-titration]</w:t>
      </w:r>
    </w:p>
    <w:tbl>
      <w:tblPr>
        <w:tblStyle w:val="TableGrid"/>
        <w:tblW w:w="9236" w:type="dxa"/>
        <w:tblLayout w:type="fixed"/>
        <w:tblLook w:val="04A0" w:firstRow="1" w:lastRow="0" w:firstColumn="1" w:lastColumn="0" w:noHBand="0" w:noVBand="1"/>
      </w:tblPr>
      <w:tblGrid>
        <w:gridCol w:w="1951"/>
        <w:gridCol w:w="1214"/>
        <w:gridCol w:w="1214"/>
        <w:gridCol w:w="1116"/>
        <w:gridCol w:w="992"/>
        <w:gridCol w:w="1418"/>
        <w:gridCol w:w="1331"/>
      </w:tblGrid>
      <w:tr w:rsidR="00DC538E" w:rsidRPr="00DC538E" w14:paraId="2B034391" w14:textId="77777777" w:rsidTr="00DC538E">
        <w:tc>
          <w:tcPr>
            <w:tcW w:w="1951" w:type="dxa"/>
            <w:vMerge w:val="restart"/>
          </w:tcPr>
          <w:p w14:paraId="2F3BD231" w14:textId="77777777" w:rsidR="00DC538E" w:rsidRPr="00DC538E" w:rsidRDefault="00DC538E" w:rsidP="00DC538E">
            <w:pPr>
              <w:pStyle w:val="Tabletext"/>
              <w:rPr>
                <w:b/>
                <w:sz w:val="20"/>
              </w:rPr>
            </w:pPr>
          </w:p>
        </w:tc>
        <w:tc>
          <w:tcPr>
            <w:tcW w:w="1214" w:type="dxa"/>
            <w:vMerge w:val="restart"/>
            <w:vAlign w:val="center"/>
          </w:tcPr>
          <w:p w14:paraId="24FB78CB" w14:textId="77777777" w:rsidR="00DC538E" w:rsidRPr="00DC538E" w:rsidRDefault="00DC538E" w:rsidP="00DC538E">
            <w:pPr>
              <w:pStyle w:val="Tabletext"/>
              <w:rPr>
                <w:b/>
                <w:sz w:val="20"/>
              </w:rPr>
            </w:pPr>
            <w:r w:rsidRPr="00DC538E">
              <w:rPr>
                <w:b/>
                <w:bCs/>
                <w:sz w:val="20"/>
              </w:rPr>
              <w:t>Costs</w:t>
            </w:r>
          </w:p>
        </w:tc>
        <w:tc>
          <w:tcPr>
            <w:tcW w:w="1214" w:type="dxa"/>
            <w:vMerge w:val="restart"/>
            <w:vAlign w:val="center"/>
          </w:tcPr>
          <w:p w14:paraId="5E55D92A" w14:textId="77777777" w:rsidR="00DC538E" w:rsidRPr="00DC538E" w:rsidRDefault="00DC538E" w:rsidP="00DC538E">
            <w:pPr>
              <w:pStyle w:val="Tabletext"/>
              <w:rPr>
                <w:b/>
                <w:sz w:val="20"/>
              </w:rPr>
            </w:pPr>
            <w:r w:rsidRPr="00DC538E">
              <w:rPr>
                <w:b/>
                <w:bCs/>
                <w:sz w:val="20"/>
              </w:rPr>
              <w:t>QALYs</w:t>
            </w:r>
          </w:p>
        </w:tc>
        <w:tc>
          <w:tcPr>
            <w:tcW w:w="2108" w:type="dxa"/>
            <w:gridSpan w:val="2"/>
            <w:vAlign w:val="center"/>
          </w:tcPr>
          <w:p w14:paraId="1E78FCCC" w14:textId="77777777" w:rsidR="00DC538E" w:rsidRPr="00DC538E" w:rsidRDefault="00DC538E" w:rsidP="00DC538E">
            <w:pPr>
              <w:pStyle w:val="Tabletext"/>
              <w:rPr>
                <w:b/>
                <w:sz w:val="20"/>
              </w:rPr>
            </w:pPr>
            <w:r w:rsidRPr="00DC538E">
              <w:rPr>
                <w:b/>
                <w:bCs/>
                <w:sz w:val="20"/>
              </w:rPr>
              <w:t>Incremental</w:t>
            </w:r>
          </w:p>
        </w:tc>
        <w:tc>
          <w:tcPr>
            <w:tcW w:w="2749" w:type="dxa"/>
            <w:gridSpan w:val="2"/>
            <w:vAlign w:val="center"/>
          </w:tcPr>
          <w:p w14:paraId="2286DE1A" w14:textId="77777777" w:rsidR="00DC538E" w:rsidRPr="00DC538E" w:rsidRDefault="00DC538E" w:rsidP="00DC538E">
            <w:pPr>
              <w:pStyle w:val="Tabletext"/>
              <w:rPr>
                <w:b/>
                <w:sz w:val="20"/>
              </w:rPr>
            </w:pPr>
            <w:r w:rsidRPr="00DC538E">
              <w:rPr>
                <w:b/>
                <w:bCs/>
                <w:sz w:val="20"/>
              </w:rPr>
              <w:t>ICER</w:t>
            </w:r>
          </w:p>
        </w:tc>
      </w:tr>
      <w:tr w:rsidR="00DC538E" w:rsidRPr="00DC538E" w14:paraId="16046E84" w14:textId="77777777" w:rsidTr="00DC538E">
        <w:tc>
          <w:tcPr>
            <w:tcW w:w="1951" w:type="dxa"/>
            <w:vMerge/>
          </w:tcPr>
          <w:p w14:paraId="3743ED64" w14:textId="77777777" w:rsidR="00DC538E" w:rsidRPr="00DC538E" w:rsidRDefault="00DC538E" w:rsidP="00DC538E">
            <w:pPr>
              <w:pStyle w:val="Tabletext"/>
              <w:rPr>
                <w:b/>
                <w:sz w:val="20"/>
              </w:rPr>
            </w:pPr>
          </w:p>
        </w:tc>
        <w:tc>
          <w:tcPr>
            <w:tcW w:w="1214" w:type="dxa"/>
            <w:vMerge/>
            <w:vAlign w:val="center"/>
          </w:tcPr>
          <w:p w14:paraId="43F6D564" w14:textId="77777777" w:rsidR="00DC538E" w:rsidRPr="00DC538E" w:rsidRDefault="00DC538E" w:rsidP="00DC538E">
            <w:pPr>
              <w:pStyle w:val="Tabletext"/>
              <w:rPr>
                <w:b/>
                <w:sz w:val="20"/>
              </w:rPr>
            </w:pPr>
          </w:p>
        </w:tc>
        <w:tc>
          <w:tcPr>
            <w:tcW w:w="1214" w:type="dxa"/>
            <w:vMerge/>
            <w:vAlign w:val="center"/>
          </w:tcPr>
          <w:p w14:paraId="6F6542C7" w14:textId="77777777" w:rsidR="00DC538E" w:rsidRPr="00DC538E" w:rsidRDefault="00DC538E" w:rsidP="00DC538E">
            <w:pPr>
              <w:pStyle w:val="Tabletext"/>
              <w:rPr>
                <w:b/>
                <w:sz w:val="20"/>
              </w:rPr>
            </w:pPr>
          </w:p>
        </w:tc>
        <w:tc>
          <w:tcPr>
            <w:tcW w:w="1116" w:type="dxa"/>
            <w:vMerge w:val="restart"/>
            <w:vAlign w:val="center"/>
          </w:tcPr>
          <w:p w14:paraId="1ABFCA40" w14:textId="77777777" w:rsidR="00DC538E" w:rsidRPr="00DC538E" w:rsidRDefault="00DC538E" w:rsidP="00DC538E">
            <w:pPr>
              <w:pStyle w:val="Tabletext"/>
              <w:rPr>
                <w:b/>
                <w:sz w:val="20"/>
              </w:rPr>
            </w:pPr>
            <w:r w:rsidRPr="00DC538E">
              <w:rPr>
                <w:b/>
                <w:bCs/>
                <w:sz w:val="20"/>
              </w:rPr>
              <w:t>Costs</w:t>
            </w:r>
          </w:p>
        </w:tc>
        <w:tc>
          <w:tcPr>
            <w:tcW w:w="992" w:type="dxa"/>
            <w:vMerge w:val="restart"/>
            <w:vAlign w:val="center"/>
          </w:tcPr>
          <w:p w14:paraId="4ABEB9C3" w14:textId="77777777" w:rsidR="00DC538E" w:rsidRPr="00DC538E" w:rsidRDefault="00DC538E" w:rsidP="00DC538E">
            <w:pPr>
              <w:pStyle w:val="Tabletext"/>
              <w:rPr>
                <w:b/>
                <w:sz w:val="20"/>
              </w:rPr>
            </w:pPr>
            <w:r w:rsidRPr="00DC538E">
              <w:rPr>
                <w:b/>
                <w:bCs/>
                <w:sz w:val="20"/>
              </w:rPr>
              <w:t>QALYs</w:t>
            </w:r>
          </w:p>
        </w:tc>
        <w:tc>
          <w:tcPr>
            <w:tcW w:w="1418" w:type="dxa"/>
            <w:vAlign w:val="center"/>
          </w:tcPr>
          <w:p w14:paraId="11E956BE" w14:textId="77777777" w:rsidR="00DC538E" w:rsidRPr="00DC538E" w:rsidRDefault="00DC538E" w:rsidP="00DC538E">
            <w:pPr>
              <w:pStyle w:val="Tabletext"/>
              <w:rPr>
                <w:rFonts w:cs="Arial"/>
                <w:b/>
                <w:bCs/>
                <w:sz w:val="20"/>
              </w:rPr>
            </w:pPr>
            <w:r w:rsidRPr="00DC538E">
              <w:rPr>
                <w:rFonts w:cs="Arial"/>
                <w:b/>
                <w:bCs/>
                <w:sz w:val="20"/>
              </w:rPr>
              <w:t>with SSRI</w:t>
            </w:r>
          </w:p>
        </w:tc>
        <w:tc>
          <w:tcPr>
            <w:tcW w:w="1331" w:type="dxa"/>
            <w:vAlign w:val="center"/>
          </w:tcPr>
          <w:p w14:paraId="3FB175E3" w14:textId="77777777" w:rsidR="00DC538E" w:rsidRPr="00DC538E" w:rsidRDefault="00DC538E" w:rsidP="00DC538E">
            <w:pPr>
              <w:pStyle w:val="Tabletext"/>
              <w:rPr>
                <w:rFonts w:cs="Arial"/>
                <w:b/>
                <w:bCs/>
                <w:sz w:val="20"/>
              </w:rPr>
            </w:pPr>
            <w:r w:rsidRPr="00DC538E">
              <w:rPr>
                <w:rFonts w:cs="Arial"/>
                <w:b/>
                <w:bCs/>
                <w:sz w:val="20"/>
              </w:rPr>
              <w:t>without SSRI</w:t>
            </w:r>
          </w:p>
        </w:tc>
      </w:tr>
      <w:tr w:rsidR="00DC538E" w:rsidRPr="00DC538E" w14:paraId="312A2C8F" w14:textId="77777777" w:rsidTr="00DC538E">
        <w:tc>
          <w:tcPr>
            <w:tcW w:w="1951" w:type="dxa"/>
            <w:vMerge/>
          </w:tcPr>
          <w:p w14:paraId="43108AC1" w14:textId="77777777" w:rsidR="00DC538E" w:rsidRPr="00DC538E" w:rsidRDefault="00DC538E" w:rsidP="00DC538E">
            <w:pPr>
              <w:pStyle w:val="Tabletext"/>
              <w:rPr>
                <w:b/>
                <w:sz w:val="20"/>
              </w:rPr>
            </w:pPr>
          </w:p>
        </w:tc>
        <w:tc>
          <w:tcPr>
            <w:tcW w:w="1214" w:type="dxa"/>
            <w:vMerge/>
            <w:vAlign w:val="center"/>
          </w:tcPr>
          <w:p w14:paraId="6CA7EEEB" w14:textId="77777777" w:rsidR="00DC538E" w:rsidRPr="00DC538E" w:rsidRDefault="00DC538E" w:rsidP="00DC538E">
            <w:pPr>
              <w:pStyle w:val="Tabletext"/>
              <w:rPr>
                <w:b/>
                <w:sz w:val="20"/>
              </w:rPr>
            </w:pPr>
          </w:p>
        </w:tc>
        <w:tc>
          <w:tcPr>
            <w:tcW w:w="1214" w:type="dxa"/>
            <w:vMerge/>
            <w:vAlign w:val="center"/>
          </w:tcPr>
          <w:p w14:paraId="0185A14A" w14:textId="77777777" w:rsidR="00DC538E" w:rsidRPr="00DC538E" w:rsidRDefault="00DC538E" w:rsidP="00DC538E">
            <w:pPr>
              <w:pStyle w:val="Tabletext"/>
              <w:rPr>
                <w:b/>
                <w:sz w:val="20"/>
              </w:rPr>
            </w:pPr>
          </w:p>
        </w:tc>
        <w:tc>
          <w:tcPr>
            <w:tcW w:w="1116" w:type="dxa"/>
            <w:vMerge/>
            <w:vAlign w:val="center"/>
          </w:tcPr>
          <w:p w14:paraId="7E89475B" w14:textId="77777777" w:rsidR="00DC538E" w:rsidRPr="00DC538E" w:rsidRDefault="00DC538E" w:rsidP="00DC538E">
            <w:pPr>
              <w:pStyle w:val="Tabletext"/>
              <w:rPr>
                <w:b/>
                <w:sz w:val="20"/>
              </w:rPr>
            </w:pPr>
          </w:p>
        </w:tc>
        <w:tc>
          <w:tcPr>
            <w:tcW w:w="992" w:type="dxa"/>
            <w:vMerge/>
            <w:vAlign w:val="center"/>
          </w:tcPr>
          <w:p w14:paraId="73836618" w14:textId="77777777" w:rsidR="00DC538E" w:rsidRPr="00DC538E" w:rsidRDefault="00DC538E" w:rsidP="00DC538E">
            <w:pPr>
              <w:pStyle w:val="Tabletext"/>
              <w:rPr>
                <w:b/>
                <w:sz w:val="20"/>
              </w:rPr>
            </w:pPr>
          </w:p>
        </w:tc>
        <w:tc>
          <w:tcPr>
            <w:tcW w:w="2749" w:type="dxa"/>
            <w:gridSpan w:val="2"/>
            <w:vAlign w:val="center"/>
          </w:tcPr>
          <w:p w14:paraId="12F08BA6" w14:textId="77777777" w:rsidR="00DC538E" w:rsidRPr="00DC538E" w:rsidRDefault="00DC538E" w:rsidP="00DC538E">
            <w:pPr>
              <w:pStyle w:val="Tabletext"/>
              <w:rPr>
                <w:b/>
                <w:sz w:val="20"/>
              </w:rPr>
            </w:pPr>
            <w:r w:rsidRPr="00DC538E">
              <w:rPr>
                <w:b/>
                <w:bCs/>
                <w:sz w:val="20"/>
              </w:rPr>
              <w:t>(incremental analyses, in relation to next best)</w:t>
            </w:r>
          </w:p>
        </w:tc>
      </w:tr>
      <w:tr w:rsidR="00DC538E" w:rsidRPr="00DC538E" w14:paraId="19913E4C" w14:textId="77777777" w:rsidTr="00DC538E">
        <w:tc>
          <w:tcPr>
            <w:tcW w:w="9236" w:type="dxa"/>
            <w:gridSpan w:val="7"/>
            <w:vAlign w:val="bottom"/>
          </w:tcPr>
          <w:p w14:paraId="39FC27D7" w14:textId="29CC39A4" w:rsidR="00DC538E" w:rsidRPr="00DC538E" w:rsidRDefault="00DC538E" w:rsidP="00DC538E">
            <w:pPr>
              <w:pStyle w:val="Tabletext"/>
              <w:rPr>
                <w:b/>
                <w:bCs/>
                <w:sz w:val="20"/>
              </w:rPr>
            </w:pPr>
            <w:r w:rsidRPr="00C5039B">
              <w:rPr>
                <w:b/>
                <w:bCs/>
                <w:sz w:val="20"/>
                <w:lang w:val="it-IT"/>
              </w:rPr>
              <w:t xml:space="preserve">ERG scenario 1: Llorca et al. </w:t>
            </w:r>
            <w:r w:rsidRPr="00DC538E">
              <w:rPr>
                <w:b/>
                <w:bCs/>
                <w:sz w:val="20"/>
              </w:rPr>
              <w:t>(2014)</w:t>
            </w:r>
            <w:r w:rsidR="00DE1EBD">
              <w:rPr>
                <w:b/>
                <w:bCs/>
                <w:sz w:val="20"/>
              </w:rPr>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p>
        </w:tc>
      </w:tr>
      <w:tr w:rsidR="00DC538E" w:rsidRPr="00DC538E" w14:paraId="0ADEB3E4" w14:textId="77777777" w:rsidTr="00DC538E">
        <w:tc>
          <w:tcPr>
            <w:tcW w:w="1951" w:type="dxa"/>
            <w:vAlign w:val="bottom"/>
          </w:tcPr>
          <w:p w14:paraId="740F9F41" w14:textId="77777777" w:rsidR="00DC538E" w:rsidRPr="00DC538E" w:rsidRDefault="00DC538E" w:rsidP="00DC538E">
            <w:pPr>
              <w:pStyle w:val="Tabletext"/>
              <w:rPr>
                <w:sz w:val="20"/>
              </w:rPr>
            </w:pPr>
            <w:r w:rsidRPr="00DC538E">
              <w:rPr>
                <w:sz w:val="20"/>
              </w:rPr>
              <w:t>Escitalopram</w:t>
            </w:r>
          </w:p>
        </w:tc>
        <w:tc>
          <w:tcPr>
            <w:tcW w:w="1214" w:type="dxa"/>
            <w:vAlign w:val="center"/>
          </w:tcPr>
          <w:p w14:paraId="165D82EB" w14:textId="77777777" w:rsidR="00DC538E" w:rsidRPr="00DC538E" w:rsidRDefault="00DC538E" w:rsidP="00DC538E">
            <w:pPr>
              <w:pStyle w:val="Tabletext"/>
              <w:jc w:val="right"/>
              <w:rPr>
                <w:sz w:val="20"/>
              </w:rPr>
            </w:pPr>
            <w:r w:rsidRPr="00DC538E">
              <w:rPr>
                <w:sz w:val="20"/>
              </w:rPr>
              <w:t>£809</w:t>
            </w:r>
          </w:p>
        </w:tc>
        <w:tc>
          <w:tcPr>
            <w:tcW w:w="1214" w:type="dxa"/>
            <w:vAlign w:val="center"/>
          </w:tcPr>
          <w:p w14:paraId="1C74200E" w14:textId="77777777" w:rsidR="00DC538E" w:rsidRPr="00DC538E" w:rsidRDefault="00DC538E" w:rsidP="00DC538E">
            <w:pPr>
              <w:pStyle w:val="Tabletext"/>
              <w:jc w:val="right"/>
              <w:rPr>
                <w:sz w:val="20"/>
              </w:rPr>
            </w:pPr>
            <w:r w:rsidRPr="00DC538E">
              <w:rPr>
                <w:sz w:val="20"/>
              </w:rPr>
              <w:t>0.751</w:t>
            </w:r>
          </w:p>
        </w:tc>
        <w:tc>
          <w:tcPr>
            <w:tcW w:w="1116" w:type="dxa"/>
            <w:vAlign w:val="center"/>
          </w:tcPr>
          <w:p w14:paraId="2DFE72C8" w14:textId="77777777" w:rsidR="00DC538E" w:rsidRPr="00DC538E" w:rsidRDefault="00DC538E" w:rsidP="00DC538E">
            <w:pPr>
              <w:pStyle w:val="Tabletext"/>
              <w:jc w:val="right"/>
              <w:rPr>
                <w:sz w:val="20"/>
              </w:rPr>
            </w:pPr>
            <w:r w:rsidRPr="00DC538E">
              <w:rPr>
                <w:sz w:val="20"/>
              </w:rPr>
              <w:t>Ref</w:t>
            </w:r>
          </w:p>
        </w:tc>
        <w:tc>
          <w:tcPr>
            <w:tcW w:w="992" w:type="dxa"/>
            <w:vAlign w:val="center"/>
          </w:tcPr>
          <w:p w14:paraId="15863741" w14:textId="77777777" w:rsidR="00DC538E" w:rsidRPr="00DC538E" w:rsidRDefault="00DC538E" w:rsidP="00DC538E">
            <w:pPr>
              <w:pStyle w:val="Tabletext"/>
              <w:jc w:val="right"/>
              <w:rPr>
                <w:sz w:val="20"/>
              </w:rPr>
            </w:pPr>
            <w:r w:rsidRPr="00DC538E">
              <w:rPr>
                <w:sz w:val="20"/>
              </w:rPr>
              <w:t>Ref</w:t>
            </w:r>
          </w:p>
        </w:tc>
        <w:tc>
          <w:tcPr>
            <w:tcW w:w="1418" w:type="dxa"/>
            <w:vAlign w:val="center"/>
          </w:tcPr>
          <w:p w14:paraId="59026EDC" w14:textId="77777777" w:rsidR="00DC538E" w:rsidRPr="00DC538E" w:rsidRDefault="00DC538E" w:rsidP="00DC538E">
            <w:pPr>
              <w:pStyle w:val="Tabletext"/>
              <w:jc w:val="right"/>
              <w:rPr>
                <w:sz w:val="20"/>
              </w:rPr>
            </w:pPr>
            <w:r w:rsidRPr="00DC538E">
              <w:rPr>
                <w:sz w:val="20"/>
              </w:rPr>
              <w:t>Ref</w:t>
            </w:r>
          </w:p>
        </w:tc>
        <w:tc>
          <w:tcPr>
            <w:tcW w:w="1331" w:type="dxa"/>
            <w:vAlign w:val="center"/>
          </w:tcPr>
          <w:p w14:paraId="4D63DB3E" w14:textId="77777777" w:rsidR="00DC538E" w:rsidRPr="00DC538E" w:rsidRDefault="00DC538E" w:rsidP="00DC538E">
            <w:pPr>
              <w:pStyle w:val="Tabletext"/>
              <w:jc w:val="right"/>
              <w:rPr>
                <w:sz w:val="20"/>
              </w:rPr>
            </w:pPr>
            <w:r w:rsidRPr="00DC538E">
              <w:rPr>
                <w:sz w:val="20"/>
              </w:rPr>
              <w:t>n/a</w:t>
            </w:r>
          </w:p>
        </w:tc>
      </w:tr>
      <w:tr w:rsidR="00DC538E" w:rsidRPr="00DC538E" w14:paraId="7AF309BC" w14:textId="77777777" w:rsidTr="00DC538E">
        <w:tc>
          <w:tcPr>
            <w:tcW w:w="1951" w:type="dxa"/>
            <w:vAlign w:val="bottom"/>
          </w:tcPr>
          <w:p w14:paraId="1CA7E78E" w14:textId="77777777" w:rsidR="00DC538E" w:rsidRPr="00DC538E" w:rsidRDefault="00DC538E" w:rsidP="00DC538E">
            <w:pPr>
              <w:pStyle w:val="Tabletext"/>
              <w:rPr>
                <w:sz w:val="20"/>
              </w:rPr>
            </w:pPr>
            <w:r w:rsidRPr="00DC538E">
              <w:rPr>
                <w:sz w:val="20"/>
              </w:rPr>
              <w:t>Venlafaxine (XR)</w:t>
            </w:r>
          </w:p>
        </w:tc>
        <w:tc>
          <w:tcPr>
            <w:tcW w:w="1214" w:type="dxa"/>
            <w:vAlign w:val="center"/>
          </w:tcPr>
          <w:p w14:paraId="706AEF20" w14:textId="77777777" w:rsidR="00DC538E" w:rsidRPr="00DC538E" w:rsidRDefault="00DC538E" w:rsidP="00DC538E">
            <w:pPr>
              <w:pStyle w:val="Tabletext"/>
              <w:jc w:val="right"/>
              <w:rPr>
                <w:sz w:val="20"/>
              </w:rPr>
            </w:pPr>
            <w:r w:rsidRPr="00DC538E">
              <w:rPr>
                <w:sz w:val="20"/>
              </w:rPr>
              <w:t>£813</w:t>
            </w:r>
          </w:p>
        </w:tc>
        <w:tc>
          <w:tcPr>
            <w:tcW w:w="1214" w:type="dxa"/>
            <w:vAlign w:val="center"/>
          </w:tcPr>
          <w:p w14:paraId="516495D6" w14:textId="77777777" w:rsidR="00DC538E" w:rsidRPr="00DC538E" w:rsidRDefault="00DC538E" w:rsidP="00DC538E">
            <w:pPr>
              <w:pStyle w:val="Tabletext"/>
              <w:jc w:val="right"/>
              <w:rPr>
                <w:sz w:val="20"/>
              </w:rPr>
            </w:pPr>
            <w:r w:rsidRPr="00DC538E">
              <w:rPr>
                <w:sz w:val="20"/>
              </w:rPr>
              <w:t>0.755</w:t>
            </w:r>
          </w:p>
        </w:tc>
        <w:tc>
          <w:tcPr>
            <w:tcW w:w="1116" w:type="dxa"/>
            <w:vAlign w:val="center"/>
          </w:tcPr>
          <w:p w14:paraId="1AD50C49" w14:textId="77777777" w:rsidR="00DC538E" w:rsidRPr="00DC538E" w:rsidRDefault="00DC538E" w:rsidP="00DC538E">
            <w:pPr>
              <w:pStyle w:val="Tabletext"/>
              <w:jc w:val="right"/>
              <w:rPr>
                <w:sz w:val="20"/>
              </w:rPr>
            </w:pPr>
            <w:r w:rsidRPr="00DC538E">
              <w:rPr>
                <w:sz w:val="20"/>
              </w:rPr>
              <w:t>£3</w:t>
            </w:r>
          </w:p>
        </w:tc>
        <w:tc>
          <w:tcPr>
            <w:tcW w:w="992" w:type="dxa"/>
            <w:vAlign w:val="center"/>
          </w:tcPr>
          <w:p w14:paraId="7A450251" w14:textId="77777777" w:rsidR="00DC538E" w:rsidRPr="00DC538E" w:rsidRDefault="00DC538E" w:rsidP="00DC538E">
            <w:pPr>
              <w:pStyle w:val="Tabletext"/>
              <w:jc w:val="right"/>
              <w:rPr>
                <w:sz w:val="20"/>
              </w:rPr>
            </w:pPr>
            <w:r w:rsidRPr="00DC538E">
              <w:rPr>
                <w:sz w:val="20"/>
              </w:rPr>
              <w:t>0.005</w:t>
            </w:r>
          </w:p>
        </w:tc>
        <w:tc>
          <w:tcPr>
            <w:tcW w:w="1418" w:type="dxa"/>
            <w:vAlign w:val="center"/>
          </w:tcPr>
          <w:p w14:paraId="4476C74D" w14:textId="77777777" w:rsidR="00DC538E" w:rsidRPr="00DC538E" w:rsidRDefault="00DC538E" w:rsidP="00DC538E">
            <w:pPr>
              <w:pStyle w:val="Tabletext"/>
              <w:jc w:val="right"/>
              <w:rPr>
                <w:sz w:val="20"/>
              </w:rPr>
            </w:pPr>
            <w:r w:rsidRPr="00DC538E">
              <w:rPr>
                <w:sz w:val="20"/>
              </w:rPr>
              <w:t>£766</w:t>
            </w:r>
          </w:p>
        </w:tc>
        <w:tc>
          <w:tcPr>
            <w:tcW w:w="1331" w:type="dxa"/>
            <w:vAlign w:val="center"/>
          </w:tcPr>
          <w:p w14:paraId="1BC8A1C7" w14:textId="77777777" w:rsidR="00DC538E" w:rsidRPr="00DC538E" w:rsidRDefault="00DC538E" w:rsidP="00DC538E">
            <w:pPr>
              <w:pStyle w:val="Tabletext"/>
              <w:jc w:val="right"/>
              <w:rPr>
                <w:sz w:val="20"/>
              </w:rPr>
            </w:pPr>
            <w:r w:rsidRPr="00DC538E">
              <w:rPr>
                <w:sz w:val="20"/>
              </w:rPr>
              <w:t>Ref</w:t>
            </w:r>
          </w:p>
        </w:tc>
      </w:tr>
      <w:tr w:rsidR="00DC538E" w:rsidRPr="00DC538E" w14:paraId="7186F5AB" w14:textId="77777777" w:rsidTr="00DC538E">
        <w:tc>
          <w:tcPr>
            <w:tcW w:w="1951" w:type="dxa"/>
            <w:vAlign w:val="bottom"/>
          </w:tcPr>
          <w:p w14:paraId="58C96536" w14:textId="77777777" w:rsidR="00DC538E" w:rsidRPr="00DC538E" w:rsidRDefault="00DC538E" w:rsidP="00DC538E">
            <w:pPr>
              <w:pStyle w:val="Tabletext"/>
              <w:rPr>
                <w:sz w:val="20"/>
              </w:rPr>
            </w:pPr>
            <w:r w:rsidRPr="00DC538E">
              <w:rPr>
                <w:sz w:val="20"/>
              </w:rPr>
              <w:t>Vortioxetine</w:t>
            </w:r>
          </w:p>
        </w:tc>
        <w:tc>
          <w:tcPr>
            <w:tcW w:w="1214" w:type="dxa"/>
            <w:vAlign w:val="center"/>
          </w:tcPr>
          <w:p w14:paraId="413CA275" w14:textId="77777777" w:rsidR="00DC538E" w:rsidRPr="00DC538E" w:rsidRDefault="00DC538E" w:rsidP="00DC538E">
            <w:pPr>
              <w:pStyle w:val="Tabletext"/>
              <w:jc w:val="right"/>
              <w:rPr>
                <w:sz w:val="20"/>
              </w:rPr>
            </w:pPr>
            <w:r w:rsidRPr="00DC538E">
              <w:rPr>
                <w:sz w:val="20"/>
              </w:rPr>
              <w:t>£899</w:t>
            </w:r>
          </w:p>
        </w:tc>
        <w:tc>
          <w:tcPr>
            <w:tcW w:w="1214" w:type="dxa"/>
            <w:vAlign w:val="center"/>
          </w:tcPr>
          <w:p w14:paraId="4E31342D" w14:textId="77777777" w:rsidR="00DC538E" w:rsidRPr="00DC538E" w:rsidRDefault="00DC538E" w:rsidP="00DC538E">
            <w:pPr>
              <w:pStyle w:val="Tabletext"/>
              <w:jc w:val="right"/>
              <w:rPr>
                <w:sz w:val="20"/>
              </w:rPr>
            </w:pPr>
            <w:r w:rsidRPr="00DC538E">
              <w:rPr>
                <w:sz w:val="20"/>
              </w:rPr>
              <w:t>0.754</w:t>
            </w:r>
          </w:p>
        </w:tc>
        <w:tc>
          <w:tcPr>
            <w:tcW w:w="1116" w:type="dxa"/>
            <w:vAlign w:val="center"/>
          </w:tcPr>
          <w:p w14:paraId="50AB7BBD" w14:textId="77777777" w:rsidR="00DC538E" w:rsidRPr="00DC538E" w:rsidRDefault="00DC538E" w:rsidP="00DC538E">
            <w:pPr>
              <w:pStyle w:val="Tabletext"/>
              <w:jc w:val="right"/>
              <w:rPr>
                <w:sz w:val="20"/>
              </w:rPr>
            </w:pPr>
            <w:r w:rsidRPr="00DC538E">
              <w:rPr>
                <w:sz w:val="20"/>
              </w:rPr>
              <w:t>£86</w:t>
            </w:r>
          </w:p>
        </w:tc>
        <w:tc>
          <w:tcPr>
            <w:tcW w:w="992" w:type="dxa"/>
            <w:vAlign w:val="center"/>
          </w:tcPr>
          <w:p w14:paraId="5DB6CFE2" w14:textId="77777777" w:rsidR="00DC538E" w:rsidRPr="00DC538E" w:rsidRDefault="00DC538E" w:rsidP="00DC538E">
            <w:pPr>
              <w:pStyle w:val="Tabletext"/>
              <w:jc w:val="right"/>
              <w:rPr>
                <w:sz w:val="20"/>
              </w:rPr>
            </w:pPr>
            <w:r w:rsidRPr="00DC538E">
              <w:rPr>
                <w:sz w:val="20"/>
              </w:rPr>
              <w:t>−0.002</w:t>
            </w:r>
          </w:p>
        </w:tc>
        <w:tc>
          <w:tcPr>
            <w:tcW w:w="1418" w:type="dxa"/>
            <w:vAlign w:val="center"/>
          </w:tcPr>
          <w:p w14:paraId="49520338" w14:textId="77777777" w:rsidR="00DC538E" w:rsidRPr="00DC538E" w:rsidRDefault="00DC538E" w:rsidP="00DC538E">
            <w:pPr>
              <w:pStyle w:val="Tabletext"/>
              <w:jc w:val="right"/>
              <w:rPr>
                <w:sz w:val="20"/>
              </w:rPr>
            </w:pPr>
            <w:r w:rsidRPr="00DC538E">
              <w:rPr>
                <w:sz w:val="20"/>
              </w:rPr>
              <w:t>Dominated</w:t>
            </w:r>
          </w:p>
        </w:tc>
        <w:tc>
          <w:tcPr>
            <w:tcW w:w="1331" w:type="dxa"/>
            <w:vAlign w:val="center"/>
          </w:tcPr>
          <w:p w14:paraId="6A524752" w14:textId="77777777" w:rsidR="00DC538E" w:rsidRPr="00DC538E" w:rsidRDefault="00DC538E" w:rsidP="00DC538E">
            <w:pPr>
              <w:pStyle w:val="Tabletext"/>
              <w:jc w:val="right"/>
              <w:rPr>
                <w:sz w:val="20"/>
              </w:rPr>
            </w:pPr>
            <w:r w:rsidRPr="00DC538E">
              <w:rPr>
                <w:sz w:val="20"/>
              </w:rPr>
              <w:t>Dominated</w:t>
            </w:r>
          </w:p>
        </w:tc>
      </w:tr>
      <w:tr w:rsidR="00DC538E" w:rsidRPr="00DC538E" w14:paraId="145410AD" w14:textId="77777777" w:rsidTr="00DC538E">
        <w:tc>
          <w:tcPr>
            <w:tcW w:w="1951" w:type="dxa"/>
            <w:vAlign w:val="bottom"/>
          </w:tcPr>
          <w:p w14:paraId="618B9C00" w14:textId="77777777" w:rsidR="00DC538E" w:rsidRPr="00DC538E" w:rsidRDefault="00DC538E" w:rsidP="00DC538E">
            <w:pPr>
              <w:pStyle w:val="Tabletext"/>
              <w:rPr>
                <w:sz w:val="20"/>
              </w:rPr>
            </w:pPr>
            <w:r w:rsidRPr="00DC538E">
              <w:rPr>
                <w:sz w:val="20"/>
              </w:rPr>
              <w:t>Duloxetine</w:t>
            </w:r>
          </w:p>
        </w:tc>
        <w:tc>
          <w:tcPr>
            <w:tcW w:w="1214" w:type="dxa"/>
            <w:vAlign w:val="center"/>
          </w:tcPr>
          <w:p w14:paraId="43ECA802" w14:textId="77777777" w:rsidR="00DC538E" w:rsidRPr="00DC538E" w:rsidRDefault="00DC538E" w:rsidP="00DC538E">
            <w:pPr>
              <w:pStyle w:val="Tabletext"/>
              <w:jc w:val="right"/>
              <w:rPr>
                <w:sz w:val="20"/>
              </w:rPr>
            </w:pPr>
            <w:r w:rsidRPr="00DC538E">
              <w:rPr>
                <w:sz w:val="20"/>
              </w:rPr>
              <w:t>£955</w:t>
            </w:r>
          </w:p>
        </w:tc>
        <w:tc>
          <w:tcPr>
            <w:tcW w:w="1214" w:type="dxa"/>
            <w:vAlign w:val="center"/>
          </w:tcPr>
          <w:p w14:paraId="68F61FCD" w14:textId="77777777" w:rsidR="00DC538E" w:rsidRPr="00DC538E" w:rsidRDefault="00DC538E" w:rsidP="00DC538E">
            <w:pPr>
              <w:pStyle w:val="Tabletext"/>
              <w:jc w:val="right"/>
              <w:rPr>
                <w:sz w:val="20"/>
              </w:rPr>
            </w:pPr>
            <w:r w:rsidRPr="00DC538E">
              <w:rPr>
                <w:sz w:val="20"/>
              </w:rPr>
              <w:t>0.751</w:t>
            </w:r>
          </w:p>
        </w:tc>
        <w:tc>
          <w:tcPr>
            <w:tcW w:w="1116" w:type="dxa"/>
            <w:vAlign w:val="center"/>
          </w:tcPr>
          <w:p w14:paraId="452EFBD3" w14:textId="77777777" w:rsidR="00DC538E" w:rsidRPr="00DC538E" w:rsidRDefault="00DC538E" w:rsidP="00DC538E">
            <w:pPr>
              <w:pStyle w:val="Tabletext"/>
              <w:jc w:val="right"/>
              <w:rPr>
                <w:sz w:val="20"/>
              </w:rPr>
            </w:pPr>
            <w:r w:rsidRPr="00DC538E">
              <w:rPr>
                <w:sz w:val="20"/>
              </w:rPr>
              <w:t>£56</w:t>
            </w:r>
          </w:p>
        </w:tc>
        <w:tc>
          <w:tcPr>
            <w:tcW w:w="992" w:type="dxa"/>
            <w:vAlign w:val="center"/>
          </w:tcPr>
          <w:p w14:paraId="367FAD43" w14:textId="77777777" w:rsidR="00DC538E" w:rsidRPr="00DC538E" w:rsidRDefault="00DC538E" w:rsidP="00DC538E">
            <w:pPr>
              <w:pStyle w:val="Tabletext"/>
              <w:jc w:val="right"/>
              <w:rPr>
                <w:sz w:val="20"/>
              </w:rPr>
            </w:pPr>
            <w:r w:rsidRPr="00DC538E">
              <w:rPr>
                <w:sz w:val="20"/>
              </w:rPr>
              <w:t>−0.002</w:t>
            </w:r>
          </w:p>
        </w:tc>
        <w:tc>
          <w:tcPr>
            <w:tcW w:w="1418" w:type="dxa"/>
            <w:vAlign w:val="center"/>
          </w:tcPr>
          <w:p w14:paraId="5B26B47C" w14:textId="77777777" w:rsidR="00DC538E" w:rsidRPr="00DC538E" w:rsidRDefault="00DC538E" w:rsidP="00DC538E">
            <w:pPr>
              <w:pStyle w:val="Tabletext"/>
              <w:jc w:val="right"/>
              <w:rPr>
                <w:sz w:val="20"/>
              </w:rPr>
            </w:pPr>
            <w:r w:rsidRPr="00DC538E">
              <w:rPr>
                <w:sz w:val="20"/>
              </w:rPr>
              <w:t>Dominated</w:t>
            </w:r>
          </w:p>
        </w:tc>
        <w:tc>
          <w:tcPr>
            <w:tcW w:w="1331" w:type="dxa"/>
            <w:vAlign w:val="center"/>
          </w:tcPr>
          <w:p w14:paraId="76E6EE62" w14:textId="77777777" w:rsidR="00DC538E" w:rsidRPr="00DC538E" w:rsidRDefault="00DC538E" w:rsidP="00DC538E">
            <w:pPr>
              <w:pStyle w:val="Tabletext"/>
              <w:jc w:val="right"/>
              <w:rPr>
                <w:sz w:val="20"/>
              </w:rPr>
            </w:pPr>
            <w:r w:rsidRPr="00DC538E">
              <w:rPr>
                <w:sz w:val="20"/>
              </w:rPr>
              <w:t>Dominated</w:t>
            </w:r>
          </w:p>
        </w:tc>
      </w:tr>
      <w:tr w:rsidR="00DC538E" w:rsidRPr="00DC538E" w14:paraId="4234E4EA" w14:textId="77777777" w:rsidTr="00DC538E">
        <w:tc>
          <w:tcPr>
            <w:tcW w:w="1951" w:type="dxa"/>
            <w:vAlign w:val="bottom"/>
          </w:tcPr>
          <w:p w14:paraId="7810860D" w14:textId="77777777" w:rsidR="00DC538E" w:rsidRPr="00DC538E" w:rsidRDefault="00DC538E" w:rsidP="00DC538E">
            <w:pPr>
              <w:pStyle w:val="Tabletext"/>
              <w:rPr>
                <w:sz w:val="20"/>
              </w:rPr>
            </w:pPr>
            <w:r w:rsidRPr="00DC538E">
              <w:rPr>
                <w:sz w:val="20"/>
              </w:rPr>
              <w:t>Agomelatine</w:t>
            </w:r>
          </w:p>
        </w:tc>
        <w:tc>
          <w:tcPr>
            <w:tcW w:w="1214" w:type="dxa"/>
            <w:vAlign w:val="center"/>
          </w:tcPr>
          <w:p w14:paraId="2CF38C52" w14:textId="77777777" w:rsidR="00DC538E" w:rsidRPr="00DC538E" w:rsidRDefault="00DC538E" w:rsidP="00DC538E">
            <w:pPr>
              <w:pStyle w:val="Tabletext"/>
              <w:jc w:val="right"/>
              <w:rPr>
                <w:sz w:val="20"/>
              </w:rPr>
            </w:pPr>
            <w:r w:rsidRPr="00DC538E">
              <w:rPr>
                <w:sz w:val="20"/>
              </w:rPr>
              <w:t>£993</w:t>
            </w:r>
          </w:p>
        </w:tc>
        <w:tc>
          <w:tcPr>
            <w:tcW w:w="1214" w:type="dxa"/>
            <w:vAlign w:val="center"/>
          </w:tcPr>
          <w:p w14:paraId="165AF956" w14:textId="77777777" w:rsidR="00DC538E" w:rsidRPr="00DC538E" w:rsidRDefault="00DC538E" w:rsidP="00DC538E">
            <w:pPr>
              <w:pStyle w:val="Tabletext"/>
              <w:jc w:val="right"/>
              <w:rPr>
                <w:sz w:val="20"/>
              </w:rPr>
            </w:pPr>
            <w:r w:rsidRPr="00DC538E">
              <w:rPr>
                <w:sz w:val="20"/>
              </w:rPr>
              <w:t>0.750</w:t>
            </w:r>
          </w:p>
        </w:tc>
        <w:tc>
          <w:tcPr>
            <w:tcW w:w="1116" w:type="dxa"/>
            <w:vAlign w:val="center"/>
          </w:tcPr>
          <w:p w14:paraId="3B1C2006" w14:textId="77777777" w:rsidR="00DC538E" w:rsidRPr="00DC538E" w:rsidRDefault="00DC538E" w:rsidP="00DC538E">
            <w:pPr>
              <w:pStyle w:val="Tabletext"/>
              <w:jc w:val="right"/>
              <w:rPr>
                <w:sz w:val="20"/>
              </w:rPr>
            </w:pPr>
            <w:r w:rsidRPr="00DC538E">
              <w:rPr>
                <w:sz w:val="20"/>
              </w:rPr>
              <w:t>£38</w:t>
            </w:r>
          </w:p>
        </w:tc>
        <w:tc>
          <w:tcPr>
            <w:tcW w:w="992" w:type="dxa"/>
            <w:vAlign w:val="center"/>
          </w:tcPr>
          <w:p w14:paraId="41056078" w14:textId="77777777" w:rsidR="00DC538E" w:rsidRPr="00DC538E" w:rsidRDefault="00DC538E" w:rsidP="00DC538E">
            <w:pPr>
              <w:pStyle w:val="Tabletext"/>
              <w:jc w:val="right"/>
              <w:rPr>
                <w:sz w:val="20"/>
              </w:rPr>
            </w:pPr>
            <w:r w:rsidRPr="00DC538E">
              <w:rPr>
                <w:sz w:val="20"/>
              </w:rPr>
              <w:t>−0.002</w:t>
            </w:r>
          </w:p>
        </w:tc>
        <w:tc>
          <w:tcPr>
            <w:tcW w:w="1418" w:type="dxa"/>
            <w:vAlign w:val="center"/>
          </w:tcPr>
          <w:p w14:paraId="0652B0B7" w14:textId="77777777" w:rsidR="00DC538E" w:rsidRPr="00DC538E" w:rsidRDefault="00DC538E" w:rsidP="00DC538E">
            <w:pPr>
              <w:pStyle w:val="Tabletext"/>
              <w:jc w:val="right"/>
              <w:rPr>
                <w:sz w:val="20"/>
              </w:rPr>
            </w:pPr>
            <w:r w:rsidRPr="00DC538E">
              <w:rPr>
                <w:sz w:val="20"/>
              </w:rPr>
              <w:t>Dominated</w:t>
            </w:r>
          </w:p>
        </w:tc>
        <w:tc>
          <w:tcPr>
            <w:tcW w:w="1331" w:type="dxa"/>
            <w:vAlign w:val="center"/>
          </w:tcPr>
          <w:p w14:paraId="2D521D25" w14:textId="77777777" w:rsidR="00DC538E" w:rsidRPr="00DC538E" w:rsidRDefault="00DC538E" w:rsidP="00DC538E">
            <w:pPr>
              <w:pStyle w:val="Tabletext"/>
              <w:jc w:val="right"/>
              <w:rPr>
                <w:sz w:val="20"/>
              </w:rPr>
            </w:pPr>
            <w:r w:rsidRPr="00DC538E">
              <w:rPr>
                <w:sz w:val="20"/>
              </w:rPr>
              <w:t>Dominated</w:t>
            </w:r>
          </w:p>
        </w:tc>
      </w:tr>
      <w:tr w:rsidR="00DC538E" w:rsidRPr="00DC538E" w14:paraId="3CA51713" w14:textId="77777777" w:rsidTr="00DC538E">
        <w:tc>
          <w:tcPr>
            <w:tcW w:w="9236" w:type="dxa"/>
            <w:gridSpan w:val="7"/>
            <w:vAlign w:val="bottom"/>
          </w:tcPr>
          <w:p w14:paraId="023EC1FF" w14:textId="002F81CF" w:rsidR="00DC538E" w:rsidRPr="00DC538E" w:rsidRDefault="00DC538E" w:rsidP="00DC538E">
            <w:pPr>
              <w:pStyle w:val="Tabletext"/>
              <w:rPr>
                <w:b/>
                <w:bCs/>
                <w:sz w:val="20"/>
              </w:rPr>
            </w:pPr>
            <w:r w:rsidRPr="00C5039B">
              <w:rPr>
                <w:b/>
                <w:bCs/>
                <w:sz w:val="20"/>
                <w:lang w:val="it-IT"/>
              </w:rPr>
              <w:t xml:space="preserve">ERG scenario 2: Pae et al. </w:t>
            </w:r>
            <w:r w:rsidRPr="00DC538E">
              <w:rPr>
                <w:b/>
                <w:bCs/>
                <w:sz w:val="20"/>
              </w:rPr>
              <w:t>(2015)</w:t>
            </w:r>
            <w:r w:rsidR="00DE1EBD">
              <w:rPr>
                <w:b/>
                <w:bCs/>
                <w:sz w:val="20"/>
              </w:rPr>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p>
        </w:tc>
      </w:tr>
      <w:tr w:rsidR="00DC538E" w:rsidRPr="00DC538E" w14:paraId="1CAA121D" w14:textId="77777777" w:rsidTr="00DC538E">
        <w:tc>
          <w:tcPr>
            <w:tcW w:w="1951" w:type="dxa"/>
            <w:vAlign w:val="bottom"/>
          </w:tcPr>
          <w:p w14:paraId="2472F9AA" w14:textId="77777777" w:rsidR="00DC538E" w:rsidRPr="00DC538E" w:rsidRDefault="00DC538E" w:rsidP="00DC538E">
            <w:pPr>
              <w:pStyle w:val="Tabletext"/>
              <w:rPr>
                <w:sz w:val="20"/>
              </w:rPr>
            </w:pPr>
            <w:r w:rsidRPr="00DC538E">
              <w:rPr>
                <w:sz w:val="20"/>
              </w:rPr>
              <w:t>Venlafaxine (XR)</w:t>
            </w:r>
          </w:p>
        </w:tc>
        <w:tc>
          <w:tcPr>
            <w:tcW w:w="1214" w:type="dxa"/>
            <w:vAlign w:val="center"/>
          </w:tcPr>
          <w:p w14:paraId="69E0BD5B" w14:textId="77777777" w:rsidR="00DC538E" w:rsidRPr="00DC538E" w:rsidRDefault="00DC538E" w:rsidP="00DC538E">
            <w:pPr>
              <w:pStyle w:val="Tabletext"/>
              <w:jc w:val="right"/>
              <w:rPr>
                <w:sz w:val="20"/>
              </w:rPr>
            </w:pPr>
            <w:r w:rsidRPr="00DC538E">
              <w:rPr>
                <w:sz w:val="20"/>
              </w:rPr>
              <w:t>£848</w:t>
            </w:r>
          </w:p>
        </w:tc>
        <w:tc>
          <w:tcPr>
            <w:tcW w:w="1214" w:type="dxa"/>
            <w:vAlign w:val="center"/>
          </w:tcPr>
          <w:p w14:paraId="6DCD3AA6" w14:textId="77777777" w:rsidR="00DC538E" w:rsidRPr="00DC538E" w:rsidRDefault="00DC538E" w:rsidP="00DC538E">
            <w:pPr>
              <w:pStyle w:val="Tabletext"/>
              <w:jc w:val="right"/>
              <w:rPr>
                <w:sz w:val="20"/>
              </w:rPr>
            </w:pPr>
            <w:r w:rsidRPr="00DC538E">
              <w:rPr>
                <w:sz w:val="20"/>
              </w:rPr>
              <w:t>0.747</w:t>
            </w:r>
          </w:p>
        </w:tc>
        <w:tc>
          <w:tcPr>
            <w:tcW w:w="1116" w:type="dxa"/>
            <w:vAlign w:val="center"/>
          </w:tcPr>
          <w:p w14:paraId="754FF666" w14:textId="77777777" w:rsidR="00DC538E" w:rsidRPr="00DC538E" w:rsidRDefault="00DC538E" w:rsidP="00DC538E">
            <w:pPr>
              <w:pStyle w:val="Tabletext"/>
              <w:jc w:val="right"/>
              <w:rPr>
                <w:sz w:val="20"/>
              </w:rPr>
            </w:pPr>
            <w:r w:rsidRPr="00DC538E">
              <w:rPr>
                <w:sz w:val="20"/>
              </w:rPr>
              <w:t>Ref</w:t>
            </w:r>
          </w:p>
        </w:tc>
        <w:tc>
          <w:tcPr>
            <w:tcW w:w="992" w:type="dxa"/>
            <w:vAlign w:val="center"/>
          </w:tcPr>
          <w:p w14:paraId="17ACB040" w14:textId="77777777" w:rsidR="00DC538E" w:rsidRPr="00DC538E" w:rsidRDefault="00DC538E" w:rsidP="00DC538E">
            <w:pPr>
              <w:pStyle w:val="Tabletext"/>
              <w:jc w:val="right"/>
              <w:rPr>
                <w:sz w:val="20"/>
              </w:rPr>
            </w:pPr>
            <w:r w:rsidRPr="00DC538E">
              <w:rPr>
                <w:sz w:val="20"/>
              </w:rPr>
              <w:t>Ref</w:t>
            </w:r>
          </w:p>
        </w:tc>
        <w:tc>
          <w:tcPr>
            <w:tcW w:w="1418" w:type="dxa"/>
            <w:vAlign w:val="center"/>
          </w:tcPr>
          <w:p w14:paraId="56F25134" w14:textId="77777777" w:rsidR="00DC538E" w:rsidRPr="00DC538E" w:rsidRDefault="00DC538E" w:rsidP="00DC538E">
            <w:pPr>
              <w:pStyle w:val="Tabletext"/>
              <w:jc w:val="right"/>
              <w:rPr>
                <w:sz w:val="20"/>
              </w:rPr>
            </w:pPr>
            <w:r w:rsidRPr="00DC538E">
              <w:rPr>
                <w:sz w:val="20"/>
              </w:rPr>
              <w:t>Ref</w:t>
            </w:r>
          </w:p>
        </w:tc>
        <w:tc>
          <w:tcPr>
            <w:tcW w:w="1331" w:type="dxa"/>
            <w:vAlign w:val="center"/>
          </w:tcPr>
          <w:p w14:paraId="29221C72" w14:textId="77777777" w:rsidR="00DC538E" w:rsidRPr="00DC538E" w:rsidRDefault="00DC538E" w:rsidP="00DC538E">
            <w:pPr>
              <w:pStyle w:val="Tabletext"/>
              <w:jc w:val="right"/>
              <w:rPr>
                <w:sz w:val="20"/>
              </w:rPr>
            </w:pPr>
            <w:r w:rsidRPr="00DC538E">
              <w:rPr>
                <w:sz w:val="20"/>
              </w:rPr>
              <w:t>Ref</w:t>
            </w:r>
          </w:p>
        </w:tc>
      </w:tr>
      <w:tr w:rsidR="00DC538E" w:rsidRPr="00DC538E" w14:paraId="2226BF7D" w14:textId="77777777" w:rsidTr="00DC538E">
        <w:tc>
          <w:tcPr>
            <w:tcW w:w="1951" w:type="dxa"/>
            <w:vAlign w:val="bottom"/>
          </w:tcPr>
          <w:p w14:paraId="4385AE10" w14:textId="77777777" w:rsidR="00DC538E" w:rsidRPr="00DC538E" w:rsidRDefault="00DC538E" w:rsidP="00DC538E">
            <w:pPr>
              <w:pStyle w:val="Tabletext"/>
              <w:rPr>
                <w:sz w:val="20"/>
              </w:rPr>
            </w:pPr>
            <w:r w:rsidRPr="00DC538E">
              <w:rPr>
                <w:sz w:val="20"/>
              </w:rPr>
              <w:t>Vortioxetine</w:t>
            </w:r>
          </w:p>
        </w:tc>
        <w:tc>
          <w:tcPr>
            <w:tcW w:w="1214" w:type="dxa"/>
            <w:vAlign w:val="center"/>
          </w:tcPr>
          <w:p w14:paraId="7A73793F" w14:textId="77777777" w:rsidR="00DC538E" w:rsidRPr="00DC538E" w:rsidRDefault="00DC538E" w:rsidP="00DC538E">
            <w:pPr>
              <w:pStyle w:val="Tabletext"/>
              <w:jc w:val="right"/>
              <w:rPr>
                <w:sz w:val="20"/>
              </w:rPr>
            </w:pPr>
            <w:r w:rsidRPr="00DC538E">
              <w:rPr>
                <w:sz w:val="20"/>
              </w:rPr>
              <w:t>£906</w:t>
            </w:r>
          </w:p>
        </w:tc>
        <w:tc>
          <w:tcPr>
            <w:tcW w:w="1214" w:type="dxa"/>
            <w:vAlign w:val="center"/>
          </w:tcPr>
          <w:p w14:paraId="3AFF5322" w14:textId="77777777" w:rsidR="00DC538E" w:rsidRPr="00DC538E" w:rsidRDefault="00DC538E" w:rsidP="00DC538E">
            <w:pPr>
              <w:pStyle w:val="Tabletext"/>
              <w:jc w:val="right"/>
              <w:rPr>
                <w:sz w:val="20"/>
              </w:rPr>
            </w:pPr>
            <w:r w:rsidRPr="00DC538E">
              <w:rPr>
                <w:sz w:val="20"/>
              </w:rPr>
              <w:t>0.752</w:t>
            </w:r>
          </w:p>
        </w:tc>
        <w:tc>
          <w:tcPr>
            <w:tcW w:w="1116" w:type="dxa"/>
            <w:vAlign w:val="center"/>
          </w:tcPr>
          <w:p w14:paraId="702512E5" w14:textId="77777777" w:rsidR="00DC538E" w:rsidRPr="00DC538E" w:rsidRDefault="00DC538E" w:rsidP="00DC538E">
            <w:pPr>
              <w:pStyle w:val="Tabletext"/>
              <w:jc w:val="right"/>
              <w:rPr>
                <w:sz w:val="20"/>
              </w:rPr>
            </w:pPr>
            <w:r w:rsidRPr="00DC538E">
              <w:rPr>
                <w:sz w:val="20"/>
              </w:rPr>
              <w:t>£58</w:t>
            </w:r>
          </w:p>
        </w:tc>
        <w:tc>
          <w:tcPr>
            <w:tcW w:w="992" w:type="dxa"/>
            <w:vAlign w:val="center"/>
          </w:tcPr>
          <w:p w14:paraId="5952C956" w14:textId="77777777" w:rsidR="00DC538E" w:rsidRPr="00DC538E" w:rsidRDefault="00DC538E" w:rsidP="00DC538E">
            <w:pPr>
              <w:pStyle w:val="Tabletext"/>
              <w:jc w:val="right"/>
              <w:rPr>
                <w:sz w:val="20"/>
              </w:rPr>
            </w:pPr>
            <w:r w:rsidRPr="00DC538E">
              <w:rPr>
                <w:sz w:val="20"/>
              </w:rPr>
              <w:t>0.004</w:t>
            </w:r>
          </w:p>
        </w:tc>
        <w:tc>
          <w:tcPr>
            <w:tcW w:w="1418" w:type="dxa"/>
            <w:vAlign w:val="center"/>
          </w:tcPr>
          <w:p w14:paraId="5802C2AE" w14:textId="77777777" w:rsidR="00DC538E" w:rsidRPr="00DC538E" w:rsidRDefault="00DC538E" w:rsidP="00DC538E">
            <w:pPr>
              <w:pStyle w:val="Tabletext"/>
              <w:jc w:val="right"/>
              <w:rPr>
                <w:sz w:val="20"/>
              </w:rPr>
            </w:pPr>
            <w:r w:rsidRPr="00DC538E">
              <w:rPr>
                <w:sz w:val="20"/>
              </w:rPr>
              <w:t>£13,068</w:t>
            </w:r>
          </w:p>
        </w:tc>
        <w:tc>
          <w:tcPr>
            <w:tcW w:w="1331" w:type="dxa"/>
            <w:vAlign w:val="center"/>
          </w:tcPr>
          <w:p w14:paraId="7CF37043" w14:textId="77777777" w:rsidR="00DC538E" w:rsidRPr="00DC538E" w:rsidRDefault="00DC538E" w:rsidP="00DC538E">
            <w:pPr>
              <w:pStyle w:val="Tabletext"/>
              <w:jc w:val="right"/>
              <w:rPr>
                <w:sz w:val="20"/>
              </w:rPr>
            </w:pPr>
            <w:r w:rsidRPr="00DC538E">
              <w:rPr>
                <w:sz w:val="20"/>
              </w:rPr>
              <w:t>£13,068</w:t>
            </w:r>
          </w:p>
        </w:tc>
      </w:tr>
      <w:tr w:rsidR="00DC538E" w:rsidRPr="00DC538E" w14:paraId="4667B350" w14:textId="77777777" w:rsidTr="00DC538E">
        <w:tc>
          <w:tcPr>
            <w:tcW w:w="1951" w:type="dxa"/>
            <w:vAlign w:val="bottom"/>
          </w:tcPr>
          <w:p w14:paraId="438CEFB5" w14:textId="77777777" w:rsidR="00DC538E" w:rsidRPr="00DC538E" w:rsidRDefault="00DC538E" w:rsidP="00DC538E">
            <w:pPr>
              <w:pStyle w:val="Tabletext"/>
              <w:rPr>
                <w:sz w:val="20"/>
              </w:rPr>
            </w:pPr>
            <w:r w:rsidRPr="00DC538E">
              <w:rPr>
                <w:sz w:val="20"/>
              </w:rPr>
              <w:t>Duloxetine</w:t>
            </w:r>
          </w:p>
        </w:tc>
        <w:tc>
          <w:tcPr>
            <w:tcW w:w="1214" w:type="dxa"/>
            <w:vAlign w:val="center"/>
          </w:tcPr>
          <w:p w14:paraId="10D4CFAB" w14:textId="77777777" w:rsidR="00DC538E" w:rsidRPr="00DC538E" w:rsidRDefault="00DC538E" w:rsidP="00DC538E">
            <w:pPr>
              <w:pStyle w:val="Tabletext"/>
              <w:jc w:val="right"/>
              <w:rPr>
                <w:sz w:val="20"/>
              </w:rPr>
            </w:pPr>
            <w:r w:rsidRPr="00DC538E">
              <w:rPr>
                <w:sz w:val="20"/>
              </w:rPr>
              <w:t>£951</w:t>
            </w:r>
          </w:p>
        </w:tc>
        <w:tc>
          <w:tcPr>
            <w:tcW w:w="1214" w:type="dxa"/>
            <w:vAlign w:val="center"/>
          </w:tcPr>
          <w:p w14:paraId="4F2F8F96" w14:textId="77777777" w:rsidR="00DC538E" w:rsidRPr="00DC538E" w:rsidRDefault="00DC538E" w:rsidP="00DC538E">
            <w:pPr>
              <w:pStyle w:val="Tabletext"/>
              <w:jc w:val="right"/>
              <w:rPr>
                <w:sz w:val="20"/>
              </w:rPr>
            </w:pPr>
            <w:r w:rsidRPr="00DC538E">
              <w:rPr>
                <w:sz w:val="20"/>
              </w:rPr>
              <w:t>0.755</w:t>
            </w:r>
          </w:p>
        </w:tc>
        <w:tc>
          <w:tcPr>
            <w:tcW w:w="1116" w:type="dxa"/>
            <w:vAlign w:val="center"/>
          </w:tcPr>
          <w:p w14:paraId="6EA45DBB" w14:textId="77777777" w:rsidR="00DC538E" w:rsidRPr="00DC538E" w:rsidRDefault="00DC538E" w:rsidP="00DC538E">
            <w:pPr>
              <w:pStyle w:val="Tabletext"/>
              <w:jc w:val="right"/>
              <w:rPr>
                <w:sz w:val="20"/>
              </w:rPr>
            </w:pPr>
            <w:r w:rsidRPr="00DC538E">
              <w:rPr>
                <w:sz w:val="20"/>
              </w:rPr>
              <w:t>£45</w:t>
            </w:r>
          </w:p>
        </w:tc>
        <w:tc>
          <w:tcPr>
            <w:tcW w:w="992" w:type="dxa"/>
            <w:vAlign w:val="center"/>
          </w:tcPr>
          <w:p w14:paraId="32ACD2E2" w14:textId="77777777" w:rsidR="00DC538E" w:rsidRPr="00DC538E" w:rsidRDefault="00DC538E" w:rsidP="00DC538E">
            <w:pPr>
              <w:pStyle w:val="Tabletext"/>
              <w:jc w:val="right"/>
              <w:rPr>
                <w:sz w:val="20"/>
              </w:rPr>
            </w:pPr>
            <w:r w:rsidRPr="00DC538E">
              <w:rPr>
                <w:sz w:val="20"/>
              </w:rPr>
              <w:t>0.003</w:t>
            </w:r>
          </w:p>
        </w:tc>
        <w:tc>
          <w:tcPr>
            <w:tcW w:w="1418" w:type="dxa"/>
            <w:vAlign w:val="center"/>
          </w:tcPr>
          <w:p w14:paraId="2B22FCFF" w14:textId="77777777" w:rsidR="00DC538E" w:rsidRPr="00DC538E" w:rsidRDefault="00DC538E" w:rsidP="00DC538E">
            <w:pPr>
              <w:pStyle w:val="Tabletext"/>
              <w:jc w:val="right"/>
              <w:rPr>
                <w:sz w:val="20"/>
              </w:rPr>
            </w:pPr>
            <w:r w:rsidRPr="00DC538E">
              <w:rPr>
                <w:sz w:val="20"/>
              </w:rPr>
              <w:t>£14,583</w:t>
            </w:r>
          </w:p>
        </w:tc>
        <w:tc>
          <w:tcPr>
            <w:tcW w:w="1331" w:type="dxa"/>
            <w:vAlign w:val="center"/>
          </w:tcPr>
          <w:p w14:paraId="785094C1" w14:textId="77777777" w:rsidR="00DC538E" w:rsidRPr="00DC538E" w:rsidRDefault="00DC538E" w:rsidP="00DC538E">
            <w:pPr>
              <w:pStyle w:val="Tabletext"/>
              <w:jc w:val="right"/>
              <w:rPr>
                <w:sz w:val="20"/>
              </w:rPr>
            </w:pPr>
            <w:r w:rsidRPr="00DC538E">
              <w:rPr>
                <w:sz w:val="20"/>
              </w:rPr>
              <w:t>£14,583</w:t>
            </w:r>
          </w:p>
        </w:tc>
      </w:tr>
      <w:tr w:rsidR="00DC538E" w:rsidRPr="00DC538E" w14:paraId="66C75404" w14:textId="77777777" w:rsidTr="00DC538E">
        <w:tc>
          <w:tcPr>
            <w:tcW w:w="1951" w:type="dxa"/>
            <w:vAlign w:val="bottom"/>
          </w:tcPr>
          <w:p w14:paraId="1356E001" w14:textId="77777777" w:rsidR="00DC538E" w:rsidRPr="00DC538E" w:rsidRDefault="00DC538E" w:rsidP="00DC538E">
            <w:pPr>
              <w:pStyle w:val="Tabletext"/>
              <w:rPr>
                <w:sz w:val="20"/>
              </w:rPr>
            </w:pPr>
            <w:r w:rsidRPr="00DC538E">
              <w:rPr>
                <w:sz w:val="20"/>
              </w:rPr>
              <w:t>Agomelatine</w:t>
            </w:r>
          </w:p>
        </w:tc>
        <w:tc>
          <w:tcPr>
            <w:tcW w:w="1214" w:type="dxa"/>
            <w:vAlign w:val="center"/>
          </w:tcPr>
          <w:p w14:paraId="06DC34F9" w14:textId="77777777" w:rsidR="00DC538E" w:rsidRPr="00DC538E" w:rsidRDefault="00DC538E" w:rsidP="00DC538E">
            <w:pPr>
              <w:pStyle w:val="Tabletext"/>
              <w:jc w:val="right"/>
              <w:rPr>
                <w:sz w:val="20"/>
              </w:rPr>
            </w:pPr>
            <w:r w:rsidRPr="00DC538E">
              <w:rPr>
                <w:sz w:val="20"/>
              </w:rPr>
              <w:t>£1011</w:t>
            </w:r>
          </w:p>
        </w:tc>
        <w:tc>
          <w:tcPr>
            <w:tcW w:w="1214" w:type="dxa"/>
            <w:vAlign w:val="center"/>
          </w:tcPr>
          <w:p w14:paraId="48E8E72F" w14:textId="77777777" w:rsidR="00DC538E" w:rsidRPr="00DC538E" w:rsidRDefault="00DC538E" w:rsidP="00DC538E">
            <w:pPr>
              <w:pStyle w:val="Tabletext"/>
              <w:jc w:val="right"/>
              <w:rPr>
                <w:sz w:val="20"/>
              </w:rPr>
            </w:pPr>
            <w:r w:rsidRPr="00DC538E">
              <w:rPr>
                <w:sz w:val="20"/>
              </w:rPr>
              <w:t>0.739</w:t>
            </w:r>
          </w:p>
        </w:tc>
        <w:tc>
          <w:tcPr>
            <w:tcW w:w="1116" w:type="dxa"/>
            <w:vAlign w:val="center"/>
          </w:tcPr>
          <w:p w14:paraId="29F9CECA" w14:textId="77777777" w:rsidR="00DC538E" w:rsidRPr="00DC538E" w:rsidRDefault="00DC538E" w:rsidP="00DC538E">
            <w:pPr>
              <w:pStyle w:val="Tabletext"/>
              <w:jc w:val="right"/>
              <w:rPr>
                <w:sz w:val="20"/>
              </w:rPr>
            </w:pPr>
            <w:r w:rsidRPr="00DC538E">
              <w:rPr>
                <w:sz w:val="20"/>
              </w:rPr>
              <w:t>£60</w:t>
            </w:r>
          </w:p>
        </w:tc>
        <w:tc>
          <w:tcPr>
            <w:tcW w:w="992" w:type="dxa"/>
            <w:vAlign w:val="center"/>
          </w:tcPr>
          <w:p w14:paraId="6F7EF79E" w14:textId="77777777" w:rsidR="00DC538E" w:rsidRPr="00DC538E" w:rsidRDefault="00DC538E" w:rsidP="00DC538E">
            <w:pPr>
              <w:pStyle w:val="Tabletext"/>
              <w:jc w:val="right"/>
              <w:rPr>
                <w:sz w:val="20"/>
              </w:rPr>
            </w:pPr>
            <w:r w:rsidRPr="00DC538E">
              <w:rPr>
                <w:sz w:val="20"/>
              </w:rPr>
              <w:t>−0.016</w:t>
            </w:r>
          </w:p>
        </w:tc>
        <w:tc>
          <w:tcPr>
            <w:tcW w:w="1418" w:type="dxa"/>
            <w:vAlign w:val="center"/>
          </w:tcPr>
          <w:p w14:paraId="74EE593D" w14:textId="77777777" w:rsidR="00DC538E" w:rsidRPr="00DC538E" w:rsidRDefault="00DC538E" w:rsidP="00DC538E">
            <w:pPr>
              <w:pStyle w:val="Tabletext"/>
              <w:jc w:val="right"/>
              <w:rPr>
                <w:sz w:val="20"/>
              </w:rPr>
            </w:pPr>
            <w:r w:rsidRPr="00DC538E">
              <w:rPr>
                <w:sz w:val="20"/>
              </w:rPr>
              <w:t>Dominated</w:t>
            </w:r>
          </w:p>
        </w:tc>
        <w:tc>
          <w:tcPr>
            <w:tcW w:w="1331" w:type="dxa"/>
            <w:vAlign w:val="center"/>
          </w:tcPr>
          <w:p w14:paraId="76E26847" w14:textId="77777777" w:rsidR="00DC538E" w:rsidRPr="00DC538E" w:rsidRDefault="00DC538E" w:rsidP="00DC538E">
            <w:pPr>
              <w:pStyle w:val="Tabletext"/>
              <w:jc w:val="right"/>
              <w:rPr>
                <w:sz w:val="20"/>
              </w:rPr>
            </w:pPr>
            <w:r w:rsidRPr="00DC538E">
              <w:rPr>
                <w:sz w:val="20"/>
              </w:rPr>
              <w:t>Dominated</w:t>
            </w:r>
          </w:p>
        </w:tc>
      </w:tr>
      <w:tr w:rsidR="00DC538E" w:rsidRPr="00DC538E" w14:paraId="79631DF2" w14:textId="77777777" w:rsidTr="00DC538E">
        <w:tc>
          <w:tcPr>
            <w:tcW w:w="9236" w:type="dxa"/>
            <w:gridSpan w:val="7"/>
            <w:vAlign w:val="bottom"/>
          </w:tcPr>
          <w:p w14:paraId="07EF10C6" w14:textId="77777777" w:rsidR="00DC538E" w:rsidRPr="00DC538E" w:rsidRDefault="00DC538E" w:rsidP="00DC538E">
            <w:pPr>
              <w:pStyle w:val="Tabletext"/>
              <w:rPr>
                <w:b/>
                <w:bCs/>
                <w:sz w:val="20"/>
              </w:rPr>
            </w:pPr>
            <w:r w:rsidRPr="00DC538E">
              <w:rPr>
                <w:b/>
                <w:bCs/>
                <w:sz w:val="20"/>
              </w:rPr>
              <w:t>ERG scenario 3: Equal effectiveness</w:t>
            </w:r>
          </w:p>
        </w:tc>
      </w:tr>
      <w:tr w:rsidR="00DC538E" w:rsidRPr="00DC538E" w14:paraId="571AEE17" w14:textId="77777777" w:rsidTr="00DC538E">
        <w:tc>
          <w:tcPr>
            <w:tcW w:w="1951" w:type="dxa"/>
            <w:vAlign w:val="bottom"/>
          </w:tcPr>
          <w:p w14:paraId="6A80B895" w14:textId="77777777" w:rsidR="00DC538E" w:rsidRPr="00DC538E" w:rsidRDefault="00DC538E" w:rsidP="00DC538E">
            <w:pPr>
              <w:pStyle w:val="Tabletext"/>
              <w:rPr>
                <w:sz w:val="20"/>
              </w:rPr>
            </w:pPr>
            <w:r w:rsidRPr="00DC538E">
              <w:rPr>
                <w:sz w:val="20"/>
              </w:rPr>
              <w:t>Escitalopram</w:t>
            </w:r>
          </w:p>
        </w:tc>
        <w:tc>
          <w:tcPr>
            <w:tcW w:w="1214" w:type="dxa"/>
            <w:vAlign w:val="center"/>
          </w:tcPr>
          <w:p w14:paraId="67362D14" w14:textId="77777777" w:rsidR="00DC538E" w:rsidRPr="00DC538E" w:rsidRDefault="00DC538E" w:rsidP="00DC538E">
            <w:pPr>
              <w:pStyle w:val="Tabletext"/>
              <w:jc w:val="right"/>
              <w:rPr>
                <w:sz w:val="20"/>
              </w:rPr>
            </w:pPr>
            <w:r w:rsidRPr="00DC538E">
              <w:rPr>
                <w:sz w:val="20"/>
              </w:rPr>
              <w:t>£815</w:t>
            </w:r>
          </w:p>
        </w:tc>
        <w:tc>
          <w:tcPr>
            <w:tcW w:w="1214" w:type="dxa"/>
            <w:vAlign w:val="center"/>
          </w:tcPr>
          <w:p w14:paraId="246C4942" w14:textId="77777777" w:rsidR="00DC538E" w:rsidRPr="00DC538E" w:rsidRDefault="00DC538E" w:rsidP="00DC538E">
            <w:pPr>
              <w:pStyle w:val="Tabletext"/>
              <w:jc w:val="right"/>
              <w:rPr>
                <w:sz w:val="20"/>
              </w:rPr>
            </w:pPr>
            <w:r w:rsidRPr="00DC538E">
              <w:rPr>
                <w:sz w:val="20"/>
              </w:rPr>
              <w:t>0.749</w:t>
            </w:r>
          </w:p>
        </w:tc>
        <w:tc>
          <w:tcPr>
            <w:tcW w:w="1116" w:type="dxa"/>
            <w:vAlign w:val="center"/>
          </w:tcPr>
          <w:p w14:paraId="69433F84" w14:textId="77777777" w:rsidR="00DC538E" w:rsidRPr="00DC538E" w:rsidRDefault="00DC538E" w:rsidP="00DC538E">
            <w:pPr>
              <w:pStyle w:val="Tabletext"/>
              <w:jc w:val="right"/>
              <w:rPr>
                <w:sz w:val="20"/>
              </w:rPr>
            </w:pPr>
            <w:r w:rsidRPr="00DC538E">
              <w:rPr>
                <w:sz w:val="20"/>
              </w:rPr>
              <w:t>Ref</w:t>
            </w:r>
          </w:p>
        </w:tc>
        <w:tc>
          <w:tcPr>
            <w:tcW w:w="992" w:type="dxa"/>
            <w:vAlign w:val="center"/>
          </w:tcPr>
          <w:p w14:paraId="53E8A349" w14:textId="77777777" w:rsidR="00DC538E" w:rsidRPr="00DC538E" w:rsidRDefault="00DC538E" w:rsidP="00DC538E">
            <w:pPr>
              <w:pStyle w:val="Tabletext"/>
              <w:jc w:val="right"/>
              <w:rPr>
                <w:sz w:val="20"/>
              </w:rPr>
            </w:pPr>
            <w:r w:rsidRPr="00DC538E">
              <w:rPr>
                <w:sz w:val="20"/>
              </w:rPr>
              <w:t>Ref</w:t>
            </w:r>
          </w:p>
        </w:tc>
        <w:tc>
          <w:tcPr>
            <w:tcW w:w="1418" w:type="dxa"/>
            <w:vAlign w:val="center"/>
          </w:tcPr>
          <w:p w14:paraId="1ECD1CC9" w14:textId="77777777" w:rsidR="00DC538E" w:rsidRPr="00DC538E" w:rsidRDefault="00DC538E" w:rsidP="00DC538E">
            <w:pPr>
              <w:pStyle w:val="Tabletext"/>
              <w:jc w:val="right"/>
              <w:rPr>
                <w:sz w:val="20"/>
              </w:rPr>
            </w:pPr>
            <w:r w:rsidRPr="00DC538E">
              <w:rPr>
                <w:sz w:val="20"/>
              </w:rPr>
              <w:t>Ref</w:t>
            </w:r>
          </w:p>
        </w:tc>
        <w:tc>
          <w:tcPr>
            <w:tcW w:w="1331" w:type="dxa"/>
            <w:vAlign w:val="center"/>
          </w:tcPr>
          <w:p w14:paraId="3DD608C3" w14:textId="77777777" w:rsidR="00DC538E" w:rsidRPr="00DC538E" w:rsidRDefault="00DC538E" w:rsidP="00DC538E">
            <w:pPr>
              <w:pStyle w:val="Tabletext"/>
              <w:jc w:val="right"/>
              <w:rPr>
                <w:sz w:val="20"/>
              </w:rPr>
            </w:pPr>
            <w:r w:rsidRPr="00DC538E">
              <w:rPr>
                <w:sz w:val="20"/>
              </w:rPr>
              <w:t>n/a</w:t>
            </w:r>
          </w:p>
        </w:tc>
      </w:tr>
      <w:tr w:rsidR="00DC538E" w:rsidRPr="00DC538E" w14:paraId="350C6DD2" w14:textId="77777777" w:rsidTr="00DC538E">
        <w:tc>
          <w:tcPr>
            <w:tcW w:w="1951" w:type="dxa"/>
            <w:vAlign w:val="bottom"/>
          </w:tcPr>
          <w:p w14:paraId="3F2CCC9C" w14:textId="77777777" w:rsidR="00DC538E" w:rsidRPr="00DC538E" w:rsidRDefault="00DC538E" w:rsidP="00DC538E">
            <w:pPr>
              <w:pStyle w:val="Tabletext"/>
              <w:rPr>
                <w:sz w:val="20"/>
              </w:rPr>
            </w:pPr>
            <w:r w:rsidRPr="00DC538E">
              <w:rPr>
                <w:sz w:val="20"/>
              </w:rPr>
              <w:t>Venlafaxine (XR)</w:t>
            </w:r>
          </w:p>
        </w:tc>
        <w:tc>
          <w:tcPr>
            <w:tcW w:w="1214" w:type="dxa"/>
            <w:vAlign w:val="center"/>
          </w:tcPr>
          <w:p w14:paraId="34B257DC" w14:textId="77777777" w:rsidR="00DC538E" w:rsidRPr="00DC538E" w:rsidRDefault="00DC538E" w:rsidP="00DC538E">
            <w:pPr>
              <w:pStyle w:val="Tabletext"/>
              <w:jc w:val="right"/>
              <w:rPr>
                <w:sz w:val="20"/>
              </w:rPr>
            </w:pPr>
            <w:r w:rsidRPr="00DC538E">
              <w:rPr>
                <w:sz w:val="20"/>
              </w:rPr>
              <w:t>£854</w:t>
            </w:r>
          </w:p>
        </w:tc>
        <w:tc>
          <w:tcPr>
            <w:tcW w:w="1214" w:type="dxa"/>
            <w:vAlign w:val="center"/>
          </w:tcPr>
          <w:p w14:paraId="38E16EEF" w14:textId="77777777" w:rsidR="00DC538E" w:rsidRPr="00DC538E" w:rsidRDefault="00DC538E" w:rsidP="00DC538E">
            <w:pPr>
              <w:pStyle w:val="Tabletext"/>
              <w:jc w:val="right"/>
              <w:rPr>
                <w:sz w:val="20"/>
              </w:rPr>
            </w:pPr>
            <w:r w:rsidRPr="00DC538E">
              <w:rPr>
                <w:sz w:val="20"/>
              </w:rPr>
              <w:t>0.746</w:t>
            </w:r>
          </w:p>
        </w:tc>
        <w:tc>
          <w:tcPr>
            <w:tcW w:w="1116" w:type="dxa"/>
            <w:vAlign w:val="center"/>
          </w:tcPr>
          <w:p w14:paraId="3B69A2C3" w14:textId="77777777" w:rsidR="00DC538E" w:rsidRPr="00DC538E" w:rsidRDefault="00DC538E" w:rsidP="00DC538E">
            <w:pPr>
              <w:pStyle w:val="Tabletext"/>
              <w:jc w:val="right"/>
              <w:rPr>
                <w:sz w:val="20"/>
              </w:rPr>
            </w:pPr>
            <w:r w:rsidRPr="00DC538E">
              <w:rPr>
                <w:sz w:val="20"/>
              </w:rPr>
              <w:t>£39</w:t>
            </w:r>
          </w:p>
        </w:tc>
        <w:tc>
          <w:tcPr>
            <w:tcW w:w="992" w:type="dxa"/>
            <w:vAlign w:val="center"/>
          </w:tcPr>
          <w:p w14:paraId="5E95E7CF" w14:textId="77777777" w:rsidR="00DC538E" w:rsidRPr="00DC538E" w:rsidRDefault="00DC538E" w:rsidP="00DC538E">
            <w:pPr>
              <w:pStyle w:val="Tabletext"/>
              <w:jc w:val="right"/>
              <w:rPr>
                <w:sz w:val="20"/>
              </w:rPr>
            </w:pPr>
            <w:r w:rsidRPr="00DC538E">
              <w:rPr>
                <w:sz w:val="20"/>
              </w:rPr>
              <w:t>−0.003</w:t>
            </w:r>
          </w:p>
        </w:tc>
        <w:tc>
          <w:tcPr>
            <w:tcW w:w="1418" w:type="dxa"/>
            <w:vAlign w:val="center"/>
          </w:tcPr>
          <w:p w14:paraId="37EAC94A" w14:textId="77777777" w:rsidR="00DC538E" w:rsidRPr="00DC538E" w:rsidRDefault="00DC538E" w:rsidP="00DC538E">
            <w:pPr>
              <w:pStyle w:val="Tabletext"/>
              <w:jc w:val="right"/>
              <w:rPr>
                <w:sz w:val="20"/>
              </w:rPr>
            </w:pPr>
            <w:r w:rsidRPr="00DC538E">
              <w:rPr>
                <w:sz w:val="20"/>
              </w:rPr>
              <w:t>Dominated</w:t>
            </w:r>
          </w:p>
        </w:tc>
        <w:tc>
          <w:tcPr>
            <w:tcW w:w="1331" w:type="dxa"/>
            <w:vAlign w:val="center"/>
          </w:tcPr>
          <w:p w14:paraId="4538F499" w14:textId="77777777" w:rsidR="00DC538E" w:rsidRPr="00DC538E" w:rsidRDefault="00DC538E" w:rsidP="00DC538E">
            <w:pPr>
              <w:pStyle w:val="Tabletext"/>
              <w:jc w:val="right"/>
              <w:rPr>
                <w:sz w:val="20"/>
              </w:rPr>
            </w:pPr>
            <w:r w:rsidRPr="00DC538E">
              <w:rPr>
                <w:sz w:val="20"/>
              </w:rPr>
              <w:t>Ref</w:t>
            </w:r>
          </w:p>
        </w:tc>
      </w:tr>
      <w:tr w:rsidR="00DC538E" w:rsidRPr="00DC538E" w14:paraId="3DA62CE1" w14:textId="77777777" w:rsidTr="00DC538E">
        <w:tc>
          <w:tcPr>
            <w:tcW w:w="1951" w:type="dxa"/>
            <w:vAlign w:val="bottom"/>
          </w:tcPr>
          <w:p w14:paraId="38DDDBC5" w14:textId="77777777" w:rsidR="00DC538E" w:rsidRPr="00DC538E" w:rsidRDefault="00DC538E" w:rsidP="00DC538E">
            <w:pPr>
              <w:pStyle w:val="Tabletext"/>
              <w:rPr>
                <w:sz w:val="20"/>
              </w:rPr>
            </w:pPr>
            <w:r w:rsidRPr="00DC538E">
              <w:rPr>
                <w:sz w:val="20"/>
              </w:rPr>
              <w:t>Vortioxetine</w:t>
            </w:r>
          </w:p>
        </w:tc>
        <w:tc>
          <w:tcPr>
            <w:tcW w:w="1214" w:type="dxa"/>
            <w:vAlign w:val="center"/>
          </w:tcPr>
          <w:p w14:paraId="3244DD2C" w14:textId="77777777" w:rsidR="00DC538E" w:rsidRPr="00DC538E" w:rsidRDefault="00DC538E" w:rsidP="00DC538E">
            <w:pPr>
              <w:pStyle w:val="Tabletext"/>
              <w:jc w:val="right"/>
              <w:rPr>
                <w:sz w:val="20"/>
              </w:rPr>
            </w:pPr>
            <w:r w:rsidRPr="00DC538E">
              <w:rPr>
                <w:sz w:val="20"/>
              </w:rPr>
              <w:t>£904</w:t>
            </w:r>
          </w:p>
        </w:tc>
        <w:tc>
          <w:tcPr>
            <w:tcW w:w="1214" w:type="dxa"/>
            <w:vAlign w:val="center"/>
          </w:tcPr>
          <w:p w14:paraId="16E5BB33" w14:textId="77777777" w:rsidR="00DC538E" w:rsidRPr="00DC538E" w:rsidRDefault="00DC538E" w:rsidP="00DC538E">
            <w:pPr>
              <w:pStyle w:val="Tabletext"/>
              <w:jc w:val="right"/>
              <w:rPr>
                <w:sz w:val="20"/>
              </w:rPr>
            </w:pPr>
            <w:r w:rsidRPr="00DC538E">
              <w:rPr>
                <w:sz w:val="20"/>
              </w:rPr>
              <w:t>0.752</w:t>
            </w:r>
          </w:p>
        </w:tc>
        <w:tc>
          <w:tcPr>
            <w:tcW w:w="1116" w:type="dxa"/>
            <w:vAlign w:val="center"/>
          </w:tcPr>
          <w:p w14:paraId="064B61AE" w14:textId="77777777" w:rsidR="00DC538E" w:rsidRPr="00DC538E" w:rsidRDefault="00DC538E" w:rsidP="00DC538E">
            <w:pPr>
              <w:pStyle w:val="Tabletext"/>
              <w:jc w:val="right"/>
              <w:rPr>
                <w:sz w:val="20"/>
              </w:rPr>
            </w:pPr>
            <w:r w:rsidRPr="00DC538E">
              <w:rPr>
                <w:sz w:val="20"/>
              </w:rPr>
              <w:t>£50</w:t>
            </w:r>
          </w:p>
        </w:tc>
        <w:tc>
          <w:tcPr>
            <w:tcW w:w="992" w:type="dxa"/>
            <w:vAlign w:val="center"/>
          </w:tcPr>
          <w:p w14:paraId="14EF1500" w14:textId="77777777" w:rsidR="00DC538E" w:rsidRPr="00DC538E" w:rsidRDefault="00DC538E" w:rsidP="00DC538E">
            <w:pPr>
              <w:pStyle w:val="Tabletext"/>
              <w:jc w:val="right"/>
              <w:rPr>
                <w:sz w:val="20"/>
              </w:rPr>
            </w:pPr>
            <w:r w:rsidRPr="00DC538E">
              <w:rPr>
                <w:sz w:val="20"/>
              </w:rPr>
              <w:t>0.006</w:t>
            </w:r>
          </w:p>
        </w:tc>
        <w:tc>
          <w:tcPr>
            <w:tcW w:w="1418" w:type="dxa"/>
            <w:vAlign w:val="center"/>
          </w:tcPr>
          <w:p w14:paraId="33054ABC" w14:textId="77777777" w:rsidR="00DC538E" w:rsidRPr="00DC538E" w:rsidRDefault="00DC538E" w:rsidP="00DC538E">
            <w:pPr>
              <w:pStyle w:val="Tabletext"/>
              <w:jc w:val="right"/>
              <w:rPr>
                <w:sz w:val="20"/>
              </w:rPr>
            </w:pPr>
            <w:r w:rsidRPr="00DC538E">
              <w:rPr>
                <w:sz w:val="20"/>
              </w:rPr>
              <w:t>£28,270</w:t>
            </w:r>
          </w:p>
        </w:tc>
        <w:tc>
          <w:tcPr>
            <w:tcW w:w="1331" w:type="dxa"/>
            <w:vAlign w:val="center"/>
          </w:tcPr>
          <w:p w14:paraId="6D10EECD" w14:textId="77777777" w:rsidR="00DC538E" w:rsidRPr="00DC538E" w:rsidRDefault="00DC538E" w:rsidP="00DC538E">
            <w:pPr>
              <w:pStyle w:val="Tabletext"/>
              <w:jc w:val="right"/>
              <w:rPr>
                <w:sz w:val="20"/>
              </w:rPr>
            </w:pPr>
            <w:r w:rsidRPr="00DC538E">
              <w:rPr>
                <w:sz w:val="20"/>
              </w:rPr>
              <w:t>£7,992</w:t>
            </w:r>
          </w:p>
        </w:tc>
      </w:tr>
      <w:tr w:rsidR="00DC538E" w:rsidRPr="00DC538E" w14:paraId="1A6F3901" w14:textId="77777777" w:rsidTr="00DC538E">
        <w:tc>
          <w:tcPr>
            <w:tcW w:w="1951" w:type="dxa"/>
            <w:vAlign w:val="bottom"/>
          </w:tcPr>
          <w:p w14:paraId="2B1477B3" w14:textId="77777777" w:rsidR="00DC538E" w:rsidRPr="00DC538E" w:rsidRDefault="00DC538E" w:rsidP="00DC538E">
            <w:pPr>
              <w:pStyle w:val="Tabletext"/>
              <w:rPr>
                <w:sz w:val="20"/>
              </w:rPr>
            </w:pPr>
            <w:r w:rsidRPr="00DC538E">
              <w:rPr>
                <w:sz w:val="20"/>
              </w:rPr>
              <w:t>Duloxetine</w:t>
            </w:r>
          </w:p>
        </w:tc>
        <w:tc>
          <w:tcPr>
            <w:tcW w:w="1214" w:type="dxa"/>
            <w:vAlign w:val="center"/>
          </w:tcPr>
          <w:p w14:paraId="4B40DE33" w14:textId="77777777" w:rsidR="00DC538E" w:rsidRPr="00DC538E" w:rsidRDefault="00DC538E" w:rsidP="00DC538E">
            <w:pPr>
              <w:pStyle w:val="Tabletext"/>
              <w:jc w:val="right"/>
              <w:rPr>
                <w:sz w:val="20"/>
              </w:rPr>
            </w:pPr>
            <w:r w:rsidRPr="00DC538E">
              <w:rPr>
                <w:sz w:val="20"/>
              </w:rPr>
              <w:t>£964</w:t>
            </w:r>
          </w:p>
        </w:tc>
        <w:tc>
          <w:tcPr>
            <w:tcW w:w="1214" w:type="dxa"/>
            <w:vAlign w:val="center"/>
          </w:tcPr>
          <w:p w14:paraId="12993202" w14:textId="77777777" w:rsidR="00DC538E" w:rsidRPr="00DC538E" w:rsidRDefault="00DC538E" w:rsidP="00DC538E">
            <w:pPr>
              <w:pStyle w:val="Tabletext"/>
              <w:jc w:val="right"/>
              <w:rPr>
                <w:sz w:val="20"/>
              </w:rPr>
            </w:pPr>
            <w:r w:rsidRPr="00DC538E">
              <w:rPr>
                <w:sz w:val="20"/>
              </w:rPr>
              <w:t>0.748</w:t>
            </w:r>
          </w:p>
        </w:tc>
        <w:tc>
          <w:tcPr>
            <w:tcW w:w="1116" w:type="dxa"/>
            <w:vAlign w:val="center"/>
          </w:tcPr>
          <w:p w14:paraId="1A202449" w14:textId="77777777" w:rsidR="00DC538E" w:rsidRPr="00DC538E" w:rsidRDefault="00DC538E" w:rsidP="00DC538E">
            <w:pPr>
              <w:pStyle w:val="Tabletext"/>
              <w:jc w:val="right"/>
              <w:rPr>
                <w:sz w:val="20"/>
              </w:rPr>
            </w:pPr>
            <w:r w:rsidRPr="00DC538E">
              <w:rPr>
                <w:sz w:val="20"/>
              </w:rPr>
              <w:t>£60</w:t>
            </w:r>
          </w:p>
        </w:tc>
        <w:tc>
          <w:tcPr>
            <w:tcW w:w="992" w:type="dxa"/>
            <w:vAlign w:val="center"/>
          </w:tcPr>
          <w:p w14:paraId="5E1CC8C7" w14:textId="77777777" w:rsidR="00DC538E" w:rsidRPr="00DC538E" w:rsidRDefault="00DC538E" w:rsidP="00DC538E">
            <w:pPr>
              <w:pStyle w:val="Tabletext"/>
              <w:jc w:val="right"/>
              <w:rPr>
                <w:sz w:val="20"/>
              </w:rPr>
            </w:pPr>
            <w:r w:rsidRPr="00DC538E">
              <w:rPr>
                <w:sz w:val="20"/>
              </w:rPr>
              <w:t>−0.005</w:t>
            </w:r>
          </w:p>
        </w:tc>
        <w:tc>
          <w:tcPr>
            <w:tcW w:w="1418" w:type="dxa"/>
            <w:vAlign w:val="center"/>
          </w:tcPr>
          <w:p w14:paraId="114F6658" w14:textId="77777777" w:rsidR="00DC538E" w:rsidRPr="00DC538E" w:rsidRDefault="00DC538E" w:rsidP="00DC538E">
            <w:pPr>
              <w:pStyle w:val="Tabletext"/>
              <w:jc w:val="right"/>
              <w:rPr>
                <w:sz w:val="20"/>
              </w:rPr>
            </w:pPr>
            <w:r w:rsidRPr="00DC538E">
              <w:rPr>
                <w:sz w:val="20"/>
              </w:rPr>
              <w:t>Dominated</w:t>
            </w:r>
          </w:p>
        </w:tc>
        <w:tc>
          <w:tcPr>
            <w:tcW w:w="1331" w:type="dxa"/>
            <w:vAlign w:val="center"/>
          </w:tcPr>
          <w:p w14:paraId="2E15EE99" w14:textId="77777777" w:rsidR="00DC538E" w:rsidRPr="00DC538E" w:rsidRDefault="00DC538E" w:rsidP="00DC538E">
            <w:pPr>
              <w:pStyle w:val="Tabletext"/>
              <w:jc w:val="right"/>
              <w:rPr>
                <w:sz w:val="20"/>
              </w:rPr>
            </w:pPr>
            <w:r w:rsidRPr="00DC538E">
              <w:rPr>
                <w:sz w:val="20"/>
              </w:rPr>
              <w:t>Dominated</w:t>
            </w:r>
          </w:p>
        </w:tc>
      </w:tr>
      <w:tr w:rsidR="00DC538E" w:rsidRPr="00DC538E" w14:paraId="293D102B" w14:textId="77777777" w:rsidTr="00DC538E">
        <w:tc>
          <w:tcPr>
            <w:tcW w:w="1951" w:type="dxa"/>
            <w:vAlign w:val="bottom"/>
          </w:tcPr>
          <w:p w14:paraId="37EA918A" w14:textId="77777777" w:rsidR="00DC538E" w:rsidRPr="00DC538E" w:rsidRDefault="00DC538E" w:rsidP="00DC538E">
            <w:pPr>
              <w:pStyle w:val="Tabletext"/>
              <w:rPr>
                <w:sz w:val="20"/>
              </w:rPr>
            </w:pPr>
            <w:r w:rsidRPr="00DC538E">
              <w:rPr>
                <w:sz w:val="20"/>
              </w:rPr>
              <w:t>Agomelatine</w:t>
            </w:r>
          </w:p>
        </w:tc>
        <w:tc>
          <w:tcPr>
            <w:tcW w:w="1214" w:type="dxa"/>
            <w:vAlign w:val="center"/>
          </w:tcPr>
          <w:p w14:paraId="3CDE1B1F" w14:textId="77777777" w:rsidR="00DC538E" w:rsidRPr="00DC538E" w:rsidRDefault="00DC538E" w:rsidP="00DC538E">
            <w:pPr>
              <w:pStyle w:val="Tabletext"/>
              <w:jc w:val="right"/>
              <w:rPr>
                <w:sz w:val="20"/>
              </w:rPr>
            </w:pPr>
            <w:r w:rsidRPr="00DC538E">
              <w:rPr>
                <w:sz w:val="20"/>
              </w:rPr>
              <w:t>£993</w:t>
            </w:r>
          </w:p>
        </w:tc>
        <w:tc>
          <w:tcPr>
            <w:tcW w:w="1214" w:type="dxa"/>
            <w:vAlign w:val="center"/>
          </w:tcPr>
          <w:p w14:paraId="2FC352BF" w14:textId="77777777" w:rsidR="00DC538E" w:rsidRPr="00DC538E" w:rsidRDefault="00DC538E" w:rsidP="00DC538E">
            <w:pPr>
              <w:pStyle w:val="Tabletext"/>
              <w:jc w:val="right"/>
              <w:rPr>
                <w:sz w:val="20"/>
              </w:rPr>
            </w:pPr>
            <w:r w:rsidRPr="00DC538E">
              <w:rPr>
                <w:sz w:val="20"/>
              </w:rPr>
              <w:t>0.753</w:t>
            </w:r>
          </w:p>
        </w:tc>
        <w:tc>
          <w:tcPr>
            <w:tcW w:w="1116" w:type="dxa"/>
            <w:vAlign w:val="center"/>
          </w:tcPr>
          <w:p w14:paraId="734A4519" w14:textId="77777777" w:rsidR="00DC538E" w:rsidRPr="00DC538E" w:rsidRDefault="00DC538E" w:rsidP="00DC538E">
            <w:pPr>
              <w:pStyle w:val="Tabletext"/>
              <w:jc w:val="right"/>
              <w:rPr>
                <w:sz w:val="20"/>
              </w:rPr>
            </w:pPr>
            <w:r w:rsidRPr="00DC538E">
              <w:rPr>
                <w:sz w:val="20"/>
              </w:rPr>
              <w:t>£29</w:t>
            </w:r>
          </w:p>
        </w:tc>
        <w:tc>
          <w:tcPr>
            <w:tcW w:w="992" w:type="dxa"/>
            <w:vAlign w:val="center"/>
          </w:tcPr>
          <w:p w14:paraId="0349B683" w14:textId="77777777" w:rsidR="00DC538E" w:rsidRPr="00DC538E" w:rsidRDefault="00DC538E" w:rsidP="00DC538E">
            <w:pPr>
              <w:pStyle w:val="Tabletext"/>
              <w:jc w:val="right"/>
              <w:rPr>
                <w:sz w:val="20"/>
              </w:rPr>
            </w:pPr>
            <w:r w:rsidRPr="00DC538E">
              <w:rPr>
                <w:sz w:val="20"/>
              </w:rPr>
              <w:t>0.005</w:t>
            </w:r>
          </w:p>
        </w:tc>
        <w:tc>
          <w:tcPr>
            <w:tcW w:w="1418" w:type="dxa"/>
            <w:vAlign w:val="center"/>
          </w:tcPr>
          <w:p w14:paraId="3DEB7EC1" w14:textId="77777777" w:rsidR="00DC538E" w:rsidRPr="00DC538E" w:rsidRDefault="00DC538E" w:rsidP="00DC538E">
            <w:pPr>
              <w:pStyle w:val="Tabletext"/>
              <w:jc w:val="right"/>
              <w:rPr>
                <w:sz w:val="20"/>
              </w:rPr>
            </w:pPr>
            <w:r w:rsidRPr="00DC538E">
              <w:rPr>
                <w:sz w:val="20"/>
              </w:rPr>
              <w:t>£200,797</w:t>
            </w:r>
          </w:p>
        </w:tc>
        <w:tc>
          <w:tcPr>
            <w:tcW w:w="1331" w:type="dxa"/>
            <w:vAlign w:val="center"/>
          </w:tcPr>
          <w:p w14:paraId="0E6A90AE" w14:textId="77777777" w:rsidR="00DC538E" w:rsidRPr="00DC538E" w:rsidRDefault="00DC538E" w:rsidP="00DC538E">
            <w:pPr>
              <w:pStyle w:val="Tabletext"/>
              <w:jc w:val="right"/>
              <w:rPr>
                <w:sz w:val="20"/>
              </w:rPr>
            </w:pPr>
            <w:r w:rsidRPr="00DC538E">
              <w:rPr>
                <w:sz w:val="20"/>
              </w:rPr>
              <w:t>£200,797</w:t>
            </w:r>
          </w:p>
        </w:tc>
      </w:tr>
    </w:tbl>
    <w:p w14:paraId="26A21ADD" w14:textId="77777777" w:rsidR="00DC538E" w:rsidRDefault="006429B9" w:rsidP="00DC538E">
      <w:r>
        <w:t xml:space="preserve">It is evident that </w:t>
      </w:r>
      <w:r w:rsidRPr="00852CE3">
        <w:t>the results were</w:t>
      </w:r>
      <w:r>
        <w:t xml:space="preserve"> highly</w:t>
      </w:r>
      <w:r w:rsidRPr="00852CE3">
        <w:t xml:space="preserve"> sensitive to the assumptions made concerning the relative effectiveness of the alternative treatments in achieving remission.</w:t>
      </w:r>
      <w:r w:rsidR="00032A66">
        <w:t xml:space="preserve"> </w:t>
      </w:r>
      <w:r w:rsidR="00032A66" w:rsidRPr="00852CE3">
        <w:t>However, the magnitude of the differences in costs and QALYs between these treatments appeared small across all scenarios.</w:t>
      </w:r>
      <w:r>
        <w:t xml:space="preserve"> In particular, </w:t>
      </w:r>
      <w:proofErr w:type="spellStart"/>
      <w:r>
        <w:t>vortioxetine</w:t>
      </w:r>
      <w:proofErr w:type="spellEnd"/>
      <w:r>
        <w:t xml:space="preserve"> looks cost-effective when equal effectiveness is assumed and SSRI comparators are excluded, which results from its better tolerability and less severe adverse event profile. One potential justification for excluding SSRI comparators would be if they have already been found to have inadequate response in the patient. This is more likely to be the case in the third, rather than second, line of treatment. </w:t>
      </w:r>
    </w:p>
    <w:p w14:paraId="33ED5093" w14:textId="77777777" w:rsidR="006429B9" w:rsidRPr="00DC538E" w:rsidRDefault="006429B9" w:rsidP="00DC538E"/>
    <w:p w14:paraId="3238EB66" w14:textId="77777777" w:rsidR="000F5F5E" w:rsidRDefault="00E05A80" w:rsidP="000F5F5E">
      <w:pPr>
        <w:pStyle w:val="Heading2"/>
      </w:pPr>
      <w:bookmarkStart w:id="25" w:name="_Toc429652479"/>
      <w:bookmarkStart w:id="26" w:name="_Toc448503399"/>
      <w:r>
        <w:t>3</w:t>
      </w:r>
      <w:r w:rsidR="000F5F5E">
        <w:t>.3</w:t>
      </w:r>
      <w:r w:rsidR="000F5F5E">
        <w:tab/>
        <w:t>Conclusions of the ERG Review</w:t>
      </w:r>
      <w:bookmarkEnd w:id="25"/>
      <w:bookmarkEnd w:id="26"/>
    </w:p>
    <w:p w14:paraId="4CAB7348" w14:textId="77777777" w:rsidR="00557F11" w:rsidRDefault="00CF597D" w:rsidP="00557F11">
      <w:r>
        <w:t>T</w:t>
      </w:r>
      <w:r w:rsidR="00557F11">
        <w:t xml:space="preserve">he manufacturer’s restriction to trials in a “switch” population meant that very limited evidence was presented in the submission and the ERG considers the indirect treatment comparison, in particular, to be unreliable. Trials in the more general, non-switching, population provide more data, but with the possibility that treatment effects may differ from those patients switching treatments, particularly when comparing </w:t>
      </w:r>
      <w:proofErr w:type="spellStart"/>
      <w:r w:rsidR="00557F11">
        <w:t>vortioxetine</w:t>
      </w:r>
      <w:proofErr w:type="spellEnd"/>
      <w:r w:rsidR="00557F11">
        <w:t xml:space="preserve"> to SSRIs. Direct comparisons of </w:t>
      </w:r>
      <w:proofErr w:type="spellStart"/>
      <w:r w:rsidR="00557F11">
        <w:t>vortioxetine</w:t>
      </w:r>
      <w:proofErr w:type="spellEnd"/>
      <w:r w:rsidR="00557F11">
        <w:t xml:space="preserve"> to other treatments are limited because they are placebo-controlled trials with active reference arms and so there is potential for bias due to them not being truly randomised. These trials, however, suggested that </w:t>
      </w:r>
      <w:proofErr w:type="spellStart"/>
      <w:r w:rsidR="00557F11">
        <w:t>vortioxetine</w:t>
      </w:r>
      <w:proofErr w:type="spellEnd"/>
      <w:r w:rsidR="00557F11">
        <w:t xml:space="preserve"> may be inferior to </w:t>
      </w:r>
      <w:r w:rsidR="00557F11">
        <w:lastRenderedPageBreak/>
        <w:t xml:space="preserve">duloxetine, and this possibility cannot be dismissed entirely even with the potential for bias. Indirect comparisons of treatments suggested that </w:t>
      </w:r>
      <w:proofErr w:type="spellStart"/>
      <w:r w:rsidR="00557F11">
        <w:t>vortioxetine</w:t>
      </w:r>
      <w:proofErr w:type="spellEnd"/>
      <w:r w:rsidR="00557F11">
        <w:t xml:space="preserve"> had similar efficacy to other drugs, but with </w:t>
      </w:r>
      <w:r>
        <w:t>the</w:t>
      </w:r>
      <w:r w:rsidR="00557F11">
        <w:t xml:space="preserve"> possibility</w:t>
      </w:r>
      <w:r>
        <w:t xml:space="preserve"> of having a</w:t>
      </w:r>
      <w:r w:rsidR="00557F11">
        <w:t xml:space="preserve"> lower withdra</w:t>
      </w:r>
      <w:r>
        <w:t xml:space="preserve">wal rate due to adverse events. </w:t>
      </w:r>
      <w:r w:rsidR="00557F11">
        <w:t xml:space="preserve">The ERG concludes, based on the totality of the evidence, that </w:t>
      </w:r>
      <w:proofErr w:type="spellStart"/>
      <w:r w:rsidR="00557F11">
        <w:t>vortioxetine</w:t>
      </w:r>
      <w:proofErr w:type="spellEnd"/>
      <w:r w:rsidR="00557F11">
        <w:t xml:space="preserve"> is likely to be of similar efficacy to other antidepressants, but may be superior to </w:t>
      </w:r>
      <w:proofErr w:type="spellStart"/>
      <w:r w:rsidR="00557F11">
        <w:t>agomelatine</w:t>
      </w:r>
      <w:proofErr w:type="spellEnd"/>
      <w:r w:rsidR="00557F11">
        <w:t xml:space="preserve"> and inferior to duloxetine. Vortioxetine appears to have a lower withdrawal rate due to adverse events than most other treatments, and so may have a better overall </w:t>
      </w:r>
      <w:r w:rsidR="00CE169C">
        <w:t xml:space="preserve">tolerability </w:t>
      </w:r>
      <w:proofErr w:type="gramStart"/>
      <w:r w:rsidR="00557F11">
        <w:t>profile,</w:t>
      </w:r>
      <w:proofErr w:type="gramEnd"/>
      <w:r w:rsidR="00557F11">
        <w:t xml:space="preserve"> however data on adverse events with </w:t>
      </w:r>
      <w:proofErr w:type="spellStart"/>
      <w:r w:rsidR="00557F11">
        <w:t>vortioxetine</w:t>
      </w:r>
      <w:proofErr w:type="spellEnd"/>
      <w:r w:rsidR="008D3182">
        <w:t xml:space="preserve"> </w:t>
      </w:r>
      <w:r w:rsidR="00557F11">
        <w:t xml:space="preserve">are too limited to draw any firm conclusions on </w:t>
      </w:r>
      <w:r w:rsidR="008D3182">
        <w:t>its safety</w:t>
      </w:r>
      <w:r w:rsidR="00557F11">
        <w:t>.</w:t>
      </w:r>
    </w:p>
    <w:p w14:paraId="68727914" w14:textId="1F520E18" w:rsidR="00557F11" w:rsidRPr="00557F11" w:rsidRDefault="00734E9F" w:rsidP="00557F11">
      <w:r>
        <w:t xml:space="preserve">There are key structural issues that contribute to the uncertainty surrounding the bias of the estimated ICER in the manufacturer's base case, which is £378 for </w:t>
      </w:r>
      <w:proofErr w:type="spellStart"/>
      <w:r>
        <w:t>vortioxetine</w:t>
      </w:r>
      <w:proofErr w:type="spellEnd"/>
      <w:r>
        <w:t xml:space="preserve"> relative to venlafaxine. In particular, exclusion of first line antidepressant therapy evidence means that the base case model cannot be reliably used for this comparison and should only inform the estimation of cost-effectiveness of </w:t>
      </w:r>
      <w:proofErr w:type="spellStart"/>
      <w:r>
        <w:t>vortioxetine</w:t>
      </w:r>
      <w:proofErr w:type="spellEnd"/>
      <w:r>
        <w:t xml:space="preserve"> against </w:t>
      </w:r>
      <w:proofErr w:type="spellStart"/>
      <w:r>
        <w:t>agomelatine</w:t>
      </w:r>
      <w:proofErr w:type="spellEnd"/>
      <w:r>
        <w:t>.</w:t>
      </w:r>
      <w:r w:rsidR="00680475">
        <w:t xml:space="preserve"> Having correc</w:t>
      </w:r>
      <w:r w:rsidR="002412B6">
        <w:t>ted utilities used in the model and</w:t>
      </w:r>
      <w:r w:rsidR="00680475">
        <w:t xml:space="preserve"> employed an alternative set of assumptions regarding efficacy for lines of treatment beyond second-line treatments, the ERG</w:t>
      </w:r>
      <w:r w:rsidR="002412B6">
        <w:t xml:space="preserve"> found that </w:t>
      </w:r>
      <w:proofErr w:type="spellStart"/>
      <w:r w:rsidR="002412B6">
        <w:t>vortioxetine</w:t>
      </w:r>
      <w:proofErr w:type="spellEnd"/>
      <w:r w:rsidR="002412B6">
        <w:t xml:space="preserve"> was dominated by venlafaxine when </w:t>
      </w:r>
      <w:proofErr w:type="spellStart"/>
      <w:r w:rsidR="002412B6">
        <w:t>Llorca</w:t>
      </w:r>
      <w:proofErr w:type="spellEnd"/>
      <w:r w:rsidR="002412B6">
        <w:t xml:space="preserve"> et al.</w:t>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r w:rsidR="002412B6">
        <w:t xml:space="preserve"> evidence was used, when </w:t>
      </w:r>
      <w:proofErr w:type="spellStart"/>
      <w:r w:rsidR="002412B6">
        <w:t>Pae</w:t>
      </w:r>
      <w:proofErr w:type="spellEnd"/>
      <w:r w:rsidR="002412B6">
        <w:t xml:space="preserve"> et al.</w:t>
      </w:r>
      <w:r w:rsidR="00DE1EBD">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r w:rsidR="002412B6">
        <w:t xml:space="preserve">  evidence was used </w:t>
      </w:r>
      <w:proofErr w:type="spellStart"/>
      <w:r w:rsidR="002412B6">
        <w:t>vortioxetine</w:t>
      </w:r>
      <w:proofErr w:type="spellEnd"/>
      <w:r w:rsidR="002412B6">
        <w:t xml:space="preserve"> had an ICER of £13,068 per QALY relative to venlafaxine (with duloxetine's ICER relative to </w:t>
      </w:r>
      <w:proofErr w:type="spellStart"/>
      <w:r w:rsidR="002412B6">
        <w:t>vortioxetine</w:t>
      </w:r>
      <w:proofErr w:type="spellEnd"/>
      <w:r w:rsidR="002412B6">
        <w:t xml:space="preserve"> being £14,583 per QALY), and with assumption of equal effectiveness across treatments </w:t>
      </w:r>
      <w:proofErr w:type="spellStart"/>
      <w:r w:rsidR="002412B6">
        <w:t>vortioxetine</w:t>
      </w:r>
      <w:proofErr w:type="spellEnd"/>
      <w:r w:rsidR="002412B6">
        <w:t xml:space="preserve"> had an ICER of £28,270 per QALY relative to escitalopram (SSRI) and an ICER of £7,992 per QALY relative to venlafaxine (SNRI). The ERG considered that this model was preferable to the company's original base case, but that there was still considerable uncertainty owing to restrictive assumptions around the positioning of </w:t>
      </w:r>
      <w:proofErr w:type="spellStart"/>
      <w:r w:rsidR="002412B6">
        <w:t>vortioxetine</w:t>
      </w:r>
      <w:proofErr w:type="spellEnd"/>
      <w:r w:rsidR="002412B6">
        <w:t xml:space="preserve"> in the treatment pathway and the exclusion of response from the decision model. </w:t>
      </w:r>
    </w:p>
    <w:p w14:paraId="0A9BF200" w14:textId="77777777" w:rsidR="007B284A" w:rsidRPr="007B284A" w:rsidRDefault="007B284A" w:rsidP="007B284A"/>
    <w:p w14:paraId="1B9F9589" w14:textId="77777777" w:rsidR="000F5F5E" w:rsidRPr="00AF517A" w:rsidRDefault="00F81D84" w:rsidP="00D36DAE">
      <w:r w:rsidRPr="00AF517A">
        <w:rPr>
          <w:sz w:val="28"/>
          <w:szCs w:val="28"/>
        </w:rPr>
        <w:br w:type="page"/>
      </w:r>
    </w:p>
    <w:p w14:paraId="543870B3" w14:textId="77777777" w:rsidR="000F5F5E" w:rsidRDefault="00E05A80" w:rsidP="000F5F5E">
      <w:pPr>
        <w:pStyle w:val="Heading1"/>
      </w:pPr>
      <w:bookmarkStart w:id="27" w:name="_Toc429652483"/>
      <w:bookmarkStart w:id="28" w:name="_Toc448503400"/>
      <w:r>
        <w:lastRenderedPageBreak/>
        <w:t>4</w:t>
      </w:r>
      <w:r w:rsidR="00F81D84">
        <w:t>.</w:t>
      </w:r>
      <w:r w:rsidR="00F81D84">
        <w:tab/>
        <w:t>The National Institute for Health and C</w:t>
      </w:r>
      <w:r w:rsidR="00A058C3">
        <w:t>are</w:t>
      </w:r>
      <w:r w:rsidR="00F81D84">
        <w:t xml:space="preserve"> Excellence (NICE) Appraisal Committee: Consideration of All Available Evidence</w:t>
      </w:r>
      <w:bookmarkEnd w:id="27"/>
      <w:bookmarkEnd w:id="28"/>
    </w:p>
    <w:p w14:paraId="14486B41" w14:textId="30B39770" w:rsidR="00046410" w:rsidRDefault="00046410" w:rsidP="00046410">
      <w:bookmarkStart w:id="29" w:name="_Toc429652484"/>
      <w:r w:rsidRPr="00046410">
        <w:t>The Appraisal Committee reviewed the data available on the clinical and cost</w:t>
      </w:r>
      <w:r w:rsidR="0061142F">
        <w:t>-</w:t>
      </w:r>
      <w:r w:rsidRPr="00046410">
        <w:t xml:space="preserve">effectiveness of </w:t>
      </w:r>
      <w:proofErr w:type="spellStart"/>
      <w:r w:rsidRPr="00046410">
        <w:t>vortioxetine</w:t>
      </w:r>
      <w:proofErr w:type="spellEnd"/>
      <w:r w:rsidRPr="00046410">
        <w:t xml:space="preserve">, having considered evidence on the nature of </w:t>
      </w:r>
      <w:r w:rsidR="00324C0F">
        <w:t>MDD</w:t>
      </w:r>
      <w:r w:rsidRPr="00046410">
        <w:t xml:space="preserve"> and the value placed on the benefits of </w:t>
      </w:r>
      <w:proofErr w:type="spellStart"/>
      <w:r w:rsidRPr="00046410">
        <w:t>vortioxetine</w:t>
      </w:r>
      <w:proofErr w:type="spellEnd"/>
      <w:r w:rsidRPr="00046410">
        <w:t xml:space="preserve"> by people with the condition, those who represent them, and clinical experts. It also took into account the effective use of NHS resources.</w:t>
      </w:r>
    </w:p>
    <w:p w14:paraId="3947697E" w14:textId="77777777" w:rsidR="002131D6" w:rsidRDefault="00E05A80" w:rsidP="008D6B96">
      <w:pPr>
        <w:pStyle w:val="Heading2"/>
      </w:pPr>
      <w:bookmarkStart w:id="30" w:name="_Toc429652486"/>
      <w:bookmarkStart w:id="31" w:name="_Toc448503401"/>
      <w:bookmarkEnd w:id="29"/>
      <w:r>
        <w:t>4</w:t>
      </w:r>
      <w:r w:rsidR="001C0FA7">
        <w:t>.</w:t>
      </w:r>
      <w:r w:rsidR="00FB4184">
        <w:t>1</w:t>
      </w:r>
      <w:r w:rsidR="001C0FA7">
        <w:tab/>
      </w:r>
      <w:r w:rsidR="002131D6">
        <w:t>Preliminary Guidance</w:t>
      </w:r>
      <w:bookmarkEnd w:id="30"/>
      <w:bookmarkEnd w:id="31"/>
    </w:p>
    <w:p w14:paraId="03A6C831" w14:textId="55EC470B" w:rsidR="00EA6FA8" w:rsidRDefault="00991696">
      <w:bookmarkStart w:id="32" w:name="_Toc429652487"/>
      <w:r>
        <w:t>Following the first Appraisal Committee meeting,</w:t>
      </w:r>
      <w:r w:rsidR="000D04C7">
        <w:t xml:space="preserve"> and recorded in the ACD,</w:t>
      </w:r>
      <w:r>
        <w:t xml:space="preserve"> the C</w:t>
      </w:r>
      <w:r w:rsidRPr="00991696">
        <w:t xml:space="preserve">ommittee </w:t>
      </w:r>
      <w:r>
        <w:t>stated that it was</w:t>
      </w:r>
      <w:r w:rsidRPr="00991696">
        <w:t xml:space="preserve"> minded not to recommend </w:t>
      </w:r>
      <w:proofErr w:type="spellStart"/>
      <w:r w:rsidRPr="00991696">
        <w:t>vortioxetine</w:t>
      </w:r>
      <w:proofErr w:type="spellEnd"/>
      <w:r w:rsidRPr="00991696">
        <w:t xml:space="preserve"> within its marketing authorisation, that is, for treating </w:t>
      </w:r>
      <w:r w:rsidR="00324C0F">
        <w:t>MDEs</w:t>
      </w:r>
      <w:r w:rsidRPr="00991696">
        <w:t xml:space="preserve"> in adults. The Committee recommend</w:t>
      </w:r>
      <w:r>
        <w:t>ed</w:t>
      </w:r>
      <w:r w:rsidRPr="00991696">
        <w:t xml:space="preserve"> that NICE request</w:t>
      </w:r>
      <w:r>
        <w:t>ed</w:t>
      </w:r>
      <w:r w:rsidRPr="00991696">
        <w:t xml:space="preserve"> further clarification and analyses from the company, </w:t>
      </w:r>
      <w:r w:rsidR="000D04C7">
        <w:t>for</w:t>
      </w:r>
      <w:r w:rsidRPr="00991696">
        <w:t xml:space="preserve"> </w:t>
      </w:r>
      <w:r w:rsidR="000D04C7">
        <w:t>consideration at</w:t>
      </w:r>
      <w:r w:rsidRPr="00991696">
        <w:t xml:space="preserve"> </w:t>
      </w:r>
      <w:r w:rsidR="000D04C7">
        <w:t>a</w:t>
      </w:r>
      <w:r w:rsidRPr="00991696">
        <w:t xml:space="preserve"> second Appraisal Committee meeting.</w:t>
      </w:r>
      <w:r w:rsidR="006E08B8">
        <w:t xml:space="preserve"> There was considerable uncertainty regarding whether approving </w:t>
      </w:r>
      <w:proofErr w:type="spellStart"/>
      <w:r w:rsidR="006E08B8">
        <w:t>vortioxetine</w:t>
      </w:r>
      <w:proofErr w:type="spellEnd"/>
      <w:r w:rsidR="006E08B8">
        <w:t xml:space="preserve"> would be cost-effective or not. In particular, assuming equal effectiveness, the ERG had shown that </w:t>
      </w:r>
      <w:proofErr w:type="spellStart"/>
      <w:r w:rsidR="006E08B8">
        <w:t>vortioxetine</w:t>
      </w:r>
      <w:proofErr w:type="spellEnd"/>
      <w:r w:rsidR="006E08B8">
        <w:t xml:space="preserve"> was likely to be cost-effective if SSRIs were excluded as comparators. This would be more appropriate in a third-line setting after SSRIs had failed in first and second line. The Committee therefore requested further analysis in order to clarify this issue and other model structure and parameterisation issues,</w:t>
      </w:r>
      <w:r w:rsidR="000D04C7">
        <w:t xml:space="preserve"> </w:t>
      </w:r>
      <w:r w:rsidR="006E08B8">
        <w:t>specifically</w:t>
      </w:r>
      <w:r w:rsidR="000D04C7">
        <w:t xml:space="preserve">, the Committee requested new analyses with a revised model structure, use of clinical data pertaining to the broader patient population, and consideration of the cost-effectiveness of </w:t>
      </w:r>
      <w:proofErr w:type="spellStart"/>
      <w:r w:rsidR="000D04C7">
        <w:t>vortioxetine</w:t>
      </w:r>
      <w:proofErr w:type="spellEnd"/>
      <w:r w:rsidR="000D04C7">
        <w:t xml:space="preserve"> as a third-line treatment.</w:t>
      </w:r>
      <w:r w:rsidR="00EA6FA8">
        <w:t xml:space="preserve"> </w:t>
      </w:r>
    </w:p>
    <w:p w14:paraId="305AA2DE" w14:textId="77777777" w:rsidR="00AA1934" w:rsidRDefault="00E05A80" w:rsidP="00AA1934">
      <w:pPr>
        <w:pStyle w:val="Heading3"/>
      </w:pPr>
      <w:bookmarkStart w:id="33" w:name="_Toc448503402"/>
      <w:r>
        <w:t>4</w:t>
      </w:r>
      <w:r w:rsidR="00FB4184">
        <w:t>.1</w:t>
      </w:r>
      <w:r w:rsidR="00A67D1E">
        <w:t>.1</w:t>
      </w:r>
      <w:r w:rsidR="00A67D1E">
        <w:tab/>
      </w:r>
      <w:r w:rsidR="00F55A53">
        <w:t>Manufacturer’s</w:t>
      </w:r>
      <w:r w:rsidR="00A67D1E">
        <w:t xml:space="preserve"> Response to the ACD Consultation</w:t>
      </w:r>
      <w:bookmarkEnd w:id="32"/>
      <w:bookmarkEnd w:id="33"/>
    </w:p>
    <w:p w14:paraId="2026F8CA" w14:textId="646E5985" w:rsidR="007023A9" w:rsidRDefault="00907293" w:rsidP="007023A9">
      <w:r>
        <w:t xml:space="preserve">The company provided additional evidence in its response to the </w:t>
      </w:r>
      <w:r w:rsidR="00324C0F">
        <w:t>ACD</w:t>
      </w:r>
      <w:r>
        <w:t>. The additional evidence considered treatment of the third-line population</w:t>
      </w:r>
      <w:r w:rsidR="005B7BF9">
        <w:t xml:space="preserve"> and drew upon evidence from a broader base than the restriction to switch population studies as had been the case in the original submission</w:t>
      </w:r>
      <w:r>
        <w:t>.</w:t>
      </w:r>
      <w:r w:rsidR="007023A9">
        <w:t xml:space="preserve"> The manufacturer also </w:t>
      </w:r>
      <w:r w:rsidR="00852CE3">
        <w:t xml:space="preserve">further </w:t>
      </w:r>
      <w:r w:rsidR="007023A9">
        <w:t xml:space="preserve">revised the model </w:t>
      </w:r>
      <w:r w:rsidR="00852CE3">
        <w:t>to address specific issues raised. Including:</w:t>
      </w:r>
      <w:r w:rsidR="007023A9">
        <w:t xml:space="preserve"> defin</w:t>
      </w:r>
      <w:r w:rsidR="00852CE3">
        <w:t>ing</w:t>
      </w:r>
      <w:r w:rsidR="007023A9">
        <w:t xml:space="preserve"> treatment success, and decisions to switch treatment, by both remission and response (rather than remission alone); adjust</w:t>
      </w:r>
      <w:r w:rsidR="00852CE3">
        <w:t>ing</w:t>
      </w:r>
      <w:r w:rsidR="007023A9">
        <w:t xml:space="preserve"> the timing in the model regarding switching of treatment to that in the trials; included a risk of relapse or recurrence at all stages of depression; us</w:t>
      </w:r>
      <w:r w:rsidR="00852CE3">
        <w:t>ing</w:t>
      </w:r>
      <w:r w:rsidR="007023A9">
        <w:t xml:space="preserve"> the ERG's suggested corrected utility values from REVIVE; includ</w:t>
      </w:r>
      <w:r w:rsidR="00852CE3">
        <w:t>ing</w:t>
      </w:r>
      <w:r w:rsidR="007023A9">
        <w:t xml:space="preserve"> a 24 month time horizon (with discounting of costs and health effects after 12 months); finally, since SSRIs are not used in the UK for a third-line population, SSRIs were not in</w:t>
      </w:r>
      <w:r w:rsidR="00032A66">
        <w:t>cluded as relevant comparators.</w:t>
      </w:r>
    </w:p>
    <w:p w14:paraId="12232491" w14:textId="7D971575" w:rsidR="00FE6743" w:rsidRDefault="00907293" w:rsidP="00907293">
      <w:r>
        <w:t>The company stated that there was no evidence available for</w:t>
      </w:r>
      <w:r w:rsidR="000077C8">
        <w:t xml:space="preserve"> the clinical-effectiveness of</w:t>
      </w:r>
      <w:r>
        <w:t xml:space="preserve"> </w:t>
      </w:r>
      <w:proofErr w:type="spellStart"/>
      <w:r>
        <w:t>vortioxetine</w:t>
      </w:r>
      <w:proofErr w:type="spellEnd"/>
      <w:r>
        <w:t xml:space="preserve"> in people having third-line treatment. In addition to evidence sources and as</w:t>
      </w:r>
      <w:r w:rsidR="00FE6743">
        <w:t>sumptions considered previously - the original indirect t</w:t>
      </w:r>
      <w:r w:rsidR="00704A71">
        <w:t xml:space="preserve">reatment comparison, </w:t>
      </w:r>
      <w:proofErr w:type="spellStart"/>
      <w:r w:rsidR="00704A71">
        <w:t>Pae</w:t>
      </w:r>
      <w:proofErr w:type="spellEnd"/>
      <w:r w:rsidR="00704A71">
        <w:t xml:space="preserve"> et al.</w:t>
      </w:r>
      <w:r w:rsidR="00DE1EBD">
        <w:t xml:space="preserve"> </w:t>
      </w:r>
      <w:r w:rsidR="00DE1EBD">
        <w:fldChar w:fldCharType="begin" w:fldLock="1"/>
      </w:r>
      <w:r w:rsidR="00DE1EBD">
        <w:instrText>ADDIN CSL_CITATION { "citationItems" : [ { "id" : "ITEM-1", "itemData" : { "ISSN" : "1488-2434", "PMID" : "25350320", "abstract" : "BACKGROUND Vortioxetine was approved by the U.S. Food and Drug Administration (FDA) in September 2013 for treating major depressive disorder (MDD). Thus far, a number of randomized, double-blind, placebo-controlled clinical trials (RCTs) of vortioxetine have been conducted in patients with MDD. We performed a meta-analysis to increase the statistical power of these studies and enhance our current understanding of the role of vortioxetine in the treatment of MDD. METHODS We performed an extensive search of databases and the clinical trial registry. The mean change in total scores on the 24-item Hamilton Rating Scale for Depression (HAM-D) and the Montgomery- \u00c5sberg Depression Rating Scale (MADRS) from the baseline were the primary outcome measures. The secondary efficacy measures were the response and remission rates, as defined by a 50% or greater reduction in HAM-D/MADRS total scores and as a score of 10 or less in the MADRS and 7 or less in the HAM-D total scores at the end of treatment. RESULTS We included 7 published and 5 unpublished short-term (6-12 wk) RCTs in our meta-analysis. Vortioxetine was significantly more effective than placebo, with an effect size (standardized mean difference [SMD]) of -0.217 (95% confidence interval [CI] -0.313 to -0.122) and with odds ratios (ORs) for response and remission of 1.652 (95% CI 1.321 to 2.067) and 1.399 (95% CI 1.104 to 1.773), respectively. Those treated with vortioxetine did not differ significantly from those treated with selective norepinephrine reuptake inhibitors/agomelatine with regard to the SMD of the primary outcome measure (0.081, -0.062 to 0.223) or for response (OR 0.815, 95% CI 0.585 to 1.135) and remission (OR 0.843, 95% CI 0.575 to 1.238) rates. Discontinuation owing to lack of efficacy (OR 0.541, 95% CI 0.308 to 0.950) was significantly less common among those treated with vortioxetine than among those who received placebo, whereas discontinuation owing to adverse events (AEs; OR 1.530, 95% CI 1.144 to 2.047) was significantly more common among those treated with vortioxetine than among those receiving placebo. There was no significant difference in discontinuation rates between vortioxetine and comparators owing to inefficacy (OR 0.983, 95% CI 0.585 to 1.650), whereas discontinuation owing to AEs was significantly less common in the vortioxetine than in the comparator group (OR 0.728, 95% CI 0.554 to 0.957). LIMITATIONS Studies examining the role of vortioxetine in the treatment of MDD \u2026", "author" : [ { "dropping-particle" : "", "family" : "Pae", "given" : "Chi-Un", "non-dropping-particle" : "", "parse-names" : false, "suffix" : "" }, { "dropping-particle" : "", "family" : "Wang", "given" : "Sheng-Min", "non-dropping-particle" : "", "parse-names" : false, "suffix" : "" }, { "dropping-particle" : "", "family" : "Han", "given" : "Changsu", "non-dropping-particle" : "", "parse-names" : false, "suffix" : "" }, { "dropping-particle" : "", "family" : "Lee", "given" : "Soo-Jung", "non-dropping-particle" : "", "parse-names" : false, "suffix" : "" }, { "dropping-particle" : "", "family" : "Patkar", "given" : "Ashwin A", "non-dropping-particle" : "", "parse-names" : false, "suffix" : "" }, { "dropping-particle" : "", "family" : "Masand", "given" : "Praksh S", "non-dropping-particle" : "", "parse-names" : false, "suffix" : "" }, { "dropping-particle" : "", "family" : "Serretti", "given" : "Alessandro", "non-dropping-particle" : "", "parse-names" : false, "suffix" : "" } ], "container-title" : "Journal of psychiatry &amp; neuroscience : JPN", "id" : "ITEM-1", "issue" : "3", "issued" : { "date-parts" : [ [ "2015", "5" ] ] }, "page" : "174-86", "title" : "Vortioxetine: a meta-analysis of 12 short-term, randomized, placebo-controlled clinical trials for the treatment of major depressive disorder.", "type" : "article-journal", "volume" : "40" }, "uris" : [ "http://www.mendeley.com/documents/?uuid=1fa6f105-2390-3775-b205-5acb600227f2" ] } ], "mendeley" : { "formattedCitation" : "[8]", "plainTextFormattedCitation" : "[8]", "previouslyFormattedCitation" : "[8]" }, "properties" : { "noteIndex" : 0 }, "schema" : "https://github.com/citation-style-language/schema/raw/master/csl-citation.json" }</w:instrText>
      </w:r>
      <w:r w:rsidR="00DE1EBD">
        <w:fldChar w:fldCharType="separate"/>
      </w:r>
      <w:r w:rsidR="00DE1EBD" w:rsidRPr="00191B9B">
        <w:rPr>
          <w:noProof/>
        </w:rPr>
        <w:t>[8]</w:t>
      </w:r>
      <w:r w:rsidR="00DE1EBD">
        <w:fldChar w:fldCharType="end"/>
      </w:r>
      <w:r w:rsidR="00FE6743">
        <w:t xml:space="preserve">, </w:t>
      </w:r>
      <w:proofErr w:type="spellStart"/>
      <w:r w:rsidR="00FE6743">
        <w:t>Llorca</w:t>
      </w:r>
      <w:proofErr w:type="spellEnd"/>
      <w:r w:rsidR="00FE6743">
        <w:t xml:space="preserve"> et al.</w:t>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r w:rsidR="00FE6743">
        <w:t xml:space="preserve"> and </w:t>
      </w:r>
      <w:r>
        <w:t>equal</w:t>
      </w:r>
      <w:r w:rsidR="00FE6743">
        <w:t xml:space="preserve"> </w:t>
      </w:r>
      <w:r>
        <w:t xml:space="preserve">efficacy </w:t>
      </w:r>
      <w:r w:rsidR="00FE6743">
        <w:t>- the company also included an additional trial: SOLUTION.</w:t>
      </w:r>
    </w:p>
    <w:p w14:paraId="693E9794" w14:textId="6763459A" w:rsidR="00907293" w:rsidRDefault="00907293" w:rsidP="00907293">
      <w:r>
        <w:t>SOLUTION was an international, double-blind, randomised, active-control trial</w:t>
      </w:r>
      <w:r w:rsidR="007D21C2">
        <w:t xml:space="preserve"> containing</w:t>
      </w:r>
      <w:r>
        <w:t xml:space="preserve"> 410 East Asian adults</w:t>
      </w:r>
      <w:r w:rsidR="007D21C2">
        <w:t xml:space="preserve"> assigned to either </w:t>
      </w:r>
      <w:proofErr w:type="spellStart"/>
      <w:r w:rsidR="007D21C2">
        <w:t>vortioxetine</w:t>
      </w:r>
      <w:proofErr w:type="spellEnd"/>
      <w:r w:rsidR="007D21C2">
        <w:t xml:space="preserve"> (10 mg daily) or venlafaxine (150 mg daily).</w:t>
      </w:r>
      <w:r>
        <w:t xml:space="preserve"> </w:t>
      </w:r>
      <w:r w:rsidR="007D21C2">
        <w:t xml:space="preserve">Patients were recruited </w:t>
      </w:r>
      <w:r>
        <w:t xml:space="preserve">with recurrent moderate-to-severe </w:t>
      </w:r>
      <w:r w:rsidR="00324C0F">
        <w:t>MDD</w:t>
      </w:r>
      <w:r>
        <w:t xml:space="preserve"> and </w:t>
      </w:r>
      <w:r w:rsidR="007D21C2">
        <w:t>no exclusions were</w:t>
      </w:r>
      <w:r>
        <w:t xml:space="preserve"> based on the line of treatment used for their current </w:t>
      </w:r>
      <w:r w:rsidR="00324C0F">
        <w:t>MDE</w:t>
      </w:r>
      <w:r>
        <w:t>. They were assessed weekly during the first 2 weeks of treatment and then every 2 weeks until the end of the 8 week treatment period. The primary outcome measure in SOLUTION was change from baseline in MADRS score at week 8. The mean change from baseline in M</w:t>
      </w:r>
      <w:r w:rsidR="008D3182">
        <w:t>ADRS total scores at week 8 was -</w:t>
      </w:r>
      <w:r>
        <w:t>19.4 points</w:t>
      </w:r>
      <w:r w:rsidR="000077C8">
        <w:t xml:space="preserve"> </w:t>
      </w:r>
      <w:r>
        <w:t xml:space="preserve">in the </w:t>
      </w:r>
      <w:proofErr w:type="spellStart"/>
      <w:r>
        <w:t>vortioxetine</w:t>
      </w:r>
      <w:proofErr w:type="spellEnd"/>
      <w:r>
        <w:t xml:space="preserve"> group and </w:t>
      </w:r>
      <w:r w:rsidR="008D3182">
        <w:t>-</w:t>
      </w:r>
      <w:r>
        <w:t>18.2 points in the venlafaxine group. This resulted in a</w:t>
      </w:r>
      <w:r w:rsidR="000077C8">
        <w:t xml:space="preserve"> non-statistically significant</w:t>
      </w:r>
      <w:r>
        <w:t xml:space="preserve"> mean difference of </w:t>
      </w:r>
      <w:r w:rsidR="008D3182">
        <w:t>-</w:t>
      </w:r>
      <w:r>
        <w:t xml:space="preserve">1.2 points in favour of </w:t>
      </w:r>
      <w:proofErr w:type="spellStart"/>
      <w:r>
        <w:t>vortioxetine</w:t>
      </w:r>
      <w:proofErr w:type="spellEnd"/>
      <w:r>
        <w:t xml:space="preserve"> </w:t>
      </w:r>
      <w:r>
        <w:lastRenderedPageBreak/>
        <w:t>(95% CI −3.0 to 0.6). At week 8, 43.1</w:t>
      </w:r>
      <w:r w:rsidR="008D3182">
        <w:t>%</w:t>
      </w:r>
      <w:r>
        <w:t xml:space="preserve"> of the people’s </w:t>
      </w:r>
      <w:r w:rsidR="00324C0F">
        <w:t>MDEs</w:t>
      </w:r>
      <w:r>
        <w:t xml:space="preserve"> had remitted in the </w:t>
      </w:r>
      <w:proofErr w:type="spellStart"/>
      <w:r>
        <w:t>vortioxetine</w:t>
      </w:r>
      <w:proofErr w:type="spellEnd"/>
      <w:r>
        <w:t xml:space="preserve"> group and </w:t>
      </w:r>
      <w:proofErr w:type="spellStart"/>
      <w:r w:rsidR="000077C8">
        <w:t>and</w:t>
      </w:r>
      <w:proofErr w:type="spellEnd"/>
      <w:r w:rsidR="000077C8">
        <w:t xml:space="preserve"> 41.4% in the </w:t>
      </w:r>
      <w:r>
        <w:t xml:space="preserve">venlafaxine group. The company considered that the SOLUTION trial was relevant to the decision problem because it directly compared </w:t>
      </w:r>
      <w:proofErr w:type="spellStart"/>
      <w:r>
        <w:t>vortioxetine</w:t>
      </w:r>
      <w:proofErr w:type="spellEnd"/>
      <w:r>
        <w:t xml:space="preserve"> with venlafaxine.</w:t>
      </w:r>
    </w:p>
    <w:p w14:paraId="2149FEDB" w14:textId="77777777" w:rsidR="000D04C7" w:rsidRDefault="00907293" w:rsidP="00907293">
      <w:r>
        <w:t>The company presented probabilistic pairwise ICERs, as well as a fully incremental analysis, for several scenarios u</w:t>
      </w:r>
      <w:r w:rsidR="005823E5">
        <w:t xml:space="preserve">sing its revised economic model. The base case results presented </w:t>
      </w:r>
      <w:r w:rsidR="006E08B8">
        <w:t xml:space="preserve">in </w:t>
      </w:r>
      <w:r w:rsidR="006E08B8">
        <w:fldChar w:fldCharType="begin"/>
      </w:r>
      <w:r w:rsidR="006E08B8">
        <w:instrText xml:space="preserve"> REF _Ref446599508 \h </w:instrText>
      </w:r>
      <w:r w:rsidR="006E08B8">
        <w:fldChar w:fldCharType="separate"/>
      </w:r>
      <w:r w:rsidR="00C5039B">
        <w:t xml:space="preserve">Table </w:t>
      </w:r>
      <w:r w:rsidR="00C5039B">
        <w:rPr>
          <w:noProof/>
        </w:rPr>
        <w:t>6</w:t>
      </w:r>
      <w:r w:rsidR="006E08B8">
        <w:fldChar w:fldCharType="end"/>
      </w:r>
      <w:r w:rsidR="005823E5">
        <w:t xml:space="preserve"> represent a model set in primary care, with </w:t>
      </w:r>
      <w:proofErr w:type="gramStart"/>
      <w:r w:rsidR="005823E5">
        <w:t>a six</w:t>
      </w:r>
      <w:proofErr w:type="gramEnd"/>
      <w:r w:rsidR="005823E5">
        <w:t xml:space="preserve"> month duration of maintenance therapy following treatment success</w:t>
      </w:r>
      <w:r w:rsidR="005651AB">
        <w:t xml:space="preserve">. </w:t>
      </w:r>
    </w:p>
    <w:p w14:paraId="2EC2D53A" w14:textId="77777777" w:rsidR="006E08B8" w:rsidRDefault="006E08B8" w:rsidP="008D3182">
      <w:pPr>
        <w:pStyle w:val="Caption"/>
        <w:keepNext/>
        <w:spacing w:line="276" w:lineRule="auto"/>
      </w:pPr>
      <w:bookmarkStart w:id="34" w:name="_Ref446599508"/>
      <w:r>
        <w:t xml:space="preserve">Table </w:t>
      </w:r>
      <w:r w:rsidR="00CB3AB8">
        <w:fldChar w:fldCharType="begin"/>
      </w:r>
      <w:r w:rsidR="00CB3AB8">
        <w:instrText xml:space="preserve"> SEQ Table \* ARABIC </w:instrText>
      </w:r>
      <w:r w:rsidR="00CB3AB8">
        <w:fldChar w:fldCharType="separate"/>
      </w:r>
      <w:r w:rsidR="00C5039B">
        <w:rPr>
          <w:noProof/>
        </w:rPr>
        <w:t>6</w:t>
      </w:r>
      <w:r w:rsidR="00CB3AB8">
        <w:rPr>
          <w:noProof/>
        </w:rPr>
        <w:fldChar w:fldCharType="end"/>
      </w:r>
      <w:bookmarkEnd w:id="34"/>
      <w:r>
        <w:t xml:space="preserve"> - Revised economic model assuming primary care setting and six month maintenance therapy duration</w:t>
      </w:r>
    </w:p>
    <w:tbl>
      <w:tblPr>
        <w:tblStyle w:val="TableGrid"/>
        <w:tblW w:w="0" w:type="auto"/>
        <w:tblLook w:val="04A0" w:firstRow="1" w:lastRow="0" w:firstColumn="1" w:lastColumn="0" w:noHBand="0" w:noVBand="1"/>
      </w:tblPr>
      <w:tblGrid>
        <w:gridCol w:w="2093"/>
        <w:gridCol w:w="1275"/>
        <w:gridCol w:w="1276"/>
        <w:gridCol w:w="1942"/>
        <w:gridCol w:w="1943"/>
      </w:tblGrid>
      <w:tr w:rsidR="005651AB" w:rsidRPr="00825CCF" w14:paraId="0C862114" w14:textId="77777777" w:rsidTr="006A49E7">
        <w:tc>
          <w:tcPr>
            <w:tcW w:w="2093" w:type="dxa"/>
          </w:tcPr>
          <w:p w14:paraId="037AD85B" w14:textId="77777777" w:rsidR="005651AB" w:rsidRPr="00B3184D" w:rsidRDefault="005651AB" w:rsidP="006A49E7">
            <w:pPr>
              <w:pStyle w:val="NICEnormal"/>
              <w:spacing w:after="0" w:line="276" w:lineRule="auto"/>
              <w:rPr>
                <w:sz w:val="22"/>
              </w:rPr>
            </w:pPr>
          </w:p>
        </w:tc>
        <w:tc>
          <w:tcPr>
            <w:tcW w:w="1275" w:type="dxa"/>
          </w:tcPr>
          <w:p w14:paraId="1ACADD13" w14:textId="77777777" w:rsidR="005651AB" w:rsidRPr="00EC2C61" w:rsidRDefault="005651AB" w:rsidP="006A49E7">
            <w:pPr>
              <w:pStyle w:val="Tabletext"/>
              <w:rPr>
                <w:b/>
                <w:bCs/>
              </w:rPr>
            </w:pPr>
            <w:r w:rsidRPr="00EC2C61">
              <w:rPr>
                <w:b/>
                <w:bCs/>
              </w:rPr>
              <w:t>Costs (£)</w:t>
            </w:r>
          </w:p>
        </w:tc>
        <w:tc>
          <w:tcPr>
            <w:tcW w:w="1276" w:type="dxa"/>
          </w:tcPr>
          <w:p w14:paraId="738FD659" w14:textId="77777777" w:rsidR="005651AB" w:rsidRPr="00EC2C61" w:rsidRDefault="005651AB" w:rsidP="006A49E7">
            <w:pPr>
              <w:pStyle w:val="Tabletext"/>
              <w:rPr>
                <w:b/>
                <w:bCs/>
              </w:rPr>
            </w:pPr>
            <w:r w:rsidRPr="00EC2C61">
              <w:rPr>
                <w:b/>
                <w:bCs/>
              </w:rPr>
              <w:t>QALYs</w:t>
            </w:r>
          </w:p>
        </w:tc>
        <w:tc>
          <w:tcPr>
            <w:tcW w:w="1942" w:type="dxa"/>
          </w:tcPr>
          <w:p w14:paraId="701F1A3A" w14:textId="77777777" w:rsidR="005651AB" w:rsidRPr="00530A8E" w:rsidRDefault="005651AB" w:rsidP="006A49E7">
            <w:pPr>
              <w:pStyle w:val="Tabletext"/>
              <w:rPr>
                <w:b/>
                <w:bCs/>
                <w:lang w:val="fr-FR"/>
              </w:rPr>
            </w:pPr>
            <w:proofErr w:type="spellStart"/>
            <w:r w:rsidRPr="00530A8E">
              <w:rPr>
                <w:b/>
                <w:bCs/>
                <w:lang w:val="fr-FR"/>
              </w:rPr>
              <w:t>Pairwise</w:t>
            </w:r>
            <w:proofErr w:type="spellEnd"/>
            <w:r w:rsidRPr="00530A8E">
              <w:rPr>
                <w:b/>
                <w:bCs/>
                <w:lang w:val="fr-FR"/>
              </w:rPr>
              <w:t xml:space="preserve"> </w:t>
            </w:r>
            <w:proofErr w:type="spellStart"/>
            <w:r w:rsidRPr="00530A8E">
              <w:rPr>
                <w:b/>
                <w:bCs/>
                <w:lang w:val="fr-FR"/>
              </w:rPr>
              <w:t>ICERs</w:t>
            </w:r>
            <w:proofErr w:type="spellEnd"/>
            <w:r w:rsidRPr="00530A8E">
              <w:rPr>
                <w:b/>
                <w:bCs/>
                <w:lang w:val="fr-FR"/>
              </w:rPr>
              <w:t xml:space="preserve"> (</w:t>
            </w:r>
            <w:proofErr w:type="spellStart"/>
            <w:r w:rsidRPr="00530A8E">
              <w:rPr>
                <w:b/>
                <w:bCs/>
                <w:lang w:val="fr-FR"/>
              </w:rPr>
              <w:t>vortioxetine</w:t>
            </w:r>
            <w:proofErr w:type="spellEnd"/>
            <w:r w:rsidRPr="00530A8E">
              <w:rPr>
                <w:b/>
                <w:bCs/>
                <w:lang w:val="fr-FR"/>
              </w:rPr>
              <w:t xml:space="preserve"> versus </w:t>
            </w:r>
            <w:proofErr w:type="spellStart"/>
            <w:r w:rsidRPr="00530A8E">
              <w:rPr>
                <w:b/>
                <w:bCs/>
                <w:lang w:val="fr-FR"/>
              </w:rPr>
              <w:t>comparator</w:t>
            </w:r>
            <w:proofErr w:type="spellEnd"/>
            <w:r w:rsidRPr="00530A8E">
              <w:rPr>
                <w:b/>
                <w:bCs/>
                <w:lang w:val="fr-FR"/>
              </w:rPr>
              <w:t>)</w:t>
            </w:r>
          </w:p>
        </w:tc>
        <w:tc>
          <w:tcPr>
            <w:tcW w:w="1943" w:type="dxa"/>
          </w:tcPr>
          <w:p w14:paraId="743E13AF" w14:textId="77777777" w:rsidR="005651AB" w:rsidRPr="00EC2C61" w:rsidRDefault="005651AB" w:rsidP="006A49E7">
            <w:pPr>
              <w:pStyle w:val="Tabletext"/>
              <w:rPr>
                <w:b/>
                <w:bCs/>
              </w:rPr>
            </w:pPr>
            <w:r w:rsidRPr="00EC2C61">
              <w:rPr>
                <w:b/>
                <w:bCs/>
              </w:rPr>
              <w:t>Incremental ICERs</w:t>
            </w:r>
          </w:p>
        </w:tc>
      </w:tr>
      <w:tr w:rsidR="005651AB" w:rsidRPr="00825CCF" w14:paraId="41ECBB8E" w14:textId="77777777" w:rsidTr="006A49E7">
        <w:tc>
          <w:tcPr>
            <w:tcW w:w="8529" w:type="dxa"/>
            <w:gridSpan w:val="5"/>
          </w:tcPr>
          <w:p w14:paraId="10AFC387" w14:textId="77777777" w:rsidR="005651AB" w:rsidRPr="00EC2C61" w:rsidRDefault="005651AB" w:rsidP="006A49E7">
            <w:pPr>
              <w:pStyle w:val="Tabletext"/>
              <w:rPr>
                <w:b/>
                <w:bCs/>
              </w:rPr>
            </w:pPr>
            <w:r w:rsidRPr="00EC2C61">
              <w:rPr>
                <w:b/>
                <w:bCs/>
              </w:rPr>
              <w:t>Scenario: Equal efficacy</w:t>
            </w:r>
          </w:p>
        </w:tc>
      </w:tr>
      <w:tr w:rsidR="005651AB" w:rsidRPr="00825CCF" w14:paraId="24C54D6F" w14:textId="77777777" w:rsidTr="006A49E7">
        <w:tc>
          <w:tcPr>
            <w:tcW w:w="2093" w:type="dxa"/>
            <w:vAlign w:val="center"/>
          </w:tcPr>
          <w:p w14:paraId="31E40231" w14:textId="77777777" w:rsidR="005651AB" w:rsidRPr="00B3184D" w:rsidRDefault="005651AB" w:rsidP="006A49E7">
            <w:pPr>
              <w:pStyle w:val="Tabletext"/>
            </w:pPr>
            <w:r w:rsidRPr="00B3184D">
              <w:t>Vortioxetine</w:t>
            </w:r>
          </w:p>
        </w:tc>
        <w:tc>
          <w:tcPr>
            <w:tcW w:w="1275" w:type="dxa"/>
            <w:vAlign w:val="center"/>
          </w:tcPr>
          <w:p w14:paraId="1334CFD8" w14:textId="77777777" w:rsidR="005651AB" w:rsidRPr="00B3184D" w:rsidRDefault="005651AB" w:rsidP="006A49E7">
            <w:pPr>
              <w:pStyle w:val="Tabletext"/>
              <w:jc w:val="right"/>
            </w:pPr>
            <w:r w:rsidRPr="00B3184D">
              <w:t>1399</w:t>
            </w:r>
          </w:p>
        </w:tc>
        <w:tc>
          <w:tcPr>
            <w:tcW w:w="1276" w:type="dxa"/>
            <w:vAlign w:val="center"/>
          </w:tcPr>
          <w:p w14:paraId="6C16543A" w14:textId="77777777" w:rsidR="005651AB" w:rsidRPr="00B3184D" w:rsidRDefault="005651AB" w:rsidP="006A49E7">
            <w:pPr>
              <w:pStyle w:val="Tabletext"/>
              <w:jc w:val="right"/>
            </w:pPr>
            <w:r w:rsidRPr="00B3184D">
              <w:t>1.427</w:t>
            </w:r>
          </w:p>
        </w:tc>
        <w:tc>
          <w:tcPr>
            <w:tcW w:w="1942" w:type="dxa"/>
            <w:vAlign w:val="center"/>
          </w:tcPr>
          <w:p w14:paraId="2FAA2F34" w14:textId="77777777" w:rsidR="005651AB" w:rsidRPr="00B3184D" w:rsidRDefault="005651AB" w:rsidP="006A49E7">
            <w:pPr>
              <w:pStyle w:val="Tabletext"/>
              <w:jc w:val="right"/>
            </w:pPr>
            <w:r w:rsidRPr="00B3184D">
              <w:t>n/a</w:t>
            </w:r>
          </w:p>
        </w:tc>
        <w:tc>
          <w:tcPr>
            <w:tcW w:w="1943" w:type="dxa"/>
            <w:vAlign w:val="center"/>
          </w:tcPr>
          <w:p w14:paraId="2EE1BABA" w14:textId="77777777" w:rsidR="005651AB" w:rsidRPr="00B3184D" w:rsidRDefault="005651AB" w:rsidP="006A49E7">
            <w:pPr>
              <w:pStyle w:val="Tabletext"/>
              <w:jc w:val="right"/>
            </w:pPr>
            <w:r w:rsidRPr="00B3184D">
              <w:t>Ref</w:t>
            </w:r>
          </w:p>
        </w:tc>
      </w:tr>
      <w:tr w:rsidR="005651AB" w:rsidRPr="00825CCF" w14:paraId="6519F9AB" w14:textId="77777777" w:rsidTr="006A49E7">
        <w:tc>
          <w:tcPr>
            <w:tcW w:w="2093" w:type="dxa"/>
            <w:vAlign w:val="center"/>
          </w:tcPr>
          <w:p w14:paraId="40386953" w14:textId="77777777" w:rsidR="005651AB" w:rsidRPr="00B3184D" w:rsidRDefault="005651AB" w:rsidP="006A49E7">
            <w:pPr>
              <w:pStyle w:val="Tabletext"/>
            </w:pPr>
            <w:r w:rsidRPr="00B3184D">
              <w:t>Venlafaxine</w:t>
            </w:r>
          </w:p>
        </w:tc>
        <w:tc>
          <w:tcPr>
            <w:tcW w:w="1275" w:type="dxa"/>
            <w:vAlign w:val="center"/>
          </w:tcPr>
          <w:p w14:paraId="4F2D725D" w14:textId="77777777" w:rsidR="005651AB" w:rsidRPr="00B3184D" w:rsidRDefault="005651AB" w:rsidP="006A49E7">
            <w:pPr>
              <w:pStyle w:val="Tabletext"/>
              <w:jc w:val="right"/>
            </w:pPr>
            <w:r w:rsidRPr="00B3184D">
              <w:t>1400</w:t>
            </w:r>
          </w:p>
        </w:tc>
        <w:tc>
          <w:tcPr>
            <w:tcW w:w="1276" w:type="dxa"/>
            <w:vAlign w:val="center"/>
          </w:tcPr>
          <w:p w14:paraId="1D893221" w14:textId="77777777" w:rsidR="005651AB" w:rsidRPr="00B3184D" w:rsidRDefault="005651AB" w:rsidP="006A49E7">
            <w:pPr>
              <w:pStyle w:val="Tabletext"/>
              <w:jc w:val="right"/>
            </w:pPr>
            <w:r w:rsidRPr="00B3184D">
              <w:t>1.410</w:t>
            </w:r>
          </w:p>
        </w:tc>
        <w:tc>
          <w:tcPr>
            <w:tcW w:w="1942" w:type="dxa"/>
            <w:vAlign w:val="center"/>
          </w:tcPr>
          <w:p w14:paraId="3354D562" w14:textId="77777777" w:rsidR="005651AB" w:rsidRPr="00B3184D" w:rsidRDefault="005651AB" w:rsidP="006A49E7">
            <w:pPr>
              <w:pStyle w:val="Tabletext"/>
              <w:jc w:val="right"/>
            </w:pPr>
            <w:r w:rsidRPr="00B3184D">
              <w:t>Dominant</w:t>
            </w:r>
          </w:p>
        </w:tc>
        <w:tc>
          <w:tcPr>
            <w:tcW w:w="1943" w:type="dxa"/>
            <w:vAlign w:val="center"/>
          </w:tcPr>
          <w:p w14:paraId="588AEFAF" w14:textId="77777777" w:rsidR="005651AB" w:rsidRPr="00B3184D" w:rsidRDefault="005651AB" w:rsidP="006A49E7">
            <w:pPr>
              <w:pStyle w:val="Tabletext"/>
              <w:jc w:val="right"/>
            </w:pPr>
            <w:r w:rsidRPr="00B3184D">
              <w:t>Dominated</w:t>
            </w:r>
          </w:p>
        </w:tc>
      </w:tr>
      <w:tr w:rsidR="005651AB" w:rsidRPr="00825CCF" w14:paraId="5377904B" w14:textId="77777777" w:rsidTr="006A49E7">
        <w:tc>
          <w:tcPr>
            <w:tcW w:w="2093" w:type="dxa"/>
            <w:vAlign w:val="center"/>
          </w:tcPr>
          <w:p w14:paraId="308C00F2" w14:textId="77777777" w:rsidR="005651AB" w:rsidRPr="00B3184D" w:rsidRDefault="005651AB" w:rsidP="006A49E7">
            <w:pPr>
              <w:pStyle w:val="Tabletext"/>
            </w:pPr>
            <w:r w:rsidRPr="00B3184D">
              <w:t>Duloxetine</w:t>
            </w:r>
          </w:p>
        </w:tc>
        <w:tc>
          <w:tcPr>
            <w:tcW w:w="1275" w:type="dxa"/>
            <w:vAlign w:val="center"/>
          </w:tcPr>
          <w:p w14:paraId="060D0601" w14:textId="77777777" w:rsidR="005651AB" w:rsidRPr="00B3184D" w:rsidRDefault="005651AB" w:rsidP="006A49E7">
            <w:pPr>
              <w:pStyle w:val="Tabletext"/>
              <w:jc w:val="right"/>
            </w:pPr>
            <w:r w:rsidRPr="00B3184D">
              <w:t>1549</w:t>
            </w:r>
          </w:p>
        </w:tc>
        <w:tc>
          <w:tcPr>
            <w:tcW w:w="1276" w:type="dxa"/>
            <w:vAlign w:val="center"/>
          </w:tcPr>
          <w:p w14:paraId="3CAC0FC8" w14:textId="77777777" w:rsidR="005651AB" w:rsidRPr="00B3184D" w:rsidRDefault="005651AB" w:rsidP="006A49E7">
            <w:pPr>
              <w:pStyle w:val="Tabletext"/>
              <w:jc w:val="right"/>
            </w:pPr>
            <w:r w:rsidRPr="00B3184D">
              <w:t>1.411</w:t>
            </w:r>
          </w:p>
        </w:tc>
        <w:tc>
          <w:tcPr>
            <w:tcW w:w="1942" w:type="dxa"/>
            <w:vAlign w:val="center"/>
          </w:tcPr>
          <w:p w14:paraId="2FE64712" w14:textId="77777777" w:rsidR="005651AB" w:rsidRPr="00B3184D" w:rsidRDefault="005651AB" w:rsidP="006A49E7">
            <w:pPr>
              <w:pStyle w:val="Tabletext"/>
              <w:jc w:val="right"/>
            </w:pPr>
            <w:r w:rsidRPr="00B3184D">
              <w:t>Dominant</w:t>
            </w:r>
          </w:p>
        </w:tc>
        <w:tc>
          <w:tcPr>
            <w:tcW w:w="1943" w:type="dxa"/>
            <w:vAlign w:val="center"/>
          </w:tcPr>
          <w:p w14:paraId="30414818" w14:textId="77777777" w:rsidR="005651AB" w:rsidRPr="00B3184D" w:rsidRDefault="005651AB" w:rsidP="006A49E7">
            <w:pPr>
              <w:pStyle w:val="Tabletext"/>
              <w:jc w:val="right"/>
            </w:pPr>
            <w:r w:rsidRPr="00B3184D">
              <w:t>Dominated</w:t>
            </w:r>
          </w:p>
        </w:tc>
      </w:tr>
      <w:tr w:rsidR="005651AB" w:rsidRPr="00825CCF" w14:paraId="62457B0C" w14:textId="77777777" w:rsidTr="006A49E7">
        <w:tc>
          <w:tcPr>
            <w:tcW w:w="2093" w:type="dxa"/>
            <w:vAlign w:val="center"/>
          </w:tcPr>
          <w:p w14:paraId="2CE76357" w14:textId="77777777" w:rsidR="005651AB" w:rsidRPr="00B3184D" w:rsidRDefault="005651AB" w:rsidP="006A49E7">
            <w:pPr>
              <w:pStyle w:val="Tabletext"/>
            </w:pPr>
            <w:r w:rsidRPr="00B3184D">
              <w:t>Agomelatine</w:t>
            </w:r>
          </w:p>
        </w:tc>
        <w:tc>
          <w:tcPr>
            <w:tcW w:w="1275" w:type="dxa"/>
            <w:vAlign w:val="center"/>
          </w:tcPr>
          <w:p w14:paraId="43DACF21" w14:textId="77777777" w:rsidR="005651AB" w:rsidRPr="00B3184D" w:rsidRDefault="005651AB" w:rsidP="006A49E7">
            <w:pPr>
              <w:pStyle w:val="Tabletext"/>
              <w:jc w:val="right"/>
            </w:pPr>
            <w:r w:rsidRPr="00B3184D">
              <w:t>1567</w:t>
            </w:r>
          </w:p>
        </w:tc>
        <w:tc>
          <w:tcPr>
            <w:tcW w:w="1276" w:type="dxa"/>
            <w:vAlign w:val="center"/>
          </w:tcPr>
          <w:p w14:paraId="3C490C9D" w14:textId="77777777" w:rsidR="005651AB" w:rsidRPr="00B3184D" w:rsidRDefault="005651AB" w:rsidP="006A49E7">
            <w:pPr>
              <w:pStyle w:val="Tabletext"/>
              <w:jc w:val="right"/>
            </w:pPr>
            <w:r w:rsidRPr="00B3184D">
              <w:t>1.428</w:t>
            </w:r>
          </w:p>
        </w:tc>
        <w:tc>
          <w:tcPr>
            <w:tcW w:w="1942" w:type="dxa"/>
            <w:vAlign w:val="center"/>
          </w:tcPr>
          <w:p w14:paraId="5975C4E4" w14:textId="77777777" w:rsidR="005651AB" w:rsidRPr="00B3184D" w:rsidRDefault="005651AB" w:rsidP="006A49E7">
            <w:pPr>
              <w:pStyle w:val="Tabletext"/>
              <w:jc w:val="right"/>
            </w:pPr>
            <w:r w:rsidRPr="00B3184D">
              <w:t>£243,079</w:t>
            </w:r>
            <w:r w:rsidRPr="005B023E">
              <w:rPr>
                <w:vertAlign w:val="superscript"/>
              </w:rPr>
              <w:t>1</w:t>
            </w:r>
          </w:p>
        </w:tc>
        <w:tc>
          <w:tcPr>
            <w:tcW w:w="1943" w:type="dxa"/>
            <w:vAlign w:val="center"/>
          </w:tcPr>
          <w:p w14:paraId="160F4136" w14:textId="77777777" w:rsidR="005651AB" w:rsidRPr="00B3184D" w:rsidRDefault="005651AB" w:rsidP="006A49E7">
            <w:pPr>
              <w:pStyle w:val="Tabletext"/>
              <w:jc w:val="right"/>
            </w:pPr>
            <w:r w:rsidRPr="00B3184D">
              <w:t>£243,079</w:t>
            </w:r>
          </w:p>
        </w:tc>
      </w:tr>
      <w:tr w:rsidR="005651AB" w:rsidRPr="00825CCF" w14:paraId="59ABA60E" w14:textId="77777777" w:rsidTr="006A49E7">
        <w:tc>
          <w:tcPr>
            <w:tcW w:w="8529" w:type="dxa"/>
            <w:gridSpan w:val="5"/>
            <w:vAlign w:val="center"/>
          </w:tcPr>
          <w:p w14:paraId="1E8E71AC" w14:textId="4B9618B2" w:rsidR="005651AB" w:rsidRPr="00EC2C61" w:rsidRDefault="005651AB" w:rsidP="006A49E7">
            <w:pPr>
              <w:pStyle w:val="Tabletext"/>
              <w:rPr>
                <w:b/>
                <w:bCs/>
              </w:rPr>
            </w:pPr>
            <w:r w:rsidRPr="00EC2C61">
              <w:rPr>
                <w:b/>
                <w:bCs/>
              </w:rPr>
              <w:t xml:space="preserve">Scenario: </w:t>
            </w:r>
            <w:proofErr w:type="spellStart"/>
            <w:r w:rsidRPr="00EC2C61">
              <w:rPr>
                <w:b/>
                <w:bCs/>
              </w:rPr>
              <w:t>Llorca</w:t>
            </w:r>
            <w:proofErr w:type="spellEnd"/>
            <w:r w:rsidRPr="00EC2C61">
              <w:rPr>
                <w:b/>
                <w:bCs/>
              </w:rPr>
              <w:t xml:space="preserve"> et al. (2014)</w:t>
            </w:r>
            <w:r w:rsidR="00DE1EBD">
              <w:rPr>
                <w:b/>
                <w:bCs/>
              </w:rPr>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p>
        </w:tc>
      </w:tr>
      <w:tr w:rsidR="005651AB" w:rsidRPr="00825CCF" w14:paraId="77AC965E" w14:textId="77777777" w:rsidTr="006A49E7">
        <w:tc>
          <w:tcPr>
            <w:tcW w:w="2093" w:type="dxa"/>
            <w:vAlign w:val="bottom"/>
          </w:tcPr>
          <w:p w14:paraId="290E475F" w14:textId="77777777" w:rsidR="005651AB" w:rsidRPr="00B3184D" w:rsidRDefault="005651AB" w:rsidP="006A49E7">
            <w:pPr>
              <w:pStyle w:val="Tabletext"/>
            </w:pPr>
            <w:r w:rsidRPr="00B3184D">
              <w:t>Venlafaxine</w:t>
            </w:r>
          </w:p>
        </w:tc>
        <w:tc>
          <w:tcPr>
            <w:tcW w:w="1275" w:type="dxa"/>
            <w:vAlign w:val="center"/>
          </w:tcPr>
          <w:p w14:paraId="23D4CAA6" w14:textId="77777777" w:rsidR="005651AB" w:rsidRPr="00B3184D" w:rsidRDefault="005651AB" w:rsidP="006A49E7">
            <w:pPr>
              <w:pStyle w:val="Tabletext"/>
              <w:jc w:val="right"/>
            </w:pPr>
            <w:r w:rsidRPr="00B3184D">
              <w:t>1331</w:t>
            </w:r>
          </w:p>
        </w:tc>
        <w:tc>
          <w:tcPr>
            <w:tcW w:w="1276" w:type="dxa"/>
            <w:vAlign w:val="center"/>
          </w:tcPr>
          <w:p w14:paraId="356F128E" w14:textId="77777777" w:rsidR="005651AB" w:rsidRPr="00B3184D" w:rsidRDefault="005651AB" w:rsidP="006A49E7">
            <w:pPr>
              <w:pStyle w:val="Tabletext"/>
              <w:jc w:val="right"/>
            </w:pPr>
            <w:r w:rsidRPr="00B3184D">
              <w:t>1.431</w:t>
            </w:r>
          </w:p>
        </w:tc>
        <w:tc>
          <w:tcPr>
            <w:tcW w:w="1942" w:type="dxa"/>
            <w:vAlign w:val="center"/>
          </w:tcPr>
          <w:p w14:paraId="012799AC" w14:textId="77777777" w:rsidR="005651AB" w:rsidRPr="00B3184D" w:rsidRDefault="005651AB" w:rsidP="006A49E7">
            <w:pPr>
              <w:pStyle w:val="Tabletext"/>
              <w:jc w:val="right"/>
            </w:pPr>
            <w:r w:rsidRPr="00B3184D">
              <w:t>Dominated</w:t>
            </w:r>
          </w:p>
        </w:tc>
        <w:tc>
          <w:tcPr>
            <w:tcW w:w="1943" w:type="dxa"/>
            <w:vAlign w:val="center"/>
          </w:tcPr>
          <w:p w14:paraId="673F04EB" w14:textId="77777777" w:rsidR="005651AB" w:rsidRPr="00B3184D" w:rsidRDefault="005651AB" w:rsidP="006A49E7">
            <w:pPr>
              <w:pStyle w:val="Tabletext"/>
              <w:jc w:val="right"/>
            </w:pPr>
            <w:r w:rsidRPr="00B3184D">
              <w:t>Ref</w:t>
            </w:r>
          </w:p>
        </w:tc>
      </w:tr>
      <w:tr w:rsidR="005651AB" w:rsidRPr="00825CCF" w14:paraId="23A3CA94" w14:textId="77777777" w:rsidTr="006A49E7">
        <w:tc>
          <w:tcPr>
            <w:tcW w:w="2093" w:type="dxa"/>
            <w:vAlign w:val="bottom"/>
          </w:tcPr>
          <w:p w14:paraId="33118823" w14:textId="77777777" w:rsidR="005651AB" w:rsidRPr="00B3184D" w:rsidRDefault="005651AB" w:rsidP="006A49E7">
            <w:pPr>
              <w:pStyle w:val="Tabletext"/>
            </w:pPr>
            <w:r w:rsidRPr="00B3184D">
              <w:t>Vortioxetine</w:t>
            </w:r>
          </w:p>
        </w:tc>
        <w:tc>
          <w:tcPr>
            <w:tcW w:w="1275" w:type="dxa"/>
            <w:vAlign w:val="center"/>
          </w:tcPr>
          <w:p w14:paraId="42A08773" w14:textId="77777777" w:rsidR="005651AB" w:rsidRPr="00B3184D" w:rsidRDefault="005651AB" w:rsidP="006A49E7">
            <w:pPr>
              <w:pStyle w:val="Tabletext"/>
              <w:jc w:val="right"/>
            </w:pPr>
            <w:r w:rsidRPr="00B3184D">
              <w:t>1394</w:t>
            </w:r>
          </w:p>
        </w:tc>
        <w:tc>
          <w:tcPr>
            <w:tcW w:w="1276" w:type="dxa"/>
            <w:vAlign w:val="center"/>
          </w:tcPr>
          <w:p w14:paraId="23790D5D" w14:textId="77777777" w:rsidR="005651AB" w:rsidRPr="00B3184D" w:rsidRDefault="005651AB" w:rsidP="006A49E7">
            <w:pPr>
              <w:pStyle w:val="Tabletext"/>
              <w:jc w:val="right"/>
            </w:pPr>
            <w:r w:rsidRPr="00B3184D">
              <w:t>1.427</w:t>
            </w:r>
          </w:p>
        </w:tc>
        <w:tc>
          <w:tcPr>
            <w:tcW w:w="1942" w:type="dxa"/>
            <w:vAlign w:val="center"/>
          </w:tcPr>
          <w:p w14:paraId="7602604E" w14:textId="77777777" w:rsidR="005651AB" w:rsidRPr="00B3184D" w:rsidRDefault="005651AB" w:rsidP="006A49E7">
            <w:pPr>
              <w:pStyle w:val="Tabletext"/>
              <w:jc w:val="right"/>
            </w:pPr>
            <w:r w:rsidRPr="00B3184D">
              <w:t>n/a</w:t>
            </w:r>
          </w:p>
        </w:tc>
        <w:tc>
          <w:tcPr>
            <w:tcW w:w="1943" w:type="dxa"/>
            <w:vAlign w:val="center"/>
          </w:tcPr>
          <w:p w14:paraId="54358107" w14:textId="77777777" w:rsidR="005651AB" w:rsidRPr="00B3184D" w:rsidRDefault="005651AB" w:rsidP="006A49E7">
            <w:pPr>
              <w:pStyle w:val="Tabletext"/>
              <w:jc w:val="right"/>
            </w:pPr>
            <w:r w:rsidRPr="00B3184D">
              <w:t>Dominated</w:t>
            </w:r>
          </w:p>
        </w:tc>
      </w:tr>
      <w:tr w:rsidR="005651AB" w:rsidRPr="00825CCF" w14:paraId="7742CBA4" w14:textId="77777777" w:rsidTr="006A49E7">
        <w:tc>
          <w:tcPr>
            <w:tcW w:w="2093" w:type="dxa"/>
            <w:vAlign w:val="bottom"/>
          </w:tcPr>
          <w:p w14:paraId="5D9F4BDB" w14:textId="77777777" w:rsidR="005651AB" w:rsidRPr="00B3184D" w:rsidRDefault="005651AB" w:rsidP="006A49E7">
            <w:pPr>
              <w:pStyle w:val="Tabletext"/>
            </w:pPr>
            <w:r w:rsidRPr="00B3184D">
              <w:t>Duloxetine</w:t>
            </w:r>
          </w:p>
        </w:tc>
        <w:tc>
          <w:tcPr>
            <w:tcW w:w="1275" w:type="dxa"/>
            <w:vAlign w:val="center"/>
          </w:tcPr>
          <w:p w14:paraId="432E0453" w14:textId="77777777" w:rsidR="005651AB" w:rsidRPr="00B3184D" w:rsidRDefault="005651AB" w:rsidP="006A49E7">
            <w:pPr>
              <w:pStyle w:val="Tabletext"/>
              <w:jc w:val="right"/>
            </w:pPr>
            <w:r w:rsidRPr="00B3184D">
              <w:t>1526</w:t>
            </w:r>
          </w:p>
        </w:tc>
        <w:tc>
          <w:tcPr>
            <w:tcW w:w="1276" w:type="dxa"/>
            <w:vAlign w:val="center"/>
          </w:tcPr>
          <w:p w14:paraId="5768AFFB" w14:textId="77777777" w:rsidR="005651AB" w:rsidRPr="00B3184D" w:rsidRDefault="005651AB" w:rsidP="006A49E7">
            <w:pPr>
              <w:pStyle w:val="Tabletext"/>
              <w:jc w:val="right"/>
            </w:pPr>
            <w:r w:rsidRPr="00B3184D">
              <w:t>1.424</w:t>
            </w:r>
          </w:p>
        </w:tc>
        <w:tc>
          <w:tcPr>
            <w:tcW w:w="1942" w:type="dxa"/>
            <w:vAlign w:val="center"/>
          </w:tcPr>
          <w:p w14:paraId="66340321" w14:textId="77777777" w:rsidR="005651AB" w:rsidRPr="00B3184D" w:rsidRDefault="005651AB" w:rsidP="006A49E7">
            <w:pPr>
              <w:pStyle w:val="Tabletext"/>
              <w:jc w:val="right"/>
            </w:pPr>
            <w:r w:rsidRPr="00B3184D">
              <w:t>Dominant</w:t>
            </w:r>
          </w:p>
        </w:tc>
        <w:tc>
          <w:tcPr>
            <w:tcW w:w="1943" w:type="dxa"/>
            <w:vAlign w:val="center"/>
          </w:tcPr>
          <w:p w14:paraId="7468E5BF" w14:textId="77777777" w:rsidR="005651AB" w:rsidRPr="00B3184D" w:rsidRDefault="005651AB" w:rsidP="006A49E7">
            <w:pPr>
              <w:pStyle w:val="Tabletext"/>
              <w:jc w:val="right"/>
            </w:pPr>
            <w:r w:rsidRPr="00B3184D">
              <w:t>Dominated</w:t>
            </w:r>
          </w:p>
        </w:tc>
      </w:tr>
      <w:tr w:rsidR="005651AB" w:rsidRPr="00825CCF" w14:paraId="60F786F1" w14:textId="77777777" w:rsidTr="006A49E7">
        <w:tc>
          <w:tcPr>
            <w:tcW w:w="2093" w:type="dxa"/>
            <w:vAlign w:val="bottom"/>
          </w:tcPr>
          <w:p w14:paraId="588B4B23" w14:textId="77777777" w:rsidR="005651AB" w:rsidRPr="00B3184D" w:rsidRDefault="005651AB" w:rsidP="006A49E7">
            <w:pPr>
              <w:pStyle w:val="Tabletext"/>
            </w:pPr>
            <w:r w:rsidRPr="00B3184D">
              <w:t>Agomelatine</w:t>
            </w:r>
          </w:p>
        </w:tc>
        <w:tc>
          <w:tcPr>
            <w:tcW w:w="1275" w:type="dxa"/>
            <w:vAlign w:val="center"/>
          </w:tcPr>
          <w:p w14:paraId="72CE6197" w14:textId="77777777" w:rsidR="005651AB" w:rsidRPr="00B3184D" w:rsidRDefault="005651AB" w:rsidP="006A49E7">
            <w:pPr>
              <w:pStyle w:val="Tabletext"/>
              <w:jc w:val="right"/>
            </w:pPr>
            <w:r w:rsidRPr="00B3184D">
              <w:t>1582</w:t>
            </w:r>
          </w:p>
        </w:tc>
        <w:tc>
          <w:tcPr>
            <w:tcW w:w="1276" w:type="dxa"/>
            <w:vAlign w:val="center"/>
          </w:tcPr>
          <w:p w14:paraId="7282E2ED" w14:textId="77777777" w:rsidR="005651AB" w:rsidRPr="00B3184D" w:rsidRDefault="005651AB" w:rsidP="006A49E7">
            <w:pPr>
              <w:pStyle w:val="Tabletext"/>
              <w:jc w:val="right"/>
            </w:pPr>
            <w:r w:rsidRPr="00B3184D">
              <w:t>1.424</w:t>
            </w:r>
          </w:p>
        </w:tc>
        <w:tc>
          <w:tcPr>
            <w:tcW w:w="1942" w:type="dxa"/>
            <w:vAlign w:val="center"/>
          </w:tcPr>
          <w:p w14:paraId="22488EB8" w14:textId="77777777" w:rsidR="005651AB" w:rsidRPr="00B3184D" w:rsidRDefault="005651AB" w:rsidP="006A49E7">
            <w:pPr>
              <w:pStyle w:val="Tabletext"/>
              <w:jc w:val="right"/>
            </w:pPr>
            <w:r w:rsidRPr="00B3184D">
              <w:t>Dominant</w:t>
            </w:r>
          </w:p>
        </w:tc>
        <w:tc>
          <w:tcPr>
            <w:tcW w:w="1943" w:type="dxa"/>
            <w:vAlign w:val="center"/>
          </w:tcPr>
          <w:p w14:paraId="5497DC9E" w14:textId="77777777" w:rsidR="005651AB" w:rsidRPr="00B3184D" w:rsidRDefault="005651AB" w:rsidP="006A49E7">
            <w:pPr>
              <w:pStyle w:val="Tabletext"/>
              <w:jc w:val="right"/>
            </w:pPr>
            <w:r w:rsidRPr="00B3184D">
              <w:t>Dominated</w:t>
            </w:r>
          </w:p>
        </w:tc>
      </w:tr>
      <w:tr w:rsidR="005651AB" w:rsidRPr="00825CCF" w14:paraId="1E0BDA04" w14:textId="77777777" w:rsidTr="006A49E7">
        <w:tc>
          <w:tcPr>
            <w:tcW w:w="8529" w:type="dxa"/>
            <w:gridSpan w:val="5"/>
            <w:vAlign w:val="center"/>
          </w:tcPr>
          <w:p w14:paraId="1300BAD3" w14:textId="77777777" w:rsidR="005651AB" w:rsidRPr="003F40F8" w:rsidRDefault="005651AB" w:rsidP="006A49E7">
            <w:pPr>
              <w:pStyle w:val="Tabletext"/>
            </w:pPr>
            <w:r w:rsidRPr="005B023E">
              <w:rPr>
                <w:vertAlign w:val="superscript"/>
              </w:rPr>
              <w:t xml:space="preserve">1 </w:t>
            </w:r>
            <w:r w:rsidRPr="005B023E">
              <w:t xml:space="preserve">South west ICER (£ saved per QALY lost; </w:t>
            </w:r>
            <w:proofErr w:type="spellStart"/>
            <w:r>
              <w:t>vortioxetine</w:t>
            </w:r>
            <w:proofErr w:type="spellEnd"/>
            <w:r>
              <w:t xml:space="preserve"> </w:t>
            </w:r>
            <w:r w:rsidRPr="005B023E">
              <w:t>less costly and less effective)</w:t>
            </w:r>
          </w:p>
        </w:tc>
      </w:tr>
    </w:tbl>
    <w:p w14:paraId="47B7891E" w14:textId="77777777" w:rsidR="000077C8" w:rsidRDefault="000077C8" w:rsidP="00907293"/>
    <w:p w14:paraId="6714308B" w14:textId="698E6E66" w:rsidR="005651AB" w:rsidRPr="000D04C7" w:rsidRDefault="006E08B8" w:rsidP="00907293">
      <w:r>
        <w:t xml:space="preserve">Alternative scenarios considered the effects on cost-effectiveness of the following: secondary care setting, implemented by applying different unit costs to resource use; a longer maintenance period of 22 months; and 30% higher resource use of responders compared to remitters. As before, the </w:t>
      </w:r>
      <w:proofErr w:type="gramStart"/>
      <w:r>
        <w:t>most stark</w:t>
      </w:r>
      <w:proofErr w:type="gramEnd"/>
      <w:r>
        <w:t xml:space="preserve"> differences occur when comparing results between different assumptions about the appropriate source of evidence, rather than through changes in the model's structural assumptions. The importance of the choice of source of evidence can be seen in </w:t>
      </w:r>
      <w:r>
        <w:fldChar w:fldCharType="begin"/>
      </w:r>
      <w:r>
        <w:instrText xml:space="preserve"> REF _Ref446599508 \h </w:instrText>
      </w:r>
      <w:r>
        <w:fldChar w:fldCharType="separate"/>
      </w:r>
      <w:r w:rsidR="00C5039B">
        <w:t xml:space="preserve">Table </w:t>
      </w:r>
      <w:r w:rsidR="00C5039B">
        <w:rPr>
          <w:noProof/>
        </w:rPr>
        <w:t>6</w:t>
      </w:r>
      <w:r>
        <w:fldChar w:fldCharType="end"/>
      </w:r>
      <w:r>
        <w:t xml:space="preserve"> where </w:t>
      </w:r>
      <w:proofErr w:type="spellStart"/>
      <w:r>
        <w:t>vortioxetine</w:t>
      </w:r>
      <w:proofErr w:type="spellEnd"/>
      <w:r>
        <w:t xml:space="preserve"> is cost-effective (dominant) at third-line when equal eff</w:t>
      </w:r>
      <w:r w:rsidR="008D3182">
        <w:t>icacy is assumed</w:t>
      </w:r>
      <w:r>
        <w:t>, owing to its tolerability and adverse event profile, but is dominated by venlafaxine when effectiveness estimat</w:t>
      </w:r>
      <w:r w:rsidR="00704A71">
        <w:t xml:space="preserve">es are taken from </w:t>
      </w:r>
      <w:proofErr w:type="spellStart"/>
      <w:r w:rsidR="00704A71">
        <w:t>Llorca</w:t>
      </w:r>
      <w:proofErr w:type="spellEnd"/>
      <w:r w:rsidR="00704A71">
        <w:t xml:space="preserve"> et al</w:t>
      </w:r>
      <w:r>
        <w:t>.</w:t>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p>
    <w:p w14:paraId="0C972CE0" w14:textId="77777777" w:rsidR="000533F5" w:rsidRDefault="00E05A80" w:rsidP="000533F5">
      <w:pPr>
        <w:pStyle w:val="Heading3"/>
        <w:keepNext/>
      </w:pPr>
      <w:bookmarkStart w:id="35" w:name="_Toc429652488"/>
      <w:bookmarkStart w:id="36" w:name="_Toc448503403"/>
      <w:r>
        <w:t>4</w:t>
      </w:r>
      <w:r w:rsidR="00FB4184">
        <w:t>.1</w:t>
      </w:r>
      <w:r w:rsidR="00A67D1E">
        <w:t>.</w:t>
      </w:r>
      <w:r w:rsidR="004B69F5">
        <w:t>2</w:t>
      </w:r>
      <w:r w:rsidR="00A67D1E">
        <w:tab/>
        <w:t xml:space="preserve">ERG Critique of </w:t>
      </w:r>
      <w:r w:rsidR="00FB4184">
        <w:t xml:space="preserve">the </w:t>
      </w:r>
      <w:r w:rsidR="00A67D1E">
        <w:t>Manufacturer</w:t>
      </w:r>
      <w:r w:rsidR="00FB4184">
        <w:t>’s</w:t>
      </w:r>
      <w:r w:rsidR="00A67D1E">
        <w:t xml:space="preserve"> Response to the ACD Consultation</w:t>
      </w:r>
      <w:bookmarkEnd w:id="35"/>
      <w:bookmarkEnd w:id="36"/>
    </w:p>
    <w:p w14:paraId="1EA141D4" w14:textId="41013B5D" w:rsidR="000533F5" w:rsidRDefault="0051465B" w:rsidP="000533F5">
      <w:r>
        <w:t>T</w:t>
      </w:r>
      <w:r w:rsidR="000533F5">
        <w:t>he company</w:t>
      </w:r>
      <w:r>
        <w:t xml:space="preserve"> argued that there may be bias arising from the remission and response rates presented in</w:t>
      </w:r>
      <w:r w:rsidR="00704A71">
        <w:t xml:space="preserve"> </w:t>
      </w:r>
      <w:proofErr w:type="spellStart"/>
      <w:r w:rsidR="00704A71">
        <w:t>Llorca</w:t>
      </w:r>
      <w:proofErr w:type="spellEnd"/>
      <w:r w:rsidR="00704A71">
        <w:t xml:space="preserve"> et al.</w:t>
      </w:r>
      <w:r w:rsidR="00DE1EBD">
        <w:t xml:space="preserve"> </w:t>
      </w:r>
      <w:r w:rsidR="00DE1EBD">
        <w:fldChar w:fldCharType="begin" w:fldLock="1"/>
      </w:r>
      <w:r w:rsidR="00DE1EBD">
        <w:instrText>ADDIN CSL_CITATION { "citationItems" : [ { "id" : "ITEM-1", "itemData" : { "DOI" : "10.1185/03007995.2014.969566", "ISSN" : "1473-4877", "PMID" : "25249164", "abstract" : "INTRODUCTION Vortioxetine is an antidepressant with multimodal activity which has shown efficacy in major depressive disorder (MDD) patients in six of ten short-term, randomized, placebo-controlled trials (completed end 2012). METHODS We performed meta-regression analyses to indirectly compare vortioxetine to seven marketed antidepressants with different mechanisms of action. To ensure study comparability, only experimental drug and placebo arms from placebo-controlled registration studies were included in primary analyses. The main outcomes were efficacy (standardized mean difference in change from baseline to 2 months on primary endpoint [MADRS/HAM-D]), and tolerability (withdrawal rate due to adverse events). RESULTS For efficacy, estimates of treatment effect (negative estimates favor vortioxetine) for vortioxetine versus comparators were: agomelatine, -0.16 (p = 0.11); desvenlafaxine, 0.03 (p = 0.80); duloxetine, 0.09 (p = 0.42); escitalopram, -0.05 (p = 0.70); sertraline, -0.04 (p = 0.83); venlafaxine IR/XR, 0.12 (p = 0.33); and vilazodone, -0.25 (p = 0.11). For tolerability, all but one combination was numerically in favor of vortioxetine (odds ratio &lt; 1), although not all differences were statistically significant: agomelatine, 1.77 (p = 0.03); desvenlafaxine, 0.58 (p = 0.04); duloxetine, 0.75 (p = 0.26); escitalopram, 0.67 (p = 0.28); sertraline, 0.30 (p = 0.01); venlafaxine, 0.47 (p = 0.01); and vilazodone, 0.64 (p = 0.18). Sensitivity analyses did not significantly alter antidepressant effect estimates or relative ranking. CONCLUSION These meta-regression data show that vortioxetine offers a comparable or favorable combination of efficacy (measured by MADRS/HAM-D) and tolerability (measured by withdrawal rate due to adverse events) versus other antidepressants in registration studies in MDD. Alternative methods like mixed-treatment comparison and inclusion of all randomized studies and active reference arms may provide complementary information to this analysis (more evidence but also more heterogeneity). Key messages: Indirect comparisons based on registration studies allow a useful comparison between a recently approved antidepressant and an approved drug. Vortioxetine offers a comparable or favorable combination of efficacy (measured by MADRS/HAM-D assessments) and tolerability (measured by withdrawal rate due to adverse events) versus other antidepressants in registration studies in MDD.", "author" : [ { "dropping-particle" : "", "family" : "Llorca", "given" : "Pierre-Michel", "non-dropping-particle" : "", "parse-names" : false, "suffix" : "" }, { "dropping-particle" : "", "family" : "Lan\u00e7on", "given" : "Christophe", "non-dropping-particle" : "", "parse-names" : false, "suffix" : "" }, { "dropping-particle" : "", "family" : "Brignone", "given" : "M\u00e9lanie", "non-dropping-particle" : "", "parse-names" : false, "suffix" : "" }, { "dropping-particle" : "", "family" : "Rive", "given" : "Beno\u00eet", "non-dropping-particle" : "", "parse-names" : false, "suffix" : "" }, { "dropping-particle" : "", "family" : "Salah", "given" : "Samir", "non-dropping-particle" : "", "parse-names" : false, "suffix" : "" }, { "dropping-particle" : "", "family" : "Ereshefsky", "given" : "Larry", "non-dropping-particle" : "", "parse-names" : false, "suffix" : "" }, { "dropping-particle" : "", "family" : "Francois", "given" : "Cl\u00e9ment", "non-dropping-particle" : "", "parse-names" : false, "suffix" : "" } ], "container-title" : "Current medical research and opinion", "id" : "ITEM-1", "issue" : "12", "issued" : { "date-parts" : [ [ "2014", "12" ] ] }, "page" : "2589-606", "title" : "Relative efficacy and tolerability of vortioxetine versus selected antidepressants by indirect comparisons of similar clinical studies.", "type" : "article-journal", "volume" : "30" }, "uris" : [ "http://www.mendeley.com/documents/?uuid=87d4ad89-12be-3286-a281-a11086ab47ed" ] } ], "mendeley" : { "formattedCitation" : "[9]", "plainTextFormattedCitation" : "[9]", "previouslyFormattedCitation" : "[9]" }, "properties" : { "noteIndex" : 0 }, "schema" : "https://github.com/citation-style-language/schema/raw/master/csl-citation.json" }</w:instrText>
      </w:r>
      <w:r w:rsidR="00DE1EBD">
        <w:fldChar w:fldCharType="separate"/>
      </w:r>
      <w:r w:rsidR="00DE1EBD" w:rsidRPr="00191B9B">
        <w:rPr>
          <w:noProof/>
        </w:rPr>
        <w:t>[9]</w:t>
      </w:r>
      <w:r w:rsidR="00DE1EBD">
        <w:fldChar w:fldCharType="end"/>
      </w:r>
      <w:r>
        <w:t>, since for these outcomes several trials' results were missing. The ERG considered that</w:t>
      </w:r>
      <w:r w:rsidR="00C83281">
        <w:t xml:space="preserve"> this</w:t>
      </w:r>
      <w:r>
        <w:t xml:space="preserve"> did not indicate a potential for bias and that </w:t>
      </w:r>
      <w:r w:rsidR="000533F5">
        <w:t xml:space="preserve">the results for the mean change in MADRS score from </w:t>
      </w:r>
      <w:proofErr w:type="spellStart"/>
      <w:r w:rsidR="000533F5">
        <w:lastRenderedPageBreak/>
        <w:t>Llorca</w:t>
      </w:r>
      <w:proofErr w:type="spellEnd"/>
      <w:r>
        <w:t>, comprised of analysis of all included trials,</w:t>
      </w:r>
      <w:r w:rsidR="000533F5">
        <w:t xml:space="preserve"> </w:t>
      </w:r>
      <w:proofErr w:type="gramStart"/>
      <w:r w:rsidR="000533F5">
        <w:t>were</w:t>
      </w:r>
      <w:proofErr w:type="gramEnd"/>
      <w:r w:rsidR="000533F5">
        <w:t xml:space="preserve"> consistent with the results for the rates of response and remission.</w:t>
      </w:r>
    </w:p>
    <w:p w14:paraId="2B671B30" w14:textId="77777777" w:rsidR="000533F5" w:rsidRDefault="000533F5" w:rsidP="000533F5">
      <w:r>
        <w:t>The ERG stated that SOLUTION was a well-conducted randomised controlled trial</w:t>
      </w:r>
      <w:r w:rsidR="00A036CD">
        <w:t>. Although it did</w:t>
      </w:r>
      <w:r>
        <w:t xml:space="preserve"> not reflect the population in England</w:t>
      </w:r>
      <w:r w:rsidR="00A036CD">
        <w:t xml:space="preserve">, </w:t>
      </w:r>
      <w:r>
        <w:t xml:space="preserve">the ERG </w:t>
      </w:r>
      <w:r w:rsidR="0051465B">
        <w:t>considered that there was no reason to suspect that the</w:t>
      </w:r>
      <w:r>
        <w:t xml:space="preserve"> relative effectiveness between </w:t>
      </w:r>
      <w:proofErr w:type="spellStart"/>
      <w:r>
        <w:t>vor</w:t>
      </w:r>
      <w:r w:rsidR="0051465B">
        <w:t>tioxetine</w:t>
      </w:r>
      <w:proofErr w:type="spellEnd"/>
      <w:r w:rsidR="0051465B">
        <w:t xml:space="preserve"> and venlafaxine would differ </w:t>
      </w:r>
      <w:r>
        <w:t xml:space="preserve">substantially between </w:t>
      </w:r>
      <w:r w:rsidR="0051465B">
        <w:t>patients</w:t>
      </w:r>
      <w:r>
        <w:t xml:space="preserve"> in East Asia and England. The results from SOLUTION </w:t>
      </w:r>
      <w:r w:rsidR="0051465B">
        <w:t xml:space="preserve">are seen as </w:t>
      </w:r>
      <w:r>
        <w:t>support</w:t>
      </w:r>
      <w:r w:rsidR="0051465B">
        <w:t>ing</w:t>
      </w:r>
      <w:r>
        <w:t xml:space="preserve"> </w:t>
      </w:r>
      <w:r w:rsidR="0051465B">
        <w:t>previously presented evidence</w:t>
      </w:r>
      <w:r>
        <w:t xml:space="preserve"> that </w:t>
      </w:r>
      <w:proofErr w:type="spellStart"/>
      <w:r>
        <w:t>vortioxetine</w:t>
      </w:r>
      <w:proofErr w:type="spellEnd"/>
      <w:r>
        <w:t xml:space="preserve"> is similarly effective to other non-SSRIs, but may be better tolerated.</w:t>
      </w:r>
    </w:p>
    <w:p w14:paraId="2D8ACA9E" w14:textId="667208AC" w:rsidR="000533F5" w:rsidRPr="000533F5" w:rsidRDefault="000533F5" w:rsidP="000533F5">
      <w:r>
        <w:t>The ERG considered that the company’s revised economic model had used the most appropriate available data</w:t>
      </w:r>
      <w:r w:rsidR="0051465B">
        <w:t xml:space="preserve">; and that the revised model structure, featuring both response and remission, more accurately reflected whether a person should continue or change treatment for their </w:t>
      </w:r>
      <w:r w:rsidR="00324C0F">
        <w:t>MDD</w:t>
      </w:r>
      <w:r w:rsidR="0051465B">
        <w:t xml:space="preserve"> in clinical practice in England</w:t>
      </w:r>
      <w:r w:rsidR="008C3839">
        <w:t>.</w:t>
      </w:r>
    </w:p>
    <w:p w14:paraId="408BE27F" w14:textId="77777777" w:rsidR="008D6B96" w:rsidRDefault="00E05A80" w:rsidP="008D6B96">
      <w:pPr>
        <w:pStyle w:val="Heading2"/>
      </w:pPr>
      <w:bookmarkStart w:id="37" w:name="_Toc429652489"/>
      <w:bookmarkStart w:id="38" w:name="_Toc448503404"/>
      <w:r>
        <w:t>4</w:t>
      </w:r>
      <w:r w:rsidR="00FB4184">
        <w:t>.2</w:t>
      </w:r>
      <w:r w:rsidR="002131D6">
        <w:tab/>
      </w:r>
      <w:r w:rsidR="001C0FA7">
        <w:t xml:space="preserve">The Appraisal Committee’s </w:t>
      </w:r>
      <w:r w:rsidR="001D37E0">
        <w:t>Final Guidance</w:t>
      </w:r>
      <w:bookmarkEnd w:id="37"/>
      <w:bookmarkEnd w:id="38"/>
    </w:p>
    <w:p w14:paraId="517CE678" w14:textId="77777777" w:rsidR="00286758" w:rsidRDefault="00286758" w:rsidP="00286758">
      <w:r>
        <w:t>The responses to the preliminary g</w:t>
      </w:r>
      <w:r w:rsidR="006E08B8">
        <w:t xml:space="preserve">uidance summarised in the ACD </w:t>
      </w:r>
      <w:r w:rsidR="006E08B8">
        <w:fldChar w:fldCharType="begin" w:fldLock="1"/>
      </w:r>
      <w:r w:rsidR="00191B9B">
        <w:instrText>ADDIN CSL_CITATION { "citationItems" : [ { "id" : "ITEM-1", "itemData" : { "URL" : "https://www.nice.org.uk/guidance/ta367", "author" : [ { "dropping-particle" : "", "family" : "NICE", "given" : "", "non-dropping-particle" : "", "parse-names" : false, "suffix" : "" } ], "id" : "ITEM-1", "issued" : { "date-parts" : [ [ "2015" ] ] }, "title" : "Vortioxetine for treating major depressive episodes", "type" : "webpage" }, "uris" : [ "http://www.mendeley.com/documents/?uuid=bebd4cb5-4e84-4ed1-a810-3d56f6ab2671" ] } ], "mendeley" : { "formattedCitation" : "[3]", "plainTextFormattedCitation" : "[3]", "previouslyFormattedCitation" : "[3]" }, "properties" : { "noteIndex" : 0 }, "schema" : "https://github.com/citation-style-language/schema/raw/master/csl-citation.json" }</w:instrText>
      </w:r>
      <w:r w:rsidR="006E08B8">
        <w:fldChar w:fldCharType="separate"/>
      </w:r>
      <w:r w:rsidR="00315DE8" w:rsidRPr="00315DE8">
        <w:rPr>
          <w:noProof/>
        </w:rPr>
        <w:t>[3]</w:t>
      </w:r>
      <w:r w:rsidR="006E08B8">
        <w:fldChar w:fldCharType="end"/>
      </w:r>
      <w:r w:rsidR="006E08B8">
        <w:t xml:space="preserve">, </w:t>
      </w:r>
      <w:r>
        <w:t>and the response submitted by the manufacturer, as well as the ERG’s critique of this, were considered during a second meeting at which the Committee produced a FAD.</w:t>
      </w:r>
    </w:p>
    <w:p w14:paraId="3FA27C9C" w14:textId="4FB59742" w:rsidR="006B6EBC" w:rsidRDefault="00286758" w:rsidP="00286758">
      <w:r>
        <w:t>Having reviewed the</w:t>
      </w:r>
      <w:r w:rsidR="00C83281">
        <w:t xml:space="preserve"> available</w:t>
      </w:r>
      <w:r>
        <w:t xml:space="preserve"> data on the </w:t>
      </w:r>
      <w:r w:rsidRPr="00046410">
        <w:t>clinical and cost</w:t>
      </w:r>
      <w:r w:rsidR="0061142F">
        <w:t>-</w:t>
      </w:r>
      <w:r w:rsidRPr="00046410">
        <w:t xml:space="preserve">effectiveness of </w:t>
      </w:r>
      <w:proofErr w:type="spellStart"/>
      <w:r w:rsidRPr="00046410">
        <w:t>vortioxetine</w:t>
      </w:r>
      <w:proofErr w:type="spellEnd"/>
      <w:r w:rsidRPr="00046410">
        <w:t xml:space="preserve">, having considered evidence on the nature of </w:t>
      </w:r>
      <w:r w:rsidR="00324C0F">
        <w:t>MDD</w:t>
      </w:r>
      <w:r w:rsidRPr="00046410">
        <w:t xml:space="preserve"> and the value placed on the benefits of </w:t>
      </w:r>
      <w:proofErr w:type="spellStart"/>
      <w:r w:rsidRPr="00046410">
        <w:t>vortioxetine</w:t>
      </w:r>
      <w:proofErr w:type="spellEnd"/>
      <w:r w:rsidRPr="00046410">
        <w:t xml:space="preserve"> by people with the conditio</w:t>
      </w:r>
      <w:r>
        <w:t xml:space="preserve">n, those who represent them, clinical experts, and taking into account </w:t>
      </w:r>
      <w:r w:rsidRPr="00046410">
        <w:t>the</w:t>
      </w:r>
      <w:r>
        <w:t xml:space="preserve"> effective use of NHS resources,</w:t>
      </w:r>
      <w:r w:rsidR="00E92C04">
        <w:t xml:space="preserve"> the Committee considered that</w:t>
      </w:r>
      <w:r w:rsidR="00E92C04" w:rsidRPr="00E92C04">
        <w:t xml:space="preserve"> </w:t>
      </w:r>
      <w:proofErr w:type="spellStart"/>
      <w:r w:rsidR="00E92C04">
        <w:t>v</w:t>
      </w:r>
      <w:r w:rsidR="00E92C04" w:rsidRPr="00E92C04">
        <w:t>ortioxetine</w:t>
      </w:r>
      <w:proofErr w:type="spellEnd"/>
      <w:r w:rsidR="00E92C04" w:rsidRPr="00E92C04">
        <w:t xml:space="preserve"> </w:t>
      </w:r>
      <w:r w:rsidR="00E92C04">
        <w:t>should be</w:t>
      </w:r>
      <w:r w:rsidR="00E92C04" w:rsidRPr="00E92C04">
        <w:t xml:space="preserve"> recommended as an option for treating </w:t>
      </w:r>
      <w:r w:rsidR="00324C0F">
        <w:t>MDE</w:t>
      </w:r>
      <w:r w:rsidR="00E92C04" w:rsidRPr="00E92C04">
        <w:t xml:space="preserve">s in adults whose condition has responded inadequately to </w:t>
      </w:r>
      <w:r w:rsidR="00E92C04">
        <w:t>two</w:t>
      </w:r>
      <w:r w:rsidR="00E92C04" w:rsidRPr="00E92C04">
        <w:t xml:space="preserve"> antidepressants within the current episode.</w:t>
      </w:r>
    </w:p>
    <w:p w14:paraId="57933F8B" w14:textId="77777777" w:rsidR="00E92C04" w:rsidRDefault="00E92C04" w:rsidP="00E92C04">
      <w:r>
        <w:t xml:space="preserve">The Committee emphasised that there was no convincing clinical-effectiveness evidence to show that </w:t>
      </w:r>
      <w:proofErr w:type="spellStart"/>
      <w:r>
        <w:t>vortioxetine</w:t>
      </w:r>
      <w:proofErr w:type="spellEnd"/>
      <w:r>
        <w:t xml:space="preserve"> was any more or less effective than other antidepressant</w:t>
      </w:r>
      <w:r w:rsidR="002B5928">
        <w:t>s</w:t>
      </w:r>
      <w:r>
        <w:t xml:space="preserve">. However, the Committee highlighted that, across all of the company’s scenarios using its revised economic model, and when assuming equal efficacy between treatments, </w:t>
      </w:r>
      <w:proofErr w:type="spellStart"/>
      <w:r>
        <w:t>vortioxetine</w:t>
      </w:r>
      <w:proofErr w:type="spellEnd"/>
      <w:r>
        <w:t xml:space="preserve"> appeared to be a cost-effective use of NHS resources compared with all other antidepressants.</w:t>
      </w:r>
    </w:p>
    <w:p w14:paraId="46F98D4A" w14:textId="77777777" w:rsidR="00E92C04" w:rsidRDefault="00E92C04" w:rsidP="00E92C04">
      <w:r>
        <w:t xml:space="preserve">The FAD forms the basis of the NICE guidance for the use of </w:t>
      </w:r>
      <w:proofErr w:type="spellStart"/>
      <w:r>
        <w:t>vortioxetine</w:t>
      </w:r>
      <w:proofErr w:type="spellEnd"/>
      <w:r>
        <w:t xml:space="preserve"> i</w:t>
      </w:r>
      <w:r w:rsidR="006E08B8">
        <w:t>n the NHS in England and Wales</w:t>
      </w:r>
      <w:r w:rsidR="006E08B8" w:rsidRPr="006E08B8">
        <w:t xml:space="preserve"> </w:t>
      </w:r>
      <w:r w:rsidR="006E08B8">
        <w:fldChar w:fldCharType="begin" w:fldLock="1"/>
      </w:r>
      <w:r w:rsidR="00191B9B">
        <w:instrText>ADDIN CSL_CITATION { "citationItems" : [ { "id" : "ITEM-1", "itemData" : { "URL" : "https://www.nice.org.uk/guidance/ta367", "author" : [ { "dropping-particle" : "", "family" : "NICE", "given" : "", "non-dropping-particle" : "", "parse-names" : false, "suffix" : "" } ], "id" : "ITEM-1", "issued" : { "date-parts" : [ [ "2015" ] ] }, "title" : "Vortioxetine for treating major depressive episodes", "type" : "webpage" }, "uris" : [ "http://www.mendeley.com/documents/?uuid=bebd4cb5-4e84-4ed1-a810-3d56f6ab2671" ] } ], "mendeley" : { "formattedCitation" : "[3]", "plainTextFormattedCitation" : "[3]", "previouslyFormattedCitation" : "[3]" }, "properties" : { "noteIndex" : 0 }, "schema" : "https://github.com/citation-style-language/schema/raw/master/csl-citation.json" }</w:instrText>
      </w:r>
      <w:r w:rsidR="006E08B8">
        <w:fldChar w:fldCharType="separate"/>
      </w:r>
      <w:r w:rsidR="00315DE8" w:rsidRPr="00315DE8">
        <w:rPr>
          <w:noProof/>
        </w:rPr>
        <w:t>[3]</w:t>
      </w:r>
      <w:r w:rsidR="006E08B8">
        <w:fldChar w:fldCharType="end"/>
      </w:r>
      <w:r w:rsidR="006E08B8">
        <w:t>.</w:t>
      </w:r>
    </w:p>
    <w:p w14:paraId="6EAE28E5" w14:textId="77777777" w:rsidR="00306632" w:rsidRDefault="00FB4184" w:rsidP="00306632">
      <w:pPr>
        <w:pStyle w:val="Heading2"/>
      </w:pPr>
      <w:bookmarkStart w:id="39" w:name="_Toc448503405"/>
      <w:r>
        <w:t>4.3</w:t>
      </w:r>
      <w:r w:rsidR="00306632">
        <w:tab/>
        <w:t>Key Methodological Issues</w:t>
      </w:r>
      <w:bookmarkEnd w:id="39"/>
    </w:p>
    <w:p w14:paraId="2A63D14E" w14:textId="77777777" w:rsidR="00306632" w:rsidRDefault="00FB4184" w:rsidP="00306632">
      <w:pPr>
        <w:pStyle w:val="Heading3"/>
      </w:pPr>
      <w:bookmarkStart w:id="40" w:name="_Toc448503406"/>
      <w:r>
        <w:t>4.3</w:t>
      </w:r>
      <w:r w:rsidR="00306632">
        <w:t>.1</w:t>
      </w:r>
      <w:r w:rsidR="00306632">
        <w:tab/>
        <w:t>Clinical Effectiveness</w:t>
      </w:r>
      <w:bookmarkEnd w:id="40"/>
    </w:p>
    <w:p w14:paraId="52615768" w14:textId="77777777" w:rsidR="00306632" w:rsidRPr="002C7B46" w:rsidRDefault="00306632" w:rsidP="00306632">
      <w:r>
        <w:t xml:space="preserve">The key methodological </w:t>
      </w:r>
      <w:r w:rsidR="00A036CD">
        <w:t xml:space="preserve">issue </w:t>
      </w:r>
      <w:r>
        <w:t xml:space="preserve">with respect to clinical efficacy </w:t>
      </w:r>
      <w:r w:rsidR="0069364F">
        <w:t>were: (</w:t>
      </w:r>
      <w:proofErr w:type="spellStart"/>
      <w:r w:rsidR="0069364F">
        <w:t>i</w:t>
      </w:r>
      <w:proofErr w:type="spellEnd"/>
      <w:r w:rsidR="0069364F">
        <w:t>) the exclusion of broader evidence to inform</w:t>
      </w:r>
      <w:r w:rsidR="00A036CD">
        <w:t xml:space="preserve"> evidence for </w:t>
      </w:r>
      <w:r>
        <w:t>second-line treatment</w:t>
      </w:r>
      <w:r w:rsidR="00A036CD">
        <w:t xml:space="preserve"> for MDD</w:t>
      </w:r>
      <w:r w:rsidR="0069364F">
        <w:t>; (ii) limitations of the indirect treatment comparison</w:t>
      </w:r>
      <w:r>
        <w:t xml:space="preserve">. The company failed to provide evidence that the relative efficacy of drugs was different between different lines of treatment, in particular between non-SSRI therapies. The ERG considered that this implied the need to use data from the broader evidence set to estimate relative efficacy for the second-line population and not restrict evidence to those collected on the second-line population specifically. </w:t>
      </w:r>
      <w:r w:rsidR="0069364F">
        <w:t>T</w:t>
      </w:r>
      <w:r>
        <w:t>he company's indirect treatment comparison</w:t>
      </w:r>
      <w:r w:rsidR="0069364F">
        <w:t xml:space="preserve"> was highly limited because it</w:t>
      </w:r>
      <w:r>
        <w:t xml:space="preserve"> was sparsely populated</w:t>
      </w:r>
      <w:r w:rsidR="0069364F">
        <w:t>, and included heterogeneous populations and follow-up durations.</w:t>
      </w:r>
    </w:p>
    <w:p w14:paraId="7B6301DA" w14:textId="77777777" w:rsidR="00306632" w:rsidRDefault="00FB4184" w:rsidP="00306632">
      <w:pPr>
        <w:pStyle w:val="Heading3"/>
        <w:keepNext/>
      </w:pPr>
      <w:bookmarkStart w:id="41" w:name="_Toc448503407"/>
      <w:r>
        <w:lastRenderedPageBreak/>
        <w:t>4.3</w:t>
      </w:r>
      <w:r w:rsidR="00306632">
        <w:t>.2</w:t>
      </w:r>
      <w:r w:rsidR="00306632">
        <w:tab/>
        <w:t>Cost</w:t>
      </w:r>
      <w:r w:rsidR="0061142F">
        <w:t>-</w:t>
      </w:r>
      <w:r w:rsidR="00306632">
        <w:t>Effectiveness</w:t>
      </w:r>
      <w:bookmarkEnd w:id="41"/>
    </w:p>
    <w:p w14:paraId="204AF691" w14:textId="77777777" w:rsidR="007B6AF2" w:rsidRDefault="007B6AF2" w:rsidP="00306632">
      <w:r>
        <w:t xml:space="preserve">From the perspective of cost-effectiveness, the restrictive consideration of </w:t>
      </w:r>
      <w:proofErr w:type="spellStart"/>
      <w:r>
        <w:t>vortioxetine</w:t>
      </w:r>
      <w:proofErr w:type="spellEnd"/>
      <w:r>
        <w:t xml:space="preserve"> at a specific line of treatment within a potential sequence of therapies was also the main issue. Not only does the line of treatment affect the relevance of different sources of evidence, as discussed above, but it also has implications for the care setting and the relevant comparators relative to which the incremental costs and health benefits of </w:t>
      </w:r>
      <w:proofErr w:type="spellStart"/>
      <w:r>
        <w:t>vortioxetine</w:t>
      </w:r>
      <w:proofErr w:type="spellEnd"/>
      <w:r>
        <w:t xml:space="preserve"> can be calculated.</w:t>
      </w:r>
    </w:p>
    <w:p w14:paraId="76E1E194" w14:textId="77777777" w:rsidR="00306632" w:rsidRDefault="00306632" w:rsidP="00306632">
      <w:r>
        <w:t>The main areas of uncertainty in the cost-effectiveness evidence were (</w:t>
      </w:r>
      <w:proofErr w:type="spellStart"/>
      <w:r>
        <w:t>i</w:t>
      </w:r>
      <w:proofErr w:type="spellEnd"/>
      <w:r>
        <w:t xml:space="preserve">) the insufficiency of using remission data </w:t>
      </w:r>
      <w:r w:rsidR="00C83281">
        <w:t xml:space="preserve">at </w:t>
      </w:r>
      <w:r>
        <w:t>eight weeks to solely inform efficacy where response is also clinically relevant and has implications for estimates of cost-effectiveness; (ii) the use of different sources for utilities wh</w:t>
      </w:r>
      <w:r w:rsidR="00C83281">
        <w:t>ich</w:t>
      </w:r>
      <w:r>
        <w:t xml:space="preserve"> belong to different phases of the decision model; (iii) the use of STAR*D to inform absolute remission and relapse probabilities for successive lines of treatment after second-line treatment; (iv) employing a time horizon of twelve months when NICE recommends continued treatment for at least two years for patients judged to be at high risk of relapse; (v) the assumption of zero probability of relapse following six months of successful maintenance treatment.</w:t>
      </w:r>
    </w:p>
    <w:p w14:paraId="5297E0DA" w14:textId="77777777" w:rsidR="00E92C04" w:rsidRPr="001D37E0" w:rsidRDefault="00E92C04" w:rsidP="00286758"/>
    <w:p w14:paraId="2799EF3A" w14:textId="77777777" w:rsidR="006C327F" w:rsidRDefault="006C327F">
      <w:pPr>
        <w:rPr>
          <w:rFonts w:asciiTheme="majorHAnsi" w:eastAsiaTheme="majorEastAsia" w:hAnsiTheme="majorHAnsi" w:cstheme="majorBidi"/>
          <w:b/>
          <w:bCs/>
          <w:sz w:val="28"/>
          <w:szCs w:val="28"/>
        </w:rPr>
      </w:pPr>
      <w:r>
        <w:br w:type="page"/>
      </w:r>
    </w:p>
    <w:p w14:paraId="577B4A5A" w14:textId="77777777" w:rsidR="00F81D84" w:rsidRDefault="00E05A80" w:rsidP="000F5F5E">
      <w:pPr>
        <w:pStyle w:val="Heading1"/>
      </w:pPr>
      <w:bookmarkStart w:id="42" w:name="_Toc429652490"/>
      <w:bookmarkStart w:id="43" w:name="_Toc448503408"/>
      <w:r>
        <w:lastRenderedPageBreak/>
        <w:t>5</w:t>
      </w:r>
      <w:r w:rsidR="00F81D84">
        <w:t>.</w:t>
      </w:r>
      <w:r w:rsidR="00F81D84">
        <w:tab/>
        <w:t>NICE Guidance</w:t>
      </w:r>
      <w:bookmarkEnd w:id="42"/>
      <w:bookmarkEnd w:id="43"/>
    </w:p>
    <w:p w14:paraId="2FE04712" w14:textId="77777777" w:rsidR="00E92C04" w:rsidRDefault="00E92C04" w:rsidP="00F54806">
      <w:r>
        <w:t>Following the consultation on preliminary guidance, the NICE Appraisal Committee released the following final guidance to the NHS (ID583</w:t>
      </w:r>
      <w:r w:rsidR="006E08B8">
        <w:t xml:space="preserve">) </w:t>
      </w:r>
      <w:r w:rsidR="006E08B8">
        <w:fldChar w:fldCharType="begin" w:fldLock="1"/>
      </w:r>
      <w:r w:rsidR="00191B9B">
        <w:instrText>ADDIN CSL_CITATION { "citationItems" : [ { "id" : "ITEM-1", "itemData" : { "URL" : "https://www.nice.org.uk/guidance/ta367", "author" : [ { "dropping-particle" : "", "family" : "NICE", "given" : "", "non-dropping-particle" : "", "parse-names" : false, "suffix" : "" } ], "id" : "ITEM-1", "issued" : { "date-parts" : [ [ "2015" ] ] }, "title" : "Vortioxetine for treating major depressive episodes", "type" : "webpage" }, "uris" : [ "http://www.mendeley.com/documents/?uuid=bebd4cb5-4e84-4ed1-a810-3d56f6ab2671" ] } ], "mendeley" : { "formattedCitation" : "[3]", "plainTextFormattedCitation" : "[3]", "previouslyFormattedCitation" : "[3]" }, "properties" : { "noteIndex" : 0 }, "schema" : "https://github.com/citation-style-language/schema/raw/master/csl-citation.json" }</w:instrText>
      </w:r>
      <w:r w:rsidR="006E08B8">
        <w:fldChar w:fldCharType="separate"/>
      </w:r>
      <w:r w:rsidR="00315DE8" w:rsidRPr="00315DE8">
        <w:rPr>
          <w:noProof/>
        </w:rPr>
        <w:t>[3]</w:t>
      </w:r>
      <w:r w:rsidR="006E08B8">
        <w:fldChar w:fldCharType="end"/>
      </w:r>
      <w:r>
        <w:t>:</w:t>
      </w:r>
    </w:p>
    <w:p w14:paraId="4A13585A" w14:textId="77777777" w:rsidR="00F54806" w:rsidRDefault="00E92C04" w:rsidP="00F54806">
      <w:r>
        <w:t>"</w:t>
      </w:r>
      <w:r w:rsidRPr="00E92C04">
        <w:t>Vortioxetine is recommended as an option for treating major depressive episodes in adults whose condition</w:t>
      </w:r>
      <w:r>
        <w:t xml:space="preserve"> has responded inadequately to two</w:t>
      </w:r>
      <w:r w:rsidRPr="00E92C04">
        <w:t xml:space="preserve"> antidepressants within the current episode.</w:t>
      </w:r>
      <w:r>
        <w:t>"</w:t>
      </w:r>
    </w:p>
    <w:p w14:paraId="6331543A" w14:textId="77777777" w:rsidR="006C327F" w:rsidRDefault="006C327F">
      <w:pPr>
        <w:rPr>
          <w:rFonts w:asciiTheme="majorHAnsi" w:eastAsiaTheme="majorEastAsia" w:hAnsiTheme="majorHAnsi" w:cstheme="majorBidi"/>
          <w:b/>
          <w:bCs/>
          <w:sz w:val="28"/>
          <w:szCs w:val="28"/>
        </w:rPr>
      </w:pPr>
      <w:r>
        <w:br w:type="page"/>
      </w:r>
    </w:p>
    <w:p w14:paraId="7679259C" w14:textId="77777777" w:rsidR="00F54806" w:rsidRPr="00F54806" w:rsidRDefault="00F54806" w:rsidP="00F54806">
      <w:pPr>
        <w:pStyle w:val="Heading1"/>
      </w:pPr>
      <w:bookmarkStart w:id="44" w:name="_Toc429652491"/>
      <w:bookmarkStart w:id="45" w:name="_Toc448503409"/>
      <w:r>
        <w:lastRenderedPageBreak/>
        <w:t>6.</w:t>
      </w:r>
      <w:r>
        <w:tab/>
        <w:t>Interpretation of the Guidance</w:t>
      </w:r>
      <w:bookmarkEnd w:id="44"/>
      <w:bookmarkEnd w:id="45"/>
    </w:p>
    <w:p w14:paraId="20A4CB22" w14:textId="77777777" w:rsidR="00E92C04" w:rsidRDefault="00E92C04" w:rsidP="00E92C04">
      <w:r>
        <w:t>The</w:t>
      </w:r>
      <w:r w:rsidR="00C83281">
        <w:t xml:space="preserve"> ERG</w:t>
      </w:r>
      <w:r>
        <w:t xml:space="preserve"> </w:t>
      </w:r>
      <w:r w:rsidR="00213F5D">
        <w:t>found that</w:t>
      </w:r>
      <w:r>
        <w:t xml:space="preserve"> there was no convincing clinical-effectiveness evidence to show that </w:t>
      </w:r>
      <w:proofErr w:type="spellStart"/>
      <w:r>
        <w:t>vortioxetine</w:t>
      </w:r>
      <w:proofErr w:type="spellEnd"/>
      <w:r>
        <w:t xml:space="preserve"> was any more or less effective than other antidepressant</w:t>
      </w:r>
      <w:r w:rsidR="00213F5D">
        <w:t>s</w:t>
      </w:r>
      <w:r>
        <w:t xml:space="preserve">, but that it may </w:t>
      </w:r>
      <w:r w:rsidR="00213F5D">
        <w:t>be more tolerable</w:t>
      </w:r>
      <w:r>
        <w:t xml:space="preserve">. Estimates of </w:t>
      </w:r>
      <w:r w:rsidR="00BE508A">
        <w:t xml:space="preserve">the cost-effectiveness of </w:t>
      </w:r>
      <w:proofErr w:type="spellStart"/>
      <w:r w:rsidR="00BE508A">
        <w:t>vortioxetine</w:t>
      </w:r>
      <w:proofErr w:type="spellEnd"/>
      <w:r w:rsidR="00BE508A">
        <w:t>,</w:t>
      </w:r>
      <w:r>
        <w:t xml:space="preserve"> when assuming equal efficacy between treatments, </w:t>
      </w:r>
      <w:r w:rsidR="00213F5D">
        <w:t>suggested it</w:t>
      </w:r>
      <w:r w:rsidR="00BE508A">
        <w:t xml:space="preserve"> </w:t>
      </w:r>
      <w:r w:rsidR="00213F5D">
        <w:t>is</w:t>
      </w:r>
      <w:r>
        <w:t xml:space="preserve"> a</w:t>
      </w:r>
      <w:r w:rsidR="00213F5D">
        <w:t>n</w:t>
      </w:r>
      <w:r>
        <w:t xml:space="preserve"> </w:t>
      </w:r>
      <w:r w:rsidR="00BE508A">
        <w:t>effective use of NHS resources as a third-line treatment compared</w:t>
      </w:r>
      <w:r>
        <w:t xml:space="preserve"> with all other antidepressants.</w:t>
      </w:r>
      <w:r w:rsidR="000200D7">
        <w:t xml:space="preserve"> However,</w:t>
      </w:r>
      <w:r w:rsidR="00A60A2D">
        <w:t xml:space="preserve"> there is a considerable amount of uncertainty owing to</w:t>
      </w:r>
      <w:r w:rsidR="000200D7">
        <w:t xml:space="preserve"> a number of assumptions</w:t>
      </w:r>
      <w:r w:rsidR="00A60A2D">
        <w:t xml:space="preserve"> that</w:t>
      </w:r>
      <w:r w:rsidR="000200D7">
        <w:t xml:space="preserve"> were made in order to generate the estimates of incremental costs and QALYs</w:t>
      </w:r>
      <w:r w:rsidR="00A60A2D">
        <w:t>,</w:t>
      </w:r>
      <w:r w:rsidR="000200D7">
        <w:t xml:space="preserve"> including</w:t>
      </w:r>
      <w:r w:rsidR="00A60A2D">
        <w:t xml:space="preserve"> assumptions</w:t>
      </w:r>
      <w:r w:rsidR="000200D7">
        <w:t xml:space="preserve"> </w:t>
      </w:r>
      <w:r w:rsidR="00A60A2D">
        <w:t>around</w:t>
      </w:r>
      <w:r w:rsidR="000200D7">
        <w:t xml:space="preserve"> the effectiveness of anti-depressants (including </w:t>
      </w:r>
      <w:proofErr w:type="spellStart"/>
      <w:r w:rsidR="000200D7">
        <w:t>vortioxetine</w:t>
      </w:r>
      <w:proofErr w:type="spellEnd"/>
      <w:r w:rsidR="000200D7">
        <w:t>) among the third-line population</w:t>
      </w:r>
      <w:r w:rsidR="00A60A2D">
        <w:t>, given the lack of available evidence.</w:t>
      </w:r>
    </w:p>
    <w:p w14:paraId="6D119BC2" w14:textId="77777777" w:rsidR="00E92C04" w:rsidRDefault="00E92C04">
      <w:pPr>
        <w:rPr>
          <w:rFonts w:ascii="Times New Roman" w:hAnsi="Times New Roman" w:cs="Times New Roman"/>
          <w:b/>
        </w:rPr>
      </w:pPr>
    </w:p>
    <w:p w14:paraId="57915B75" w14:textId="77777777" w:rsidR="006C327F" w:rsidRDefault="006C327F">
      <w:pPr>
        <w:rPr>
          <w:rFonts w:ascii="Times New Roman" w:hAnsi="Times New Roman" w:cs="Times New Roman"/>
          <w:b/>
        </w:rPr>
      </w:pPr>
      <w:r>
        <w:rPr>
          <w:rFonts w:ascii="Times New Roman" w:hAnsi="Times New Roman" w:cs="Times New Roman"/>
          <w:b/>
        </w:rPr>
        <w:br w:type="page"/>
      </w:r>
    </w:p>
    <w:p w14:paraId="7E6E8C9D" w14:textId="77777777" w:rsidR="00F81D84" w:rsidRDefault="00F81D84" w:rsidP="00F54806">
      <w:pPr>
        <w:rPr>
          <w:rFonts w:ascii="Times New Roman" w:hAnsi="Times New Roman" w:cs="Times New Roman"/>
          <w:i/>
        </w:rPr>
      </w:pPr>
      <w:r w:rsidRPr="00304AC2">
        <w:rPr>
          <w:rFonts w:ascii="Times New Roman" w:hAnsi="Times New Roman" w:cs="Times New Roman"/>
          <w:b/>
        </w:rPr>
        <w:lastRenderedPageBreak/>
        <w:t>Acknowledgements:</w:t>
      </w:r>
      <w:r>
        <w:rPr>
          <w:rFonts w:ascii="Times New Roman" w:hAnsi="Times New Roman" w:cs="Times New Roman"/>
        </w:rPr>
        <w:t xml:space="preserve"> This project was funded by the National Institute for Health Research (NIHR) Health Technology Assessment Programme (project number</w:t>
      </w:r>
      <w:r w:rsidR="0054654D">
        <w:rPr>
          <w:rFonts w:ascii="Times New Roman" w:hAnsi="Times New Roman" w:cs="Times New Roman"/>
        </w:rPr>
        <w:t xml:space="preserve"> </w:t>
      </w:r>
      <w:r w:rsidR="00284149" w:rsidRPr="00284149">
        <w:t>12/66/01</w:t>
      </w:r>
      <w:r w:rsidR="0054654D">
        <w:rPr>
          <w:rFonts w:ascii="Times New Roman" w:hAnsi="Times New Roman" w:cs="Times New Roman"/>
        </w:rPr>
        <w:t>)</w:t>
      </w:r>
      <w:r>
        <w:rPr>
          <w:rFonts w:ascii="Times New Roman" w:hAnsi="Times New Roman" w:cs="Times New Roman"/>
        </w:rPr>
        <w:t>.  See the HTA programme website (</w:t>
      </w:r>
      <w:r w:rsidRPr="000E501A">
        <w:rPr>
          <w:rStyle w:val="Hyperlink"/>
          <w:rFonts w:ascii="Times New Roman" w:hAnsi="Times New Roman" w:cs="Times New Roman"/>
        </w:rPr>
        <w:t>http://www.hta.ac.uk</w:t>
      </w:r>
      <w:r>
        <w:rPr>
          <w:rFonts w:ascii="Times New Roman" w:hAnsi="Times New Roman" w:cs="Times New Roman"/>
        </w:rPr>
        <w:t xml:space="preserve">) for further project information.  This summary of the ERG report was compiled after the Appraisal Committee’s review and incorporates additional information and comment from the authors on the STA process and iterations of the NICE guidance not covered by the HTA report.  This summary has not been externally peer reviewed by </w:t>
      </w:r>
      <w:proofErr w:type="spellStart"/>
      <w:r>
        <w:rPr>
          <w:rFonts w:ascii="Times New Roman" w:hAnsi="Times New Roman" w:cs="Times New Roman"/>
          <w:i/>
        </w:rPr>
        <w:t>PharmacoEconomics</w:t>
      </w:r>
      <w:proofErr w:type="spellEnd"/>
      <w:r>
        <w:rPr>
          <w:rFonts w:ascii="Times New Roman" w:hAnsi="Times New Roman" w:cs="Times New Roman"/>
          <w:i/>
        </w:rPr>
        <w:t>.</w:t>
      </w:r>
    </w:p>
    <w:p w14:paraId="72155F90" w14:textId="77777777" w:rsidR="00BE508A" w:rsidRDefault="00BE508A" w:rsidP="00BE508A">
      <w:pPr>
        <w:spacing w:after="0" w:line="240" w:lineRule="auto"/>
        <w:rPr>
          <w:rFonts w:ascii="Times New Roman" w:hAnsi="Times New Roman" w:cs="Times New Roman"/>
        </w:rPr>
      </w:pPr>
      <w:r w:rsidRPr="00BE508A">
        <w:rPr>
          <w:rFonts w:ascii="Times New Roman" w:hAnsi="Times New Roman" w:cs="Times New Roman"/>
        </w:rPr>
        <w:t xml:space="preserve">The ERG </w:t>
      </w:r>
      <w:r w:rsidR="00C03E4D">
        <w:rPr>
          <w:rFonts w:ascii="Times New Roman" w:hAnsi="Times New Roman" w:cs="Times New Roman"/>
        </w:rPr>
        <w:t>would like to</w:t>
      </w:r>
      <w:r w:rsidR="00C03E4D" w:rsidRPr="00C03E4D">
        <w:rPr>
          <w:rFonts w:ascii="Times New Roman" w:hAnsi="Times New Roman" w:cs="Times New Roman"/>
        </w:rPr>
        <w:t xml:space="preserve"> thank Paul </w:t>
      </w:r>
      <w:proofErr w:type="spellStart"/>
      <w:r w:rsidR="00C03E4D" w:rsidRPr="00C03E4D">
        <w:rPr>
          <w:rFonts w:ascii="Times New Roman" w:hAnsi="Times New Roman" w:cs="Times New Roman"/>
        </w:rPr>
        <w:t>Blenkiron</w:t>
      </w:r>
      <w:proofErr w:type="spellEnd"/>
      <w:r w:rsidR="00C03E4D" w:rsidRPr="00C03E4D">
        <w:rPr>
          <w:rFonts w:ascii="Times New Roman" w:hAnsi="Times New Roman" w:cs="Times New Roman"/>
        </w:rPr>
        <w:t xml:space="preserve">, Consultant Psychiatrist, </w:t>
      </w:r>
      <w:proofErr w:type="spellStart"/>
      <w:r w:rsidR="00C03E4D" w:rsidRPr="00C03E4D">
        <w:rPr>
          <w:rFonts w:ascii="Times New Roman" w:hAnsi="Times New Roman" w:cs="Times New Roman"/>
        </w:rPr>
        <w:t>Bootham</w:t>
      </w:r>
      <w:proofErr w:type="spellEnd"/>
      <w:r w:rsidR="00C03E4D" w:rsidRPr="00C03E4D">
        <w:rPr>
          <w:rFonts w:ascii="Times New Roman" w:hAnsi="Times New Roman" w:cs="Times New Roman"/>
        </w:rPr>
        <w:t xml:space="preserve"> Park Hospital, York, and Catherine Snape, General Practitioner, </w:t>
      </w:r>
      <w:proofErr w:type="spellStart"/>
      <w:r w:rsidR="00C03E4D" w:rsidRPr="00C03E4D">
        <w:rPr>
          <w:rFonts w:ascii="Times New Roman" w:hAnsi="Times New Roman" w:cs="Times New Roman"/>
        </w:rPr>
        <w:t>Jorvik</w:t>
      </w:r>
      <w:proofErr w:type="spellEnd"/>
      <w:r w:rsidR="00C03E4D" w:rsidRPr="00C03E4D">
        <w:rPr>
          <w:rFonts w:ascii="Times New Roman" w:hAnsi="Times New Roman" w:cs="Times New Roman"/>
        </w:rPr>
        <w:t xml:space="preserve"> </w:t>
      </w:r>
      <w:proofErr w:type="spellStart"/>
      <w:r w:rsidR="00C03E4D" w:rsidRPr="00C03E4D">
        <w:rPr>
          <w:rFonts w:ascii="Times New Roman" w:hAnsi="Times New Roman" w:cs="Times New Roman"/>
        </w:rPr>
        <w:t>Gillygate</w:t>
      </w:r>
      <w:proofErr w:type="spellEnd"/>
      <w:r w:rsidR="00C03E4D" w:rsidRPr="00C03E4D">
        <w:rPr>
          <w:rFonts w:ascii="Times New Roman" w:hAnsi="Times New Roman" w:cs="Times New Roman"/>
        </w:rPr>
        <w:t xml:space="preserve"> Practice, York, who acted as clinical expert advisors to the ERG.</w:t>
      </w:r>
    </w:p>
    <w:p w14:paraId="39001352" w14:textId="77777777" w:rsidR="00C03E4D" w:rsidRPr="00BE508A" w:rsidRDefault="00C03E4D" w:rsidP="00BE508A">
      <w:pPr>
        <w:spacing w:after="0" w:line="240" w:lineRule="auto"/>
        <w:rPr>
          <w:rFonts w:ascii="Times New Roman" w:hAnsi="Times New Roman" w:cs="Times New Roman"/>
        </w:rPr>
      </w:pPr>
    </w:p>
    <w:p w14:paraId="52F1FBF1" w14:textId="21773C81" w:rsidR="00BE508A" w:rsidRPr="00BE508A" w:rsidRDefault="00BE508A" w:rsidP="00BE508A">
      <w:pPr>
        <w:spacing w:after="0" w:line="240" w:lineRule="auto"/>
        <w:rPr>
          <w:rFonts w:ascii="Times New Roman" w:hAnsi="Times New Roman" w:cs="Times New Roman"/>
        </w:rPr>
      </w:pPr>
      <w:r w:rsidRPr="00BE508A">
        <w:rPr>
          <w:rFonts w:ascii="Times New Roman" w:hAnsi="Times New Roman" w:cs="Times New Roman"/>
        </w:rPr>
        <w:t xml:space="preserve">The views and opinions expressed herein are those of the authors and do not necessarily reflect those of NICE or the Department of Health.  </w:t>
      </w:r>
      <w:r w:rsidR="00EC58D5" w:rsidRPr="00BE508A">
        <w:t xml:space="preserve">James Lomas, Alexis Llewellyn, Marta </w:t>
      </w:r>
      <w:proofErr w:type="spellStart"/>
      <w:r w:rsidR="00EC58D5" w:rsidRPr="00BE508A">
        <w:t>Soares</w:t>
      </w:r>
      <w:proofErr w:type="spellEnd"/>
      <w:r w:rsidR="00EC58D5" w:rsidRPr="00BE508A">
        <w:t>,</w:t>
      </w:r>
      <w:r w:rsidR="00EC58D5" w:rsidRPr="00A60A2D">
        <w:t xml:space="preserve"> </w:t>
      </w:r>
      <w:r w:rsidR="00EC58D5" w:rsidRPr="00BE508A">
        <w:t>Mark Simmonds,</w:t>
      </w:r>
      <w:r w:rsidR="00EC58D5">
        <w:t xml:space="preserve"> Kath Wright,</w:t>
      </w:r>
      <w:r w:rsidR="00EC58D5" w:rsidRPr="00BE508A">
        <w:t xml:space="preserve"> Alison Eastwood and Stephen Palmer</w:t>
      </w:r>
      <w:r w:rsidR="00EC58D5" w:rsidRPr="00BE508A" w:rsidDel="00EC58D5">
        <w:rPr>
          <w:rFonts w:ascii="Times New Roman" w:hAnsi="Times New Roman" w:cs="Times New Roman"/>
        </w:rPr>
        <w:t xml:space="preserve"> </w:t>
      </w:r>
      <w:r w:rsidRPr="00BE508A">
        <w:rPr>
          <w:rFonts w:ascii="Times New Roman" w:hAnsi="Times New Roman" w:cs="Times New Roman"/>
        </w:rPr>
        <w:t>have no conflicts of interest that are directly relevant to the content of this summary.</w:t>
      </w:r>
    </w:p>
    <w:p w14:paraId="285B2D82" w14:textId="77777777" w:rsidR="00BE508A" w:rsidRPr="00BE508A" w:rsidRDefault="00BE508A" w:rsidP="00BE508A">
      <w:pPr>
        <w:spacing w:after="0" w:line="240" w:lineRule="auto"/>
        <w:rPr>
          <w:rFonts w:ascii="Times New Roman" w:hAnsi="Times New Roman" w:cs="Times New Roman"/>
        </w:rPr>
      </w:pPr>
    </w:p>
    <w:p w14:paraId="4CEDAFB7" w14:textId="77777777" w:rsidR="00F81D84" w:rsidRDefault="00BE508A" w:rsidP="00BE508A">
      <w:pPr>
        <w:spacing w:after="0" w:line="240" w:lineRule="auto"/>
        <w:rPr>
          <w:rFonts w:ascii="Times New Roman" w:hAnsi="Times New Roman" w:cs="Times New Roman"/>
        </w:rPr>
      </w:pPr>
      <w:r w:rsidRPr="00BE508A">
        <w:rPr>
          <w:rFonts w:ascii="Times New Roman" w:hAnsi="Times New Roman" w:cs="Times New Roman"/>
        </w:rPr>
        <w:t>This work is Crown copyright (UK).</w:t>
      </w:r>
    </w:p>
    <w:p w14:paraId="557AD100" w14:textId="77777777" w:rsidR="002F309A" w:rsidRDefault="002F309A" w:rsidP="00F81D84">
      <w:pPr>
        <w:spacing w:after="0" w:line="240" w:lineRule="auto"/>
        <w:rPr>
          <w:rFonts w:ascii="Times New Roman" w:hAnsi="Times New Roman" w:cs="Times New Roman"/>
        </w:rPr>
      </w:pPr>
    </w:p>
    <w:p w14:paraId="63B0DED0" w14:textId="77777777" w:rsidR="002F309A" w:rsidRPr="002F309A" w:rsidRDefault="002F309A" w:rsidP="002F309A">
      <w:pPr>
        <w:pStyle w:val="Header"/>
        <w:spacing w:line="240" w:lineRule="auto"/>
        <w:rPr>
          <w:sz w:val="22"/>
          <w:szCs w:val="22"/>
        </w:rPr>
      </w:pPr>
      <w:r>
        <w:rPr>
          <w:b/>
          <w:sz w:val="22"/>
          <w:szCs w:val="22"/>
        </w:rPr>
        <w:t xml:space="preserve">Author contributions: </w:t>
      </w:r>
      <w:r w:rsidR="00BE508A" w:rsidRPr="00BE508A">
        <w:rPr>
          <w:sz w:val="22"/>
          <w:szCs w:val="22"/>
        </w:rPr>
        <w:t xml:space="preserve">James Lomas, Alexis Llewellyn, Marta </w:t>
      </w:r>
      <w:proofErr w:type="spellStart"/>
      <w:r w:rsidR="00BE508A" w:rsidRPr="00BE508A">
        <w:rPr>
          <w:sz w:val="22"/>
          <w:szCs w:val="22"/>
        </w:rPr>
        <w:t>Soares</w:t>
      </w:r>
      <w:proofErr w:type="spellEnd"/>
      <w:r w:rsidR="00BE508A" w:rsidRPr="00BE508A">
        <w:rPr>
          <w:sz w:val="22"/>
          <w:szCs w:val="22"/>
        </w:rPr>
        <w:t>,</w:t>
      </w:r>
      <w:r w:rsidR="00A60A2D" w:rsidRPr="00A60A2D">
        <w:rPr>
          <w:sz w:val="22"/>
          <w:szCs w:val="22"/>
        </w:rPr>
        <w:t xml:space="preserve"> </w:t>
      </w:r>
      <w:r w:rsidR="00A60A2D" w:rsidRPr="00BE508A">
        <w:rPr>
          <w:sz w:val="22"/>
          <w:szCs w:val="22"/>
        </w:rPr>
        <w:t>Mark Simmonds,</w:t>
      </w:r>
      <w:r w:rsidR="00511C7A">
        <w:rPr>
          <w:sz w:val="22"/>
          <w:szCs w:val="22"/>
        </w:rPr>
        <w:t xml:space="preserve"> Kath Wright,</w:t>
      </w:r>
      <w:r w:rsidR="00BE508A" w:rsidRPr="00BE508A">
        <w:rPr>
          <w:sz w:val="22"/>
          <w:szCs w:val="22"/>
        </w:rPr>
        <w:t xml:space="preserve"> Alison Eastwood and Stephen Palmer</w:t>
      </w:r>
      <w:r w:rsidR="00BE508A">
        <w:rPr>
          <w:sz w:val="22"/>
          <w:szCs w:val="22"/>
        </w:rPr>
        <w:t xml:space="preserve"> all</w:t>
      </w:r>
      <w:r w:rsidR="00085563">
        <w:rPr>
          <w:sz w:val="22"/>
          <w:szCs w:val="22"/>
        </w:rPr>
        <w:t xml:space="preserve"> formed part of the ERG that produced the ERG report that this paper describes.  </w:t>
      </w:r>
      <w:r w:rsidR="0058376E">
        <w:rPr>
          <w:sz w:val="22"/>
          <w:szCs w:val="22"/>
        </w:rPr>
        <w:t>James Lomas</w:t>
      </w:r>
      <w:r w:rsidR="00085563">
        <w:rPr>
          <w:sz w:val="22"/>
          <w:szCs w:val="22"/>
        </w:rPr>
        <w:t xml:space="preserve"> wrote the first draft of the manuscript. </w:t>
      </w:r>
      <w:r w:rsidR="00883049">
        <w:rPr>
          <w:sz w:val="22"/>
          <w:szCs w:val="22"/>
        </w:rPr>
        <w:t xml:space="preserve"> </w:t>
      </w:r>
      <w:r w:rsidR="00511C7A">
        <w:rPr>
          <w:sz w:val="22"/>
          <w:szCs w:val="22"/>
        </w:rPr>
        <w:t>All authors</w:t>
      </w:r>
      <w:r w:rsidR="00883049">
        <w:rPr>
          <w:sz w:val="22"/>
          <w:szCs w:val="22"/>
        </w:rPr>
        <w:t xml:space="preserve"> </w:t>
      </w:r>
      <w:r w:rsidR="00085563">
        <w:rPr>
          <w:sz w:val="22"/>
          <w:szCs w:val="22"/>
        </w:rPr>
        <w:t>commented on the manuscript and</w:t>
      </w:r>
      <w:r w:rsidR="00883049">
        <w:rPr>
          <w:sz w:val="22"/>
          <w:szCs w:val="22"/>
        </w:rPr>
        <w:t xml:space="preserve"> all authors</w:t>
      </w:r>
      <w:r w:rsidR="00085563">
        <w:rPr>
          <w:sz w:val="22"/>
          <w:szCs w:val="22"/>
        </w:rPr>
        <w:t xml:space="preserve"> approved the final version.</w:t>
      </w:r>
    </w:p>
    <w:p w14:paraId="1360CE65" w14:textId="77777777" w:rsidR="002F309A" w:rsidRDefault="002F309A" w:rsidP="00F81D84">
      <w:pPr>
        <w:spacing w:after="0" w:line="240" w:lineRule="auto"/>
        <w:rPr>
          <w:rFonts w:ascii="Times New Roman" w:hAnsi="Times New Roman" w:cs="Times New Roman"/>
        </w:rPr>
      </w:pPr>
    </w:p>
    <w:p w14:paraId="03DAC3B3" w14:textId="77777777" w:rsidR="00F81D84" w:rsidRDefault="00F81D84" w:rsidP="00F81D84">
      <w:pPr>
        <w:spacing w:after="0" w:line="240" w:lineRule="auto"/>
        <w:rPr>
          <w:rFonts w:ascii="Times New Roman" w:hAnsi="Times New Roman" w:cs="Times New Roman"/>
        </w:rPr>
      </w:pPr>
    </w:p>
    <w:p w14:paraId="7A9256AE" w14:textId="77777777" w:rsidR="00F81D84" w:rsidRDefault="00F81D84">
      <w:pPr>
        <w:rPr>
          <w:rFonts w:ascii="Times New Roman" w:hAnsi="Times New Roman" w:cs="Times New Roman"/>
          <w:b/>
        </w:rPr>
      </w:pPr>
      <w:r>
        <w:rPr>
          <w:rFonts w:ascii="Times New Roman" w:hAnsi="Times New Roman" w:cs="Times New Roman"/>
          <w:b/>
        </w:rPr>
        <w:br w:type="page"/>
      </w:r>
    </w:p>
    <w:p w14:paraId="5B145B4D" w14:textId="77777777" w:rsidR="005F7D6D" w:rsidRDefault="00F81D84">
      <w:pPr>
        <w:rPr>
          <w:rFonts w:ascii="Times New Roman" w:hAnsi="Times New Roman" w:cs="Times New Roman"/>
          <w:b/>
        </w:rPr>
      </w:pPr>
      <w:r>
        <w:rPr>
          <w:rFonts w:ascii="Times New Roman" w:hAnsi="Times New Roman" w:cs="Times New Roman"/>
          <w:b/>
        </w:rPr>
        <w:lastRenderedPageBreak/>
        <w:t>References</w:t>
      </w:r>
    </w:p>
    <w:p w14:paraId="36FF902F" w14:textId="77777777" w:rsidR="00704A71" w:rsidRPr="00704A71" w:rsidRDefault="006E08B8" w:rsidP="00704A71">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704A71" w:rsidRPr="00704A71">
        <w:rPr>
          <w:rFonts w:ascii="Times New Roman" w:hAnsi="Times New Roman" w:cs="Times New Roman"/>
          <w:noProof/>
          <w:szCs w:val="24"/>
        </w:rPr>
        <w:t>[1]</w:t>
      </w:r>
      <w:r w:rsidR="00704A71" w:rsidRPr="00704A71">
        <w:rPr>
          <w:rFonts w:ascii="Times New Roman" w:hAnsi="Times New Roman" w:cs="Times New Roman"/>
          <w:noProof/>
          <w:szCs w:val="24"/>
        </w:rPr>
        <w:tab/>
        <w:t>NICE, “Guide to the single technology appraisal process,” 2009.</w:t>
      </w:r>
    </w:p>
    <w:p w14:paraId="054B348B"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[2]</w:t>
      </w:r>
      <w:r w:rsidRPr="00704A71">
        <w:rPr>
          <w:rFonts w:ascii="Times New Roman" w:hAnsi="Times New Roman" w:cs="Times New Roman"/>
          <w:noProof/>
          <w:szCs w:val="24"/>
        </w:rPr>
        <w:tab/>
        <w:t xml:space="preserve">M. Simmonds, J. Lomas, A. Llewellyn, M. Soares, K. Wright, A. Eastwood, and S. Palmer, “Vortioxetine for treating major depressive disorder: A Single Technology Appraisal,” </w:t>
      </w:r>
      <w:r w:rsidRPr="00704A71">
        <w:rPr>
          <w:rFonts w:ascii="Times New Roman" w:hAnsi="Times New Roman" w:cs="Times New Roman"/>
          <w:i/>
          <w:iCs/>
          <w:noProof/>
          <w:szCs w:val="24"/>
        </w:rPr>
        <w:t>CRD CHE Technol. Assess. Gr.</w:t>
      </w:r>
      <w:r w:rsidRPr="00704A71">
        <w:rPr>
          <w:rFonts w:ascii="Times New Roman" w:hAnsi="Times New Roman" w:cs="Times New Roman"/>
          <w:noProof/>
          <w:szCs w:val="24"/>
        </w:rPr>
        <w:t>, 2015.</w:t>
      </w:r>
    </w:p>
    <w:p w14:paraId="312B6754"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[3]</w:t>
      </w:r>
      <w:r w:rsidRPr="00704A71">
        <w:rPr>
          <w:rFonts w:ascii="Times New Roman" w:hAnsi="Times New Roman" w:cs="Times New Roman"/>
          <w:noProof/>
          <w:szCs w:val="24"/>
        </w:rPr>
        <w:tab/>
        <w:t>NICE, “Vortioxetine for treating major depressive episodes,” 2015. [Online]. Available: https://www.nice.org.uk/guidance/ta367.</w:t>
      </w:r>
    </w:p>
    <w:p w14:paraId="6927C925"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[4]</w:t>
      </w:r>
      <w:r w:rsidRPr="00704A71">
        <w:rPr>
          <w:rFonts w:ascii="Times New Roman" w:hAnsi="Times New Roman" w:cs="Times New Roman"/>
          <w:noProof/>
          <w:szCs w:val="24"/>
        </w:rPr>
        <w:tab/>
        <w:t>NICE, “Depression in adults: recognition and management,” 2009.</w:t>
      </w:r>
    </w:p>
    <w:p w14:paraId="365C8328"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[5]</w:t>
      </w:r>
      <w:r w:rsidRPr="00704A71">
        <w:rPr>
          <w:rFonts w:ascii="Times New Roman" w:hAnsi="Times New Roman" w:cs="Times New Roman"/>
          <w:noProof/>
          <w:szCs w:val="24"/>
        </w:rPr>
        <w:tab/>
        <w:t xml:space="preserve">H. C. Bucher, G. H. Guyatt, L. E. Griffith, and S. D. Walter, “The results of direct and indirect treatment comparisons in meta-analysis of randomized controlled trials.,” </w:t>
      </w:r>
      <w:r w:rsidRPr="00704A71">
        <w:rPr>
          <w:rFonts w:ascii="Times New Roman" w:hAnsi="Times New Roman" w:cs="Times New Roman"/>
          <w:i/>
          <w:iCs/>
          <w:noProof/>
          <w:szCs w:val="24"/>
        </w:rPr>
        <w:t>J. Clin. Epidemiol.</w:t>
      </w:r>
      <w:r w:rsidRPr="00704A71">
        <w:rPr>
          <w:rFonts w:ascii="Times New Roman" w:hAnsi="Times New Roman" w:cs="Times New Roman"/>
          <w:noProof/>
          <w:szCs w:val="24"/>
        </w:rPr>
        <w:t>, vol. 50, no. 6, pp. 683–91, Jun. 1997.</w:t>
      </w:r>
    </w:p>
    <w:p w14:paraId="162072E5"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[6]</w:t>
      </w:r>
      <w:r w:rsidRPr="00704A71">
        <w:rPr>
          <w:rFonts w:ascii="Times New Roman" w:hAnsi="Times New Roman" w:cs="Times New Roman"/>
          <w:noProof/>
          <w:szCs w:val="24"/>
        </w:rPr>
        <w:tab/>
        <w:t>NICE, “Agomelatine for the treatment of major depressive episodes (terminated appraisal),” 2011.</w:t>
      </w:r>
    </w:p>
    <w:p w14:paraId="75E47B1A"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[7]</w:t>
      </w:r>
      <w:r w:rsidRPr="00704A71">
        <w:rPr>
          <w:rFonts w:ascii="Times New Roman" w:hAnsi="Times New Roman" w:cs="Times New Roman"/>
          <w:noProof/>
          <w:szCs w:val="24"/>
        </w:rPr>
        <w:tab/>
        <w:t xml:space="preserve">S. Kasper, G. Hajak, K. Wulff, W. J. G. Hoogendijk, A. L. Montejo, E. Smeraldi, J. K. Rybakowski, M.-A. Quera-Salva, A. M. Wirz-Justice, F. Picarel-Blanchot, and F. J. Baylé, “Efficacy of the novel antidepressant agomelatine on the circadian rest-activity cycle and depressive and anxiety symptoms in patients with major depressive disorder: a randomized, double-blind comparison with sertraline.,” </w:t>
      </w:r>
      <w:r w:rsidRPr="00704A71">
        <w:rPr>
          <w:rFonts w:ascii="Times New Roman" w:hAnsi="Times New Roman" w:cs="Times New Roman"/>
          <w:i/>
          <w:iCs/>
          <w:noProof/>
          <w:szCs w:val="24"/>
        </w:rPr>
        <w:t>J. Clin. Psychiatry</w:t>
      </w:r>
      <w:r w:rsidRPr="00704A71">
        <w:rPr>
          <w:rFonts w:ascii="Times New Roman" w:hAnsi="Times New Roman" w:cs="Times New Roman"/>
          <w:noProof/>
          <w:szCs w:val="24"/>
        </w:rPr>
        <w:t>, vol. 71, no. 2, pp. 109–20, Feb. 2010.</w:t>
      </w:r>
    </w:p>
    <w:p w14:paraId="59539253"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[8]</w:t>
      </w:r>
      <w:r w:rsidRPr="00704A71">
        <w:rPr>
          <w:rFonts w:ascii="Times New Roman" w:hAnsi="Times New Roman" w:cs="Times New Roman"/>
          <w:noProof/>
          <w:szCs w:val="24"/>
        </w:rPr>
        <w:tab/>
        <w:t xml:space="preserve">C.-U. Pae, S.-M. Wang, C. Han, S.-J. Lee, A. A. Patkar, P. S. Masand, and A. Serretti, “Vortioxetine: a meta-analysis of 12 short-term, randomized, placebo-controlled clinical trials for the treatment of major depressive disorder.,” </w:t>
      </w:r>
      <w:r w:rsidRPr="00704A71">
        <w:rPr>
          <w:rFonts w:ascii="Times New Roman" w:hAnsi="Times New Roman" w:cs="Times New Roman"/>
          <w:i/>
          <w:iCs/>
          <w:noProof/>
          <w:szCs w:val="24"/>
        </w:rPr>
        <w:t>J. Psychiatry Neurosci.</w:t>
      </w:r>
      <w:r w:rsidRPr="00704A71">
        <w:rPr>
          <w:rFonts w:ascii="Times New Roman" w:hAnsi="Times New Roman" w:cs="Times New Roman"/>
          <w:noProof/>
          <w:szCs w:val="24"/>
        </w:rPr>
        <w:t>, vol. 40, no. 3, pp. 174–86, May 2015.</w:t>
      </w:r>
    </w:p>
    <w:p w14:paraId="762159FC"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[9]</w:t>
      </w:r>
      <w:r w:rsidRPr="00704A71">
        <w:rPr>
          <w:rFonts w:ascii="Times New Roman" w:hAnsi="Times New Roman" w:cs="Times New Roman"/>
          <w:noProof/>
          <w:szCs w:val="24"/>
        </w:rPr>
        <w:tab/>
        <w:t xml:space="preserve">P.-M. Llorca, C. Lançon, M. Brignone, B. Rive, S. Salah, L. Ereshefsky, and C. Francois, “Relative efficacy and tolerability of vortioxetine versus selected antidepressants by indirect comparisons of similar clinical studies.,” </w:t>
      </w:r>
      <w:r w:rsidRPr="00704A71">
        <w:rPr>
          <w:rFonts w:ascii="Times New Roman" w:hAnsi="Times New Roman" w:cs="Times New Roman"/>
          <w:i/>
          <w:iCs/>
          <w:noProof/>
          <w:szCs w:val="24"/>
        </w:rPr>
        <w:t>Curr. Med. Res. Opin.</w:t>
      </w:r>
      <w:r w:rsidRPr="00704A71">
        <w:rPr>
          <w:rFonts w:ascii="Times New Roman" w:hAnsi="Times New Roman" w:cs="Times New Roman"/>
          <w:noProof/>
          <w:szCs w:val="24"/>
        </w:rPr>
        <w:t>, vol. 30, no. 12, pp. 2589–606, Dec. 2014.</w:t>
      </w:r>
    </w:p>
    <w:p w14:paraId="7885FE99"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[10]</w:t>
      </w:r>
      <w:r w:rsidRPr="00704A71">
        <w:rPr>
          <w:rFonts w:ascii="Times New Roman" w:hAnsi="Times New Roman" w:cs="Times New Roman"/>
          <w:noProof/>
          <w:szCs w:val="24"/>
        </w:rPr>
        <w:tab/>
        <w:t xml:space="preserve">F. Limosin, J.-Y. Loze, M. Zylberman-Bouhassira, M. E. Schmidt, E. Perrin, and F. Rouillon, “The course of depressive illness in general practice.,” </w:t>
      </w:r>
      <w:r w:rsidRPr="00704A71">
        <w:rPr>
          <w:rFonts w:ascii="Times New Roman" w:hAnsi="Times New Roman" w:cs="Times New Roman"/>
          <w:i/>
          <w:iCs/>
          <w:noProof/>
          <w:szCs w:val="24"/>
        </w:rPr>
        <w:t>Can. J. Psychiatry.</w:t>
      </w:r>
      <w:r w:rsidRPr="00704A71">
        <w:rPr>
          <w:rFonts w:ascii="Times New Roman" w:hAnsi="Times New Roman" w:cs="Times New Roman"/>
          <w:noProof/>
          <w:szCs w:val="24"/>
        </w:rPr>
        <w:t>, vol. 49, no. 2, pp. 119–23, Feb. 2004.</w:t>
      </w:r>
    </w:p>
    <w:p w14:paraId="47851CB5"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[11]</w:t>
      </w:r>
      <w:r w:rsidRPr="00704A71">
        <w:rPr>
          <w:rFonts w:ascii="Times New Roman" w:hAnsi="Times New Roman" w:cs="Times New Roman"/>
          <w:noProof/>
          <w:szCs w:val="24"/>
        </w:rPr>
        <w:tab/>
        <w:t xml:space="preserve">A. J. Rush, M. H. Trivedi, S. R. Wisniewski, A. A. Nierenberg, J. W. Stewart, D. Warden, G. Niederehe, M. E. Thase, P. W. Lavori, B. D. Lebowitz, P. J. McGrath, J. F. Rosenbaum, H. A. Sackeim, D. J. Kupfer, J. Luther, and M. Fava, “Acute and Longer-Term Outcomes in Depressed Outpatients Requiring One or Several Treatment Steps: A STAR*D Report,” </w:t>
      </w:r>
      <w:r w:rsidRPr="00704A71">
        <w:rPr>
          <w:rFonts w:ascii="Times New Roman" w:hAnsi="Times New Roman" w:cs="Times New Roman"/>
          <w:i/>
          <w:iCs/>
          <w:noProof/>
          <w:szCs w:val="24"/>
        </w:rPr>
        <w:t>Am. J. Psychiatry</w:t>
      </w:r>
      <w:r w:rsidRPr="00704A71">
        <w:rPr>
          <w:rFonts w:ascii="Times New Roman" w:hAnsi="Times New Roman" w:cs="Times New Roman"/>
          <w:noProof/>
          <w:szCs w:val="24"/>
        </w:rPr>
        <w:t>, vol. 163, no. 11, pp. 1905–1917, Nov. 2006.</w:t>
      </w:r>
    </w:p>
    <w:p w14:paraId="58AB1F99"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[12]</w:t>
      </w:r>
      <w:r w:rsidRPr="00704A71">
        <w:rPr>
          <w:rFonts w:ascii="Times New Roman" w:hAnsi="Times New Roman" w:cs="Times New Roman"/>
          <w:noProof/>
          <w:szCs w:val="24"/>
        </w:rPr>
        <w:tab/>
        <w:t xml:space="preserve">S. Byford, B. Barrett, N. Despiégel, and A. Wade, “Impact of treatment success on health service use and cost in depression: longitudinal database analysis.,” </w:t>
      </w:r>
      <w:r w:rsidRPr="00704A71">
        <w:rPr>
          <w:rFonts w:ascii="Times New Roman" w:hAnsi="Times New Roman" w:cs="Times New Roman"/>
          <w:i/>
          <w:iCs/>
          <w:noProof/>
          <w:szCs w:val="24"/>
        </w:rPr>
        <w:t>Pharmacoeconomics</w:t>
      </w:r>
      <w:r w:rsidRPr="00704A71">
        <w:rPr>
          <w:rFonts w:ascii="Times New Roman" w:hAnsi="Times New Roman" w:cs="Times New Roman"/>
          <w:noProof/>
          <w:szCs w:val="24"/>
        </w:rPr>
        <w:t>, vol. 29, no. 2, pp. 157–70, Feb. 2011.</w:t>
      </w:r>
    </w:p>
    <w:p w14:paraId="37E8143D"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[13]</w:t>
      </w:r>
      <w:r w:rsidRPr="00704A71">
        <w:rPr>
          <w:rFonts w:ascii="Times New Roman" w:hAnsi="Times New Roman" w:cs="Times New Roman"/>
          <w:noProof/>
          <w:szCs w:val="24"/>
        </w:rPr>
        <w:tab/>
        <w:t xml:space="preserve">L. Curtis, “Unit Costs of Health and Social Care 2013,” </w:t>
      </w:r>
      <w:r w:rsidRPr="00704A71">
        <w:rPr>
          <w:rFonts w:ascii="Times New Roman" w:hAnsi="Times New Roman" w:cs="Times New Roman"/>
          <w:i/>
          <w:iCs/>
          <w:noProof/>
          <w:szCs w:val="24"/>
        </w:rPr>
        <w:t>PSSRU</w:t>
      </w:r>
      <w:r w:rsidRPr="00704A71">
        <w:rPr>
          <w:rFonts w:ascii="Times New Roman" w:hAnsi="Times New Roman" w:cs="Times New Roman"/>
          <w:noProof/>
          <w:szCs w:val="24"/>
        </w:rPr>
        <w:t>, 2013.</w:t>
      </w:r>
    </w:p>
    <w:p w14:paraId="5D5D31F7"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szCs w:val="24"/>
        </w:rPr>
      </w:pPr>
      <w:r w:rsidRPr="00704A71">
        <w:rPr>
          <w:rFonts w:ascii="Times New Roman" w:hAnsi="Times New Roman" w:cs="Times New Roman"/>
          <w:noProof/>
          <w:szCs w:val="24"/>
        </w:rPr>
        <w:t>[14]</w:t>
      </w:r>
      <w:r w:rsidRPr="00704A71">
        <w:rPr>
          <w:rFonts w:ascii="Times New Roman" w:hAnsi="Times New Roman" w:cs="Times New Roman"/>
          <w:noProof/>
          <w:szCs w:val="24"/>
        </w:rPr>
        <w:tab/>
        <w:t xml:space="preserve">C. Sapin, B. Fantino, M.-L. Nowicki, and P. Kind, “Usefulness of EQ-5D in Assessing Health Status in Primary Care Patients with Major Depressive Disorder,” </w:t>
      </w:r>
      <w:r w:rsidRPr="00704A71">
        <w:rPr>
          <w:rFonts w:ascii="Times New Roman" w:hAnsi="Times New Roman" w:cs="Times New Roman"/>
          <w:i/>
          <w:iCs/>
          <w:noProof/>
          <w:szCs w:val="24"/>
        </w:rPr>
        <w:t>Health Qual. Life Outcomes</w:t>
      </w:r>
      <w:r w:rsidRPr="00704A71">
        <w:rPr>
          <w:rFonts w:ascii="Times New Roman" w:hAnsi="Times New Roman" w:cs="Times New Roman"/>
          <w:noProof/>
          <w:szCs w:val="24"/>
        </w:rPr>
        <w:t xml:space="preserve">, </w:t>
      </w:r>
      <w:r w:rsidRPr="00704A71">
        <w:rPr>
          <w:rFonts w:ascii="Times New Roman" w:hAnsi="Times New Roman" w:cs="Times New Roman"/>
          <w:noProof/>
          <w:szCs w:val="24"/>
        </w:rPr>
        <w:lastRenderedPageBreak/>
        <w:t>vol. 2, no. 1, 2004.</w:t>
      </w:r>
    </w:p>
    <w:p w14:paraId="5B52A759" w14:textId="77777777" w:rsidR="00704A71" w:rsidRPr="00704A71" w:rsidRDefault="00704A71" w:rsidP="00704A71">
      <w:pPr>
        <w:widowControl w:val="0"/>
        <w:autoSpaceDE w:val="0"/>
        <w:autoSpaceDN w:val="0"/>
        <w:adjustRightInd w:val="0"/>
        <w:spacing w:line="240" w:lineRule="auto"/>
        <w:ind w:left="640" w:hanging="640"/>
        <w:rPr>
          <w:rFonts w:ascii="Times New Roman" w:hAnsi="Times New Roman" w:cs="Times New Roman"/>
          <w:noProof/>
        </w:rPr>
      </w:pPr>
      <w:r w:rsidRPr="00704A71">
        <w:rPr>
          <w:rFonts w:ascii="Times New Roman" w:hAnsi="Times New Roman" w:cs="Times New Roman"/>
          <w:noProof/>
          <w:szCs w:val="24"/>
        </w:rPr>
        <w:t>[15]</w:t>
      </w:r>
      <w:r w:rsidRPr="00704A71">
        <w:rPr>
          <w:rFonts w:ascii="Times New Roman" w:hAnsi="Times New Roman" w:cs="Times New Roman"/>
          <w:noProof/>
          <w:szCs w:val="24"/>
        </w:rPr>
        <w:tab/>
        <w:t xml:space="preserve">P. W. Sullivan, R. Valuck, J. Saseen, and H. M. MacFall, “A comparison of the direct costs and cost effectiveness of serotonin reuptake inhibitors and associated adverse drug reactions.,” </w:t>
      </w:r>
      <w:r w:rsidRPr="00704A71">
        <w:rPr>
          <w:rFonts w:ascii="Times New Roman" w:hAnsi="Times New Roman" w:cs="Times New Roman"/>
          <w:i/>
          <w:iCs/>
          <w:noProof/>
          <w:szCs w:val="24"/>
        </w:rPr>
        <w:t>CNS Drugs</w:t>
      </w:r>
      <w:r w:rsidRPr="00704A71">
        <w:rPr>
          <w:rFonts w:ascii="Times New Roman" w:hAnsi="Times New Roman" w:cs="Times New Roman"/>
          <w:noProof/>
          <w:szCs w:val="24"/>
        </w:rPr>
        <w:t>, vol. 18, no. 13, pp. 911–32, 2004.</w:t>
      </w:r>
    </w:p>
    <w:p w14:paraId="0CEADA46" w14:textId="77777777" w:rsidR="00F81D84" w:rsidRDefault="006E08B8" w:rsidP="00704A71">
      <w:pPr>
        <w:widowControl w:val="0"/>
        <w:autoSpaceDE w:val="0"/>
        <w:autoSpaceDN w:val="0"/>
        <w:adjustRightInd w:val="0"/>
        <w:spacing w:line="240" w:lineRule="auto"/>
        <w:ind w:left="640" w:hanging="640"/>
        <w:rPr>
          <w:rFonts w:ascii="Times New Roman" w:hAnsi="Times New Roman" w:cs="Times New Roman"/>
          <w:b/>
        </w:rPr>
      </w:pPr>
      <w:r>
        <w:rPr>
          <w:rFonts w:ascii="Times New Roman" w:hAnsi="Times New Roman" w:cs="Times New Roman"/>
          <w:b/>
        </w:rPr>
        <w:fldChar w:fldCharType="end"/>
      </w:r>
    </w:p>
    <w:sectPr w:rsidR="00F81D84" w:rsidSect="004F0032">
      <w:footerReference w:type="default" r:id="rId11"/>
      <w:pgSz w:w="12240" w:h="15840"/>
      <w:pgMar w:top="1440" w:right="1440" w:bottom="1440" w:left="144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B92DD6" w15:done="0"/>
  <w15:commentEx w15:paraId="002060AF" w15:done="0"/>
  <w15:commentEx w15:paraId="7529C94D" w15:done="0"/>
  <w15:commentEx w15:paraId="5F1C83DC" w15:done="0"/>
  <w15:commentEx w15:paraId="63FB84EF" w15:done="0"/>
  <w15:commentEx w15:paraId="4327A1E3" w15:done="0"/>
  <w15:commentEx w15:paraId="627A4BDE" w15:done="0"/>
  <w15:commentEx w15:paraId="08BD6BA7" w15:done="0"/>
  <w15:commentEx w15:paraId="65D79DA3" w15:done="0"/>
  <w15:commentEx w15:paraId="1BC76A5B" w15:done="0"/>
  <w15:commentEx w15:paraId="4C47ED5D" w15:done="0"/>
  <w15:commentEx w15:paraId="7E69ED7C" w15:done="0"/>
  <w15:commentEx w15:paraId="40C8B30B" w15:done="0"/>
  <w15:commentEx w15:paraId="6E8996B8" w15:done="0"/>
  <w15:commentEx w15:paraId="2F67F600" w15:done="0"/>
  <w15:commentEx w15:paraId="425519DE" w15:done="0"/>
  <w15:commentEx w15:paraId="55CE3882" w15:done="0"/>
  <w15:commentEx w15:paraId="635AAB6A" w15:done="0"/>
  <w15:commentEx w15:paraId="286EF9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FC27E" w14:textId="77777777" w:rsidR="00B637A3" w:rsidRDefault="00B637A3" w:rsidP="00F81D84">
      <w:pPr>
        <w:spacing w:after="0" w:line="240" w:lineRule="auto"/>
      </w:pPr>
      <w:r>
        <w:separator/>
      </w:r>
    </w:p>
  </w:endnote>
  <w:endnote w:type="continuationSeparator" w:id="0">
    <w:p w14:paraId="78C41B41" w14:textId="77777777" w:rsidR="00B637A3" w:rsidRDefault="00B637A3" w:rsidP="00F8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5594"/>
      <w:docPartObj>
        <w:docPartGallery w:val="Page Numbers (Bottom of Page)"/>
        <w:docPartUnique/>
      </w:docPartObj>
    </w:sdtPr>
    <w:sdtEndPr/>
    <w:sdtContent>
      <w:p w14:paraId="12FD2D50" w14:textId="77777777" w:rsidR="00B637A3" w:rsidRDefault="00B637A3" w:rsidP="00BF72C4">
        <w:pPr>
          <w:pStyle w:val="Footer"/>
          <w:jc w:val="right"/>
        </w:pPr>
        <w:r>
          <w:fldChar w:fldCharType="begin"/>
        </w:r>
        <w:r>
          <w:instrText xml:space="preserve"> PAGE   \* MERGEFORMAT </w:instrText>
        </w:r>
        <w:r>
          <w:fldChar w:fldCharType="separate"/>
        </w:r>
        <w:r w:rsidR="00CB3AB8">
          <w:rPr>
            <w:noProof/>
          </w:rPr>
          <w:t>1</w:t>
        </w:r>
        <w:r>
          <w:rPr>
            <w:noProof/>
          </w:rPr>
          <w:fldChar w:fldCharType="end"/>
        </w:r>
      </w:p>
    </w:sdtContent>
  </w:sdt>
  <w:p w14:paraId="15C00652" w14:textId="77777777" w:rsidR="00B637A3" w:rsidRPr="00BF72C4" w:rsidRDefault="00B637A3" w:rsidP="00BF7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C0079" w14:textId="77777777" w:rsidR="00B637A3" w:rsidRDefault="00B637A3" w:rsidP="00F81D84">
      <w:pPr>
        <w:spacing w:after="0" w:line="240" w:lineRule="auto"/>
      </w:pPr>
      <w:r>
        <w:separator/>
      </w:r>
    </w:p>
  </w:footnote>
  <w:footnote w:type="continuationSeparator" w:id="0">
    <w:p w14:paraId="292AE9CE" w14:textId="77777777" w:rsidR="00B637A3" w:rsidRDefault="00B637A3" w:rsidP="00F81D84">
      <w:pPr>
        <w:spacing w:after="0" w:line="240" w:lineRule="auto"/>
      </w:pPr>
      <w:r>
        <w:continuationSeparator/>
      </w:r>
    </w:p>
  </w:footnote>
  <w:footnote w:id="1">
    <w:p w14:paraId="114DC295" w14:textId="77777777" w:rsidR="00B637A3" w:rsidRDefault="00B637A3">
      <w:pPr>
        <w:pStyle w:val="FootnoteText"/>
      </w:pPr>
      <w:r>
        <w:rPr>
          <w:rStyle w:val="FootnoteReference"/>
        </w:rPr>
        <w:footnoteRef/>
      </w:r>
      <w:r>
        <w:t xml:space="preserve"> MADRS is </w:t>
      </w:r>
      <w:r w:rsidRPr="002D1225">
        <w:t xml:space="preserve">a rating scale </w:t>
      </w:r>
      <w:r>
        <w:t xml:space="preserve">measuring severity of depressive episodes </w:t>
      </w:r>
      <w:r w:rsidRPr="002D1225">
        <w:t>consisting of 10</w:t>
      </w:r>
      <w:r>
        <w:t xml:space="preserve"> different </w:t>
      </w:r>
      <w:r w:rsidRPr="002D1225">
        <w:t>items, each rated</w:t>
      </w:r>
      <w:r>
        <w:t xml:space="preserve"> from </w:t>
      </w:r>
      <w:r w:rsidRPr="002D1225">
        <w:t>0</w:t>
      </w:r>
      <w:r>
        <w:t xml:space="preserve"> to 6</w:t>
      </w:r>
      <w:r w:rsidRPr="002D1225">
        <w:t xml:space="preserve"> </w:t>
      </w:r>
      <w:r>
        <w:t>[</w:t>
      </w:r>
      <w:r w:rsidRPr="002D1225">
        <w:t>no symptom</w:t>
      </w:r>
      <w:r>
        <w:t xml:space="preserve"> to </w:t>
      </w:r>
      <w:r w:rsidRPr="002D1225">
        <w:t>severe symptom</w:t>
      </w:r>
      <w:r>
        <w:t>], contributing to a total score from 0 to 60, where a</w:t>
      </w:r>
      <w:r w:rsidRPr="002D1225">
        <w:t xml:space="preserve"> higher score</w:t>
      </w:r>
      <w:r>
        <w:t xml:space="preserve"> indicates greater severity</w:t>
      </w:r>
      <w:r w:rsidRPr="002D1225">
        <w:t>.</w:t>
      </w:r>
    </w:p>
  </w:footnote>
  <w:footnote w:id="2">
    <w:p w14:paraId="1894B19A" w14:textId="29D06C46" w:rsidR="00B637A3" w:rsidRDefault="00B637A3">
      <w:pPr>
        <w:pStyle w:val="FootnoteText"/>
      </w:pPr>
      <w:r>
        <w:rPr>
          <w:rStyle w:val="FootnoteReference"/>
        </w:rPr>
        <w:footnoteRef/>
      </w:r>
      <w:r>
        <w:t xml:space="preserve"> The confidence interval does not contain 1 itself with 1.00 being the rounded (up) version of the upper limit, which </w:t>
      </w:r>
      <w:proofErr w:type="gramStart"/>
      <w:r>
        <w:t>is</w:t>
      </w:r>
      <w:proofErr w:type="gramEnd"/>
      <w:r>
        <w:t xml:space="preserve"> 0.996 to three decimal places.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9A8"/>
    <w:multiLevelType w:val="hybridMultilevel"/>
    <w:tmpl w:val="310AB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8C0166"/>
    <w:multiLevelType w:val="multilevel"/>
    <w:tmpl w:val="9A2C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DF0F49"/>
    <w:multiLevelType w:val="multilevel"/>
    <w:tmpl w:val="BA44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3D06E6"/>
    <w:multiLevelType w:val="hybridMultilevel"/>
    <w:tmpl w:val="8B361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8A0982"/>
    <w:multiLevelType w:val="hybridMultilevel"/>
    <w:tmpl w:val="EA1CD4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E637E8"/>
    <w:multiLevelType w:val="hybridMultilevel"/>
    <w:tmpl w:val="DB38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F441040"/>
    <w:multiLevelType w:val="hybridMultilevel"/>
    <w:tmpl w:val="55865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6323E4"/>
    <w:multiLevelType w:val="multilevel"/>
    <w:tmpl w:val="298C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99216F"/>
    <w:multiLevelType w:val="hybridMultilevel"/>
    <w:tmpl w:val="90EE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8E46E1"/>
    <w:multiLevelType w:val="hybridMultilevel"/>
    <w:tmpl w:val="95BCB8CA"/>
    <w:lvl w:ilvl="0" w:tplc="F03E30D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33552E"/>
    <w:multiLevelType w:val="hybridMultilevel"/>
    <w:tmpl w:val="29620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374D39"/>
    <w:multiLevelType w:val="hybridMultilevel"/>
    <w:tmpl w:val="74E2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1"/>
  </w:num>
  <w:num w:numId="5">
    <w:abstractNumId w:val="7"/>
  </w:num>
  <w:num w:numId="6">
    <w:abstractNumId w:val="10"/>
  </w:num>
  <w:num w:numId="7">
    <w:abstractNumId w:val="5"/>
  </w:num>
  <w:num w:numId="8">
    <w:abstractNumId w:val="0"/>
  </w:num>
  <w:num w:numId="9">
    <w:abstractNumId w:val="3"/>
  </w:num>
  <w:num w:numId="10">
    <w:abstractNumId w:val="4"/>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287B31"/>
    <w:rsid w:val="0000023E"/>
    <w:rsid w:val="0000304D"/>
    <w:rsid w:val="00006C53"/>
    <w:rsid w:val="000077C8"/>
    <w:rsid w:val="00011957"/>
    <w:rsid w:val="00014EBD"/>
    <w:rsid w:val="00016C62"/>
    <w:rsid w:val="000200D7"/>
    <w:rsid w:val="00021D60"/>
    <w:rsid w:val="000221D8"/>
    <w:rsid w:val="00032A66"/>
    <w:rsid w:val="00034D72"/>
    <w:rsid w:val="00035458"/>
    <w:rsid w:val="00044090"/>
    <w:rsid w:val="0004594D"/>
    <w:rsid w:val="00045DEF"/>
    <w:rsid w:val="00046410"/>
    <w:rsid w:val="00051384"/>
    <w:rsid w:val="00052BBB"/>
    <w:rsid w:val="000533F5"/>
    <w:rsid w:val="000560E0"/>
    <w:rsid w:val="00060EC2"/>
    <w:rsid w:val="00061E35"/>
    <w:rsid w:val="0006215A"/>
    <w:rsid w:val="00064181"/>
    <w:rsid w:val="00064B89"/>
    <w:rsid w:val="00070248"/>
    <w:rsid w:val="00076715"/>
    <w:rsid w:val="000775CB"/>
    <w:rsid w:val="00077BEE"/>
    <w:rsid w:val="00085563"/>
    <w:rsid w:val="000921FE"/>
    <w:rsid w:val="00093B5A"/>
    <w:rsid w:val="00097440"/>
    <w:rsid w:val="000A3A97"/>
    <w:rsid w:val="000A508C"/>
    <w:rsid w:val="000B46DA"/>
    <w:rsid w:val="000D04C7"/>
    <w:rsid w:val="000D16D1"/>
    <w:rsid w:val="000D416E"/>
    <w:rsid w:val="000D749A"/>
    <w:rsid w:val="000D7CF4"/>
    <w:rsid w:val="000E0AB9"/>
    <w:rsid w:val="000F050B"/>
    <w:rsid w:val="000F1832"/>
    <w:rsid w:val="000F5F5E"/>
    <w:rsid w:val="000F6D79"/>
    <w:rsid w:val="000F737C"/>
    <w:rsid w:val="000F7D27"/>
    <w:rsid w:val="001002CC"/>
    <w:rsid w:val="00100815"/>
    <w:rsid w:val="00101A05"/>
    <w:rsid w:val="00102AFB"/>
    <w:rsid w:val="00105998"/>
    <w:rsid w:val="001077A5"/>
    <w:rsid w:val="00112503"/>
    <w:rsid w:val="001145FD"/>
    <w:rsid w:val="001178ED"/>
    <w:rsid w:val="0013028B"/>
    <w:rsid w:val="00132431"/>
    <w:rsid w:val="00143E71"/>
    <w:rsid w:val="001444C6"/>
    <w:rsid w:val="00144C31"/>
    <w:rsid w:val="0014688A"/>
    <w:rsid w:val="00167DD0"/>
    <w:rsid w:val="00170993"/>
    <w:rsid w:val="00171EBF"/>
    <w:rsid w:val="00172820"/>
    <w:rsid w:val="0018013B"/>
    <w:rsid w:val="00185792"/>
    <w:rsid w:val="00187D3B"/>
    <w:rsid w:val="00191B9B"/>
    <w:rsid w:val="00191D48"/>
    <w:rsid w:val="00194FD2"/>
    <w:rsid w:val="001A314B"/>
    <w:rsid w:val="001A7F5B"/>
    <w:rsid w:val="001B3E2F"/>
    <w:rsid w:val="001B5142"/>
    <w:rsid w:val="001B7262"/>
    <w:rsid w:val="001B743D"/>
    <w:rsid w:val="001C0878"/>
    <w:rsid w:val="001C0FA7"/>
    <w:rsid w:val="001D2A15"/>
    <w:rsid w:val="001D37E0"/>
    <w:rsid w:val="001D6E5D"/>
    <w:rsid w:val="001E0D3A"/>
    <w:rsid w:val="001E5CD8"/>
    <w:rsid w:val="001F4A95"/>
    <w:rsid w:val="00200A8A"/>
    <w:rsid w:val="0020328C"/>
    <w:rsid w:val="00205F62"/>
    <w:rsid w:val="002064FC"/>
    <w:rsid w:val="002131D6"/>
    <w:rsid w:val="00213F5D"/>
    <w:rsid w:val="00215306"/>
    <w:rsid w:val="00221D1F"/>
    <w:rsid w:val="002303FA"/>
    <w:rsid w:val="00230B8C"/>
    <w:rsid w:val="00237B5D"/>
    <w:rsid w:val="002412B6"/>
    <w:rsid w:val="0024390D"/>
    <w:rsid w:val="00245CAD"/>
    <w:rsid w:val="00250B6C"/>
    <w:rsid w:val="00251010"/>
    <w:rsid w:val="00255387"/>
    <w:rsid w:val="00255A85"/>
    <w:rsid w:val="00257ED9"/>
    <w:rsid w:val="00260D0E"/>
    <w:rsid w:val="00263F27"/>
    <w:rsid w:val="0026542A"/>
    <w:rsid w:val="00275D57"/>
    <w:rsid w:val="0028012D"/>
    <w:rsid w:val="00280C4A"/>
    <w:rsid w:val="00284149"/>
    <w:rsid w:val="00285BD3"/>
    <w:rsid w:val="00285F80"/>
    <w:rsid w:val="00286758"/>
    <w:rsid w:val="00286AD6"/>
    <w:rsid w:val="00287B31"/>
    <w:rsid w:val="00290ABD"/>
    <w:rsid w:val="00293127"/>
    <w:rsid w:val="002A0DBD"/>
    <w:rsid w:val="002A37D8"/>
    <w:rsid w:val="002A3E22"/>
    <w:rsid w:val="002A56A3"/>
    <w:rsid w:val="002B54AF"/>
    <w:rsid w:val="002B5928"/>
    <w:rsid w:val="002B5BBA"/>
    <w:rsid w:val="002B6348"/>
    <w:rsid w:val="002C2169"/>
    <w:rsid w:val="002C7B46"/>
    <w:rsid w:val="002D3B8A"/>
    <w:rsid w:val="002D46AA"/>
    <w:rsid w:val="002D54C5"/>
    <w:rsid w:val="002D6FAB"/>
    <w:rsid w:val="002E32DA"/>
    <w:rsid w:val="002E39E6"/>
    <w:rsid w:val="002F1151"/>
    <w:rsid w:val="002F309A"/>
    <w:rsid w:val="002F3241"/>
    <w:rsid w:val="002F579B"/>
    <w:rsid w:val="00304AC2"/>
    <w:rsid w:val="00305659"/>
    <w:rsid w:val="00306632"/>
    <w:rsid w:val="003105FC"/>
    <w:rsid w:val="00315DE8"/>
    <w:rsid w:val="0031600C"/>
    <w:rsid w:val="0031725D"/>
    <w:rsid w:val="003225C7"/>
    <w:rsid w:val="00324C0F"/>
    <w:rsid w:val="00327E1D"/>
    <w:rsid w:val="00333083"/>
    <w:rsid w:val="003505FC"/>
    <w:rsid w:val="00365BAA"/>
    <w:rsid w:val="003705B2"/>
    <w:rsid w:val="00371079"/>
    <w:rsid w:val="00374011"/>
    <w:rsid w:val="00374E2F"/>
    <w:rsid w:val="00383877"/>
    <w:rsid w:val="00385FEC"/>
    <w:rsid w:val="00387560"/>
    <w:rsid w:val="003879F9"/>
    <w:rsid w:val="00387CEE"/>
    <w:rsid w:val="003922D9"/>
    <w:rsid w:val="00393C5C"/>
    <w:rsid w:val="003B041A"/>
    <w:rsid w:val="003B1746"/>
    <w:rsid w:val="003B30C4"/>
    <w:rsid w:val="003B5ADA"/>
    <w:rsid w:val="003C1131"/>
    <w:rsid w:val="003C62EA"/>
    <w:rsid w:val="003D3637"/>
    <w:rsid w:val="003D7E4E"/>
    <w:rsid w:val="003F127F"/>
    <w:rsid w:val="003F6968"/>
    <w:rsid w:val="004039AC"/>
    <w:rsid w:val="004062E0"/>
    <w:rsid w:val="00407607"/>
    <w:rsid w:val="00410CFB"/>
    <w:rsid w:val="00412212"/>
    <w:rsid w:val="00412EAA"/>
    <w:rsid w:val="0041427F"/>
    <w:rsid w:val="00421881"/>
    <w:rsid w:val="004218E3"/>
    <w:rsid w:val="004233E2"/>
    <w:rsid w:val="0042409A"/>
    <w:rsid w:val="0043348D"/>
    <w:rsid w:val="00436DF9"/>
    <w:rsid w:val="00446882"/>
    <w:rsid w:val="004513CE"/>
    <w:rsid w:val="00451443"/>
    <w:rsid w:val="004613ED"/>
    <w:rsid w:val="00462E50"/>
    <w:rsid w:val="00464673"/>
    <w:rsid w:val="004822EB"/>
    <w:rsid w:val="0048436B"/>
    <w:rsid w:val="004879DE"/>
    <w:rsid w:val="00495EC9"/>
    <w:rsid w:val="004A63BB"/>
    <w:rsid w:val="004A7923"/>
    <w:rsid w:val="004A7DFF"/>
    <w:rsid w:val="004B3FCE"/>
    <w:rsid w:val="004B44AD"/>
    <w:rsid w:val="004B69F5"/>
    <w:rsid w:val="004C0A5C"/>
    <w:rsid w:val="004C3615"/>
    <w:rsid w:val="004C5000"/>
    <w:rsid w:val="004C57B8"/>
    <w:rsid w:val="004D3536"/>
    <w:rsid w:val="004D6F58"/>
    <w:rsid w:val="004D73E5"/>
    <w:rsid w:val="004E0C86"/>
    <w:rsid w:val="004E1FC6"/>
    <w:rsid w:val="004E28CA"/>
    <w:rsid w:val="004E4319"/>
    <w:rsid w:val="004F0032"/>
    <w:rsid w:val="004F1E30"/>
    <w:rsid w:val="004F61BA"/>
    <w:rsid w:val="00504936"/>
    <w:rsid w:val="00507CFF"/>
    <w:rsid w:val="00511C7A"/>
    <w:rsid w:val="0051427C"/>
    <w:rsid w:val="0051465B"/>
    <w:rsid w:val="005167F3"/>
    <w:rsid w:val="00520329"/>
    <w:rsid w:val="005225F7"/>
    <w:rsid w:val="00522BFA"/>
    <w:rsid w:val="0052321D"/>
    <w:rsid w:val="0052489F"/>
    <w:rsid w:val="0052610F"/>
    <w:rsid w:val="00530A8E"/>
    <w:rsid w:val="0053380B"/>
    <w:rsid w:val="005342E0"/>
    <w:rsid w:val="0054654D"/>
    <w:rsid w:val="00546DF8"/>
    <w:rsid w:val="00557F11"/>
    <w:rsid w:val="0056306C"/>
    <w:rsid w:val="005651AB"/>
    <w:rsid w:val="005675AF"/>
    <w:rsid w:val="00567EEB"/>
    <w:rsid w:val="00576119"/>
    <w:rsid w:val="005823E5"/>
    <w:rsid w:val="0058376E"/>
    <w:rsid w:val="00583A9C"/>
    <w:rsid w:val="0058573F"/>
    <w:rsid w:val="00587882"/>
    <w:rsid w:val="005A1079"/>
    <w:rsid w:val="005B20B9"/>
    <w:rsid w:val="005B3F12"/>
    <w:rsid w:val="005B7BF9"/>
    <w:rsid w:val="005C245B"/>
    <w:rsid w:val="005C62FB"/>
    <w:rsid w:val="005D0C19"/>
    <w:rsid w:val="005E074D"/>
    <w:rsid w:val="005E0D74"/>
    <w:rsid w:val="005E2ED3"/>
    <w:rsid w:val="005E65ED"/>
    <w:rsid w:val="005F1FAC"/>
    <w:rsid w:val="005F23B0"/>
    <w:rsid w:val="005F6AA2"/>
    <w:rsid w:val="005F6E9F"/>
    <w:rsid w:val="005F770A"/>
    <w:rsid w:val="005F7D6D"/>
    <w:rsid w:val="0060649D"/>
    <w:rsid w:val="0060662E"/>
    <w:rsid w:val="00606965"/>
    <w:rsid w:val="0061142F"/>
    <w:rsid w:val="006144E2"/>
    <w:rsid w:val="0063009D"/>
    <w:rsid w:val="006350FA"/>
    <w:rsid w:val="00640257"/>
    <w:rsid w:val="006429B9"/>
    <w:rsid w:val="0065475E"/>
    <w:rsid w:val="006556CE"/>
    <w:rsid w:val="00666374"/>
    <w:rsid w:val="00670803"/>
    <w:rsid w:val="00675AFD"/>
    <w:rsid w:val="00676B72"/>
    <w:rsid w:val="0067747C"/>
    <w:rsid w:val="00680475"/>
    <w:rsid w:val="00690A18"/>
    <w:rsid w:val="0069102D"/>
    <w:rsid w:val="0069364F"/>
    <w:rsid w:val="006947B6"/>
    <w:rsid w:val="006A02A2"/>
    <w:rsid w:val="006A0A47"/>
    <w:rsid w:val="006A3336"/>
    <w:rsid w:val="006A49E7"/>
    <w:rsid w:val="006A6576"/>
    <w:rsid w:val="006B0685"/>
    <w:rsid w:val="006B145B"/>
    <w:rsid w:val="006B335E"/>
    <w:rsid w:val="006B6EBC"/>
    <w:rsid w:val="006B7F52"/>
    <w:rsid w:val="006C3169"/>
    <w:rsid w:val="006C327F"/>
    <w:rsid w:val="006C38CF"/>
    <w:rsid w:val="006C5120"/>
    <w:rsid w:val="006D0263"/>
    <w:rsid w:val="006D088B"/>
    <w:rsid w:val="006D0BE0"/>
    <w:rsid w:val="006D2245"/>
    <w:rsid w:val="006D2FFF"/>
    <w:rsid w:val="006D3ED4"/>
    <w:rsid w:val="006D6E5C"/>
    <w:rsid w:val="006D751A"/>
    <w:rsid w:val="006E08B8"/>
    <w:rsid w:val="006E5475"/>
    <w:rsid w:val="006E7AEA"/>
    <w:rsid w:val="006E7C4A"/>
    <w:rsid w:val="006F6908"/>
    <w:rsid w:val="00701E85"/>
    <w:rsid w:val="007023A9"/>
    <w:rsid w:val="007038D5"/>
    <w:rsid w:val="00704A62"/>
    <w:rsid w:val="00704A71"/>
    <w:rsid w:val="00714D1E"/>
    <w:rsid w:val="007170D2"/>
    <w:rsid w:val="00723A7E"/>
    <w:rsid w:val="00724C0F"/>
    <w:rsid w:val="00725D38"/>
    <w:rsid w:val="00734E9F"/>
    <w:rsid w:val="007351FE"/>
    <w:rsid w:val="0073783B"/>
    <w:rsid w:val="00743CE7"/>
    <w:rsid w:val="0074551B"/>
    <w:rsid w:val="007479DD"/>
    <w:rsid w:val="007502AA"/>
    <w:rsid w:val="007539A2"/>
    <w:rsid w:val="00757160"/>
    <w:rsid w:val="00763D91"/>
    <w:rsid w:val="00765451"/>
    <w:rsid w:val="00767B1B"/>
    <w:rsid w:val="00771E42"/>
    <w:rsid w:val="00772DB5"/>
    <w:rsid w:val="0077395C"/>
    <w:rsid w:val="007761EA"/>
    <w:rsid w:val="00776D88"/>
    <w:rsid w:val="00784B6C"/>
    <w:rsid w:val="00785F24"/>
    <w:rsid w:val="00791E63"/>
    <w:rsid w:val="0079721D"/>
    <w:rsid w:val="007A0675"/>
    <w:rsid w:val="007B280B"/>
    <w:rsid w:val="007B284A"/>
    <w:rsid w:val="007B3395"/>
    <w:rsid w:val="007B521E"/>
    <w:rsid w:val="007B6044"/>
    <w:rsid w:val="007B6AF2"/>
    <w:rsid w:val="007C68A7"/>
    <w:rsid w:val="007C69B7"/>
    <w:rsid w:val="007D1E48"/>
    <w:rsid w:val="007D21C2"/>
    <w:rsid w:val="007D31C0"/>
    <w:rsid w:val="007D349E"/>
    <w:rsid w:val="007E0AE6"/>
    <w:rsid w:val="007E15FD"/>
    <w:rsid w:val="007F174C"/>
    <w:rsid w:val="007F3931"/>
    <w:rsid w:val="00800029"/>
    <w:rsid w:val="00802A47"/>
    <w:rsid w:val="00825CC3"/>
    <w:rsid w:val="00840FEB"/>
    <w:rsid w:val="00844543"/>
    <w:rsid w:val="00844F57"/>
    <w:rsid w:val="00851885"/>
    <w:rsid w:val="00852294"/>
    <w:rsid w:val="00852CE3"/>
    <w:rsid w:val="008547ED"/>
    <w:rsid w:val="00856499"/>
    <w:rsid w:val="00863649"/>
    <w:rsid w:val="0087045E"/>
    <w:rsid w:val="00875125"/>
    <w:rsid w:val="0088069D"/>
    <w:rsid w:val="00883049"/>
    <w:rsid w:val="00894905"/>
    <w:rsid w:val="00896452"/>
    <w:rsid w:val="00896DC0"/>
    <w:rsid w:val="008A17AE"/>
    <w:rsid w:val="008A352E"/>
    <w:rsid w:val="008A7DAC"/>
    <w:rsid w:val="008B3251"/>
    <w:rsid w:val="008B3A2B"/>
    <w:rsid w:val="008B6175"/>
    <w:rsid w:val="008B6BA0"/>
    <w:rsid w:val="008C0EC6"/>
    <w:rsid w:val="008C3839"/>
    <w:rsid w:val="008C4A27"/>
    <w:rsid w:val="008C5D5D"/>
    <w:rsid w:val="008C6799"/>
    <w:rsid w:val="008C7E06"/>
    <w:rsid w:val="008D0127"/>
    <w:rsid w:val="008D2B68"/>
    <w:rsid w:val="008D3182"/>
    <w:rsid w:val="008D3F9E"/>
    <w:rsid w:val="008D678A"/>
    <w:rsid w:val="008D6B96"/>
    <w:rsid w:val="008E239D"/>
    <w:rsid w:val="008F480F"/>
    <w:rsid w:val="008F78B0"/>
    <w:rsid w:val="0090048F"/>
    <w:rsid w:val="009070A7"/>
    <w:rsid w:val="00907293"/>
    <w:rsid w:val="00907BA1"/>
    <w:rsid w:val="0091243E"/>
    <w:rsid w:val="009158D6"/>
    <w:rsid w:val="009171A4"/>
    <w:rsid w:val="00921115"/>
    <w:rsid w:val="00921FD8"/>
    <w:rsid w:val="00923040"/>
    <w:rsid w:val="009247C8"/>
    <w:rsid w:val="009266E4"/>
    <w:rsid w:val="00927D90"/>
    <w:rsid w:val="0093499A"/>
    <w:rsid w:val="0094081E"/>
    <w:rsid w:val="0094393C"/>
    <w:rsid w:val="009465DF"/>
    <w:rsid w:val="00951415"/>
    <w:rsid w:val="00952EA2"/>
    <w:rsid w:val="00953303"/>
    <w:rsid w:val="0095460D"/>
    <w:rsid w:val="00954D1F"/>
    <w:rsid w:val="009604D6"/>
    <w:rsid w:val="009632C3"/>
    <w:rsid w:val="00963BB0"/>
    <w:rsid w:val="00964B7A"/>
    <w:rsid w:val="00965E72"/>
    <w:rsid w:val="009679F3"/>
    <w:rsid w:val="0097119D"/>
    <w:rsid w:val="00972F7F"/>
    <w:rsid w:val="00976622"/>
    <w:rsid w:val="00976C2A"/>
    <w:rsid w:val="0098218A"/>
    <w:rsid w:val="009833CA"/>
    <w:rsid w:val="009834FD"/>
    <w:rsid w:val="009857B9"/>
    <w:rsid w:val="00991696"/>
    <w:rsid w:val="00994C97"/>
    <w:rsid w:val="00994F46"/>
    <w:rsid w:val="00995A2B"/>
    <w:rsid w:val="00996157"/>
    <w:rsid w:val="009A2387"/>
    <w:rsid w:val="009A36C1"/>
    <w:rsid w:val="009A387E"/>
    <w:rsid w:val="009A4696"/>
    <w:rsid w:val="009A6FCE"/>
    <w:rsid w:val="009B4B80"/>
    <w:rsid w:val="009B4FB8"/>
    <w:rsid w:val="009C09D3"/>
    <w:rsid w:val="009C0C60"/>
    <w:rsid w:val="009C1292"/>
    <w:rsid w:val="009C18DE"/>
    <w:rsid w:val="009D14E4"/>
    <w:rsid w:val="009D2FDB"/>
    <w:rsid w:val="009D39E7"/>
    <w:rsid w:val="009E1203"/>
    <w:rsid w:val="009E6416"/>
    <w:rsid w:val="009E71B7"/>
    <w:rsid w:val="009E7C41"/>
    <w:rsid w:val="009F1EE0"/>
    <w:rsid w:val="009F2F75"/>
    <w:rsid w:val="00A0263E"/>
    <w:rsid w:val="00A02C59"/>
    <w:rsid w:val="00A036CD"/>
    <w:rsid w:val="00A041DC"/>
    <w:rsid w:val="00A058C3"/>
    <w:rsid w:val="00A05C5E"/>
    <w:rsid w:val="00A05D25"/>
    <w:rsid w:val="00A07637"/>
    <w:rsid w:val="00A11DDD"/>
    <w:rsid w:val="00A12940"/>
    <w:rsid w:val="00A13100"/>
    <w:rsid w:val="00A1403E"/>
    <w:rsid w:val="00A15216"/>
    <w:rsid w:val="00A22098"/>
    <w:rsid w:val="00A33479"/>
    <w:rsid w:val="00A35B86"/>
    <w:rsid w:val="00A36089"/>
    <w:rsid w:val="00A37618"/>
    <w:rsid w:val="00A4029C"/>
    <w:rsid w:val="00A43687"/>
    <w:rsid w:val="00A5021B"/>
    <w:rsid w:val="00A50EE1"/>
    <w:rsid w:val="00A51D52"/>
    <w:rsid w:val="00A56B94"/>
    <w:rsid w:val="00A571C7"/>
    <w:rsid w:val="00A5753A"/>
    <w:rsid w:val="00A60A2D"/>
    <w:rsid w:val="00A60D82"/>
    <w:rsid w:val="00A62C2D"/>
    <w:rsid w:val="00A67D1E"/>
    <w:rsid w:val="00A72470"/>
    <w:rsid w:val="00A764DC"/>
    <w:rsid w:val="00A823AB"/>
    <w:rsid w:val="00A8271F"/>
    <w:rsid w:val="00A83007"/>
    <w:rsid w:val="00A8462E"/>
    <w:rsid w:val="00A9369A"/>
    <w:rsid w:val="00A97041"/>
    <w:rsid w:val="00A97ABC"/>
    <w:rsid w:val="00AA1934"/>
    <w:rsid w:val="00AA2EE6"/>
    <w:rsid w:val="00AA7C47"/>
    <w:rsid w:val="00AB037E"/>
    <w:rsid w:val="00AB4E88"/>
    <w:rsid w:val="00AC045D"/>
    <w:rsid w:val="00AC0FF1"/>
    <w:rsid w:val="00AC6991"/>
    <w:rsid w:val="00AD574E"/>
    <w:rsid w:val="00AD5B93"/>
    <w:rsid w:val="00AD72EC"/>
    <w:rsid w:val="00AE1D26"/>
    <w:rsid w:val="00AE7D64"/>
    <w:rsid w:val="00AF0247"/>
    <w:rsid w:val="00AF047E"/>
    <w:rsid w:val="00AF517A"/>
    <w:rsid w:val="00AF5920"/>
    <w:rsid w:val="00B00F8E"/>
    <w:rsid w:val="00B01689"/>
    <w:rsid w:val="00B018FC"/>
    <w:rsid w:val="00B01A44"/>
    <w:rsid w:val="00B03AEA"/>
    <w:rsid w:val="00B05A7E"/>
    <w:rsid w:val="00B06E2E"/>
    <w:rsid w:val="00B070D6"/>
    <w:rsid w:val="00B1233B"/>
    <w:rsid w:val="00B138AF"/>
    <w:rsid w:val="00B17698"/>
    <w:rsid w:val="00B17C19"/>
    <w:rsid w:val="00B210AF"/>
    <w:rsid w:val="00B32AA8"/>
    <w:rsid w:val="00B4197D"/>
    <w:rsid w:val="00B41C7C"/>
    <w:rsid w:val="00B44CB7"/>
    <w:rsid w:val="00B45A94"/>
    <w:rsid w:val="00B51957"/>
    <w:rsid w:val="00B52FE8"/>
    <w:rsid w:val="00B544F4"/>
    <w:rsid w:val="00B566B7"/>
    <w:rsid w:val="00B61456"/>
    <w:rsid w:val="00B61868"/>
    <w:rsid w:val="00B61A65"/>
    <w:rsid w:val="00B637A3"/>
    <w:rsid w:val="00B726EB"/>
    <w:rsid w:val="00B72A86"/>
    <w:rsid w:val="00B73B95"/>
    <w:rsid w:val="00B74D2B"/>
    <w:rsid w:val="00B8507C"/>
    <w:rsid w:val="00B8631F"/>
    <w:rsid w:val="00B87357"/>
    <w:rsid w:val="00B940BA"/>
    <w:rsid w:val="00B977D1"/>
    <w:rsid w:val="00BA2279"/>
    <w:rsid w:val="00BA48CA"/>
    <w:rsid w:val="00BB402C"/>
    <w:rsid w:val="00BC3023"/>
    <w:rsid w:val="00BC3252"/>
    <w:rsid w:val="00BD1AE9"/>
    <w:rsid w:val="00BD71CF"/>
    <w:rsid w:val="00BE081C"/>
    <w:rsid w:val="00BE28E0"/>
    <w:rsid w:val="00BE508A"/>
    <w:rsid w:val="00BE5858"/>
    <w:rsid w:val="00BF076D"/>
    <w:rsid w:val="00BF1567"/>
    <w:rsid w:val="00BF2857"/>
    <w:rsid w:val="00BF597B"/>
    <w:rsid w:val="00BF72C4"/>
    <w:rsid w:val="00C024AC"/>
    <w:rsid w:val="00C02D71"/>
    <w:rsid w:val="00C03E4D"/>
    <w:rsid w:val="00C07700"/>
    <w:rsid w:val="00C12DAA"/>
    <w:rsid w:val="00C1750A"/>
    <w:rsid w:val="00C211C9"/>
    <w:rsid w:val="00C23534"/>
    <w:rsid w:val="00C275F4"/>
    <w:rsid w:val="00C279B2"/>
    <w:rsid w:val="00C4123A"/>
    <w:rsid w:val="00C41348"/>
    <w:rsid w:val="00C44232"/>
    <w:rsid w:val="00C5039B"/>
    <w:rsid w:val="00C50E38"/>
    <w:rsid w:val="00C56301"/>
    <w:rsid w:val="00C6439B"/>
    <w:rsid w:val="00C65578"/>
    <w:rsid w:val="00C66618"/>
    <w:rsid w:val="00C71947"/>
    <w:rsid w:val="00C725C0"/>
    <w:rsid w:val="00C73C7B"/>
    <w:rsid w:val="00C751A8"/>
    <w:rsid w:val="00C76465"/>
    <w:rsid w:val="00C77319"/>
    <w:rsid w:val="00C77998"/>
    <w:rsid w:val="00C83281"/>
    <w:rsid w:val="00C83A60"/>
    <w:rsid w:val="00C86FE6"/>
    <w:rsid w:val="00C870ED"/>
    <w:rsid w:val="00C963D8"/>
    <w:rsid w:val="00CA1846"/>
    <w:rsid w:val="00CA6FFE"/>
    <w:rsid w:val="00CB01A4"/>
    <w:rsid w:val="00CB3AB8"/>
    <w:rsid w:val="00CB44F2"/>
    <w:rsid w:val="00CB49B0"/>
    <w:rsid w:val="00CB4AFB"/>
    <w:rsid w:val="00CB72A5"/>
    <w:rsid w:val="00CC3FEE"/>
    <w:rsid w:val="00CC55FD"/>
    <w:rsid w:val="00CD11A3"/>
    <w:rsid w:val="00CE169C"/>
    <w:rsid w:val="00CE4603"/>
    <w:rsid w:val="00CF597D"/>
    <w:rsid w:val="00CF7C28"/>
    <w:rsid w:val="00D14413"/>
    <w:rsid w:val="00D16A05"/>
    <w:rsid w:val="00D21B0E"/>
    <w:rsid w:val="00D27109"/>
    <w:rsid w:val="00D2724E"/>
    <w:rsid w:val="00D31FC4"/>
    <w:rsid w:val="00D36DAE"/>
    <w:rsid w:val="00D44D79"/>
    <w:rsid w:val="00D45F46"/>
    <w:rsid w:val="00D47A5D"/>
    <w:rsid w:val="00D60A54"/>
    <w:rsid w:val="00D64C6A"/>
    <w:rsid w:val="00D70D20"/>
    <w:rsid w:val="00D728E7"/>
    <w:rsid w:val="00D935AC"/>
    <w:rsid w:val="00D97562"/>
    <w:rsid w:val="00DA14FC"/>
    <w:rsid w:val="00DA598C"/>
    <w:rsid w:val="00DB55C4"/>
    <w:rsid w:val="00DB6F83"/>
    <w:rsid w:val="00DC538E"/>
    <w:rsid w:val="00DD78B8"/>
    <w:rsid w:val="00DE0C48"/>
    <w:rsid w:val="00DE1EBD"/>
    <w:rsid w:val="00DE4183"/>
    <w:rsid w:val="00DE61B1"/>
    <w:rsid w:val="00DF36DF"/>
    <w:rsid w:val="00DF4AB1"/>
    <w:rsid w:val="00E0132F"/>
    <w:rsid w:val="00E03E57"/>
    <w:rsid w:val="00E04953"/>
    <w:rsid w:val="00E05A80"/>
    <w:rsid w:val="00E13881"/>
    <w:rsid w:val="00E27762"/>
    <w:rsid w:val="00E30729"/>
    <w:rsid w:val="00E33328"/>
    <w:rsid w:val="00E3472B"/>
    <w:rsid w:val="00E374E7"/>
    <w:rsid w:val="00E45DD1"/>
    <w:rsid w:val="00E4688D"/>
    <w:rsid w:val="00E46E27"/>
    <w:rsid w:val="00E52955"/>
    <w:rsid w:val="00E52C5C"/>
    <w:rsid w:val="00E5534B"/>
    <w:rsid w:val="00E56B84"/>
    <w:rsid w:val="00E6195D"/>
    <w:rsid w:val="00E621CC"/>
    <w:rsid w:val="00E652DE"/>
    <w:rsid w:val="00E66B72"/>
    <w:rsid w:val="00E776EF"/>
    <w:rsid w:val="00E82448"/>
    <w:rsid w:val="00E92C04"/>
    <w:rsid w:val="00E944FB"/>
    <w:rsid w:val="00EA2A9F"/>
    <w:rsid w:val="00EA5006"/>
    <w:rsid w:val="00EA6FA8"/>
    <w:rsid w:val="00EA7439"/>
    <w:rsid w:val="00EA7EB2"/>
    <w:rsid w:val="00EB0794"/>
    <w:rsid w:val="00EB2D1B"/>
    <w:rsid w:val="00EB3D15"/>
    <w:rsid w:val="00EC2902"/>
    <w:rsid w:val="00EC2D9F"/>
    <w:rsid w:val="00EC58D5"/>
    <w:rsid w:val="00EC5B1B"/>
    <w:rsid w:val="00ED1FC7"/>
    <w:rsid w:val="00ED2859"/>
    <w:rsid w:val="00ED2DB6"/>
    <w:rsid w:val="00EE7D38"/>
    <w:rsid w:val="00F039DF"/>
    <w:rsid w:val="00F04BD0"/>
    <w:rsid w:val="00F10DC1"/>
    <w:rsid w:val="00F12F47"/>
    <w:rsid w:val="00F16E5E"/>
    <w:rsid w:val="00F30F82"/>
    <w:rsid w:val="00F31F2C"/>
    <w:rsid w:val="00F41C32"/>
    <w:rsid w:val="00F4527E"/>
    <w:rsid w:val="00F459B3"/>
    <w:rsid w:val="00F45B3B"/>
    <w:rsid w:val="00F470A8"/>
    <w:rsid w:val="00F50DD3"/>
    <w:rsid w:val="00F54280"/>
    <w:rsid w:val="00F54806"/>
    <w:rsid w:val="00F55A53"/>
    <w:rsid w:val="00F55B93"/>
    <w:rsid w:val="00F62FDA"/>
    <w:rsid w:val="00F63963"/>
    <w:rsid w:val="00F65AAA"/>
    <w:rsid w:val="00F67D70"/>
    <w:rsid w:val="00F72888"/>
    <w:rsid w:val="00F7346B"/>
    <w:rsid w:val="00F73B5C"/>
    <w:rsid w:val="00F80BEE"/>
    <w:rsid w:val="00F81D84"/>
    <w:rsid w:val="00F82D9F"/>
    <w:rsid w:val="00F85823"/>
    <w:rsid w:val="00F8762F"/>
    <w:rsid w:val="00F94CF4"/>
    <w:rsid w:val="00F9708D"/>
    <w:rsid w:val="00F97D20"/>
    <w:rsid w:val="00FA4DD2"/>
    <w:rsid w:val="00FA62AE"/>
    <w:rsid w:val="00FB2CE3"/>
    <w:rsid w:val="00FB4184"/>
    <w:rsid w:val="00FB74EE"/>
    <w:rsid w:val="00FC00AD"/>
    <w:rsid w:val="00FC61ED"/>
    <w:rsid w:val="00FC668D"/>
    <w:rsid w:val="00FD107E"/>
    <w:rsid w:val="00FD10C1"/>
    <w:rsid w:val="00FD1814"/>
    <w:rsid w:val="00FD3B64"/>
    <w:rsid w:val="00FD76DC"/>
    <w:rsid w:val="00FE22DC"/>
    <w:rsid w:val="00FE27C6"/>
    <w:rsid w:val="00FE6743"/>
    <w:rsid w:val="00FF6505"/>
    <w:rsid w:val="00FF6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64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364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364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636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36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36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36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36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36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7B31"/>
    <w:pPr>
      <w:tabs>
        <w:tab w:val="center" w:pos="4153"/>
        <w:tab w:val="right" w:pos="8306"/>
      </w:tabs>
      <w:spacing w:after="0" w:line="36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87B3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1E30"/>
    <w:rPr>
      <w:color w:val="0000FF" w:themeColor="hyperlink"/>
      <w:u w:val="single"/>
    </w:rPr>
  </w:style>
  <w:style w:type="paragraph" w:styleId="Footer">
    <w:name w:val="footer"/>
    <w:basedOn w:val="Normal"/>
    <w:link w:val="FooterChar"/>
    <w:uiPriority w:val="99"/>
    <w:unhideWhenUsed/>
    <w:rsid w:val="00F8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D84"/>
  </w:style>
  <w:style w:type="character" w:customStyle="1" w:styleId="Heading1Char">
    <w:name w:val="Heading 1 Char"/>
    <w:basedOn w:val="DefaultParagraphFont"/>
    <w:link w:val="Heading1"/>
    <w:uiPriority w:val="9"/>
    <w:rsid w:val="0086364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6364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6364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636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636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36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36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36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364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636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364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636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3649"/>
    <w:rPr>
      <w:rFonts w:asciiTheme="majorHAnsi" w:eastAsiaTheme="majorEastAsia" w:hAnsiTheme="majorHAnsi" w:cstheme="majorBidi"/>
      <w:i/>
      <w:iCs/>
      <w:spacing w:val="13"/>
      <w:sz w:val="24"/>
      <w:szCs w:val="24"/>
    </w:rPr>
  </w:style>
  <w:style w:type="character" w:styleId="Strong">
    <w:name w:val="Strong"/>
    <w:uiPriority w:val="22"/>
    <w:qFormat/>
    <w:rsid w:val="00863649"/>
    <w:rPr>
      <w:b/>
      <w:bCs/>
    </w:rPr>
  </w:style>
  <w:style w:type="character" w:styleId="Emphasis">
    <w:name w:val="Emphasis"/>
    <w:uiPriority w:val="20"/>
    <w:qFormat/>
    <w:rsid w:val="00863649"/>
    <w:rPr>
      <w:b/>
      <w:bCs/>
      <w:i/>
      <w:iCs/>
      <w:spacing w:val="10"/>
      <w:bdr w:val="none" w:sz="0" w:space="0" w:color="auto"/>
      <w:shd w:val="clear" w:color="auto" w:fill="auto"/>
    </w:rPr>
  </w:style>
  <w:style w:type="paragraph" w:styleId="NoSpacing">
    <w:name w:val="No Spacing"/>
    <w:basedOn w:val="Normal"/>
    <w:uiPriority w:val="1"/>
    <w:qFormat/>
    <w:rsid w:val="00863649"/>
    <w:pPr>
      <w:spacing w:after="0" w:line="240" w:lineRule="auto"/>
    </w:pPr>
  </w:style>
  <w:style w:type="paragraph" w:styleId="ListParagraph">
    <w:name w:val="List Paragraph"/>
    <w:basedOn w:val="Normal"/>
    <w:uiPriority w:val="34"/>
    <w:qFormat/>
    <w:rsid w:val="00863649"/>
    <w:pPr>
      <w:ind w:left="720"/>
      <w:contextualSpacing/>
    </w:pPr>
  </w:style>
  <w:style w:type="paragraph" w:styleId="Quote">
    <w:name w:val="Quote"/>
    <w:basedOn w:val="Normal"/>
    <w:next w:val="Normal"/>
    <w:link w:val="QuoteChar"/>
    <w:uiPriority w:val="29"/>
    <w:qFormat/>
    <w:rsid w:val="00863649"/>
    <w:pPr>
      <w:spacing w:before="200" w:after="0"/>
      <w:ind w:left="360" w:right="360"/>
    </w:pPr>
    <w:rPr>
      <w:i/>
      <w:iCs/>
    </w:rPr>
  </w:style>
  <w:style w:type="character" w:customStyle="1" w:styleId="QuoteChar">
    <w:name w:val="Quote Char"/>
    <w:basedOn w:val="DefaultParagraphFont"/>
    <w:link w:val="Quote"/>
    <w:uiPriority w:val="29"/>
    <w:rsid w:val="00863649"/>
    <w:rPr>
      <w:i/>
      <w:iCs/>
    </w:rPr>
  </w:style>
  <w:style w:type="paragraph" w:styleId="IntenseQuote">
    <w:name w:val="Intense Quote"/>
    <w:basedOn w:val="Normal"/>
    <w:next w:val="Normal"/>
    <w:link w:val="IntenseQuoteChar"/>
    <w:uiPriority w:val="30"/>
    <w:qFormat/>
    <w:rsid w:val="008636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63649"/>
    <w:rPr>
      <w:b/>
      <w:bCs/>
      <w:i/>
      <w:iCs/>
    </w:rPr>
  </w:style>
  <w:style w:type="character" w:styleId="SubtleEmphasis">
    <w:name w:val="Subtle Emphasis"/>
    <w:uiPriority w:val="19"/>
    <w:qFormat/>
    <w:rsid w:val="00863649"/>
    <w:rPr>
      <w:i/>
      <w:iCs/>
    </w:rPr>
  </w:style>
  <w:style w:type="character" w:styleId="IntenseEmphasis">
    <w:name w:val="Intense Emphasis"/>
    <w:uiPriority w:val="21"/>
    <w:qFormat/>
    <w:rsid w:val="00863649"/>
    <w:rPr>
      <w:b/>
      <w:bCs/>
    </w:rPr>
  </w:style>
  <w:style w:type="character" w:styleId="SubtleReference">
    <w:name w:val="Subtle Reference"/>
    <w:uiPriority w:val="31"/>
    <w:qFormat/>
    <w:rsid w:val="00863649"/>
    <w:rPr>
      <w:smallCaps/>
    </w:rPr>
  </w:style>
  <w:style w:type="character" w:styleId="IntenseReference">
    <w:name w:val="Intense Reference"/>
    <w:uiPriority w:val="32"/>
    <w:qFormat/>
    <w:rsid w:val="00863649"/>
    <w:rPr>
      <w:smallCaps/>
      <w:spacing w:val="5"/>
      <w:u w:val="single"/>
    </w:rPr>
  </w:style>
  <w:style w:type="character" w:styleId="BookTitle">
    <w:name w:val="Book Title"/>
    <w:uiPriority w:val="33"/>
    <w:qFormat/>
    <w:rsid w:val="00863649"/>
    <w:rPr>
      <w:i/>
      <w:iCs/>
      <w:smallCaps/>
      <w:spacing w:val="5"/>
    </w:rPr>
  </w:style>
  <w:style w:type="paragraph" w:styleId="TOCHeading">
    <w:name w:val="TOC Heading"/>
    <w:basedOn w:val="Heading1"/>
    <w:next w:val="Normal"/>
    <w:uiPriority w:val="39"/>
    <w:unhideWhenUsed/>
    <w:qFormat/>
    <w:rsid w:val="00863649"/>
    <w:pPr>
      <w:outlineLvl w:val="9"/>
    </w:pPr>
  </w:style>
  <w:style w:type="paragraph" w:styleId="TOC1">
    <w:name w:val="toc 1"/>
    <w:basedOn w:val="Normal"/>
    <w:next w:val="Normal"/>
    <w:autoRedefine/>
    <w:uiPriority w:val="39"/>
    <w:unhideWhenUsed/>
    <w:rsid w:val="00E374E7"/>
    <w:pPr>
      <w:spacing w:after="100"/>
    </w:pPr>
  </w:style>
  <w:style w:type="paragraph" w:styleId="TOC2">
    <w:name w:val="toc 2"/>
    <w:basedOn w:val="Normal"/>
    <w:next w:val="Normal"/>
    <w:autoRedefine/>
    <w:uiPriority w:val="39"/>
    <w:unhideWhenUsed/>
    <w:rsid w:val="00E374E7"/>
    <w:pPr>
      <w:spacing w:after="100"/>
      <w:ind w:left="220"/>
    </w:pPr>
  </w:style>
  <w:style w:type="paragraph" w:styleId="TOC3">
    <w:name w:val="toc 3"/>
    <w:basedOn w:val="Normal"/>
    <w:next w:val="Normal"/>
    <w:autoRedefine/>
    <w:uiPriority w:val="39"/>
    <w:unhideWhenUsed/>
    <w:rsid w:val="00E374E7"/>
    <w:pPr>
      <w:spacing w:after="100"/>
      <w:ind w:left="440"/>
    </w:pPr>
  </w:style>
  <w:style w:type="paragraph" w:styleId="BalloonText">
    <w:name w:val="Balloon Text"/>
    <w:basedOn w:val="Normal"/>
    <w:link w:val="BalloonTextChar"/>
    <w:uiPriority w:val="99"/>
    <w:semiHidden/>
    <w:unhideWhenUsed/>
    <w:rsid w:val="00E3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E7"/>
    <w:rPr>
      <w:rFonts w:ascii="Tahoma" w:hAnsi="Tahoma" w:cs="Tahoma"/>
      <w:sz w:val="16"/>
      <w:szCs w:val="16"/>
    </w:rPr>
  </w:style>
  <w:style w:type="character" w:styleId="CommentReference">
    <w:name w:val="annotation reference"/>
    <w:basedOn w:val="DefaultParagraphFont"/>
    <w:uiPriority w:val="99"/>
    <w:semiHidden/>
    <w:unhideWhenUsed/>
    <w:rsid w:val="00E374E7"/>
    <w:rPr>
      <w:sz w:val="16"/>
      <w:szCs w:val="16"/>
    </w:rPr>
  </w:style>
  <w:style w:type="paragraph" w:styleId="CommentText">
    <w:name w:val="annotation text"/>
    <w:basedOn w:val="Normal"/>
    <w:link w:val="CommentTextChar"/>
    <w:uiPriority w:val="99"/>
    <w:unhideWhenUsed/>
    <w:rsid w:val="00E374E7"/>
    <w:pPr>
      <w:spacing w:line="240" w:lineRule="auto"/>
    </w:pPr>
    <w:rPr>
      <w:sz w:val="20"/>
      <w:szCs w:val="20"/>
    </w:rPr>
  </w:style>
  <w:style w:type="character" w:customStyle="1" w:styleId="CommentTextChar">
    <w:name w:val="Comment Text Char"/>
    <w:basedOn w:val="DefaultParagraphFont"/>
    <w:link w:val="CommentText"/>
    <w:uiPriority w:val="99"/>
    <w:rsid w:val="00E374E7"/>
    <w:rPr>
      <w:sz w:val="20"/>
      <w:szCs w:val="20"/>
    </w:rPr>
  </w:style>
  <w:style w:type="paragraph" w:styleId="CommentSubject">
    <w:name w:val="annotation subject"/>
    <w:basedOn w:val="CommentText"/>
    <w:next w:val="CommentText"/>
    <w:link w:val="CommentSubjectChar"/>
    <w:uiPriority w:val="99"/>
    <w:semiHidden/>
    <w:unhideWhenUsed/>
    <w:rsid w:val="00E374E7"/>
    <w:rPr>
      <w:b/>
      <w:bCs/>
    </w:rPr>
  </w:style>
  <w:style w:type="character" w:customStyle="1" w:styleId="CommentSubjectChar">
    <w:name w:val="Comment Subject Char"/>
    <w:basedOn w:val="CommentTextChar"/>
    <w:link w:val="CommentSubject"/>
    <w:uiPriority w:val="99"/>
    <w:semiHidden/>
    <w:rsid w:val="00E374E7"/>
    <w:rPr>
      <w:b/>
      <w:bCs/>
      <w:sz w:val="20"/>
      <w:szCs w:val="20"/>
    </w:rPr>
  </w:style>
  <w:style w:type="paragraph" w:customStyle="1" w:styleId="Default">
    <w:name w:val="Default"/>
    <w:rsid w:val="00875125"/>
    <w:pPr>
      <w:autoSpaceDE w:val="0"/>
      <w:autoSpaceDN w:val="0"/>
      <w:adjustRightInd w:val="0"/>
      <w:spacing w:after="0" w:line="240" w:lineRule="auto"/>
    </w:pPr>
    <w:rPr>
      <w:rFonts w:ascii="Arial" w:hAnsi="Arial" w:cs="Arial"/>
      <w:color w:val="000000"/>
      <w:sz w:val="24"/>
      <w:szCs w:val="24"/>
    </w:rPr>
  </w:style>
  <w:style w:type="paragraph" w:customStyle="1" w:styleId="NICEbodytext">
    <w:name w:val="NICE body text"/>
    <w:basedOn w:val="Normal"/>
    <w:link w:val="NICEbodytextChar"/>
    <w:qFormat/>
    <w:rsid w:val="007539A2"/>
    <w:pPr>
      <w:spacing w:after="0" w:line="360" w:lineRule="auto"/>
    </w:pPr>
    <w:rPr>
      <w:rFonts w:ascii="Arial" w:eastAsia="Times New Roman" w:hAnsi="Arial" w:cs="Times New Roman"/>
      <w:sz w:val="20"/>
      <w:szCs w:val="20"/>
    </w:rPr>
  </w:style>
  <w:style w:type="character" w:customStyle="1" w:styleId="NICEbodytextChar">
    <w:name w:val="NICE body text Char"/>
    <w:link w:val="NICEbodytext"/>
    <w:rsid w:val="007539A2"/>
    <w:rPr>
      <w:rFonts w:ascii="Arial" w:eastAsia="Times New Roman" w:hAnsi="Arial" w:cs="Times New Roman"/>
      <w:sz w:val="20"/>
      <w:szCs w:val="20"/>
      <w:lang w:val="en-GB" w:bidi="ar-SA"/>
    </w:rPr>
  </w:style>
  <w:style w:type="paragraph" w:styleId="Caption">
    <w:name w:val="caption"/>
    <w:basedOn w:val="Normal"/>
    <w:next w:val="Normal"/>
    <w:link w:val="CaptionChar"/>
    <w:unhideWhenUsed/>
    <w:qFormat/>
    <w:rsid w:val="00F97D20"/>
    <w:pPr>
      <w:spacing w:line="360" w:lineRule="auto"/>
    </w:pPr>
    <w:rPr>
      <w:rFonts w:ascii="Times New Roman" w:eastAsia="Times New Roman" w:hAnsi="Times New Roman" w:cs="Times New Roman"/>
      <w:b/>
      <w:bCs/>
      <w:sz w:val="20"/>
      <w:szCs w:val="20"/>
    </w:rPr>
  </w:style>
  <w:style w:type="character" w:customStyle="1" w:styleId="CaptionChar">
    <w:name w:val="Caption Char"/>
    <w:basedOn w:val="DefaultParagraphFont"/>
    <w:link w:val="Caption"/>
    <w:locked/>
    <w:rsid w:val="00F97D20"/>
    <w:rPr>
      <w:rFonts w:ascii="Times New Roman" w:eastAsia="Times New Roman" w:hAnsi="Times New Roman" w:cs="Times New Roman"/>
      <w:b/>
      <w:bCs/>
      <w:sz w:val="20"/>
      <w:szCs w:val="20"/>
    </w:rPr>
  </w:style>
  <w:style w:type="paragraph" w:customStyle="1" w:styleId="NICEFootnote">
    <w:name w:val="NICE Footnote"/>
    <w:basedOn w:val="Normal"/>
    <w:link w:val="NICEFootnoteChar"/>
    <w:uiPriority w:val="99"/>
    <w:rsid w:val="00F97D20"/>
    <w:pPr>
      <w:spacing w:before="60" w:after="0"/>
      <w:contextualSpacing/>
    </w:pPr>
    <w:rPr>
      <w:rFonts w:ascii="Arial" w:eastAsia="Times New Roman" w:hAnsi="Arial" w:cs="Times New Roman"/>
      <w:sz w:val="16"/>
      <w:szCs w:val="16"/>
    </w:rPr>
  </w:style>
  <w:style w:type="character" w:customStyle="1" w:styleId="NICEFootnoteChar">
    <w:name w:val="NICE Footnote Char"/>
    <w:link w:val="NICEFootnote"/>
    <w:uiPriority w:val="99"/>
    <w:rsid w:val="00F97D20"/>
    <w:rPr>
      <w:rFonts w:ascii="Arial" w:eastAsia="Times New Roman" w:hAnsi="Arial" w:cs="Times New Roman"/>
      <w:sz w:val="16"/>
      <w:szCs w:val="16"/>
      <w:lang w:val="en-GB" w:bidi="ar-SA"/>
    </w:rPr>
  </w:style>
  <w:style w:type="paragraph" w:customStyle="1" w:styleId="Tabletext">
    <w:name w:val="Table text"/>
    <w:basedOn w:val="Normal"/>
    <w:link w:val="TabletextChar"/>
    <w:uiPriority w:val="99"/>
    <w:qFormat/>
    <w:rsid w:val="008C6799"/>
    <w:pPr>
      <w:keepNext/>
      <w:spacing w:after="60" w:line="240" w:lineRule="auto"/>
    </w:pPr>
    <w:rPr>
      <w:rFonts w:ascii="Arial" w:eastAsia="Times New Roman" w:hAnsi="Arial" w:cs="Times New Roman"/>
      <w:sz w:val="24"/>
      <w:szCs w:val="24"/>
      <w:lang w:val="en-US" w:eastAsia="en-US"/>
    </w:rPr>
  </w:style>
  <w:style w:type="character" w:customStyle="1" w:styleId="TabletextChar">
    <w:name w:val="Table text Char"/>
    <w:link w:val="Tabletext"/>
    <w:uiPriority w:val="99"/>
    <w:rsid w:val="008C6799"/>
    <w:rPr>
      <w:rFonts w:ascii="Arial" w:eastAsia="Times New Roman" w:hAnsi="Arial" w:cs="Times New Roman"/>
      <w:sz w:val="24"/>
      <w:szCs w:val="24"/>
      <w:lang w:val="en-US" w:eastAsia="en-US"/>
    </w:rPr>
  </w:style>
  <w:style w:type="paragraph" w:styleId="FootnoteText">
    <w:name w:val="footnote text"/>
    <w:basedOn w:val="Normal"/>
    <w:link w:val="FootnoteTextChar"/>
    <w:uiPriority w:val="99"/>
    <w:semiHidden/>
    <w:unhideWhenUsed/>
    <w:rsid w:val="008C67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67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6799"/>
    <w:rPr>
      <w:vertAlign w:val="superscript"/>
    </w:rPr>
  </w:style>
  <w:style w:type="paragraph" w:styleId="Revision">
    <w:name w:val="Revision"/>
    <w:hidden/>
    <w:uiPriority w:val="99"/>
    <w:semiHidden/>
    <w:rsid w:val="00E45DD1"/>
    <w:pPr>
      <w:spacing w:after="0" w:line="240" w:lineRule="auto"/>
    </w:pPr>
  </w:style>
  <w:style w:type="table" w:styleId="TableGrid">
    <w:name w:val="Table Grid"/>
    <w:basedOn w:val="TableNormal"/>
    <w:uiPriority w:val="59"/>
    <w:rsid w:val="00FB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7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D1FC7"/>
  </w:style>
  <w:style w:type="character" w:styleId="FollowedHyperlink">
    <w:name w:val="FollowedHyperlink"/>
    <w:basedOn w:val="DefaultParagraphFont"/>
    <w:uiPriority w:val="99"/>
    <w:semiHidden/>
    <w:unhideWhenUsed/>
    <w:rsid w:val="0054654D"/>
    <w:rPr>
      <w:color w:val="800080" w:themeColor="followedHyperlink"/>
      <w:u w:val="single"/>
    </w:rPr>
  </w:style>
  <w:style w:type="paragraph" w:customStyle="1" w:styleId="NICEnormalblue">
    <w:name w:val="NICE normal blue"/>
    <w:basedOn w:val="Normal"/>
    <w:qFormat/>
    <w:rsid w:val="0000023E"/>
    <w:pPr>
      <w:spacing w:before="200" w:after="120" w:line="320" w:lineRule="exact"/>
    </w:pPr>
    <w:rPr>
      <w:rFonts w:ascii="Arial" w:eastAsia="Times New Roman" w:hAnsi="Arial" w:cs="Times New Roman"/>
      <w:color w:val="4F81BD"/>
      <w:sz w:val="24"/>
      <w:szCs w:val="24"/>
      <w:lang w:eastAsia="en-US"/>
    </w:rPr>
  </w:style>
  <w:style w:type="paragraph" w:customStyle="1" w:styleId="Figure">
    <w:name w:val="Figure"/>
    <w:basedOn w:val="Header"/>
    <w:rsid w:val="00927D90"/>
    <w:pPr>
      <w:tabs>
        <w:tab w:val="clear" w:pos="4153"/>
        <w:tab w:val="clear" w:pos="8306"/>
      </w:tabs>
      <w:spacing w:before="180"/>
      <w:ind w:right="84"/>
      <w:jc w:val="center"/>
    </w:pPr>
    <w:rPr>
      <w:b/>
      <w:szCs w:val="28"/>
    </w:rPr>
  </w:style>
  <w:style w:type="paragraph" w:customStyle="1" w:styleId="NICEnormal">
    <w:name w:val="NICE normal"/>
    <w:link w:val="NICEnormalChar"/>
    <w:rsid w:val="005651AB"/>
    <w:pPr>
      <w:spacing w:after="240" w:line="360" w:lineRule="auto"/>
    </w:pPr>
    <w:rPr>
      <w:rFonts w:ascii="Arial" w:eastAsia="Times New Roman" w:hAnsi="Arial" w:cs="Times New Roman"/>
      <w:sz w:val="24"/>
      <w:szCs w:val="24"/>
      <w:lang w:eastAsia="en-US"/>
    </w:rPr>
  </w:style>
  <w:style w:type="character" w:customStyle="1" w:styleId="NICEnormalChar">
    <w:name w:val="NICE normal Char"/>
    <w:link w:val="NICEnormal"/>
    <w:rsid w:val="005651AB"/>
    <w:rPr>
      <w:rFonts w:ascii="Arial" w:eastAsia="Times New Roman" w:hAnsi="Arial" w:cs="Times New Roman"/>
      <w:sz w:val="24"/>
      <w:szCs w:val="24"/>
      <w:lang w:eastAsia="en-US"/>
    </w:rPr>
  </w:style>
  <w:style w:type="character" w:customStyle="1" w:styleId="apple-converted-space">
    <w:name w:val="apple-converted-space"/>
    <w:basedOn w:val="DefaultParagraphFont"/>
    <w:rsid w:val="002B59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364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6364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6364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6364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6364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636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636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6364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6364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7B31"/>
    <w:pPr>
      <w:tabs>
        <w:tab w:val="center" w:pos="4153"/>
        <w:tab w:val="right" w:pos="8306"/>
      </w:tabs>
      <w:spacing w:after="0" w:line="36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87B3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1E30"/>
    <w:rPr>
      <w:color w:val="0000FF" w:themeColor="hyperlink"/>
      <w:u w:val="single"/>
    </w:rPr>
  </w:style>
  <w:style w:type="paragraph" w:styleId="Footer">
    <w:name w:val="footer"/>
    <w:basedOn w:val="Normal"/>
    <w:link w:val="FooterChar"/>
    <w:uiPriority w:val="99"/>
    <w:unhideWhenUsed/>
    <w:rsid w:val="00F81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D84"/>
  </w:style>
  <w:style w:type="character" w:customStyle="1" w:styleId="Heading1Char">
    <w:name w:val="Heading 1 Char"/>
    <w:basedOn w:val="DefaultParagraphFont"/>
    <w:link w:val="Heading1"/>
    <w:uiPriority w:val="9"/>
    <w:rsid w:val="0086364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6364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6364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6364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6364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6364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636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36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6364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636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364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636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63649"/>
    <w:rPr>
      <w:rFonts w:asciiTheme="majorHAnsi" w:eastAsiaTheme="majorEastAsia" w:hAnsiTheme="majorHAnsi" w:cstheme="majorBidi"/>
      <w:i/>
      <w:iCs/>
      <w:spacing w:val="13"/>
      <w:sz w:val="24"/>
      <w:szCs w:val="24"/>
    </w:rPr>
  </w:style>
  <w:style w:type="character" w:styleId="Strong">
    <w:name w:val="Strong"/>
    <w:uiPriority w:val="22"/>
    <w:qFormat/>
    <w:rsid w:val="00863649"/>
    <w:rPr>
      <w:b/>
      <w:bCs/>
    </w:rPr>
  </w:style>
  <w:style w:type="character" w:styleId="Emphasis">
    <w:name w:val="Emphasis"/>
    <w:uiPriority w:val="20"/>
    <w:qFormat/>
    <w:rsid w:val="00863649"/>
    <w:rPr>
      <w:b/>
      <w:bCs/>
      <w:i/>
      <w:iCs/>
      <w:spacing w:val="10"/>
      <w:bdr w:val="none" w:sz="0" w:space="0" w:color="auto"/>
      <w:shd w:val="clear" w:color="auto" w:fill="auto"/>
    </w:rPr>
  </w:style>
  <w:style w:type="paragraph" w:styleId="NoSpacing">
    <w:name w:val="No Spacing"/>
    <w:basedOn w:val="Normal"/>
    <w:uiPriority w:val="1"/>
    <w:qFormat/>
    <w:rsid w:val="00863649"/>
    <w:pPr>
      <w:spacing w:after="0" w:line="240" w:lineRule="auto"/>
    </w:pPr>
  </w:style>
  <w:style w:type="paragraph" w:styleId="ListParagraph">
    <w:name w:val="List Paragraph"/>
    <w:basedOn w:val="Normal"/>
    <w:uiPriority w:val="34"/>
    <w:qFormat/>
    <w:rsid w:val="00863649"/>
    <w:pPr>
      <w:ind w:left="720"/>
      <w:contextualSpacing/>
    </w:pPr>
  </w:style>
  <w:style w:type="paragraph" w:styleId="Quote">
    <w:name w:val="Quote"/>
    <w:basedOn w:val="Normal"/>
    <w:next w:val="Normal"/>
    <w:link w:val="QuoteChar"/>
    <w:uiPriority w:val="29"/>
    <w:qFormat/>
    <w:rsid w:val="00863649"/>
    <w:pPr>
      <w:spacing w:before="200" w:after="0"/>
      <w:ind w:left="360" w:right="360"/>
    </w:pPr>
    <w:rPr>
      <w:i/>
      <w:iCs/>
    </w:rPr>
  </w:style>
  <w:style w:type="character" w:customStyle="1" w:styleId="QuoteChar">
    <w:name w:val="Quote Char"/>
    <w:basedOn w:val="DefaultParagraphFont"/>
    <w:link w:val="Quote"/>
    <w:uiPriority w:val="29"/>
    <w:rsid w:val="00863649"/>
    <w:rPr>
      <w:i/>
      <w:iCs/>
    </w:rPr>
  </w:style>
  <w:style w:type="paragraph" w:styleId="IntenseQuote">
    <w:name w:val="Intense Quote"/>
    <w:basedOn w:val="Normal"/>
    <w:next w:val="Normal"/>
    <w:link w:val="IntenseQuoteChar"/>
    <w:uiPriority w:val="30"/>
    <w:qFormat/>
    <w:rsid w:val="008636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63649"/>
    <w:rPr>
      <w:b/>
      <w:bCs/>
      <w:i/>
      <w:iCs/>
    </w:rPr>
  </w:style>
  <w:style w:type="character" w:styleId="SubtleEmphasis">
    <w:name w:val="Subtle Emphasis"/>
    <w:uiPriority w:val="19"/>
    <w:qFormat/>
    <w:rsid w:val="00863649"/>
    <w:rPr>
      <w:i/>
      <w:iCs/>
    </w:rPr>
  </w:style>
  <w:style w:type="character" w:styleId="IntenseEmphasis">
    <w:name w:val="Intense Emphasis"/>
    <w:uiPriority w:val="21"/>
    <w:qFormat/>
    <w:rsid w:val="00863649"/>
    <w:rPr>
      <w:b/>
      <w:bCs/>
    </w:rPr>
  </w:style>
  <w:style w:type="character" w:styleId="SubtleReference">
    <w:name w:val="Subtle Reference"/>
    <w:uiPriority w:val="31"/>
    <w:qFormat/>
    <w:rsid w:val="00863649"/>
    <w:rPr>
      <w:smallCaps/>
    </w:rPr>
  </w:style>
  <w:style w:type="character" w:styleId="IntenseReference">
    <w:name w:val="Intense Reference"/>
    <w:uiPriority w:val="32"/>
    <w:qFormat/>
    <w:rsid w:val="00863649"/>
    <w:rPr>
      <w:smallCaps/>
      <w:spacing w:val="5"/>
      <w:u w:val="single"/>
    </w:rPr>
  </w:style>
  <w:style w:type="character" w:styleId="BookTitle">
    <w:name w:val="Book Title"/>
    <w:uiPriority w:val="33"/>
    <w:qFormat/>
    <w:rsid w:val="00863649"/>
    <w:rPr>
      <w:i/>
      <w:iCs/>
      <w:smallCaps/>
      <w:spacing w:val="5"/>
    </w:rPr>
  </w:style>
  <w:style w:type="paragraph" w:styleId="TOCHeading">
    <w:name w:val="TOC Heading"/>
    <w:basedOn w:val="Heading1"/>
    <w:next w:val="Normal"/>
    <w:uiPriority w:val="39"/>
    <w:unhideWhenUsed/>
    <w:qFormat/>
    <w:rsid w:val="00863649"/>
    <w:pPr>
      <w:outlineLvl w:val="9"/>
    </w:pPr>
  </w:style>
  <w:style w:type="paragraph" w:styleId="TOC1">
    <w:name w:val="toc 1"/>
    <w:basedOn w:val="Normal"/>
    <w:next w:val="Normal"/>
    <w:autoRedefine/>
    <w:uiPriority w:val="39"/>
    <w:unhideWhenUsed/>
    <w:rsid w:val="00E374E7"/>
    <w:pPr>
      <w:spacing w:after="100"/>
    </w:pPr>
  </w:style>
  <w:style w:type="paragraph" w:styleId="TOC2">
    <w:name w:val="toc 2"/>
    <w:basedOn w:val="Normal"/>
    <w:next w:val="Normal"/>
    <w:autoRedefine/>
    <w:uiPriority w:val="39"/>
    <w:unhideWhenUsed/>
    <w:rsid w:val="00E374E7"/>
    <w:pPr>
      <w:spacing w:after="100"/>
      <w:ind w:left="220"/>
    </w:pPr>
  </w:style>
  <w:style w:type="paragraph" w:styleId="TOC3">
    <w:name w:val="toc 3"/>
    <w:basedOn w:val="Normal"/>
    <w:next w:val="Normal"/>
    <w:autoRedefine/>
    <w:uiPriority w:val="39"/>
    <w:unhideWhenUsed/>
    <w:rsid w:val="00E374E7"/>
    <w:pPr>
      <w:spacing w:after="100"/>
      <w:ind w:left="440"/>
    </w:pPr>
  </w:style>
  <w:style w:type="paragraph" w:styleId="BalloonText">
    <w:name w:val="Balloon Text"/>
    <w:basedOn w:val="Normal"/>
    <w:link w:val="BalloonTextChar"/>
    <w:uiPriority w:val="99"/>
    <w:semiHidden/>
    <w:unhideWhenUsed/>
    <w:rsid w:val="00E374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4E7"/>
    <w:rPr>
      <w:rFonts w:ascii="Tahoma" w:hAnsi="Tahoma" w:cs="Tahoma"/>
      <w:sz w:val="16"/>
      <w:szCs w:val="16"/>
    </w:rPr>
  </w:style>
  <w:style w:type="character" w:styleId="CommentReference">
    <w:name w:val="annotation reference"/>
    <w:basedOn w:val="DefaultParagraphFont"/>
    <w:uiPriority w:val="99"/>
    <w:semiHidden/>
    <w:unhideWhenUsed/>
    <w:rsid w:val="00E374E7"/>
    <w:rPr>
      <w:sz w:val="16"/>
      <w:szCs w:val="16"/>
    </w:rPr>
  </w:style>
  <w:style w:type="paragraph" w:styleId="CommentText">
    <w:name w:val="annotation text"/>
    <w:basedOn w:val="Normal"/>
    <w:link w:val="CommentTextChar"/>
    <w:uiPriority w:val="99"/>
    <w:unhideWhenUsed/>
    <w:rsid w:val="00E374E7"/>
    <w:pPr>
      <w:spacing w:line="240" w:lineRule="auto"/>
    </w:pPr>
    <w:rPr>
      <w:sz w:val="20"/>
      <w:szCs w:val="20"/>
    </w:rPr>
  </w:style>
  <w:style w:type="character" w:customStyle="1" w:styleId="CommentTextChar">
    <w:name w:val="Comment Text Char"/>
    <w:basedOn w:val="DefaultParagraphFont"/>
    <w:link w:val="CommentText"/>
    <w:uiPriority w:val="99"/>
    <w:rsid w:val="00E374E7"/>
    <w:rPr>
      <w:sz w:val="20"/>
      <w:szCs w:val="20"/>
    </w:rPr>
  </w:style>
  <w:style w:type="paragraph" w:styleId="CommentSubject">
    <w:name w:val="annotation subject"/>
    <w:basedOn w:val="CommentText"/>
    <w:next w:val="CommentText"/>
    <w:link w:val="CommentSubjectChar"/>
    <w:uiPriority w:val="99"/>
    <w:semiHidden/>
    <w:unhideWhenUsed/>
    <w:rsid w:val="00E374E7"/>
    <w:rPr>
      <w:b/>
      <w:bCs/>
    </w:rPr>
  </w:style>
  <w:style w:type="character" w:customStyle="1" w:styleId="CommentSubjectChar">
    <w:name w:val="Comment Subject Char"/>
    <w:basedOn w:val="CommentTextChar"/>
    <w:link w:val="CommentSubject"/>
    <w:uiPriority w:val="99"/>
    <w:semiHidden/>
    <w:rsid w:val="00E374E7"/>
    <w:rPr>
      <w:b/>
      <w:bCs/>
      <w:sz w:val="20"/>
      <w:szCs w:val="20"/>
    </w:rPr>
  </w:style>
  <w:style w:type="paragraph" w:customStyle="1" w:styleId="Default">
    <w:name w:val="Default"/>
    <w:rsid w:val="00875125"/>
    <w:pPr>
      <w:autoSpaceDE w:val="0"/>
      <w:autoSpaceDN w:val="0"/>
      <w:adjustRightInd w:val="0"/>
      <w:spacing w:after="0" w:line="240" w:lineRule="auto"/>
    </w:pPr>
    <w:rPr>
      <w:rFonts w:ascii="Arial" w:hAnsi="Arial" w:cs="Arial"/>
      <w:color w:val="000000"/>
      <w:sz w:val="24"/>
      <w:szCs w:val="24"/>
    </w:rPr>
  </w:style>
  <w:style w:type="paragraph" w:customStyle="1" w:styleId="NICEbodytext">
    <w:name w:val="NICE body text"/>
    <w:basedOn w:val="Normal"/>
    <w:link w:val="NICEbodytextChar"/>
    <w:qFormat/>
    <w:rsid w:val="007539A2"/>
    <w:pPr>
      <w:spacing w:after="0" w:line="360" w:lineRule="auto"/>
    </w:pPr>
    <w:rPr>
      <w:rFonts w:ascii="Arial" w:eastAsia="Times New Roman" w:hAnsi="Arial" w:cs="Times New Roman"/>
      <w:sz w:val="20"/>
      <w:szCs w:val="20"/>
    </w:rPr>
  </w:style>
  <w:style w:type="character" w:customStyle="1" w:styleId="NICEbodytextChar">
    <w:name w:val="NICE body text Char"/>
    <w:link w:val="NICEbodytext"/>
    <w:rsid w:val="007539A2"/>
    <w:rPr>
      <w:rFonts w:ascii="Arial" w:eastAsia="Times New Roman" w:hAnsi="Arial" w:cs="Times New Roman"/>
      <w:sz w:val="20"/>
      <w:szCs w:val="20"/>
      <w:lang w:val="en-GB" w:bidi="ar-SA"/>
    </w:rPr>
  </w:style>
  <w:style w:type="paragraph" w:styleId="Caption">
    <w:name w:val="caption"/>
    <w:basedOn w:val="Normal"/>
    <w:next w:val="Normal"/>
    <w:link w:val="CaptionChar"/>
    <w:unhideWhenUsed/>
    <w:qFormat/>
    <w:rsid w:val="00F97D20"/>
    <w:pPr>
      <w:spacing w:line="360" w:lineRule="auto"/>
    </w:pPr>
    <w:rPr>
      <w:rFonts w:ascii="Times New Roman" w:eastAsia="Times New Roman" w:hAnsi="Times New Roman" w:cs="Times New Roman"/>
      <w:b/>
      <w:bCs/>
      <w:sz w:val="20"/>
      <w:szCs w:val="20"/>
    </w:rPr>
  </w:style>
  <w:style w:type="character" w:customStyle="1" w:styleId="CaptionChar">
    <w:name w:val="Caption Char"/>
    <w:basedOn w:val="DefaultParagraphFont"/>
    <w:link w:val="Caption"/>
    <w:locked/>
    <w:rsid w:val="00F97D20"/>
    <w:rPr>
      <w:rFonts w:ascii="Times New Roman" w:eastAsia="Times New Roman" w:hAnsi="Times New Roman" w:cs="Times New Roman"/>
      <w:b/>
      <w:bCs/>
      <w:sz w:val="20"/>
      <w:szCs w:val="20"/>
    </w:rPr>
  </w:style>
  <w:style w:type="paragraph" w:customStyle="1" w:styleId="NICEFootnote">
    <w:name w:val="NICE Footnote"/>
    <w:basedOn w:val="Normal"/>
    <w:link w:val="NICEFootnoteChar"/>
    <w:uiPriority w:val="99"/>
    <w:rsid w:val="00F97D20"/>
    <w:pPr>
      <w:spacing w:before="60" w:after="0"/>
      <w:contextualSpacing/>
    </w:pPr>
    <w:rPr>
      <w:rFonts w:ascii="Arial" w:eastAsia="Times New Roman" w:hAnsi="Arial" w:cs="Times New Roman"/>
      <w:sz w:val="16"/>
      <w:szCs w:val="16"/>
    </w:rPr>
  </w:style>
  <w:style w:type="character" w:customStyle="1" w:styleId="NICEFootnoteChar">
    <w:name w:val="NICE Footnote Char"/>
    <w:link w:val="NICEFootnote"/>
    <w:uiPriority w:val="99"/>
    <w:rsid w:val="00F97D20"/>
    <w:rPr>
      <w:rFonts w:ascii="Arial" w:eastAsia="Times New Roman" w:hAnsi="Arial" w:cs="Times New Roman"/>
      <w:sz w:val="16"/>
      <w:szCs w:val="16"/>
      <w:lang w:val="en-GB" w:bidi="ar-SA"/>
    </w:rPr>
  </w:style>
  <w:style w:type="paragraph" w:customStyle="1" w:styleId="Tabletext">
    <w:name w:val="Table text"/>
    <w:basedOn w:val="Normal"/>
    <w:link w:val="TabletextChar"/>
    <w:uiPriority w:val="99"/>
    <w:qFormat/>
    <w:rsid w:val="008C6799"/>
    <w:pPr>
      <w:keepNext/>
      <w:spacing w:after="60" w:line="240" w:lineRule="auto"/>
    </w:pPr>
    <w:rPr>
      <w:rFonts w:ascii="Arial" w:eastAsia="Times New Roman" w:hAnsi="Arial" w:cs="Times New Roman"/>
      <w:sz w:val="24"/>
      <w:szCs w:val="24"/>
      <w:lang w:val="en-US" w:eastAsia="en-US"/>
    </w:rPr>
  </w:style>
  <w:style w:type="character" w:customStyle="1" w:styleId="TabletextChar">
    <w:name w:val="Table text Char"/>
    <w:link w:val="Tabletext"/>
    <w:uiPriority w:val="99"/>
    <w:rsid w:val="008C6799"/>
    <w:rPr>
      <w:rFonts w:ascii="Arial" w:eastAsia="Times New Roman" w:hAnsi="Arial" w:cs="Times New Roman"/>
      <w:sz w:val="24"/>
      <w:szCs w:val="24"/>
      <w:lang w:val="en-US" w:eastAsia="en-US"/>
    </w:rPr>
  </w:style>
  <w:style w:type="paragraph" w:styleId="FootnoteText">
    <w:name w:val="footnote text"/>
    <w:basedOn w:val="Normal"/>
    <w:link w:val="FootnoteTextChar"/>
    <w:uiPriority w:val="99"/>
    <w:semiHidden/>
    <w:unhideWhenUsed/>
    <w:rsid w:val="008C67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C679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6799"/>
    <w:rPr>
      <w:vertAlign w:val="superscript"/>
    </w:rPr>
  </w:style>
  <w:style w:type="paragraph" w:styleId="Revision">
    <w:name w:val="Revision"/>
    <w:hidden/>
    <w:uiPriority w:val="99"/>
    <w:semiHidden/>
    <w:rsid w:val="00E45DD1"/>
    <w:pPr>
      <w:spacing w:after="0" w:line="240" w:lineRule="auto"/>
    </w:pPr>
  </w:style>
  <w:style w:type="table" w:styleId="TableGrid">
    <w:name w:val="Table Grid"/>
    <w:basedOn w:val="TableNormal"/>
    <w:uiPriority w:val="59"/>
    <w:rsid w:val="00FB2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773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DefaultParagraphFont"/>
    <w:rsid w:val="00ED1FC7"/>
  </w:style>
  <w:style w:type="character" w:styleId="FollowedHyperlink">
    <w:name w:val="FollowedHyperlink"/>
    <w:basedOn w:val="DefaultParagraphFont"/>
    <w:uiPriority w:val="99"/>
    <w:semiHidden/>
    <w:unhideWhenUsed/>
    <w:rsid w:val="0054654D"/>
    <w:rPr>
      <w:color w:val="800080" w:themeColor="followedHyperlink"/>
      <w:u w:val="single"/>
    </w:rPr>
  </w:style>
  <w:style w:type="paragraph" w:customStyle="1" w:styleId="NICEnormalblue">
    <w:name w:val="NICE normal blue"/>
    <w:basedOn w:val="Normal"/>
    <w:qFormat/>
    <w:rsid w:val="0000023E"/>
    <w:pPr>
      <w:spacing w:before="200" w:after="120" w:line="320" w:lineRule="exact"/>
    </w:pPr>
    <w:rPr>
      <w:rFonts w:ascii="Arial" w:eastAsia="Times New Roman" w:hAnsi="Arial" w:cs="Times New Roman"/>
      <w:color w:val="4F81BD"/>
      <w:sz w:val="24"/>
      <w:szCs w:val="24"/>
      <w:lang w:eastAsia="en-US"/>
    </w:rPr>
  </w:style>
  <w:style w:type="paragraph" w:customStyle="1" w:styleId="Figure">
    <w:name w:val="Figure"/>
    <w:basedOn w:val="Header"/>
    <w:rsid w:val="00927D90"/>
    <w:pPr>
      <w:tabs>
        <w:tab w:val="clear" w:pos="4153"/>
        <w:tab w:val="clear" w:pos="8306"/>
      </w:tabs>
      <w:spacing w:before="180"/>
      <w:ind w:right="84"/>
      <w:jc w:val="center"/>
    </w:pPr>
    <w:rPr>
      <w:b/>
      <w:szCs w:val="28"/>
    </w:rPr>
  </w:style>
  <w:style w:type="paragraph" w:customStyle="1" w:styleId="NICEnormal">
    <w:name w:val="NICE normal"/>
    <w:link w:val="NICEnormalChar"/>
    <w:rsid w:val="005651AB"/>
    <w:pPr>
      <w:spacing w:after="240" w:line="360" w:lineRule="auto"/>
    </w:pPr>
    <w:rPr>
      <w:rFonts w:ascii="Arial" w:eastAsia="Times New Roman" w:hAnsi="Arial" w:cs="Times New Roman"/>
      <w:sz w:val="24"/>
      <w:szCs w:val="24"/>
      <w:lang w:eastAsia="en-US"/>
    </w:rPr>
  </w:style>
  <w:style w:type="character" w:customStyle="1" w:styleId="NICEnormalChar">
    <w:name w:val="NICE normal Char"/>
    <w:link w:val="NICEnormal"/>
    <w:rsid w:val="005651AB"/>
    <w:rPr>
      <w:rFonts w:ascii="Arial" w:eastAsia="Times New Roman" w:hAnsi="Arial" w:cs="Times New Roman"/>
      <w:sz w:val="24"/>
      <w:szCs w:val="24"/>
      <w:lang w:eastAsia="en-US"/>
    </w:rPr>
  </w:style>
  <w:style w:type="character" w:customStyle="1" w:styleId="apple-converted-space">
    <w:name w:val="apple-converted-space"/>
    <w:basedOn w:val="DefaultParagraphFont"/>
    <w:rsid w:val="002B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2230">
      <w:bodyDiv w:val="1"/>
      <w:marLeft w:val="0"/>
      <w:marRight w:val="0"/>
      <w:marTop w:val="0"/>
      <w:marBottom w:val="0"/>
      <w:divBdr>
        <w:top w:val="none" w:sz="0" w:space="0" w:color="auto"/>
        <w:left w:val="none" w:sz="0" w:space="0" w:color="auto"/>
        <w:bottom w:val="none" w:sz="0" w:space="0" w:color="auto"/>
        <w:right w:val="none" w:sz="0" w:space="0" w:color="auto"/>
      </w:divBdr>
      <w:divsChild>
        <w:div w:id="1882548251">
          <w:marLeft w:val="0"/>
          <w:marRight w:val="0"/>
          <w:marTop w:val="0"/>
          <w:marBottom w:val="0"/>
          <w:divBdr>
            <w:top w:val="none" w:sz="0" w:space="0" w:color="auto"/>
            <w:left w:val="none" w:sz="0" w:space="0" w:color="auto"/>
            <w:bottom w:val="none" w:sz="0" w:space="0" w:color="auto"/>
            <w:right w:val="none" w:sz="0" w:space="0" w:color="auto"/>
          </w:divBdr>
          <w:divsChild>
            <w:div w:id="1533305251">
              <w:marLeft w:val="0"/>
              <w:marRight w:val="0"/>
              <w:marTop w:val="0"/>
              <w:marBottom w:val="0"/>
              <w:divBdr>
                <w:top w:val="none" w:sz="0" w:space="0" w:color="auto"/>
                <w:left w:val="none" w:sz="0" w:space="0" w:color="auto"/>
                <w:bottom w:val="none" w:sz="0" w:space="0" w:color="auto"/>
                <w:right w:val="none" w:sz="0" w:space="0" w:color="auto"/>
              </w:divBdr>
            </w:div>
            <w:div w:id="1375540756">
              <w:marLeft w:val="0"/>
              <w:marRight w:val="0"/>
              <w:marTop w:val="0"/>
              <w:marBottom w:val="0"/>
              <w:divBdr>
                <w:top w:val="none" w:sz="0" w:space="0" w:color="auto"/>
                <w:left w:val="none" w:sz="0" w:space="0" w:color="auto"/>
                <w:bottom w:val="none" w:sz="0" w:space="0" w:color="auto"/>
                <w:right w:val="none" w:sz="0" w:space="0" w:color="auto"/>
              </w:divBdr>
            </w:div>
            <w:div w:id="2102483041">
              <w:marLeft w:val="0"/>
              <w:marRight w:val="0"/>
              <w:marTop w:val="0"/>
              <w:marBottom w:val="0"/>
              <w:divBdr>
                <w:top w:val="none" w:sz="0" w:space="0" w:color="auto"/>
                <w:left w:val="none" w:sz="0" w:space="0" w:color="auto"/>
                <w:bottom w:val="none" w:sz="0" w:space="0" w:color="auto"/>
                <w:right w:val="none" w:sz="0" w:space="0" w:color="auto"/>
              </w:divBdr>
            </w:div>
            <w:div w:id="550113472">
              <w:marLeft w:val="0"/>
              <w:marRight w:val="0"/>
              <w:marTop w:val="0"/>
              <w:marBottom w:val="0"/>
              <w:divBdr>
                <w:top w:val="none" w:sz="0" w:space="0" w:color="auto"/>
                <w:left w:val="none" w:sz="0" w:space="0" w:color="auto"/>
                <w:bottom w:val="none" w:sz="0" w:space="0" w:color="auto"/>
                <w:right w:val="none" w:sz="0" w:space="0" w:color="auto"/>
              </w:divBdr>
            </w:div>
            <w:div w:id="678577944">
              <w:marLeft w:val="0"/>
              <w:marRight w:val="0"/>
              <w:marTop w:val="0"/>
              <w:marBottom w:val="0"/>
              <w:divBdr>
                <w:top w:val="none" w:sz="0" w:space="0" w:color="auto"/>
                <w:left w:val="none" w:sz="0" w:space="0" w:color="auto"/>
                <w:bottom w:val="none" w:sz="0" w:space="0" w:color="auto"/>
                <w:right w:val="none" w:sz="0" w:space="0" w:color="auto"/>
              </w:divBdr>
            </w:div>
            <w:div w:id="2035842693">
              <w:marLeft w:val="0"/>
              <w:marRight w:val="0"/>
              <w:marTop w:val="0"/>
              <w:marBottom w:val="0"/>
              <w:divBdr>
                <w:top w:val="none" w:sz="0" w:space="0" w:color="auto"/>
                <w:left w:val="none" w:sz="0" w:space="0" w:color="auto"/>
                <w:bottom w:val="none" w:sz="0" w:space="0" w:color="auto"/>
                <w:right w:val="none" w:sz="0" w:space="0" w:color="auto"/>
              </w:divBdr>
            </w:div>
            <w:div w:id="1948270777">
              <w:marLeft w:val="0"/>
              <w:marRight w:val="0"/>
              <w:marTop w:val="0"/>
              <w:marBottom w:val="0"/>
              <w:divBdr>
                <w:top w:val="none" w:sz="0" w:space="0" w:color="auto"/>
                <w:left w:val="none" w:sz="0" w:space="0" w:color="auto"/>
                <w:bottom w:val="none" w:sz="0" w:space="0" w:color="auto"/>
                <w:right w:val="none" w:sz="0" w:space="0" w:color="auto"/>
              </w:divBdr>
            </w:div>
            <w:div w:id="382098713">
              <w:marLeft w:val="0"/>
              <w:marRight w:val="0"/>
              <w:marTop w:val="0"/>
              <w:marBottom w:val="0"/>
              <w:divBdr>
                <w:top w:val="none" w:sz="0" w:space="0" w:color="auto"/>
                <w:left w:val="none" w:sz="0" w:space="0" w:color="auto"/>
                <w:bottom w:val="none" w:sz="0" w:space="0" w:color="auto"/>
                <w:right w:val="none" w:sz="0" w:space="0" w:color="auto"/>
              </w:divBdr>
            </w:div>
            <w:div w:id="902713857">
              <w:marLeft w:val="0"/>
              <w:marRight w:val="0"/>
              <w:marTop w:val="0"/>
              <w:marBottom w:val="0"/>
              <w:divBdr>
                <w:top w:val="none" w:sz="0" w:space="0" w:color="auto"/>
                <w:left w:val="none" w:sz="0" w:space="0" w:color="auto"/>
                <w:bottom w:val="none" w:sz="0" w:space="0" w:color="auto"/>
                <w:right w:val="none" w:sz="0" w:space="0" w:color="auto"/>
              </w:divBdr>
            </w:div>
            <w:div w:id="555168650">
              <w:marLeft w:val="0"/>
              <w:marRight w:val="0"/>
              <w:marTop w:val="0"/>
              <w:marBottom w:val="0"/>
              <w:divBdr>
                <w:top w:val="none" w:sz="0" w:space="0" w:color="auto"/>
                <w:left w:val="none" w:sz="0" w:space="0" w:color="auto"/>
                <w:bottom w:val="none" w:sz="0" w:space="0" w:color="auto"/>
                <w:right w:val="none" w:sz="0" w:space="0" w:color="auto"/>
              </w:divBdr>
            </w:div>
            <w:div w:id="1483081662">
              <w:marLeft w:val="0"/>
              <w:marRight w:val="0"/>
              <w:marTop w:val="0"/>
              <w:marBottom w:val="0"/>
              <w:divBdr>
                <w:top w:val="none" w:sz="0" w:space="0" w:color="auto"/>
                <w:left w:val="none" w:sz="0" w:space="0" w:color="auto"/>
                <w:bottom w:val="none" w:sz="0" w:space="0" w:color="auto"/>
                <w:right w:val="none" w:sz="0" w:space="0" w:color="auto"/>
              </w:divBdr>
            </w:div>
            <w:div w:id="284194451">
              <w:marLeft w:val="0"/>
              <w:marRight w:val="0"/>
              <w:marTop w:val="0"/>
              <w:marBottom w:val="0"/>
              <w:divBdr>
                <w:top w:val="none" w:sz="0" w:space="0" w:color="auto"/>
                <w:left w:val="none" w:sz="0" w:space="0" w:color="auto"/>
                <w:bottom w:val="none" w:sz="0" w:space="0" w:color="auto"/>
                <w:right w:val="none" w:sz="0" w:space="0" w:color="auto"/>
              </w:divBdr>
            </w:div>
            <w:div w:id="37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9619">
      <w:bodyDiv w:val="1"/>
      <w:marLeft w:val="0"/>
      <w:marRight w:val="0"/>
      <w:marTop w:val="0"/>
      <w:marBottom w:val="0"/>
      <w:divBdr>
        <w:top w:val="none" w:sz="0" w:space="0" w:color="auto"/>
        <w:left w:val="none" w:sz="0" w:space="0" w:color="auto"/>
        <w:bottom w:val="none" w:sz="0" w:space="0" w:color="auto"/>
        <w:right w:val="none" w:sz="0" w:space="0" w:color="auto"/>
      </w:divBdr>
    </w:div>
    <w:div w:id="326521107">
      <w:bodyDiv w:val="1"/>
      <w:marLeft w:val="0"/>
      <w:marRight w:val="0"/>
      <w:marTop w:val="0"/>
      <w:marBottom w:val="0"/>
      <w:divBdr>
        <w:top w:val="none" w:sz="0" w:space="0" w:color="auto"/>
        <w:left w:val="none" w:sz="0" w:space="0" w:color="auto"/>
        <w:bottom w:val="none" w:sz="0" w:space="0" w:color="auto"/>
        <w:right w:val="none" w:sz="0" w:space="0" w:color="auto"/>
      </w:divBdr>
    </w:div>
    <w:div w:id="536478710">
      <w:bodyDiv w:val="1"/>
      <w:marLeft w:val="0"/>
      <w:marRight w:val="0"/>
      <w:marTop w:val="0"/>
      <w:marBottom w:val="0"/>
      <w:divBdr>
        <w:top w:val="none" w:sz="0" w:space="0" w:color="auto"/>
        <w:left w:val="none" w:sz="0" w:space="0" w:color="auto"/>
        <w:bottom w:val="none" w:sz="0" w:space="0" w:color="auto"/>
        <w:right w:val="none" w:sz="0" w:space="0" w:color="auto"/>
      </w:divBdr>
    </w:div>
    <w:div w:id="639849683">
      <w:bodyDiv w:val="1"/>
      <w:marLeft w:val="0"/>
      <w:marRight w:val="0"/>
      <w:marTop w:val="0"/>
      <w:marBottom w:val="0"/>
      <w:divBdr>
        <w:top w:val="none" w:sz="0" w:space="0" w:color="auto"/>
        <w:left w:val="none" w:sz="0" w:space="0" w:color="auto"/>
        <w:bottom w:val="none" w:sz="0" w:space="0" w:color="auto"/>
        <w:right w:val="none" w:sz="0" w:space="0" w:color="auto"/>
      </w:divBdr>
    </w:div>
    <w:div w:id="738746497">
      <w:bodyDiv w:val="1"/>
      <w:marLeft w:val="0"/>
      <w:marRight w:val="0"/>
      <w:marTop w:val="0"/>
      <w:marBottom w:val="0"/>
      <w:divBdr>
        <w:top w:val="none" w:sz="0" w:space="0" w:color="auto"/>
        <w:left w:val="none" w:sz="0" w:space="0" w:color="auto"/>
        <w:bottom w:val="none" w:sz="0" w:space="0" w:color="auto"/>
        <w:right w:val="none" w:sz="0" w:space="0" w:color="auto"/>
      </w:divBdr>
    </w:div>
    <w:div w:id="881088819">
      <w:bodyDiv w:val="1"/>
      <w:marLeft w:val="0"/>
      <w:marRight w:val="0"/>
      <w:marTop w:val="0"/>
      <w:marBottom w:val="0"/>
      <w:divBdr>
        <w:top w:val="none" w:sz="0" w:space="0" w:color="auto"/>
        <w:left w:val="none" w:sz="0" w:space="0" w:color="auto"/>
        <w:bottom w:val="none" w:sz="0" w:space="0" w:color="auto"/>
        <w:right w:val="none" w:sz="0" w:space="0" w:color="auto"/>
      </w:divBdr>
    </w:div>
    <w:div w:id="1698197720">
      <w:bodyDiv w:val="1"/>
      <w:marLeft w:val="0"/>
      <w:marRight w:val="0"/>
      <w:marTop w:val="0"/>
      <w:marBottom w:val="0"/>
      <w:divBdr>
        <w:top w:val="none" w:sz="0" w:space="0" w:color="auto"/>
        <w:left w:val="none" w:sz="0" w:space="0" w:color="auto"/>
        <w:bottom w:val="none" w:sz="0" w:space="0" w:color="auto"/>
        <w:right w:val="none" w:sz="0" w:space="0" w:color="auto"/>
      </w:divBdr>
    </w:div>
    <w:div w:id="1982810597">
      <w:bodyDiv w:val="1"/>
      <w:marLeft w:val="0"/>
      <w:marRight w:val="0"/>
      <w:marTop w:val="0"/>
      <w:marBottom w:val="0"/>
      <w:divBdr>
        <w:top w:val="none" w:sz="0" w:space="0" w:color="auto"/>
        <w:left w:val="none" w:sz="0" w:space="0" w:color="auto"/>
        <w:bottom w:val="none" w:sz="0" w:space="0" w:color="auto"/>
        <w:right w:val="none" w:sz="0" w:space="0" w:color="auto"/>
      </w:divBdr>
    </w:div>
    <w:div w:id="198878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7152F-1C33-4595-A0D3-535C43B54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334FC9B2.dotm</Template>
  <TotalTime>0</TotalTime>
  <Pages>24</Pages>
  <Words>36596</Words>
  <Characters>208598</Characters>
  <Application>Microsoft Office Word</Application>
  <DocSecurity>0</DocSecurity>
  <Lines>1738</Lines>
  <Paragraphs>489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2016-04-28T19:23:00Z</cp:lastPrinted>
  <dcterms:created xsi:type="dcterms:W3CDTF">2016-05-13T13:38:00Z</dcterms:created>
  <dcterms:modified xsi:type="dcterms:W3CDTF">2016-05-13T13:38:00Z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james.lomas@york.ac.uk@www.mendeley.com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