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F4DBE" w14:textId="77777777" w:rsidR="0088621A" w:rsidRDefault="0088621A" w:rsidP="004A4664">
      <w:pPr>
        <w:spacing w:after="0" w:line="240" w:lineRule="auto"/>
        <w:rPr>
          <w:b/>
          <w:sz w:val="24"/>
          <w:szCs w:val="24"/>
          <w:lang w:val="en-GB"/>
        </w:rPr>
      </w:pPr>
      <w:bookmarkStart w:id="0" w:name="_GoBack"/>
      <w:bookmarkEnd w:id="0"/>
    </w:p>
    <w:p w14:paraId="136336FB" w14:textId="3C7BD3A5" w:rsidR="004A4664" w:rsidRPr="003666D2" w:rsidRDefault="005E3569" w:rsidP="004A4664">
      <w:pPr>
        <w:spacing w:after="0" w:line="240" w:lineRule="auto"/>
        <w:rPr>
          <w:b/>
          <w:sz w:val="24"/>
          <w:szCs w:val="24"/>
          <w:lang w:val="en-GB"/>
        </w:rPr>
      </w:pPr>
      <w:r>
        <w:rPr>
          <w:b/>
          <w:sz w:val="24"/>
          <w:szCs w:val="24"/>
          <w:lang w:val="en-GB"/>
        </w:rPr>
        <w:t xml:space="preserve">New horizons: </w:t>
      </w:r>
      <w:r w:rsidR="00B503EF" w:rsidRPr="003666D2">
        <w:rPr>
          <w:b/>
          <w:sz w:val="24"/>
          <w:szCs w:val="24"/>
          <w:lang w:val="en-GB"/>
        </w:rPr>
        <w:t>Reablement - supporting older people towards independence</w:t>
      </w:r>
    </w:p>
    <w:p w14:paraId="6040F0FB" w14:textId="77777777" w:rsidR="0054523C" w:rsidRPr="000333A1" w:rsidRDefault="0054523C" w:rsidP="004A4664">
      <w:pPr>
        <w:spacing w:after="0" w:line="240" w:lineRule="auto"/>
        <w:rPr>
          <w:b/>
          <w:lang w:val="en-GB"/>
        </w:rPr>
      </w:pPr>
    </w:p>
    <w:p w14:paraId="0686334E" w14:textId="77777777" w:rsidR="000333A1" w:rsidRDefault="000333A1" w:rsidP="004A4664">
      <w:pPr>
        <w:spacing w:after="0" w:line="240" w:lineRule="auto"/>
        <w:rPr>
          <w:lang w:val="en-GB"/>
        </w:rPr>
      </w:pPr>
    </w:p>
    <w:p w14:paraId="656AF7D9" w14:textId="1B95B5F1" w:rsidR="000333A1" w:rsidRDefault="003666D2" w:rsidP="004A4664">
      <w:pPr>
        <w:spacing w:after="0" w:line="240" w:lineRule="auto"/>
        <w:rPr>
          <w:lang w:val="en-GB"/>
        </w:rPr>
      </w:pPr>
      <w:r>
        <w:rPr>
          <w:lang w:val="en-GB"/>
        </w:rPr>
        <w:t xml:space="preserve">Aspinal </w:t>
      </w:r>
      <w:r w:rsidR="003B75CA">
        <w:rPr>
          <w:lang w:val="en-GB"/>
        </w:rPr>
        <w:t>F.</w:t>
      </w:r>
      <w:r>
        <w:rPr>
          <w:lang w:val="en-GB"/>
        </w:rPr>
        <w:t>, Glasby J</w:t>
      </w:r>
      <w:r w:rsidR="003B75CA">
        <w:rPr>
          <w:lang w:val="en-GB"/>
        </w:rPr>
        <w:t>.</w:t>
      </w:r>
      <w:r>
        <w:rPr>
          <w:lang w:val="en-GB"/>
        </w:rPr>
        <w:t>, Rostgaard T</w:t>
      </w:r>
      <w:r w:rsidR="003B75CA">
        <w:rPr>
          <w:lang w:val="en-GB"/>
        </w:rPr>
        <w:t>.</w:t>
      </w:r>
      <w:r>
        <w:rPr>
          <w:lang w:val="en-GB"/>
        </w:rPr>
        <w:t>, Tuntland H, Westendorp R</w:t>
      </w:r>
      <w:r w:rsidR="003B75CA">
        <w:rPr>
          <w:lang w:val="en-GB"/>
        </w:rPr>
        <w:t>.</w:t>
      </w:r>
      <w:r>
        <w:rPr>
          <w:lang w:val="en-GB"/>
        </w:rPr>
        <w:t>G.</w:t>
      </w:r>
    </w:p>
    <w:p w14:paraId="53B328BB" w14:textId="77777777" w:rsidR="000333A1" w:rsidRDefault="000333A1" w:rsidP="004A4664">
      <w:pPr>
        <w:spacing w:after="0" w:line="240" w:lineRule="auto"/>
        <w:rPr>
          <w:lang w:val="en-GB"/>
        </w:rPr>
      </w:pPr>
    </w:p>
    <w:p w14:paraId="1B2E732A" w14:textId="77777777" w:rsidR="000333A1" w:rsidRDefault="000333A1" w:rsidP="004A4664">
      <w:pPr>
        <w:spacing w:after="0" w:line="240" w:lineRule="auto"/>
        <w:rPr>
          <w:lang w:val="en-GB"/>
        </w:rPr>
      </w:pPr>
    </w:p>
    <w:p w14:paraId="346A14B7" w14:textId="77777777" w:rsidR="000333A1" w:rsidRDefault="000333A1" w:rsidP="003666D2">
      <w:pPr>
        <w:spacing w:after="0" w:line="360" w:lineRule="auto"/>
        <w:rPr>
          <w:lang w:val="en-GB"/>
        </w:rPr>
      </w:pPr>
    </w:p>
    <w:p w14:paraId="64A99149" w14:textId="77777777" w:rsidR="000333A1" w:rsidRDefault="000333A1" w:rsidP="003666D2">
      <w:pPr>
        <w:spacing w:after="0" w:line="360" w:lineRule="auto"/>
        <w:rPr>
          <w:lang w:val="en-GB"/>
        </w:rPr>
      </w:pPr>
    </w:p>
    <w:p w14:paraId="5D944F7E" w14:textId="344D8F51" w:rsidR="0088621A" w:rsidRPr="00B143E3" w:rsidRDefault="004A4664" w:rsidP="0088621A">
      <w:pPr>
        <w:rPr>
          <w:lang w:val="en-US"/>
        </w:rPr>
      </w:pPr>
      <w:r w:rsidRPr="0088621A">
        <w:t>Dr Fiona Aspinal</w:t>
      </w:r>
      <w:r w:rsidR="009A66C5" w:rsidRPr="0088621A">
        <w:t>*</w:t>
      </w:r>
      <w:r w:rsidRPr="0088621A">
        <w:t xml:space="preserve">, </w:t>
      </w:r>
      <w:r w:rsidR="00B503EF" w:rsidRPr="0088621A">
        <w:t>Social Policy Research Unit, University of York, Heslington, York, YO10 5DD</w:t>
      </w:r>
      <w:r w:rsidR="000333A1" w:rsidRPr="0088621A">
        <w:t>, UK.</w:t>
      </w:r>
      <w:r w:rsidR="00B21350" w:rsidRPr="0088621A">
        <w:t xml:space="preserve"> </w:t>
      </w:r>
      <w:r w:rsidR="00B21350" w:rsidRPr="00B143E3">
        <w:rPr>
          <w:lang w:val="en-US"/>
        </w:rPr>
        <w:t xml:space="preserve">Email: </w:t>
      </w:r>
      <w:hyperlink r:id="rId9" w:history="1">
        <w:r w:rsidR="0088621A" w:rsidRPr="00B143E3">
          <w:rPr>
            <w:lang w:val="en-US"/>
          </w:rPr>
          <w:t>Fiona.aspinal@york.ac.uk</w:t>
        </w:r>
      </w:hyperlink>
    </w:p>
    <w:p w14:paraId="595DA262" w14:textId="065AA50B" w:rsidR="0088621A" w:rsidRPr="00B143E3" w:rsidRDefault="00F71F97" w:rsidP="0088621A">
      <w:pPr>
        <w:rPr>
          <w:lang w:val="en-US"/>
        </w:rPr>
      </w:pPr>
      <w:r w:rsidRPr="003B75CA">
        <w:rPr>
          <w:lang w:val="en-US"/>
        </w:rPr>
        <w:t xml:space="preserve">Prof Dr </w:t>
      </w:r>
      <w:r w:rsidR="004A4664" w:rsidRPr="003B75CA">
        <w:rPr>
          <w:lang w:val="en-US"/>
        </w:rPr>
        <w:t>Jon Glasby</w:t>
      </w:r>
      <w:r w:rsidR="008C22F6" w:rsidRPr="003B75CA">
        <w:rPr>
          <w:lang w:val="en-US"/>
        </w:rPr>
        <w:t>, School of Social Policy, Muirhead Tower, Room 829, University of Birmingham, Edgbaston, Birmingham, B15 2TT</w:t>
      </w:r>
      <w:r w:rsidR="000333A1" w:rsidRPr="003B75CA">
        <w:rPr>
          <w:lang w:val="en-US"/>
        </w:rPr>
        <w:t>, UK</w:t>
      </w:r>
      <w:r w:rsidR="008C22F6" w:rsidRPr="003B75CA">
        <w:rPr>
          <w:lang w:val="en-US"/>
        </w:rPr>
        <w:t xml:space="preserve">. </w:t>
      </w:r>
      <w:r w:rsidR="000333A1" w:rsidRPr="00B143E3">
        <w:rPr>
          <w:lang w:val="en-US"/>
        </w:rPr>
        <w:t xml:space="preserve">Email: </w:t>
      </w:r>
      <w:hyperlink r:id="rId10" w:tgtFrame="_blank" w:history="1">
        <w:r w:rsidR="008C22F6" w:rsidRPr="00B143E3">
          <w:rPr>
            <w:lang w:val="en-US"/>
          </w:rPr>
          <w:t>J.Glasby@bham.ac.uk</w:t>
        </w:r>
      </w:hyperlink>
    </w:p>
    <w:p w14:paraId="405242CB" w14:textId="5E7A4D2B" w:rsidR="00F71F97" w:rsidRPr="00B143E3" w:rsidRDefault="009A66C5" w:rsidP="0088621A">
      <w:pPr>
        <w:rPr>
          <w:lang w:val="en-US"/>
        </w:rPr>
      </w:pPr>
      <w:r w:rsidRPr="00B143E3">
        <w:rPr>
          <w:lang w:val="en-US"/>
        </w:rPr>
        <w:t xml:space="preserve">Prof dr </w:t>
      </w:r>
      <w:r w:rsidR="004A4664" w:rsidRPr="00B143E3">
        <w:rPr>
          <w:lang w:val="en-US"/>
        </w:rPr>
        <w:t>Tine Rostgaard</w:t>
      </w:r>
      <w:r w:rsidR="00F71F97" w:rsidRPr="00B143E3">
        <w:rPr>
          <w:lang w:val="en-US"/>
        </w:rPr>
        <w:t xml:space="preserve">, </w:t>
      </w:r>
      <w:r w:rsidR="003B75CA">
        <w:rPr>
          <w:lang w:val="en-US"/>
        </w:rPr>
        <w:t xml:space="preserve">KORA - </w:t>
      </w:r>
      <w:r w:rsidR="00F71F97" w:rsidRPr="00B143E3">
        <w:rPr>
          <w:lang w:val="en-US"/>
        </w:rPr>
        <w:t>Danish Institute for Local and Regional Government Research</w:t>
      </w:r>
      <w:r w:rsidR="003B75CA">
        <w:rPr>
          <w:lang w:val="en-US"/>
        </w:rPr>
        <w:t>,</w:t>
      </w:r>
      <w:r w:rsidR="00F71F97" w:rsidRPr="00B143E3">
        <w:rPr>
          <w:lang w:val="en-US"/>
        </w:rPr>
        <w:t xml:space="preserve"> Købmagergade 22, 1150 København K, </w:t>
      </w:r>
      <w:r w:rsidR="000333A1" w:rsidRPr="00B143E3">
        <w:rPr>
          <w:lang w:val="en-US"/>
        </w:rPr>
        <w:t>Denmark. Email: tiro@kora.dk</w:t>
      </w:r>
    </w:p>
    <w:p w14:paraId="29D8E8D9" w14:textId="0C800DD5" w:rsidR="004A4664" w:rsidRPr="0088621A" w:rsidRDefault="00F71F97" w:rsidP="0088621A">
      <w:r w:rsidRPr="00B143E3">
        <w:rPr>
          <w:lang w:val="en-US"/>
        </w:rPr>
        <w:t>Dr</w:t>
      </w:r>
      <w:r w:rsidR="00757334" w:rsidRPr="00B143E3">
        <w:rPr>
          <w:lang w:val="en-US"/>
        </w:rPr>
        <w:t xml:space="preserve"> </w:t>
      </w:r>
      <w:r w:rsidR="004A4664" w:rsidRPr="00B143E3">
        <w:rPr>
          <w:lang w:val="en-US"/>
        </w:rPr>
        <w:t>Hanne Tuntland</w:t>
      </w:r>
      <w:r w:rsidR="00757334" w:rsidRPr="00B143E3">
        <w:rPr>
          <w:lang w:val="en-US"/>
        </w:rPr>
        <w:t>, Bergen University College, Centre for Care Research Western Norway and Department of Occ</w:t>
      </w:r>
      <w:r w:rsidR="00757334" w:rsidRPr="0088621A">
        <w:t>upational Therapy, Physiotherapy and Radiography, P.O.Box 7030, 5</w:t>
      </w:r>
      <w:r w:rsidR="000333A1" w:rsidRPr="0088621A">
        <w:t xml:space="preserve">020 Bergen, Norway. </w:t>
      </w:r>
      <w:r w:rsidR="00757334" w:rsidRPr="0088621A">
        <w:t>Email: htu@hib.no</w:t>
      </w:r>
    </w:p>
    <w:p w14:paraId="0169A6AD" w14:textId="782B684F" w:rsidR="004A4664" w:rsidRPr="0088621A" w:rsidRDefault="009A66C5" w:rsidP="0088621A">
      <w:r w:rsidRPr="0088621A">
        <w:t xml:space="preserve">Prof dr </w:t>
      </w:r>
      <w:r w:rsidR="004A4664" w:rsidRPr="0088621A">
        <w:t xml:space="preserve">Rudi </w:t>
      </w:r>
      <w:r w:rsidR="000333A1" w:rsidRPr="0088621A">
        <w:t xml:space="preserve">GJ </w:t>
      </w:r>
      <w:r w:rsidR="004A4664" w:rsidRPr="0088621A">
        <w:t>Westendorp</w:t>
      </w:r>
      <w:r w:rsidR="000333A1" w:rsidRPr="0088621A">
        <w:t>, Dep</w:t>
      </w:r>
      <w:r w:rsidR="0088621A">
        <w:t>artment</w:t>
      </w:r>
      <w:r w:rsidR="000333A1" w:rsidRPr="0088621A">
        <w:t xml:space="preserve"> of public Health and Center for Healthy Aging, University of Copenhagen, Gothersgade 160, 1123 Copenhagen K, Denmark. Email: westendorp@Sund.KU.DK</w:t>
      </w:r>
    </w:p>
    <w:p w14:paraId="4D2BE628" w14:textId="77777777" w:rsidR="004A4664" w:rsidRPr="000333A1" w:rsidRDefault="004A4664" w:rsidP="003666D2">
      <w:pPr>
        <w:spacing w:after="0" w:line="360" w:lineRule="auto"/>
        <w:rPr>
          <w:lang w:val="en-GB"/>
        </w:rPr>
      </w:pPr>
    </w:p>
    <w:p w14:paraId="282965EC" w14:textId="77777777" w:rsidR="00B503EF" w:rsidRPr="000333A1" w:rsidRDefault="004A4664" w:rsidP="003666D2">
      <w:pPr>
        <w:spacing w:after="0" w:line="360" w:lineRule="auto"/>
        <w:rPr>
          <w:i/>
          <w:lang w:val="en-GB"/>
        </w:rPr>
      </w:pPr>
      <w:r w:rsidRPr="000333A1">
        <w:rPr>
          <w:i/>
          <w:lang w:val="en-GB"/>
        </w:rPr>
        <w:t>*</w:t>
      </w:r>
      <w:r w:rsidR="00B503EF" w:rsidRPr="000333A1">
        <w:rPr>
          <w:i/>
          <w:lang w:val="en-GB"/>
        </w:rPr>
        <w:t>Corresponding author</w:t>
      </w:r>
    </w:p>
    <w:p w14:paraId="5737E86C" w14:textId="77777777" w:rsidR="004A4664" w:rsidRPr="000333A1" w:rsidRDefault="004A4664" w:rsidP="004A4664">
      <w:pPr>
        <w:spacing w:after="0" w:line="240" w:lineRule="auto"/>
        <w:rPr>
          <w:i/>
          <w:lang w:val="en-GB"/>
        </w:rPr>
      </w:pPr>
    </w:p>
    <w:p w14:paraId="111376F7" w14:textId="77777777" w:rsidR="003666D2" w:rsidRDefault="003666D2" w:rsidP="004A4664">
      <w:pPr>
        <w:spacing w:after="0" w:line="240" w:lineRule="auto"/>
        <w:rPr>
          <w:b/>
          <w:lang w:val="en-GB"/>
        </w:rPr>
      </w:pPr>
    </w:p>
    <w:p w14:paraId="2BE7F89F" w14:textId="77777777" w:rsidR="003666D2" w:rsidRDefault="003666D2">
      <w:pPr>
        <w:rPr>
          <w:b/>
          <w:lang w:val="en-GB"/>
        </w:rPr>
      </w:pPr>
      <w:r>
        <w:rPr>
          <w:b/>
          <w:lang w:val="en-GB"/>
        </w:rPr>
        <w:br w:type="page"/>
      </w:r>
    </w:p>
    <w:p w14:paraId="16DC6156" w14:textId="32C78938" w:rsidR="004A4664" w:rsidRPr="000333A1" w:rsidRDefault="004A4664" w:rsidP="004A4664">
      <w:pPr>
        <w:spacing w:after="0" w:line="240" w:lineRule="auto"/>
        <w:rPr>
          <w:lang w:val="en-GB"/>
        </w:rPr>
      </w:pPr>
      <w:r w:rsidRPr="000333A1">
        <w:rPr>
          <w:b/>
          <w:lang w:val="en-GB"/>
        </w:rPr>
        <w:lastRenderedPageBreak/>
        <w:t>Running title</w:t>
      </w:r>
      <w:r w:rsidRPr="000333A1">
        <w:rPr>
          <w:lang w:val="en-GB"/>
        </w:rPr>
        <w:t>: Reablement, older people and independence</w:t>
      </w:r>
    </w:p>
    <w:p w14:paraId="1F8EDB83" w14:textId="77777777" w:rsidR="004A4664" w:rsidRPr="000333A1" w:rsidRDefault="004A4664" w:rsidP="004A4664">
      <w:pPr>
        <w:spacing w:after="0" w:line="240" w:lineRule="auto"/>
        <w:rPr>
          <w:i/>
          <w:lang w:val="en-GB"/>
        </w:rPr>
      </w:pPr>
    </w:p>
    <w:p w14:paraId="10D0320B" w14:textId="77777777" w:rsidR="003666D2" w:rsidRDefault="003666D2" w:rsidP="003666D2">
      <w:pPr>
        <w:spacing w:after="0" w:line="240" w:lineRule="auto"/>
        <w:rPr>
          <w:b/>
          <w:lang w:val="en-GB"/>
        </w:rPr>
      </w:pPr>
    </w:p>
    <w:p w14:paraId="6A2AA4F8" w14:textId="27A16D32" w:rsidR="00057A1D" w:rsidRPr="000333A1" w:rsidRDefault="00C83EEC" w:rsidP="003666D2">
      <w:pPr>
        <w:spacing w:after="0" w:line="240" w:lineRule="auto"/>
        <w:rPr>
          <w:b/>
          <w:lang w:val="en-GB"/>
        </w:rPr>
      </w:pPr>
      <w:r w:rsidRPr="000333A1">
        <w:rPr>
          <w:b/>
          <w:lang w:val="en-GB"/>
        </w:rPr>
        <w:t>Key</w:t>
      </w:r>
      <w:r w:rsidR="004A4664" w:rsidRPr="000333A1">
        <w:rPr>
          <w:b/>
          <w:lang w:val="en-GB"/>
        </w:rPr>
        <w:t xml:space="preserve"> </w:t>
      </w:r>
      <w:r w:rsidRPr="000333A1">
        <w:rPr>
          <w:b/>
          <w:lang w:val="en-GB"/>
        </w:rPr>
        <w:t>words</w:t>
      </w:r>
      <w:r w:rsidR="00CF4672" w:rsidRPr="000333A1">
        <w:rPr>
          <w:b/>
          <w:lang w:val="en-GB"/>
        </w:rPr>
        <w:t xml:space="preserve">: </w:t>
      </w:r>
      <w:r w:rsidR="00057A1D" w:rsidRPr="000333A1">
        <w:rPr>
          <w:lang w:val="en-GB"/>
        </w:rPr>
        <w:t xml:space="preserve">restorative care, </w:t>
      </w:r>
      <w:r w:rsidRPr="000333A1">
        <w:rPr>
          <w:lang w:val="en-GB"/>
        </w:rPr>
        <w:t xml:space="preserve">older people, independence, </w:t>
      </w:r>
      <w:r w:rsidR="00057A1D" w:rsidRPr="000333A1">
        <w:rPr>
          <w:lang w:val="en-GB"/>
        </w:rPr>
        <w:t>goal-oriented</w:t>
      </w:r>
      <w:r w:rsidR="00757334" w:rsidRPr="000333A1">
        <w:rPr>
          <w:lang w:val="en-GB"/>
        </w:rPr>
        <w:t>, home-based rehabilitation</w:t>
      </w:r>
    </w:p>
    <w:p w14:paraId="76E6D6ED" w14:textId="77777777" w:rsidR="003666D2" w:rsidRDefault="003666D2" w:rsidP="004A4664">
      <w:pPr>
        <w:spacing w:after="0" w:line="480" w:lineRule="auto"/>
        <w:rPr>
          <w:b/>
          <w:lang w:val="en-GB"/>
        </w:rPr>
      </w:pPr>
    </w:p>
    <w:p w14:paraId="1F75AE4B" w14:textId="77777777" w:rsidR="00B503EF" w:rsidRPr="000333A1" w:rsidRDefault="00B503EF" w:rsidP="004A4664">
      <w:pPr>
        <w:spacing w:after="0" w:line="480" w:lineRule="auto"/>
        <w:rPr>
          <w:lang w:val="en-GB"/>
        </w:rPr>
      </w:pPr>
      <w:r w:rsidRPr="000333A1">
        <w:rPr>
          <w:b/>
          <w:lang w:val="en-GB"/>
        </w:rPr>
        <w:t>Key</w:t>
      </w:r>
      <w:r w:rsidR="004A4664" w:rsidRPr="000333A1">
        <w:rPr>
          <w:b/>
          <w:lang w:val="en-GB"/>
        </w:rPr>
        <w:t xml:space="preserve"> </w:t>
      </w:r>
      <w:r w:rsidRPr="000333A1">
        <w:rPr>
          <w:b/>
          <w:lang w:val="en-GB"/>
        </w:rPr>
        <w:t>points</w:t>
      </w:r>
      <w:r w:rsidRPr="000333A1">
        <w:rPr>
          <w:lang w:val="en-GB"/>
        </w:rPr>
        <w:t>:</w:t>
      </w:r>
      <w:r w:rsidR="00151E7B" w:rsidRPr="000333A1">
        <w:rPr>
          <w:lang w:val="en-GB"/>
        </w:rPr>
        <w:t xml:space="preserve"> </w:t>
      </w:r>
    </w:p>
    <w:p w14:paraId="00AC44A0" w14:textId="69279DB9" w:rsidR="00EA5CE0" w:rsidRDefault="0054523C" w:rsidP="003B75CA">
      <w:pPr>
        <w:pStyle w:val="ListParagraph"/>
        <w:numPr>
          <w:ilvl w:val="0"/>
          <w:numId w:val="5"/>
        </w:numPr>
        <w:spacing w:after="0" w:line="480" w:lineRule="auto"/>
        <w:rPr>
          <w:lang w:val="en-GB"/>
        </w:rPr>
      </w:pPr>
      <w:r w:rsidRPr="000333A1">
        <w:rPr>
          <w:lang w:val="en-GB"/>
        </w:rPr>
        <w:t>Polic</w:t>
      </w:r>
      <w:r w:rsidR="003B75CA">
        <w:rPr>
          <w:lang w:val="en-GB"/>
        </w:rPr>
        <w:t>ies</w:t>
      </w:r>
      <w:r w:rsidRPr="000333A1">
        <w:rPr>
          <w:lang w:val="en-GB"/>
        </w:rPr>
        <w:t xml:space="preserve"> in many countries are increasingly promoting </w:t>
      </w:r>
      <w:r w:rsidR="003B75CA" w:rsidRPr="003B75CA">
        <w:rPr>
          <w:lang w:val="en-GB"/>
        </w:rPr>
        <w:t xml:space="preserve">short and intensive </w:t>
      </w:r>
      <w:r w:rsidRPr="000333A1">
        <w:rPr>
          <w:lang w:val="en-GB"/>
        </w:rPr>
        <w:t>r</w:t>
      </w:r>
      <w:r w:rsidR="00584DB2" w:rsidRPr="000333A1">
        <w:rPr>
          <w:lang w:val="en-GB"/>
        </w:rPr>
        <w:t xml:space="preserve">eablement </w:t>
      </w:r>
      <w:r w:rsidRPr="000333A1">
        <w:rPr>
          <w:lang w:val="en-GB"/>
        </w:rPr>
        <w:t>services</w:t>
      </w:r>
      <w:r w:rsidR="00D42CE5">
        <w:rPr>
          <w:lang w:val="en-GB"/>
        </w:rPr>
        <w:t xml:space="preserve"> to replace </w:t>
      </w:r>
      <w:r w:rsidR="003B75CA">
        <w:rPr>
          <w:lang w:val="en-GB"/>
        </w:rPr>
        <w:t xml:space="preserve">conventional </w:t>
      </w:r>
      <w:r w:rsidR="00D42CE5">
        <w:rPr>
          <w:lang w:val="en-GB"/>
        </w:rPr>
        <w:t>care provision</w:t>
      </w:r>
      <w:r w:rsidR="003B75CA">
        <w:rPr>
          <w:lang w:val="en-GB"/>
        </w:rPr>
        <w:t xml:space="preserve"> which is often long-term or even permanent</w:t>
      </w:r>
      <w:r w:rsidR="0088621A">
        <w:rPr>
          <w:lang w:val="en-GB"/>
        </w:rPr>
        <w:t>;</w:t>
      </w:r>
    </w:p>
    <w:p w14:paraId="6EE66ED8" w14:textId="77777777" w:rsidR="003B75CA" w:rsidRPr="00B143E3" w:rsidRDefault="0088621A" w:rsidP="003B75CA">
      <w:pPr>
        <w:pStyle w:val="ListParagraph"/>
        <w:numPr>
          <w:ilvl w:val="0"/>
          <w:numId w:val="5"/>
        </w:numPr>
        <w:spacing w:after="0" w:line="480" w:lineRule="auto"/>
        <w:rPr>
          <w:lang w:val="en-GB"/>
        </w:rPr>
      </w:pPr>
      <w:r>
        <w:rPr>
          <w:lang w:val="en-GB"/>
        </w:rPr>
        <w:t xml:space="preserve">Reablement is an individualized </w:t>
      </w:r>
      <w:r w:rsidRPr="0088621A">
        <w:rPr>
          <w:lang w:val="en-GB"/>
        </w:rPr>
        <w:t>care provision</w:t>
      </w:r>
      <w:r>
        <w:rPr>
          <w:lang w:val="en-GB"/>
        </w:rPr>
        <w:t xml:space="preserve"> supporting independent living;</w:t>
      </w:r>
      <w:r w:rsidR="003B75CA" w:rsidRPr="00B143E3">
        <w:rPr>
          <w:lang w:val="en-US"/>
        </w:rPr>
        <w:t xml:space="preserve"> </w:t>
      </w:r>
    </w:p>
    <w:p w14:paraId="202145F7" w14:textId="0E277177" w:rsidR="0088621A" w:rsidRPr="000333A1" w:rsidRDefault="003B75CA" w:rsidP="003B75CA">
      <w:pPr>
        <w:pStyle w:val="ListParagraph"/>
        <w:numPr>
          <w:ilvl w:val="0"/>
          <w:numId w:val="5"/>
        </w:numPr>
        <w:spacing w:after="0" w:line="480" w:lineRule="auto"/>
        <w:rPr>
          <w:lang w:val="en-GB"/>
        </w:rPr>
      </w:pPr>
      <w:r>
        <w:rPr>
          <w:lang w:val="en-GB"/>
        </w:rPr>
        <w:t xml:space="preserve">Focus is on to help </w:t>
      </w:r>
      <w:r w:rsidR="000A414B">
        <w:rPr>
          <w:lang w:val="en-GB"/>
        </w:rPr>
        <w:t>client</w:t>
      </w:r>
      <w:r>
        <w:rPr>
          <w:lang w:val="en-GB"/>
        </w:rPr>
        <w:t xml:space="preserve">s </w:t>
      </w:r>
      <w:r w:rsidRPr="003B75CA">
        <w:rPr>
          <w:lang w:val="en-GB"/>
        </w:rPr>
        <w:t>relearn how to do things for themselves rather than the conventional home care approach of doing things for people</w:t>
      </w:r>
    </w:p>
    <w:p w14:paraId="6BD150C7" w14:textId="38300FAA" w:rsidR="00584DB2" w:rsidRDefault="00584DB2" w:rsidP="00584DB2">
      <w:pPr>
        <w:pStyle w:val="ListParagraph"/>
        <w:numPr>
          <w:ilvl w:val="0"/>
          <w:numId w:val="5"/>
        </w:numPr>
        <w:spacing w:after="0" w:line="480" w:lineRule="auto"/>
        <w:rPr>
          <w:lang w:val="en-GB"/>
        </w:rPr>
      </w:pPr>
      <w:r w:rsidRPr="000333A1">
        <w:rPr>
          <w:lang w:val="en-GB"/>
        </w:rPr>
        <w:t>There is limited evidence about the effectiveness and cost-effectiveness of reablement</w:t>
      </w:r>
      <w:r w:rsidR="0088621A">
        <w:rPr>
          <w:lang w:val="en-GB"/>
        </w:rPr>
        <w:t>;</w:t>
      </w:r>
    </w:p>
    <w:p w14:paraId="685744D5" w14:textId="2FDAACFB" w:rsidR="0088621A" w:rsidRPr="000333A1" w:rsidRDefault="000A414B" w:rsidP="00584DB2">
      <w:pPr>
        <w:pStyle w:val="ListParagraph"/>
        <w:numPr>
          <w:ilvl w:val="0"/>
          <w:numId w:val="5"/>
        </w:numPr>
        <w:spacing w:after="0" w:line="480" w:lineRule="auto"/>
        <w:rPr>
          <w:lang w:val="en-GB"/>
        </w:rPr>
      </w:pPr>
      <w:r>
        <w:rPr>
          <w:lang w:val="en-GB"/>
        </w:rPr>
        <w:t>Yet, c</w:t>
      </w:r>
      <w:r w:rsidR="0088621A" w:rsidRPr="000333A1">
        <w:rPr>
          <w:lang w:val="en-GB"/>
        </w:rPr>
        <w:t>urrent empirical and practice evidence suggests that reablement is a promising intervention and “simply the right thing to do”</w:t>
      </w:r>
      <w:r w:rsidR="0088621A">
        <w:rPr>
          <w:lang w:val="en-GB"/>
        </w:rPr>
        <w:t>;</w:t>
      </w:r>
    </w:p>
    <w:p w14:paraId="5814CFA7" w14:textId="797E2E61" w:rsidR="00757334" w:rsidRPr="000333A1" w:rsidRDefault="00584DB2" w:rsidP="00584DB2">
      <w:pPr>
        <w:pStyle w:val="ListParagraph"/>
        <w:numPr>
          <w:ilvl w:val="0"/>
          <w:numId w:val="5"/>
        </w:numPr>
        <w:spacing w:after="0" w:line="480" w:lineRule="auto"/>
        <w:rPr>
          <w:lang w:val="en-GB"/>
        </w:rPr>
      </w:pPr>
      <w:r w:rsidRPr="000333A1">
        <w:rPr>
          <w:lang w:val="en-GB"/>
        </w:rPr>
        <w:t xml:space="preserve">Further research is needed to assess the </w:t>
      </w:r>
      <w:r w:rsidR="000A414B">
        <w:rPr>
          <w:lang w:val="en-GB"/>
        </w:rPr>
        <w:t xml:space="preserve">short- as well as </w:t>
      </w:r>
      <w:r w:rsidRPr="000333A1">
        <w:rPr>
          <w:lang w:val="en-GB"/>
        </w:rPr>
        <w:t>longer-term impacts of reablement for clients, carers, services and systems</w:t>
      </w:r>
      <w:r w:rsidR="0088621A">
        <w:rPr>
          <w:lang w:val="en-GB"/>
        </w:rPr>
        <w:t>.</w:t>
      </w:r>
    </w:p>
    <w:p w14:paraId="316F0FE9" w14:textId="77777777" w:rsidR="00EA5CE0" w:rsidRPr="000333A1" w:rsidRDefault="00EA5CE0" w:rsidP="004A4664">
      <w:pPr>
        <w:spacing w:after="0" w:line="480" w:lineRule="auto"/>
        <w:rPr>
          <w:b/>
          <w:lang w:val="en-GB"/>
        </w:rPr>
      </w:pPr>
    </w:p>
    <w:p w14:paraId="0CC23A1C" w14:textId="77777777" w:rsidR="00EA5CE0" w:rsidRPr="000333A1" w:rsidRDefault="00EA5CE0" w:rsidP="004A4664">
      <w:pPr>
        <w:spacing w:after="0" w:line="480" w:lineRule="auto"/>
        <w:rPr>
          <w:b/>
          <w:lang w:val="en-GB"/>
        </w:rPr>
      </w:pPr>
    </w:p>
    <w:p w14:paraId="24A7B5E4" w14:textId="77777777" w:rsidR="007260C7" w:rsidRDefault="007260C7">
      <w:pPr>
        <w:rPr>
          <w:rStyle w:val="Heading2Char"/>
          <w:rFonts w:asciiTheme="minorHAnsi" w:hAnsiTheme="minorHAnsi"/>
          <w:sz w:val="22"/>
          <w:szCs w:val="22"/>
          <w:lang w:val="en-GB"/>
        </w:rPr>
      </w:pPr>
      <w:r>
        <w:rPr>
          <w:rStyle w:val="Heading2Char"/>
          <w:rFonts w:asciiTheme="minorHAnsi" w:hAnsiTheme="minorHAnsi"/>
          <w:sz w:val="22"/>
          <w:szCs w:val="22"/>
          <w:lang w:val="en-GB"/>
        </w:rPr>
        <w:br w:type="page"/>
      </w:r>
    </w:p>
    <w:p w14:paraId="30DEFB95" w14:textId="766E5E78" w:rsidR="00D37B8B" w:rsidRDefault="000B4FAE" w:rsidP="00D37B8B">
      <w:pPr>
        <w:spacing w:after="0" w:line="480" w:lineRule="auto"/>
        <w:rPr>
          <w:rFonts w:cs="Arial"/>
          <w:lang w:val="en-GB"/>
        </w:rPr>
      </w:pPr>
      <w:r w:rsidRPr="000333A1">
        <w:rPr>
          <w:rStyle w:val="Heading2Char"/>
          <w:rFonts w:asciiTheme="minorHAnsi" w:hAnsiTheme="minorHAnsi"/>
          <w:sz w:val="22"/>
          <w:szCs w:val="22"/>
          <w:lang w:val="en-GB"/>
        </w:rPr>
        <w:lastRenderedPageBreak/>
        <w:t>Abstract</w:t>
      </w:r>
    </w:p>
    <w:p w14:paraId="6AAA3C73" w14:textId="25340C59" w:rsidR="00B51C16" w:rsidRPr="000333A1" w:rsidRDefault="000A414B" w:rsidP="00EC2CF4">
      <w:pPr>
        <w:spacing w:after="0" w:line="480" w:lineRule="auto"/>
        <w:rPr>
          <w:lang w:val="en-GB"/>
        </w:rPr>
      </w:pPr>
      <w:r>
        <w:rPr>
          <w:rFonts w:cs="Arial"/>
          <w:lang w:val="en-GB"/>
        </w:rPr>
        <w:t>A</w:t>
      </w:r>
      <w:r w:rsidRPr="000A414B">
        <w:rPr>
          <w:rFonts w:cs="Arial"/>
          <w:lang w:val="en-GB"/>
        </w:rPr>
        <w:t xml:space="preserve">s the overwhelming majority </w:t>
      </w:r>
      <w:r>
        <w:rPr>
          <w:rFonts w:cs="Arial"/>
          <w:lang w:val="en-GB"/>
        </w:rPr>
        <w:t xml:space="preserve">of older people </w:t>
      </w:r>
      <w:r w:rsidRPr="000A414B">
        <w:rPr>
          <w:rFonts w:cs="Arial"/>
          <w:lang w:val="en-GB"/>
        </w:rPr>
        <w:t>prefer to remain in their own homes and communities</w:t>
      </w:r>
      <w:r>
        <w:rPr>
          <w:rFonts w:cs="Arial"/>
          <w:lang w:val="en-GB"/>
        </w:rPr>
        <w:t>, i</w:t>
      </w:r>
      <w:r w:rsidR="00D37B8B" w:rsidRPr="000333A1">
        <w:rPr>
          <w:rFonts w:cs="Arial"/>
          <w:lang w:val="en-GB"/>
        </w:rPr>
        <w:t xml:space="preserve">nnovative service provisions aim to promote independence </w:t>
      </w:r>
      <w:r w:rsidR="007A428C" w:rsidRPr="007A428C">
        <w:rPr>
          <w:rFonts w:cs="Arial"/>
          <w:lang w:val="en-GB"/>
        </w:rPr>
        <w:t xml:space="preserve">of older people </w:t>
      </w:r>
      <w:r w:rsidR="00062F60">
        <w:rPr>
          <w:rFonts w:cs="Arial"/>
          <w:lang w:val="en-GB"/>
        </w:rPr>
        <w:t xml:space="preserve">despite incremental </w:t>
      </w:r>
      <w:r w:rsidR="00D42CE5">
        <w:rPr>
          <w:rFonts w:cs="Arial"/>
          <w:lang w:val="en-GB"/>
        </w:rPr>
        <w:t xml:space="preserve">age associated </w:t>
      </w:r>
      <w:r w:rsidR="00062F60">
        <w:rPr>
          <w:rFonts w:cs="Arial"/>
          <w:lang w:val="en-GB"/>
        </w:rPr>
        <w:t xml:space="preserve">frailty. </w:t>
      </w:r>
      <w:r w:rsidR="00D37B8B">
        <w:rPr>
          <w:rFonts w:cs="Arial"/>
          <w:lang w:val="en-GB"/>
        </w:rPr>
        <w:t xml:space="preserve">Reablement </w:t>
      </w:r>
      <w:r w:rsidR="00D37B8B" w:rsidRPr="000333A1">
        <w:rPr>
          <w:rFonts w:cs="Arial"/>
          <w:lang w:val="en-GB"/>
        </w:rPr>
        <w:t xml:space="preserve">is one such service intervention that is </w:t>
      </w:r>
      <w:r w:rsidR="00B51C16">
        <w:rPr>
          <w:rFonts w:cs="Arial"/>
          <w:lang w:val="en-GB"/>
        </w:rPr>
        <w:t xml:space="preserve">rapidly </w:t>
      </w:r>
      <w:r w:rsidR="00D37B8B" w:rsidRPr="000333A1">
        <w:rPr>
          <w:rFonts w:cs="Arial"/>
          <w:lang w:val="en-GB"/>
        </w:rPr>
        <w:t xml:space="preserve">being adopted across </w:t>
      </w:r>
      <w:r w:rsidR="00062F60" w:rsidRPr="000333A1">
        <w:rPr>
          <w:rFonts w:cs="Arial"/>
          <w:lang w:val="en-GB"/>
        </w:rPr>
        <w:t>high-income</w:t>
      </w:r>
      <w:r w:rsidR="00D37B8B" w:rsidRPr="000333A1">
        <w:rPr>
          <w:rFonts w:cs="Arial"/>
          <w:lang w:val="en-GB"/>
        </w:rPr>
        <w:t xml:space="preserve"> countries</w:t>
      </w:r>
      <w:r w:rsidR="00062F60">
        <w:rPr>
          <w:rFonts w:cs="Arial"/>
          <w:lang w:val="en-GB"/>
        </w:rPr>
        <w:t xml:space="preserve"> </w:t>
      </w:r>
      <w:r w:rsidR="009107A0">
        <w:rPr>
          <w:lang w:val="en-GB"/>
        </w:rPr>
        <w:t xml:space="preserve">and </w:t>
      </w:r>
      <w:r w:rsidR="00B51C16">
        <w:rPr>
          <w:lang w:val="en-GB"/>
        </w:rPr>
        <w:t xml:space="preserve">projected </w:t>
      </w:r>
      <w:r w:rsidR="009107A0">
        <w:rPr>
          <w:lang w:val="en-GB"/>
        </w:rPr>
        <w:t xml:space="preserve">to </w:t>
      </w:r>
      <w:r w:rsidR="00062F60" w:rsidRPr="00573677">
        <w:rPr>
          <w:lang w:val="en-GB"/>
        </w:rPr>
        <w:t>result in significant cost-savings in public health expenditure by decreasing premature admission to acute care settings and long term institutionalization.</w:t>
      </w:r>
      <w:r w:rsidR="00B51C16">
        <w:rPr>
          <w:rFonts w:cs="Arial"/>
          <w:lang w:val="en-GB"/>
        </w:rPr>
        <w:t xml:space="preserve"> </w:t>
      </w:r>
      <w:r w:rsidR="00B51C16" w:rsidRPr="000333A1">
        <w:rPr>
          <w:lang w:val="en-GB"/>
        </w:rPr>
        <w:t xml:space="preserve">It is a </w:t>
      </w:r>
      <w:r>
        <w:rPr>
          <w:lang w:val="en-GB"/>
        </w:rPr>
        <w:t>intensive</w:t>
      </w:r>
      <w:r w:rsidR="00B51C16" w:rsidRPr="000333A1">
        <w:rPr>
          <w:lang w:val="en-GB"/>
        </w:rPr>
        <w:t>, time-limited intervention provided in people’s homes or in community settings, often multi-disciplinary in nature</w:t>
      </w:r>
      <w:r w:rsidR="00B51C16">
        <w:rPr>
          <w:lang w:val="en-GB"/>
        </w:rPr>
        <w:t>,</w:t>
      </w:r>
      <w:r w:rsidR="00B51C16" w:rsidRPr="000333A1">
        <w:rPr>
          <w:lang w:val="en-GB"/>
        </w:rPr>
        <w:t xml:space="preserve"> focus</w:t>
      </w:r>
      <w:r w:rsidR="00B51C16">
        <w:rPr>
          <w:lang w:val="en-GB"/>
        </w:rPr>
        <w:t>sing</w:t>
      </w:r>
      <w:r w:rsidR="00B51C16" w:rsidRPr="000333A1">
        <w:rPr>
          <w:lang w:val="en-GB"/>
        </w:rPr>
        <w:t xml:space="preserve"> on supporting people to regain skills around</w:t>
      </w:r>
      <w:r w:rsidR="00B51C16">
        <w:rPr>
          <w:lang w:val="en-GB"/>
        </w:rPr>
        <w:t xml:space="preserve"> daily activities. It is </w:t>
      </w:r>
      <w:r w:rsidR="00B51C16" w:rsidRPr="000333A1">
        <w:rPr>
          <w:lang w:val="en-GB"/>
        </w:rPr>
        <w:t>goal-orientated, holistic and person-centred</w:t>
      </w:r>
      <w:r w:rsidR="00B51C16">
        <w:rPr>
          <w:lang w:val="en-GB"/>
        </w:rPr>
        <w:t xml:space="preserve"> </w:t>
      </w:r>
      <w:r w:rsidR="00B51C16" w:rsidRPr="000333A1">
        <w:rPr>
          <w:lang w:val="en-GB"/>
        </w:rPr>
        <w:t xml:space="preserve">irrespective of diagnosis, age and </w:t>
      </w:r>
      <w:r w:rsidR="00530C99">
        <w:rPr>
          <w:lang w:val="en-GB"/>
        </w:rPr>
        <w:t xml:space="preserve">individual capacities. Reablement </w:t>
      </w:r>
      <w:r w:rsidR="00530C99" w:rsidRPr="000333A1">
        <w:rPr>
          <w:lang w:val="en-GB"/>
        </w:rPr>
        <w:t xml:space="preserve">is an inclusive approach that seeks to work with all </w:t>
      </w:r>
      <w:r w:rsidR="00530C99">
        <w:rPr>
          <w:lang w:val="en-GB"/>
        </w:rPr>
        <w:t xml:space="preserve">kinds of frail </w:t>
      </w:r>
      <w:r w:rsidR="00530C99" w:rsidRPr="000333A1">
        <w:rPr>
          <w:lang w:val="en-GB"/>
        </w:rPr>
        <w:t xml:space="preserve">people </w:t>
      </w:r>
      <w:r w:rsidR="00530C99">
        <w:rPr>
          <w:lang w:val="en-GB"/>
        </w:rPr>
        <w:t xml:space="preserve">but </w:t>
      </w:r>
      <w:r w:rsidR="00B51C16" w:rsidRPr="000333A1">
        <w:rPr>
          <w:lang w:val="en-GB"/>
        </w:rPr>
        <w:t>requires skilled professionals who are willing to adapt their practise</w:t>
      </w:r>
      <w:r w:rsidR="00530C99">
        <w:rPr>
          <w:lang w:val="en-GB"/>
        </w:rPr>
        <w:t>,</w:t>
      </w:r>
      <w:r w:rsidR="00B51C16" w:rsidRPr="000333A1">
        <w:rPr>
          <w:lang w:val="en-GB"/>
        </w:rPr>
        <w:t xml:space="preserve"> as well as receptive older people, families and care staff.</w:t>
      </w:r>
      <w:r w:rsidR="00511B2D">
        <w:rPr>
          <w:lang w:val="en-GB"/>
        </w:rPr>
        <w:t xml:space="preserve"> </w:t>
      </w:r>
      <w:r w:rsidR="00511B2D" w:rsidRPr="000333A1">
        <w:rPr>
          <w:lang w:val="en-GB"/>
        </w:rPr>
        <w:t xml:space="preserve">Although reablement </w:t>
      </w:r>
      <w:r w:rsidR="00460943">
        <w:rPr>
          <w:lang w:val="en-GB"/>
        </w:rPr>
        <w:t xml:space="preserve">may just seems the right thing to do, studies on the outcomes of this knowledge-based practice </w:t>
      </w:r>
      <w:r w:rsidR="00460943" w:rsidRPr="000333A1">
        <w:rPr>
          <w:lang w:val="en-GB"/>
        </w:rPr>
        <w:t xml:space="preserve">are inconsistent, </w:t>
      </w:r>
      <w:r>
        <w:rPr>
          <w:lang w:val="en-GB"/>
        </w:rPr>
        <w:t xml:space="preserve">yet </w:t>
      </w:r>
      <w:r w:rsidR="00460943" w:rsidRPr="000333A1">
        <w:rPr>
          <w:lang w:val="en-GB"/>
        </w:rPr>
        <w:t xml:space="preserve">there is an emerging evidence </w:t>
      </w:r>
      <w:r>
        <w:rPr>
          <w:lang w:val="en-GB"/>
        </w:rPr>
        <w:t xml:space="preserve">and practise </w:t>
      </w:r>
      <w:r w:rsidR="00460943" w:rsidRPr="000333A1">
        <w:rPr>
          <w:lang w:val="en-GB"/>
        </w:rPr>
        <w:t xml:space="preserve">base supporting that </w:t>
      </w:r>
      <w:r w:rsidR="00530C99">
        <w:rPr>
          <w:lang w:val="en-GB"/>
        </w:rPr>
        <w:t xml:space="preserve">this provision </w:t>
      </w:r>
      <w:r w:rsidR="00460943" w:rsidRPr="000333A1">
        <w:rPr>
          <w:lang w:val="en-GB"/>
        </w:rPr>
        <w:t>improves performance in daily activities.</w:t>
      </w:r>
      <w:r w:rsidR="00460943">
        <w:rPr>
          <w:lang w:val="en-GB"/>
        </w:rPr>
        <w:t xml:space="preserve"> </w:t>
      </w:r>
      <w:r w:rsidR="00530C99">
        <w:rPr>
          <w:lang w:val="en-GB"/>
        </w:rPr>
        <w:t>This innovative</w:t>
      </w:r>
      <w:r w:rsidR="00523691">
        <w:rPr>
          <w:lang w:val="en-GB"/>
        </w:rPr>
        <w:t xml:space="preserve"> service </w:t>
      </w:r>
      <w:r w:rsidR="00530C99">
        <w:rPr>
          <w:lang w:val="en-GB"/>
        </w:rPr>
        <w:t xml:space="preserve">however </w:t>
      </w:r>
      <w:r w:rsidR="00523691">
        <w:rPr>
          <w:lang w:val="en-GB"/>
        </w:rPr>
        <w:t xml:space="preserve">may lead to hidden side effects such as social isolation and a paradoxical increase </w:t>
      </w:r>
      <w:r w:rsidR="00B06E90">
        <w:rPr>
          <w:lang w:val="en-GB"/>
        </w:rPr>
        <w:t xml:space="preserve">in hospital admissions. </w:t>
      </w:r>
      <w:r w:rsidR="00530C99">
        <w:rPr>
          <w:lang w:val="en-GB"/>
        </w:rPr>
        <w:t xml:space="preserve">Some of the necessary </w:t>
      </w:r>
      <w:r w:rsidR="00B06E90">
        <w:rPr>
          <w:lang w:val="en-GB"/>
        </w:rPr>
        <w:t xml:space="preserve">evaluative </w:t>
      </w:r>
      <w:r w:rsidR="00460943" w:rsidRPr="000333A1">
        <w:rPr>
          <w:lang w:val="en-GB"/>
        </w:rPr>
        <w:t>research is already underway, the results of which will help fill some of</w:t>
      </w:r>
      <w:r w:rsidR="00B06E90">
        <w:rPr>
          <w:lang w:val="en-GB"/>
        </w:rPr>
        <w:t xml:space="preserve"> the evidence gaps outlined here</w:t>
      </w:r>
      <w:r w:rsidR="00460943" w:rsidRPr="000333A1">
        <w:rPr>
          <w:lang w:val="en-GB"/>
        </w:rPr>
        <w:t>.</w:t>
      </w:r>
    </w:p>
    <w:p w14:paraId="7836920C" w14:textId="77777777" w:rsidR="00D37B8B" w:rsidRDefault="00D37B8B">
      <w:pPr>
        <w:rPr>
          <w:lang w:val="en-GB"/>
        </w:rPr>
      </w:pPr>
    </w:p>
    <w:p w14:paraId="2F2178C3" w14:textId="02C6448F" w:rsidR="00404364" w:rsidRPr="000333A1" w:rsidRDefault="00404364">
      <w:pPr>
        <w:rPr>
          <w:rFonts w:eastAsiaTheme="majorEastAsia" w:cstheme="majorBidi"/>
          <w:b/>
          <w:bCs/>
          <w:color w:val="365F91" w:themeColor="accent1" w:themeShade="BF"/>
          <w:lang w:val="en-GB"/>
        </w:rPr>
      </w:pPr>
      <w:r w:rsidRPr="000333A1">
        <w:rPr>
          <w:lang w:val="en-GB"/>
        </w:rPr>
        <w:br w:type="page"/>
      </w:r>
    </w:p>
    <w:p w14:paraId="75CFB454" w14:textId="77777777" w:rsidR="00656741" w:rsidRPr="00A4442C" w:rsidRDefault="00656741" w:rsidP="004A4664">
      <w:pPr>
        <w:pStyle w:val="Heading2"/>
        <w:spacing w:before="0" w:line="480" w:lineRule="auto"/>
        <w:rPr>
          <w:rFonts w:asciiTheme="minorHAnsi" w:hAnsiTheme="minorHAnsi"/>
          <w:color w:val="000000" w:themeColor="text1"/>
          <w:sz w:val="22"/>
          <w:szCs w:val="22"/>
          <w:lang w:val="en-GB"/>
        </w:rPr>
      </w:pPr>
      <w:r w:rsidRPr="00A4442C">
        <w:rPr>
          <w:rFonts w:asciiTheme="minorHAnsi" w:hAnsiTheme="minorHAnsi"/>
          <w:color w:val="000000" w:themeColor="text1"/>
          <w:sz w:val="22"/>
          <w:szCs w:val="22"/>
          <w:lang w:val="en-GB"/>
        </w:rPr>
        <w:lastRenderedPageBreak/>
        <w:t>Introduction</w:t>
      </w:r>
    </w:p>
    <w:p w14:paraId="3C4600DD" w14:textId="7F469917" w:rsidR="00F46D1D" w:rsidRPr="000333A1" w:rsidRDefault="00EA5CE0" w:rsidP="004A4664">
      <w:pPr>
        <w:spacing w:after="0" w:line="480" w:lineRule="auto"/>
        <w:rPr>
          <w:rFonts w:cs="Arial"/>
          <w:lang w:val="en-GB"/>
        </w:rPr>
      </w:pPr>
      <w:r w:rsidRPr="000333A1">
        <w:rPr>
          <w:rFonts w:cs="Arial"/>
          <w:lang w:val="en-GB"/>
        </w:rPr>
        <w:t xml:space="preserve">Rapidly ageing populations in countries </w:t>
      </w:r>
      <w:r w:rsidR="006C7232" w:rsidRPr="000333A1">
        <w:rPr>
          <w:rFonts w:cs="Arial"/>
          <w:lang w:val="en-GB"/>
        </w:rPr>
        <w:t>around the world</w:t>
      </w:r>
      <w:r w:rsidR="006C7232" w:rsidRPr="000333A1">
        <w:rPr>
          <w:rFonts w:cs="Arial"/>
          <w:vertAlign w:val="superscript"/>
          <w:lang w:val="en-GB"/>
        </w:rPr>
        <w:t>1</w:t>
      </w:r>
      <w:r w:rsidR="00DD1858" w:rsidRPr="000333A1">
        <w:rPr>
          <w:rFonts w:cs="Arial"/>
          <w:lang w:val="en-GB"/>
        </w:rPr>
        <w:t xml:space="preserve"> </w:t>
      </w:r>
      <w:r w:rsidR="003C00C8" w:rsidRPr="000333A1">
        <w:rPr>
          <w:rFonts w:cs="Arial"/>
          <w:lang w:val="en-GB"/>
        </w:rPr>
        <w:t xml:space="preserve">have led to an increase in the </w:t>
      </w:r>
      <w:r w:rsidR="00C7521C" w:rsidRPr="000333A1">
        <w:rPr>
          <w:rFonts w:cs="Arial"/>
          <w:lang w:val="en-GB"/>
        </w:rPr>
        <w:t xml:space="preserve">number of </w:t>
      </w:r>
      <w:r w:rsidR="006C01D6">
        <w:rPr>
          <w:rFonts w:cs="Arial"/>
          <w:lang w:val="en-GB"/>
        </w:rPr>
        <w:t xml:space="preserve">older </w:t>
      </w:r>
      <w:r w:rsidR="00C7521C" w:rsidRPr="000333A1">
        <w:rPr>
          <w:rFonts w:cs="Arial"/>
          <w:lang w:val="en-GB"/>
        </w:rPr>
        <w:t xml:space="preserve">people living </w:t>
      </w:r>
      <w:r w:rsidR="00E52B28" w:rsidRPr="000333A1">
        <w:rPr>
          <w:rFonts w:cs="Arial"/>
          <w:lang w:val="en-GB"/>
        </w:rPr>
        <w:t>with long-term conditions</w:t>
      </w:r>
      <w:r w:rsidR="006C7232" w:rsidRPr="000333A1">
        <w:rPr>
          <w:rFonts w:cs="Arial"/>
          <w:vertAlign w:val="superscript"/>
          <w:lang w:val="en-GB"/>
        </w:rPr>
        <w:t>2</w:t>
      </w:r>
      <w:r w:rsidR="00F46D1D" w:rsidRPr="000333A1">
        <w:rPr>
          <w:rFonts w:cs="Arial"/>
          <w:lang w:val="en-GB"/>
        </w:rPr>
        <w:t xml:space="preserve">. At the same time, evidence suggests that </w:t>
      </w:r>
      <w:r w:rsidR="006C01D6">
        <w:rPr>
          <w:rFonts w:cs="Arial"/>
          <w:lang w:val="en-GB"/>
        </w:rPr>
        <w:t xml:space="preserve">the great majority of </w:t>
      </w:r>
      <w:r w:rsidR="00F46D1D" w:rsidRPr="000333A1">
        <w:rPr>
          <w:rFonts w:cs="Arial"/>
          <w:lang w:val="en-GB"/>
        </w:rPr>
        <w:t>people prefer to remain in their own homes and communities as they age</w:t>
      </w:r>
      <w:r w:rsidR="006C7232" w:rsidRPr="000333A1">
        <w:rPr>
          <w:rFonts w:cs="Arial"/>
          <w:vertAlign w:val="superscript"/>
          <w:lang w:val="en-GB"/>
        </w:rPr>
        <w:t>3</w:t>
      </w:r>
      <w:r w:rsidR="00F46D1D" w:rsidRPr="000333A1">
        <w:rPr>
          <w:rFonts w:cs="Arial"/>
          <w:lang w:val="en-GB"/>
        </w:rPr>
        <w:t xml:space="preserve">. </w:t>
      </w:r>
      <w:r w:rsidR="00172804" w:rsidRPr="000333A1">
        <w:rPr>
          <w:rFonts w:cs="Arial"/>
          <w:lang w:val="en-GB"/>
        </w:rPr>
        <w:t xml:space="preserve"> </w:t>
      </w:r>
      <w:r w:rsidR="00F46D1D" w:rsidRPr="000333A1">
        <w:rPr>
          <w:rFonts w:cs="Arial"/>
          <w:lang w:val="en-GB"/>
        </w:rPr>
        <w:t xml:space="preserve">Novel technologies and innovative service provisions aim to maximize the </w:t>
      </w:r>
      <w:r w:rsidR="00C7521C" w:rsidRPr="000333A1">
        <w:rPr>
          <w:rFonts w:cs="Arial"/>
          <w:lang w:val="en-GB"/>
        </w:rPr>
        <w:t>ability to live indepe</w:t>
      </w:r>
      <w:r w:rsidR="0041297B" w:rsidRPr="000333A1">
        <w:rPr>
          <w:rFonts w:cs="Arial"/>
          <w:lang w:val="en-GB"/>
        </w:rPr>
        <w:t>ndently</w:t>
      </w:r>
      <w:r w:rsidR="00F46D1D" w:rsidRPr="000333A1">
        <w:rPr>
          <w:rFonts w:cs="Arial"/>
          <w:lang w:val="en-GB"/>
        </w:rPr>
        <w:t xml:space="preserve">, prevent </w:t>
      </w:r>
      <w:r w:rsidR="006C7232" w:rsidRPr="000333A1">
        <w:rPr>
          <w:rFonts w:cs="Arial"/>
          <w:lang w:val="en-GB"/>
        </w:rPr>
        <w:t>hospital admissions</w:t>
      </w:r>
      <w:r w:rsidR="006C7232" w:rsidRPr="000333A1">
        <w:rPr>
          <w:rFonts w:cs="Arial"/>
          <w:vertAlign w:val="superscript"/>
          <w:lang w:val="en-GB"/>
        </w:rPr>
        <w:t>4</w:t>
      </w:r>
      <w:r w:rsidR="00C83EEC" w:rsidRPr="000333A1">
        <w:rPr>
          <w:rFonts w:cs="Arial"/>
          <w:lang w:val="en-GB"/>
        </w:rPr>
        <w:t xml:space="preserve"> and </w:t>
      </w:r>
      <w:r w:rsidR="00F46D1D" w:rsidRPr="000333A1">
        <w:rPr>
          <w:rFonts w:cs="Arial"/>
          <w:lang w:val="en-GB"/>
        </w:rPr>
        <w:t xml:space="preserve">address the </w:t>
      </w:r>
      <w:r w:rsidR="00C83EEC" w:rsidRPr="000333A1">
        <w:rPr>
          <w:rFonts w:cs="Arial"/>
          <w:lang w:val="en-GB"/>
        </w:rPr>
        <w:t xml:space="preserve">demand for </w:t>
      </w:r>
      <w:r w:rsidR="00F46D1D" w:rsidRPr="000333A1">
        <w:rPr>
          <w:rFonts w:cs="Arial"/>
          <w:lang w:val="en-GB"/>
        </w:rPr>
        <w:t xml:space="preserve">a </w:t>
      </w:r>
      <w:r w:rsidR="00D753CF" w:rsidRPr="000333A1">
        <w:rPr>
          <w:rFonts w:cs="Arial"/>
          <w:lang w:val="en-GB"/>
        </w:rPr>
        <w:t xml:space="preserve">more efficient </w:t>
      </w:r>
      <w:r w:rsidR="006C7232" w:rsidRPr="000333A1">
        <w:rPr>
          <w:rFonts w:cs="Arial"/>
          <w:lang w:val="en-GB"/>
        </w:rPr>
        <w:t xml:space="preserve">health and </w:t>
      </w:r>
      <w:r w:rsidR="00C83EEC" w:rsidRPr="000333A1">
        <w:rPr>
          <w:rFonts w:cs="Arial"/>
          <w:lang w:val="en-GB"/>
        </w:rPr>
        <w:t xml:space="preserve">social care support. Reablement </w:t>
      </w:r>
      <w:r w:rsidR="006C01D6">
        <w:rPr>
          <w:rFonts w:cs="Arial"/>
          <w:lang w:val="en-GB"/>
        </w:rPr>
        <w:t xml:space="preserve">- </w:t>
      </w:r>
      <w:r w:rsidR="00C83EEC" w:rsidRPr="000333A1">
        <w:rPr>
          <w:rFonts w:cs="Arial"/>
          <w:lang w:val="en-GB"/>
        </w:rPr>
        <w:t>termed ‘restorative care’ in Australia, New Zealand and the United States of America</w:t>
      </w:r>
      <w:r w:rsidR="006C01D6">
        <w:rPr>
          <w:rFonts w:cs="Arial"/>
          <w:lang w:val="en-GB"/>
        </w:rPr>
        <w:t xml:space="preserve"> -</w:t>
      </w:r>
      <w:r w:rsidR="00C83EEC" w:rsidRPr="000333A1">
        <w:rPr>
          <w:rFonts w:cs="Arial"/>
          <w:lang w:val="en-GB"/>
        </w:rPr>
        <w:t xml:space="preserve"> is </w:t>
      </w:r>
      <w:r w:rsidR="00057A1D" w:rsidRPr="000333A1">
        <w:rPr>
          <w:rFonts w:cs="Arial"/>
          <w:lang w:val="en-GB"/>
        </w:rPr>
        <w:t xml:space="preserve">one </w:t>
      </w:r>
      <w:r w:rsidR="00F46D1D" w:rsidRPr="000333A1">
        <w:rPr>
          <w:rFonts w:cs="Arial"/>
          <w:lang w:val="en-GB"/>
        </w:rPr>
        <w:t xml:space="preserve">such </w:t>
      </w:r>
      <w:r w:rsidR="00C83EEC" w:rsidRPr="000333A1">
        <w:rPr>
          <w:rFonts w:cs="Arial"/>
          <w:lang w:val="en-GB"/>
        </w:rPr>
        <w:t>service intervention that is being ado</w:t>
      </w:r>
      <w:r w:rsidR="006C7232" w:rsidRPr="000333A1">
        <w:rPr>
          <w:rFonts w:cs="Arial"/>
          <w:lang w:val="en-GB"/>
        </w:rPr>
        <w:t xml:space="preserve">pted across </w:t>
      </w:r>
      <w:r w:rsidR="001A3E22" w:rsidRPr="000333A1">
        <w:rPr>
          <w:rFonts w:cs="Arial"/>
          <w:lang w:val="en-GB"/>
        </w:rPr>
        <w:t xml:space="preserve">high income </w:t>
      </w:r>
      <w:r w:rsidR="006C7232" w:rsidRPr="000333A1">
        <w:rPr>
          <w:rFonts w:cs="Arial"/>
          <w:lang w:val="en-GB"/>
        </w:rPr>
        <w:t>countries</w:t>
      </w:r>
      <w:r w:rsidR="006C7232" w:rsidRPr="000333A1">
        <w:rPr>
          <w:rFonts w:cs="Arial"/>
          <w:vertAlign w:val="superscript"/>
          <w:lang w:val="en-GB"/>
        </w:rPr>
        <w:t>5-9</w:t>
      </w:r>
      <w:r w:rsidR="00C83EEC" w:rsidRPr="000333A1">
        <w:rPr>
          <w:vertAlign w:val="superscript"/>
          <w:lang w:val="en-GB"/>
        </w:rPr>
        <w:t xml:space="preserve"> </w:t>
      </w:r>
      <w:r w:rsidR="00D753CF" w:rsidRPr="000333A1">
        <w:rPr>
          <w:lang w:val="en-GB"/>
        </w:rPr>
        <w:t xml:space="preserve">as an alternative to more costly institutional care. It aims </w:t>
      </w:r>
      <w:r w:rsidR="00C83EEC" w:rsidRPr="000333A1">
        <w:rPr>
          <w:rFonts w:cs="Arial"/>
          <w:lang w:val="en-GB"/>
        </w:rPr>
        <w:t>to promote independence and help older people to remain in their own home for as long as possible</w:t>
      </w:r>
      <w:r w:rsidR="005F1BAC" w:rsidRPr="000333A1">
        <w:rPr>
          <w:rFonts w:cs="Arial"/>
          <w:lang w:val="en-GB"/>
        </w:rPr>
        <w:t>.</w:t>
      </w:r>
      <w:r w:rsidR="00D753CF" w:rsidRPr="000333A1">
        <w:rPr>
          <w:rFonts w:cs="Arial"/>
          <w:lang w:val="en-GB"/>
        </w:rPr>
        <w:t xml:space="preserve"> </w:t>
      </w:r>
    </w:p>
    <w:p w14:paraId="649BEBFC" w14:textId="77777777" w:rsidR="00B07B85" w:rsidRPr="000333A1" w:rsidRDefault="00B07B85" w:rsidP="004A4664">
      <w:pPr>
        <w:spacing w:after="0" w:line="480" w:lineRule="auto"/>
        <w:rPr>
          <w:rFonts w:cs="Arial"/>
          <w:lang w:val="en-GB"/>
        </w:rPr>
      </w:pPr>
    </w:p>
    <w:p w14:paraId="4CB90A3F" w14:textId="6AA7713A" w:rsidR="00382EA4" w:rsidRPr="000333A1" w:rsidRDefault="00C83EEC" w:rsidP="004A4664">
      <w:pPr>
        <w:spacing w:after="0" w:line="480" w:lineRule="auto"/>
        <w:rPr>
          <w:lang w:val="en-GB"/>
        </w:rPr>
      </w:pPr>
      <w:r w:rsidRPr="000333A1">
        <w:rPr>
          <w:lang w:val="en-GB"/>
        </w:rPr>
        <w:t xml:space="preserve">Reablement is a time-limited, person-centred, home-based intervention for older people who are at risk of functional decline, </w:t>
      </w:r>
      <w:r w:rsidR="000A414B">
        <w:rPr>
          <w:lang w:val="en-GB"/>
        </w:rPr>
        <w:t xml:space="preserve">sometimes </w:t>
      </w:r>
      <w:r w:rsidRPr="000333A1">
        <w:rPr>
          <w:lang w:val="en-GB"/>
        </w:rPr>
        <w:t xml:space="preserve"> after an accident or period of illness</w:t>
      </w:r>
      <w:r w:rsidR="006C7232" w:rsidRPr="000333A1">
        <w:rPr>
          <w:vertAlign w:val="superscript"/>
          <w:lang w:val="en-GB"/>
        </w:rPr>
        <w:t>6</w:t>
      </w:r>
      <w:r w:rsidRPr="000333A1">
        <w:rPr>
          <w:lang w:val="en-GB"/>
        </w:rPr>
        <w:t xml:space="preserve">. </w:t>
      </w:r>
      <w:r w:rsidR="00B837B5" w:rsidRPr="000333A1">
        <w:rPr>
          <w:lang w:val="en-GB"/>
        </w:rPr>
        <w:t xml:space="preserve">It aims to </w:t>
      </w:r>
      <w:r w:rsidR="00E1489F" w:rsidRPr="000333A1">
        <w:rPr>
          <w:lang w:val="en-GB"/>
        </w:rPr>
        <w:t xml:space="preserve">help older people to retain, regain </w:t>
      </w:r>
      <w:r w:rsidR="00B837B5" w:rsidRPr="000333A1">
        <w:rPr>
          <w:lang w:val="en-GB"/>
        </w:rPr>
        <w:t xml:space="preserve">or gain </w:t>
      </w:r>
      <w:r w:rsidR="00E1489F" w:rsidRPr="000333A1">
        <w:rPr>
          <w:lang w:val="en-GB"/>
        </w:rPr>
        <w:t>skills so that they can manage everyday living skills as independently</w:t>
      </w:r>
      <w:r w:rsidR="00B837B5" w:rsidRPr="000333A1">
        <w:rPr>
          <w:lang w:val="en-GB"/>
        </w:rPr>
        <w:t xml:space="preserve"> as possible. </w:t>
      </w:r>
      <w:r w:rsidRPr="000333A1">
        <w:rPr>
          <w:lang w:val="en-GB"/>
        </w:rPr>
        <w:t>This concept has penetrated policy at a local, national and international level</w:t>
      </w:r>
      <w:r w:rsidR="005F1BAC" w:rsidRPr="000333A1">
        <w:rPr>
          <w:lang w:val="en-GB"/>
        </w:rPr>
        <w:t>,</w:t>
      </w:r>
      <w:r w:rsidRPr="000333A1">
        <w:rPr>
          <w:lang w:val="en-GB"/>
        </w:rPr>
        <w:t xml:space="preserve"> </w:t>
      </w:r>
      <w:r w:rsidR="005F1BAC" w:rsidRPr="000333A1">
        <w:rPr>
          <w:lang w:val="en-GB"/>
        </w:rPr>
        <w:t xml:space="preserve">offering </w:t>
      </w:r>
      <w:r w:rsidRPr="000333A1">
        <w:rPr>
          <w:lang w:val="en-GB"/>
        </w:rPr>
        <w:t>in general “the possibility of raising the overall quality of protection against long-term care risks”</w:t>
      </w:r>
      <w:r w:rsidR="006C7232" w:rsidRPr="000333A1">
        <w:rPr>
          <w:vertAlign w:val="superscript"/>
          <w:lang w:val="en-GB"/>
        </w:rPr>
        <w:t xml:space="preserve">10, </w:t>
      </w:r>
      <w:r w:rsidR="009D400E" w:rsidRPr="000333A1">
        <w:rPr>
          <w:vertAlign w:val="superscript"/>
          <w:lang w:val="en-GB"/>
        </w:rPr>
        <w:t>p.19</w:t>
      </w:r>
      <w:r w:rsidR="009D400E" w:rsidRPr="000333A1">
        <w:rPr>
          <w:lang w:val="en-GB"/>
        </w:rPr>
        <w:t xml:space="preserve"> and offering governments a feasible approach to addressing the societal implication of ageing.  </w:t>
      </w:r>
      <w:r w:rsidRPr="000333A1">
        <w:rPr>
          <w:lang w:val="en-GB"/>
        </w:rPr>
        <w:t xml:space="preserve"> Although different countries and, indeed different localities within the same country, implement reablement in different ways, policy and practice directives emphasise ‘doing with’ older people rather than ‘doing for’ or ‘doing to’ them.</w:t>
      </w:r>
      <w:r w:rsidR="00382EA4" w:rsidRPr="000333A1">
        <w:rPr>
          <w:lang w:val="en-GB"/>
        </w:rPr>
        <w:t xml:space="preserve"> </w:t>
      </w:r>
      <w:r w:rsidRPr="000333A1">
        <w:rPr>
          <w:lang w:val="en-GB"/>
        </w:rPr>
        <w:t xml:space="preserve">Despite this international interest in implementing reablement, there is currently limited, albeit increasing, evidence on the effectiveness and cost-effectiveness of this intervention. </w:t>
      </w:r>
    </w:p>
    <w:p w14:paraId="71CAFBB5" w14:textId="77777777" w:rsidR="00B07B85" w:rsidRPr="000333A1" w:rsidRDefault="00B07B85" w:rsidP="004A4664">
      <w:pPr>
        <w:spacing w:after="0" w:line="480" w:lineRule="auto"/>
        <w:rPr>
          <w:lang w:val="en-GB"/>
        </w:rPr>
      </w:pPr>
    </w:p>
    <w:p w14:paraId="13275361" w14:textId="3BAD13F8" w:rsidR="0092104C" w:rsidRPr="000333A1" w:rsidRDefault="00C1119E" w:rsidP="004A4664">
      <w:pPr>
        <w:spacing w:after="0" w:line="480" w:lineRule="auto"/>
        <w:rPr>
          <w:lang w:val="en-GB"/>
        </w:rPr>
      </w:pPr>
      <w:r>
        <w:rPr>
          <w:lang w:val="en-GB"/>
        </w:rPr>
        <w:t xml:space="preserve">In </w:t>
      </w:r>
      <w:r w:rsidR="000A414B">
        <w:rPr>
          <w:lang w:val="en-GB"/>
        </w:rPr>
        <w:t xml:space="preserve">April 2016 </w:t>
      </w:r>
      <w:r w:rsidR="00573677" w:rsidRPr="00573677">
        <w:rPr>
          <w:lang w:val="en-GB"/>
        </w:rPr>
        <w:t xml:space="preserve"> the International Federation </w:t>
      </w:r>
      <w:r w:rsidR="00573677">
        <w:rPr>
          <w:lang w:val="en-GB"/>
        </w:rPr>
        <w:t xml:space="preserve">of Aging organized a </w:t>
      </w:r>
      <w:r w:rsidR="000A414B">
        <w:rPr>
          <w:lang w:val="en-GB"/>
        </w:rPr>
        <w:t>Summit in</w:t>
      </w:r>
      <w:r w:rsidR="00573677" w:rsidRPr="00573677">
        <w:rPr>
          <w:lang w:val="en-GB"/>
        </w:rPr>
        <w:t xml:space="preserve"> Copenhagen </w:t>
      </w:r>
      <w:r w:rsidR="00573677">
        <w:rPr>
          <w:lang w:val="en-GB"/>
        </w:rPr>
        <w:t xml:space="preserve">Denmark, </w:t>
      </w:r>
      <w:r w:rsidR="00573677" w:rsidRPr="00573677">
        <w:rPr>
          <w:lang w:val="en-GB"/>
        </w:rPr>
        <w:t xml:space="preserve">bringing together thought leaders, academics and practitioners to review and discuss reablement as a value-added investment of frail older people. </w:t>
      </w:r>
      <w:r w:rsidR="00573677">
        <w:rPr>
          <w:lang w:val="en-GB"/>
        </w:rPr>
        <w:t xml:space="preserve">Here we </w:t>
      </w:r>
      <w:r w:rsidR="001F6F0C" w:rsidRPr="000333A1">
        <w:rPr>
          <w:lang w:val="en-GB"/>
        </w:rPr>
        <w:t xml:space="preserve">present the </w:t>
      </w:r>
      <w:r w:rsidR="00FD7C19" w:rsidRPr="000333A1">
        <w:rPr>
          <w:lang w:val="en-GB"/>
        </w:rPr>
        <w:t xml:space="preserve">key policy drivers in the </w:t>
      </w:r>
      <w:r w:rsidR="00FB088F" w:rsidRPr="000333A1">
        <w:rPr>
          <w:lang w:val="en-GB"/>
        </w:rPr>
        <w:lastRenderedPageBreak/>
        <w:t xml:space="preserve">international context, </w:t>
      </w:r>
      <w:r w:rsidR="0092104C" w:rsidRPr="000333A1">
        <w:rPr>
          <w:lang w:val="en-GB"/>
        </w:rPr>
        <w:t xml:space="preserve">summarise the terminology and the key features of this emerging service model, before focusing in more detail on the nature of the evidence base </w:t>
      </w:r>
      <w:r w:rsidR="004963AB" w:rsidRPr="000333A1">
        <w:rPr>
          <w:lang w:val="en-GB"/>
        </w:rPr>
        <w:t xml:space="preserve">associated with </w:t>
      </w:r>
      <w:r w:rsidR="0092104C" w:rsidRPr="000333A1">
        <w:rPr>
          <w:lang w:val="en-GB"/>
        </w:rPr>
        <w:t>reablement policy</w:t>
      </w:r>
      <w:r w:rsidR="004963AB" w:rsidRPr="000333A1">
        <w:rPr>
          <w:lang w:val="en-GB"/>
        </w:rPr>
        <w:t xml:space="preserve"> in practice</w:t>
      </w:r>
      <w:r w:rsidR="0092104C" w:rsidRPr="000333A1">
        <w:rPr>
          <w:lang w:val="en-GB"/>
        </w:rPr>
        <w:t>.</w:t>
      </w:r>
      <w:r w:rsidR="00F46D1D" w:rsidRPr="000333A1">
        <w:rPr>
          <w:lang w:val="en-GB"/>
        </w:rPr>
        <w:t xml:space="preserve"> </w:t>
      </w:r>
    </w:p>
    <w:p w14:paraId="66B67731" w14:textId="77777777" w:rsidR="004963AB" w:rsidRPr="000333A1" w:rsidRDefault="004963AB" w:rsidP="004A4664">
      <w:pPr>
        <w:spacing w:after="0" w:line="480" w:lineRule="auto"/>
        <w:rPr>
          <w:lang w:val="en-GB"/>
        </w:rPr>
      </w:pPr>
    </w:p>
    <w:p w14:paraId="01079388" w14:textId="77777777" w:rsidR="00526DDA" w:rsidRPr="00A4442C" w:rsidRDefault="00D0211C" w:rsidP="004A4664">
      <w:pPr>
        <w:pStyle w:val="Heading2"/>
        <w:spacing w:before="0" w:line="480" w:lineRule="auto"/>
        <w:rPr>
          <w:rFonts w:asciiTheme="minorHAnsi" w:hAnsiTheme="minorHAnsi"/>
          <w:color w:val="000000" w:themeColor="text1"/>
          <w:sz w:val="22"/>
          <w:szCs w:val="22"/>
          <w:lang w:val="en-GB"/>
        </w:rPr>
      </w:pPr>
      <w:r w:rsidRPr="00A4442C">
        <w:rPr>
          <w:rFonts w:asciiTheme="minorHAnsi" w:hAnsiTheme="minorHAnsi"/>
          <w:color w:val="000000" w:themeColor="text1"/>
          <w:sz w:val="22"/>
          <w:szCs w:val="22"/>
          <w:lang w:val="en-GB"/>
        </w:rPr>
        <w:t xml:space="preserve">Policy </w:t>
      </w:r>
      <w:r w:rsidR="00EB1184" w:rsidRPr="00A4442C">
        <w:rPr>
          <w:rFonts w:asciiTheme="minorHAnsi" w:hAnsiTheme="minorHAnsi"/>
          <w:color w:val="000000" w:themeColor="text1"/>
          <w:sz w:val="22"/>
          <w:szCs w:val="22"/>
          <w:lang w:val="en-GB"/>
        </w:rPr>
        <w:t>drivers</w:t>
      </w:r>
    </w:p>
    <w:p w14:paraId="72FA9AE4" w14:textId="526BF7D2" w:rsidR="00B07B85" w:rsidRPr="000333A1" w:rsidRDefault="0092104C" w:rsidP="004A4664">
      <w:pPr>
        <w:spacing w:after="0" w:line="480" w:lineRule="auto"/>
        <w:rPr>
          <w:b/>
          <w:lang w:val="en-GB"/>
        </w:rPr>
      </w:pPr>
      <w:r w:rsidRPr="000333A1">
        <w:rPr>
          <w:lang w:val="en-GB"/>
        </w:rPr>
        <w:t>Several distinct but inter-related trends across developed countries</w:t>
      </w:r>
      <w:r w:rsidR="00526DDA" w:rsidRPr="000333A1">
        <w:rPr>
          <w:lang w:val="en-GB"/>
        </w:rPr>
        <w:t xml:space="preserve"> </w:t>
      </w:r>
      <w:r w:rsidRPr="000333A1">
        <w:rPr>
          <w:lang w:val="en-GB"/>
        </w:rPr>
        <w:t>are captured by the UNECE’s 2012 Vienna Ministerial Declaration which requires that UNECE member States “are committed to raising awareness about and enhancing the potential of older persons for the benefit of our societies and to increasing their quality of life by enabling their personal fulfilment in later years, as well as their participation in soc</w:t>
      </w:r>
      <w:r w:rsidR="006C7232" w:rsidRPr="000333A1">
        <w:rPr>
          <w:lang w:val="en-GB"/>
        </w:rPr>
        <w:t xml:space="preserve">ial and economic development.” </w:t>
      </w:r>
      <w:r w:rsidR="006C7232" w:rsidRPr="000333A1">
        <w:rPr>
          <w:vertAlign w:val="superscript"/>
          <w:lang w:val="en-GB"/>
        </w:rPr>
        <w:t>1, s</w:t>
      </w:r>
      <w:r w:rsidR="00BE4BD0" w:rsidRPr="000333A1">
        <w:rPr>
          <w:vertAlign w:val="superscript"/>
          <w:lang w:val="en-GB"/>
        </w:rPr>
        <w:t>3</w:t>
      </w:r>
      <w:r w:rsidRPr="000333A1">
        <w:rPr>
          <w:lang w:val="en-GB"/>
        </w:rPr>
        <w:t xml:space="preserve">. </w:t>
      </w:r>
      <w:r w:rsidR="00C83EEC" w:rsidRPr="000333A1">
        <w:rPr>
          <w:lang w:val="en-GB"/>
        </w:rPr>
        <w:t>‘Reablement’ has emerged as a key aspect of government reforms as a means of addressing these trends within policy (and practice) debates</w:t>
      </w:r>
      <w:r w:rsidR="00382EA4" w:rsidRPr="000333A1">
        <w:rPr>
          <w:lang w:val="en-GB"/>
        </w:rPr>
        <w:t>:</w:t>
      </w:r>
    </w:p>
    <w:p w14:paraId="13151F8B" w14:textId="77777777" w:rsidR="00034A66" w:rsidRPr="00A4442C" w:rsidRDefault="00C83EEC" w:rsidP="00C1119E">
      <w:pPr>
        <w:pStyle w:val="Heading3"/>
        <w:numPr>
          <w:ilvl w:val="0"/>
          <w:numId w:val="10"/>
        </w:numPr>
        <w:spacing w:before="0" w:line="480" w:lineRule="auto"/>
        <w:rPr>
          <w:rFonts w:asciiTheme="minorHAnsi" w:hAnsiTheme="minorHAnsi"/>
          <w:b w:val="0"/>
          <w:i/>
          <w:color w:val="000000" w:themeColor="text1"/>
          <w:lang w:val="en-GB"/>
        </w:rPr>
      </w:pPr>
      <w:r w:rsidRPr="00A4442C">
        <w:rPr>
          <w:rFonts w:asciiTheme="minorHAnsi" w:hAnsiTheme="minorHAnsi"/>
          <w:b w:val="0"/>
          <w:i/>
          <w:color w:val="000000" w:themeColor="text1"/>
          <w:lang w:val="en-GB"/>
        </w:rPr>
        <w:t>Promoting independence</w:t>
      </w:r>
    </w:p>
    <w:p w14:paraId="270A6B4D" w14:textId="130F25DC" w:rsidR="00404364" w:rsidRPr="000333A1" w:rsidRDefault="00C83EEC" w:rsidP="00C1119E">
      <w:pPr>
        <w:spacing w:after="0" w:line="480" w:lineRule="auto"/>
        <w:rPr>
          <w:lang w:val="en-GB"/>
        </w:rPr>
      </w:pPr>
      <w:r w:rsidRPr="000333A1">
        <w:rPr>
          <w:lang w:val="en-GB"/>
        </w:rPr>
        <w:t>There i</w:t>
      </w:r>
      <w:r w:rsidR="00F64C41" w:rsidRPr="000333A1">
        <w:rPr>
          <w:lang w:val="en-GB"/>
        </w:rPr>
        <w:t xml:space="preserve">s growing </w:t>
      </w:r>
      <w:r w:rsidRPr="000333A1">
        <w:rPr>
          <w:lang w:val="en-GB"/>
        </w:rPr>
        <w:t xml:space="preserve">recognition that health and social services might not intervene early enough to prevent ill health </w:t>
      </w:r>
      <w:r w:rsidR="000A7329" w:rsidRPr="000333A1">
        <w:rPr>
          <w:lang w:val="en-GB"/>
        </w:rPr>
        <w:t>and</w:t>
      </w:r>
      <w:r w:rsidR="00F64C41" w:rsidRPr="000333A1">
        <w:rPr>
          <w:lang w:val="en-GB"/>
        </w:rPr>
        <w:t>/or</w:t>
      </w:r>
      <w:r w:rsidR="000A7329" w:rsidRPr="000333A1">
        <w:rPr>
          <w:lang w:val="en-GB"/>
        </w:rPr>
        <w:t xml:space="preserve"> functional decline, and that </w:t>
      </w:r>
      <w:r w:rsidR="00F64C41" w:rsidRPr="000333A1">
        <w:rPr>
          <w:lang w:val="en-GB"/>
        </w:rPr>
        <w:t>preventative</w:t>
      </w:r>
      <w:r w:rsidR="000A7329" w:rsidRPr="000333A1">
        <w:rPr>
          <w:lang w:val="en-GB"/>
        </w:rPr>
        <w:t xml:space="preserve"> services</w:t>
      </w:r>
      <w:r w:rsidR="00F64C41" w:rsidRPr="000333A1">
        <w:rPr>
          <w:lang w:val="en-GB"/>
        </w:rPr>
        <w:t xml:space="preserve"> do not necessarily focus on ‘repairing’ situations </w:t>
      </w:r>
      <w:r w:rsidR="00C51F9B" w:rsidRPr="000333A1">
        <w:rPr>
          <w:lang w:val="en-GB"/>
        </w:rPr>
        <w:t>that can minimise</w:t>
      </w:r>
      <w:r w:rsidR="000A7329" w:rsidRPr="000333A1">
        <w:rPr>
          <w:lang w:val="en-GB"/>
        </w:rPr>
        <w:t xml:space="preserve"> </w:t>
      </w:r>
      <w:r w:rsidR="00B07B85" w:rsidRPr="000333A1">
        <w:rPr>
          <w:lang w:val="en-GB"/>
        </w:rPr>
        <w:t>the impact of ill-</w:t>
      </w:r>
      <w:r w:rsidRPr="000333A1">
        <w:rPr>
          <w:lang w:val="en-GB"/>
        </w:rPr>
        <w:t xml:space="preserve">health including loss of independence. At the same time, it is also recognised that health and social care services can sometimes make premature decisions about older people’s long-term destinations, such as presuming that </w:t>
      </w:r>
      <w:r w:rsidR="00382EA4" w:rsidRPr="000333A1">
        <w:rPr>
          <w:lang w:val="en-GB"/>
        </w:rPr>
        <w:t xml:space="preserve">long-term institutional </w:t>
      </w:r>
      <w:r w:rsidRPr="000333A1">
        <w:rPr>
          <w:lang w:val="en-GB"/>
        </w:rPr>
        <w:t xml:space="preserve">care is the only feasible option for them.  </w:t>
      </w:r>
      <w:r w:rsidR="00034A66" w:rsidRPr="000333A1">
        <w:rPr>
          <w:lang w:val="en-GB"/>
        </w:rPr>
        <w:t>In contrast, reablement aims to invest time and expertise in helping older people to be the best they can be before making decisions</w:t>
      </w:r>
      <w:r w:rsidR="00F23B2C" w:rsidRPr="000333A1">
        <w:rPr>
          <w:lang w:val="en-GB"/>
        </w:rPr>
        <w:t xml:space="preserve"> about the future including place of residence and care needs</w:t>
      </w:r>
      <w:r w:rsidR="00C1119E">
        <w:rPr>
          <w:lang w:val="en-GB"/>
        </w:rPr>
        <w:t>;</w:t>
      </w:r>
    </w:p>
    <w:p w14:paraId="55C32A62" w14:textId="77777777" w:rsidR="00B07B85" w:rsidRPr="00A4442C" w:rsidRDefault="00684DC9" w:rsidP="00C1119E">
      <w:pPr>
        <w:pStyle w:val="Heading3"/>
        <w:numPr>
          <w:ilvl w:val="0"/>
          <w:numId w:val="10"/>
        </w:numPr>
        <w:rPr>
          <w:rFonts w:asciiTheme="minorHAnsi" w:hAnsiTheme="minorHAnsi"/>
          <w:b w:val="0"/>
          <w:i/>
          <w:color w:val="000000" w:themeColor="text1"/>
        </w:rPr>
      </w:pPr>
      <w:r w:rsidRPr="00A4442C">
        <w:rPr>
          <w:rFonts w:asciiTheme="minorHAnsi" w:hAnsiTheme="minorHAnsi"/>
          <w:b w:val="0"/>
          <w:i/>
          <w:color w:val="000000" w:themeColor="text1"/>
        </w:rPr>
        <w:t>Promoting participation</w:t>
      </w:r>
      <w:r w:rsidR="007F6A70" w:rsidRPr="00A4442C">
        <w:rPr>
          <w:rFonts w:asciiTheme="minorHAnsi" w:hAnsiTheme="minorHAnsi"/>
          <w:b w:val="0"/>
          <w:i/>
          <w:color w:val="000000" w:themeColor="text1"/>
        </w:rPr>
        <w:t xml:space="preserve"> in daily activities that matters</w:t>
      </w:r>
    </w:p>
    <w:p w14:paraId="3B3DE165" w14:textId="77777777" w:rsidR="00684DC9" w:rsidRPr="000333A1" w:rsidRDefault="00684DC9" w:rsidP="00684DC9">
      <w:pPr>
        <w:rPr>
          <w:lang w:val="en-GB"/>
        </w:rPr>
      </w:pPr>
    </w:p>
    <w:p w14:paraId="4FFCB9D4" w14:textId="341B0E24" w:rsidR="00653826" w:rsidRPr="000333A1" w:rsidRDefault="00404364" w:rsidP="00C1119E">
      <w:pPr>
        <w:spacing w:line="480" w:lineRule="auto"/>
        <w:rPr>
          <w:lang w:val="en-GB"/>
        </w:rPr>
      </w:pPr>
      <w:r w:rsidRPr="000333A1">
        <w:rPr>
          <w:lang w:val="en-GB"/>
        </w:rPr>
        <w:t>Alongside the importance placed on</w:t>
      </w:r>
      <w:r w:rsidR="007F6A70" w:rsidRPr="000333A1">
        <w:rPr>
          <w:lang w:val="en-GB"/>
        </w:rPr>
        <w:t xml:space="preserve"> independence, </w:t>
      </w:r>
      <w:r w:rsidRPr="000333A1">
        <w:rPr>
          <w:lang w:val="en-GB"/>
        </w:rPr>
        <w:t xml:space="preserve">are increased calls for promoting </w:t>
      </w:r>
      <w:r w:rsidR="007F6A70" w:rsidRPr="000333A1">
        <w:rPr>
          <w:lang w:val="en-GB"/>
        </w:rPr>
        <w:t xml:space="preserve">active participation in </w:t>
      </w:r>
      <w:r w:rsidR="00682890" w:rsidRPr="000333A1">
        <w:rPr>
          <w:lang w:val="en-GB"/>
        </w:rPr>
        <w:t xml:space="preserve">a wide range of </w:t>
      </w:r>
      <w:r w:rsidR="007F6A70" w:rsidRPr="000333A1">
        <w:rPr>
          <w:lang w:val="en-GB"/>
        </w:rPr>
        <w:t>activities perceived as important by</w:t>
      </w:r>
      <w:r w:rsidRPr="000333A1">
        <w:rPr>
          <w:lang w:val="en-GB"/>
        </w:rPr>
        <w:t xml:space="preserve"> the older person themselves. </w:t>
      </w:r>
      <w:r w:rsidR="007F6A70" w:rsidRPr="000333A1">
        <w:rPr>
          <w:lang w:val="en-GB"/>
        </w:rPr>
        <w:t xml:space="preserve"> </w:t>
      </w:r>
      <w:r w:rsidRPr="000333A1">
        <w:rPr>
          <w:lang w:val="en-GB"/>
        </w:rPr>
        <w:t xml:space="preserve">Reablement practice responds to this debate by </w:t>
      </w:r>
      <w:r w:rsidR="007F6A70" w:rsidRPr="000333A1">
        <w:rPr>
          <w:lang w:val="en-GB"/>
        </w:rPr>
        <w:t>focus</w:t>
      </w:r>
      <w:r w:rsidRPr="000333A1">
        <w:rPr>
          <w:lang w:val="en-GB"/>
        </w:rPr>
        <w:t>ing</w:t>
      </w:r>
      <w:r w:rsidR="007F6A70" w:rsidRPr="000333A1">
        <w:rPr>
          <w:lang w:val="en-GB"/>
        </w:rPr>
        <w:t xml:space="preserve"> on improving</w:t>
      </w:r>
      <w:r w:rsidRPr="000333A1">
        <w:rPr>
          <w:lang w:val="en-GB"/>
        </w:rPr>
        <w:t xml:space="preserve"> individuals’</w:t>
      </w:r>
      <w:r w:rsidR="007F6A70" w:rsidRPr="000333A1">
        <w:rPr>
          <w:lang w:val="en-GB"/>
        </w:rPr>
        <w:t xml:space="preserve"> </w:t>
      </w:r>
      <w:r w:rsidR="002748E4">
        <w:rPr>
          <w:lang w:val="en-GB"/>
        </w:rPr>
        <w:t xml:space="preserve">full or partial </w:t>
      </w:r>
      <w:r w:rsidR="007F6A70" w:rsidRPr="000333A1">
        <w:rPr>
          <w:lang w:val="en-GB"/>
        </w:rPr>
        <w:lastRenderedPageBreak/>
        <w:t xml:space="preserve">independence in activities of daily living inside the home, but </w:t>
      </w:r>
      <w:r w:rsidR="00653826" w:rsidRPr="000333A1">
        <w:rPr>
          <w:lang w:val="en-GB"/>
        </w:rPr>
        <w:t xml:space="preserve">also </w:t>
      </w:r>
      <w:r w:rsidR="00682890" w:rsidRPr="000333A1">
        <w:rPr>
          <w:lang w:val="en-GB"/>
        </w:rPr>
        <w:t xml:space="preserve">focuses </w:t>
      </w:r>
      <w:r w:rsidR="007F6A70" w:rsidRPr="000333A1">
        <w:rPr>
          <w:lang w:val="en-GB"/>
        </w:rPr>
        <w:t xml:space="preserve">also </w:t>
      </w:r>
      <w:r w:rsidR="00682890" w:rsidRPr="000333A1">
        <w:rPr>
          <w:lang w:val="en-GB"/>
        </w:rPr>
        <w:t>on</w:t>
      </w:r>
      <w:r w:rsidR="007F6A70" w:rsidRPr="000333A1">
        <w:rPr>
          <w:lang w:val="en-GB"/>
        </w:rPr>
        <w:t xml:space="preserve"> </w:t>
      </w:r>
      <w:r w:rsidR="007F6A70" w:rsidRPr="000333A1">
        <w:rPr>
          <w:rFonts w:cs="Times New Roman"/>
          <w:color w:val="231F20"/>
          <w:lang w:val="en-US"/>
        </w:rPr>
        <w:t>help</w:t>
      </w:r>
      <w:r w:rsidR="00682890" w:rsidRPr="000333A1">
        <w:rPr>
          <w:rFonts w:cs="Times New Roman"/>
          <w:color w:val="231F20"/>
          <w:lang w:val="en-US"/>
        </w:rPr>
        <w:t>ing</w:t>
      </w:r>
      <w:r w:rsidR="007F6A70" w:rsidRPr="000333A1">
        <w:rPr>
          <w:rFonts w:cs="Times New Roman"/>
          <w:color w:val="231F20"/>
          <w:lang w:val="en-US"/>
        </w:rPr>
        <w:t xml:space="preserve"> people </w:t>
      </w:r>
      <w:r w:rsidR="00653826" w:rsidRPr="000333A1">
        <w:rPr>
          <w:rFonts w:cs="Times New Roman"/>
          <w:color w:val="231F20"/>
          <w:lang w:val="en-US"/>
        </w:rPr>
        <w:t xml:space="preserve">to access their local community and to </w:t>
      </w:r>
      <w:r w:rsidR="007F6A70" w:rsidRPr="000333A1">
        <w:rPr>
          <w:rFonts w:cs="Times New Roman"/>
          <w:color w:val="231F20"/>
          <w:lang w:val="en-US"/>
        </w:rPr>
        <w:t xml:space="preserve">reconnect with their </w:t>
      </w:r>
      <w:r w:rsidR="00653826" w:rsidRPr="000333A1">
        <w:rPr>
          <w:rFonts w:cs="Times New Roman"/>
          <w:color w:val="231F20"/>
          <w:lang w:val="en-US"/>
        </w:rPr>
        <w:t xml:space="preserve">preferred </w:t>
      </w:r>
      <w:r w:rsidR="007F6A70" w:rsidRPr="000333A1">
        <w:rPr>
          <w:rFonts w:cs="Times New Roman"/>
          <w:color w:val="231F20"/>
          <w:lang w:val="en-US"/>
        </w:rPr>
        <w:t>social, leisure, and physical activities</w:t>
      </w:r>
      <w:r w:rsidR="002748E4">
        <w:rPr>
          <w:rFonts w:cs="Times New Roman"/>
          <w:color w:val="231F20"/>
          <w:lang w:val="en-US"/>
        </w:rPr>
        <w:t>.</w:t>
      </w:r>
    </w:p>
    <w:p w14:paraId="2D71E790" w14:textId="77777777" w:rsidR="00E52B28" w:rsidRPr="00A4442C" w:rsidRDefault="00034A66" w:rsidP="00C1119E">
      <w:pPr>
        <w:pStyle w:val="Heading3"/>
        <w:numPr>
          <w:ilvl w:val="0"/>
          <w:numId w:val="10"/>
        </w:numPr>
        <w:spacing w:before="0" w:line="480" w:lineRule="auto"/>
        <w:rPr>
          <w:rFonts w:asciiTheme="minorHAnsi" w:hAnsiTheme="minorHAnsi"/>
          <w:b w:val="0"/>
          <w:i/>
          <w:color w:val="000000" w:themeColor="text1"/>
          <w:lang w:val="en-GB"/>
        </w:rPr>
      </w:pPr>
      <w:r w:rsidRPr="00A4442C">
        <w:rPr>
          <w:rFonts w:asciiTheme="minorHAnsi" w:hAnsiTheme="minorHAnsi"/>
          <w:b w:val="0"/>
          <w:i/>
          <w:color w:val="000000" w:themeColor="text1"/>
          <w:lang w:val="en-GB"/>
        </w:rPr>
        <w:t>Citizen-</w:t>
      </w:r>
      <w:r w:rsidR="00E52B28" w:rsidRPr="00A4442C">
        <w:rPr>
          <w:rFonts w:asciiTheme="minorHAnsi" w:hAnsiTheme="minorHAnsi"/>
          <w:b w:val="0"/>
          <w:i/>
          <w:color w:val="000000" w:themeColor="text1"/>
          <w:lang w:val="en-GB"/>
        </w:rPr>
        <w:t>centred approach</w:t>
      </w:r>
    </w:p>
    <w:p w14:paraId="2F585C12" w14:textId="164CA829" w:rsidR="00B07B85" w:rsidRPr="000333A1" w:rsidRDefault="00737ABB" w:rsidP="00C1119E">
      <w:pPr>
        <w:spacing w:after="0" w:line="480" w:lineRule="auto"/>
        <w:rPr>
          <w:lang w:val="en-GB"/>
        </w:rPr>
      </w:pPr>
      <w:r w:rsidRPr="000333A1">
        <w:rPr>
          <w:lang w:val="en-GB"/>
        </w:rPr>
        <w:t>For some years, older people’s movements have been drawing attention to structural and cultural ageism that older people experience</w:t>
      </w:r>
      <w:r w:rsidR="002A7424" w:rsidRPr="000333A1">
        <w:rPr>
          <w:lang w:val="en-GB"/>
        </w:rPr>
        <w:t xml:space="preserve"> and that affect older people’s rights</w:t>
      </w:r>
      <w:r w:rsidR="006C7232" w:rsidRPr="000333A1">
        <w:rPr>
          <w:vertAlign w:val="superscript"/>
          <w:lang w:val="en-GB"/>
        </w:rPr>
        <w:t>11</w:t>
      </w:r>
      <w:r w:rsidRPr="000333A1">
        <w:rPr>
          <w:lang w:val="en-GB"/>
        </w:rPr>
        <w:t xml:space="preserve">. These groups have called for a more inclusive and human rights approach </w:t>
      </w:r>
      <w:r w:rsidR="002A7424" w:rsidRPr="000333A1">
        <w:rPr>
          <w:lang w:val="en-GB"/>
        </w:rPr>
        <w:t>to be incorporated into policy so that an individual’s</w:t>
      </w:r>
      <w:r w:rsidR="00990305" w:rsidRPr="000333A1">
        <w:rPr>
          <w:lang w:val="en-GB"/>
        </w:rPr>
        <w:t xml:space="preserve"> </w:t>
      </w:r>
      <w:r w:rsidR="002A7424" w:rsidRPr="000333A1">
        <w:rPr>
          <w:lang w:val="en-GB"/>
        </w:rPr>
        <w:t>rights and responsibilities</w:t>
      </w:r>
      <w:r w:rsidR="00A166A2" w:rsidRPr="000333A1">
        <w:rPr>
          <w:lang w:val="en-GB"/>
        </w:rPr>
        <w:t xml:space="preserve"> (full citizenship)</w:t>
      </w:r>
      <w:r w:rsidR="002A7424" w:rsidRPr="000333A1">
        <w:rPr>
          <w:lang w:val="en-GB"/>
        </w:rPr>
        <w:t xml:space="preserve">, </w:t>
      </w:r>
      <w:r w:rsidR="00990305" w:rsidRPr="000333A1">
        <w:rPr>
          <w:lang w:val="en-GB"/>
        </w:rPr>
        <w:t xml:space="preserve">irrespective of age, </w:t>
      </w:r>
      <w:r w:rsidR="002A7424" w:rsidRPr="000333A1">
        <w:rPr>
          <w:lang w:val="en-GB"/>
        </w:rPr>
        <w:t>can be realised</w:t>
      </w:r>
      <w:r w:rsidRPr="000333A1">
        <w:rPr>
          <w:lang w:val="en-GB"/>
        </w:rPr>
        <w:t>.</w:t>
      </w:r>
      <w:r w:rsidR="00990305" w:rsidRPr="000333A1">
        <w:rPr>
          <w:lang w:val="en-GB"/>
        </w:rPr>
        <w:t xml:space="preserve"> </w:t>
      </w:r>
      <w:r w:rsidR="007B1255" w:rsidRPr="000333A1">
        <w:rPr>
          <w:lang w:val="en-GB"/>
        </w:rPr>
        <w:t xml:space="preserve">Moreover, instead of looking to older adults </w:t>
      </w:r>
      <w:r w:rsidR="00382EA4" w:rsidRPr="000333A1">
        <w:rPr>
          <w:lang w:val="en-GB"/>
        </w:rPr>
        <w:t>primarily</w:t>
      </w:r>
      <w:r w:rsidR="007B1255" w:rsidRPr="000333A1">
        <w:rPr>
          <w:lang w:val="en-GB"/>
        </w:rPr>
        <w:t xml:space="preserve"> in terms of frailty, there is a need to</w:t>
      </w:r>
      <w:r w:rsidR="00C51F9B" w:rsidRPr="000333A1">
        <w:rPr>
          <w:lang w:val="en-GB"/>
        </w:rPr>
        <w:t xml:space="preserve"> </w:t>
      </w:r>
      <w:r w:rsidR="00382EA4" w:rsidRPr="000333A1">
        <w:rPr>
          <w:lang w:val="en-GB"/>
        </w:rPr>
        <w:t>emphasise</w:t>
      </w:r>
      <w:r w:rsidR="007B1255" w:rsidRPr="000333A1">
        <w:rPr>
          <w:lang w:val="en-GB"/>
        </w:rPr>
        <w:t xml:space="preserve"> the resilience and the ability </w:t>
      </w:r>
      <w:r w:rsidR="00382EA4" w:rsidRPr="000333A1">
        <w:rPr>
          <w:lang w:val="en-GB"/>
        </w:rPr>
        <w:t xml:space="preserve">of older people </w:t>
      </w:r>
      <w:r w:rsidR="007B1255" w:rsidRPr="000333A1">
        <w:rPr>
          <w:lang w:val="en-GB"/>
        </w:rPr>
        <w:t>to overcome losses, adapt and regain independence</w:t>
      </w:r>
      <w:r w:rsidR="00C1119E">
        <w:rPr>
          <w:lang w:val="en-GB"/>
        </w:rPr>
        <w:t>;</w:t>
      </w:r>
    </w:p>
    <w:p w14:paraId="6BD0DC34" w14:textId="77777777" w:rsidR="00F561AD" w:rsidRPr="00A4442C" w:rsidRDefault="00C83EEC" w:rsidP="00C1119E">
      <w:pPr>
        <w:pStyle w:val="Heading3"/>
        <w:numPr>
          <w:ilvl w:val="0"/>
          <w:numId w:val="10"/>
        </w:numPr>
        <w:spacing w:before="0" w:line="480" w:lineRule="auto"/>
        <w:rPr>
          <w:rFonts w:asciiTheme="minorHAnsi" w:hAnsiTheme="minorHAnsi"/>
          <w:b w:val="0"/>
          <w:i/>
          <w:color w:val="000000" w:themeColor="text1"/>
          <w:lang w:val="en-GB"/>
        </w:rPr>
      </w:pPr>
      <w:r w:rsidRPr="00A4442C">
        <w:rPr>
          <w:rFonts w:asciiTheme="minorHAnsi" w:hAnsiTheme="minorHAnsi"/>
          <w:b w:val="0"/>
          <w:i/>
          <w:color w:val="000000" w:themeColor="text1"/>
          <w:lang w:val="en-GB"/>
        </w:rPr>
        <w:t>Changing the locus of expertise</w:t>
      </w:r>
    </w:p>
    <w:p w14:paraId="023AA74C" w14:textId="312FA32F" w:rsidR="00B07B85" w:rsidRPr="000333A1" w:rsidRDefault="00F561AD" w:rsidP="00C1119E">
      <w:pPr>
        <w:spacing w:after="0" w:line="480" w:lineRule="auto"/>
        <w:rPr>
          <w:lang w:val="en-GB"/>
        </w:rPr>
      </w:pPr>
      <w:r w:rsidRPr="000333A1">
        <w:rPr>
          <w:lang w:val="en-GB"/>
        </w:rPr>
        <w:t xml:space="preserve">Ongoing debates about </w:t>
      </w:r>
      <w:r w:rsidR="00285398" w:rsidRPr="000333A1">
        <w:rPr>
          <w:lang w:val="en-GB"/>
        </w:rPr>
        <w:t>what constitutes</w:t>
      </w:r>
      <w:r w:rsidR="003E67C8" w:rsidRPr="000333A1">
        <w:rPr>
          <w:lang w:val="en-GB"/>
        </w:rPr>
        <w:t>,</w:t>
      </w:r>
      <w:r w:rsidR="00285398" w:rsidRPr="000333A1">
        <w:rPr>
          <w:lang w:val="en-GB"/>
        </w:rPr>
        <w:t xml:space="preserve"> and who holds</w:t>
      </w:r>
      <w:r w:rsidR="003E67C8" w:rsidRPr="000333A1">
        <w:rPr>
          <w:lang w:val="en-GB"/>
        </w:rPr>
        <w:t>,</w:t>
      </w:r>
      <w:r w:rsidR="00285398" w:rsidRPr="000333A1">
        <w:rPr>
          <w:lang w:val="en-GB"/>
        </w:rPr>
        <w:t xml:space="preserve"> expertise in caring relationships have culminated in</w:t>
      </w:r>
      <w:r w:rsidRPr="000333A1">
        <w:rPr>
          <w:lang w:val="en-GB"/>
        </w:rPr>
        <w:t xml:space="preserve"> services increasingly look</w:t>
      </w:r>
      <w:r w:rsidR="00285398" w:rsidRPr="000333A1">
        <w:rPr>
          <w:lang w:val="en-GB"/>
        </w:rPr>
        <w:t>ing</w:t>
      </w:r>
      <w:r w:rsidRPr="000333A1">
        <w:rPr>
          <w:lang w:val="en-GB"/>
        </w:rPr>
        <w:t xml:space="preserve"> to build </w:t>
      </w:r>
      <w:r w:rsidR="00285398" w:rsidRPr="000333A1">
        <w:rPr>
          <w:lang w:val="en-GB"/>
        </w:rPr>
        <w:t xml:space="preserve">equal partnerships between professionals and the person using the service. </w:t>
      </w:r>
      <w:r w:rsidR="00C83EEC" w:rsidRPr="000333A1">
        <w:rPr>
          <w:lang w:val="en-GB"/>
        </w:rPr>
        <w:t xml:space="preserve">In this context, professional expertise is </w:t>
      </w:r>
      <w:r w:rsidR="0050786D" w:rsidRPr="000333A1">
        <w:rPr>
          <w:lang w:val="en-GB"/>
        </w:rPr>
        <w:t xml:space="preserve">ideally </w:t>
      </w:r>
      <w:r w:rsidR="00C83EEC" w:rsidRPr="000333A1">
        <w:rPr>
          <w:lang w:val="en-GB"/>
        </w:rPr>
        <w:t xml:space="preserve">limited to </w:t>
      </w:r>
      <w:r w:rsidR="0050786D" w:rsidRPr="000333A1">
        <w:rPr>
          <w:lang w:val="en-GB"/>
        </w:rPr>
        <w:t>clinical/</w:t>
      </w:r>
      <w:r w:rsidR="00C83EEC" w:rsidRPr="000333A1">
        <w:rPr>
          <w:lang w:val="en-GB"/>
        </w:rPr>
        <w:t xml:space="preserve">technical aspects of support and </w:t>
      </w:r>
      <w:r w:rsidR="0050786D" w:rsidRPr="000333A1">
        <w:rPr>
          <w:lang w:val="en-GB"/>
        </w:rPr>
        <w:t xml:space="preserve">knowledge of formal </w:t>
      </w:r>
      <w:r w:rsidR="00C83EEC" w:rsidRPr="000333A1">
        <w:rPr>
          <w:lang w:val="en-GB"/>
        </w:rPr>
        <w:t>service structures whilst the person is considered an expert in their own life and what works for them</w:t>
      </w:r>
      <w:r w:rsidR="00C1119E">
        <w:rPr>
          <w:lang w:val="en-GB"/>
        </w:rPr>
        <w:t>;</w:t>
      </w:r>
    </w:p>
    <w:p w14:paraId="1F30D100" w14:textId="77777777" w:rsidR="003E67C8" w:rsidRPr="00A4442C" w:rsidRDefault="00C83EEC" w:rsidP="00C1119E">
      <w:pPr>
        <w:pStyle w:val="Heading3"/>
        <w:numPr>
          <w:ilvl w:val="0"/>
          <w:numId w:val="10"/>
        </w:numPr>
        <w:spacing w:before="0" w:line="480" w:lineRule="auto"/>
        <w:rPr>
          <w:rFonts w:asciiTheme="minorHAnsi" w:hAnsiTheme="minorHAnsi"/>
          <w:b w:val="0"/>
          <w:i/>
          <w:color w:val="000000" w:themeColor="text1"/>
          <w:lang w:val="en-GB"/>
        </w:rPr>
      </w:pPr>
      <w:r w:rsidRPr="00A4442C">
        <w:rPr>
          <w:rFonts w:asciiTheme="minorHAnsi" w:hAnsiTheme="minorHAnsi"/>
          <w:b w:val="0"/>
          <w:i/>
          <w:color w:val="000000" w:themeColor="text1"/>
          <w:lang w:val="en-GB"/>
        </w:rPr>
        <w:t>Individuals as resources</w:t>
      </w:r>
    </w:p>
    <w:p w14:paraId="478D9564" w14:textId="4A26D6F4" w:rsidR="00B07B85" w:rsidRPr="000333A1" w:rsidRDefault="003E0EF9" w:rsidP="00C1119E">
      <w:pPr>
        <w:spacing w:after="0" w:line="480" w:lineRule="auto"/>
        <w:rPr>
          <w:lang w:val="en-GB"/>
        </w:rPr>
      </w:pPr>
      <w:r w:rsidRPr="000333A1">
        <w:rPr>
          <w:lang w:val="en-GB"/>
        </w:rPr>
        <w:t>Narratives are increasingly portraying in</w:t>
      </w:r>
      <w:r w:rsidR="00D95B22" w:rsidRPr="000333A1">
        <w:rPr>
          <w:lang w:val="en-GB"/>
        </w:rPr>
        <w:t xml:space="preserve">dividuals through an economic lens </w:t>
      </w:r>
      <w:r w:rsidR="00621B1B" w:rsidRPr="000333A1">
        <w:rPr>
          <w:lang w:val="en-GB"/>
        </w:rPr>
        <w:t>whereby</w:t>
      </w:r>
      <w:r w:rsidR="00D95B22" w:rsidRPr="000333A1">
        <w:rPr>
          <w:lang w:val="en-GB"/>
        </w:rPr>
        <w:t xml:space="preserve"> </w:t>
      </w:r>
      <w:r w:rsidR="00F561AD" w:rsidRPr="000333A1">
        <w:rPr>
          <w:lang w:val="en-GB"/>
        </w:rPr>
        <w:t xml:space="preserve">older people are </w:t>
      </w:r>
      <w:r w:rsidR="00D95B22" w:rsidRPr="000333A1">
        <w:rPr>
          <w:lang w:val="en-GB"/>
        </w:rPr>
        <w:t xml:space="preserve">viewed </w:t>
      </w:r>
      <w:r w:rsidR="00621B1B" w:rsidRPr="000333A1">
        <w:rPr>
          <w:lang w:val="en-GB"/>
        </w:rPr>
        <w:t xml:space="preserve">as </w:t>
      </w:r>
      <w:r w:rsidR="00F561AD" w:rsidRPr="000333A1">
        <w:rPr>
          <w:lang w:val="en-GB"/>
        </w:rPr>
        <w:t>a major social and economic resource</w:t>
      </w:r>
      <w:r w:rsidR="00621B1B" w:rsidRPr="000333A1">
        <w:rPr>
          <w:lang w:val="en-GB"/>
        </w:rPr>
        <w:t>; a resource</w:t>
      </w:r>
      <w:r w:rsidR="00D83200" w:rsidRPr="000333A1">
        <w:rPr>
          <w:lang w:val="en-GB"/>
        </w:rPr>
        <w:t xml:space="preserve"> </w:t>
      </w:r>
      <w:r w:rsidR="00621B1B" w:rsidRPr="000333A1">
        <w:rPr>
          <w:lang w:val="en-GB"/>
        </w:rPr>
        <w:t>that</w:t>
      </w:r>
      <w:r w:rsidR="00D83200" w:rsidRPr="000333A1">
        <w:rPr>
          <w:lang w:val="en-GB"/>
        </w:rPr>
        <w:t xml:space="preserve"> </w:t>
      </w:r>
      <w:r w:rsidR="00621B1B" w:rsidRPr="000333A1">
        <w:rPr>
          <w:lang w:val="en-GB"/>
        </w:rPr>
        <w:t xml:space="preserve">cannot be fully </w:t>
      </w:r>
      <w:r w:rsidR="00F561AD" w:rsidRPr="000333A1">
        <w:rPr>
          <w:lang w:val="en-GB"/>
        </w:rPr>
        <w:t>harness</w:t>
      </w:r>
      <w:r w:rsidR="00D83200" w:rsidRPr="000333A1">
        <w:rPr>
          <w:lang w:val="en-GB"/>
        </w:rPr>
        <w:t>ed</w:t>
      </w:r>
      <w:r w:rsidR="00F561AD" w:rsidRPr="000333A1">
        <w:rPr>
          <w:lang w:val="en-GB"/>
        </w:rPr>
        <w:t xml:space="preserve"> if older p</w:t>
      </w:r>
      <w:r w:rsidR="00D83200" w:rsidRPr="000333A1">
        <w:rPr>
          <w:lang w:val="en-GB"/>
        </w:rPr>
        <w:t xml:space="preserve">eople’s contribution to society is not maximised. </w:t>
      </w:r>
      <w:r w:rsidR="00F74834" w:rsidRPr="000333A1">
        <w:rPr>
          <w:lang w:val="en-GB"/>
        </w:rPr>
        <w:t xml:space="preserve">Loss to the economy might also be realised where </w:t>
      </w:r>
      <w:r w:rsidR="00F561AD" w:rsidRPr="000333A1">
        <w:rPr>
          <w:lang w:val="en-GB"/>
        </w:rPr>
        <w:t>people of working age leave employment to take on caring responsibilities for older family members who, without this, would be insufficiently supported</w:t>
      </w:r>
      <w:r w:rsidR="00C1119E">
        <w:rPr>
          <w:lang w:val="en-GB"/>
        </w:rPr>
        <w:t>;</w:t>
      </w:r>
    </w:p>
    <w:p w14:paraId="1DA906AE" w14:textId="77777777" w:rsidR="00F74834" w:rsidRPr="00A4442C" w:rsidRDefault="00F74834" w:rsidP="00C1119E">
      <w:pPr>
        <w:pStyle w:val="Heading3"/>
        <w:numPr>
          <w:ilvl w:val="0"/>
          <w:numId w:val="10"/>
        </w:numPr>
        <w:spacing w:before="0" w:line="480" w:lineRule="auto"/>
        <w:rPr>
          <w:rFonts w:asciiTheme="minorHAnsi" w:hAnsiTheme="minorHAnsi"/>
          <w:b w:val="0"/>
          <w:i/>
          <w:color w:val="000000" w:themeColor="text1"/>
          <w:lang w:val="en-GB"/>
        </w:rPr>
      </w:pPr>
      <w:r w:rsidRPr="00A4442C">
        <w:rPr>
          <w:rFonts w:asciiTheme="minorHAnsi" w:hAnsiTheme="minorHAnsi"/>
          <w:b w:val="0"/>
          <w:i/>
          <w:color w:val="000000" w:themeColor="text1"/>
          <w:lang w:val="en-GB"/>
        </w:rPr>
        <w:t>Integration</w:t>
      </w:r>
    </w:p>
    <w:p w14:paraId="48FDFC01" w14:textId="61350DDA" w:rsidR="00B07B85" w:rsidRPr="000333A1" w:rsidRDefault="00991E76" w:rsidP="00C1119E">
      <w:pPr>
        <w:spacing w:after="0" w:line="480" w:lineRule="auto"/>
        <w:rPr>
          <w:lang w:val="en-GB"/>
        </w:rPr>
      </w:pPr>
      <w:r w:rsidRPr="000333A1">
        <w:rPr>
          <w:lang w:val="en-GB"/>
        </w:rPr>
        <w:t>There is a growing recognition by f</w:t>
      </w:r>
      <w:r w:rsidR="00F561AD" w:rsidRPr="000333A1">
        <w:rPr>
          <w:lang w:val="en-GB"/>
        </w:rPr>
        <w:t xml:space="preserve">ront-line practitioners that organising services on the basis of professional </w:t>
      </w:r>
      <w:r w:rsidRPr="000333A1">
        <w:rPr>
          <w:lang w:val="en-GB"/>
        </w:rPr>
        <w:t>and organisational silos leads to poor outcomes</w:t>
      </w:r>
      <w:r w:rsidR="005F78E5" w:rsidRPr="000333A1">
        <w:rPr>
          <w:lang w:val="en-GB"/>
        </w:rPr>
        <w:t xml:space="preserve">, </w:t>
      </w:r>
      <w:r w:rsidR="00F561AD" w:rsidRPr="000333A1">
        <w:rPr>
          <w:lang w:val="en-GB"/>
        </w:rPr>
        <w:t>fails to make the best use of the skills of the multi-disciplinary team</w:t>
      </w:r>
      <w:r w:rsidR="005F78E5" w:rsidRPr="000333A1">
        <w:rPr>
          <w:lang w:val="en-GB"/>
        </w:rPr>
        <w:t xml:space="preserve"> and demotivates staff</w:t>
      </w:r>
      <w:r w:rsidRPr="000333A1">
        <w:rPr>
          <w:lang w:val="en-GB"/>
        </w:rPr>
        <w:t xml:space="preserve">. Instead, professionals are increasingly </w:t>
      </w:r>
      <w:r w:rsidRPr="000333A1">
        <w:rPr>
          <w:lang w:val="en-GB"/>
        </w:rPr>
        <w:lastRenderedPageBreak/>
        <w:t xml:space="preserve">interested in </w:t>
      </w:r>
      <w:r w:rsidR="00E53862" w:rsidRPr="000333A1">
        <w:rPr>
          <w:lang w:val="en-GB"/>
        </w:rPr>
        <w:t>integrated care where there is the potential to deliver the kind of inter-disciplinary support they believe older people deserve,</w:t>
      </w:r>
      <w:r w:rsidR="005F78E5" w:rsidRPr="000333A1">
        <w:rPr>
          <w:lang w:val="en-GB"/>
        </w:rPr>
        <w:t xml:space="preserve"> increasing job satisfaction and improving</w:t>
      </w:r>
      <w:r w:rsidR="00F561AD" w:rsidRPr="000333A1">
        <w:rPr>
          <w:lang w:val="en-GB"/>
        </w:rPr>
        <w:t xml:space="preserve"> recruitment and retention</w:t>
      </w:r>
      <w:r w:rsidR="00C1119E">
        <w:rPr>
          <w:lang w:val="en-GB"/>
        </w:rPr>
        <w:t>;</w:t>
      </w:r>
    </w:p>
    <w:p w14:paraId="52B98169" w14:textId="77777777" w:rsidR="005B1C56" w:rsidRPr="00A4442C" w:rsidRDefault="005B1C56" w:rsidP="00C1119E">
      <w:pPr>
        <w:pStyle w:val="Heading3"/>
        <w:numPr>
          <w:ilvl w:val="0"/>
          <w:numId w:val="10"/>
        </w:numPr>
        <w:spacing w:before="0" w:line="480" w:lineRule="auto"/>
        <w:rPr>
          <w:rFonts w:asciiTheme="minorHAnsi" w:hAnsiTheme="minorHAnsi"/>
          <w:b w:val="0"/>
          <w:i/>
          <w:color w:val="000000" w:themeColor="text1"/>
          <w:lang w:val="en-GB"/>
        </w:rPr>
      </w:pPr>
      <w:r w:rsidRPr="00A4442C">
        <w:rPr>
          <w:rFonts w:asciiTheme="minorHAnsi" w:hAnsiTheme="minorHAnsi"/>
          <w:b w:val="0"/>
          <w:i/>
          <w:color w:val="000000" w:themeColor="text1"/>
          <w:lang w:val="en-GB"/>
        </w:rPr>
        <w:t>Cost-containment</w:t>
      </w:r>
    </w:p>
    <w:p w14:paraId="31A68B30" w14:textId="77777777" w:rsidR="00F561AD" w:rsidRPr="000333A1" w:rsidRDefault="0050786D" w:rsidP="00C1119E">
      <w:pPr>
        <w:spacing w:after="0" w:line="480" w:lineRule="auto"/>
        <w:rPr>
          <w:lang w:val="en-GB"/>
        </w:rPr>
      </w:pPr>
      <w:r w:rsidRPr="000333A1">
        <w:rPr>
          <w:lang w:val="en-GB"/>
        </w:rPr>
        <w:t>Not least because costs for long-term care is expected to double within the next 50 years</w:t>
      </w:r>
      <w:r w:rsidR="006C7232" w:rsidRPr="000333A1">
        <w:rPr>
          <w:vertAlign w:val="superscript"/>
          <w:lang w:val="en-GB"/>
        </w:rPr>
        <w:t>10</w:t>
      </w:r>
      <w:r w:rsidRPr="000333A1">
        <w:rPr>
          <w:lang w:val="en-GB"/>
        </w:rPr>
        <w:t>, b</w:t>
      </w:r>
      <w:r w:rsidR="00F561AD" w:rsidRPr="000333A1">
        <w:rPr>
          <w:lang w:val="en-GB"/>
        </w:rPr>
        <w:t>udget</w:t>
      </w:r>
      <w:r w:rsidRPr="000333A1">
        <w:rPr>
          <w:lang w:val="en-GB"/>
        </w:rPr>
        <w:t>-</w:t>
      </w:r>
      <w:r w:rsidR="00F561AD" w:rsidRPr="000333A1">
        <w:rPr>
          <w:lang w:val="en-GB"/>
        </w:rPr>
        <w:t>holders</w:t>
      </w:r>
      <w:r w:rsidR="00D733F3" w:rsidRPr="000333A1">
        <w:rPr>
          <w:lang w:val="en-GB"/>
        </w:rPr>
        <w:t xml:space="preserve"> at the organisational and at local and national governmental level</w:t>
      </w:r>
      <w:r w:rsidRPr="000333A1">
        <w:rPr>
          <w:lang w:val="en-GB"/>
        </w:rPr>
        <w:t>s</w:t>
      </w:r>
      <w:r w:rsidR="00D733F3" w:rsidRPr="000333A1">
        <w:rPr>
          <w:lang w:val="en-GB"/>
        </w:rPr>
        <w:t xml:space="preserve"> </w:t>
      </w:r>
      <w:r w:rsidR="00F561AD" w:rsidRPr="000333A1">
        <w:rPr>
          <w:lang w:val="en-GB"/>
        </w:rPr>
        <w:t xml:space="preserve"> </w:t>
      </w:r>
      <w:r w:rsidRPr="000333A1">
        <w:rPr>
          <w:lang w:val="en-GB"/>
        </w:rPr>
        <w:t xml:space="preserve">aspire </w:t>
      </w:r>
      <w:r w:rsidR="00F561AD" w:rsidRPr="000333A1">
        <w:rPr>
          <w:lang w:val="en-GB"/>
        </w:rPr>
        <w:t>to ma</w:t>
      </w:r>
      <w:r w:rsidR="00D733F3" w:rsidRPr="000333A1">
        <w:rPr>
          <w:lang w:val="en-GB"/>
        </w:rPr>
        <w:t>ke best use of scarce resources</w:t>
      </w:r>
      <w:r w:rsidR="00F561AD" w:rsidRPr="000333A1">
        <w:rPr>
          <w:lang w:val="en-GB"/>
        </w:rPr>
        <w:t>, either to get the best</w:t>
      </w:r>
      <w:r w:rsidR="00D733F3" w:rsidRPr="000333A1">
        <w:rPr>
          <w:lang w:val="en-GB"/>
        </w:rPr>
        <w:t xml:space="preserve"> outcomes from existing funding</w:t>
      </w:r>
      <w:r w:rsidR="00F561AD" w:rsidRPr="000333A1">
        <w:rPr>
          <w:lang w:val="en-GB"/>
        </w:rPr>
        <w:t xml:space="preserve"> or</w:t>
      </w:r>
      <w:r w:rsidR="00D733F3" w:rsidRPr="000333A1">
        <w:rPr>
          <w:lang w:val="en-GB"/>
        </w:rPr>
        <w:t>, where possible</w:t>
      </w:r>
      <w:r w:rsidRPr="000333A1">
        <w:rPr>
          <w:lang w:val="en-GB"/>
        </w:rPr>
        <w:t>,</w:t>
      </w:r>
      <w:r w:rsidR="00F561AD" w:rsidRPr="000333A1">
        <w:rPr>
          <w:lang w:val="en-GB"/>
        </w:rPr>
        <w:t xml:space="preserve"> to save money</w:t>
      </w:r>
      <w:r w:rsidR="00D733F3" w:rsidRPr="000333A1">
        <w:rPr>
          <w:lang w:val="en-GB"/>
        </w:rPr>
        <w:t xml:space="preserve"> whilst achieving the same outcomes</w:t>
      </w:r>
      <w:r w:rsidR="00A05661" w:rsidRPr="000333A1">
        <w:rPr>
          <w:lang w:val="en-GB"/>
        </w:rPr>
        <w:t>.</w:t>
      </w:r>
    </w:p>
    <w:p w14:paraId="5D367572" w14:textId="77777777" w:rsidR="00D733F3" w:rsidRPr="000333A1" w:rsidRDefault="00D733F3" w:rsidP="004A4664">
      <w:pPr>
        <w:spacing w:after="0" w:line="480" w:lineRule="auto"/>
        <w:rPr>
          <w:b/>
          <w:lang w:val="en-GB"/>
        </w:rPr>
      </w:pPr>
    </w:p>
    <w:p w14:paraId="0D447B6C" w14:textId="77777777" w:rsidR="00382EA4" w:rsidRPr="000333A1" w:rsidRDefault="00404364" w:rsidP="004A4664">
      <w:pPr>
        <w:pStyle w:val="CommentText"/>
        <w:spacing w:after="0" w:line="480" w:lineRule="auto"/>
        <w:rPr>
          <w:sz w:val="22"/>
          <w:szCs w:val="22"/>
          <w:lang w:val="en-GB"/>
        </w:rPr>
      </w:pPr>
      <w:r w:rsidRPr="000333A1">
        <w:rPr>
          <w:sz w:val="22"/>
          <w:szCs w:val="22"/>
          <w:lang w:val="en-GB"/>
        </w:rPr>
        <w:t xml:space="preserve">Although </w:t>
      </w:r>
      <w:r w:rsidR="0050786D" w:rsidRPr="000333A1">
        <w:rPr>
          <w:sz w:val="22"/>
          <w:szCs w:val="22"/>
          <w:lang w:val="en-GB"/>
        </w:rPr>
        <w:t xml:space="preserve">the </w:t>
      </w:r>
      <w:r w:rsidR="00382EA4" w:rsidRPr="000333A1">
        <w:rPr>
          <w:sz w:val="22"/>
          <w:szCs w:val="22"/>
          <w:lang w:val="en-GB"/>
        </w:rPr>
        <w:t xml:space="preserve">way </w:t>
      </w:r>
      <w:r w:rsidR="0050786D" w:rsidRPr="000333A1">
        <w:rPr>
          <w:sz w:val="22"/>
          <w:szCs w:val="22"/>
          <w:lang w:val="en-GB"/>
        </w:rPr>
        <w:t xml:space="preserve">that </w:t>
      </w:r>
      <w:r w:rsidR="00382EA4" w:rsidRPr="000333A1">
        <w:rPr>
          <w:sz w:val="22"/>
          <w:szCs w:val="22"/>
          <w:lang w:val="en-GB"/>
        </w:rPr>
        <w:t>these trends play out in different countries might be different</w:t>
      </w:r>
      <w:r w:rsidR="00382EA4" w:rsidRPr="000333A1">
        <w:rPr>
          <w:sz w:val="22"/>
          <w:szCs w:val="22"/>
          <w:vertAlign w:val="superscript"/>
          <w:lang w:val="en-GB"/>
        </w:rPr>
        <w:t>(</w:t>
      </w:r>
      <w:r w:rsidR="006C7232" w:rsidRPr="000333A1">
        <w:rPr>
          <w:sz w:val="22"/>
          <w:szCs w:val="22"/>
          <w:vertAlign w:val="superscript"/>
          <w:lang w:val="en-GB"/>
        </w:rPr>
        <w:t>12)</w:t>
      </w:r>
      <w:r w:rsidR="00A05661" w:rsidRPr="000333A1">
        <w:rPr>
          <w:sz w:val="22"/>
          <w:szCs w:val="22"/>
          <w:lang w:val="en-GB"/>
        </w:rPr>
        <w:t xml:space="preserve">, </w:t>
      </w:r>
      <w:r w:rsidR="0050786D" w:rsidRPr="000333A1">
        <w:rPr>
          <w:sz w:val="22"/>
          <w:szCs w:val="22"/>
          <w:lang w:val="en-GB"/>
        </w:rPr>
        <w:t xml:space="preserve">reablement has been adopted internationally as a means of responding to them. Perhaps the inherent </w:t>
      </w:r>
      <w:r w:rsidR="00382EA4" w:rsidRPr="000333A1">
        <w:rPr>
          <w:sz w:val="22"/>
          <w:szCs w:val="22"/>
          <w:lang w:val="en-GB"/>
        </w:rPr>
        <w:t xml:space="preserve">flexibility and holistic nature of reablement means that these </w:t>
      </w:r>
      <w:r w:rsidR="0050786D" w:rsidRPr="000333A1">
        <w:rPr>
          <w:sz w:val="22"/>
          <w:szCs w:val="22"/>
          <w:lang w:val="en-GB"/>
        </w:rPr>
        <w:t xml:space="preserve">national, cultural </w:t>
      </w:r>
      <w:r w:rsidR="00382EA4" w:rsidRPr="000333A1">
        <w:rPr>
          <w:sz w:val="22"/>
          <w:szCs w:val="22"/>
          <w:lang w:val="en-GB"/>
        </w:rPr>
        <w:t xml:space="preserve">differences </w:t>
      </w:r>
      <w:r w:rsidR="0050786D" w:rsidRPr="000333A1">
        <w:rPr>
          <w:sz w:val="22"/>
          <w:szCs w:val="22"/>
          <w:lang w:val="en-GB"/>
        </w:rPr>
        <w:t>can</w:t>
      </w:r>
      <w:r w:rsidR="00382EA4" w:rsidRPr="000333A1">
        <w:rPr>
          <w:sz w:val="22"/>
          <w:szCs w:val="22"/>
          <w:lang w:val="en-GB"/>
        </w:rPr>
        <w:t xml:space="preserve"> be accommodated </w:t>
      </w:r>
      <w:r w:rsidR="0050786D" w:rsidRPr="000333A1">
        <w:rPr>
          <w:sz w:val="22"/>
          <w:szCs w:val="22"/>
          <w:lang w:val="en-GB"/>
        </w:rPr>
        <w:t>within</w:t>
      </w:r>
      <w:r w:rsidR="00382EA4" w:rsidRPr="000333A1">
        <w:rPr>
          <w:sz w:val="22"/>
          <w:szCs w:val="22"/>
          <w:lang w:val="en-GB"/>
        </w:rPr>
        <w:t xml:space="preserve"> the aims</w:t>
      </w:r>
      <w:r w:rsidR="0050786D" w:rsidRPr="000333A1">
        <w:rPr>
          <w:sz w:val="22"/>
          <w:szCs w:val="22"/>
          <w:lang w:val="en-GB"/>
        </w:rPr>
        <w:t xml:space="preserve"> and key features of reablement and thus, might explain the international interest in this policy and practice initiative.</w:t>
      </w:r>
    </w:p>
    <w:p w14:paraId="781B1573" w14:textId="77777777" w:rsidR="00573677" w:rsidRPr="00C1119E" w:rsidRDefault="00573677" w:rsidP="00C1119E"/>
    <w:p w14:paraId="7BEB4E9D" w14:textId="349C1A2C" w:rsidR="00F561AD" w:rsidRPr="00A4442C" w:rsidRDefault="00C1119E" w:rsidP="004A4664">
      <w:pPr>
        <w:pStyle w:val="Heading2"/>
        <w:spacing w:before="0" w:line="480" w:lineRule="auto"/>
        <w:rPr>
          <w:rFonts w:asciiTheme="minorHAnsi" w:hAnsiTheme="minorHAnsi"/>
          <w:color w:val="000000" w:themeColor="text1"/>
          <w:sz w:val="22"/>
          <w:szCs w:val="22"/>
          <w:lang w:val="en-GB"/>
        </w:rPr>
      </w:pPr>
      <w:r w:rsidRPr="00A4442C">
        <w:rPr>
          <w:rFonts w:asciiTheme="minorHAnsi" w:hAnsiTheme="minorHAnsi"/>
          <w:color w:val="000000" w:themeColor="text1"/>
          <w:sz w:val="22"/>
          <w:szCs w:val="22"/>
          <w:lang w:val="en-GB"/>
        </w:rPr>
        <w:t>Terminology</w:t>
      </w:r>
      <w:r w:rsidR="00573677" w:rsidRPr="00A4442C">
        <w:rPr>
          <w:rFonts w:asciiTheme="minorHAnsi" w:hAnsiTheme="minorHAnsi"/>
          <w:color w:val="000000" w:themeColor="text1"/>
          <w:sz w:val="22"/>
          <w:szCs w:val="22"/>
          <w:lang w:val="en-GB"/>
        </w:rPr>
        <w:t xml:space="preserve"> and key features</w:t>
      </w:r>
    </w:p>
    <w:p w14:paraId="0D33E316" w14:textId="77777777" w:rsidR="00C52A09" w:rsidRPr="000333A1" w:rsidRDefault="004E577E" w:rsidP="004A4664">
      <w:pPr>
        <w:spacing w:after="0" w:line="480" w:lineRule="auto"/>
        <w:rPr>
          <w:lang w:val="en-GB"/>
        </w:rPr>
      </w:pPr>
      <w:r w:rsidRPr="000333A1">
        <w:rPr>
          <w:lang w:val="en-GB"/>
        </w:rPr>
        <w:t>As the</w:t>
      </w:r>
      <w:r w:rsidR="004963AB" w:rsidRPr="000333A1">
        <w:rPr>
          <w:lang w:val="en-GB"/>
        </w:rPr>
        <w:t xml:space="preserve"> </w:t>
      </w:r>
      <w:r w:rsidR="00F561AD" w:rsidRPr="000333A1">
        <w:rPr>
          <w:lang w:val="en-GB"/>
        </w:rPr>
        <w:t xml:space="preserve">structure of reablement services </w:t>
      </w:r>
      <w:r w:rsidR="00C52A09" w:rsidRPr="000333A1">
        <w:rPr>
          <w:lang w:val="en-GB"/>
        </w:rPr>
        <w:t>differ</w:t>
      </w:r>
      <w:r w:rsidRPr="000333A1">
        <w:rPr>
          <w:lang w:val="en-GB"/>
        </w:rPr>
        <w:t>s</w:t>
      </w:r>
      <w:r w:rsidR="00F561AD" w:rsidRPr="000333A1">
        <w:rPr>
          <w:lang w:val="en-GB"/>
        </w:rPr>
        <w:t xml:space="preserve"> across</w:t>
      </w:r>
      <w:r w:rsidR="004963AB" w:rsidRPr="000333A1">
        <w:rPr>
          <w:lang w:val="en-GB"/>
        </w:rPr>
        <w:t xml:space="preserve">, and even within, countries </w:t>
      </w:r>
      <w:r w:rsidRPr="000333A1">
        <w:rPr>
          <w:lang w:val="en-GB"/>
        </w:rPr>
        <w:t xml:space="preserve">and it being a   person-centred intervention, </w:t>
      </w:r>
      <w:r w:rsidR="004963AB" w:rsidRPr="000333A1">
        <w:rPr>
          <w:lang w:val="en-GB"/>
        </w:rPr>
        <w:t>providing</w:t>
      </w:r>
      <w:r w:rsidR="00C52A09" w:rsidRPr="000333A1">
        <w:rPr>
          <w:lang w:val="en-GB"/>
        </w:rPr>
        <w:t xml:space="preserve"> a definitive description of what reablement looks like</w:t>
      </w:r>
      <w:r w:rsidRPr="000333A1">
        <w:rPr>
          <w:lang w:val="en-GB"/>
        </w:rPr>
        <w:t>,</w:t>
      </w:r>
      <w:r w:rsidR="004963AB" w:rsidRPr="000333A1">
        <w:rPr>
          <w:lang w:val="en-GB"/>
        </w:rPr>
        <w:t xml:space="preserve"> is impossible</w:t>
      </w:r>
      <w:r w:rsidR="00C52A09" w:rsidRPr="000333A1">
        <w:rPr>
          <w:lang w:val="en-GB"/>
        </w:rPr>
        <w:t xml:space="preserve">. </w:t>
      </w:r>
      <w:r w:rsidR="00A05661" w:rsidRPr="000333A1">
        <w:rPr>
          <w:lang w:val="en-GB"/>
        </w:rPr>
        <w:t xml:space="preserve">However, the </w:t>
      </w:r>
      <w:r w:rsidR="007B1255" w:rsidRPr="000333A1">
        <w:rPr>
          <w:lang w:val="en-GB"/>
        </w:rPr>
        <w:t>large range of reablement provisions</w:t>
      </w:r>
      <w:r w:rsidR="004963AB" w:rsidRPr="000333A1">
        <w:rPr>
          <w:lang w:val="en-GB"/>
        </w:rPr>
        <w:t xml:space="preserve"> </w:t>
      </w:r>
      <w:r w:rsidR="007B1255" w:rsidRPr="000333A1">
        <w:rPr>
          <w:lang w:val="en-GB"/>
        </w:rPr>
        <w:t xml:space="preserve">share </w:t>
      </w:r>
      <w:r w:rsidR="004963AB" w:rsidRPr="000333A1">
        <w:rPr>
          <w:lang w:val="en-GB"/>
        </w:rPr>
        <w:t xml:space="preserve">several </w:t>
      </w:r>
      <w:r w:rsidR="00C52A09" w:rsidRPr="000333A1">
        <w:rPr>
          <w:lang w:val="en-GB"/>
        </w:rPr>
        <w:t>key features</w:t>
      </w:r>
      <w:r w:rsidR="007B1255" w:rsidRPr="000333A1">
        <w:rPr>
          <w:lang w:val="en-GB"/>
        </w:rPr>
        <w:t>.</w:t>
      </w:r>
    </w:p>
    <w:p w14:paraId="1A9B74D2" w14:textId="77777777" w:rsidR="00C52A09" w:rsidRPr="000333A1" w:rsidRDefault="00C52A09" w:rsidP="004A4664">
      <w:pPr>
        <w:spacing w:after="0" w:line="480" w:lineRule="auto"/>
        <w:rPr>
          <w:lang w:val="en-GB"/>
        </w:rPr>
      </w:pPr>
    </w:p>
    <w:p w14:paraId="58DD6E1C" w14:textId="357743F3" w:rsidR="00656741" w:rsidRPr="000333A1" w:rsidRDefault="00C83EEC" w:rsidP="004A4664">
      <w:pPr>
        <w:spacing w:after="0" w:line="480" w:lineRule="auto"/>
        <w:rPr>
          <w:lang w:val="en-GB"/>
        </w:rPr>
      </w:pPr>
      <w:r w:rsidRPr="000333A1">
        <w:rPr>
          <w:lang w:val="en-GB"/>
        </w:rPr>
        <w:t>Reablement is an inclusive approach that seeks to work with all people who could benefit from this kind of support, irrespective of diagnosis, age and capacity</w:t>
      </w:r>
      <w:r w:rsidR="00D416B5">
        <w:rPr>
          <w:lang w:val="en-GB"/>
        </w:rPr>
        <w:t xml:space="preserve"> </w:t>
      </w:r>
      <w:r w:rsidR="00D416B5" w:rsidRPr="00D416B5">
        <w:rPr>
          <w:lang w:val="en-GB"/>
        </w:rPr>
        <w:t>– although they may be targeted at those for whom reablement is considered most likely to lead to improvement</w:t>
      </w:r>
      <w:r w:rsidRPr="000333A1">
        <w:rPr>
          <w:lang w:val="en-GB"/>
        </w:rPr>
        <w:t xml:space="preserve">. It is a focused, time-limited (typically </w:t>
      </w:r>
      <w:r w:rsidR="00A05661" w:rsidRPr="000333A1">
        <w:rPr>
          <w:lang w:val="en-GB"/>
        </w:rPr>
        <w:t>4</w:t>
      </w:r>
      <w:r w:rsidRPr="000333A1">
        <w:rPr>
          <w:lang w:val="en-GB"/>
        </w:rPr>
        <w:t xml:space="preserve"> to 12 weeks) intervention provided in people’s homes or in community settings, often multi-disciplinary in nature</w:t>
      </w:r>
      <w:r w:rsidR="008A3DF2" w:rsidRPr="000333A1">
        <w:rPr>
          <w:lang w:val="en-GB"/>
        </w:rPr>
        <w:t xml:space="preserve"> and integrated across social care and health sectors</w:t>
      </w:r>
      <w:r w:rsidRPr="000333A1">
        <w:rPr>
          <w:lang w:val="en-GB"/>
        </w:rPr>
        <w:t xml:space="preserve">, that aims to help people regain as much functional independence as possible following a period of ill health, an </w:t>
      </w:r>
      <w:r w:rsidRPr="000333A1">
        <w:rPr>
          <w:lang w:val="en-GB"/>
        </w:rPr>
        <w:lastRenderedPageBreak/>
        <w:t xml:space="preserve">admission to hospital or a decline in function. </w:t>
      </w:r>
      <w:r w:rsidR="00656741" w:rsidRPr="000333A1">
        <w:rPr>
          <w:lang w:val="en-GB"/>
        </w:rPr>
        <w:t xml:space="preserve">Services tend to focus on supporting people to regain skills around daily activities and should be goal-orientated, holistic and person-centred - working to achieve </w:t>
      </w:r>
      <w:r w:rsidR="000E54DB" w:rsidRPr="000333A1">
        <w:rPr>
          <w:lang w:val="en-GB"/>
        </w:rPr>
        <w:t xml:space="preserve">participation in daily activities </w:t>
      </w:r>
      <w:r w:rsidR="00656741" w:rsidRPr="000333A1">
        <w:rPr>
          <w:lang w:val="en-GB"/>
        </w:rPr>
        <w:t xml:space="preserve">that matter to the individual, supporting them to lead chosen lifestyles and working with them in their family and local context. </w:t>
      </w:r>
      <w:r w:rsidR="007B1255" w:rsidRPr="000333A1">
        <w:rPr>
          <w:lang w:val="en-GB"/>
        </w:rPr>
        <w:t>D</w:t>
      </w:r>
      <w:r w:rsidR="004963AB" w:rsidRPr="000333A1">
        <w:rPr>
          <w:lang w:val="en-GB"/>
        </w:rPr>
        <w:t xml:space="preserve">espite being </w:t>
      </w:r>
      <w:r w:rsidR="00656741" w:rsidRPr="000333A1">
        <w:rPr>
          <w:lang w:val="en-GB"/>
        </w:rPr>
        <w:t>time-limited, reablement requires working at th</w:t>
      </w:r>
      <w:r w:rsidR="004E577E" w:rsidRPr="000333A1">
        <w:rPr>
          <w:lang w:val="en-GB"/>
        </w:rPr>
        <w:t>e pace of the individual and adapting</w:t>
      </w:r>
      <w:r w:rsidR="00653826" w:rsidRPr="000333A1">
        <w:rPr>
          <w:vertAlign w:val="superscript"/>
          <w:lang w:val="en-GB"/>
        </w:rPr>
        <w:t>8</w:t>
      </w:r>
      <w:r w:rsidR="004E577E" w:rsidRPr="000333A1">
        <w:rPr>
          <w:lang w:val="en-GB"/>
        </w:rPr>
        <w:t xml:space="preserve"> i</w:t>
      </w:r>
      <w:r w:rsidR="00656741" w:rsidRPr="000333A1">
        <w:rPr>
          <w:lang w:val="en-GB"/>
        </w:rPr>
        <w:t>nput depending on the capacity and needs of the individual</w:t>
      </w:r>
      <w:r w:rsidR="007B1255" w:rsidRPr="000333A1">
        <w:rPr>
          <w:lang w:val="en-GB"/>
        </w:rPr>
        <w:t xml:space="preserve"> and is thus self</w:t>
      </w:r>
      <w:r w:rsidR="005F4786" w:rsidRPr="000333A1">
        <w:rPr>
          <w:lang w:val="en-GB"/>
        </w:rPr>
        <w:t>-</w:t>
      </w:r>
      <w:r w:rsidR="007B1255" w:rsidRPr="000333A1">
        <w:rPr>
          <w:lang w:val="en-GB"/>
        </w:rPr>
        <w:t>anchored</w:t>
      </w:r>
      <w:r w:rsidR="00656741" w:rsidRPr="000333A1">
        <w:rPr>
          <w:lang w:val="en-GB"/>
        </w:rPr>
        <w:t xml:space="preserve">. </w:t>
      </w:r>
      <w:r w:rsidR="00EB1184" w:rsidRPr="000333A1">
        <w:rPr>
          <w:lang w:val="en-GB"/>
        </w:rPr>
        <w:t>Crucially, this way of working requires skilled professionals who are willing to adapt their practise (in potentially very new ways) as well as receptive older people, families and care staff.</w:t>
      </w:r>
    </w:p>
    <w:p w14:paraId="41D60F80" w14:textId="77777777" w:rsidR="00656741" w:rsidRPr="000333A1" w:rsidRDefault="00656741" w:rsidP="004A4664">
      <w:pPr>
        <w:spacing w:after="0" w:line="480" w:lineRule="auto"/>
        <w:rPr>
          <w:lang w:val="en-GB"/>
        </w:rPr>
      </w:pPr>
    </w:p>
    <w:p w14:paraId="4C1D677C" w14:textId="77777777" w:rsidR="00656741" w:rsidRPr="000333A1" w:rsidRDefault="004E577E" w:rsidP="000507E1">
      <w:pPr>
        <w:autoSpaceDE w:val="0"/>
        <w:autoSpaceDN w:val="0"/>
        <w:adjustRightInd w:val="0"/>
        <w:spacing w:after="0" w:line="480" w:lineRule="auto"/>
        <w:rPr>
          <w:lang w:val="en-GB"/>
        </w:rPr>
      </w:pPr>
      <w:r w:rsidRPr="000333A1">
        <w:rPr>
          <w:lang w:val="en-GB"/>
        </w:rPr>
        <w:t xml:space="preserve">Part of the difficulty in defining reablement definitively is that many services and professions would already claim to </w:t>
      </w:r>
      <w:r w:rsidR="00EB1184" w:rsidRPr="000333A1">
        <w:rPr>
          <w:lang w:val="en-GB"/>
        </w:rPr>
        <w:t>use a ‘reabling approach’</w:t>
      </w:r>
      <w:r w:rsidRPr="000333A1">
        <w:rPr>
          <w:lang w:val="en-GB"/>
        </w:rPr>
        <w:t xml:space="preserve"> – but arguably do not really deliver reablement in practice</w:t>
      </w:r>
      <w:r w:rsidR="00EB1184" w:rsidRPr="000333A1">
        <w:rPr>
          <w:lang w:val="en-GB"/>
        </w:rPr>
        <w:t>.</w:t>
      </w:r>
      <w:r w:rsidR="00656741" w:rsidRPr="000333A1">
        <w:rPr>
          <w:lang w:val="en-GB"/>
        </w:rPr>
        <w:t xml:space="preserve"> Thus, it is easy for existing services to rebadge themselves as delivering reablement (often to attract new funding), or for individual professions to claim that they are the true guardians of this agenda</w:t>
      </w:r>
      <w:r w:rsidR="00653826" w:rsidRPr="000333A1">
        <w:rPr>
          <w:vertAlign w:val="superscript"/>
          <w:lang w:val="en-GB"/>
        </w:rPr>
        <w:t>6</w:t>
      </w:r>
      <w:r w:rsidR="00656741" w:rsidRPr="000333A1">
        <w:rPr>
          <w:lang w:val="en-GB"/>
        </w:rPr>
        <w:t xml:space="preserve">. However, our experience is that </w:t>
      </w:r>
      <w:r w:rsidR="000E54DB" w:rsidRPr="000333A1">
        <w:rPr>
          <w:lang w:val="en-GB"/>
        </w:rPr>
        <w:t xml:space="preserve">some </w:t>
      </w:r>
      <w:r w:rsidR="00656741" w:rsidRPr="000333A1">
        <w:rPr>
          <w:lang w:val="en-GB"/>
        </w:rPr>
        <w:t xml:space="preserve">services which claim to offer ‘reablement’ do not offer the quintessential elements of reablement set out above. </w:t>
      </w:r>
      <w:r w:rsidR="004C509D" w:rsidRPr="000333A1">
        <w:rPr>
          <w:rFonts w:cs="Baskerville10Pro"/>
          <w:color w:val="231F20"/>
          <w:lang w:val="en-US"/>
        </w:rPr>
        <w:t xml:space="preserve">Thus, a more </w:t>
      </w:r>
      <w:r w:rsidR="004C509D" w:rsidRPr="000333A1">
        <w:rPr>
          <w:rFonts w:cs="Baskerville10Pro-Italic"/>
          <w:iCs/>
          <w:color w:val="231F20"/>
          <w:lang w:val="en-US"/>
        </w:rPr>
        <w:t>coherent and consensual</w:t>
      </w:r>
      <w:r w:rsidR="004C509D" w:rsidRPr="000333A1">
        <w:rPr>
          <w:rFonts w:cs="Baskerville10Pro-Italic"/>
          <w:i/>
          <w:iCs/>
          <w:color w:val="231F20"/>
          <w:lang w:val="en-US"/>
        </w:rPr>
        <w:t xml:space="preserve"> </w:t>
      </w:r>
      <w:r w:rsidR="004C509D" w:rsidRPr="000333A1">
        <w:rPr>
          <w:rFonts w:cs="Baskerville10Pro-Italic"/>
          <w:iCs/>
          <w:color w:val="231F20"/>
          <w:lang w:val="en-US"/>
        </w:rPr>
        <w:t>understanding of what reablement entails</w:t>
      </w:r>
      <w:r w:rsidR="00653826" w:rsidRPr="000333A1">
        <w:rPr>
          <w:rFonts w:cs="Baskerville10Pro-Italic"/>
          <w:iCs/>
          <w:color w:val="231F20"/>
          <w:lang w:val="en-US"/>
        </w:rPr>
        <w:t xml:space="preserve"> in practice is essential</w:t>
      </w:r>
      <w:r w:rsidR="004C509D" w:rsidRPr="000333A1">
        <w:rPr>
          <w:rFonts w:cs="Baskerville10Pro"/>
          <w:color w:val="231F20"/>
          <w:lang w:val="en-US"/>
        </w:rPr>
        <w:t>.</w:t>
      </w:r>
    </w:p>
    <w:p w14:paraId="101B7C8E" w14:textId="77777777" w:rsidR="00573677" w:rsidRDefault="00573677" w:rsidP="004A4664">
      <w:pPr>
        <w:pStyle w:val="Heading2"/>
        <w:spacing w:before="0" w:line="480" w:lineRule="auto"/>
        <w:rPr>
          <w:rFonts w:asciiTheme="minorHAnsi" w:hAnsiTheme="minorHAnsi"/>
          <w:sz w:val="22"/>
          <w:szCs w:val="22"/>
          <w:lang w:val="en-GB"/>
        </w:rPr>
      </w:pPr>
    </w:p>
    <w:p w14:paraId="1F17CC8D" w14:textId="20E83149" w:rsidR="00871461" w:rsidRPr="00A4442C" w:rsidRDefault="00573677" w:rsidP="004A4664">
      <w:pPr>
        <w:pStyle w:val="Heading2"/>
        <w:spacing w:before="0" w:line="480" w:lineRule="auto"/>
        <w:rPr>
          <w:rFonts w:asciiTheme="minorHAnsi" w:hAnsiTheme="minorHAnsi"/>
          <w:color w:val="000000" w:themeColor="text1"/>
          <w:sz w:val="22"/>
          <w:szCs w:val="22"/>
          <w:lang w:val="en-GB"/>
        </w:rPr>
      </w:pPr>
      <w:r w:rsidRPr="00A4442C">
        <w:rPr>
          <w:rFonts w:asciiTheme="minorHAnsi" w:hAnsiTheme="minorHAnsi"/>
          <w:color w:val="000000" w:themeColor="text1"/>
          <w:sz w:val="22"/>
          <w:szCs w:val="22"/>
          <w:lang w:val="en-GB"/>
        </w:rPr>
        <w:t xml:space="preserve">Nature of </w:t>
      </w:r>
      <w:r w:rsidR="00A4442C">
        <w:rPr>
          <w:rFonts w:asciiTheme="minorHAnsi" w:hAnsiTheme="minorHAnsi"/>
          <w:color w:val="000000" w:themeColor="text1"/>
          <w:sz w:val="22"/>
          <w:szCs w:val="22"/>
          <w:lang w:val="en-GB"/>
        </w:rPr>
        <w:t>t</w:t>
      </w:r>
      <w:r w:rsidR="005E4F2E" w:rsidRPr="00A4442C">
        <w:rPr>
          <w:rFonts w:asciiTheme="minorHAnsi" w:hAnsiTheme="minorHAnsi"/>
          <w:color w:val="000000" w:themeColor="text1"/>
          <w:sz w:val="22"/>
          <w:szCs w:val="22"/>
          <w:lang w:val="en-GB"/>
        </w:rPr>
        <w:t xml:space="preserve">he </w:t>
      </w:r>
      <w:r w:rsidR="00C52A09" w:rsidRPr="00A4442C">
        <w:rPr>
          <w:rFonts w:asciiTheme="minorHAnsi" w:hAnsiTheme="minorHAnsi"/>
          <w:color w:val="000000" w:themeColor="text1"/>
          <w:sz w:val="22"/>
          <w:szCs w:val="22"/>
          <w:lang w:val="en-GB"/>
        </w:rPr>
        <w:t>evidence</w:t>
      </w:r>
    </w:p>
    <w:p w14:paraId="25C6D12D" w14:textId="782BA8F9" w:rsidR="00CD61F4" w:rsidRPr="00A4442C" w:rsidRDefault="00DC33DE" w:rsidP="00A4442C">
      <w:pPr>
        <w:spacing w:line="480" w:lineRule="auto"/>
        <w:rPr>
          <w:lang w:val="en-GB"/>
        </w:rPr>
      </w:pPr>
      <w:r w:rsidRPr="000333A1">
        <w:rPr>
          <w:lang w:val="en-GB"/>
        </w:rPr>
        <w:t xml:space="preserve">Although reablement is being adopted and promoted internationally, the evidence base for reablement is more limited than is often imagined by policy makers and practitioners.  This is partly because reablement is relatively new in a number of countries, but also because, as outlined above, very different service models can be adopted in different countries and localities meaning that larger studies may not be comparing like with like. </w:t>
      </w:r>
      <w:r w:rsidR="00E06EF6" w:rsidRPr="000333A1">
        <w:rPr>
          <w:lang w:val="en-GB"/>
        </w:rPr>
        <w:t>As w</w:t>
      </w:r>
      <w:r w:rsidR="003B6AF8" w:rsidRPr="000333A1">
        <w:rPr>
          <w:lang w:val="en-GB"/>
        </w:rPr>
        <w:t>ith all in</w:t>
      </w:r>
      <w:r w:rsidRPr="000333A1">
        <w:rPr>
          <w:lang w:val="en-GB"/>
        </w:rPr>
        <w:t>terventions that are quickly rolled out, the pace at which reablement has been adopted and implemented means that it can be difficult</w:t>
      </w:r>
      <w:r w:rsidR="003B6AF8" w:rsidRPr="000333A1">
        <w:rPr>
          <w:lang w:val="en-GB"/>
        </w:rPr>
        <w:t xml:space="preserve">, </w:t>
      </w:r>
      <w:r w:rsidRPr="000333A1">
        <w:rPr>
          <w:lang w:val="en-GB"/>
        </w:rPr>
        <w:t xml:space="preserve">to find </w:t>
      </w:r>
      <w:r w:rsidR="003B6AF8" w:rsidRPr="000333A1">
        <w:rPr>
          <w:lang w:val="en-GB"/>
        </w:rPr>
        <w:t xml:space="preserve">service or person-level </w:t>
      </w:r>
      <w:r w:rsidRPr="000333A1">
        <w:rPr>
          <w:lang w:val="en-GB"/>
        </w:rPr>
        <w:t>comparators to enable rigorous effectiveness and cost-effectiveness evaluation</w:t>
      </w:r>
      <w:r w:rsidR="003B6AF8" w:rsidRPr="000333A1">
        <w:rPr>
          <w:lang w:val="en-GB"/>
        </w:rPr>
        <w:t>s.</w:t>
      </w:r>
      <w:r w:rsidR="00653826" w:rsidRPr="000333A1">
        <w:rPr>
          <w:lang w:val="en-GB"/>
        </w:rPr>
        <w:t xml:space="preserve"> </w:t>
      </w:r>
      <w:r w:rsidRPr="000333A1">
        <w:rPr>
          <w:lang w:val="en-GB"/>
        </w:rPr>
        <w:t xml:space="preserve"> </w:t>
      </w:r>
      <w:r w:rsidR="004C548E" w:rsidRPr="000333A1">
        <w:rPr>
          <w:lang w:val="en-GB"/>
        </w:rPr>
        <w:t xml:space="preserve">Although there is an increasing RCT evidence base, up to date ‘evaluations’ of </w:t>
      </w:r>
      <w:r w:rsidR="004C548E" w:rsidRPr="000333A1">
        <w:rPr>
          <w:lang w:val="en-GB"/>
        </w:rPr>
        <w:lastRenderedPageBreak/>
        <w:t>reablement in some countries are</w:t>
      </w:r>
      <w:r w:rsidR="003B6AF8" w:rsidRPr="000333A1">
        <w:rPr>
          <w:lang w:val="en-GB"/>
        </w:rPr>
        <w:t xml:space="preserve"> often built on small-scale service experiments and</w:t>
      </w:r>
      <w:r w:rsidR="00E06EF6" w:rsidRPr="000333A1">
        <w:rPr>
          <w:lang w:val="en-GB"/>
        </w:rPr>
        <w:t>/or</w:t>
      </w:r>
      <w:r w:rsidR="003B6AF8" w:rsidRPr="000333A1">
        <w:rPr>
          <w:lang w:val="en-GB"/>
        </w:rPr>
        <w:t xml:space="preserve"> of limited scientific quality. </w:t>
      </w:r>
      <w:r w:rsidR="00C83EEC" w:rsidRPr="000333A1">
        <w:rPr>
          <w:lang w:val="en-GB"/>
        </w:rPr>
        <w:t>Aside from the available evidence</w:t>
      </w:r>
      <w:r w:rsidR="004C548E" w:rsidRPr="000333A1">
        <w:rPr>
          <w:lang w:val="en-GB"/>
        </w:rPr>
        <w:t xml:space="preserve"> reported below</w:t>
      </w:r>
      <w:r w:rsidR="00C83EEC" w:rsidRPr="000333A1">
        <w:rPr>
          <w:lang w:val="en-GB"/>
        </w:rPr>
        <w:t xml:space="preserve">, most research focuses on fairly small timeframes, so we still know relatively little about </w:t>
      </w:r>
      <w:r w:rsidR="00584DB2" w:rsidRPr="000333A1">
        <w:rPr>
          <w:lang w:val="en-GB"/>
        </w:rPr>
        <w:t xml:space="preserve">the </w:t>
      </w:r>
      <w:r w:rsidR="00C83EEC" w:rsidRPr="000333A1">
        <w:rPr>
          <w:lang w:val="en-GB"/>
        </w:rPr>
        <w:t>longer-term impact</w:t>
      </w:r>
      <w:r w:rsidR="00584DB2" w:rsidRPr="000333A1">
        <w:rPr>
          <w:lang w:val="en-GB"/>
        </w:rPr>
        <w:t xml:space="preserve"> of reablement</w:t>
      </w:r>
      <w:r w:rsidR="00C83EEC" w:rsidRPr="000333A1">
        <w:rPr>
          <w:lang w:val="en-GB"/>
        </w:rPr>
        <w:t xml:space="preserve">. </w:t>
      </w:r>
      <w:r w:rsidR="00523691" w:rsidRPr="00C1119E">
        <w:rPr>
          <w:lang w:val="en-GB"/>
        </w:rPr>
        <w:t xml:space="preserve">For instance, </w:t>
      </w:r>
      <w:r w:rsidR="00CD61F4" w:rsidRPr="00B143E3">
        <w:rPr>
          <w:lang w:val="en-GB"/>
        </w:rPr>
        <w:t>does it increase quality of life</w:t>
      </w:r>
      <w:r w:rsidR="00523691" w:rsidRPr="00B143E3">
        <w:rPr>
          <w:lang w:val="en-GB"/>
        </w:rPr>
        <w:t xml:space="preserve">, </w:t>
      </w:r>
      <w:r w:rsidR="00CD61F4" w:rsidRPr="00B143E3">
        <w:rPr>
          <w:lang w:val="en-GB"/>
        </w:rPr>
        <w:t>ensure</w:t>
      </w:r>
      <w:r w:rsidR="00523691" w:rsidRPr="00B143E3">
        <w:rPr>
          <w:lang w:val="en-GB"/>
        </w:rPr>
        <w:t>s</w:t>
      </w:r>
      <w:r w:rsidR="00CD61F4" w:rsidRPr="00B143E3">
        <w:rPr>
          <w:lang w:val="en-GB"/>
        </w:rPr>
        <w:t xml:space="preserve"> greater </w:t>
      </w:r>
      <w:r w:rsidR="00C1119E" w:rsidRPr="00C1119E">
        <w:rPr>
          <w:lang w:val="en-GB"/>
        </w:rPr>
        <w:t>independence</w:t>
      </w:r>
      <w:r w:rsidR="00CD61F4" w:rsidRPr="00B143E3">
        <w:rPr>
          <w:lang w:val="en-GB"/>
        </w:rPr>
        <w:t xml:space="preserve"> and control over daily life, </w:t>
      </w:r>
      <w:r w:rsidR="00523691" w:rsidRPr="00B143E3">
        <w:rPr>
          <w:lang w:val="en-GB"/>
        </w:rPr>
        <w:t xml:space="preserve">or does the </w:t>
      </w:r>
      <w:r w:rsidR="00D416B5">
        <w:rPr>
          <w:lang w:val="en-GB"/>
        </w:rPr>
        <w:t xml:space="preserve">client  </w:t>
      </w:r>
      <w:r w:rsidR="00523691" w:rsidRPr="00B143E3">
        <w:rPr>
          <w:lang w:val="en-GB"/>
        </w:rPr>
        <w:t xml:space="preserve">suffer from </w:t>
      </w:r>
      <w:r w:rsidR="00523691" w:rsidRPr="00C1119E">
        <w:rPr>
          <w:lang w:val="en-GB"/>
        </w:rPr>
        <w:t>h</w:t>
      </w:r>
      <w:r w:rsidR="00CD61F4" w:rsidRPr="00C1119E">
        <w:rPr>
          <w:lang w:val="en-GB"/>
        </w:rPr>
        <w:t>idden side-effects</w:t>
      </w:r>
      <w:r w:rsidR="00523691" w:rsidRPr="00C1119E">
        <w:rPr>
          <w:lang w:val="en-GB"/>
        </w:rPr>
        <w:t xml:space="preserve"> such as isolation and</w:t>
      </w:r>
      <w:r w:rsidR="00CD61F4" w:rsidRPr="00C1119E">
        <w:rPr>
          <w:lang w:val="en-GB"/>
        </w:rPr>
        <w:t xml:space="preserve"> loneliness</w:t>
      </w:r>
      <w:r w:rsidR="00CD61F4" w:rsidRPr="00B143E3">
        <w:rPr>
          <w:lang w:val="en-GB"/>
        </w:rPr>
        <w:t>?</w:t>
      </w:r>
      <w:r w:rsidR="00523691" w:rsidRPr="00B143E3">
        <w:rPr>
          <w:lang w:val="en-GB"/>
        </w:rPr>
        <w:t xml:space="preserve"> </w:t>
      </w:r>
      <w:r w:rsidR="00C1119E" w:rsidRPr="00C1119E">
        <w:rPr>
          <w:lang w:val="en-GB"/>
        </w:rPr>
        <w:t>D</w:t>
      </w:r>
      <w:r w:rsidR="00CD61F4" w:rsidRPr="00B143E3">
        <w:rPr>
          <w:lang w:val="en-GB"/>
        </w:rPr>
        <w:t xml:space="preserve">oes it reduce the need for conventional care </w:t>
      </w:r>
      <w:r w:rsidR="00523691" w:rsidRPr="00B143E3">
        <w:rPr>
          <w:lang w:val="en-GB"/>
        </w:rPr>
        <w:t xml:space="preserve">or does it led to a paradoxical increase of hospital </w:t>
      </w:r>
      <w:r w:rsidR="00523691" w:rsidRPr="00C1119E">
        <w:rPr>
          <w:lang w:val="en-GB"/>
        </w:rPr>
        <w:t>admissions?</w:t>
      </w:r>
      <w:r w:rsidR="00CD61F4" w:rsidRPr="00C1119E">
        <w:rPr>
          <w:lang w:val="en-GB"/>
        </w:rPr>
        <w:t xml:space="preserve"> </w:t>
      </w:r>
      <w:r w:rsidR="00523691" w:rsidRPr="00C1119E">
        <w:rPr>
          <w:lang w:val="en-GB"/>
        </w:rPr>
        <w:t>And if beneficial, w</w:t>
      </w:r>
      <w:r w:rsidR="00CD61F4" w:rsidRPr="00C1119E">
        <w:rPr>
          <w:lang w:val="en-GB"/>
        </w:rPr>
        <w:t>hich reablement models a</w:t>
      </w:r>
      <w:r w:rsidR="00523691" w:rsidRPr="00A4442C">
        <w:rPr>
          <w:lang w:val="en-GB"/>
        </w:rPr>
        <w:t>re most effective for which</w:t>
      </w:r>
      <w:r w:rsidR="00CD61F4" w:rsidRPr="00A4442C">
        <w:rPr>
          <w:lang w:val="en-GB"/>
        </w:rPr>
        <w:t xml:space="preserve"> individual user? </w:t>
      </w:r>
    </w:p>
    <w:p w14:paraId="2DD29691" w14:textId="77777777" w:rsidR="00C52A09" w:rsidRPr="000333A1" w:rsidRDefault="00C52A09" w:rsidP="00A4442C">
      <w:pPr>
        <w:spacing w:line="480" w:lineRule="auto"/>
        <w:rPr>
          <w:lang w:val="en-GB"/>
        </w:rPr>
      </w:pPr>
    </w:p>
    <w:p w14:paraId="02E71105" w14:textId="3DFE6001" w:rsidR="00C52A09" w:rsidRPr="000333A1" w:rsidRDefault="00584DB2" w:rsidP="004A4664">
      <w:pPr>
        <w:spacing w:after="0" w:line="480" w:lineRule="auto"/>
        <w:rPr>
          <w:lang w:val="en-GB"/>
        </w:rPr>
      </w:pPr>
      <w:r w:rsidRPr="000333A1">
        <w:rPr>
          <w:lang w:val="en-GB"/>
        </w:rPr>
        <w:t>The available evidence about reablement, tends to focus on four different types of outcomes: outcomes for individuals, effects for service providers, effects in service utilisation, and cost-effectiveness. Two systematic reviews of reablement-type interventions indicate that there is limited evidence that reablement can help to improve</w:t>
      </w:r>
      <w:r w:rsidR="002B0550" w:rsidRPr="000333A1">
        <w:rPr>
          <w:lang w:val="en-GB"/>
        </w:rPr>
        <w:t xml:space="preserve"> individual’s</w:t>
      </w:r>
      <w:r w:rsidRPr="000333A1">
        <w:rPr>
          <w:lang w:val="en-GB"/>
        </w:rPr>
        <w:t xml:space="preserve"> performance in personal activities of </w:t>
      </w:r>
      <w:r w:rsidR="002B0550" w:rsidRPr="000333A1">
        <w:rPr>
          <w:lang w:val="en-GB"/>
        </w:rPr>
        <w:t>daily living</w:t>
      </w:r>
      <w:r w:rsidR="006C7232" w:rsidRPr="000333A1">
        <w:rPr>
          <w:vertAlign w:val="superscript"/>
          <w:lang w:val="en-GB"/>
        </w:rPr>
        <w:t>13;14</w:t>
      </w:r>
      <w:r w:rsidR="002B0550" w:rsidRPr="000333A1">
        <w:rPr>
          <w:vertAlign w:val="superscript"/>
          <w:lang w:val="en-GB"/>
        </w:rPr>
        <w:t xml:space="preserve"> </w:t>
      </w:r>
      <w:r w:rsidR="002B0550" w:rsidRPr="000333A1">
        <w:rPr>
          <w:lang w:val="en-GB"/>
        </w:rPr>
        <w:t>and other studies show conflicting resul</w:t>
      </w:r>
      <w:r w:rsidR="00594A0A" w:rsidRPr="000333A1">
        <w:rPr>
          <w:lang w:val="en-GB"/>
        </w:rPr>
        <w:t xml:space="preserve">ts about the impact of </w:t>
      </w:r>
      <w:r w:rsidR="002B0550" w:rsidRPr="000333A1">
        <w:rPr>
          <w:lang w:val="en-GB"/>
        </w:rPr>
        <w:t>reablement</w:t>
      </w:r>
      <w:r w:rsidR="00594A0A" w:rsidRPr="000333A1">
        <w:rPr>
          <w:lang w:val="en-GB"/>
        </w:rPr>
        <w:t xml:space="preserve">. For example, </w:t>
      </w:r>
      <w:r w:rsidR="004C548E" w:rsidRPr="000333A1">
        <w:rPr>
          <w:lang w:val="en-GB"/>
        </w:rPr>
        <w:t>o</w:t>
      </w:r>
      <w:r w:rsidR="00B928EB" w:rsidRPr="000333A1">
        <w:rPr>
          <w:lang w:val="en-GB"/>
        </w:rPr>
        <w:t>ne</w:t>
      </w:r>
      <w:r w:rsidR="00594A0A" w:rsidRPr="000333A1">
        <w:rPr>
          <w:lang w:val="en-GB"/>
        </w:rPr>
        <w:t xml:space="preserve"> stud</w:t>
      </w:r>
      <w:r w:rsidR="004C548E" w:rsidRPr="000333A1">
        <w:rPr>
          <w:lang w:val="en-GB"/>
        </w:rPr>
        <w:t>y</w:t>
      </w:r>
      <w:r w:rsidR="00594A0A" w:rsidRPr="000333A1">
        <w:rPr>
          <w:lang w:val="en-GB"/>
        </w:rPr>
        <w:t xml:space="preserve"> show</w:t>
      </w:r>
      <w:r w:rsidR="00B928EB" w:rsidRPr="000333A1">
        <w:rPr>
          <w:lang w:val="en-GB"/>
        </w:rPr>
        <w:t>s</w:t>
      </w:r>
      <w:r w:rsidR="00594A0A" w:rsidRPr="000333A1">
        <w:rPr>
          <w:lang w:val="en-GB"/>
        </w:rPr>
        <w:t xml:space="preserve"> that </w:t>
      </w:r>
      <w:r w:rsidR="002B0550" w:rsidRPr="000333A1">
        <w:rPr>
          <w:lang w:val="en-GB"/>
        </w:rPr>
        <w:t>physical activity</w:t>
      </w:r>
      <w:r w:rsidR="00594A0A" w:rsidRPr="000333A1">
        <w:rPr>
          <w:lang w:val="en-GB"/>
        </w:rPr>
        <w:t xml:space="preserve"> improves</w:t>
      </w:r>
      <w:r w:rsidR="006C7232" w:rsidRPr="000333A1">
        <w:rPr>
          <w:vertAlign w:val="superscript"/>
          <w:lang w:val="en-GB"/>
        </w:rPr>
        <w:t>;15</w:t>
      </w:r>
      <w:r w:rsidR="00594A0A" w:rsidRPr="000333A1">
        <w:rPr>
          <w:vertAlign w:val="superscript"/>
          <w:lang w:val="en-GB"/>
        </w:rPr>
        <w:t xml:space="preserve"> </w:t>
      </w:r>
      <w:r w:rsidR="00594A0A" w:rsidRPr="000333A1">
        <w:rPr>
          <w:lang w:val="en-GB"/>
        </w:rPr>
        <w:t>whilst others show no significant improvements</w:t>
      </w:r>
      <w:r w:rsidR="005E1C4E" w:rsidRPr="000333A1">
        <w:rPr>
          <w:vertAlign w:val="superscript"/>
          <w:lang w:val="en-GB"/>
        </w:rPr>
        <w:t>16;17</w:t>
      </w:r>
      <w:r w:rsidR="00594A0A" w:rsidRPr="000333A1">
        <w:rPr>
          <w:lang w:val="en-GB"/>
        </w:rPr>
        <w:t xml:space="preserve">, </w:t>
      </w:r>
      <w:r w:rsidR="00D416B5">
        <w:rPr>
          <w:lang w:val="en-GB"/>
        </w:rPr>
        <w:t>some</w:t>
      </w:r>
      <w:r w:rsidR="00594A0A" w:rsidRPr="000333A1">
        <w:rPr>
          <w:lang w:val="en-GB"/>
        </w:rPr>
        <w:t xml:space="preserve"> studies show that reablement </w:t>
      </w:r>
      <w:r w:rsidR="00B928EB" w:rsidRPr="000333A1">
        <w:rPr>
          <w:lang w:val="en-GB"/>
        </w:rPr>
        <w:t xml:space="preserve"> have </w:t>
      </w:r>
      <w:r w:rsidR="00DE4D4F" w:rsidRPr="000333A1">
        <w:rPr>
          <w:lang w:val="en-GB"/>
        </w:rPr>
        <w:t xml:space="preserve">a </w:t>
      </w:r>
      <w:r w:rsidR="00594A0A" w:rsidRPr="000333A1">
        <w:rPr>
          <w:lang w:val="en-GB"/>
        </w:rPr>
        <w:t>significant improvement</w:t>
      </w:r>
      <w:r w:rsidR="00B928EB" w:rsidRPr="000333A1">
        <w:rPr>
          <w:lang w:val="en-GB"/>
        </w:rPr>
        <w:t xml:space="preserve"> on </w:t>
      </w:r>
      <w:r w:rsidR="00DE4D4F" w:rsidRPr="000333A1">
        <w:rPr>
          <w:lang w:val="en-GB"/>
        </w:rPr>
        <w:t>daily activities</w:t>
      </w:r>
      <w:r w:rsidR="00B928EB" w:rsidRPr="000333A1">
        <w:rPr>
          <w:vertAlign w:val="superscript"/>
          <w:lang w:val="en-GB"/>
        </w:rPr>
        <w:t>8, 18-20</w:t>
      </w:r>
      <w:r w:rsidR="00DE4D4F" w:rsidRPr="000333A1">
        <w:rPr>
          <w:lang w:val="en-GB"/>
        </w:rPr>
        <w:t>, while one study shows only minor improvements</w:t>
      </w:r>
      <w:r w:rsidR="00DE4D4F" w:rsidRPr="000333A1">
        <w:rPr>
          <w:vertAlign w:val="superscript"/>
          <w:lang w:val="en-GB"/>
        </w:rPr>
        <w:t>16</w:t>
      </w:r>
      <w:r w:rsidR="00DE4D4F" w:rsidRPr="000333A1">
        <w:rPr>
          <w:lang w:val="en-GB"/>
        </w:rPr>
        <w:t xml:space="preserve"> .</w:t>
      </w:r>
      <w:r w:rsidR="00D416B5">
        <w:rPr>
          <w:lang w:val="en-GB"/>
        </w:rPr>
        <w:t xml:space="preserve"> </w:t>
      </w:r>
      <w:r w:rsidR="00594A0A" w:rsidRPr="000333A1">
        <w:rPr>
          <w:lang w:val="en-GB"/>
        </w:rPr>
        <w:t xml:space="preserve">Studies about the impact of reablement on </w:t>
      </w:r>
      <w:r w:rsidR="002B0550" w:rsidRPr="000333A1">
        <w:rPr>
          <w:lang w:val="en-GB"/>
        </w:rPr>
        <w:t>safety</w:t>
      </w:r>
      <w:r w:rsidR="005E1C4E" w:rsidRPr="000333A1">
        <w:rPr>
          <w:vertAlign w:val="superscript"/>
          <w:lang w:val="en-GB"/>
        </w:rPr>
        <w:t>16;18</w:t>
      </w:r>
      <w:r w:rsidR="00594A0A" w:rsidRPr="000333A1">
        <w:rPr>
          <w:vertAlign w:val="superscript"/>
          <w:lang w:val="en-GB"/>
        </w:rPr>
        <w:t xml:space="preserve"> </w:t>
      </w:r>
      <w:r w:rsidR="00594A0A" w:rsidRPr="000333A1">
        <w:rPr>
          <w:lang w:val="en-GB"/>
        </w:rPr>
        <w:t>and hea</w:t>
      </w:r>
      <w:r w:rsidR="001E04A2" w:rsidRPr="000333A1">
        <w:rPr>
          <w:lang w:val="en-GB"/>
        </w:rPr>
        <w:t>l</w:t>
      </w:r>
      <w:r w:rsidR="00594A0A" w:rsidRPr="000333A1">
        <w:rPr>
          <w:lang w:val="en-GB"/>
        </w:rPr>
        <w:t>th-related quality of life</w:t>
      </w:r>
      <w:r w:rsidR="005E1C4E" w:rsidRPr="000333A1">
        <w:rPr>
          <w:vertAlign w:val="superscript"/>
          <w:lang w:val="en-GB"/>
        </w:rPr>
        <w:t xml:space="preserve">8; 16; 18; 21 </w:t>
      </w:r>
      <w:r w:rsidR="00594A0A" w:rsidRPr="000333A1">
        <w:rPr>
          <w:lang w:val="en-GB"/>
        </w:rPr>
        <w:t xml:space="preserve">were also contradictory. </w:t>
      </w:r>
      <w:r w:rsidR="00C52A09" w:rsidRPr="000333A1">
        <w:rPr>
          <w:lang w:val="en-GB"/>
        </w:rPr>
        <w:t xml:space="preserve"> Hence, the results from primary studies are inconsistent</w:t>
      </w:r>
      <w:r w:rsidR="00DE4D4F" w:rsidRPr="000333A1">
        <w:rPr>
          <w:lang w:val="en-GB"/>
        </w:rPr>
        <w:t>, although there is an emerging evidence base supporting that reablement improves performance in daily activities</w:t>
      </w:r>
      <w:r w:rsidR="00C52A09" w:rsidRPr="000333A1">
        <w:rPr>
          <w:lang w:val="en-GB"/>
        </w:rPr>
        <w:t>.</w:t>
      </w:r>
    </w:p>
    <w:p w14:paraId="7584A635" w14:textId="77777777" w:rsidR="00594A0A" w:rsidRPr="000333A1" w:rsidRDefault="00594A0A" w:rsidP="004A4664">
      <w:pPr>
        <w:spacing w:after="0" w:line="480" w:lineRule="auto"/>
        <w:rPr>
          <w:lang w:val="en-GB"/>
        </w:rPr>
      </w:pPr>
    </w:p>
    <w:p w14:paraId="7CE944B3" w14:textId="77777777" w:rsidR="001E04A2" w:rsidRPr="000333A1" w:rsidRDefault="001E04A2" w:rsidP="004A4664">
      <w:pPr>
        <w:spacing w:after="0" w:line="480" w:lineRule="auto"/>
        <w:rPr>
          <w:lang w:val="en-GB"/>
        </w:rPr>
      </w:pPr>
      <w:r w:rsidRPr="000333A1">
        <w:rPr>
          <w:lang w:val="en-GB"/>
        </w:rPr>
        <w:t>Studies indicate that providing reablement can have positive impact on practitioners.</w:t>
      </w:r>
      <w:r w:rsidR="00C52A09" w:rsidRPr="000333A1">
        <w:rPr>
          <w:lang w:val="en-GB"/>
        </w:rPr>
        <w:t xml:space="preserve"> </w:t>
      </w:r>
      <w:r w:rsidR="005E1C4E" w:rsidRPr="000333A1">
        <w:rPr>
          <w:lang w:val="en-GB"/>
        </w:rPr>
        <w:t>Research</w:t>
      </w:r>
      <w:r w:rsidR="005E1C4E" w:rsidRPr="000333A1">
        <w:rPr>
          <w:vertAlign w:val="superscript"/>
          <w:lang w:val="en-GB"/>
        </w:rPr>
        <w:t>17;22</w:t>
      </w:r>
      <w:r w:rsidR="00150B20" w:rsidRPr="000333A1">
        <w:rPr>
          <w:vertAlign w:val="superscript"/>
          <w:lang w:val="en-GB"/>
        </w:rPr>
        <w:t xml:space="preserve"> </w:t>
      </w:r>
      <w:r w:rsidR="00150B20" w:rsidRPr="000333A1">
        <w:rPr>
          <w:lang w:val="en-GB"/>
        </w:rPr>
        <w:t xml:space="preserve">had shown that </w:t>
      </w:r>
      <w:r w:rsidR="00C52A09" w:rsidRPr="000333A1">
        <w:rPr>
          <w:lang w:val="en-GB"/>
        </w:rPr>
        <w:t>home care assistants</w:t>
      </w:r>
      <w:r w:rsidR="00150B20" w:rsidRPr="000333A1">
        <w:rPr>
          <w:lang w:val="en-GB"/>
        </w:rPr>
        <w:t xml:space="preserve"> reabling participants had greater </w:t>
      </w:r>
      <w:r w:rsidR="00C52A09" w:rsidRPr="000333A1">
        <w:rPr>
          <w:lang w:val="en-GB"/>
        </w:rPr>
        <w:t xml:space="preserve">job satisfaction and significantly reduced turnover compared to those working with participants in the usual care </w:t>
      </w:r>
      <w:r w:rsidR="00150B20" w:rsidRPr="000333A1">
        <w:rPr>
          <w:lang w:val="en-GB"/>
        </w:rPr>
        <w:t xml:space="preserve">way. </w:t>
      </w:r>
    </w:p>
    <w:p w14:paraId="1BFD8B21" w14:textId="77777777" w:rsidR="00150B20" w:rsidRPr="000333A1" w:rsidRDefault="00150B20" w:rsidP="004A4664">
      <w:pPr>
        <w:spacing w:after="0" w:line="480" w:lineRule="auto"/>
        <w:rPr>
          <w:lang w:val="en-GB"/>
        </w:rPr>
      </w:pPr>
    </w:p>
    <w:p w14:paraId="68CF2D74" w14:textId="77777777" w:rsidR="00C52A09" w:rsidRPr="000333A1" w:rsidRDefault="00150B20" w:rsidP="004A4664">
      <w:pPr>
        <w:spacing w:after="0" w:line="480" w:lineRule="auto"/>
        <w:rPr>
          <w:lang w:val="en-GB"/>
        </w:rPr>
      </w:pPr>
      <w:r w:rsidRPr="000333A1">
        <w:rPr>
          <w:lang w:val="en-GB"/>
        </w:rPr>
        <w:lastRenderedPageBreak/>
        <w:t xml:space="preserve">Studies indicate that reablement services can </w:t>
      </w:r>
      <w:r w:rsidR="001D5CDE" w:rsidRPr="000333A1">
        <w:rPr>
          <w:lang w:val="en-GB"/>
        </w:rPr>
        <w:t>effect</w:t>
      </w:r>
      <w:r w:rsidRPr="000333A1">
        <w:rPr>
          <w:lang w:val="en-GB"/>
        </w:rPr>
        <w:t xml:space="preserve"> care service utilis</w:t>
      </w:r>
      <w:r w:rsidR="00C52A09" w:rsidRPr="000333A1">
        <w:rPr>
          <w:lang w:val="en-GB"/>
        </w:rPr>
        <w:t>ation</w:t>
      </w:r>
      <w:r w:rsidRPr="000333A1">
        <w:rPr>
          <w:lang w:val="en-GB"/>
        </w:rPr>
        <w:t xml:space="preserve">. An Australian study showed that </w:t>
      </w:r>
      <w:r w:rsidR="00F32F66" w:rsidRPr="000333A1">
        <w:rPr>
          <w:lang w:val="en-GB"/>
        </w:rPr>
        <w:t xml:space="preserve">participants receiving </w:t>
      </w:r>
      <w:r w:rsidR="00C52A09" w:rsidRPr="000333A1">
        <w:rPr>
          <w:lang w:val="en-GB"/>
        </w:rPr>
        <w:t xml:space="preserve">reablement required fewer home care hours, were less likely to need </w:t>
      </w:r>
      <w:r w:rsidR="00F32F66" w:rsidRPr="000333A1">
        <w:rPr>
          <w:lang w:val="en-GB"/>
        </w:rPr>
        <w:t xml:space="preserve">nursing home and </w:t>
      </w:r>
      <w:r w:rsidR="00C52A09" w:rsidRPr="000333A1">
        <w:rPr>
          <w:lang w:val="en-GB"/>
        </w:rPr>
        <w:t>emergency department treatment compared to par</w:t>
      </w:r>
      <w:r w:rsidR="00F32F66" w:rsidRPr="000333A1">
        <w:rPr>
          <w:lang w:val="en-GB"/>
        </w:rPr>
        <w:t>ticipants in the control group</w:t>
      </w:r>
      <w:r w:rsidR="005E1C4E" w:rsidRPr="000333A1">
        <w:rPr>
          <w:vertAlign w:val="superscript"/>
          <w:lang w:val="en-GB"/>
        </w:rPr>
        <w:t>23</w:t>
      </w:r>
      <w:r w:rsidR="00C52A09" w:rsidRPr="000333A1">
        <w:rPr>
          <w:lang w:val="en-GB"/>
        </w:rPr>
        <w:t xml:space="preserve">. </w:t>
      </w:r>
      <w:r w:rsidR="00F32F66" w:rsidRPr="000333A1">
        <w:rPr>
          <w:lang w:val="en-GB"/>
        </w:rPr>
        <w:t xml:space="preserve">The lower utilisation of emergency departments </w:t>
      </w:r>
      <w:r w:rsidR="00C52A09" w:rsidRPr="000333A1">
        <w:rPr>
          <w:lang w:val="en-GB"/>
        </w:rPr>
        <w:t>has al</w:t>
      </w:r>
      <w:r w:rsidR="00F32F66" w:rsidRPr="000333A1">
        <w:rPr>
          <w:lang w:val="en-GB"/>
        </w:rPr>
        <w:t>so been shown in another study</w:t>
      </w:r>
      <w:r w:rsidR="005E1C4E" w:rsidRPr="000333A1">
        <w:rPr>
          <w:vertAlign w:val="superscript"/>
          <w:lang w:val="en-GB"/>
        </w:rPr>
        <w:t>20</w:t>
      </w:r>
      <w:r w:rsidR="00C52A09" w:rsidRPr="000333A1">
        <w:rPr>
          <w:lang w:val="en-GB"/>
        </w:rPr>
        <w:t xml:space="preserve">. </w:t>
      </w:r>
      <w:r w:rsidR="00F32F66" w:rsidRPr="000333A1">
        <w:rPr>
          <w:lang w:val="en-GB"/>
        </w:rPr>
        <w:t>Studies also show</w:t>
      </w:r>
      <w:r w:rsidR="00C52A09" w:rsidRPr="000333A1">
        <w:rPr>
          <w:lang w:val="en-GB"/>
        </w:rPr>
        <w:t xml:space="preserve"> that </w:t>
      </w:r>
      <w:r w:rsidR="00F32F66" w:rsidRPr="000333A1">
        <w:rPr>
          <w:lang w:val="en-GB"/>
        </w:rPr>
        <w:t>people</w:t>
      </w:r>
      <w:r w:rsidR="00C52A09" w:rsidRPr="000333A1">
        <w:rPr>
          <w:lang w:val="en-GB"/>
        </w:rPr>
        <w:t xml:space="preserve"> who received reablement were less likely to need personal care service</w:t>
      </w:r>
      <w:r w:rsidR="005E1C4E" w:rsidRPr="000333A1">
        <w:rPr>
          <w:vertAlign w:val="superscript"/>
          <w:lang w:val="en-GB"/>
        </w:rPr>
        <w:t>16;24</w:t>
      </w:r>
      <w:r w:rsidR="00C52A09" w:rsidRPr="000333A1">
        <w:rPr>
          <w:vertAlign w:val="superscript"/>
          <w:lang w:val="en-GB"/>
        </w:rPr>
        <w:t xml:space="preserve"> </w:t>
      </w:r>
      <w:r w:rsidR="00C52A09" w:rsidRPr="000333A1">
        <w:rPr>
          <w:lang w:val="en-GB"/>
        </w:rPr>
        <w:t>a</w:t>
      </w:r>
      <w:r w:rsidR="005E1C4E" w:rsidRPr="000333A1">
        <w:rPr>
          <w:lang w:val="en-GB"/>
        </w:rPr>
        <w:t>nd to be readmitted to hospital</w:t>
      </w:r>
      <w:r w:rsidR="005E1C4E" w:rsidRPr="000333A1">
        <w:rPr>
          <w:vertAlign w:val="superscript"/>
          <w:lang w:val="en-GB"/>
        </w:rPr>
        <w:t>25</w:t>
      </w:r>
      <w:r w:rsidR="00C52A09" w:rsidRPr="000333A1">
        <w:rPr>
          <w:lang w:val="en-GB"/>
        </w:rPr>
        <w:t xml:space="preserve">. The results thereby indicate that reablement may reduce the need for homecare services, as well as for other healthcare services. </w:t>
      </w:r>
    </w:p>
    <w:p w14:paraId="6F0FAB61" w14:textId="77777777" w:rsidR="003A697C" w:rsidRPr="000333A1" w:rsidRDefault="003A697C" w:rsidP="004A4664">
      <w:pPr>
        <w:spacing w:after="0" w:line="480" w:lineRule="auto"/>
        <w:rPr>
          <w:lang w:val="en-GB"/>
        </w:rPr>
      </w:pPr>
    </w:p>
    <w:p w14:paraId="472EAC30" w14:textId="77777777" w:rsidR="00C52A09" w:rsidRPr="000333A1" w:rsidRDefault="000D3D4E" w:rsidP="004A4664">
      <w:pPr>
        <w:spacing w:after="0" w:line="480" w:lineRule="auto"/>
        <w:rPr>
          <w:lang w:val="en-GB"/>
        </w:rPr>
      </w:pPr>
      <w:r w:rsidRPr="000333A1">
        <w:rPr>
          <w:lang w:val="en-GB"/>
        </w:rPr>
        <w:t xml:space="preserve">Studies exploring the </w:t>
      </w:r>
      <w:r w:rsidR="00C52A09" w:rsidRPr="000333A1">
        <w:rPr>
          <w:lang w:val="en-GB"/>
        </w:rPr>
        <w:t>cost-effectiveness of reablement</w:t>
      </w:r>
      <w:r w:rsidRPr="000333A1">
        <w:rPr>
          <w:lang w:val="en-GB"/>
        </w:rPr>
        <w:t xml:space="preserve"> are inconclusive. The </w:t>
      </w:r>
      <w:r w:rsidR="006C7232" w:rsidRPr="000333A1">
        <w:rPr>
          <w:lang w:val="en-GB"/>
        </w:rPr>
        <w:t xml:space="preserve">national evaluation of </w:t>
      </w:r>
      <w:r w:rsidRPr="000333A1">
        <w:rPr>
          <w:lang w:val="en-GB"/>
        </w:rPr>
        <w:t xml:space="preserve">reablement </w:t>
      </w:r>
      <w:r w:rsidR="006C7232" w:rsidRPr="000333A1">
        <w:rPr>
          <w:lang w:val="en-GB"/>
        </w:rPr>
        <w:t>in the UK</w:t>
      </w:r>
      <w:r w:rsidR="005E1C4E" w:rsidRPr="000333A1">
        <w:rPr>
          <w:vertAlign w:val="superscript"/>
          <w:lang w:val="en-GB"/>
        </w:rPr>
        <w:t>6</w:t>
      </w:r>
      <w:r w:rsidRPr="000333A1">
        <w:rPr>
          <w:lang w:val="en-GB"/>
        </w:rPr>
        <w:t xml:space="preserve"> </w:t>
      </w:r>
      <w:r w:rsidR="006C7232" w:rsidRPr="000333A1">
        <w:rPr>
          <w:lang w:val="en-GB"/>
        </w:rPr>
        <w:t>showed</w:t>
      </w:r>
      <w:r w:rsidR="00C70F34" w:rsidRPr="000333A1">
        <w:rPr>
          <w:lang w:val="en-GB"/>
        </w:rPr>
        <w:t xml:space="preserve"> that costs were similar between reablement and usual care but that individual outcomes were better for up to 10 months post-reablement. </w:t>
      </w:r>
      <w:r w:rsidRPr="000333A1">
        <w:rPr>
          <w:lang w:val="en-GB"/>
        </w:rPr>
        <w:t xml:space="preserve"> </w:t>
      </w:r>
      <w:r w:rsidR="00C70F34" w:rsidRPr="000333A1">
        <w:rPr>
          <w:lang w:val="en-GB"/>
        </w:rPr>
        <w:t>More recent studies</w:t>
      </w:r>
      <w:r w:rsidR="00C52A09" w:rsidRPr="000333A1">
        <w:rPr>
          <w:lang w:val="en-GB"/>
        </w:rPr>
        <w:t xml:space="preserve"> showed that health and homecare costs of reablement were lower than the costs of the conventional home care </w:t>
      </w:r>
      <w:r w:rsidR="00C70F34" w:rsidRPr="000333A1">
        <w:rPr>
          <w:lang w:val="en-GB"/>
        </w:rPr>
        <w:t>provision</w:t>
      </w:r>
      <w:r w:rsidR="005E1C4E" w:rsidRPr="000333A1">
        <w:rPr>
          <w:vertAlign w:val="superscript"/>
          <w:lang w:val="en-GB"/>
        </w:rPr>
        <w:t>23-24</w:t>
      </w:r>
      <w:r w:rsidR="00C52A09" w:rsidRPr="000333A1">
        <w:rPr>
          <w:lang w:val="en-GB"/>
        </w:rPr>
        <w:t xml:space="preserve">. </w:t>
      </w:r>
    </w:p>
    <w:p w14:paraId="64908254" w14:textId="77777777" w:rsidR="00C70F34" w:rsidRPr="000333A1" w:rsidRDefault="00584DB2" w:rsidP="00584DB2">
      <w:pPr>
        <w:spacing w:after="0" w:line="480" w:lineRule="auto"/>
        <w:rPr>
          <w:lang w:val="en-GB"/>
        </w:rPr>
      </w:pPr>
      <w:r w:rsidRPr="000333A1">
        <w:rPr>
          <w:lang w:val="en-GB"/>
        </w:rPr>
        <w:t xml:space="preserve"> </w:t>
      </w:r>
    </w:p>
    <w:p w14:paraId="16E4C901" w14:textId="77777777" w:rsidR="009C6523" w:rsidRPr="000333A1" w:rsidRDefault="00C70F34" w:rsidP="00C70F34">
      <w:pPr>
        <w:spacing w:after="0" w:line="480" w:lineRule="auto"/>
        <w:rPr>
          <w:lang w:val="en-GB"/>
        </w:rPr>
      </w:pPr>
      <w:r w:rsidRPr="000333A1">
        <w:rPr>
          <w:lang w:val="en-GB"/>
        </w:rPr>
        <w:t xml:space="preserve">Overall, therefore, although there is evidence about the effectiveness and cost-effectiveness of reablement, ambiguity remains about </w:t>
      </w:r>
      <w:r w:rsidR="009C6523" w:rsidRPr="000333A1">
        <w:rPr>
          <w:lang w:val="en-GB"/>
        </w:rPr>
        <w:t>whether reablement can:</w:t>
      </w:r>
    </w:p>
    <w:p w14:paraId="61FFE1D6" w14:textId="77777777" w:rsidR="009C6523" w:rsidRPr="000333A1" w:rsidRDefault="00C70F34" w:rsidP="009C6523">
      <w:pPr>
        <w:pStyle w:val="ListParagraph"/>
        <w:numPr>
          <w:ilvl w:val="0"/>
          <w:numId w:val="3"/>
        </w:numPr>
        <w:spacing w:after="0" w:line="480" w:lineRule="auto"/>
        <w:rPr>
          <w:lang w:val="en-GB"/>
        </w:rPr>
      </w:pPr>
      <w:r w:rsidRPr="000333A1">
        <w:rPr>
          <w:lang w:val="en-GB"/>
        </w:rPr>
        <w:t>effect individual outcomes other than daily activities</w:t>
      </w:r>
      <w:r w:rsidR="009C6523" w:rsidRPr="000333A1">
        <w:rPr>
          <w:lang w:val="en-GB"/>
        </w:rPr>
        <w:t>;</w:t>
      </w:r>
    </w:p>
    <w:p w14:paraId="3087AA9B" w14:textId="77777777" w:rsidR="009C6523" w:rsidRPr="000333A1" w:rsidRDefault="009C6523" w:rsidP="009C6523">
      <w:pPr>
        <w:pStyle w:val="ListParagraph"/>
        <w:numPr>
          <w:ilvl w:val="0"/>
          <w:numId w:val="3"/>
        </w:numPr>
        <w:spacing w:after="0" w:line="480" w:lineRule="auto"/>
        <w:rPr>
          <w:lang w:val="en-GB"/>
        </w:rPr>
      </w:pPr>
      <w:r w:rsidRPr="000333A1">
        <w:rPr>
          <w:lang w:val="en-GB"/>
        </w:rPr>
        <w:t xml:space="preserve">reduce the long-term need for social and health care services; </w:t>
      </w:r>
    </w:p>
    <w:p w14:paraId="5FA8CA4F" w14:textId="77777777" w:rsidR="00C70F34" w:rsidRPr="000333A1" w:rsidRDefault="009C6523" w:rsidP="009C6523">
      <w:pPr>
        <w:pStyle w:val="ListParagraph"/>
        <w:numPr>
          <w:ilvl w:val="0"/>
          <w:numId w:val="3"/>
        </w:numPr>
        <w:spacing w:after="0" w:line="480" w:lineRule="auto"/>
        <w:rPr>
          <w:lang w:val="en-GB"/>
        </w:rPr>
      </w:pPr>
      <w:r w:rsidRPr="000333A1">
        <w:rPr>
          <w:lang w:val="en-GB"/>
        </w:rPr>
        <w:t xml:space="preserve">is </w:t>
      </w:r>
      <w:r w:rsidR="00C70F34" w:rsidRPr="000333A1">
        <w:rPr>
          <w:lang w:val="en-GB"/>
        </w:rPr>
        <w:t xml:space="preserve">more cost-effective than providing conventional home care. </w:t>
      </w:r>
    </w:p>
    <w:p w14:paraId="696615E8" w14:textId="77777777" w:rsidR="009C6523" w:rsidRPr="000333A1" w:rsidRDefault="009C6523" w:rsidP="009C6523">
      <w:pPr>
        <w:spacing w:after="0" w:line="480" w:lineRule="auto"/>
        <w:rPr>
          <w:lang w:val="en-GB"/>
        </w:rPr>
      </w:pPr>
    </w:p>
    <w:p w14:paraId="0C6363FD" w14:textId="77777777" w:rsidR="00C70F34" w:rsidRPr="000333A1" w:rsidRDefault="009C6523" w:rsidP="009C6523">
      <w:pPr>
        <w:spacing w:after="0" w:line="480" w:lineRule="auto"/>
        <w:rPr>
          <w:lang w:val="en-GB"/>
        </w:rPr>
      </w:pPr>
      <w:r w:rsidRPr="000333A1">
        <w:rPr>
          <w:lang w:val="en-GB"/>
        </w:rPr>
        <w:t>Furthermore, little is currently known about how reablement is actually configured and operates in practice, optimal timing and intensity of the intervention and which client groups are likely to benefit most and in what ways.</w:t>
      </w:r>
    </w:p>
    <w:p w14:paraId="5BFF9A4E" w14:textId="77777777" w:rsidR="00C70F34" w:rsidRPr="000333A1" w:rsidRDefault="00C70F34" w:rsidP="00584DB2">
      <w:pPr>
        <w:spacing w:after="0" w:line="480" w:lineRule="auto"/>
        <w:rPr>
          <w:lang w:val="en-GB"/>
        </w:rPr>
      </w:pPr>
    </w:p>
    <w:p w14:paraId="77CF816B" w14:textId="77777777" w:rsidR="0092104C" w:rsidRPr="00A4442C" w:rsidRDefault="005E4F2E" w:rsidP="004A4664">
      <w:pPr>
        <w:pStyle w:val="Heading2"/>
        <w:spacing w:before="0" w:line="480" w:lineRule="auto"/>
        <w:rPr>
          <w:rFonts w:asciiTheme="minorHAnsi" w:hAnsiTheme="minorHAnsi"/>
          <w:color w:val="000000" w:themeColor="text1"/>
          <w:sz w:val="22"/>
          <w:szCs w:val="22"/>
          <w:lang w:val="en-GB"/>
        </w:rPr>
      </w:pPr>
      <w:r w:rsidRPr="00A4442C">
        <w:rPr>
          <w:rFonts w:asciiTheme="minorHAnsi" w:hAnsiTheme="minorHAnsi"/>
          <w:color w:val="000000" w:themeColor="text1"/>
          <w:sz w:val="22"/>
          <w:szCs w:val="22"/>
          <w:lang w:val="en-GB"/>
        </w:rPr>
        <w:lastRenderedPageBreak/>
        <w:t>Reflection</w:t>
      </w:r>
      <w:r w:rsidRPr="00A4442C" w:rsidDel="005E4F2E">
        <w:rPr>
          <w:rFonts w:asciiTheme="minorHAnsi" w:hAnsiTheme="minorHAnsi"/>
          <w:color w:val="000000" w:themeColor="text1"/>
          <w:sz w:val="22"/>
          <w:szCs w:val="22"/>
          <w:lang w:val="en-GB"/>
        </w:rPr>
        <w:t xml:space="preserve"> </w:t>
      </w:r>
    </w:p>
    <w:p w14:paraId="6EA4D2F7" w14:textId="49ACD352" w:rsidR="009476D3" w:rsidRPr="000333A1" w:rsidRDefault="007872CD" w:rsidP="004A4664">
      <w:pPr>
        <w:spacing w:after="0" w:line="480" w:lineRule="auto"/>
        <w:rPr>
          <w:lang w:val="en-GB"/>
        </w:rPr>
      </w:pPr>
      <w:r w:rsidRPr="000333A1">
        <w:rPr>
          <w:lang w:val="en-GB"/>
        </w:rPr>
        <w:t xml:space="preserve">Despite the limited evidence base that currently exists, the sometimes contradictory nature of policy and the national and international flexibility in interpretation of what reablement is and what it should be in practice, reablement is a service that seems here to stay. Perhaps </w:t>
      </w:r>
      <w:r w:rsidR="00F1536F" w:rsidRPr="000333A1">
        <w:rPr>
          <w:lang w:val="en-GB"/>
        </w:rPr>
        <w:t xml:space="preserve">it is precisely this flexibility that means reablement can be incorporated into different policy and cultural contexts. For example, </w:t>
      </w:r>
      <w:r w:rsidRPr="000333A1">
        <w:rPr>
          <w:lang w:val="en-GB"/>
        </w:rPr>
        <w:t xml:space="preserve">the </w:t>
      </w:r>
      <w:r w:rsidR="00207A02" w:rsidRPr="000333A1">
        <w:rPr>
          <w:lang w:val="en-GB"/>
        </w:rPr>
        <w:t>way th</w:t>
      </w:r>
      <w:r w:rsidR="00F1536F" w:rsidRPr="000333A1">
        <w:rPr>
          <w:lang w:val="en-GB"/>
        </w:rPr>
        <w:t xml:space="preserve">at the policy </w:t>
      </w:r>
      <w:r w:rsidR="00207A02" w:rsidRPr="000333A1">
        <w:rPr>
          <w:lang w:val="en-GB"/>
        </w:rPr>
        <w:t xml:space="preserve">trends </w:t>
      </w:r>
      <w:r w:rsidR="00F1536F" w:rsidRPr="000333A1">
        <w:rPr>
          <w:lang w:val="en-GB"/>
        </w:rPr>
        <w:t xml:space="preserve">outlined here </w:t>
      </w:r>
      <w:r w:rsidR="00207A02" w:rsidRPr="000333A1">
        <w:rPr>
          <w:lang w:val="en-GB"/>
        </w:rPr>
        <w:t>play out in different countries might be different</w:t>
      </w:r>
      <w:r w:rsidR="00F1536F" w:rsidRPr="000333A1">
        <w:rPr>
          <w:lang w:val="en-GB"/>
        </w:rPr>
        <w:t>. The way that ‘</w:t>
      </w:r>
      <w:r w:rsidR="00207A02" w:rsidRPr="000333A1">
        <w:rPr>
          <w:lang w:val="en-GB"/>
        </w:rPr>
        <w:t>ageing in place</w:t>
      </w:r>
      <w:r w:rsidR="00F1536F" w:rsidRPr="000333A1">
        <w:rPr>
          <w:lang w:val="en-GB"/>
        </w:rPr>
        <w:t>’</w:t>
      </w:r>
      <w:r w:rsidR="005E1C4E" w:rsidRPr="000333A1">
        <w:rPr>
          <w:vertAlign w:val="superscript"/>
          <w:lang w:val="en-GB"/>
        </w:rPr>
        <w:t>26</w:t>
      </w:r>
      <w:r w:rsidR="00F1536F" w:rsidRPr="000333A1">
        <w:rPr>
          <w:lang w:val="en-GB"/>
        </w:rPr>
        <w:t xml:space="preserve"> is experienced in different cultural environments might require a non-uniform policy and practice response</w:t>
      </w:r>
      <w:r w:rsidR="005E1C4E" w:rsidRPr="000333A1">
        <w:rPr>
          <w:vertAlign w:val="superscript"/>
          <w:lang w:val="en-GB"/>
        </w:rPr>
        <w:t>12</w:t>
      </w:r>
      <w:r w:rsidR="00207A02" w:rsidRPr="000333A1">
        <w:rPr>
          <w:lang w:val="en-GB"/>
        </w:rPr>
        <w:t>.</w:t>
      </w:r>
      <w:r w:rsidR="00F1536F" w:rsidRPr="000333A1">
        <w:rPr>
          <w:lang w:val="en-GB"/>
        </w:rPr>
        <w:t xml:space="preserve"> The flexibility and </w:t>
      </w:r>
      <w:r w:rsidR="00207A02" w:rsidRPr="000333A1">
        <w:rPr>
          <w:lang w:val="en-GB"/>
        </w:rPr>
        <w:t xml:space="preserve">holistic nature </w:t>
      </w:r>
      <w:r w:rsidR="00F1536F" w:rsidRPr="000333A1">
        <w:rPr>
          <w:lang w:val="en-GB"/>
        </w:rPr>
        <w:t xml:space="preserve">of reablement </w:t>
      </w:r>
      <w:r w:rsidR="00207A02" w:rsidRPr="000333A1">
        <w:rPr>
          <w:lang w:val="en-GB"/>
        </w:rPr>
        <w:t xml:space="preserve">means that these differences </w:t>
      </w:r>
      <w:r w:rsidR="00F1536F" w:rsidRPr="000333A1">
        <w:rPr>
          <w:lang w:val="en-GB"/>
        </w:rPr>
        <w:t>are able to be accommodated in different contexts whilst the primary</w:t>
      </w:r>
      <w:r w:rsidR="00207A02" w:rsidRPr="000333A1">
        <w:rPr>
          <w:lang w:val="en-GB"/>
        </w:rPr>
        <w:t xml:space="preserve"> aims and key features of reablement remain intact.</w:t>
      </w:r>
    </w:p>
    <w:p w14:paraId="443E398D" w14:textId="77777777" w:rsidR="003A697C" w:rsidRPr="000333A1" w:rsidRDefault="003A697C" w:rsidP="004A4664">
      <w:pPr>
        <w:spacing w:after="0" w:line="480" w:lineRule="auto"/>
        <w:rPr>
          <w:lang w:val="en-GB"/>
        </w:rPr>
      </w:pPr>
    </w:p>
    <w:p w14:paraId="2232BEC0" w14:textId="77777777" w:rsidR="0092104C" w:rsidRPr="000333A1" w:rsidRDefault="0092104C" w:rsidP="004A4664">
      <w:pPr>
        <w:spacing w:after="0" w:line="480" w:lineRule="auto"/>
        <w:rPr>
          <w:lang w:val="en-GB"/>
        </w:rPr>
      </w:pPr>
      <w:r w:rsidRPr="000333A1">
        <w:rPr>
          <w:lang w:val="en-GB"/>
        </w:rPr>
        <w:t>At present, there is growing experience of trying to deliver these different aims in practice, and there are some promising signs from the emerging evidence base. However, some of the individual arguments and motives above may sometimes be in conflict with each other. Thus, a series of key questions remain for national policy makers, local leaders, front-line practitioners and older people themselves.</w:t>
      </w:r>
    </w:p>
    <w:p w14:paraId="0FCC8E24" w14:textId="77777777" w:rsidR="003A697C" w:rsidRPr="000333A1" w:rsidRDefault="003A697C" w:rsidP="004A4664">
      <w:pPr>
        <w:spacing w:after="0" w:line="480" w:lineRule="auto"/>
        <w:rPr>
          <w:lang w:val="en-GB"/>
        </w:rPr>
      </w:pPr>
    </w:p>
    <w:p w14:paraId="7E5493A7" w14:textId="69E8202E" w:rsidR="00C52A09" w:rsidRPr="000333A1" w:rsidRDefault="00C52A09" w:rsidP="004A4664">
      <w:pPr>
        <w:spacing w:after="0" w:line="480" w:lineRule="auto"/>
        <w:rPr>
          <w:lang w:val="en-GB"/>
        </w:rPr>
      </w:pPr>
      <w:r w:rsidRPr="000333A1">
        <w:rPr>
          <w:lang w:val="en-GB"/>
        </w:rPr>
        <w:t xml:space="preserve">Underpinning all this is a broader debate about what constitutes valid evidence in the first place and how much evidence we need before we make changes to our services. Often, health care in particular is focused on a form of </w:t>
      </w:r>
      <w:r w:rsidRPr="00A4442C">
        <w:rPr>
          <w:i/>
          <w:lang w:val="en-GB"/>
        </w:rPr>
        <w:t>‘evidence-based policy and practice’</w:t>
      </w:r>
      <w:r w:rsidR="00A4442C">
        <w:rPr>
          <w:lang w:val="en-GB"/>
        </w:rPr>
        <w:t xml:space="preserve"> - </w:t>
      </w:r>
      <w:r w:rsidRPr="000333A1">
        <w:rPr>
          <w:lang w:val="en-GB"/>
        </w:rPr>
        <w:t>focusing on formal evidence of what might work and often relying primarily on particular forms of research – such as systematic reviews a</w:t>
      </w:r>
      <w:r w:rsidR="00A4442C">
        <w:rPr>
          <w:lang w:val="en-GB"/>
        </w:rPr>
        <w:t>nd randomised controlled trials</w:t>
      </w:r>
      <w:r w:rsidRPr="000333A1">
        <w:rPr>
          <w:lang w:val="en-GB"/>
        </w:rPr>
        <w:t xml:space="preserve">. However, policy and practice in this area is typically a long way ahead of the formal evidence and is waiting impatiently for the research to catch up. In such a situation, we cannot always wait for evidence of what works before we do something new. </w:t>
      </w:r>
      <w:r w:rsidR="00C83EEC" w:rsidRPr="000333A1">
        <w:rPr>
          <w:lang w:val="en-GB"/>
        </w:rPr>
        <w:t xml:space="preserve">Instead we have to look also for evidence of what is not currently working, then thinking through new ways </w:t>
      </w:r>
      <w:r w:rsidR="00C83EEC" w:rsidRPr="000333A1">
        <w:rPr>
          <w:lang w:val="en-GB"/>
        </w:rPr>
        <w:lastRenderedPageBreak/>
        <w:t>of doing things and learning by doing</w:t>
      </w:r>
      <w:r w:rsidR="00A4442C">
        <w:rPr>
          <w:lang w:val="en-GB"/>
        </w:rPr>
        <w:t xml:space="preserve"> and reflecting as we go along i.e. </w:t>
      </w:r>
      <w:r w:rsidR="00C83EEC" w:rsidRPr="000333A1">
        <w:rPr>
          <w:lang w:val="en-GB"/>
        </w:rPr>
        <w:t xml:space="preserve">a form of </w:t>
      </w:r>
      <w:r w:rsidR="00C83EEC" w:rsidRPr="00A4442C">
        <w:rPr>
          <w:lang w:val="en-GB"/>
        </w:rPr>
        <w:t>‘</w:t>
      </w:r>
      <w:r w:rsidR="00C83EEC" w:rsidRPr="00A4442C">
        <w:rPr>
          <w:i/>
          <w:lang w:val="en-GB"/>
        </w:rPr>
        <w:t>knowledge-based practice</w:t>
      </w:r>
      <w:r w:rsidR="00C83EEC" w:rsidRPr="00A4442C">
        <w:rPr>
          <w:lang w:val="en-GB"/>
        </w:rPr>
        <w:t>’</w:t>
      </w:r>
      <w:r w:rsidR="00A4442C">
        <w:rPr>
          <w:lang w:val="en-GB"/>
        </w:rPr>
        <w:t>.</w:t>
      </w:r>
      <w:r w:rsidR="006B2E2B" w:rsidRPr="000333A1">
        <w:rPr>
          <w:vertAlign w:val="superscript"/>
          <w:lang w:val="en-GB"/>
        </w:rPr>
        <w:t>27-28</w:t>
      </w:r>
    </w:p>
    <w:p w14:paraId="0DB16016" w14:textId="77777777" w:rsidR="00C52A09" w:rsidRPr="000333A1" w:rsidRDefault="00C52A09" w:rsidP="004A4664">
      <w:pPr>
        <w:spacing w:after="0" w:line="480" w:lineRule="auto"/>
        <w:rPr>
          <w:lang w:val="en-GB"/>
        </w:rPr>
      </w:pPr>
    </w:p>
    <w:p w14:paraId="68BFED8D" w14:textId="62B5D077" w:rsidR="00C52A09" w:rsidRPr="000333A1" w:rsidRDefault="00C52A09" w:rsidP="004A4664">
      <w:pPr>
        <w:spacing w:after="0" w:line="480" w:lineRule="auto"/>
        <w:rPr>
          <w:lang w:val="en-GB"/>
        </w:rPr>
      </w:pPr>
      <w:r w:rsidRPr="000333A1">
        <w:rPr>
          <w:lang w:val="en-GB"/>
        </w:rPr>
        <w:t xml:space="preserve">In the case of reablement, we are firmly in the realm of ‘knowledge-based practice’, with different local and national services trying to pioneer new and better responses to longstanding policy challenges. In the process, they are having to draw on the emerging research evidence, but are also having to make decisions about future services based on intuition, professional experience and the lived experience of older people. This is often contested and ‘messy’ – and there is a strong sense of having to learn as we go along. </w:t>
      </w:r>
      <w:r w:rsidR="0031729E" w:rsidRPr="000333A1">
        <w:rPr>
          <w:lang w:val="en-GB"/>
        </w:rPr>
        <w:t>However, r</w:t>
      </w:r>
      <w:r w:rsidR="0031729E" w:rsidRPr="000333A1">
        <w:t xml:space="preserve">eablement has a positive role to play and needs to be a core part of the spectrum of services available to older people. </w:t>
      </w:r>
      <w:r w:rsidR="0031729E" w:rsidRPr="00B143E3">
        <w:rPr>
          <w:lang w:val="en-US"/>
        </w:rPr>
        <w:t xml:space="preserve">Although the evidence is still emerging, reablement </w:t>
      </w:r>
      <w:r w:rsidR="00E47FA3" w:rsidRPr="00B143E3">
        <w:rPr>
          <w:lang w:val="en-US"/>
        </w:rPr>
        <w:t xml:space="preserve">seems </w:t>
      </w:r>
      <w:r w:rsidR="0031729E" w:rsidRPr="00B143E3">
        <w:rPr>
          <w:lang w:val="en-US"/>
        </w:rPr>
        <w:t>simply ‘the right thing to do’ – not trying to support people back to optimal independence would be bad for the individual as well as a poor use of scarce resources.</w:t>
      </w:r>
    </w:p>
    <w:p w14:paraId="260937F4" w14:textId="77777777" w:rsidR="00C52A09" w:rsidRPr="000333A1" w:rsidRDefault="00C52A09" w:rsidP="004A4664">
      <w:pPr>
        <w:spacing w:after="0" w:line="480" w:lineRule="auto"/>
        <w:rPr>
          <w:lang w:val="en-GB"/>
        </w:rPr>
      </w:pPr>
    </w:p>
    <w:p w14:paraId="04753F11" w14:textId="7497799B" w:rsidR="00F1536F" w:rsidRPr="000333A1" w:rsidRDefault="00BD3C87" w:rsidP="004A4664">
      <w:pPr>
        <w:spacing w:after="0" w:line="480" w:lineRule="auto"/>
        <w:rPr>
          <w:vertAlign w:val="superscript"/>
          <w:lang w:val="en-GB"/>
        </w:rPr>
      </w:pPr>
      <w:r w:rsidRPr="000333A1">
        <w:rPr>
          <w:lang w:val="en-GB"/>
        </w:rPr>
        <w:t>As outlined here, t</w:t>
      </w:r>
      <w:r w:rsidR="00F1536F" w:rsidRPr="000333A1">
        <w:rPr>
          <w:lang w:val="en-GB"/>
        </w:rPr>
        <w:t>here is a lack of evidence about reablement. More research is needed in order to reduce the knowledge gaps concerning the effects of reablement, in particular with regar</w:t>
      </w:r>
      <w:r w:rsidRPr="000333A1">
        <w:rPr>
          <w:lang w:val="en-GB"/>
        </w:rPr>
        <w:t xml:space="preserve">ds to individual health outcomes and </w:t>
      </w:r>
      <w:r w:rsidR="00F1536F" w:rsidRPr="000333A1">
        <w:rPr>
          <w:lang w:val="en-GB"/>
        </w:rPr>
        <w:t xml:space="preserve">more high quality research with large samples </w:t>
      </w:r>
      <w:r w:rsidRPr="000333A1">
        <w:rPr>
          <w:lang w:val="en-GB"/>
        </w:rPr>
        <w:t>is</w:t>
      </w:r>
      <w:r w:rsidR="00F1536F" w:rsidRPr="000333A1">
        <w:rPr>
          <w:lang w:val="en-GB"/>
        </w:rPr>
        <w:t xml:space="preserve"> required for all </w:t>
      </w:r>
      <w:r w:rsidRPr="000333A1">
        <w:rPr>
          <w:lang w:val="en-GB"/>
        </w:rPr>
        <w:t>types</w:t>
      </w:r>
      <w:r w:rsidR="00F1536F" w:rsidRPr="000333A1">
        <w:rPr>
          <w:lang w:val="en-GB"/>
        </w:rPr>
        <w:t xml:space="preserve"> of outcomes. Some of this research is already underway</w:t>
      </w:r>
      <w:r w:rsidR="009447E3" w:rsidRPr="000333A1">
        <w:rPr>
          <w:lang w:val="en-GB"/>
        </w:rPr>
        <w:t>, including the forthcoming Cochrane review on reablement</w:t>
      </w:r>
      <w:r w:rsidR="005E1C4E" w:rsidRPr="000333A1">
        <w:rPr>
          <w:vertAlign w:val="superscript"/>
          <w:lang w:val="en-GB"/>
        </w:rPr>
        <w:t>2</w:t>
      </w:r>
      <w:r w:rsidR="006B2E2B" w:rsidRPr="000333A1">
        <w:rPr>
          <w:vertAlign w:val="superscript"/>
          <w:lang w:val="en-GB"/>
        </w:rPr>
        <w:t>9</w:t>
      </w:r>
      <w:r w:rsidR="009447E3" w:rsidRPr="000333A1">
        <w:rPr>
          <w:lang w:val="en-GB"/>
        </w:rPr>
        <w:t xml:space="preserve"> and service evaluations </w:t>
      </w:r>
      <w:r w:rsidR="00F1536F" w:rsidRPr="000333A1">
        <w:rPr>
          <w:lang w:val="en-GB"/>
        </w:rPr>
        <w:t>in</w:t>
      </w:r>
      <w:r w:rsidR="003A697C" w:rsidRPr="000333A1">
        <w:rPr>
          <w:lang w:val="en-GB"/>
        </w:rPr>
        <w:t xml:space="preserve">, for example, </w:t>
      </w:r>
      <w:r w:rsidR="005E1C4E" w:rsidRPr="000333A1">
        <w:rPr>
          <w:lang w:val="en-GB"/>
        </w:rPr>
        <w:t>the UK</w:t>
      </w:r>
      <w:r w:rsidR="005E1C4E" w:rsidRPr="000333A1">
        <w:rPr>
          <w:vertAlign w:val="superscript"/>
          <w:lang w:val="en-GB"/>
        </w:rPr>
        <w:t>5</w:t>
      </w:r>
      <w:r w:rsidR="00530C79" w:rsidRPr="000333A1">
        <w:rPr>
          <w:lang w:val="en-GB"/>
        </w:rPr>
        <w:t>,</w:t>
      </w:r>
      <w:r w:rsidR="005E1C4E" w:rsidRPr="000333A1">
        <w:rPr>
          <w:lang w:val="en-GB"/>
        </w:rPr>
        <w:t xml:space="preserve"> </w:t>
      </w:r>
      <w:r w:rsidR="00162649" w:rsidRPr="000333A1">
        <w:rPr>
          <w:lang w:val="en-GB"/>
        </w:rPr>
        <w:t>Norway</w:t>
      </w:r>
      <w:r w:rsidR="006B2E2B" w:rsidRPr="000333A1">
        <w:rPr>
          <w:vertAlign w:val="superscript"/>
          <w:lang w:val="en-GB"/>
        </w:rPr>
        <w:t>30</w:t>
      </w:r>
      <w:r w:rsidR="0031729E" w:rsidRPr="000333A1">
        <w:rPr>
          <w:lang w:val="en-GB"/>
        </w:rPr>
        <w:t xml:space="preserve"> </w:t>
      </w:r>
      <w:r w:rsidR="003A697C" w:rsidRPr="000333A1">
        <w:rPr>
          <w:lang w:val="en-GB"/>
        </w:rPr>
        <w:t>and in Denmark</w:t>
      </w:r>
      <w:r w:rsidR="00E47FA3" w:rsidRPr="003807E8">
        <w:rPr>
          <w:vertAlign w:val="superscript"/>
          <w:lang w:val="en-GB"/>
        </w:rPr>
        <w:t>31</w:t>
      </w:r>
      <w:r w:rsidR="003A697C" w:rsidRPr="000333A1">
        <w:rPr>
          <w:lang w:val="en-GB"/>
        </w:rPr>
        <w:t xml:space="preserve">, </w:t>
      </w:r>
      <w:r w:rsidR="00F1536F" w:rsidRPr="000333A1">
        <w:rPr>
          <w:lang w:val="en-GB"/>
        </w:rPr>
        <w:t xml:space="preserve">the results of </w:t>
      </w:r>
      <w:r w:rsidR="009447E3" w:rsidRPr="000333A1">
        <w:rPr>
          <w:lang w:val="en-GB"/>
        </w:rPr>
        <w:t xml:space="preserve">which will </w:t>
      </w:r>
      <w:r w:rsidR="00F1536F" w:rsidRPr="000333A1">
        <w:rPr>
          <w:lang w:val="en-GB"/>
        </w:rPr>
        <w:t xml:space="preserve">help fill some of the </w:t>
      </w:r>
      <w:r w:rsidR="009447E3" w:rsidRPr="000333A1">
        <w:rPr>
          <w:lang w:val="en-GB"/>
        </w:rPr>
        <w:t xml:space="preserve">evidence </w:t>
      </w:r>
      <w:r w:rsidR="00F1536F" w:rsidRPr="000333A1">
        <w:rPr>
          <w:lang w:val="en-GB"/>
        </w:rPr>
        <w:t>gaps outlined here.</w:t>
      </w:r>
      <w:r w:rsidRPr="000333A1">
        <w:rPr>
          <w:lang w:val="en-GB"/>
        </w:rPr>
        <w:t xml:space="preserve"> </w:t>
      </w:r>
    </w:p>
    <w:p w14:paraId="2101310A" w14:textId="77777777" w:rsidR="008E6A68" w:rsidRPr="000333A1" w:rsidRDefault="008E6A68" w:rsidP="004A4664">
      <w:pPr>
        <w:spacing w:after="0" w:line="480" w:lineRule="auto"/>
        <w:rPr>
          <w:lang w:val="en-GB"/>
        </w:rPr>
      </w:pPr>
    </w:p>
    <w:p w14:paraId="45C31982" w14:textId="77777777" w:rsidR="008E6A68" w:rsidRPr="000333A1" w:rsidRDefault="008E6A68" w:rsidP="004A4664">
      <w:pPr>
        <w:spacing w:after="0" w:line="480" w:lineRule="auto"/>
        <w:rPr>
          <w:b/>
          <w:lang w:val="en-GB"/>
        </w:rPr>
      </w:pPr>
    </w:p>
    <w:p w14:paraId="68B67800" w14:textId="77777777" w:rsidR="0041297B" w:rsidRPr="000333A1" w:rsidRDefault="00C83EEC" w:rsidP="004A4664">
      <w:pPr>
        <w:spacing w:after="0" w:line="480" w:lineRule="auto"/>
        <w:rPr>
          <w:b/>
          <w:lang w:val="en-GB"/>
        </w:rPr>
      </w:pPr>
      <w:r w:rsidRPr="000333A1">
        <w:rPr>
          <w:b/>
          <w:lang w:val="en-GB"/>
        </w:rPr>
        <w:t>References</w:t>
      </w:r>
    </w:p>
    <w:p w14:paraId="3B2687CB" w14:textId="77777777" w:rsidR="00395F61" w:rsidRPr="000333A1" w:rsidRDefault="00395F61" w:rsidP="006B2E2B">
      <w:pPr>
        <w:pStyle w:val="ListParagraph"/>
        <w:widowControl w:val="0"/>
        <w:numPr>
          <w:ilvl w:val="0"/>
          <w:numId w:val="7"/>
        </w:numPr>
        <w:kinsoku w:val="0"/>
        <w:overflowPunct w:val="0"/>
        <w:spacing w:after="0" w:line="240" w:lineRule="auto"/>
        <w:ind w:left="357" w:hanging="357"/>
        <w:textAlignment w:val="baseline"/>
        <w:rPr>
          <w:lang w:val="en-GB"/>
        </w:rPr>
      </w:pPr>
      <w:r w:rsidRPr="000333A1">
        <w:rPr>
          <w:lang w:val="en-GB"/>
        </w:rPr>
        <w:t>United Nations Economic Commission for Europe, 201</w:t>
      </w:r>
      <w:r w:rsidR="00BE4BD0" w:rsidRPr="000333A1">
        <w:rPr>
          <w:lang w:val="en-GB"/>
        </w:rPr>
        <w:t>4</w:t>
      </w:r>
      <w:r w:rsidRPr="000333A1">
        <w:rPr>
          <w:lang w:val="en-GB"/>
        </w:rPr>
        <w:t xml:space="preserve">, </w:t>
      </w:r>
      <w:r w:rsidRPr="000333A1">
        <w:rPr>
          <w:i/>
          <w:lang w:val="en-GB"/>
        </w:rPr>
        <w:t>Innovative and empowering strategies for care, Policy Brief on Ageing No. 15</w:t>
      </w:r>
      <w:r w:rsidRPr="000333A1">
        <w:rPr>
          <w:lang w:val="en-GB"/>
        </w:rPr>
        <w:t>. Geneva: UNECE</w:t>
      </w:r>
    </w:p>
    <w:p w14:paraId="503450E2" w14:textId="77777777" w:rsidR="00123F42" w:rsidRPr="000333A1" w:rsidRDefault="00123F42" w:rsidP="006B2E2B">
      <w:pPr>
        <w:pStyle w:val="ListParagraph"/>
        <w:widowControl w:val="0"/>
        <w:kinsoku w:val="0"/>
        <w:overflowPunct w:val="0"/>
        <w:spacing w:after="0" w:line="240" w:lineRule="auto"/>
        <w:ind w:left="357"/>
        <w:textAlignment w:val="baseline"/>
        <w:rPr>
          <w:lang w:val="en-GB"/>
        </w:rPr>
      </w:pPr>
    </w:p>
    <w:p w14:paraId="020FDBA7" w14:textId="77777777" w:rsidR="00123F42" w:rsidRPr="000333A1" w:rsidRDefault="00395F61" w:rsidP="006B2E2B">
      <w:pPr>
        <w:pStyle w:val="ListParagraph"/>
        <w:widowControl w:val="0"/>
        <w:numPr>
          <w:ilvl w:val="0"/>
          <w:numId w:val="7"/>
        </w:numPr>
        <w:kinsoku w:val="0"/>
        <w:overflowPunct w:val="0"/>
        <w:spacing w:after="0" w:line="240" w:lineRule="auto"/>
        <w:ind w:left="357" w:hanging="357"/>
        <w:textAlignment w:val="baseline"/>
        <w:rPr>
          <w:lang w:val="en-GB"/>
        </w:rPr>
      </w:pPr>
      <w:r w:rsidRPr="000333A1">
        <w:rPr>
          <w:rFonts w:cs="Arial"/>
          <w:spacing w:val="-1"/>
          <w:lang w:val="en-GB"/>
        </w:rPr>
        <w:t xml:space="preserve">Allen K &amp; Glasby J, 2009, </w:t>
      </w:r>
      <w:r w:rsidRPr="000333A1">
        <w:rPr>
          <w:rFonts w:cs="Arial"/>
          <w:i/>
          <w:iCs/>
          <w:spacing w:val="-1"/>
          <w:lang w:val="en-GB"/>
        </w:rPr>
        <w:t>English Report on Prevention and Rehabilitation, Interlinks</w:t>
      </w:r>
      <w:r w:rsidRPr="000333A1">
        <w:rPr>
          <w:rFonts w:cs="Arial"/>
          <w:spacing w:val="-1"/>
          <w:lang w:val="en-GB"/>
        </w:rPr>
        <w:t>. Vienna, Austria: European Centre for Social Welfare Policy and Research.</w:t>
      </w:r>
      <w:r w:rsidRPr="000333A1">
        <w:rPr>
          <w:rFonts w:cs="Arial"/>
          <w:iCs/>
          <w:lang w:val="en-GB"/>
        </w:rPr>
        <w:t xml:space="preserve"> </w:t>
      </w:r>
    </w:p>
    <w:p w14:paraId="356A3836" w14:textId="77777777" w:rsidR="00123F42" w:rsidRPr="000333A1" w:rsidRDefault="00123F42" w:rsidP="006B2E2B">
      <w:pPr>
        <w:pStyle w:val="ListParagraph"/>
        <w:widowControl w:val="0"/>
        <w:kinsoku w:val="0"/>
        <w:overflowPunct w:val="0"/>
        <w:spacing w:after="0" w:line="240" w:lineRule="auto"/>
        <w:ind w:left="357"/>
        <w:textAlignment w:val="baseline"/>
        <w:rPr>
          <w:lang w:val="en-GB"/>
        </w:rPr>
      </w:pPr>
    </w:p>
    <w:p w14:paraId="46FB3F58" w14:textId="77777777" w:rsidR="00395F61" w:rsidRPr="000333A1" w:rsidRDefault="00395F61" w:rsidP="006B2E2B">
      <w:pPr>
        <w:pStyle w:val="ListParagraph"/>
        <w:widowControl w:val="0"/>
        <w:numPr>
          <w:ilvl w:val="0"/>
          <w:numId w:val="7"/>
        </w:numPr>
        <w:kinsoku w:val="0"/>
        <w:overflowPunct w:val="0"/>
        <w:spacing w:after="0" w:line="240" w:lineRule="auto"/>
        <w:ind w:left="357" w:hanging="357"/>
        <w:textAlignment w:val="baseline"/>
        <w:rPr>
          <w:lang w:val="en-GB"/>
        </w:rPr>
      </w:pPr>
      <w:r w:rsidRPr="000333A1">
        <w:rPr>
          <w:rFonts w:cs="Arial"/>
          <w:iCs/>
          <w:lang w:val="en-GB"/>
        </w:rPr>
        <w:t xml:space="preserve">Wiles JL, Leibing A, Guberman N, Reeve J, Allen RES, 2012, The meaning of “aging in place” to older people. </w:t>
      </w:r>
      <w:r w:rsidRPr="000333A1">
        <w:rPr>
          <w:rFonts w:cs="Arial"/>
          <w:i/>
          <w:iCs/>
          <w:lang w:val="en-GB"/>
        </w:rPr>
        <w:t>The Gerontologist</w:t>
      </w:r>
      <w:r w:rsidRPr="000333A1">
        <w:rPr>
          <w:rFonts w:cs="Arial"/>
          <w:iCs/>
          <w:lang w:val="en-GB"/>
        </w:rPr>
        <w:t>, 52(3):357-366</w:t>
      </w:r>
    </w:p>
    <w:p w14:paraId="2FB9E7A4" w14:textId="77777777" w:rsidR="00123F42" w:rsidRPr="000333A1" w:rsidRDefault="00123F42" w:rsidP="006B2E2B">
      <w:pPr>
        <w:pStyle w:val="ListParagraph"/>
        <w:widowControl w:val="0"/>
        <w:kinsoku w:val="0"/>
        <w:overflowPunct w:val="0"/>
        <w:spacing w:after="0" w:line="240" w:lineRule="auto"/>
        <w:ind w:left="357"/>
        <w:textAlignment w:val="baseline"/>
        <w:rPr>
          <w:rFonts w:cs="Arial"/>
          <w:iCs/>
          <w:lang w:val="en-GB"/>
        </w:rPr>
      </w:pPr>
    </w:p>
    <w:p w14:paraId="09F83BCC" w14:textId="77777777" w:rsidR="00395F61" w:rsidRPr="000333A1" w:rsidRDefault="00395F61" w:rsidP="006B2E2B">
      <w:pPr>
        <w:pStyle w:val="ListParagraph"/>
        <w:widowControl w:val="0"/>
        <w:numPr>
          <w:ilvl w:val="0"/>
          <w:numId w:val="7"/>
        </w:numPr>
        <w:kinsoku w:val="0"/>
        <w:overflowPunct w:val="0"/>
        <w:spacing w:after="0" w:line="240" w:lineRule="auto"/>
        <w:ind w:left="357" w:hanging="357"/>
        <w:textAlignment w:val="baseline"/>
        <w:rPr>
          <w:rFonts w:cs="Arial"/>
          <w:iCs/>
          <w:lang w:val="en-GB"/>
        </w:rPr>
      </w:pPr>
      <w:r w:rsidRPr="000333A1">
        <w:rPr>
          <w:rFonts w:cs="Arial"/>
          <w:lang w:val="en-GB"/>
        </w:rPr>
        <w:t xml:space="preserve">Robinson P, 2009, </w:t>
      </w:r>
      <w:r w:rsidRPr="000333A1">
        <w:rPr>
          <w:rFonts w:cs="Arial"/>
          <w:i/>
          <w:lang w:val="en-GB"/>
        </w:rPr>
        <w:t xml:space="preserve">Are hospital admissions out of control? </w:t>
      </w:r>
      <w:r w:rsidRPr="000333A1">
        <w:rPr>
          <w:rFonts w:cs="Arial"/>
          <w:lang w:val="en-GB"/>
        </w:rPr>
        <w:t xml:space="preserve">Alcester, Warwickshire: </w:t>
      </w:r>
      <w:r w:rsidRPr="000333A1">
        <w:rPr>
          <w:rFonts w:cs="Arial"/>
          <w:iCs/>
          <w:lang w:val="en-GB"/>
        </w:rPr>
        <w:t>Caspe Healthcare Knowledge Systems</w:t>
      </w:r>
    </w:p>
    <w:p w14:paraId="131AC3F3" w14:textId="77777777" w:rsidR="00123F42" w:rsidRPr="000333A1" w:rsidRDefault="00123F42" w:rsidP="006B2E2B">
      <w:pPr>
        <w:pStyle w:val="ListParagraph"/>
        <w:widowControl w:val="0"/>
        <w:kinsoku w:val="0"/>
        <w:overflowPunct w:val="0"/>
        <w:spacing w:after="0" w:line="240" w:lineRule="auto"/>
        <w:ind w:left="357"/>
        <w:textAlignment w:val="baseline"/>
        <w:rPr>
          <w:rFonts w:cs="Arial"/>
          <w:spacing w:val="-1"/>
          <w:lang w:val="en-GB"/>
        </w:rPr>
      </w:pPr>
    </w:p>
    <w:p w14:paraId="04DBF5A8" w14:textId="77777777" w:rsidR="00395F61" w:rsidRPr="000333A1" w:rsidRDefault="00395F61" w:rsidP="006B2E2B">
      <w:pPr>
        <w:pStyle w:val="ListParagraph"/>
        <w:widowControl w:val="0"/>
        <w:numPr>
          <w:ilvl w:val="0"/>
          <w:numId w:val="7"/>
        </w:numPr>
        <w:kinsoku w:val="0"/>
        <w:overflowPunct w:val="0"/>
        <w:spacing w:after="0" w:line="240" w:lineRule="auto"/>
        <w:ind w:left="357" w:hanging="357"/>
        <w:textAlignment w:val="baseline"/>
        <w:rPr>
          <w:rFonts w:cs="Arial"/>
          <w:spacing w:val="-1"/>
          <w:lang w:val="en-GB"/>
        </w:rPr>
      </w:pPr>
      <w:r w:rsidRPr="000333A1">
        <w:rPr>
          <w:rFonts w:cs="Arial"/>
          <w:spacing w:val="-1"/>
          <w:lang w:val="en-GB"/>
        </w:rPr>
        <w:t xml:space="preserve">Aspinal F, Beresford B, Parker G, Rabiee P, Faria R, Weatherly H, Kanaan M, Pilkington, G, Laver-Fawcett A, 2014, </w:t>
      </w:r>
      <w:r w:rsidRPr="000333A1">
        <w:rPr>
          <w:rFonts w:cs="Arial"/>
          <w:i/>
          <w:shd w:val="clear" w:color="auto" w:fill="FFFFFF"/>
          <w:lang w:val="en-GB"/>
        </w:rPr>
        <w:t xml:space="preserve">Models Of Reablement Evaluation: a mixed methods evaluation of a complex intervention (The MORE project) – Project protocol. </w:t>
      </w:r>
      <w:r w:rsidRPr="000333A1">
        <w:rPr>
          <w:rFonts w:cs="Arial"/>
          <w:shd w:val="clear" w:color="auto" w:fill="FFFFFF"/>
          <w:lang w:val="en-GB"/>
        </w:rPr>
        <w:t xml:space="preserve"> Available at - http://www.nets.nihr.ac.uk/projects/hsdr/130117</w:t>
      </w:r>
    </w:p>
    <w:p w14:paraId="056BE03D" w14:textId="77777777" w:rsidR="00123F42" w:rsidRPr="000333A1" w:rsidRDefault="00123F42" w:rsidP="006B2E2B">
      <w:pPr>
        <w:pStyle w:val="ListParagraph"/>
        <w:spacing w:after="0" w:line="240" w:lineRule="auto"/>
        <w:ind w:left="357"/>
        <w:rPr>
          <w:rStyle w:val="clvbooktitle"/>
          <w:shd w:val="clear" w:color="auto" w:fill="FFFFFF"/>
          <w:lang w:val="en-GB"/>
        </w:rPr>
      </w:pPr>
    </w:p>
    <w:p w14:paraId="16862C1A" w14:textId="77777777" w:rsidR="00123F42" w:rsidRPr="000333A1" w:rsidRDefault="00395F61" w:rsidP="006B2E2B">
      <w:pPr>
        <w:pStyle w:val="ListParagraph"/>
        <w:widowControl w:val="0"/>
        <w:numPr>
          <w:ilvl w:val="0"/>
          <w:numId w:val="7"/>
        </w:numPr>
        <w:kinsoku w:val="0"/>
        <w:overflowPunct w:val="0"/>
        <w:spacing w:after="0" w:line="240" w:lineRule="auto"/>
        <w:ind w:left="357" w:hanging="357"/>
        <w:textAlignment w:val="baseline"/>
        <w:rPr>
          <w:lang w:val="en-GB"/>
        </w:rPr>
      </w:pPr>
      <w:r w:rsidRPr="000333A1">
        <w:rPr>
          <w:rStyle w:val="clvbooktitle"/>
          <w:bdr w:val="none" w:sz="0" w:space="0" w:color="auto" w:frame="1"/>
          <w:shd w:val="clear" w:color="auto" w:fill="FFFFFF"/>
          <w:lang w:val="en-GB"/>
        </w:rPr>
        <w:t xml:space="preserve">Glendinning C, Jones K, Baxter K, Rabiee P, Curtis L, Wilde A, Arksey H, Forder J, 2010, </w:t>
      </w:r>
      <w:hyperlink r:id="rId11" w:history="1">
        <w:r w:rsidRPr="000333A1">
          <w:rPr>
            <w:rStyle w:val="Hyperlink"/>
            <w:bCs/>
            <w:i/>
            <w:color w:val="auto"/>
            <w:u w:val="none"/>
            <w:bdr w:val="none" w:sz="0" w:space="0" w:color="auto" w:frame="1"/>
            <w:shd w:val="clear" w:color="auto" w:fill="FFFFFF"/>
            <w:lang w:val="en-GB"/>
          </w:rPr>
          <w:t>Home Care Re-ablement Services: Investigating the longer-term impacts (prospective longitudinal study)</w:t>
        </w:r>
      </w:hyperlink>
      <w:r w:rsidRPr="000333A1">
        <w:rPr>
          <w:shd w:val="clear" w:color="auto" w:fill="FFFFFF"/>
          <w:lang w:val="en-GB"/>
        </w:rPr>
        <w:t xml:space="preserve">. York: </w:t>
      </w:r>
      <w:r w:rsidRPr="000333A1">
        <w:rPr>
          <w:rStyle w:val="clvpub"/>
          <w:bdr w:val="none" w:sz="0" w:space="0" w:color="auto" w:frame="1"/>
          <w:shd w:val="clear" w:color="auto" w:fill="FFFFFF"/>
          <w:lang w:val="en-GB"/>
        </w:rPr>
        <w:t>Social Policy Research Unit</w:t>
      </w:r>
      <w:r w:rsidRPr="000333A1">
        <w:rPr>
          <w:shd w:val="clear" w:color="auto" w:fill="FFFFFF"/>
          <w:lang w:val="en-GB"/>
        </w:rPr>
        <w:t>.</w:t>
      </w:r>
      <w:r w:rsidRPr="000333A1">
        <w:t xml:space="preserve"> Available to download from: </w:t>
      </w:r>
      <w:hyperlink r:id="rId12" w:history="1">
        <w:r w:rsidR="00123F42" w:rsidRPr="000333A1">
          <w:rPr>
            <w:rStyle w:val="Hyperlink"/>
            <w:color w:val="auto"/>
          </w:rPr>
          <w:t>http://php.york.ac.uk/inst/spru/pubs/1882/</w:t>
        </w:r>
      </w:hyperlink>
    </w:p>
    <w:p w14:paraId="34568DCE" w14:textId="77777777" w:rsidR="00123F42" w:rsidRPr="000333A1" w:rsidRDefault="00123F42" w:rsidP="006B2E2B">
      <w:pPr>
        <w:pStyle w:val="ListParagraph"/>
        <w:spacing w:after="0" w:line="240" w:lineRule="auto"/>
      </w:pPr>
    </w:p>
    <w:p w14:paraId="778ADFB0" w14:textId="77777777" w:rsidR="00123F42" w:rsidRPr="000333A1" w:rsidRDefault="00395F61" w:rsidP="006B2E2B">
      <w:pPr>
        <w:pStyle w:val="ListParagraph"/>
        <w:widowControl w:val="0"/>
        <w:numPr>
          <w:ilvl w:val="0"/>
          <w:numId w:val="7"/>
        </w:numPr>
        <w:shd w:val="clear" w:color="auto" w:fill="FFFFFF"/>
        <w:kinsoku w:val="0"/>
        <w:overflowPunct w:val="0"/>
        <w:spacing w:after="0" w:line="240" w:lineRule="auto"/>
        <w:ind w:left="357" w:hanging="357"/>
        <w:textAlignment w:val="baseline"/>
        <w:rPr>
          <w:rFonts w:eastAsia="Times New Roman" w:cs="Arial"/>
          <w:lang w:val="en-GB" w:eastAsia="en-GB"/>
        </w:rPr>
      </w:pPr>
      <w:r w:rsidRPr="000333A1">
        <w:t>Rostga</w:t>
      </w:r>
      <w:r w:rsidR="0031729E" w:rsidRPr="000333A1">
        <w:t>a</w:t>
      </w:r>
      <w:r w:rsidRPr="000333A1">
        <w:t xml:space="preserve">rd T, 2015, </w:t>
      </w:r>
      <w:r w:rsidRPr="000333A1">
        <w:rPr>
          <w:i/>
        </w:rPr>
        <w:t>Socially Investing in Older People – Reablement as a Social Care Policy Response?</w:t>
      </w:r>
      <w:r w:rsidRPr="000333A1">
        <w:t xml:space="preserve"> IAGG-ER 8th Congress Dublin  (23rd-26th April 2</w:t>
      </w:r>
      <w:r w:rsidR="00A759AA" w:rsidRPr="000333A1">
        <w:t>0</w:t>
      </w:r>
      <w:r w:rsidRPr="000333A1">
        <w:t>15)</w:t>
      </w:r>
    </w:p>
    <w:p w14:paraId="25B46A8F" w14:textId="77777777" w:rsidR="00123F42" w:rsidRPr="000333A1" w:rsidRDefault="00123F42" w:rsidP="006B2E2B">
      <w:pPr>
        <w:pStyle w:val="ListParagraph"/>
        <w:spacing w:after="0" w:line="240" w:lineRule="auto"/>
        <w:rPr>
          <w:lang w:val="en-GB"/>
        </w:rPr>
      </w:pPr>
    </w:p>
    <w:p w14:paraId="1568C119"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 xml:space="preserve">Tuntland H, Aaslund M, Espehaug B, Førland O, Kjeken I, 2015, Reablement in Community-Dwelling Older Adults: A Randomised Controlled Trial. </w:t>
      </w:r>
      <w:r w:rsidRPr="000333A1">
        <w:rPr>
          <w:i/>
          <w:lang w:val="en-GB"/>
        </w:rPr>
        <w:t>BMC Geriatr</w:t>
      </w:r>
      <w:r w:rsidR="004C548E" w:rsidRPr="000333A1">
        <w:rPr>
          <w:i/>
          <w:lang w:val="en-GB"/>
        </w:rPr>
        <w:t>ic</w:t>
      </w:r>
      <w:r w:rsidR="00012978" w:rsidRPr="000333A1">
        <w:rPr>
          <w:i/>
          <w:lang w:val="en-GB"/>
        </w:rPr>
        <w:t>s</w:t>
      </w:r>
      <w:r w:rsidRPr="000333A1">
        <w:rPr>
          <w:lang w:val="en-GB"/>
        </w:rPr>
        <w:t xml:space="preserve"> 2015.</w:t>
      </w:r>
      <w:r w:rsidRPr="000333A1">
        <w:rPr>
          <w:rStyle w:val="HeaderChar"/>
          <w:rFonts w:cs="Arial"/>
        </w:rPr>
        <w:t xml:space="preserve"> </w:t>
      </w:r>
      <w:r w:rsidRPr="000333A1">
        <w:rPr>
          <w:rFonts w:eastAsia="Times New Roman" w:cs="Arial"/>
          <w:bCs/>
          <w:lang w:val="en-GB" w:eastAsia="en-GB"/>
        </w:rPr>
        <w:t>15</w:t>
      </w:r>
      <w:r w:rsidRPr="000333A1">
        <w:rPr>
          <w:rFonts w:eastAsia="Times New Roman" w:cs="Arial"/>
          <w:lang w:val="en-GB" w:eastAsia="en-GB"/>
        </w:rPr>
        <w:t xml:space="preserve">:145 </w:t>
      </w:r>
      <w:r w:rsidRPr="000333A1">
        <w:rPr>
          <w:rFonts w:eastAsia="Times New Roman" w:cs="Arial"/>
          <w:bCs/>
          <w:lang w:val="en-GB" w:eastAsia="en-GB"/>
        </w:rPr>
        <w:t>DOI: </w:t>
      </w:r>
      <w:r w:rsidRPr="000333A1">
        <w:rPr>
          <w:rFonts w:eastAsia="Times New Roman" w:cs="Arial"/>
          <w:lang w:val="en-GB" w:eastAsia="en-GB"/>
        </w:rPr>
        <w:t>10.1186/s12877-015-0142-9</w:t>
      </w:r>
    </w:p>
    <w:p w14:paraId="6EC4AB0E" w14:textId="77777777" w:rsidR="00123F42" w:rsidRPr="000333A1" w:rsidRDefault="00123F42" w:rsidP="006B2E2B">
      <w:pPr>
        <w:pStyle w:val="ListParagraph"/>
        <w:spacing w:after="0" w:line="240" w:lineRule="auto"/>
        <w:rPr>
          <w:shd w:val="clear" w:color="auto" w:fill="FFFFFF"/>
          <w:lang w:val="en-GB"/>
        </w:rPr>
      </w:pPr>
    </w:p>
    <w:p w14:paraId="09E32329" w14:textId="77777777" w:rsidR="00123F42" w:rsidRPr="000333A1" w:rsidRDefault="00A759AA"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shd w:val="clear" w:color="auto" w:fill="FFFFFF"/>
          <w:lang w:val="en-GB"/>
        </w:rPr>
        <w:t xml:space="preserve">Lewin G, Alfonso HS, Alan, JJ, 2013, </w:t>
      </w:r>
      <w:r w:rsidRPr="000333A1">
        <w:rPr>
          <w:lang w:val="en-GB"/>
        </w:rPr>
        <w:t xml:space="preserve">Evidence for the long term cost effectiveness of home care reablement programs. </w:t>
      </w:r>
      <w:r w:rsidRPr="000333A1">
        <w:rPr>
          <w:i/>
          <w:lang w:val="en-GB"/>
        </w:rPr>
        <w:t>Clinical Interventions in Aging</w:t>
      </w:r>
      <w:r w:rsidRPr="000333A1">
        <w:rPr>
          <w:lang w:val="en-GB"/>
        </w:rPr>
        <w:t xml:space="preserve">, 8: </w:t>
      </w:r>
      <w:r w:rsidR="00123F42" w:rsidRPr="000333A1">
        <w:rPr>
          <w:lang w:val="en-GB"/>
        </w:rPr>
        <w:t>1273–1281</w:t>
      </w:r>
    </w:p>
    <w:p w14:paraId="69C8A519" w14:textId="77777777" w:rsidR="00123F42" w:rsidRPr="000333A1" w:rsidRDefault="00123F42" w:rsidP="006B2E2B">
      <w:pPr>
        <w:pStyle w:val="ListParagraph"/>
        <w:spacing w:after="0" w:line="240" w:lineRule="auto"/>
        <w:rPr>
          <w:lang w:val="en-GB"/>
        </w:rPr>
      </w:pPr>
    </w:p>
    <w:p w14:paraId="51729BAE" w14:textId="77777777" w:rsidR="00123F42" w:rsidRPr="000333A1" w:rsidRDefault="00A759AA"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 xml:space="preserve">European Commission, 2013, </w:t>
      </w:r>
      <w:r w:rsidRPr="000333A1">
        <w:rPr>
          <w:i/>
          <w:lang w:val="en-GB"/>
        </w:rPr>
        <w:t>Long-Term Care in Ageing Societies – Challenges and Policy Options. Commission Staff Working Document, SWD 41/2</w:t>
      </w:r>
      <w:r w:rsidR="00012978" w:rsidRPr="000333A1">
        <w:rPr>
          <w:lang w:val="en-GB"/>
        </w:rPr>
        <w:t>.</w:t>
      </w:r>
      <w:r w:rsidRPr="000333A1">
        <w:rPr>
          <w:lang w:val="en-GB"/>
        </w:rPr>
        <w:t xml:space="preserve"> Brussels: European Commission.</w:t>
      </w:r>
    </w:p>
    <w:p w14:paraId="34CB35C2" w14:textId="77777777" w:rsidR="00123F42" w:rsidRPr="000333A1" w:rsidRDefault="00123F42" w:rsidP="006B2E2B">
      <w:pPr>
        <w:pStyle w:val="ListParagraph"/>
        <w:spacing w:after="0" w:line="240" w:lineRule="auto"/>
      </w:pPr>
    </w:p>
    <w:p w14:paraId="72DA1B41"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t xml:space="preserve">Mysyuk Y, Westendorp RG, Biggs S, Lindenberg J, 2015, Listening to the voices of abused older people: should we classify system abuse? </w:t>
      </w:r>
      <w:r w:rsidRPr="000333A1">
        <w:rPr>
          <w:i/>
        </w:rPr>
        <w:t>BMJ Online</w:t>
      </w:r>
      <w:r w:rsidR="00012978" w:rsidRPr="000333A1">
        <w:rPr>
          <w:i/>
        </w:rPr>
        <w:t>,</w:t>
      </w:r>
      <w:r w:rsidRPr="000333A1">
        <w:t xml:space="preserve"> </w:t>
      </w:r>
      <w:r w:rsidRPr="000333A1">
        <w:rPr>
          <w:rFonts w:cs="Arial"/>
        </w:rPr>
        <w:t>Jun 4;350:h2697. doi: 10.1136/bmj.h2697.</w:t>
      </w:r>
    </w:p>
    <w:p w14:paraId="34548D44" w14:textId="77777777" w:rsidR="00123F42" w:rsidRPr="000333A1" w:rsidRDefault="00123F42" w:rsidP="006B2E2B">
      <w:pPr>
        <w:pStyle w:val="ListParagraph"/>
        <w:spacing w:after="0" w:line="240" w:lineRule="auto"/>
        <w:rPr>
          <w:lang w:val="en-GB"/>
        </w:rPr>
      </w:pPr>
    </w:p>
    <w:p w14:paraId="2ABC3EE6"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Fernandez-Carro, C, 2016, Age</w:t>
      </w:r>
      <w:r w:rsidR="005E1C4E" w:rsidRPr="000333A1">
        <w:rPr>
          <w:lang w:val="en-GB"/>
        </w:rPr>
        <w:t>i</w:t>
      </w:r>
      <w:r w:rsidRPr="000333A1">
        <w:rPr>
          <w:lang w:val="en-GB"/>
        </w:rPr>
        <w:t xml:space="preserve">ng at home, co-residence or institutionalisation? Preferred care and residential arrangements of older adults in Spain. </w:t>
      </w:r>
      <w:r w:rsidRPr="000333A1">
        <w:rPr>
          <w:i/>
          <w:lang w:val="en-GB"/>
        </w:rPr>
        <w:t>Ageing and Society</w:t>
      </w:r>
      <w:r w:rsidRPr="000333A1">
        <w:rPr>
          <w:lang w:val="en-GB"/>
        </w:rPr>
        <w:t>, 36(3): 586-612</w:t>
      </w:r>
    </w:p>
    <w:p w14:paraId="12C5C530" w14:textId="77777777" w:rsidR="00123F42" w:rsidRPr="000333A1" w:rsidRDefault="00123F42" w:rsidP="006B2E2B">
      <w:pPr>
        <w:pStyle w:val="ListParagraph"/>
        <w:spacing w:after="0" w:line="240" w:lineRule="auto"/>
        <w:rPr>
          <w:lang w:val="en-GB"/>
        </w:rPr>
      </w:pPr>
    </w:p>
    <w:p w14:paraId="482A8ECA"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Legg L, Gladman J, Drummond A, Davidson A</w:t>
      </w:r>
      <w:r w:rsidR="00012978" w:rsidRPr="000333A1">
        <w:rPr>
          <w:lang w:val="en-GB"/>
        </w:rPr>
        <w:t xml:space="preserve">, 2015, </w:t>
      </w:r>
      <w:r w:rsidRPr="000333A1">
        <w:rPr>
          <w:lang w:val="en-GB"/>
        </w:rPr>
        <w:t xml:space="preserve">A systematic review of the evidence on home care reablement services. </w:t>
      </w:r>
      <w:r w:rsidRPr="000333A1">
        <w:rPr>
          <w:i/>
          <w:lang w:val="en-GB"/>
        </w:rPr>
        <w:t>Clin</w:t>
      </w:r>
      <w:r w:rsidR="004C548E" w:rsidRPr="000333A1">
        <w:rPr>
          <w:i/>
          <w:lang w:val="en-GB"/>
        </w:rPr>
        <w:t>ical</w:t>
      </w:r>
      <w:r w:rsidRPr="000333A1">
        <w:rPr>
          <w:i/>
          <w:lang w:val="en-GB"/>
        </w:rPr>
        <w:t xml:space="preserve"> Rehabil</w:t>
      </w:r>
      <w:r w:rsidR="004C548E" w:rsidRPr="000333A1">
        <w:rPr>
          <w:i/>
          <w:lang w:val="en-GB"/>
        </w:rPr>
        <w:t>itation</w:t>
      </w:r>
      <w:r w:rsidR="00012978" w:rsidRPr="000333A1">
        <w:rPr>
          <w:i/>
          <w:lang w:val="en-GB"/>
        </w:rPr>
        <w:t xml:space="preserve">, </w:t>
      </w:r>
      <w:r w:rsidRPr="000333A1">
        <w:rPr>
          <w:lang w:val="en-GB"/>
        </w:rPr>
        <w:t>1-9.</w:t>
      </w:r>
    </w:p>
    <w:p w14:paraId="23B4B8BF" w14:textId="77777777" w:rsidR="00123F42" w:rsidRPr="000333A1" w:rsidRDefault="00123F42" w:rsidP="006B2E2B">
      <w:pPr>
        <w:pStyle w:val="ListParagraph"/>
        <w:spacing w:after="0" w:line="240" w:lineRule="auto"/>
        <w:rPr>
          <w:lang w:val="en-GB"/>
        </w:rPr>
      </w:pPr>
    </w:p>
    <w:p w14:paraId="6720374C"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Whitehead PJ, Worthington EJ, Parry RH, Walker MF, Drummond AE</w:t>
      </w:r>
      <w:r w:rsidR="00012978" w:rsidRPr="000333A1">
        <w:rPr>
          <w:lang w:val="en-GB"/>
        </w:rPr>
        <w:t xml:space="preserve">, 2015, </w:t>
      </w:r>
      <w:r w:rsidRPr="000333A1">
        <w:rPr>
          <w:lang w:val="en-GB"/>
        </w:rPr>
        <w:t xml:space="preserve">Interventions to reduce dependency in personal activities of daily living in community dwelling adults who use homecare services: A systematic review. </w:t>
      </w:r>
      <w:r w:rsidR="004C548E" w:rsidRPr="000333A1">
        <w:rPr>
          <w:i/>
          <w:lang w:val="en-GB"/>
        </w:rPr>
        <w:t>Clinical Rehabil</w:t>
      </w:r>
      <w:r w:rsidR="00012978" w:rsidRPr="000333A1">
        <w:rPr>
          <w:i/>
          <w:lang w:val="en-GB"/>
        </w:rPr>
        <w:t xml:space="preserve">itation, </w:t>
      </w:r>
      <w:r w:rsidRPr="000333A1">
        <w:rPr>
          <w:lang w:val="en-GB"/>
        </w:rPr>
        <w:t>1-13.</w:t>
      </w:r>
    </w:p>
    <w:p w14:paraId="59F65C7D" w14:textId="77777777" w:rsidR="00123F42" w:rsidRPr="000333A1" w:rsidRDefault="00123F42" w:rsidP="006B2E2B">
      <w:pPr>
        <w:pStyle w:val="ListParagraph"/>
        <w:spacing w:after="0" w:line="240" w:lineRule="auto"/>
        <w:rPr>
          <w:lang w:val="en-GB"/>
        </w:rPr>
      </w:pPr>
    </w:p>
    <w:p w14:paraId="5B47073E"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Burton E, Lewin G, Boldy D</w:t>
      </w:r>
      <w:r w:rsidR="00012978" w:rsidRPr="000333A1">
        <w:rPr>
          <w:lang w:val="en-GB"/>
        </w:rPr>
        <w:t xml:space="preserve">, 2013, </w:t>
      </w:r>
      <w:r w:rsidRPr="000333A1">
        <w:rPr>
          <w:lang w:val="en-GB"/>
        </w:rPr>
        <w:t xml:space="preserve">Physical Activity Levels of Older Adults Receiving a Home Care Service. </w:t>
      </w:r>
      <w:r w:rsidRPr="000333A1">
        <w:rPr>
          <w:rStyle w:val="Strong"/>
          <w:rFonts w:cs="Helvetica"/>
          <w:b w:val="0"/>
          <w:i/>
          <w:lang w:val="en-GB"/>
        </w:rPr>
        <w:t>J</w:t>
      </w:r>
      <w:r w:rsidR="00012978" w:rsidRPr="000333A1">
        <w:rPr>
          <w:rStyle w:val="Strong"/>
          <w:rFonts w:cs="Helvetica"/>
          <w:b w:val="0"/>
          <w:i/>
          <w:lang w:val="en-GB"/>
        </w:rPr>
        <w:t>ournal of</w:t>
      </w:r>
      <w:r w:rsidRPr="000333A1">
        <w:rPr>
          <w:rStyle w:val="Strong"/>
          <w:rFonts w:cs="Helvetica"/>
          <w:b w:val="0"/>
          <w:i/>
          <w:lang w:val="en-GB"/>
        </w:rPr>
        <w:t xml:space="preserve"> Aging </w:t>
      </w:r>
      <w:r w:rsidR="00012978" w:rsidRPr="000333A1">
        <w:rPr>
          <w:rStyle w:val="Strong"/>
          <w:rFonts w:cs="Helvetica"/>
          <w:b w:val="0"/>
          <w:i/>
          <w:lang w:val="en-GB"/>
        </w:rPr>
        <w:t xml:space="preserve">and </w:t>
      </w:r>
      <w:r w:rsidRPr="000333A1">
        <w:rPr>
          <w:rStyle w:val="Strong"/>
          <w:rFonts w:cs="Helvetica"/>
          <w:b w:val="0"/>
          <w:i/>
          <w:lang w:val="en-GB"/>
        </w:rPr>
        <w:t>Phys</w:t>
      </w:r>
      <w:r w:rsidR="00012978" w:rsidRPr="000333A1">
        <w:rPr>
          <w:rStyle w:val="Strong"/>
          <w:rFonts w:cs="Helvetica"/>
          <w:b w:val="0"/>
          <w:i/>
          <w:lang w:val="en-GB"/>
        </w:rPr>
        <w:t>ical</w:t>
      </w:r>
      <w:r w:rsidRPr="000333A1">
        <w:rPr>
          <w:rStyle w:val="Strong"/>
          <w:rFonts w:cs="Helvetica"/>
          <w:b w:val="0"/>
          <w:i/>
          <w:lang w:val="en-GB"/>
        </w:rPr>
        <w:t xml:space="preserve"> Act</w:t>
      </w:r>
      <w:r w:rsidR="00012978" w:rsidRPr="000333A1">
        <w:rPr>
          <w:rStyle w:val="Strong"/>
          <w:rFonts w:cs="Helvetica"/>
          <w:b w:val="0"/>
          <w:i/>
          <w:lang w:val="en-GB"/>
        </w:rPr>
        <w:t>ivity</w:t>
      </w:r>
      <w:r w:rsidRPr="000333A1">
        <w:rPr>
          <w:lang w:val="en-GB"/>
        </w:rPr>
        <w:t>, 21:140-154.</w:t>
      </w:r>
    </w:p>
    <w:p w14:paraId="4EEDBB93" w14:textId="77777777" w:rsidR="00123F42" w:rsidRPr="000333A1" w:rsidRDefault="00123F42" w:rsidP="006B2E2B">
      <w:pPr>
        <w:pStyle w:val="ListParagraph"/>
        <w:spacing w:after="0" w:line="240" w:lineRule="auto"/>
        <w:rPr>
          <w:lang w:val="en-GB"/>
        </w:rPr>
      </w:pPr>
    </w:p>
    <w:p w14:paraId="1141DF61"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Lewin G, De San Miguel K, Knuiman M, Alan J, Boldy D, Hendrie D</w:t>
      </w:r>
      <w:r w:rsidR="00012978" w:rsidRPr="000333A1">
        <w:rPr>
          <w:lang w:val="en-GB"/>
        </w:rPr>
        <w:t xml:space="preserve">, 2013, </w:t>
      </w:r>
      <w:r w:rsidRPr="000333A1">
        <w:rPr>
          <w:lang w:val="en-GB"/>
        </w:rPr>
        <w:t xml:space="preserve">A randomised controlled trial of the Home Independence Program, an Australian restorative home-care programme for older adults. </w:t>
      </w:r>
      <w:r w:rsidRPr="000333A1">
        <w:rPr>
          <w:i/>
          <w:lang w:val="en-GB"/>
        </w:rPr>
        <w:t xml:space="preserve">Health </w:t>
      </w:r>
      <w:r w:rsidR="00012978" w:rsidRPr="000333A1">
        <w:rPr>
          <w:i/>
          <w:lang w:val="en-GB"/>
        </w:rPr>
        <w:t>and Social Care in the Community</w:t>
      </w:r>
      <w:r w:rsidRPr="000333A1">
        <w:rPr>
          <w:lang w:val="en-GB"/>
        </w:rPr>
        <w:t>, 21(Jan):69-78.</w:t>
      </w:r>
    </w:p>
    <w:p w14:paraId="27235213" w14:textId="77777777" w:rsidR="00123F42" w:rsidRPr="000333A1" w:rsidRDefault="00123F42" w:rsidP="006B2E2B">
      <w:pPr>
        <w:pStyle w:val="ListParagraph"/>
        <w:spacing w:after="0" w:line="240" w:lineRule="auto"/>
        <w:rPr>
          <w:lang w:val="en-GB"/>
        </w:rPr>
      </w:pPr>
    </w:p>
    <w:p w14:paraId="11106178" w14:textId="77777777" w:rsidR="00123F42" w:rsidRPr="000333A1" w:rsidRDefault="00BE4BD0"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King AI, Parsons M, Robinson E, Jorgensen D</w:t>
      </w:r>
      <w:r w:rsidR="00012978" w:rsidRPr="000333A1">
        <w:rPr>
          <w:lang w:val="en-GB"/>
        </w:rPr>
        <w:t>, 2012, A</w:t>
      </w:r>
      <w:r w:rsidRPr="000333A1">
        <w:rPr>
          <w:lang w:val="en-GB"/>
        </w:rPr>
        <w:t xml:space="preserve">ssessing the impact of a restorative home care service in New Zealand: a cluster randomised controlled trial. </w:t>
      </w:r>
      <w:r w:rsidR="00012978" w:rsidRPr="000333A1">
        <w:rPr>
          <w:i/>
          <w:lang w:val="en-GB"/>
        </w:rPr>
        <w:t>Health and Social Care in the Community</w:t>
      </w:r>
      <w:r w:rsidRPr="000333A1">
        <w:rPr>
          <w:lang w:val="en-GB"/>
        </w:rPr>
        <w:t>, 20(4):365-374.</w:t>
      </w:r>
    </w:p>
    <w:p w14:paraId="3C7805C5" w14:textId="77777777" w:rsidR="00123F42" w:rsidRPr="000333A1" w:rsidRDefault="00123F42" w:rsidP="006B2E2B">
      <w:pPr>
        <w:pStyle w:val="ListParagraph"/>
        <w:spacing w:after="0" w:line="240" w:lineRule="auto"/>
        <w:rPr>
          <w:lang w:val="en-GB"/>
        </w:rPr>
      </w:pPr>
    </w:p>
    <w:p w14:paraId="638233DA" w14:textId="77777777" w:rsidR="00123F42" w:rsidRPr="000333A1" w:rsidRDefault="00945BB6"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Lewin G, Vandermeulen S</w:t>
      </w:r>
      <w:r w:rsidR="00012978" w:rsidRPr="000333A1">
        <w:rPr>
          <w:lang w:val="en-GB"/>
        </w:rPr>
        <w:t xml:space="preserve">, 2010, </w:t>
      </w:r>
      <w:r w:rsidRPr="000333A1">
        <w:rPr>
          <w:lang w:val="en-GB"/>
        </w:rPr>
        <w:t xml:space="preserve">A non-randomised controlled trial of the Home Independence </w:t>
      </w:r>
      <w:r w:rsidRPr="000333A1">
        <w:rPr>
          <w:lang w:val="en-GB"/>
        </w:rPr>
        <w:lastRenderedPageBreak/>
        <w:t xml:space="preserve">Program (HIP): an Australian restorative programme for older home-care clients. </w:t>
      </w:r>
      <w:r w:rsidR="00012978" w:rsidRPr="000333A1">
        <w:rPr>
          <w:i/>
          <w:lang w:val="en-GB"/>
        </w:rPr>
        <w:t>Health and Social Care in the Community</w:t>
      </w:r>
      <w:r w:rsidRPr="000333A1">
        <w:rPr>
          <w:lang w:val="en-GB"/>
        </w:rPr>
        <w:t>, 18(1):91-99.</w:t>
      </w:r>
    </w:p>
    <w:p w14:paraId="150C1182" w14:textId="77777777" w:rsidR="00123F42" w:rsidRPr="000333A1" w:rsidRDefault="00123F42" w:rsidP="006B2E2B">
      <w:pPr>
        <w:pStyle w:val="ListParagraph"/>
        <w:spacing w:after="0" w:line="240" w:lineRule="auto"/>
        <w:rPr>
          <w:lang w:val="en-GB"/>
        </w:rPr>
      </w:pPr>
    </w:p>
    <w:p w14:paraId="0B085D81" w14:textId="77777777" w:rsidR="00123F42" w:rsidRPr="000333A1" w:rsidRDefault="00945BB6"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Winkel A, Langberg H, Wæhrens EE</w:t>
      </w:r>
      <w:r w:rsidR="00012978" w:rsidRPr="000333A1">
        <w:rPr>
          <w:lang w:val="en-GB"/>
        </w:rPr>
        <w:t xml:space="preserve">, 2014, </w:t>
      </w:r>
      <w:r w:rsidRPr="000333A1">
        <w:rPr>
          <w:lang w:val="en-GB"/>
        </w:rPr>
        <w:t xml:space="preserve">Reablement in a community setting. </w:t>
      </w:r>
      <w:r w:rsidRPr="000333A1">
        <w:rPr>
          <w:i/>
          <w:lang w:val="en-GB"/>
        </w:rPr>
        <w:t>Disabil</w:t>
      </w:r>
      <w:r w:rsidR="00012978" w:rsidRPr="000333A1">
        <w:rPr>
          <w:i/>
          <w:lang w:val="en-GB"/>
        </w:rPr>
        <w:t>ity</w:t>
      </w:r>
      <w:r w:rsidRPr="000333A1">
        <w:rPr>
          <w:i/>
          <w:lang w:val="en-GB"/>
        </w:rPr>
        <w:t xml:space="preserve"> </w:t>
      </w:r>
      <w:r w:rsidR="00012978" w:rsidRPr="000333A1">
        <w:rPr>
          <w:i/>
          <w:lang w:val="en-GB"/>
        </w:rPr>
        <w:t xml:space="preserve">and </w:t>
      </w:r>
      <w:r w:rsidRPr="000333A1">
        <w:rPr>
          <w:i/>
          <w:lang w:val="en-GB"/>
        </w:rPr>
        <w:t>Rehabil</w:t>
      </w:r>
      <w:r w:rsidR="00012978" w:rsidRPr="000333A1">
        <w:rPr>
          <w:i/>
          <w:lang w:val="en-GB"/>
        </w:rPr>
        <w:t>itation</w:t>
      </w:r>
      <w:r w:rsidR="00012978" w:rsidRPr="000333A1">
        <w:rPr>
          <w:lang w:val="en-GB"/>
        </w:rPr>
        <w:t xml:space="preserve">, </w:t>
      </w:r>
      <w:r w:rsidRPr="000333A1">
        <w:rPr>
          <w:lang w:val="en-GB"/>
        </w:rPr>
        <w:t>(preprint):1-6.</w:t>
      </w:r>
    </w:p>
    <w:p w14:paraId="5AF7D6F5" w14:textId="77777777" w:rsidR="00123F42" w:rsidRPr="000333A1" w:rsidRDefault="00123F42" w:rsidP="006B2E2B">
      <w:pPr>
        <w:pStyle w:val="ListParagraph"/>
        <w:spacing w:after="0" w:line="240" w:lineRule="auto"/>
        <w:rPr>
          <w:lang w:val="en-GB"/>
        </w:rPr>
      </w:pPr>
    </w:p>
    <w:p w14:paraId="70FE5E93" w14:textId="77777777" w:rsidR="00123F42" w:rsidRPr="000333A1" w:rsidRDefault="00945BB6"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Tinetti ME, Baker D, Gallo WT, Nanda A, Charpentier P, O'Leary J</w:t>
      </w:r>
      <w:r w:rsidR="006B2E2B" w:rsidRPr="000333A1">
        <w:rPr>
          <w:lang w:val="en-GB"/>
        </w:rPr>
        <w:t xml:space="preserve">, 2002, </w:t>
      </w:r>
      <w:r w:rsidRPr="000333A1">
        <w:rPr>
          <w:lang w:val="en-GB"/>
        </w:rPr>
        <w:t xml:space="preserve">Evaluation of restorative care vs usual care for older adults receiving an acute episode of home care. </w:t>
      </w:r>
      <w:r w:rsidR="00012978" w:rsidRPr="000333A1">
        <w:rPr>
          <w:rStyle w:val="Emphasis"/>
          <w:rFonts w:cs="Arial"/>
          <w:bCs/>
          <w:iCs w:val="0"/>
          <w:shd w:val="clear" w:color="auto" w:fill="FFFFFF"/>
        </w:rPr>
        <w:t>Journal of the American Medical Association</w:t>
      </w:r>
      <w:r w:rsidRPr="000333A1">
        <w:rPr>
          <w:lang w:val="en-GB"/>
        </w:rPr>
        <w:t>, 287(16):2098-2105.</w:t>
      </w:r>
    </w:p>
    <w:p w14:paraId="697F2AFB" w14:textId="77777777" w:rsidR="00123F42" w:rsidRPr="000333A1" w:rsidRDefault="00123F42" w:rsidP="006B2E2B">
      <w:pPr>
        <w:pStyle w:val="ListParagraph"/>
        <w:spacing w:after="0" w:line="240" w:lineRule="auto"/>
        <w:rPr>
          <w:lang w:val="en-GB"/>
        </w:rPr>
      </w:pPr>
    </w:p>
    <w:p w14:paraId="4EA0C982" w14:textId="77777777" w:rsidR="00123F42" w:rsidRPr="000333A1" w:rsidRDefault="00945BB6"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Parsons JGM, Sheridan N, Rouse P, Robinson E, Connolly M</w:t>
      </w:r>
      <w:r w:rsidR="006B2E2B" w:rsidRPr="000333A1">
        <w:rPr>
          <w:lang w:val="en-GB"/>
        </w:rPr>
        <w:t xml:space="preserve">, 2013, </w:t>
      </w:r>
      <w:r w:rsidRPr="000333A1">
        <w:rPr>
          <w:lang w:val="en-GB"/>
        </w:rPr>
        <w:t xml:space="preserve">A Randomized Controlled Trial to Determine the Effect of a Model of Restorative Home Care on Physical Function and Social Support Among Older People. </w:t>
      </w:r>
      <w:r w:rsidR="00012978" w:rsidRPr="000333A1">
        <w:rPr>
          <w:rFonts w:cs="Arial"/>
          <w:i/>
          <w:shd w:val="clear" w:color="auto" w:fill="FFFFFF"/>
        </w:rPr>
        <w:t>Archives of Physical</w:t>
      </w:r>
      <w:r w:rsidR="00012978" w:rsidRPr="000333A1">
        <w:rPr>
          <w:rStyle w:val="apple-converted-space"/>
          <w:rFonts w:cs="Arial"/>
          <w:i/>
          <w:shd w:val="clear" w:color="auto" w:fill="FFFFFF"/>
        </w:rPr>
        <w:t> </w:t>
      </w:r>
      <w:r w:rsidR="00012978" w:rsidRPr="000333A1">
        <w:rPr>
          <w:rStyle w:val="Emphasis"/>
          <w:rFonts w:cs="Arial"/>
          <w:bCs/>
          <w:iCs w:val="0"/>
          <w:shd w:val="clear" w:color="auto" w:fill="FFFFFF"/>
        </w:rPr>
        <w:t>Medicine</w:t>
      </w:r>
      <w:r w:rsidR="00012978" w:rsidRPr="000333A1">
        <w:rPr>
          <w:rStyle w:val="apple-converted-space"/>
          <w:rFonts w:cs="Arial"/>
          <w:i/>
          <w:shd w:val="clear" w:color="auto" w:fill="FFFFFF"/>
        </w:rPr>
        <w:t> </w:t>
      </w:r>
      <w:r w:rsidR="00012978" w:rsidRPr="000333A1">
        <w:rPr>
          <w:rFonts w:cs="Arial"/>
          <w:i/>
          <w:shd w:val="clear" w:color="auto" w:fill="FFFFFF"/>
        </w:rPr>
        <w:t>and</w:t>
      </w:r>
      <w:r w:rsidR="00012978" w:rsidRPr="000333A1">
        <w:rPr>
          <w:rStyle w:val="apple-converted-space"/>
          <w:rFonts w:cs="Arial"/>
          <w:i/>
          <w:shd w:val="clear" w:color="auto" w:fill="FFFFFF"/>
        </w:rPr>
        <w:t> </w:t>
      </w:r>
      <w:r w:rsidR="00012978" w:rsidRPr="000333A1">
        <w:rPr>
          <w:rStyle w:val="Emphasis"/>
          <w:rFonts w:cs="Arial"/>
          <w:bCs/>
          <w:iCs w:val="0"/>
          <w:shd w:val="clear" w:color="auto" w:fill="FFFFFF"/>
        </w:rPr>
        <w:t>Rehabilitation</w:t>
      </w:r>
      <w:r w:rsidR="00012978" w:rsidRPr="000333A1" w:rsidDel="00012978">
        <w:rPr>
          <w:i/>
          <w:lang w:val="en-GB"/>
        </w:rPr>
        <w:t xml:space="preserve"> </w:t>
      </w:r>
      <w:r w:rsidRPr="000333A1">
        <w:rPr>
          <w:lang w:val="en-GB"/>
        </w:rPr>
        <w:t>, 94(6):1015-1022.</w:t>
      </w:r>
    </w:p>
    <w:p w14:paraId="095F5067" w14:textId="77777777" w:rsidR="00123F42" w:rsidRPr="000333A1" w:rsidRDefault="00123F42" w:rsidP="006B2E2B">
      <w:pPr>
        <w:pStyle w:val="ListParagraph"/>
        <w:spacing w:after="0" w:line="240" w:lineRule="auto"/>
        <w:rPr>
          <w:lang w:val="en-GB"/>
        </w:rPr>
      </w:pPr>
    </w:p>
    <w:p w14:paraId="289C4088" w14:textId="77777777" w:rsidR="00123F42" w:rsidRPr="000333A1" w:rsidRDefault="00945BB6"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King A, Parsons M, Robinson E: A restorative home care intervention in New Zealand</w:t>
      </w:r>
      <w:r w:rsidR="006B2E2B" w:rsidRPr="000333A1">
        <w:rPr>
          <w:lang w:val="en-GB"/>
        </w:rPr>
        <w:t>, 2012, P</w:t>
      </w:r>
      <w:r w:rsidRPr="000333A1">
        <w:rPr>
          <w:lang w:val="en-GB"/>
        </w:rPr>
        <w:t xml:space="preserve">erceptions of paid caregivers. </w:t>
      </w:r>
      <w:r w:rsidR="00012978" w:rsidRPr="000333A1">
        <w:rPr>
          <w:i/>
          <w:lang w:val="en-GB"/>
        </w:rPr>
        <w:t>Health and Social Care in the Community</w:t>
      </w:r>
      <w:r w:rsidRPr="000333A1">
        <w:rPr>
          <w:lang w:val="en-GB"/>
        </w:rPr>
        <w:t>, 20(1):70-79.</w:t>
      </w:r>
    </w:p>
    <w:p w14:paraId="0D647554" w14:textId="77777777" w:rsidR="00123F42" w:rsidRPr="000333A1" w:rsidRDefault="00123F42" w:rsidP="006B2E2B">
      <w:pPr>
        <w:pStyle w:val="ListParagraph"/>
        <w:spacing w:after="0" w:line="240" w:lineRule="auto"/>
        <w:rPr>
          <w:lang w:val="en-GB"/>
        </w:rPr>
      </w:pPr>
    </w:p>
    <w:p w14:paraId="61F5DBC6" w14:textId="77777777" w:rsidR="00123F42" w:rsidRPr="000333A1" w:rsidRDefault="00945BB6"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Lewin G, Allan J, Patterson C, Knuiman M, Boldy D, Hendrie D</w:t>
      </w:r>
      <w:r w:rsidR="006B2E2B" w:rsidRPr="000333A1">
        <w:rPr>
          <w:lang w:val="en-GB"/>
        </w:rPr>
        <w:t xml:space="preserve">, 2014, </w:t>
      </w:r>
      <w:r w:rsidRPr="000333A1">
        <w:rPr>
          <w:lang w:val="en-GB"/>
        </w:rPr>
        <w:t xml:space="preserve">A comparison of the home-care and healthcare service use and costs of older Australians randomised to receive a restorative or a conventional home-care service. </w:t>
      </w:r>
      <w:r w:rsidR="00012978" w:rsidRPr="000333A1">
        <w:rPr>
          <w:i/>
          <w:lang w:val="en-GB"/>
        </w:rPr>
        <w:t>Health and Social Care in the Community</w:t>
      </w:r>
      <w:r w:rsidRPr="000333A1">
        <w:rPr>
          <w:lang w:val="en-GB"/>
        </w:rPr>
        <w:t>, 22(3):328-336.</w:t>
      </w:r>
    </w:p>
    <w:p w14:paraId="2FFD26FA" w14:textId="77777777" w:rsidR="00123F42" w:rsidRPr="000333A1" w:rsidRDefault="00123F42" w:rsidP="006B2E2B">
      <w:pPr>
        <w:pStyle w:val="ListParagraph"/>
        <w:spacing w:after="0" w:line="240" w:lineRule="auto"/>
        <w:rPr>
          <w:lang w:val="en-GB"/>
        </w:rPr>
      </w:pPr>
    </w:p>
    <w:p w14:paraId="1DCD1BD1" w14:textId="77777777" w:rsidR="00123F42" w:rsidRPr="000333A1" w:rsidRDefault="00123F42"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Lewin GF, Alfonso HS, Alan JJ</w:t>
      </w:r>
      <w:r w:rsidR="006B2E2B" w:rsidRPr="000333A1">
        <w:rPr>
          <w:lang w:val="en-GB"/>
        </w:rPr>
        <w:t xml:space="preserve"> 2013</w:t>
      </w:r>
      <w:r w:rsidRPr="000333A1">
        <w:rPr>
          <w:lang w:val="en-GB"/>
        </w:rPr>
        <w:t xml:space="preserve">: Evidence for the long term cost effectiveness of home care reablement programs. </w:t>
      </w:r>
      <w:r w:rsidR="00012978" w:rsidRPr="000333A1">
        <w:rPr>
          <w:i/>
          <w:lang w:val="en-GB"/>
        </w:rPr>
        <w:t>Journal of Clinical Interventions in Aging</w:t>
      </w:r>
      <w:r w:rsidRPr="000333A1">
        <w:rPr>
          <w:lang w:val="en-GB"/>
        </w:rPr>
        <w:t>, 8:1273-1281.</w:t>
      </w:r>
    </w:p>
    <w:p w14:paraId="60B0CFFB" w14:textId="77777777" w:rsidR="00123F42" w:rsidRPr="000333A1" w:rsidRDefault="00123F42" w:rsidP="006B2E2B">
      <w:pPr>
        <w:pStyle w:val="ListParagraph"/>
        <w:spacing w:after="0" w:line="240" w:lineRule="auto"/>
        <w:rPr>
          <w:lang w:val="en-GB"/>
        </w:rPr>
      </w:pPr>
    </w:p>
    <w:p w14:paraId="7A27ACB8" w14:textId="77777777" w:rsidR="00123F42" w:rsidRPr="000333A1" w:rsidRDefault="00123F42" w:rsidP="006B2E2B">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Tinetti ME, Charpentier P, Gottschalk M, Baker DI</w:t>
      </w:r>
      <w:r w:rsidR="006B2E2B" w:rsidRPr="000333A1">
        <w:rPr>
          <w:lang w:val="en-GB"/>
        </w:rPr>
        <w:t xml:space="preserve">, 2012, </w:t>
      </w:r>
      <w:r w:rsidRPr="000333A1">
        <w:rPr>
          <w:lang w:val="en-GB"/>
        </w:rPr>
        <w:t xml:space="preserve">Effect of a restorative model of posthospital home care on hospital readmissions. </w:t>
      </w:r>
      <w:r w:rsidR="00012978" w:rsidRPr="000333A1">
        <w:rPr>
          <w:rFonts w:cs="Arial"/>
          <w:i/>
          <w:shd w:val="clear" w:color="auto" w:fill="FFFFFF"/>
        </w:rPr>
        <w:t>Journal of the American Geriatrics Society</w:t>
      </w:r>
      <w:r w:rsidRPr="000333A1">
        <w:rPr>
          <w:lang w:val="en-GB"/>
        </w:rPr>
        <w:t>, 60(8):1521-1526.</w:t>
      </w:r>
    </w:p>
    <w:p w14:paraId="5F19F532" w14:textId="77777777" w:rsidR="00123F42" w:rsidRPr="000333A1" w:rsidRDefault="00123F42" w:rsidP="006B2E2B">
      <w:pPr>
        <w:pStyle w:val="ListParagraph"/>
        <w:spacing w:after="0" w:line="240" w:lineRule="auto"/>
        <w:rPr>
          <w:rFonts w:eastAsia="Arial Unicode MS" w:cs="Arial Unicode MS"/>
          <w:lang w:val="en-GB"/>
        </w:rPr>
      </w:pPr>
    </w:p>
    <w:p w14:paraId="01E05DCD" w14:textId="77777777" w:rsidR="00530C79" w:rsidRPr="000333A1" w:rsidRDefault="00123F42" w:rsidP="00530C79">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rFonts w:eastAsia="Arial Unicode MS" w:cs="Arial Unicode MS"/>
          <w:lang w:val="en-GB"/>
        </w:rPr>
        <w:t xml:space="preserve">Stones D, Gullifer J, 2016, ‘At home it's just so much easier to be yourself’: older adults' perceptions of ageing in place. </w:t>
      </w:r>
      <w:r w:rsidRPr="000333A1">
        <w:rPr>
          <w:i/>
          <w:lang w:val="en-GB"/>
        </w:rPr>
        <w:t>Ageing and Society</w:t>
      </w:r>
      <w:r w:rsidRPr="000333A1">
        <w:rPr>
          <w:lang w:val="en-GB"/>
        </w:rPr>
        <w:t>, 36(3):</w:t>
      </w:r>
      <w:r w:rsidRPr="000333A1">
        <w:rPr>
          <w:rFonts w:eastAsia="Arial Unicode MS" w:cs="Arial Unicode MS"/>
          <w:shd w:val="clear" w:color="auto" w:fill="FFFFFF"/>
          <w:lang w:val="en-GB"/>
        </w:rPr>
        <w:t xml:space="preserve"> 449 – 481</w:t>
      </w:r>
    </w:p>
    <w:p w14:paraId="177B44C3" w14:textId="77777777" w:rsidR="00530C79" w:rsidRPr="000333A1" w:rsidRDefault="00530C79" w:rsidP="00530C79">
      <w:pPr>
        <w:pStyle w:val="ListParagraph"/>
        <w:rPr>
          <w:rFonts w:eastAsia="Times New Roman" w:cs="Arial"/>
          <w:color w:val="222222"/>
          <w:lang w:eastAsia="en-GB"/>
        </w:rPr>
      </w:pPr>
    </w:p>
    <w:p w14:paraId="6F09A4A9" w14:textId="77777777" w:rsidR="00530C79" w:rsidRPr="000333A1" w:rsidRDefault="006B2E2B" w:rsidP="00530C79">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rFonts w:eastAsia="Times New Roman" w:cs="Arial"/>
          <w:color w:val="222222"/>
          <w:lang w:eastAsia="en-GB"/>
        </w:rPr>
        <w:t>Glasby</w:t>
      </w:r>
      <w:r w:rsidR="00530C79" w:rsidRPr="000333A1">
        <w:rPr>
          <w:rFonts w:eastAsia="Times New Roman" w:cs="Arial"/>
          <w:color w:val="222222"/>
          <w:lang w:eastAsia="en-GB"/>
        </w:rPr>
        <w:t xml:space="preserve"> </w:t>
      </w:r>
      <w:r w:rsidRPr="000333A1">
        <w:rPr>
          <w:rFonts w:eastAsia="Times New Roman" w:cs="Arial"/>
          <w:color w:val="222222"/>
          <w:lang w:eastAsia="en-GB"/>
        </w:rPr>
        <w:t>J</w:t>
      </w:r>
      <w:r w:rsidR="00530C79" w:rsidRPr="000333A1">
        <w:rPr>
          <w:rFonts w:eastAsia="Times New Roman" w:cs="Arial"/>
          <w:color w:val="222222"/>
          <w:lang w:eastAsia="en-GB"/>
        </w:rPr>
        <w:t xml:space="preserve">, </w:t>
      </w:r>
      <w:r w:rsidRPr="000333A1">
        <w:rPr>
          <w:rFonts w:eastAsia="Times New Roman" w:cs="Arial"/>
          <w:color w:val="222222"/>
          <w:lang w:eastAsia="en-GB"/>
        </w:rPr>
        <w:t>Beresford P</w:t>
      </w:r>
      <w:r w:rsidR="00530C79" w:rsidRPr="000333A1">
        <w:rPr>
          <w:rFonts w:eastAsia="Times New Roman" w:cs="Arial"/>
          <w:color w:val="222222"/>
          <w:lang w:eastAsia="en-GB"/>
        </w:rPr>
        <w:t xml:space="preserve">, </w:t>
      </w:r>
      <w:r w:rsidRPr="000333A1">
        <w:rPr>
          <w:rFonts w:eastAsia="Times New Roman" w:cs="Arial"/>
          <w:color w:val="222222"/>
          <w:lang w:eastAsia="en-GB"/>
        </w:rPr>
        <w:t>2006</w:t>
      </w:r>
      <w:r w:rsidR="00530C79" w:rsidRPr="000333A1">
        <w:rPr>
          <w:rFonts w:eastAsia="Times New Roman" w:cs="Arial"/>
          <w:color w:val="222222"/>
          <w:lang w:eastAsia="en-GB"/>
        </w:rPr>
        <w:t xml:space="preserve">, </w:t>
      </w:r>
      <w:r w:rsidRPr="000333A1">
        <w:rPr>
          <w:rFonts w:eastAsia="Times New Roman" w:cs="Arial"/>
          <w:color w:val="222222"/>
          <w:lang w:eastAsia="en-GB"/>
        </w:rPr>
        <w:t>Who knows best?  Evidence-based practice and the service user contribution, </w:t>
      </w:r>
      <w:r w:rsidRPr="000333A1">
        <w:rPr>
          <w:rFonts w:eastAsia="Times New Roman" w:cs="Arial"/>
          <w:i/>
          <w:iCs/>
          <w:color w:val="222222"/>
          <w:lang w:eastAsia="en-GB"/>
        </w:rPr>
        <w:t>Critical Social Policy</w:t>
      </w:r>
      <w:r w:rsidRPr="000333A1">
        <w:rPr>
          <w:rFonts w:eastAsia="Times New Roman" w:cs="Arial"/>
          <w:color w:val="222222"/>
          <w:lang w:eastAsia="en-GB"/>
        </w:rPr>
        <w:t>, 26(1), 268-284</w:t>
      </w:r>
    </w:p>
    <w:p w14:paraId="5FFEE499" w14:textId="77777777" w:rsidR="00530C79" w:rsidRPr="000333A1" w:rsidRDefault="00530C79" w:rsidP="00530C79">
      <w:pPr>
        <w:pStyle w:val="ListParagraph"/>
        <w:rPr>
          <w:rFonts w:eastAsia="Times New Roman" w:cs="Arial"/>
          <w:color w:val="222222"/>
          <w:lang w:eastAsia="en-GB"/>
        </w:rPr>
      </w:pPr>
    </w:p>
    <w:p w14:paraId="5094AF80" w14:textId="77777777" w:rsidR="00530C79" w:rsidRPr="000333A1" w:rsidRDefault="006B2E2B" w:rsidP="00530C79">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rFonts w:eastAsia="Times New Roman" w:cs="Arial"/>
          <w:color w:val="222222"/>
          <w:lang w:eastAsia="en-GB"/>
        </w:rPr>
        <w:t xml:space="preserve">Glasby </w:t>
      </w:r>
      <w:r w:rsidR="00530C79" w:rsidRPr="000333A1">
        <w:rPr>
          <w:rFonts w:eastAsia="Times New Roman" w:cs="Arial"/>
          <w:color w:val="222222"/>
          <w:lang w:eastAsia="en-GB"/>
        </w:rPr>
        <w:t>J</w:t>
      </w:r>
      <w:r w:rsidRPr="000333A1">
        <w:rPr>
          <w:rFonts w:eastAsia="Times New Roman" w:cs="Arial"/>
          <w:color w:val="222222"/>
          <w:lang w:eastAsia="en-GB"/>
        </w:rPr>
        <w:t xml:space="preserve"> (ed.)</w:t>
      </w:r>
      <w:r w:rsidR="00530C79" w:rsidRPr="000333A1">
        <w:rPr>
          <w:rFonts w:eastAsia="Times New Roman" w:cs="Arial"/>
          <w:color w:val="222222"/>
          <w:lang w:eastAsia="en-GB"/>
        </w:rPr>
        <w:t xml:space="preserve">, </w:t>
      </w:r>
      <w:r w:rsidRPr="000333A1">
        <w:rPr>
          <w:rFonts w:eastAsia="Times New Roman" w:cs="Arial"/>
          <w:color w:val="222222"/>
          <w:lang w:eastAsia="en-GB"/>
        </w:rPr>
        <w:t>2011</w:t>
      </w:r>
      <w:r w:rsidR="00530C79" w:rsidRPr="000333A1">
        <w:rPr>
          <w:rFonts w:eastAsia="Times New Roman" w:cs="Arial"/>
          <w:color w:val="222222"/>
          <w:lang w:eastAsia="en-GB"/>
        </w:rPr>
        <w:t xml:space="preserve">, </w:t>
      </w:r>
      <w:r w:rsidRPr="000333A1">
        <w:rPr>
          <w:rFonts w:eastAsia="Times New Roman" w:cs="Arial"/>
          <w:i/>
          <w:iCs/>
          <w:color w:val="222222"/>
          <w:lang w:eastAsia="en-GB"/>
        </w:rPr>
        <w:t>Evidence, policy and practice: critical perspectives in health and social care</w:t>
      </w:r>
      <w:r w:rsidRPr="000333A1">
        <w:rPr>
          <w:rFonts w:eastAsia="Times New Roman" w:cs="Arial"/>
          <w:color w:val="222222"/>
          <w:lang w:eastAsia="en-GB"/>
        </w:rPr>
        <w:t>.  Bristol</w:t>
      </w:r>
      <w:r w:rsidR="00530C79" w:rsidRPr="000333A1">
        <w:rPr>
          <w:rFonts w:eastAsia="Times New Roman" w:cs="Arial"/>
          <w:color w:val="222222"/>
          <w:lang w:eastAsia="en-GB"/>
        </w:rPr>
        <w:t>:</w:t>
      </w:r>
      <w:r w:rsidRPr="000333A1">
        <w:rPr>
          <w:rFonts w:eastAsia="Times New Roman" w:cs="Arial"/>
          <w:color w:val="222222"/>
          <w:lang w:eastAsia="en-GB"/>
        </w:rPr>
        <w:t xml:space="preserve"> The Policy Pres</w:t>
      </w:r>
      <w:r w:rsidR="00530C79" w:rsidRPr="000333A1">
        <w:rPr>
          <w:rFonts w:eastAsia="Times New Roman" w:cs="Arial"/>
          <w:color w:val="222222"/>
          <w:lang w:eastAsia="en-GB"/>
        </w:rPr>
        <w:t>s</w:t>
      </w:r>
    </w:p>
    <w:p w14:paraId="731DAD3E" w14:textId="77777777" w:rsidR="00530C79" w:rsidRPr="000333A1" w:rsidRDefault="00530C79" w:rsidP="00530C79">
      <w:pPr>
        <w:pStyle w:val="ListParagraph"/>
        <w:rPr>
          <w:lang w:val="en-GB"/>
        </w:rPr>
      </w:pPr>
    </w:p>
    <w:p w14:paraId="548C2B5E" w14:textId="77777777" w:rsidR="00530C79" w:rsidRPr="000333A1" w:rsidRDefault="00123F42" w:rsidP="00530C79">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0333A1">
        <w:rPr>
          <w:lang w:val="en-GB"/>
        </w:rPr>
        <w:t>Cochrane A, McGilloway S, Furlong M, Molloy DW, Stevenson M, Donnoly M</w:t>
      </w:r>
      <w:r w:rsidR="006B2E2B" w:rsidRPr="000333A1">
        <w:rPr>
          <w:lang w:val="en-GB"/>
        </w:rPr>
        <w:t xml:space="preserve">, 2013, </w:t>
      </w:r>
      <w:r w:rsidRPr="000333A1">
        <w:rPr>
          <w:lang w:val="en-GB"/>
        </w:rPr>
        <w:t xml:space="preserve">Home-care "re-ablement" services for maintaining and improving older adults` functional independence (Protocol). </w:t>
      </w:r>
      <w:r w:rsidRPr="000333A1">
        <w:rPr>
          <w:i/>
          <w:lang w:val="en-GB"/>
        </w:rPr>
        <w:t xml:space="preserve">Cochrane Database </w:t>
      </w:r>
      <w:r w:rsidR="00012978" w:rsidRPr="000333A1">
        <w:rPr>
          <w:i/>
          <w:lang w:val="en-GB"/>
        </w:rPr>
        <w:t>of Systematic Reviews</w:t>
      </w:r>
      <w:r w:rsidRPr="000333A1">
        <w:rPr>
          <w:lang w:val="en-GB"/>
        </w:rPr>
        <w:t>(11): Art.No.:CD010825.</w:t>
      </w:r>
    </w:p>
    <w:p w14:paraId="20689B21" w14:textId="77777777" w:rsidR="00530C79" w:rsidRPr="000333A1" w:rsidRDefault="00530C79" w:rsidP="00530C79">
      <w:pPr>
        <w:pStyle w:val="ListParagraph"/>
      </w:pPr>
    </w:p>
    <w:p w14:paraId="5D38221C" w14:textId="77777777" w:rsidR="00B143E3" w:rsidRPr="00B143E3" w:rsidRDefault="006B2E2B" w:rsidP="00B143E3">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CC4BE3">
        <w:t>Langeland E, Tuntland H, Førland O, Aas E, Folkestad B, Jacbosen F, et al.</w:t>
      </w:r>
      <w:r w:rsidR="00530C79" w:rsidRPr="00CC4BE3">
        <w:t xml:space="preserve">, 2015, </w:t>
      </w:r>
      <w:r w:rsidRPr="00CC4BE3">
        <w:t xml:space="preserve">Study protocol for a multicenter study of reablement in Norway. </w:t>
      </w:r>
      <w:r w:rsidRPr="00B143E3">
        <w:rPr>
          <w:i/>
          <w:lang w:val="en-US"/>
        </w:rPr>
        <w:t>BMC Geriatr</w:t>
      </w:r>
      <w:r w:rsidR="00530C79" w:rsidRPr="00B143E3">
        <w:rPr>
          <w:i/>
          <w:lang w:val="en-US"/>
        </w:rPr>
        <w:t>ics</w:t>
      </w:r>
      <w:r w:rsidR="00530C79" w:rsidRPr="00B143E3">
        <w:rPr>
          <w:lang w:val="en-US"/>
        </w:rPr>
        <w:t xml:space="preserve">, </w:t>
      </w:r>
      <w:r w:rsidRPr="00B143E3">
        <w:rPr>
          <w:lang w:val="en-US"/>
        </w:rPr>
        <w:t>15(111):1-9.</w:t>
      </w:r>
    </w:p>
    <w:p w14:paraId="7AF672F2" w14:textId="77777777" w:rsidR="00B143E3" w:rsidRPr="00B143E3" w:rsidRDefault="00B143E3" w:rsidP="00B143E3">
      <w:pPr>
        <w:widowControl w:val="0"/>
        <w:shd w:val="clear" w:color="auto" w:fill="FFFFFF"/>
        <w:kinsoku w:val="0"/>
        <w:overflowPunct w:val="0"/>
        <w:spacing w:after="0" w:line="240" w:lineRule="auto"/>
        <w:textAlignment w:val="baseline"/>
        <w:rPr>
          <w:lang w:val="en-GB"/>
        </w:rPr>
      </w:pPr>
    </w:p>
    <w:p w14:paraId="61CF9CCE" w14:textId="360F8322" w:rsidR="00123F42" w:rsidRPr="00B143E3" w:rsidRDefault="00B143E3" w:rsidP="00B143E3">
      <w:pPr>
        <w:pStyle w:val="ListParagraph"/>
        <w:widowControl w:val="0"/>
        <w:numPr>
          <w:ilvl w:val="0"/>
          <w:numId w:val="7"/>
        </w:numPr>
        <w:shd w:val="clear" w:color="auto" w:fill="FFFFFF"/>
        <w:kinsoku w:val="0"/>
        <w:overflowPunct w:val="0"/>
        <w:spacing w:after="0" w:line="240" w:lineRule="auto"/>
        <w:ind w:left="357" w:hanging="357"/>
        <w:contextualSpacing w:val="0"/>
        <w:textAlignment w:val="baseline"/>
        <w:rPr>
          <w:lang w:val="en-GB"/>
        </w:rPr>
      </w:pPr>
      <w:r w:rsidRPr="00B143E3">
        <w:rPr>
          <w:lang w:val="en-GB"/>
        </w:rPr>
        <w:t xml:space="preserve">Randomised controlled study of reablement focussing on client outcomes and cost-effectiveness, for more information contact Prof. Tine Rostgaard. </w:t>
      </w:r>
    </w:p>
    <w:sectPr w:rsidR="00123F42" w:rsidRPr="00B143E3" w:rsidSect="00A2769A">
      <w:headerReference w:type="default" r:id="rId13"/>
      <w:footerReference w:type="default" r:id="rId1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E8671A" w15:done="0"/>
  <w15:commentEx w15:paraId="28638F62" w15:done="0"/>
  <w15:commentEx w15:paraId="1BDD2853" w15:done="0"/>
  <w15:commentEx w15:paraId="0E60B06D" w15:done="0"/>
  <w15:commentEx w15:paraId="28493E99" w15:done="0"/>
  <w15:commentEx w15:paraId="2E5D08E2" w15:done="0"/>
  <w15:commentEx w15:paraId="422AA449" w15:done="0"/>
  <w15:commentEx w15:paraId="68A8EDE4" w15:done="0"/>
  <w15:commentEx w15:paraId="78ED6AB8" w15:done="0"/>
  <w15:commentEx w15:paraId="75156FB1" w15:done="0"/>
  <w15:commentEx w15:paraId="4A5D1E8E" w15:done="0"/>
  <w15:commentEx w15:paraId="50E86781" w15:done="0"/>
  <w15:commentEx w15:paraId="4D8247E9" w15:done="0"/>
  <w15:commentEx w15:paraId="278AB3C6" w15:done="0"/>
  <w15:commentEx w15:paraId="47240BC1" w15:done="0"/>
  <w15:commentEx w15:paraId="4CE3CF24" w15:done="0"/>
  <w15:commentEx w15:paraId="5A8E84B9" w15:done="0"/>
  <w15:commentEx w15:paraId="28869595" w15:done="0"/>
  <w15:commentEx w15:paraId="4166D09E" w15:done="0"/>
  <w15:commentEx w15:paraId="57D5A8CE" w15:done="0"/>
  <w15:commentEx w15:paraId="109DFF20" w15:done="0"/>
  <w15:commentEx w15:paraId="4E254FF1" w15:done="0"/>
  <w15:commentEx w15:paraId="12341DA5" w15:done="0"/>
  <w15:commentEx w15:paraId="7A68DC77" w15:done="0"/>
  <w15:commentEx w15:paraId="736EF68D" w15:done="0"/>
  <w15:commentEx w15:paraId="67629D0A" w15:done="0"/>
  <w15:commentEx w15:paraId="1571DAF6" w15:done="0"/>
  <w15:commentEx w15:paraId="6F2A5B70" w15:done="0"/>
  <w15:commentEx w15:paraId="0878B017" w15:done="0"/>
  <w15:commentEx w15:paraId="38A9BA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94626" w14:textId="77777777" w:rsidR="00C1119E" w:rsidRDefault="00C1119E" w:rsidP="00B503EF">
      <w:pPr>
        <w:spacing w:after="0" w:line="240" w:lineRule="auto"/>
      </w:pPr>
      <w:r>
        <w:separator/>
      </w:r>
    </w:p>
  </w:endnote>
  <w:endnote w:type="continuationSeparator" w:id="0">
    <w:p w14:paraId="2981B806" w14:textId="77777777" w:rsidR="00C1119E" w:rsidRDefault="00C1119E" w:rsidP="00B5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Baskerville10Pro">
    <w:panose1 w:val="00000000000000000000"/>
    <w:charset w:val="00"/>
    <w:family w:val="auto"/>
    <w:notTrueType/>
    <w:pitch w:val="default"/>
    <w:sig w:usb0="00000003" w:usb1="00000000" w:usb2="00000000" w:usb3="00000000" w:csb0="00000001" w:csb1="00000000"/>
  </w:font>
  <w:font w:name="Baskerville10Pro-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459"/>
      <w:docPartObj>
        <w:docPartGallery w:val="Page Numbers (Bottom of Page)"/>
        <w:docPartUnique/>
      </w:docPartObj>
    </w:sdtPr>
    <w:sdtEndPr/>
    <w:sdtContent>
      <w:p w14:paraId="6FC7D090" w14:textId="77777777" w:rsidR="00C1119E" w:rsidRDefault="00C1119E">
        <w:pPr>
          <w:pStyle w:val="Footer"/>
          <w:jc w:val="right"/>
        </w:pPr>
        <w:r>
          <w:fldChar w:fldCharType="begin"/>
        </w:r>
        <w:r>
          <w:instrText xml:space="preserve"> PAGE   \* MERGEFORMAT </w:instrText>
        </w:r>
        <w:r>
          <w:fldChar w:fldCharType="separate"/>
        </w:r>
        <w:r w:rsidR="00FF55AD">
          <w:rPr>
            <w:noProof/>
          </w:rPr>
          <w:t>1</w:t>
        </w:r>
        <w:r>
          <w:rPr>
            <w:noProof/>
          </w:rPr>
          <w:fldChar w:fldCharType="end"/>
        </w:r>
      </w:p>
    </w:sdtContent>
  </w:sdt>
  <w:p w14:paraId="5F99074B" w14:textId="77777777" w:rsidR="00C1119E" w:rsidRDefault="00C11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D84E0" w14:textId="77777777" w:rsidR="00C1119E" w:rsidRDefault="00C1119E" w:rsidP="00B503EF">
      <w:pPr>
        <w:spacing w:after="0" w:line="240" w:lineRule="auto"/>
      </w:pPr>
      <w:r>
        <w:separator/>
      </w:r>
    </w:p>
  </w:footnote>
  <w:footnote w:type="continuationSeparator" w:id="0">
    <w:p w14:paraId="7B73DA35" w14:textId="77777777" w:rsidR="00C1119E" w:rsidRDefault="00C1119E" w:rsidP="00B50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4F20" w14:textId="77777777" w:rsidR="00C1119E" w:rsidRDefault="00C1119E">
    <w:pPr>
      <w:pStyle w:val="Header"/>
    </w:pPr>
    <w:r>
      <w:t>Manuscript for Age and Ageing – 10</w:t>
    </w:r>
    <w:r>
      <w:rPr>
        <w:vertAlign w:val="superscript"/>
      </w:rPr>
      <w:t xml:space="preserve">th </w:t>
    </w:r>
    <w:r>
      <w:t>April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656"/>
    <w:multiLevelType w:val="hybridMultilevel"/>
    <w:tmpl w:val="711A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FA2D83"/>
    <w:multiLevelType w:val="hybridMultilevel"/>
    <w:tmpl w:val="543877EC"/>
    <w:lvl w:ilvl="0" w:tplc="390C0608">
      <w:start w:val="1"/>
      <w:numFmt w:val="bullet"/>
      <w:lvlText w:val="•"/>
      <w:lvlJc w:val="left"/>
      <w:pPr>
        <w:tabs>
          <w:tab w:val="num" w:pos="720"/>
        </w:tabs>
        <w:ind w:left="720" w:hanging="360"/>
      </w:pPr>
      <w:rPr>
        <w:rFonts w:ascii="Times" w:hAnsi="Times" w:hint="default"/>
      </w:rPr>
    </w:lvl>
    <w:lvl w:ilvl="1" w:tplc="CBDC5D54" w:tentative="1">
      <w:start w:val="1"/>
      <w:numFmt w:val="bullet"/>
      <w:lvlText w:val="•"/>
      <w:lvlJc w:val="left"/>
      <w:pPr>
        <w:tabs>
          <w:tab w:val="num" w:pos="1440"/>
        </w:tabs>
        <w:ind w:left="1440" w:hanging="360"/>
      </w:pPr>
      <w:rPr>
        <w:rFonts w:ascii="Times" w:hAnsi="Times" w:hint="default"/>
      </w:rPr>
    </w:lvl>
    <w:lvl w:ilvl="2" w:tplc="F3D4B728" w:tentative="1">
      <w:start w:val="1"/>
      <w:numFmt w:val="bullet"/>
      <w:lvlText w:val="•"/>
      <w:lvlJc w:val="left"/>
      <w:pPr>
        <w:tabs>
          <w:tab w:val="num" w:pos="2160"/>
        </w:tabs>
        <w:ind w:left="2160" w:hanging="360"/>
      </w:pPr>
      <w:rPr>
        <w:rFonts w:ascii="Times" w:hAnsi="Times" w:hint="default"/>
      </w:rPr>
    </w:lvl>
    <w:lvl w:ilvl="3" w:tplc="024A3662" w:tentative="1">
      <w:start w:val="1"/>
      <w:numFmt w:val="bullet"/>
      <w:lvlText w:val="•"/>
      <w:lvlJc w:val="left"/>
      <w:pPr>
        <w:tabs>
          <w:tab w:val="num" w:pos="2880"/>
        </w:tabs>
        <w:ind w:left="2880" w:hanging="360"/>
      </w:pPr>
      <w:rPr>
        <w:rFonts w:ascii="Times" w:hAnsi="Times" w:hint="default"/>
      </w:rPr>
    </w:lvl>
    <w:lvl w:ilvl="4" w:tplc="D1A66C90" w:tentative="1">
      <w:start w:val="1"/>
      <w:numFmt w:val="bullet"/>
      <w:lvlText w:val="•"/>
      <w:lvlJc w:val="left"/>
      <w:pPr>
        <w:tabs>
          <w:tab w:val="num" w:pos="3600"/>
        </w:tabs>
        <w:ind w:left="3600" w:hanging="360"/>
      </w:pPr>
      <w:rPr>
        <w:rFonts w:ascii="Times" w:hAnsi="Times" w:hint="default"/>
      </w:rPr>
    </w:lvl>
    <w:lvl w:ilvl="5" w:tplc="6924F484" w:tentative="1">
      <w:start w:val="1"/>
      <w:numFmt w:val="bullet"/>
      <w:lvlText w:val="•"/>
      <w:lvlJc w:val="left"/>
      <w:pPr>
        <w:tabs>
          <w:tab w:val="num" w:pos="4320"/>
        </w:tabs>
        <w:ind w:left="4320" w:hanging="360"/>
      </w:pPr>
      <w:rPr>
        <w:rFonts w:ascii="Times" w:hAnsi="Times" w:hint="default"/>
      </w:rPr>
    </w:lvl>
    <w:lvl w:ilvl="6" w:tplc="2138E8BA" w:tentative="1">
      <w:start w:val="1"/>
      <w:numFmt w:val="bullet"/>
      <w:lvlText w:val="•"/>
      <w:lvlJc w:val="left"/>
      <w:pPr>
        <w:tabs>
          <w:tab w:val="num" w:pos="5040"/>
        </w:tabs>
        <w:ind w:left="5040" w:hanging="360"/>
      </w:pPr>
      <w:rPr>
        <w:rFonts w:ascii="Times" w:hAnsi="Times" w:hint="default"/>
      </w:rPr>
    </w:lvl>
    <w:lvl w:ilvl="7" w:tplc="B4A22618" w:tentative="1">
      <w:start w:val="1"/>
      <w:numFmt w:val="bullet"/>
      <w:lvlText w:val="•"/>
      <w:lvlJc w:val="left"/>
      <w:pPr>
        <w:tabs>
          <w:tab w:val="num" w:pos="5760"/>
        </w:tabs>
        <w:ind w:left="5760" w:hanging="360"/>
      </w:pPr>
      <w:rPr>
        <w:rFonts w:ascii="Times" w:hAnsi="Times" w:hint="default"/>
      </w:rPr>
    </w:lvl>
    <w:lvl w:ilvl="8" w:tplc="F370C0F8" w:tentative="1">
      <w:start w:val="1"/>
      <w:numFmt w:val="bullet"/>
      <w:lvlText w:val="•"/>
      <w:lvlJc w:val="left"/>
      <w:pPr>
        <w:tabs>
          <w:tab w:val="num" w:pos="6480"/>
        </w:tabs>
        <w:ind w:left="6480" w:hanging="360"/>
      </w:pPr>
      <w:rPr>
        <w:rFonts w:ascii="Times" w:hAnsi="Times" w:hint="default"/>
      </w:rPr>
    </w:lvl>
  </w:abstractNum>
  <w:abstractNum w:abstractNumId="2">
    <w:nsid w:val="05971D2C"/>
    <w:multiLevelType w:val="hybridMultilevel"/>
    <w:tmpl w:val="9392B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82472F"/>
    <w:multiLevelType w:val="hybridMultilevel"/>
    <w:tmpl w:val="559A74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9228F3"/>
    <w:multiLevelType w:val="hybridMultilevel"/>
    <w:tmpl w:val="735E68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71412C"/>
    <w:multiLevelType w:val="hybridMultilevel"/>
    <w:tmpl w:val="A004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DC4D99"/>
    <w:multiLevelType w:val="hybridMultilevel"/>
    <w:tmpl w:val="4B8A6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FED1022"/>
    <w:multiLevelType w:val="hybridMultilevel"/>
    <w:tmpl w:val="95123A7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11A1E7D"/>
    <w:multiLevelType w:val="hybridMultilevel"/>
    <w:tmpl w:val="BB962078"/>
    <w:lvl w:ilvl="0" w:tplc="F1F61C9C">
      <w:start w:val="1"/>
      <w:numFmt w:val="bullet"/>
      <w:lvlText w:val="•"/>
      <w:lvlJc w:val="left"/>
      <w:pPr>
        <w:tabs>
          <w:tab w:val="num" w:pos="720"/>
        </w:tabs>
        <w:ind w:left="720" w:hanging="360"/>
      </w:pPr>
      <w:rPr>
        <w:rFonts w:ascii="Times" w:hAnsi="Times" w:hint="default"/>
      </w:rPr>
    </w:lvl>
    <w:lvl w:ilvl="1" w:tplc="02CCB0CC" w:tentative="1">
      <w:start w:val="1"/>
      <w:numFmt w:val="bullet"/>
      <w:lvlText w:val="•"/>
      <w:lvlJc w:val="left"/>
      <w:pPr>
        <w:tabs>
          <w:tab w:val="num" w:pos="1440"/>
        </w:tabs>
        <w:ind w:left="1440" w:hanging="360"/>
      </w:pPr>
      <w:rPr>
        <w:rFonts w:ascii="Times" w:hAnsi="Times" w:hint="default"/>
      </w:rPr>
    </w:lvl>
    <w:lvl w:ilvl="2" w:tplc="077A23DC" w:tentative="1">
      <w:start w:val="1"/>
      <w:numFmt w:val="bullet"/>
      <w:lvlText w:val="•"/>
      <w:lvlJc w:val="left"/>
      <w:pPr>
        <w:tabs>
          <w:tab w:val="num" w:pos="2160"/>
        </w:tabs>
        <w:ind w:left="2160" w:hanging="360"/>
      </w:pPr>
      <w:rPr>
        <w:rFonts w:ascii="Times" w:hAnsi="Times" w:hint="default"/>
      </w:rPr>
    </w:lvl>
    <w:lvl w:ilvl="3" w:tplc="27567298" w:tentative="1">
      <w:start w:val="1"/>
      <w:numFmt w:val="bullet"/>
      <w:lvlText w:val="•"/>
      <w:lvlJc w:val="left"/>
      <w:pPr>
        <w:tabs>
          <w:tab w:val="num" w:pos="2880"/>
        </w:tabs>
        <w:ind w:left="2880" w:hanging="360"/>
      </w:pPr>
      <w:rPr>
        <w:rFonts w:ascii="Times" w:hAnsi="Times" w:hint="default"/>
      </w:rPr>
    </w:lvl>
    <w:lvl w:ilvl="4" w:tplc="C34E3C1E" w:tentative="1">
      <w:start w:val="1"/>
      <w:numFmt w:val="bullet"/>
      <w:lvlText w:val="•"/>
      <w:lvlJc w:val="left"/>
      <w:pPr>
        <w:tabs>
          <w:tab w:val="num" w:pos="3600"/>
        </w:tabs>
        <w:ind w:left="3600" w:hanging="360"/>
      </w:pPr>
      <w:rPr>
        <w:rFonts w:ascii="Times" w:hAnsi="Times" w:hint="default"/>
      </w:rPr>
    </w:lvl>
    <w:lvl w:ilvl="5" w:tplc="A8D47290" w:tentative="1">
      <w:start w:val="1"/>
      <w:numFmt w:val="bullet"/>
      <w:lvlText w:val="•"/>
      <w:lvlJc w:val="left"/>
      <w:pPr>
        <w:tabs>
          <w:tab w:val="num" w:pos="4320"/>
        </w:tabs>
        <w:ind w:left="4320" w:hanging="360"/>
      </w:pPr>
      <w:rPr>
        <w:rFonts w:ascii="Times" w:hAnsi="Times" w:hint="default"/>
      </w:rPr>
    </w:lvl>
    <w:lvl w:ilvl="6" w:tplc="9C7CE644" w:tentative="1">
      <w:start w:val="1"/>
      <w:numFmt w:val="bullet"/>
      <w:lvlText w:val="•"/>
      <w:lvlJc w:val="left"/>
      <w:pPr>
        <w:tabs>
          <w:tab w:val="num" w:pos="5040"/>
        </w:tabs>
        <w:ind w:left="5040" w:hanging="360"/>
      </w:pPr>
      <w:rPr>
        <w:rFonts w:ascii="Times" w:hAnsi="Times" w:hint="default"/>
      </w:rPr>
    </w:lvl>
    <w:lvl w:ilvl="7" w:tplc="550C25EE" w:tentative="1">
      <w:start w:val="1"/>
      <w:numFmt w:val="bullet"/>
      <w:lvlText w:val="•"/>
      <w:lvlJc w:val="left"/>
      <w:pPr>
        <w:tabs>
          <w:tab w:val="num" w:pos="5760"/>
        </w:tabs>
        <w:ind w:left="5760" w:hanging="360"/>
      </w:pPr>
      <w:rPr>
        <w:rFonts w:ascii="Times" w:hAnsi="Times" w:hint="default"/>
      </w:rPr>
    </w:lvl>
    <w:lvl w:ilvl="8" w:tplc="74903F86" w:tentative="1">
      <w:start w:val="1"/>
      <w:numFmt w:val="bullet"/>
      <w:lvlText w:val="•"/>
      <w:lvlJc w:val="left"/>
      <w:pPr>
        <w:tabs>
          <w:tab w:val="num" w:pos="6480"/>
        </w:tabs>
        <w:ind w:left="6480" w:hanging="360"/>
      </w:pPr>
      <w:rPr>
        <w:rFonts w:ascii="Times" w:hAnsi="Times" w:hint="default"/>
      </w:rPr>
    </w:lvl>
  </w:abstractNum>
  <w:abstractNum w:abstractNumId="9">
    <w:nsid w:val="6A5E53E5"/>
    <w:multiLevelType w:val="hybridMultilevel"/>
    <w:tmpl w:val="E4146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9"/>
  </w:num>
  <w:num w:numId="6">
    <w:abstractNumId w:val="4"/>
  </w:num>
  <w:num w:numId="7">
    <w:abstractNumId w:val="7"/>
  </w:num>
  <w:num w:numId="8">
    <w:abstractNumId w:val="8"/>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e Kristin Tuntland">
    <w15:presenceInfo w15:providerId="AD" w15:userId="S-1-5-21-2528905922-4035526529-3970064951-3117"/>
  </w15:person>
  <w15:person w15:author="Hanne Kristin Tuntland">
    <w15:presenceInfo w15:providerId="AD" w15:userId="S-1-5-21-2528905922-4035526529-3970064951-3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9wp0rt7ravf3e00tmpfaruzrr9tzaw2rvw&quot;&gt;My EndNote Library&lt;record-ids&gt;&lt;item&gt;476&lt;/item&gt;&lt;/record-ids&gt;&lt;/item&gt;&lt;/Libraries&gt;"/>
  </w:docVars>
  <w:rsids>
    <w:rsidRoot w:val="00B503EF"/>
    <w:rsid w:val="00007281"/>
    <w:rsid w:val="00012978"/>
    <w:rsid w:val="000258FD"/>
    <w:rsid w:val="0002703A"/>
    <w:rsid w:val="000333A1"/>
    <w:rsid w:val="00034A66"/>
    <w:rsid w:val="000507E1"/>
    <w:rsid w:val="00050A7C"/>
    <w:rsid w:val="000564C0"/>
    <w:rsid w:val="00057A1D"/>
    <w:rsid w:val="00062F60"/>
    <w:rsid w:val="000A414B"/>
    <w:rsid w:val="000A7329"/>
    <w:rsid w:val="000B4FAE"/>
    <w:rsid w:val="000C3955"/>
    <w:rsid w:val="000D0FE9"/>
    <w:rsid w:val="000D3D4E"/>
    <w:rsid w:val="000E43A0"/>
    <w:rsid w:val="000E54DB"/>
    <w:rsid w:val="00123F42"/>
    <w:rsid w:val="00130140"/>
    <w:rsid w:val="00135E2A"/>
    <w:rsid w:val="00150B20"/>
    <w:rsid w:val="00151E7B"/>
    <w:rsid w:val="00162649"/>
    <w:rsid w:val="001650D9"/>
    <w:rsid w:val="00172804"/>
    <w:rsid w:val="00184AC5"/>
    <w:rsid w:val="001A3E22"/>
    <w:rsid w:val="001B6F1B"/>
    <w:rsid w:val="001C7488"/>
    <w:rsid w:val="001D5CDE"/>
    <w:rsid w:val="001E04A2"/>
    <w:rsid w:val="001E1825"/>
    <w:rsid w:val="001F1C7E"/>
    <w:rsid w:val="001F6F0C"/>
    <w:rsid w:val="00207A02"/>
    <w:rsid w:val="0023389A"/>
    <w:rsid w:val="00236913"/>
    <w:rsid w:val="002748E4"/>
    <w:rsid w:val="00285398"/>
    <w:rsid w:val="002A1F34"/>
    <w:rsid w:val="002A7424"/>
    <w:rsid w:val="002B0550"/>
    <w:rsid w:val="002C68D7"/>
    <w:rsid w:val="003027B7"/>
    <w:rsid w:val="0030398C"/>
    <w:rsid w:val="00314E02"/>
    <w:rsid w:val="0031729E"/>
    <w:rsid w:val="0035219B"/>
    <w:rsid w:val="003666D2"/>
    <w:rsid w:val="003765D8"/>
    <w:rsid w:val="00382EA4"/>
    <w:rsid w:val="00384B7A"/>
    <w:rsid w:val="00395F61"/>
    <w:rsid w:val="003A697C"/>
    <w:rsid w:val="003B6AF8"/>
    <w:rsid w:val="003B75CA"/>
    <w:rsid w:val="003C00C8"/>
    <w:rsid w:val="003E0EF9"/>
    <w:rsid w:val="003E38CC"/>
    <w:rsid w:val="003E44BF"/>
    <w:rsid w:val="003E67C8"/>
    <w:rsid w:val="003F5394"/>
    <w:rsid w:val="00403B94"/>
    <w:rsid w:val="00404364"/>
    <w:rsid w:val="0041297B"/>
    <w:rsid w:val="004235C1"/>
    <w:rsid w:val="00444CE3"/>
    <w:rsid w:val="00460943"/>
    <w:rsid w:val="004963AB"/>
    <w:rsid w:val="004A4664"/>
    <w:rsid w:val="004A53A2"/>
    <w:rsid w:val="004B354C"/>
    <w:rsid w:val="004B3821"/>
    <w:rsid w:val="004C509D"/>
    <w:rsid w:val="004C548E"/>
    <w:rsid w:val="004C65FD"/>
    <w:rsid w:val="004E5336"/>
    <w:rsid w:val="004E577E"/>
    <w:rsid w:val="0050786D"/>
    <w:rsid w:val="00511B2D"/>
    <w:rsid w:val="00523691"/>
    <w:rsid w:val="00526DDA"/>
    <w:rsid w:val="00530C79"/>
    <w:rsid w:val="00530C99"/>
    <w:rsid w:val="0054523C"/>
    <w:rsid w:val="00572905"/>
    <w:rsid w:val="00573677"/>
    <w:rsid w:val="00584DB2"/>
    <w:rsid w:val="00594A0A"/>
    <w:rsid w:val="005B1C56"/>
    <w:rsid w:val="005C6526"/>
    <w:rsid w:val="005D4823"/>
    <w:rsid w:val="005E1C4E"/>
    <w:rsid w:val="005E3569"/>
    <w:rsid w:val="005E4F2E"/>
    <w:rsid w:val="005F1BAC"/>
    <w:rsid w:val="005F4786"/>
    <w:rsid w:val="005F76FE"/>
    <w:rsid w:val="005F78E5"/>
    <w:rsid w:val="00621B1B"/>
    <w:rsid w:val="00646A3D"/>
    <w:rsid w:val="00653826"/>
    <w:rsid w:val="00656741"/>
    <w:rsid w:val="00682890"/>
    <w:rsid w:val="00684DC9"/>
    <w:rsid w:val="006B2E2B"/>
    <w:rsid w:val="006C01D6"/>
    <w:rsid w:val="006C7232"/>
    <w:rsid w:val="006D624B"/>
    <w:rsid w:val="006F401A"/>
    <w:rsid w:val="00714A5F"/>
    <w:rsid w:val="00721A14"/>
    <w:rsid w:val="00723AC0"/>
    <w:rsid w:val="007260C7"/>
    <w:rsid w:val="00737ABB"/>
    <w:rsid w:val="00757334"/>
    <w:rsid w:val="00763CAA"/>
    <w:rsid w:val="007872CD"/>
    <w:rsid w:val="007A428C"/>
    <w:rsid w:val="007B1255"/>
    <w:rsid w:val="007C5037"/>
    <w:rsid w:val="007D246C"/>
    <w:rsid w:val="007F6A70"/>
    <w:rsid w:val="00820D7C"/>
    <w:rsid w:val="008533E2"/>
    <w:rsid w:val="00871461"/>
    <w:rsid w:val="0088621A"/>
    <w:rsid w:val="008A3DF2"/>
    <w:rsid w:val="008C0741"/>
    <w:rsid w:val="008C22F6"/>
    <w:rsid w:val="008E6A68"/>
    <w:rsid w:val="009107A0"/>
    <w:rsid w:val="0092104C"/>
    <w:rsid w:val="009447E3"/>
    <w:rsid w:val="00945BB6"/>
    <w:rsid w:val="009476D3"/>
    <w:rsid w:val="00960CAF"/>
    <w:rsid w:val="009725C7"/>
    <w:rsid w:val="00977B81"/>
    <w:rsid w:val="00990305"/>
    <w:rsid w:val="00991E76"/>
    <w:rsid w:val="009947A7"/>
    <w:rsid w:val="009A66C5"/>
    <w:rsid w:val="009C6523"/>
    <w:rsid w:val="009D29F0"/>
    <w:rsid w:val="009D400E"/>
    <w:rsid w:val="009F1751"/>
    <w:rsid w:val="00A05661"/>
    <w:rsid w:val="00A166A2"/>
    <w:rsid w:val="00A24CCF"/>
    <w:rsid w:val="00A2769A"/>
    <w:rsid w:val="00A4442C"/>
    <w:rsid w:val="00A52935"/>
    <w:rsid w:val="00A71138"/>
    <w:rsid w:val="00A759AA"/>
    <w:rsid w:val="00AA714F"/>
    <w:rsid w:val="00AC0202"/>
    <w:rsid w:val="00B044E5"/>
    <w:rsid w:val="00B05C85"/>
    <w:rsid w:val="00B06E90"/>
    <w:rsid w:val="00B07B85"/>
    <w:rsid w:val="00B143E3"/>
    <w:rsid w:val="00B21350"/>
    <w:rsid w:val="00B23452"/>
    <w:rsid w:val="00B503EF"/>
    <w:rsid w:val="00B51C16"/>
    <w:rsid w:val="00B837B5"/>
    <w:rsid w:val="00B928EB"/>
    <w:rsid w:val="00BB2152"/>
    <w:rsid w:val="00BD3C87"/>
    <w:rsid w:val="00BD6DC2"/>
    <w:rsid w:val="00BE4BD0"/>
    <w:rsid w:val="00C1119E"/>
    <w:rsid w:val="00C233F0"/>
    <w:rsid w:val="00C343B8"/>
    <w:rsid w:val="00C456B8"/>
    <w:rsid w:val="00C51F9B"/>
    <w:rsid w:val="00C52A09"/>
    <w:rsid w:val="00C70F34"/>
    <w:rsid w:val="00C7521C"/>
    <w:rsid w:val="00C80271"/>
    <w:rsid w:val="00C83EEC"/>
    <w:rsid w:val="00CC4BE3"/>
    <w:rsid w:val="00CD61F4"/>
    <w:rsid w:val="00CF1F33"/>
    <w:rsid w:val="00CF4672"/>
    <w:rsid w:val="00D0211C"/>
    <w:rsid w:val="00D0312D"/>
    <w:rsid w:val="00D07392"/>
    <w:rsid w:val="00D126C9"/>
    <w:rsid w:val="00D37B8B"/>
    <w:rsid w:val="00D416B5"/>
    <w:rsid w:val="00D42CE5"/>
    <w:rsid w:val="00D733F3"/>
    <w:rsid w:val="00D753CF"/>
    <w:rsid w:val="00D75957"/>
    <w:rsid w:val="00D83200"/>
    <w:rsid w:val="00D84633"/>
    <w:rsid w:val="00D95B22"/>
    <w:rsid w:val="00DC33DE"/>
    <w:rsid w:val="00DD1858"/>
    <w:rsid w:val="00DE1C38"/>
    <w:rsid w:val="00DE312C"/>
    <w:rsid w:val="00DE4D4F"/>
    <w:rsid w:val="00E01512"/>
    <w:rsid w:val="00E04C0E"/>
    <w:rsid w:val="00E06EF6"/>
    <w:rsid w:val="00E1489F"/>
    <w:rsid w:val="00E33D12"/>
    <w:rsid w:val="00E35683"/>
    <w:rsid w:val="00E35A31"/>
    <w:rsid w:val="00E40F2F"/>
    <w:rsid w:val="00E47FA3"/>
    <w:rsid w:val="00E52B28"/>
    <w:rsid w:val="00E53862"/>
    <w:rsid w:val="00E7647A"/>
    <w:rsid w:val="00E84764"/>
    <w:rsid w:val="00E91C7D"/>
    <w:rsid w:val="00EA5CE0"/>
    <w:rsid w:val="00EB1184"/>
    <w:rsid w:val="00EC2CF4"/>
    <w:rsid w:val="00F1536F"/>
    <w:rsid w:val="00F22262"/>
    <w:rsid w:val="00F23B2C"/>
    <w:rsid w:val="00F32164"/>
    <w:rsid w:val="00F32F66"/>
    <w:rsid w:val="00F452E9"/>
    <w:rsid w:val="00F46D1D"/>
    <w:rsid w:val="00F561AD"/>
    <w:rsid w:val="00F6166B"/>
    <w:rsid w:val="00F64C41"/>
    <w:rsid w:val="00F66332"/>
    <w:rsid w:val="00F71F97"/>
    <w:rsid w:val="00F74834"/>
    <w:rsid w:val="00FB088F"/>
    <w:rsid w:val="00FB31BA"/>
    <w:rsid w:val="00FC4427"/>
    <w:rsid w:val="00FD3C62"/>
    <w:rsid w:val="00FD7C19"/>
    <w:rsid w:val="00FF5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0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55"/>
  </w:style>
  <w:style w:type="paragraph" w:styleId="Heading1">
    <w:name w:val="heading 1"/>
    <w:basedOn w:val="Normal"/>
    <w:next w:val="Normal"/>
    <w:link w:val="Heading1Char"/>
    <w:uiPriority w:val="9"/>
    <w:qFormat/>
    <w:rsid w:val="00E52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2B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3EF"/>
  </w:style>
  <w:style w:type="paragraph" w:styleId="Footer">
    <w:name w:val="footer"/>
    <w:basedOn w:val="Normal"/>
    <w:link w:val="FooterChar"/>
    <w:uiPriority w:val="99"/>
    <w:unhideWhenUsed/>
    <w:rsid w:val="00B50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3EF"/>
  </w:style>
  <w:style w:type="character" w:styleId="CommentReference">
    <w:name w:val="annotation reference"/>
    <w:basedOn w:val="DefaultParagraphFont"/>
    <w:uiPriority w:val="99"/>
    <w:semiHidden/>
    <w:unhideWhenUsed/>
    <w:rsid w:val="00C7521C"/>
    <w:rPr>
      <w:sz w:val="16"/>
      <w:szCs w:val="16"/>
    </w:rPr>
  </w:style>
  <w:style w:type="paragraph" w:styleId="CommentText">
    <w:name w:val="annotation text"/>
    <w:basedOn w:val="Normal"/>
    <w:link w:val="CommentTextChar"/>
    <w:uiPriority w:val="99"/>
    <w:unhideWhenUsed/>
    <w:rsid w:val="00C7521C"/>
    <w:pPr>
      <w:spacing w:line="240" w:lineRule="auto"/>
    </w:pPr>
    <w:rPr>
      <w:sz w:val="20"/>
      <w:szCs w:val="20"/>
    </w:rPr>
  </w:style>
  <w:style w:type="character" w:customStyle="1" w:styleId="CommentTextChar">
    <w:name w:val="Comment Text Char"/>
    <w:basedOn w:val="DefaultParagraphFont"/>
    <w:link w:val="CommentText"/>
    <w:uiPriority w:val="99"/>
    <w:rsid w:val="00C7521C"/>
    <w:rPr>
      <w:sz w:val="20"/>
      <w:szCs w:val="20"/>
    </w:rPr>
  </w:style>
  <w:style w:type="paragraph" w:styleId="CommentSubject">
    <w:name w:val="annotation subject"/>
    <w:basedOn w:val="CommentText"/>
    <w:next w:val="CommentText"/>
    <w:link w:val="CommentSubjectChar"/>
    <w:uiPriority w:val="99"/>
    <w:semiHidden/>
    <w:unhideWhenUsed/>
    <w:rsid w:val="00C7521C"/>
    <w:rPr>
      <w:b/>
      <w:bCs/>
    </w:rPr>
  </w:style>
  <w:style w:type="character" w:customStyle="1" w:styleId="CommentSubjectChar">
    <w:name w:val="Comment Subject Char"/>
    <w:basedOn w:val="CommentTextChar"/>
    <w:link w:val="CommentSubject"/>
    <w:uiPriority w:val="99"/>
    <w:semiHidden/>
    <w:rsid w:val="00C7521C"/>
    <w:rPr>
      <w:b/>
      <w:bCs/>
      <w:sz w:val="20"/>
      <w:szCs w:val="20"/>
    </w:rPr>
  </w:style>
  <w:style w:type="paragraph" w:styleId="BalloonText">
    <w:name w:val="Balloon Text"/>
    <w:basedOn w:val="Normal"/>
    <w:link w:val="BalloonTextChar"/>
    <w:uiPriority w:val="99"/>
    <w:semiHidden/>
    <w:unhideWhenUsed/>
    <w:rsid w:val="00C7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1C"/>
    <w:rPr>
      <w:rFonts w:ascii="Tahoma" w:hAnsi="Tahoma" w:cs="Tahoma"/>
      <w:sz w:val="16"/>
      <w:szCs w:val="16"/>
    </w:rPr>
  </w:style>
  <w:style w:type="paragraph" w:styleId="ListParagraph">
    <w:name w:val="List Paragraph"/>
    <w:basedOn w:val="Normal"/>
    <w:uiPriority w:val="34"/>
    <w:qFormat/>
    <w:rsid w:val="00F561AD"/>
    <w:pPr>
      <w:ind w:left="720"/>
      <w:contextualSpacing/>
    </w:pPr>
  </w:style>
  <w:style w:type="character" w:styleId="Strong">
    <w:name w:val="Strong"/>
    <w:basedOn w:val="DefaultParagraphFont"/>
    <w:uiPriority w:val="22"/>
    <w:qFormat/>
    <w:rsid w:val="00C52A09"/>
    <w:rPr>
      <w:b/>
      <w:bCs/>
    </w:rPr>
  </w:style>
  <w:style w:type="character" w:styleId="Hyperlink">
    <w:name w:val="Hyperlink"/>
    <w:basedOn w:val="DefaultParagraphFont"/>
    <w:uiPriority w:val="99"/>
    <w:unhideWhenUsed/>
    <w:rsid w:val="000564C0"/>
    <w:rPr>
      <w:color w:val="0000FF"/>
      <w:u w:val="single"/>
    </w:rPr>
  </w:style>
  <w:style w:type="character" w:customStyle="1" w:styleId="apple-converted-space">
    <w:name w:val="apple-converted-space"/>
    <w:basedOn w:val="DefaultParagraphFont"/>
    <w:rsid w:val="000564C0"/>
  </w:style>
  <w:style w:type="character" w:customStyle="1" w:styleId="clvbooktitle">
    <w:name w:val="clv_book_title"/>
    <w:basedOn w:val="DefaultParagraphFont"/>
    <w:rsid w:val="000564C0"/>
  </w:style>
  <w:style w:type="character" w:customStyle="1" w:styleId="clvyear">
    <w:name w:val="clv_year"/>
    <w:basedOn w:val="DefaultParagraphFont"/>
    <w:rsid w:val="000564C0"/>
  </w:style>
  <w:style w:type="character" w:customStyle="1" w:styleId="clvauth">
    <w:name w:val="clv_auth"/>
    <w:basedOn w:val="DefaultParagraphFont"/>
    <w:rsid w:val="000564C0"/>
  </w:style>
  <w:style w:type="character" w:customStyle="1" w:styleId="clvpub">
    <w:name w:val="clv_pub"/>
    <w:basedOn w:val="DefaultParagraphFont"/>
    <w:rsid w:val="000564C0"/>
  </w:style>
  <w:style w:type="paragraph" w:customStyle="1" w:styleId="Default">
    <w:name w:val="Default"/>
    <w:rsid w:val="002A1F34"/>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E52B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2B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B28"/>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057A1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7A1D"/>
    <w:rPr>
      <w:rFonts w:ascii="Tahoma" w:hAnsi="Tahoma" w:cs="Tahoma"/>
      <w:sz w:val="16"/>
      <w:szCs w:val="16"/>
    </w:rPr>
  </w:style>
  <w:style w:type="character" w:customStyle="1" w:styleId="articlecitationvolume">
    <w:name w:val="articlecitation_volume"/>
    <w:basedOn w:val="DefaultParagraphFont"/>
    <w:rsid w:val="00BE4BD0"/>
  </w:style>
  <w:style w:type="paragraph" w:customStyle="1" w:styleId="articledoi">
    <w:name w:val="articledoi"/>
    <w:basedOn w:val="Normal"/>
    <w:rsid w:val="00BE4B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Tegn"/>
    <w:rsid w:val="004C509D"/>
    <w:pPr>
      <w:spacing w:after="0"/>
      <w:jc w:val="center"/>
    </w:pPr>
    <w:rPr>
      <w:rFonts w:ascii="Calibri" w:hAnsi="Calibri"/>
      <w:noProof/>
    </w:rPr>
  </w:style>
  <w:style w:type="character" w:customStyle="1" w:styleId="EndNoteBibliographyTitleTegn">
    <w:name w:val="EndNote Bibliography Title Tegn"/>
    <w:basedOn w:val="DefaultParagraphFont"/>
    <w:link w:val="EndNoteBibliographyTitle"/>
    <w:rsid w:val="004C509D"/>
    <w:rPr>
      <w:rFonts w:ascii="Calibri" w:hAnsi="Calibri"/>
      <w:noProof/>
    </w:rPr>
  </w:style>
  <w:style w:type="paragraph" w:customStyle="1" w:styleId="EndNoteBibliography">
    <w:name w:val="EndNote Bibliography"/>
    <w:basedOn w:val="Normal"/>
    <w:link w:val="EndNoteBibliographyTegn"/>
    <w:rsid w:val="004C509D"/>
    <w:pPr>
      <w:spacing w:line="240" w:lineRule="auto"/>
    </w:pPr>
    <w:rPr>
      <w:rFonts w:ascii="Calibri" w:hAnsi="Calibri"/>
      <w:noProof/>
    </w:rPr>
  </w:style>
  <w:style w:type="character" w:customStyle="1" w:styleId="EndNoteBibliographyTegn">
    <w:name w:val="EndNote Bibliography Tegn"/>
    <w:basedOn w:val="DefaultParagraphFont"/>
    <w:link w:val="EndNoteBibliography"/>
    <w:rsid w:val="004C509D"/>
    <w:rPr>
      <w:rFonts w:ascii="Calibri" w:hAnsi="Calibri"/>
      <w:noProof/>
    </w:rPr>
  </w:style>
  <w:style w:type="character" w:styleId="Emphasis">
    <w:name w:val="Emphasis"/>
    <w:basedOn w:val="DefaultParagraphFont"/>
    <w:uiPriority w:val="20"/>
    <w:qFormat/>
    <w:rsid w:val="00012978"/>
    <w:rPr>
      <w:i/>
      <w:iCs/>
    </w:rPr>
  </w:style>
  <w:style w:type="paragraph" w:styleId="NormalWeb">
    <w:name w:val="Normal (Web)"/>
    <w:basedOn w:val="Normal"/>
    <w:uiPriority w:val="99"/>
    <w:semiHidden/>
    <w:unhideWhenUsed/>
    <w:rsid w:val="00CD61F4"/>
    <w:pPr>
      <w:spacing w:before="100" w:beforeAutospacing="1" w:after="100" w:afterAutospacing="1" w:line="240" w:lineRule="auto"/>
    </w:pPr>
    <w:rPr>
      <w:rFonts w:ascii="Times" w:hAnsi="Times"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55"/>
  </w:style>
  <w:style w:type="paragraph" w:styleId="Heading1">
    <w:name w:val="heading 1"/>
    <w:basedOn w:val="Normal"/>
    <w:next w:val="Normal"/>
    <w:link w:val="Heading1Char"/>
    <w:uiPriority w:val="9"/>
    <w:qFormat/>
    <w:rsid w:val="00E52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2B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3EF"/>
  </w:style>
  <w:style w:type="paragraph" w:styleId="Footer">
    <w:name w:val="footer"/>
    <w:basedOn w:val="Normal"/>
    <w:link w:val="FooterChar"/>
    <w:uiPriority w:val="99"/>
    <w:unhideWhenUsed/>
    <w:rsid w:val="00B50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3EF"/>
  </w:style>
  <w:style w:type="character" w:styleId="CommentReference">
    <w:name w:val="annotation reference"/>
    <w:basedOn w:val="DefaultParagraphFont"/>
    <w:uiPriority w:val="99"/>
    <w:semiHidden/>
    <w:unhideWhenUsed/>
    <w:rsid w:val="00C7521C"/>
    <w:rPr>
      <w:sz w:val="16"/>
      <w:szCs w:val="16"/>
    </w:rPr>
  </w:style>
  <w:style w:type="paragraph" w:styleId="CommentText">
    <w:name w:val="annotation text"/>
    <w:basedOn w:val="Normal"/>
    <w:link w:val="CommentTextChar"/>
    <w:uiPriority w:val="99"/>
    <w:unhideWhenUsed/>
    <w:rsid w:val="00C7521C"/>
    <w:pPr>
      <w:spacing w:line="240" w:lineRule="auto"/>
    </w:pPr>
    <w:rPr>
      <w:sz w:val="20"/>
      <w:szCs w:val="20"/>
    </w:rPr>
  </w:style>
  <w:style w:type="character" w:customStyle="1" w:styleId="CommentTextChar">
    <w:name w:val="Comment Text Char"/>
    <w:basedOn w:val="DefaultParagraphFont"/>
    <w:link w:val="CommentText"/>
    <w:uiPriority w:val="99"/>
    <w:rsid w:val="00C7521C"/>
    <w:rPr>
      <w:sz w:val="20"/>
      <w:szCs w:val="20"/>
    </w:rPr>
  </w:style>
  <w:style w:type="paragraph" w:styleId="CommentSubject">
    <w:name w:val="annotation subject"/>
    <w:basedOn w:val="CommentText"/>
    <w:next w:val="CommentText"/>
    <w:link w:val="CommentSubjectChar"/>
    <w:uiPriority w:val="99"/>
    <w:semiHidden/>
    <w:unhideWhenUsed/>
    <w:rsid w:val="00C7521C"/>
    <w:rPr>
      <w:b/>
      <w:bCs/>
    </w:rPr>
  </w:style>
  <w:style w:type="character" w:customStyle="1" w:styleId="CommentSubjectChar">
    <w:name w:val="Comment Subject Char"/>
    <w:basedOn w:val="CommentTextChar"/>
    <w:link w:val="CommentSubject"/>
    <w:uiPriority w:val="99"/>
    <w:semiHidden/>
    <w:rsid w:val="00C7521C"/>
    <w:rPr>
      <w:b/>
      <w:bCs/>
      <w:sz w:val="20"/>
      <w:szCs w:val="20"/>
    </w:rPr>
  </w:style>
  <w:style w:type="paragraph" w:styleId="BalloonText">
    <w:name w:val="Balloon Text"/>
    <w:basedOn w:val="Normal"/>
    <w:link w:val="BalloonTextChar"/>
    <w:uiPriority w:val="99"/>
    <w:semiHidden/>
    <w:unhideWhenUsed/>
    <w:rsid w:val="00C7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1C"/>
    <w:rPr>
      <w:rFonts w:ascii="Tahoma" w:hAnsi="Tahoma" w:cs="Tahoma"/>
      <w:sz w:val="16"/>
      <w:szCs w:val="16"/>
    </w:rPr>
  </w:style>
  <w:style w:type="paragraph" w:styleId="ListParagraph">
    <w:name w:val="List Paragraph"/>
    <w:basedOn w:val="Normal"/>
    <w:uiPriority w:val="34"/>
    <w:qFormat/>
    <w:rsid w:val="00F561AD"/>
    <w:pPr>
      <w:ind w:left="720"/>
      <w:contextualSpacing/>
    </w:pPr>
  </w:style>
  <w:style w:type="character" w:styleId="Strong">
    <w:name w:val="Strong"/>
    <w:basedOn w:val="DefaultParagraphFont"/>
    <w:uiPriority w:val="22"/>
    <w:qFormat/>
    <w:rsid w:val="00C52A09"/>
    <w:rPr>
      <w:b/>
      <w:bCs/>
    </w:rPr>
  </w:style>
  <w:style w:type="character" w:styleId="Hyperlink">
    <w:name w:val="Hyperlink"/>
    <w:basedOn w:val="DefaultParagraphFont"/>
    <w:uiPriority w:val="99"/>
    <w:unhideWhenUsed/>
    <w:rsid w:val="000564C0"/>
    <w:rPr>
      <w:color w:val="0000FF"/>
      <w:u w:val="single"/>
    </w:rPr>
  </w:style>
  <w:style w:type="character" w:customStyle="1" w:styleId="apple-converted-space">
    <w:name w:val="apple-converted-space"/>
    <w:basedOn w:val="DefaultParagraphFont"/>
    <w:rsid w:val="000564C0"/>
  </w:style>
  <w:style w:type="character" w:customStyle="1" w:styleId="clvbooktitle">
    <w:name w:val="clv_book_title"/>
    <w:basedOn w:val="DefaultParagraphFont"/>
    <w:rsid w:val="000564C0"/>
  </w:style>
  <w:style w:type="character" w:customStyle="1" w:styleId="clvyear">
    <w:name w:val="clv_year"/>
    <w:basedOn w:val="DefaultParagraphFont"/>
    <w:rsid w:val="000564C0"/>
  </w:style>
  <w:style w:type="character" w:customStyle="1" w:styleId="clvauth">
    <w:name w:val="clv_auth"/>
    <w:basedOn w:val="DefaultParagraphFont"/>
    <w:rsid w:val="000564C0"/>
  </w:style>
  <w:style w:type="character" w:customStyle="1" w:styleId="clvpub">
    <w:name w:val="clv_pub"/>
    <w:basedOn w:val="DefaultParagraphFont"/>
    <w:rsid w:val="000564C0"/>
  </w:style>
  <w:style w:type="paragraph" w:customStyle="1" w:styleId="Default">
    <w:name w:val="Default"/>
    <w:rsid w:val="002A1F34"/>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E52B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2B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B28"/>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057A1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7A1D"/>
    <w:rPr>
      <w:rFonts w:ascii="Tahoma" w:hAnsi="Tahoma" w:cs="Tahoma"/>
      <w:sz w:val="16"/>
      <w:szCs w:val="16"/>
    </w:rPr>
  </w:style>
  <w:style w:type="character" w:customStyle="1" w:styleId="articlecitationvolume">
    <w:name w:val="articlecitation_volume"/>
    <w:basedOn w:val="DefaultParagraphFont"/>
    <w:rsid w:val="00BE4BD0"/>
  </w:style>
  <w:style w:type="paragraph" w:customStyle="1" w:styleId="articledoi">
    <w:name w:val="articledoi"/>
    <w:basedOn w:val="Normal"/>
    <w:rsid w:val="00BE4B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Tegn"/>
    <w:rsid w:val="004C509D"/>
    <w:pPr>
      <w:spacing w:after="0"/>
      <w:jc w:val="center"/>
    </w:pPr>
    <w:rPr>
      <w:rFonts w:ascii="Calibri" w:hAnsi="Calibri"/>
      <w:noProof/>
    </w:rPr>
  </w:style>
  <w:style w:type="character" w:customStyle="1" w:styleId="EndNoteBibliographyTitleTegn">
    <w:name w:val="EndNote Bibliography Title Tegn"/>
    <w:basedOn w:val="DefaultParagraphFont"/>
    <w:link w:val="EndNoteBibliographyTitle"/>
    <w:rsid w:val="004C509D"/>
    <w:rPr>
      <w:rFonts w:ascii="Calibri" w:hAnsi="Calibri"/>
      <w:noProof/>
    </w:rPr>
  </w:style>
  <w:style w:type="paragraph" w:customStyle="1" w:styleId="EndNoteBibliography">
    <w:name w:val="EndNote Bibliography"/>
    <w:basedOn w:val="Normal"/>
    <w:link w:val="EndNoteBibliographyTegn"/>
    <w:rsid w:val="004C509D"/>
    <w:pPr>
      <w:spacing w:line="240" w:lineRule="auto"/>
    </w:pPr>
    <w:rPr>
      <w:rFonts w:ascii="Calibri" w:hAnsi="Calibri"/>
      <w:noProof/>
    </w:rPr>
  </w:style>
  <w:style w:type="character" w:customStyle="1" w:styleId="EndNoteBibliographyTegn">
    <w:name w:val="EndNote Bibliography Tegn"/>
    <w:basedOn w:val="DefaultParagraphFont"/>
    <w:link w:val="EndNoteBibliography"/>
    <w:rsid w:val="004C509D"/>
    <w:rPr>
      <w:rFonts w:ascii="Calibri" w:hAnsi="Calibri"/>
      <w:noProof/>
    </w:rPr>
  </w:style>
  <w:style w:type="character" w:styleId="Emphasis">
    <w:name w:val="Emphasis"/>
    <w:basedOn w:val="DefaultParagraphFont"/>
    <w:uiPriority w:val="20"/>
    <w:qFormat/>
    <w:rsid w:val="00012978"/>
    <w:rPr>
      <w:i/>
      <w:iCs/>
    </w:rPr>
  </w:style>
  <w:style w:type="paragraph" w:styleId="NormalWeb">
    <w:name w:val="Normal (Web)"/>
    <w:basedOn w:val="Normal"/>
    <w:uiPriority w:val="99"/>
    <w:semiHidden/>
    <w:unhideWhenUsed/>
    <w:rsid w:val="00CD61F4"/>
    <w:pPr>
      <w:spacing w:before="100" w:beforeAutospacing="1" w:after="100" w:afterAutospacing="1" w:line="240" w:lineRule="auto"/>
    </w:pPr>
    <w:rPr>
      <w:rFonts w:ascii="Times" w:hAnsi="Times"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9240">
      <w:bodyDiv w:val="1"/>
      <w:marLeft w:val="0"/>
      <w:marRight w:val="0"/>
      <w:marTop w:val="0"/>
      <w:marBottom w:val="0"/>
      <w:divBdr>
        <w:top w:val="none" w:sz="0" w:space="0" w:color="auto"/>
        <w:left w:val="none" w:sz="0" w:space="0" w:color="auto"/>
        <w:bottom w:val="none" w:sz="0" w:space="0" w:color="auto"/>
        <w:right w:val="none" w:sz="0" w:space="0" w:color="auto"/>
      </w:divBdr>
    </w:div>
    <w:div w:id="401222174">
      <w:bodyDiv w:val="1"/>
      <w:marLeft w:val="0"/>
      <w:marRight w:val="0"/>
      <w:marTop w:val="0"/>
      <w:marBottom w:val="0"/>
      <w:divBdr>
        <w:top w:val="none" w:sz="0" w:space="0" w:color="auto"/>
        <w:left w:val="none" w:sz="0" w:space="0" w:color="auto"/>
        <w:bottom w:val="none" w:sz="0" w:space="0" w:color="auto"/>
        <w:right w:val="none" w:sz="0" w:space="0" w:color="auto"/>
      </w:divBdr>
      <w:divsChild>
        <w:div w:id="1642348853">
          <w:marLeft w:val="547"/>
          <w:marRight w:val="0"/>
          <w:marTop w:val="86"/>
          <w:marBottom w:val="0"/>
          <w:divBdr>
            <w:top w:val="none" w:sz="0" w:space="0" w:color="auto"/>
            <w:left w:val="none" w:sz="0" w:space="0" w:color="auto"/>
            <w:bottom w:val="none" w:sz="0" w:space="0" w:color="auto"/>
            <w:right w:val="none" w:sz="0" w:space="0" w:color="auto"/>
          </w:divBdr>
        </w:div>
      </w:divsChild>
    </w:div>
    <w:div w:id="453211296">
      <w:bodyDiv w:val="1"/>
      <w:marLeft w:val="0"/>
      <w:marRight w:val="0"/>
      <w:marTop w:val="0"/>
      <w:marBottom w:val="0"/>
      <w:divBdr>
        <w:top w:val="none" w:sz="0" w:space="0" w:color="auto"/>
        <w:left w:val="none" w:sz="0" w:space="0" w:color="auto"/>
        <w:bottom w:val="none" w:sz="0" w:space="0" w:color="auto"/>
        <w:right w:val="none" w:sz="0" w:space="0" w:color="auto"/>
      </w:divBdr>
    </w:div>
    <w:div w:id="721516594">
      <w:bodyDiv w:val="1"/>
      <w:marLeft w:val="0"/>
      <w:marRight w:val="0"/>
      <w:marTop w:val="0"/>
      <w:marBottom w:val="0"/>
      <w:divBdr>
        <w:top w:val="none" w:sz="0" w:space="0" w:color="auto"/>
        <w:left w:val="none" w:sz="0" w:space="0" w:color="auto"/>
        <w:bottom w:val="none" w:sz="0" w:space="0" w:color="auto"/>
        <w:right w:val="none" w:sz="0" w:space="0" w:color="auto"/>
      </w:divBdr>
    </w:div>
    <w:div w:id="918561474">
      <w:bodyDiv w:val="1"/>
      <w:marLeft w:val="0"/>
      <w:marRight w:val="0"/>
      <w:marTop w:val="0"/>
      <w:marBottom w:val="0"/>
      <w:divBdr>
        <w:top w:val="none" w:sz="0" w:space="0" w:color="auto"/>
        <w:left w:val="none" w:sz="0" w:space="0" w:color="auto"/>
        <w:bottom w:val="none" w:sz="0" w:space="0" w:color="auto"/>
        <w:right w:val="none" w:sz="0" w:space="0" w:color="auto"/>
      </w:divBdr>
      <w:divsChild>
        <w:div w:id="1903980503">
          <w:marLeft w:val="547"/>
          <w:marRight w:val="0"/>
          <w:marTop w:val="86"/>
          <w:marBottom w:val="0"/>
          <w:divBdr>
            <w:top w:val="none" w:sz="0" w:space="0" w:color="auto"/>
            <w:left w:val="none" w:sz="0" w:space="0" w:color="auto"/>
            <w:bottom w:val="none" w:sz="0" w:space="0" w:color="auto"/>
            <w:right w:val="none" w:sz="0" w:space="0" w:color="auto"/>
          </w:divBdr>
        </w:div>
      </w:divsChild>
    </w:div>
    <w:div w:id="1124546061">
      <w:bodyDiv w:val="1"/>
      <w:marLeft w:val="0"/>
      <w:marRight w:val="0"/>
      <w:marTop w:val="0"/>
      <w:marBottom w:val="0"/>
      <w:divBdr>
        <w:top w:val="none" w:sz="0" w:space="0" w:color="auto"/>
        <w:left w:val="none" w:sz="0" w:space="0" w:color="auto"/>
        <w:bottom w:val="none" w:sz="0" w:space="0" w:color="auto"/>
        <w:right w:val="none" w:sz="0" w:space="0" w:color="auto"/>
      </w:divBdr>
      <w:divsChild>
        <w:div w:id="1556500497">
          <w:marLeft w:val="0"/>
          <w:marRight w:val="0"/>
          <w:marTop w:val="0"/>
          <w:marBottom w:val="0"/>
          <w:divBdr>
            <w:top w:val="none" w:sz="0" w:space="0" w:color="auto"/>
            <w:left w:val="none" w:sz="0" w:space="0" w:color="auto"/>
            <w:bottom w:val="none" w:sz="0" w:space="0" w:color="auto"/>
            <w:right w:val="none" w:sz="0" w:space="0" w:color="auto"/>
          </w:divBdr>
        </w:div>
      </w:divsChild>
    </w:div>
    <w:div w:id="1812360822">
      <w:bodyDiv w:val="1"/>
      <w:marLeft w:val="0"/>
      <w:marRight w:val="0"/>
      <w:marTop w:val="0"/>
      <w:marBottom w:val="0"/>
      <w:divBdr>
        <w:top w:val="none" w:sz="0" w:space="0" w:color="auto"/>
        <w:left w:val="none" w:sz="0" w:space="0" w:color="auto"/>
        <w:bottom w:val="none" w:sz="0" w:space="0" w:color="auto"/>
        <w:right w:val="none" w:sz="0" w:space="0" w:color="auto"/>
      </w:divBdr>
      <w:divsChild>
        <w:div w:id="1729303072">
          <w:marLeft w:val="75"/>
          <w:marRight w:val="0"/>
          <w:marTop w:val="0"/>
          <w:marBottom w:val="0"/>
          <w:divBdr>
            <w:top w:val="none" w:sz="0" w:space="0" w:color="auto"/>
            <w:left w:val="none" w:sz="0" w:space="0" w:color="auto"/>
            <w:bottom w:val="none" w:sz="0" w:space="0" w:color="auto"/>
            <w:right w:val="none" w:sz="0" w:space="0" w:color="auto"/>
          </w:divBdr>
          <w:divsChild>
            <w:div w:id="1554584143">
              <w:marLeft w:val="0"/>
              <w:marRight w:val="0"/>
              <w:marTop w:val="0"/>
              <w:marBottom w:val="0"/>
              <w:divBdr>
                <w:top w:val="single" w:sz="6" w:space="0" w:color="B3B3B3"/>
                <w:left w:val="single" w:sz="6" w:space="0" w:color="B3B3B3"/>
                <w:bottom w:val="single" w:sz="6" w:space="0" w:color="B3B3B3"/>
                <w:right w:val="single" w:sz="6" w:space="6" w:color="B3B3B3"/>
              </w:divBdr>
            </w:div>
          </w:divsChild>
        </w:div>
      </w:divsChild>
    </w:div>
    <w:div w:id="2020934436">
      <w:bodyDiv w:val="1"/>
      <w:marLeft w:val="0"/>
      <w:marRight w:val="0"/>
      <w:marTop w:val="0"/>
      <w:marBottom w:val="0"/>
      <w:divBdr>
        <w:top w:val="none" w:sz="0" w:space="0" w:color="auto"/>
        <w:left w:val="none" w:sz="0" w:space="0" w:color="auto"/>
        <w:bottom w:val="none" w:sz="0" w:space="0" w:color="auto"/>
        <w:right w:val="none" w:sz="0" w:space="0" w:color="auto"/>
      </w:divBdr>
    </w:div>
    <w:div w:id="21334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p.york.ac.uk/inst/spru/pubs/1882/"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p.york.ac.uk/inst/spru/pubs/18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Glasby@bham.ac.uk" TargetMode="External"/><Relationship Id="rId4" Type="http://schemas.microsoft.com/office/2007/relationships/stylesWithEffects" Target="stylesWithEffects.xml"/><Relationship Id="rId9" Type="http://schemas.openxmlformats.org/officeDocument/2006/relationships/hyperlink" Target="mailto:Fiona.aspinal@york.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89279-9862-4816-AA8F-77C89EC6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4097</Words>
  <Characters>23355</Characters>
  <Application>Microsoft Office Word</Application>
  <DocSecurity>0</DocSecurity>
  <Lines>194</Lines>
  <Paragraphs>54</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
      <vt:lpstr/>
      <vt:lpstr/>
    </vt:vector>
  </TitlesOfParts>
  <Company>The University of York</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Aspinal</dc:creator>
  <cp:lastModifiedBy>Fiona Aspinal</cp:lastModifiedBy>
  <cp:revision>2</cp:revision>
  <cp:lastPrinted>2016-03-09T12:35:00Z</cp:lastPrinted>
  <dcterms:created xsi:type="dcterms:W3CDTF">2016-06-16T14:37:00Z</dcterms:created>
  <dcterms:modified xsi:type="dcterms:W3CDTF">2016-06-16T14:37:00Z</dcterms:modified>
</cp:coreProperties>
</file>