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E310" w14:textId="77777777" w:rsidR="00B775B2" w:rsidRPr="002C52FC" w:rsidRDefault="00B775B2" w:rsidP="00B775B2">
      <w:pPr>
        <w:spacing w:before="100" w:beforeAutospacing="1"/>
        <w:jc w:val="center"/>
        <w:rPr>
          <w:rFonts w:asciiTheme="minorHAnsi" w:hAnsiTheme="minorHAnsi"/>
          <w:b/>
          <w:i/>
          <w:sz w:val="32"/>
        </w:rPr>
      </w:pPr>
      <w:r>
        <w:rPr>
          <w:rFonts w:asciiTheme="minorHAnsi" w:hAnsiTheme="minorHAnsi"/>
          <w:b/>
          <w:i/>
          <w:sz w:val="32"/>
        </w:rPr>
        <w:t>‘</w:t>
      </w:r>
      <w:r w:rsidRPr="002C52FC">
        <w:rPr>
          <w:rFonts w:asciiTheme="minorHAnsi" w:hAnsiTheme="minorHAnsi"/>
          <w:b/>
          <w:i/>
          <w:sz w:val="32"/>
        </w:rPr>
        <w:t>Good practice in the conduct and reporting of practitioner research:</w:t>
      </w:r>
    </w:p>
    <w:p w14:paraId="072AC4D1" w14:textId="77777777" w:rsidR="00B775B2" w:rsidRPr="002C52FC" w:rsidRDefault="00B775B2" w:rsidP="00B775B2">
      <w:pPr>
        <w:spacing w:before="100" w:beforeAutospacing="1"/>
        <w:jc w:val="center"/>
        <w:rPr>
          <w:rFonts w:asciiTheme="minorHAnsi" w:hAnsiTheme="minorHAnsi"/>
          <w:b/>
          <w:i/>
          <w:sz w:val="32"/>
        </w:rPr>
      </w:pPr>
      <w:r w:rsidRPr="002C52FC">
        <w:rPr>
          <w:rFonts w:asciiTheme="minorHAnsi" w:hAnsiTheme="minorHAnsi"/>
          <w:b/>
          <w:i/>
          <w:sz w:val="32"/>
        </w:rPr>
        <w:t>Reflections from social work and social care</w:t>
      </w:r>
      <w:r>
        <w:rPr>
          <w:rFonts w:asciiTheme="minorHAnsi" w:hAnsiTheme="minorHAnsi"/>
          <w:b/>
          <w:i/>
          <w:sz w:val="32"/>
        </w:rPr>
        <w:t>’</w:t>
      </w:r>
      <w:r w:rsidRPr="002C52FC">
        <w:rPr>
          <w:rFonts w:asciiTheme="minorHAnsi" w:hAnsiTheme="minorHAnsi"/>
          <w:b/>
          <w:i/>
          <w:sz w:val="32"/>
        </w:rPr>
        <w:t xml:space="preserve"> </w:t>
      </w:r>
    </w:p>
    <w:p w14:paraId="0ECD3DE7" w14:textId="77777777" w:rsidR="00B775B2" w:rsidRDefault="00B775B2" w:rsidP="00B775B2">
      <w:pPr>
        <w:jc w:val="center"/>
        <w:rPr>
          <w:rFonts w:asciiTheme="minorHAnsi" w:hAnsiTheme="minorHAnsi"/>
          <w:sz w:val="28"/>
        </w:rPr>
      </w:pPr>
    </w:p>
    <w:p w14:paraId="72CC6E54" w14:textId="77777777" w:rsidR="00B775B2" w:rsidRPr="002C52FC" w:rsidRDefault="00B775B2" w:rsidP="00B775B2">
      <w:pPr>
        <w:jc w:val="center"/>
        <w:rPr>
          <w:rFonts w:asciiTheme="minorHAnsi" w:hAnsiTheme="minorHAnsi"/>
          <w:sz w:val="28"/>
        </w:rPr>
      </w:pPr>
      <w:r w:rsidRPr="0008158E">
        <w:rPr>
          <w:rFonts w:asciiTheme="minorHAnsi" w:hAnsiTheme="minorHAnsi"/>
          <w:sz w:val="28"/>
        </w:rPr>
        <w:t>Dr Neil Lunt (University of York)</w:t>
      </w:r>
    </w:p>
    <w:p w14:paraId="27B17B30" w14:textId="77777777" w:rsidR="00B775B2" w:rsidRPr="002C52FC" w:rsidRDefault="00B775B2" w:rsidP="00B775B2">
      <w:pPr>
        <w:jc w:val="center"/>
        <w:rPr>
          <w:rFonts w:asciiTheme="minorHAnsi" w:hAnsiTheme="minorHAnsi"/>
          <w:sz w:val="28"/>
        </w:rPr>
      </w:pPr>
      <w:r w:rsidRPr="002C52FC">
        <w:rPr>
          <w:rFonts w:asciiTheme="minorHAnsi" w:hAnsiTheme="minorHAnsi"/>
          <w:sz w:val="28"/>
        </w:rPr>
        <w:t xml:space="preserve">Professor Ian Shaw (Aalborg </w:t>
      </w:r>
      <w:proofErr w:type="spellStart"/>
      <w:r w:rsidRPr="002C52FC">
        <w:rPr>
          <w:rFonts w:asciiTheme="minorHAnsi" w:hAnsiTheme="minorHAnsi"/>
          <w:sz w:val="28"/>
        </w:rPr>
        <w:t>Universitet</w:t>
      </w:r>
      <w:proofErr w:type="spellEnd"/>
      <w:r w:rsidRPr="002C52FC">
        <w:rPr>
          <w:rFonts w:asciiTheme="minorHAnsi" w:hAnsiTheme="minorHAnsi"/>
          <w:sz w:val="28"/>
        </w:rPr>
        <w:t>, Denmark and University of York, UK)</w:t>
      </w:r>
    </w:p>
    <w:p w14:paraId="5ECF9EDA" w14:textId="77777777" w:rsidR="00B775B2" w:rsidRDefault="00B775B2" w:rsidP="00B775B2">
      <w:pPr>
        <w:spacing w:before="100" w:beforeAutospacing="1" w:after="120" w:line="360" w:lineRule="auto"/>
        <w:jc w:val="both"/>
        <w:rPr>
          <w:rFonts w:asciiTheme="minorHAnsi" w:hAnsiTheme="minorHAnsi"/>
          <w:b/>
        </w:rPr>
      </w:pPr>
    </w:p>
    <w:p w14:paraId="5E0DF6CC" w14:textId="77777777" w:rsidR="00B775B2" w:rsidRDefault="00B775B2" w:rsidP="00B775B2">
      <w:pPr>
        <w:rPr>
          <w:rFonts w:asciiTheme="minorHAnsi" w:hAnsiTheme="minorHAnsi"/>
          <w:b/>
        </w:rPr>
      </w:pPr>
    </w:p>
    <w:p w14:paraId="4C9F8ED1" w14:textId="77777777" w:rsidR="00B775B2" w:rsidRPr="00D5321A" w:rsidRDefault="00B775B2" w:rsidP="00B775B2">
      <w:pPr>
        <w:spacing w:before="100" w:beforeAutospacing="1" w:after="120" w:line="360" w:lineRule="auto"/>
        <w:jc w:val="both"/>
        <w:rPr>
          <w:rFonts w:ascii="Calibri" w:hAnsi="Calibri"/>
        </w:rPr>
      </w:pPr>
      <w:r w:rsidRPr="00D5321A">
        <w:rPr>
          <w:rFonts w:ascii="Calibri" w:hAnsi="Calibri"/>
        </w:rPr>
        <w:t xml:space="preserve">This paper examines two distinct forms of practitioner research and makes tentative suggestions around what may constitute good practice in their conduct and reporting, and for the </w:t>
      </w:r>
      <w:r w:rsidRPr="00D5321A">
        <w:rPr>
          <w:rFonts w:ascii="Calibri" w:hAnsi="Calibri"/>
          <w:i/>
        </w:rPr>
        <w:t>genre</w:t>
      </w:r>
      <w:r w:rsidRPr="00D5321A">
        <w:rPr>
          <w:rFonts w:ascii="Calibri" w:hAnsi="Calibri"/>
        </w:rPr>
        <w:t xml:space="preserve"> of practitioner research as a whole.  We also explore their potential benefits and limitations within the wider set of research approaches.  Discussion is informed primarily by an earlier review of practitioner research in adult social care and supplemented by knowledge and experience of wider activities related to practitioner research.  Discussion is organised in three parts.  First, we explore what are generic good practices around all forms of practitioner research.  Second, we move to identify particular forms of good practice within what we call Type 1 and Type 2 practitioner research, situating them alongside a practitioner research matrix of stakeholder benefits. Third, we consider the implications of such discussion for how we best stimulate these types of practitioner research. </w:t>
      </w:r>
    </w:p>
    <w:p w14:paraId="58C1D5A3" w14:textId="77777777" w:rsidR="00B775B2" w:rsidRDefault="00B775B2" w:rsidP="00B775B2">
      <w:pPr>
        <w:rPr>
          <w:rFonts w:asciiTheme="minorHAnsi" w:hAnsiTheme="minorHAnsi"/>
          <w:b/>
        </w:rPr>
      </w:pPr>
    </w:p>
    <w:p w14:paraId="1F2DACC7" w14:textId="77777777" w:rsidR="00B775B2" w:rsidRDefault="00B775B2" w:rsidP="00B775B2">
      <w:pPr>
        <w:rPr>
          <w:rFonts w:asciiTheme="minorHAnsi" w:hAnsiTheme="minorHAnsi"/>
          <w:b/>
        </w:rPr>
      </w:pPr>
    </w:p>
    <w:p w14:paraId="364A0A9C" w14:textId="77777777" w:rsidR="00B775B2" w:rsidRDefault="00B775B2" w:rsidP="00B775B2">
      <w:pPr>
        <w:rPr>
          <w:rFonts w:asciiTheme="minorHAnsi" w:hAnsiTheme="minorHAnsi"/>
          <w:b/>
        </w:rPr>
      </w:pPr>
    </w:p>
    <w:p w14:paraId="5AB94912" w14:textId="77777777" w:rsidR="00B775B2" w:rsidRDefault="00B775B2" w:rsidP="00B775B2">
      <w:pPr>
        <w:rPr>
          <w:rFonts w:asciiTheme="minorHAnsi" w:hAnsiTheme="minorHAnsi"/>
          <w:b/>
        </w:rPr>
      </w:pPr>
    </w:p>
    <w:p w14:paraId="1B8E3C63" w14:textId="77777777" w:rsidR="00B775B2" w:rsidRDefault="00B775B2" w:rsidP="00B775B2">
      <w:pPr>
        <w:rPr>
          <w:rFonts w:asciiTheme="minorHAnsi" w:hAnsiTheme="minorHAnsi"/>
          <w:b/>
        </w:rPr>
      </w:pPr>
    </w:p>
    <w:p w14:paraId="3AAF55AB" w14:textId="77777777" w:rsidR="00B775B2" w:rsidRDefault="00B775B2" w:rsidP="00B775B2">
      <w:pPr>
        <w:rPr>
          <w:rFonts w:asciiTheme="minorHAnsi" w:hAnsiTheme="minorHAnsi"/>
          <w:b/>
        </w:rPr>
      </w:pPr>
    </w:p>
    <w:p w14:paraId="73764155" w14:textId="77777777" w:rsidR="00B775B2" w:rsidRDefault="00B775B2" w:rsidP="00B775B2">
      <w:pPr>
        <w:rPr>
          <w:rFonts w:asciiTheme="minorHAnsi" w:hAnsiTheme="minorHAnsi"/>
          <w:b/>
        </w:rPr>
      </w:pPr>
    </w:p>
    <w:p w14:paraId="1AB54D45" w14:textId="77777777" w:rsidR="00B775B2" w:rsidRPr="002C52FC" w:rsidRDefault="00B775B2" w:rsidP="00B775B2">
      <w:pPr>
        <w:rPr>
          <w:rFonts w:asciiTheme="minorHAnsi" w:hAnsiTheme="minorHAnsi"/>
          <w:b/>
        </w:rPr>
      </w:pPr>
      <w:r w:rsidRPr="002C52FC">
        <w:rPr>
          <w:rFonts w:asciiTheme="minorHAnsi" w:hAnsiTheme="minorHAnsi"/>
          <w:b/>
        </w:rPr>
        <w:t>Correspondence</w:t>
      </w:r>
    </w:p>
    <w:p w14:paraId="38621F6B" w14:textId="77777777" w:rsidR="00B775B2" w:rsidRPr="0008158E" w:rsidRDefault="00B775B2" w:rsidP="00B775B2">
      <w:pPr>
        <w:rPr>
          <w:rFonts w:asciiTheme="minorHAnsi" w:hAnsiTheme="minorHAnsi"/>
        </w:rPr>
      </w:pPr>
      <w:r w:rsidRPr="0008158E">
        <w:rPr>
          <w:rFonts w:asciiTheme="minorHAnsi" w:hAnsiTheme="minorHAnsi"/>
        </w:rPr>
        <w:t xml:space="preserve">Neil Lunt </w:t>
      </w:r>
    </w:p>
    <w:p w14:paraId="275C0D0F" w14:textId="77777777" w:rsidR="00B775B2" w:rsidRPr="0008158E" w:rsidRDefault="00B775B2" w:rsidP="00B775B2">
      <w:pPr>
        <w:rPr>
          <w:rFonts w:asciiTheme="minorHAnsi" w:hAnsiTheme="minorHAnsi"/>
        </w:rPr>
      </w:pPr>
      <w:r w:rsidRPr="0008158E">
        <w:rPr>
          <w:rFonts w:asciiTheme="minorHAnsi" w:hAnsiTheme="minorHAnsi"/>
        </w:rPr>
        <w:t>Department of Social Policy and Social Work</w:t>
      </w:r>
    </w:p>
    <w:p w14:paraId="116DD357" w14:textId="77777777" w:rsidR="00B775B2" w:rsidRPr="0008158E" w:rsidRDefault="00B775B2" w:rsidP="00B775B2">
      <w:pPr>
        <w:rPr>
          <w:rFonts w:asciiTheme="minorHAnsi" w:hAnsiTheme="minorHAnsi"/>
        </w:rPr>
      </w:pPr>
      <w:r w:rsidRPr="0008158E">
        <w:rPr>
          <w:rFonts w:asciiTheme="minorHAnsi" w:hAnsiTheme="minorHAnsi"/>
        </w:rPr>
        <w:t>University of York</w:t>
      </w:r>
    </w:p>
    <w:p w14:paraId="3D5170BF" w14:textId="77777777" w:rsidR="00B775B2" w:rsidRPr="0008158E" w:rsidRDefault="00B775B2" w:rsidP="00B775B2">
      <w:pPr>
        <w:rPr>
          <w:rFonts w:asciiTheme="minorHAnsi" w:hAnsiTheme="minorHAnsi"/>
        </w:rPr>
      </w:pPr>
      <w:proofErr w:type="spellStart"/>
      <w:r w:rsidRPr="0008158E">
        <w:rPr>
          <w:rFonts w:asciiTheme="minorHAnsi" w:hAnsiTheme="minorHAnsi"/>
        </w:rPr>
        <w:t>Heslington</w:t>
      </w:r>
      <w:proofErr w:type="spellEnd"/>
    </w:p>
    <w:p w14:paraId="785F1571" w14:textId="77777777" w:rsidR="00B775B2" w:rsidRPr="0008158E" w:rsidRDefault="00B775B2" w:rsidP="00B775B2">
      <w:pPr>
        <w:rPr>
          <w:rFonts w:asciiTheme="minorHAnsi" w:hAnsiTheme="minorHAnsi"/>
        </w:rPr>
      </w:pPr>
      <w:hyperlink r:id="rId9" w:history="1">
        <w:r w:rsidRPr="0008158E">
          <w:rPr>
            <w:rStyle w:val="Hyperlink"/>
            <w:rFonts w:asciiTheme="minorHAnsi" w:hAnsiTheme="minorHAnsi"/>
          </w:rPr>
          <w:t>neil.lunt@york.ac.uk</w:t>
        </w:r>
      </w:hyperlink>
    </w:p>
    <w:p w14:paraId="72C689E2" w14:textId="77777777" w:rsidR="00B775B2" w:rsidRPr="002C52FC" w:rsidRDefault="00B775B2" w:rsidP="00B775B2">
      <w:pPr>
        <w:rPr>
          <w:rFonts w:asciiTheme="minorHAnsi" w:hAnsiTheme="minorHAnsi"/>
        </w:rPr>
      </w:pPr>
    </w:p>
    <w:p w14:paraId="45A48A47" w14:textId="77777777" w:rsidR="00B775B2" w:rsidRDefault="00B775B2" w:rsidP="00B775B2">
      <w:pPr>
        <w:rPr>
          <w:rFonts w:asciiTheme="minorHAnsi" w:hAnsiTheme="minorHAnsi"/>
          <w:b/>
        </w:rPr>
      </w:pPr>
    </w:p>
    <w:p w14:paraId="4E1BEDDE" w14:textId="71FBD39E" w:rsidR="00D90D92" w:rsidRPr="00B775B2" w:rsidRDefault="0009176B" w:rsidP="007B73F2">
      <w:pPr>
        <w:rPr>
          <w:rFonts w:asciiTheme="minorHAnsi" w:hAnsiTheme="minorHAnsi"/>
          <w:b/>
          <w:sz w:val="28"/>
        </w:rPr>
      </w:pPr>
      <w:bookmarkStart w:id="0" w:name="_GoBack"/>
      <w:bookmarkEnd w:id="0"/>
      <w:r w:rsidRPr="00B4222E">
        <w:rPr>
          <w:rFonts w:asciiTheme="minorHAnsi" w:hAnsiTheme="minorHAnsi"/>
          <w:b/>
          <w:sz w:val="28"/>
        </w:rPr>
        <w:t xml:space="preserve">Introduction </w:t>
      </w:r>
    </w:p>
    <w:p w14:paraId="19C4565E" w14:textId="712EE57A" w:rsidR="000C7DC2" w:rsidRPr="00B4222E" w:rsidRDefault="000E58AC" w:rsidP="00B4222E">
      <w:pPr>
        <w:spacing w:before="100" w:beforeAutospacing="1" w:after="120" w:line="360" w:lineRule="auto"/>
        <w:jc w:val="both"/>
        <w:rPr>
          <w:rFonts w:asciiTheme="minorHAnsi" w:hAnsiTheme="minorHAnsi"/>
        </w:rPr>
      </w:pPr>
      <w:r w:rsidRPr="00B4222E">
        <w:rPr>
          <w:rFonts w:asciiTheme="minorHAnsi" w:hAnsiTheme="minorHAnsi"/>
        </w:rPr>
        <w:t>T</w:t>
      </w:r>
      <w:r w:rsidR="00E16721" w:rsidRPr="00B4222E">
        <w:rPr>
          <w:rFonts w:asciiTheme="minorHAnsi" w:hAnsiTheme="minorHAnsi"/>
        </w:rPr>
        <w:t>he general term ‘practitioner research’ hides</w:t>
      </w:r>
      <w:r w:rsidR="0009176B" w:rsidRPr="00B4222E">
        <w:rPr>
          <w:rFonts w:asciiTheme="minorHAnsi" w:hAnsiTheme="minorHAnsi"/>
        </w:rPr>
        <w:t xml:space="preserve"> diverse forms of research</w:t>
      </w:r>
      <w:r w:rsidR="000C7DC2" w:rsidRPr="00B4222E">
        <w:rPr>
          <w:rFonts w:asciiTheme="minorHAnsi" w:hAnsiTheme="minorHAnsi"/>
        </w:rPr>
        <w:t xml:space="preserve"> that take place across education, social and health services</w:t>
      </w:r>
      <w:r w:rsidR="0009176B" w:rsidRPr="00B4222E">
        <w:rPr>
          <w:rFonts w:asciiTheme="minorHAnsi" w:hAnsiTheme="minorHAnsi"/>
        </w:rPr>
        <w:t xml:space="preserve">.  </w:t>
      </w:r>
      <w:r w:rsidR="000C7DC2" w:rsidRPr="00B4222E">
        <w:rPr>
          <w:rFonts w:asciiTheme="minorHAnsi" w:hAnsiTheme="minorHAnsi"/>
        </w:rPr>
        <w:t>Informed by our review of practitioner research in the social care field with adults (</w:t>
      </w:r>
      <w:r w:rsidR="006B1DA4" w:rsidRPr="006B1DA4">
        <w:rPr>
          <w:rFonts w:asciiTheme="minorHAnsi" w:hAnsiTheme="minorHAnsi"/>
        </w:rPr>
        <w:t xml:space="preserve">see Shaw </w:t>
      </w:r>
      <w:r w:rsidR="006B1DA4" w:rsidRPr="008D36A8">
        <w:rPr>
          <w:rFonts w:asciiTheme="minorHAnsi" w:hAnsiTheme="minorHAnsi"/>
          <w:i/>
        </w:rPr>
        <w:t>et al</w:t>
      </w:r>
      <w:r w:rsidR="008D36A8">
        <w:rPr>
          <w:rFonts w:asciiTheme="minorHAnsi" w:hAnsiTheme="minorHAnsi"/>
        </w:rPr>
        <w:t>.</w:t>
      </w:r>
      <w:r w:rsidR="006B1DA4" w:rsidRPr="006B1DA4">
        <w:rPr>
          <w:rFonts w:asciiTheme="minorHAnsi" w:hAnsiTheme="minorHAnsi"/>
        </w:rPr>
        <w:t>, 2014</w:t>
      </w:r>
      <w:r w:rsidR="000C7DC2" w:rsidRPr="00B4222E">
        <w:rPr>
          <w:rFonts w:asciiTheme="minorHAnsi" w:hAnsiTheme="minorHAnsi"/>
        </w:rPr>
        <w:t>) w</w:t>
      </w:r>
      <w:r w:rsidR="0009176B" w:rsidRPr="00B4222E">
        <w:rPr>
          <w:rFonts w:asciiTheme="minorHAnsi" w:hAnsiTheme="minorHAnsi"/>
        </w:rPr>
        <w:t xml:space="preserve">e </w:t>
      </w:r>
      <w:r w:rsidR="000C7DC2" w:rsidRPr="00B4222E">
        <w:rPr>
          <w:rFonts w:asciiTheme="minorHAnsi" w:hAnsiTheme="minorHAnsi"/>
        </w:rPr>
        <w:t xml:space="preserve">suggest </w:t>
      </w:r>
      <w:r w:rsidRPr="00B4222E">
        <w:rPr>
          <w:rFonts w:asciiTheme="minorHAnsi" w:hAnsiTheme="minorHAnsi"/>
        </w:rPr>
        <w:t>two broadly different approaches to such research</w:t>
      </w:r>
      <w:r w:rsidR="000C7DC2" w:rsidRPr="00B4222E">
        <w:rPr>
          <w:rFonts w:asciiTheme="minorHAnsi" w:hAnsiTheme="minorHAnsi"/>
        </w:rPr>
        <w:t xml:space="preserve"> accord</w:t>
      </w:r>
      <w:r w:rsidR="00B94536" w:rsidRPr="00B4222E">
        <w:rPr>
          <w:rFonts w:asciiTheme="minorHAnsi" w:hAnsiTheme="minorHAnsi"/>
        </w:rPr>
        <w:t>ing to</w:t>
      </w:r>
      <w:r w:rsidR="000C7DC2" w:rsidRPr="00B4222E">
        <w:rPr>
          <w:rFonts w:asciiTheme="minorHAnsi" w:hAnsiTheme="minorHAnsi"/>
        </w:rPr>
        <w:t xml:space="preserve"> six dimensions</w:t>
      </w:r>
      <w:r w:rsidR="0009176B" w:rsidRPr="00B4222E">
        <w:rPr>
          <w:rFonts w:asciiTheme="minorHAnsi" w:hAnsiTheme="minorHAnsi"/>
        </w:rPr>
        <w:t>:</w:t>
      </w:r>
      <w:r w:rsidR="000C7DC2" w:rsidRPr="00B4222E">
        <w:rPr>
          <w:rFonts w:asciiTheme="minorHAnsi" w:hAnsiTheme="minorHAnsi"/>
        </w:rPr>
        <w:t xml:space="preserve"> o</w:t>
      </w:r>
      <w:r w:rsidR="0009176B" w:rsidRPr="00B4222E">
        <w:rPr>
          <w:rFonts w:asciiTheme="minorHAnsi" w:hAnsiTheme="minorHAnsi"/>
        </w:rPr>
        <w:t>ccupational roles of researchers;</w:t>
      </w:r>
      <w:r w:rsidR="000C7DC2" w:rsidRPr="00B4222E">
        <w:rPr>
          <w:rFonts w:asciiTheme="minorHAnsi" w:hAnsiTheme="minorHAnsi"/>
        </w:rPr>
        <w:t xml:space="preserve"> </w:t>
      </w:r>
      <w:r w:rsidR="0009176B" w:rsidRPr="00B4222E">
        <w:rPr>
          <w:rFonts w:asciiTheme="minorHAnsi" w:hAnsiTheme="minorHAnsi"/>
        </w:rPr>
        <w:t>nature of the working relationship between researchers;</w:t>
      </w:r>
      <w:r w:rsidR="000C7DC2" w:rsidRPr="00B4222E">
        <w:rPr>
          <w:rFonts w:asciiTheme="minorHAnsi" w:hAnsiTheme="minorHAnsi"/>
        </w:rPr>
        <w:t xml:space="preserve"> </w:t>
      </w:r>
      <w:r w:rsidR="0009176B" w:rsidRPr="00B4222E">
        <w:rPr>
          <w:rFonts w:asciiTheme="minorHAnsi" w:hAnsiTheme="minorHAnsi"/>
        </w:rPr>
        <w:t>focus of research questions and problems;</w:t>
      </w:r>
      <w:r w:rsidR="000C7DC2" w:rsidRPr="00B4222E">
        <w:rPr>
          <w:rFonts w:asciiTheme="minorHAnsi" w:hAnsiTheme="minorHAnsi"/>
        </w:rPr>
        <w:t xml:space="preserve"> r</w:t>
      </w:r>
      <w:r w:rsidR="0009176B" w:rsidRPr="00B4222E">
        <w:rPr>
          <w:rFonts w:asciiTheme="minorHAnsi" w:hAnsiTheme="minorHAnsi"/>
        </w:rPr>
        <w:t>esearch methodology;</w:t>
      </w:r>
      <w:r w:rsidR="000C7DC2" w:rsidRPr="00B4222E">
        <w:rPr>
          <w:rFonts w:asciiTheme="minorHAnsi" w:hAnsiTheme="minorHAnsi"/>
        </w:rPr>
        <w:t xml:space="preserve"> </w:t>
      </w:r>
      <w:r w:rsidR="0009176B" w:rsidRPr="00B4222E">
        <w:rPr>
          <w:rFonts w:asciiTheme="minorHAnsi" w:hAnsiTheme="minorHAnsi"/>
        </w:rPr>
        <w:t>e</w:t>
      </w:r>
      <w:r w:rsidR="00B94536" w:rsidRPr="00B4222E">
        <w:rPr>
          <w:rFonts w:asciiTheme="minorHAnsi" w:hAnsiTheme="minorHAnsi"/>
        </w:rPr>
        <w:t xml:space="preserve">xtent to which research </w:t>
      </w:r>
      <w:r w:rsidR="0009176B" w:rsidRPr="00B4222E">
        <w:rPr>
          <w:rFonts w:asciiTheme="minorHAnsi" w:hAnsiTheme="minorHAnsi"/>
        </w:rPr>
        <w:t xml:space="preserve">benefits </w:t>
      </w:r>
      <w:r w:rsidR="00B94536" w:rsidRPr="00B4222E">
        <w:rPr>
          <w:rFonts w:asciiTheme="minorHAnsi" w:hAnsiTheme="minorHAnsi"/>
        </w:rPr>
        <w:t xml:space="preserve">and utilisation </w:t>
      </w:r>
      <w:r w:rsidR="0009176B" w:rsidRPr="00B4222E">
        <w:rPr>
          <w:rFonts w:asciiTheme="minorHAnsi" w:hAnsiTheme="minorHAnsi"/>
        </w:rPr>
        <w:t>are</w:t>
      </w:r>
      <w:r w:rsidR="000C7DC2" w:rsidRPr="00B4222E">
        <w:rPr>
          <w:rFonts w:asciiTheme="minorHAnsi" w:hAnsiTheme="minorHAnsi"/>
        </w:rPr>
        <w:t xml:space="preserve"> </w:t>
      </w:r>
      <w:r w:rsidR="0009176B" w:rsidRPr="00B4222E">
        <w:rPr>
          <w:rFonts w:asciiTheme="minorHAnsi" w:hAnsiTheme="minorHAnsi"/>
        </w:rPr>
        <w:t>addressed;</w:t>
      </w:r>
      <w:r w:rsidR="000C7DC2" w:rsidRPr="00B4222E">
        <w:rPr>
          <w:rFonts w:asciiTheme="minorHAnsi" w:hAnsiTheme="minorHAnsi"/>
        </w:rPr>
        <w:t xml:space="preserve"> and t</w:t>
      </w:r>
      <w:r w:rsidR="0009176B" w:rsidRPr="00B4222E">
        <w:rPr>
          <w:rFonts w:asciiTheme="minorHAnsi" w:hAnsiTheme="minorHAnsi"/>
        </w:rPr>
        <w:t>he writing ‘voice’ adopted in the published outputs.</w:t>
      </w:r>
      <w:r w:rsidR="000B1044" w:rsidRPr="00B4222E">
        <w:rPr>
          <w:rFonts w:asciiTheme="minorHAnsi" w:hAnsiTheme="minorHAnsi"/>
        </w:rPr>
        <w:t xml:space="preserve">  </w:t>
      </w:r>
      <w:r w:rsidRPr="00B4222E">
        <w:rPr>
          <w:rFonts w:asciiTheme="minorHAnsi" w:hAnsiTheme="minorHAnsi"/>
        </w:rPr>
        <w:t>These d</w:t>
      </w:r>
      <w:r w:rsidR="000B1044" w:rsidRPr="00B4222E">
        <w:rPr>
          <w:rFonts w:asciiTheme="minorHAnsi" w:hAnsiTheme="minorHAnsi"/>
        </w:rPr>
        <w:t>ifference</w:t>
      </w:r>
      <w:r w:rsidRPr="00B4222E">
        <w:rPr>
          <w:rFonts w:asciiTheme="minorHAnsi" w:hAnsiTheme="minorHAnsi"/>
        </w:rPr>
        <w:t xml:space="preserve">s are </w:t>
      </w:r>
      <w:r w:rsidR="00DB02A1">
        <w:rPr>
          <w:rFonts w:asciiTheme="minorHAnsi" w:hAnsiTheme="minorHAnsi"/>
        </w:rPr>
        <w:t>so marked that we should be cautious when adopting a</w:t>
      </w:r>
      <w:r w:rsidR="000B1044" w:rsidRPr="00B4222E">
        <w:rPr>
          <w:rFonts w:asciiTheme="minorHAnsi" w:hAnsiTheme="minorHAnsi"/>
        </w:rPr>
        <w:t xml:space="preserve"> common term for both </w:t>
      </w:r>
      <w:r w:rsidR="00DB02A1">
        <w:rPr>
          <w:rFonts w:asciiTheme="minorHAnsi" w:hAnsiTheme="minorHAnsi"/>
        </w:rPr>
        <w:t>types of inquiry</w:t>
      </w:r>
      <w:r w:rsidR="000B1044" w:rsidRPr="00B4222E">
        <w:rPr>
          <w:rFonts w:asciiTheme="minorHAnsi" w:hAnsiTheme="minorHAnsi"/>
        </w:rPr>
        <w:t xml:space="preserve">.  </w:t>
      </w:r>
    </w:p>
    <w:p w14:paraId="47EAE4D2" w14:textId="3F23C054" w:rsidR="00400D62" w:rsidRPr="00B4222E" w:rsidRDefault="000B1044" w:rsidP="00B4222E">
      <w:pPr>
        <w:shd w:val="clear" w:color="auto" w:fill="FFFFFF"/>
        <w:spacing w:before="100" w:beforeAutospacing="1" w:after="120" w:line="360" w:lineRule="auto"/>
        <w:jc w:val="both"/>
        <w:rPr>
          <w:rFonts w:asciiTheme="minorHAnsi" w:hAnsiTheme="minorHAnsi"/>
        </w:rPr>
      </w:pPr>
      <w:r w:rsidRPr="00B4222E">
        <w:rPr>
          <w:rFonts w:asciiTheme="minorHAnsi" w:hAnsiTheme="minorHAnsi"/>
        </w:rPr>
        <w:t xml:space="preserve">This paper </w:t>
      </w:r>
      <w:r w:rsidR="00C42FE9" w:rsidRPr="00B4222E">
        <w:rPr>
          <w:rFonts w:asciiTheme="minorHAnsi" w:hAnsiTheme="minorHAnsi"/>
        </w:rPr>
        <w:t>examine</w:t>
      </w:r>
      <w:r w:rsidRPr="00B4222E">
        <w:rPr>
          <w:rFonts w:asciiTheme="minorHAnsi" w:hAnsiTheme="minorHAnsi"/>
        </w:rPr>
        <w:t>s</w:t>
      </w:r>
      <w:r w:rsidR="00B94536" w:rsidRPr="00B4222E">
        <w:rPr>
          <w:rFonts w:asciiTheme="minorHAnsi" w:hAnsiTheme="minorHAnsi"/>
        </w:rPr>
        <w:t xml:space="preserve"> these two </w:t>
      </w:r>
      <w:r w:rsidR="000E58AC" w:rsidRPr="00B4222E">
        <w:rPr>
          <w:rFonts w:asciiTheme="minorHAnsi" w:hAnsiTheme="minorHAnsi"/>
        </w:rPr>
        <w:t>forms of p</w:t>
      </w:r>
      <w:r w:rsidR="00FA339B" w:rsidRPr="00B4222E">
        <w:rPr>
          <w:rFonts w:asciiTheme="minorHAnsi" w:hAnsiTheme="minorHAnsi"/>
        </w:rPr>
        <w:t xml:space="preserve">ractitioner </w:t>
      </w:r>
      <w:r w:rsidR="000E58AC" w:rsidRPr="00B4222E">
        <w:rPr>
          <w:rFonts w:asciiTheme="minorHAnsi" w:hAnsiTheme="minorHAnsi"/>
        </w:rPr>
        <w:t>r</w:t>
      </w:r>
      <w:r w:rsidR="00C42FE9" w:rsidRPr="00B4222E">
        <w:rPr>
          <w:rFonts w:asciiTheme="minorHAnsi" w:hAnsiTheme="minorHAnsi"/>
        </w:rPr>
        <w:t xml:space="preserve">esearch and </w:t>
      </w:r>
      <w:r w:rsidRPr="00B4222E">
        <w:rPr>
          <w:rFonts w:asciiTheme="minorHAnsi" w:hAnsiTheme="minorHAnsi"/>
        </w:rPr>
        <w:t>makes</w:t>
      </w:r>
      <w:r w:rsidR="00B94536" w:rsidRPr="00B4222E">
        <w:rPr>
          <w:rFonts w:asciiTheme="minorHAnsi" w:hAnsiTheme="minorHAnsi"/>
        </w:rPr>
        <w:t xml:space="preserve"> tentative</w:t>
      </w:r>
      <w:r w:rsidRPr="00B4222E">
        <w:rPr>
          <w:rFonts w:asciiTheme="minorHAnsi" w:hAnsiTheme="minorHAnsi"/>
        </w:rPr>
        <w:t xml:space="preserve"> suggestions around</w:t>
      </w:r>
      <w:r w:rsidR="00F951B3" w:rsidRPr="00B4222E">
        <w:rPr>
          <w:rFonts w:asciiTheme="minorHAnsi" w:hAnsiTheme="minorHAnsi"/>
        </w:rPr>
        <w:t xml:space="preserve"> what may constitute good practice in their conduct and reporting</w:t>
      </w:r>
      <w:r w:rsidR="00B44CB7" w:rsidRPr="00B4222E">
        <w:rPr>
          <w:rFonts w:asciiTheme="minorHAnsi" w:hAnsiTheme="minorHAnsi"/>
        </w:rPr>
        <w:t xml:space="preserve">, and for the </w:t>
      </w:r>
      <w:r w:rsidR="00B44CB7" w:rsidRPr="00B4222E">
        <w:rPr>
          <w:rFonts w:asciiTheme="minorHAnsi" w:hAnsiTheme="minorHAnsi"/>
          <w:i/>
        </w:rPr>
        <w:t>genre</w:t>
      </w:r>
      <w:r w:rsidR="00B44CB7" w:rsidRPr="00B4222E">
        <w:rPr>
          <w:rFonts w:asciiTheme="minorHAnsi" w:hAnsiTheme="minorHAnsi"/>
        </w:rPr>
        <w:t xml:space="preserve"> of practitioner research as a whole</w:t>
      </w:r>
      <w:r w:rsidR="00F951B3" w:rsidRPr="00B4222E">
        <w:rPr>
          <w:rFonts w:asciiTheme="minorHAnsi" w:hAnsiTheme="minorHAnsi"/>
        </w:rPr>
        <w:t xml:space="preserve">.  We also </w:t>
      </w:r>
      <w:r w:rsidR="00C42FE9" w:rsidRPr="00B4222E">
        <w:rPr>
          <w:rFonts w:asciiTheme="minorHAnsi" w:hAnsiTheme="minorHAnsi"/>
        </w:rPr>
        <w:t xml:space="preserve">explore their potential benefits and </w:t>
      </w:r>
      <w:r w:rsidR="000C7DC2" w:rsidRPr="00B4222E">
        <w:rPr>
          <w:rFonts w:asciiTheme="minorHAnsi" w:hAnsiTheme="minorHAnsi"/>
        </w:rPr>
        <w:t xml:space="preserve">limitations </w:t>
      </w:r>
      <w:r w:rsidR="00C42FE9" w:rsidRPr="00B4222E">
        <w:rPr>
          <w:rFonts w:asciiTheme="minorHAnsi" w:hAnsiTheme="minorHAnsi"/>
        </w:rPr>
        <w:t xml:space="preserve">within the </w:t>
      </w:r>
      <w:r w:rsidR="000C7DC2" w:rsidRPr="00B4222E">
        <w:rPr>
          <w:rFonts w:asciiTheme="minorHAnsi" w:hAnsiTheme="minorHAnsi"/>
        </w:rPr>
        <w:t xml:space="preserve">wider set </w:t>
      </w:r>
      <w:r w:rsidR="00B94536" w:rsidRPr="00B4222E">
        <w:rPr>
          <w:rFonts w:asciiTheme="minorHAnsi" w:hAnsiTheme="minorHAnsi"/>
        </w:rPr>
        <w:t>of research approaches</w:t>
      </w:r>
      <w:r w:rsidR="000C7DC2" w:rsidRPr="00B4222E">
        <w:rPr>
          <w:rFonts w:asciiTheme="minorHAnsi" w:hAnsiTheme="minorHAnsi"/>
        </w:rPr>
        <w:t xml:space="preserve">.  </w:t>
      </w:r>
      <w:r w:rsidRPr="00B4222E">
        <w:rPr>
          <w:rFonts w:asciiTheme="minorHAnsi" w:hAnsiTheme="minorHAnsi"/>
        </w:rPr>
        <w:t>Discussion is informed</w:t>
      </w:r>
      <w:r w:rsidR="00956197" w:rsidRPr="00B4222E">
        <w:rPr>
          <w:rFonts w:asciiTheme="minorHAnsi" w:hAnsiTheme="minorHAnsi"/>
        </w:rPr>
        <w:t xml:space="preserve"> primarily</w:t>
      </w:r>
      <w:r w:rsidRPr="00B4222E">
        <w:rPr>
          <w:rFonts w:asciiTheme="minorHAnsi" w:hAnsiTheme="minorHAnsi"/>
        </w:rPr>
        <w:t xml:space="preserve"> by the</w:t>
      </w:r>
      <w:r w:rsidR="000C7DC2" w:rsidRPr="00B4222E">
        <w:rPr>
          <w:rFonts w:asciiTheme="minorHAnsi" w:hAnsiTheme="minorHAnsi"/>
        </w:rPr>
        <w:t xml:space="preserve"> </w:t>
      </w:r>
      <w:r w:rsidR="00B94536" w:rsidRPr="00B4222E">
        <w:rPr>
          <w:rFonts w:asciiTheme="minorHAnsi" w:hAnsiTheme="minorHAnsi"/>
        </w:rPr>
        <w:t>review</w:t>
      </w:r>
      <w:r w:rsidR="00F951B3" w:rsidRPr="00B4222E">
        <w:rPr>
          <w:rFonts w:asciiTheme="minorHAnsi" w:hAnsiTheme="minorHAnsi"/>
        </w:rPr>
        <w:t xml:space="preserve"> of practitioner research in </w:t>
      </w:r>
      <w:r w:rsidR="00B94536" w:rsidRPr="00B4222E">
        <w:rPr>
          <w:rFonts w:asciiTheme="minorHAnsi" w:hAnsiTheme="minorHAnsi"/>
        </w:rPr>
        <w:t xml:space="preserve">adult </w:t>
      </w:r>
      <w:r w:rsidR="00F951B3" w:rsidRPr="00B4222E">
        <w:rPr>
          <w:rFonts w:asciiTheme="minorHAnsi" w:hAnsiTheme="minorHAnsi"/>
        </w:rPr>
        <w:t>social care</w:t>
      </w:r>
      <w:r w:rsidRPr="00B4222E">
        <w:rPr>
          <w:rFonts w:asciiTheme="minorHAnsi" w:hAnsiTheme="minorHAnsi"/>
        </w:rPr>
        <w:t xml:space="preserve"> (</w:t>
      </w:r>
      <w:r w:rsidR="008D36A8">
        <w:rPr>
          <w:rFonts w:asciiTheme="minorHAnsi" w:hAnsiTheme="minorHAnsi"/>
        </w:rPr>
        <w:t xml:space="preserve">Shaw </w:t>
      </w:r>
      <w:r w:rsidR="008D36A8" w:rsidRPr="008D36A8">
        <w:rPr>
          <w:rFonts w:asciiTheme="minorHAnsi" w:hAnsiTheme="minorHAnsi"/>
          <w:i/>
        </w:rPr>
        <w:t>et al</w:t>
      </w:r>
      <w:r w:rsidR="008D36A8">
        <w:rPr>
          <w:rFonts w:asciiTheme="minorHAnsi" w:hAnsiTheme="minorHAnsi"/>
        </w:rPr>
        <w:t>., 2014</w:t>
      </w:r>
      <w:r w:rsidRPr="00B4222E">
        <w:rPr>
          <w:rFonts w:asciiTheme="minorHAnsi" w:hAnsiTheme="minorHAnsi"/>
        </w:rPr>
        <w:t xml:space="preserve">) and </w:t>
      </w:r>
      <w:r w:rsidR="00956197" w:rsidRPr="00B4222E">
        <w:rPr>
          <w:rFonts w:asciiTheme="minorHAnsi" w:hAnsiTheme="minorHAnsi"/>
        </w:rPr>
        <w:t xml:space="preserve">supplemented by </w:t>
      </w:r>
      <w:r w:rsidRPr="00B4222E">
        <w:rPr>
          <w:rFonts w:asciiTheme="minorHAnsi" w:hAnsiTheme="minorHAnsi"/>
        </w:rPr>
        <w:t>k</w:t>
      </w:r>
      <w:r w:rsidR="00B94536" w:rsidRPr="00B4222E">
        <w:rPr>
          <w:rFonts w:asciiTheme="minorHAnsi" w:hAnsiTheme="minorHAnsi"/>
        </w:rPr>
        <w:t xml:space="preserve">nowledge and experience of </w:t>
      </w:r>
      <w:r w:rsidR="000C7DC2" w:rsidRPr="00B4222E">
        <w:rPr>
          <w:rFonts w:asciiTheme="minorHAnsi" w:hAnsiTheme="minorHAnsi"/>
        </w:rPr>
        <w:t xml:space="preserve">wider activities related to practitioner research, including </w:t>
      </w:r>
      <w:r w:rsidRPr="00B4222E">
        <w:rPr>
          <w:rFonts w:asciiTheme="minorHAnsi" w:hAnsiTheme="minorHAnsi"/>
        </w:rPr>
        <w:t xml:space="preserve">UK, </w:t>
      </w:r>
      <w:r w:rsidR="00400D62" w:rsidRPr="00B4222E">
        <w:rPr>
          <w:rFonts w:asciiTheme="minorHAnsi" w:hAnsiTheme="minorHAnsi"/>
        </w:rPr>
        <w:t>New Zealand</w:t>
      </w:r>
      <w:r w:rsidR="000C7DC2" w:rsidRPr="00B4222E">
        <w:rPr>
          <w:rFonts w:asciiTheme="minorHAnsi" w:hAnsiTheme="minorHAnsi"/>
        </w:rPr>
        <w:t xml:space="preserve"> </w:t>
      </w:r>
      <w:r w:rsidRPr="00B4222E">
        <w:rPr>
          <w:rFonts w:asciiTheme="minorHAnsi" w:hAnsiTheme="minorHAnsi"/>
        </w:rPr>
        <w:t xml:space="preserve">and </w:t>
      </w:r>
      <w:r w:rsidR="00B94536" w:rsidRPr="00B4222E">
        <w:rPr>
          <w:rFonts w:asciiTheme="minorHAnsi" w:hAnsiTheme="minorHAnsi"/>
        </w:rPr>
        <w:t>Danish developments</w:t>
      </w:r>
      <w:r w:rsidR="00400D62" w:rsidRPr="00B4222E">
        <w:rPr>
          <w:rFonts w:asciiTheme="minorHAnsi" w:hAnsiTheme="minorHAnsi"/>
        </w:rPr>
        <w:t xml:space="preserve"> </w:t>
      </w:r>
      <w:r w:rsidR="00400D62" w:rsidRPr="006B1DA4">
        <w:rPr>
          <w:rFonts w:asciiTheme="minorHAnsi" w:hAnsiTheme="minorHAnsi"/>
        </w:rPr>
        <w:t>(</w:t>
      </w:r>
      <w:r w:rsidR="006B1DA4" w:rsidRPr="006B1DA4">
        <w:rPr>
          <w:rFonts w:asciiTheme="minorHAnsi" w:hAnsiTheme="minorHAnsi"/>
        </w:rPr>
        <w:t xml:space="preserve">see Lunt </w:t>
      </w:r>
      <w:r w:rsidR="006B1DA4" w:rsidRPr="006B1DA4">
        <w:rPr>
          <w:rFonts w:asciiTheme="minorHAnsi" w:hAnsiTheme="minorHAnsi"/>
          <w:i/>
        </w:rPr>
        <w:t>et al</w:t>
      </w:r>
      <w:r w:rsidR="006B1DA4" w:rsidRPr="006B1DA4">
        <w:rPr>
          <w:rFonts w:asciiTheme="minorHAnsi" w:hAnsiTheme="minorHAnsi"/>
        </w:rPr>
        <w:t>, 2011 for a review</w:t>
      </w:r>
      <w:r w:rsidR="00400D62" w:rsidRPr="006B1DA4">
        <w:rPr>
          <w:rFonts w:asciiTheme="minorHAnsi" w:hAnsiTheme="minorHAnsi"/>
        </w:rPr>
        <w:t>)</w:t>
      </w:r>
      <w:r w:rsidR="000E58AC" w:rsidRPr="00B4222E">
        <w:rPr>
          <w:rFonts w:asciiTheme="minorHAnsi" w:hAnsiTheme="minorHAnsi"/>
        </w:rPr>
        <w:t>.</w:t>
      </w:r>
      <w:r w:rsidR="00B94536" w:rsidRPr="00B4222E">
        <w:rPr>
          <w:rFonts w:asciiTheme="minorHAnsi" w:hAnsiTheme="minorHAnsi"/>
        </w:rPr>
        <w:t xml:space="preserve"> This </w:t>
      </w:r>
      <w:r w:rsidRPr="00B4222E">
        <w:rPr>
          <w:rFonts w:asciiTheme="minorHAnsi" w:hAnsiTheme="minorHAnsi"/>
        </w:rPr>
        <w:t>include</w:t>
      </w:r>
      <w:r w:rsidR="00B94536" w:rsidRPr="00B4222E">
        <w:rPr>
          <w:rFonts w:asciiTheme="minorHAnsi" w:hAnsiTheme="minorHAnsi"/>
        </w:rPr>
        <w:t>s</w:t>
      </w:r>
      <w:r w:rsidRPr="00B4222E">
        <w:rPr>
          <w:rFonts w:asciiTheme="minorHAnsi" w:hAnsiTheme="minorHAnsi"/>
        </w:rPr>
        <w:t xml:space="preserve"> the evaluation of central and regional initiatives </w:t>
      </w:r>
      <w:r w:rsidR="00AF3425" w:rsidRPr="00B4222E">
        <w:rPr>
          <w:rFonts w:asciiTheme="minorHAnsi" w:hAnsiTheme="minorHAnsi"/>
        </w:rPr>
        <w:t xml:space="preserve">supporting </w:t>
      </w:r>
      <w:r w:rsidR="00400D62" w:rsidRPr="00B4222E">
        <w:rPr>
          <w:rFonts w:asciiTheme="minorHAnsi" w:hAnsiTheme="minorHAnsi"/>
        </w:rPr>
        <w:t>practitio</w:t>
      </w:r>
      <w:r w:rsidR="00AF3425" w:rsidRPr="00B4222E">
        <w:rPr>
          <w:rFonts w:asciiTheme="minorHAnsi" w:hAnsiTheme="minorHAnsi"/>
        </w:rPr>
        <w:t>ner research networks, where participants work (</w:t>
      </w:r>
      <w:r w:rsidR="00400D62" w:rsidRPr="00B4222E">
        <w:rPr>
          <w:rFonts w:asciiTheme="minorHAnsi" w:hAnsiTheme="minorHAnsi"/>
        </w:rPr>
        <w:t>individually or in small groups) on different aspects of a shared theme or agenda.</w:t>
      </w:r>
      <w:r w:rsidR="00355C80" w:rsidRPr="00B4222E">
        <w:rPr>
          <w:rFonts w:asciiTheme="minorHAnsi" w:hAnsiTheme="minorHAnsi"/>
        </w:rPr>
        <w:t xml:space="preserve"> Given the ‘st</w:t>
      </w:r>
      <w:r w:rsidR="00DB02A1">
        <w:rPr>
          <w:rFonts w:asciiTheme="minorHAnsi" w:hAnsiTheme="minorHAnsi"/>
        </w:rPr>
        <w:t xml:space="preserve">ock-taking’ </w:t>
      </w:r>
      <w:r w:rsidR="00355C80" w:rsidRPr="00B4222E">
        <w:rPr>
          <w:rFonts w:asciiTheme="minorHAnsi" w:hAnsiTheme="minorHAnsi"/>
        </w:rPr>
        <w:t>nature of this article, we have been more self-referencing than normally we would prefer.</w:t>
      </w:r>
    </w:p>
    <w:p w14:paraId="1959284E" w14:textId="7188B3FD" w:rsidR="00C42FE9" w:rsidRPr="00B4222E" w:rsidRDefault="00C42FE9" w:rsidP="00B4222E">
      <w:pPr>
        <w:shd w:val="clear" w:color="auto" w:fill="FFFFFF"/>
        <w:spacing w:before="100" w:beforeAutospacing="1" w:after="120" w:line="360" w:lineRule="auto"/>
        <w:jc w:val="both"/>
        <w:rPr>
          <w:rFonts w:asciiTheme="minorHAnsi" w:hAnsiTheme="minorHAnsi"/>
        </w:rPr>
      </w:pPr>
      <w:r w:rsidRPr="00B4222E">
        <w:rPr>
          <w:rFonts w:asciiTheme="minorHAnsi" w:hAnsiTheme="minorHAnsi"/>
        </w:rPr>
        <w:t xml:space="preserve">Discussion </w:t>
      </w:r>
      <w:r w:rsidR="003F3F8A" w:rsidRPr="00B4222E">
        <w:rPr>
          <w:rFonts w:asciiTheme="minorHAnsi" w:hAnsiTheme="minorHAnsi"/>
        </w:rPr>
        <w:t xml:space="preserve">is organised in </w:t>
      </w:r>
      <w:r w:rsidR="00B42578" w:rsidRPr="00B4222E">
        <w:rPr>
          <w:rFonts w:asciiTheme="minorHAnsi" w:hAnsiTheme="minorHAnsi"/>
        </w:rPr>
        <w:t>three</w:t>
      </w:r>
      <w:r w:rsidR="003F3F8A" w:rsidRPr="00B4222E">
        <w:rPr>
          <w:rFonts w:asciiTheme="minorHAnsi" w:hAnsiTheme="minorHAnsi"/>
        </w:rPr>
        <w:t xml:space="preserve"> parts.  First</w:t>
      </w:r>
      <w:r w:rsidR="00247F93" w:rsidRPr="00B4222E">
        <w:rPr>
          <w:rFonts w:asciiTheme="minorHAnsi" w:hAnsiTheme="minorHAnsi"/>
        </w:rPr>
        <w:t xml:space="preserve">, </w:t>
      </w:r>
      <w:r w:rsidR="00F951B3" w:rsidRPr="00B4222E">
        <w:rPr>
          <w:rFonts w:asciiTheme="minorHAnsi" w:hAnsiTheme="minorHAnsi"/>
        </w:rPr>
        <w:t xml:space="preserve">we explore </w:t>
      </w:r>
      <w:r w:rsidR="00247F93" w:rsidRPr="00B4222E">
        <w:rPr>
          <w:rFonts w:asciiTheme="minorHAnsi" w:hAnsiTheme="minorHAnsi"/>
        </w:rPr>
        <w:t>what are generic</w:t>
      </w:r>
      <w:r w:rsidR="00B42578" w:rsidRPr="00B4222E">
        <w:rPr>
          <w:rFonts w:asciiTheme="minorHAnsi" w:hAnsiTheme="minorHAnsi"/>
        </w:rPr>
        <w:t xml:space="preserve"> good practices around all </w:t>
      </w:r>
      <w:r w:rsidR="000E58AC" w:rsidRPr="00B4222E">
        <w:rPr>
          <w:rFonts w:asciiTheme="minorHAnsi" w:hAnsiTheme="minorHAnsi"/>
        </w:rPr>
        <w:t xml:space="preserve">forms </w:t>
      </w:r>
      <w:r w:rsidR="00B42578" w:rsidRPr="00B4222E">
        <w:rPr>
          <w:rFonts w:asciiTheme="minorHAnsi" w:hAnsiTheme="minorHAnsi"/>
        </w:rPr>
        <w:t xml:space="preserve">of </w:t>
      </w:r>
      <w:r w:rsidR="00F951B3" w:rsidRPr="00B4222E">
        <w:rPr>
          <w:rFonts w:asciiTheme="minorHAnsi" w:hAnsiTheme="minorHAnsi"/>
        </w:rPr>
        <w:t>practitioner research.</w:t>
      </w:r>
      <w:r w:rsidRPr="00B4222E">
        <w:rPr>
          <w:rFonts w:asciiTheme="minorHAnsi" w:hAnsiTheme="minorHAnsi"/>
        </w:rPr>
        <w:t xml:space="preserve">  </w:t>
      </w:r>
      <w:r w:rsidR="003F3F8A" w:rsidRPr="00B4222E">
        <w:rPr>
          <w:rFonts w:asciiTheme="minorHAnsi" w:hAnsiTheme="minorHAnsi"/>
        </w:rPr>
        <w:t xml:space="preserve">Second, </w:t>
      </w:r>
      <w:r w:rsidR="00FB01E4" w:rsidRPr="00B4222E">
        <w:rPr>
          <w:rFonts w:asciiTheme="minorHAnsi" w:hAnsiTheme="minorHAnsi"/>
        </w:rPr>
        <w:t>we move</w:t>
      </w:r>
      <w:r w:rsidRPr="00B4222E">
        <w:rPr>
          <w:rFonts w:asciiTheme="minorHAnsi" w:hAnsiTheme="minorHAnsi"/>
        </w:rPr>
        <w:t xml:space="preserve"> to identify particular forms of good practice w</w:t>
      </w:r>
      <w:r w:rsidR="00DF4BB1" w:rsidRPr="00B4222E">
        <w:rPr>
          <w:rFonts w:asciiTheme="minorHAnsi" w:hAnsiTheme="minorHAnsi"/>
        </w:rPr>
        <w:t>ithin</w:t>
      </w:r>
      <w:r w:rsidR="000E58AC" w:rsidRPr="00B4222E">
        <w:rPr>
          <w:rFonts w:asciiTheme="minorHAnsi" w:hAnsiTheme="minorHAnsi"/>
        </w:rPr>
        <w:t xml:space="preserve"> what we call</w:t>
      </w:r>
      <w:r w:rsidR="00DF4BB1" w:rsidRPr="00B4222E">
        <w:rPr>
          <w:rFonts w:asciiTheme="minorHAnsi" w:hAnsiTheme="minorHAnsi"/>
        </w:rPr>
        <w:t xml:space="preserve"> Type 1 and </w:t>
      </w:r>
      <w:r w:rsidR="000E58AC" w:rsidRPr="00B4222E">
        <w:rPr>
          <w:rFonts w:asciiTheme="minorHAnsi" w:hAnsiTheme="minorHAnsi"/>
        </w:rPr>
        <w:t xml:space="preserve">Type </w:t>
      </w:r>
      <w:r w:rsidR="00DF4BB1" w:rsidRPr="00B4222E">
        <w:rPr>
          <w:rFonts w:asciiTheme="minorHAnsi" w:hAnsiTheme="minorHAnsi"/>
        </w:rPr>
        <w:t>2</w:t>
      </w:r>
      <w:r w:rsidR="003F3F8A" w:rsidRPr="00B4222E">
        <w:rPr>
          <w:rFonts w:asciiTheme="minorHAnsi" w:hAnsiTheme="minorHAnsi"/>
        </w:rPr>
        <w:t xml:space="preserve"> </w:t>
      </w:r>
      <w:r w:rsidR="000E58AC" w:rsidRPr="00B4222E">
        <w:rPr>
          <w:rFonts w:asciiTheme="minorHAnsi" w:hAnsiTheme="minorHAnsi"/>
        </w:rPr>
        <w:t xml:space="preserve">practitioner </w:t>
      </w:r>
      <w:r w:rsidR="003F3F8A" w:rsidRPr="00B4222E">
        <w:rPr>
          <w:rFonts w:asciiTheme="minorHAnsi" w:hAnsiTheme="minorHAnsi"/>
        </w:rPr>
        <w:t>research, situating them alongside a</w:t>
      </w:r>
      <w:r w:rsidRPr="00B4222E">
        <w:rPr>
          <w:rFonts w:asciiTheme="minorHAnsi" w:hAnsiTheme="minorHAnsi"/>
        </w:rPr>
        <w:t xml:space="preserve"> practitioner research matrix of stakeholder benefits</w:t>
      </w:r>
      <w:r w:rsidR="000E58AC" w:rsidRPr="00B4222E">
        <w:rPr>
          <w:rFonts w:asciiTheme="minorHAnsi" w:hAnsiTheme="minorHAnsi"/>
        </w:rPr>
        <w:t>.</w:t>
      </w:r>
      <w:r w:rsidRPr="00B4222E">
        <w:rPr>
          <w:rFonts w:asciiTheme="minorHAnsi" w:hAnsiTheme="minorHAnsi"/>
        </w:rPr>
        <w:t xml:space="preserve"> </w:t>
      </w:r>
      <w:r w:rsidR="003F3F8A" w:rsidRPr="00B4222E">
        <w:rPr>
          <w:rFonts w:asciiTheme="minorHAnsi" w:hAnsiTheme="minorHAnsi"/>
        </w:rPr>
        <w:t xml:space="preserve">Third, </w:t>
      </w:r>
      <w:r w:rsidR="000E58AC" w:rsidRPr="00B4222E">
        <w:rPr>
          <w:rFonts w:asciiTheme="minorHAnsi" w:hAnsiTheme="minorHAnsi"/>
        </w:rPr>
        <w:t>we consider</w:t>
      </w:r>
      <w:r w:rsidR="003F3F8A" w:rsidRPr="00B4222E">
        <w:rPr>
          <w:rFonts w:asciiTheme="minorHAnsi" w:hAnsiTheme="minorHAnsi"/>
        </w:rPr>
        <w:t xml:space="preserve"> the implications of such</w:t>
      </w:r>
      <w:r w:rsidRPr="00B4222E">
        <w:rPr>
          <w:rFonts w:asciiTheme="minorHAnsi" w:hAnsiTheme="minorHAnsi"/>
        </w:rPr>
        <w:t xml:space="preserve"> discussion for how w</w:t>
      </w:r>
      <w:r w:rsidR="003F3F8A" w:rsidRPr="00B4222E">
        <w:rPr>
          <w:rFonts w:asciiTheme="minorHAnsi" w:hAnsiTheme="minorHAnsi"/>
        </w:rPr>
        <w:t xml:space="preserve">e best stimulate </w:t>
      </w:r>
      <w:r w:rsidR="00F951B3" w:rsidRPr="00B4222E">
        <w:rPr>
          <w:rFonts w:asciiTheme="minorHAnsi" w:hAnsiTheme="minorHAnsi"/>
        </w:rPr>
        <w:t xml:space="preserve">these types of </w:t>
      </w:r>
      <w:r w:rsidR="00AF3425" w:rsidRPr="00B4222E">
        <w:rPr>
          <w:rFonts w:asciiTheme="minorHAnsi" w:hAnsiTheme="minorHAnsi"/>
        </w:rPr>
        <w:t>practitioner research</w:t>
      </w:r>
      <w:r w:rsidR="000E58AC" w:rsidRPr="00B4222E">
        <w:rPr>
          <w:rFonts w:asciiTheme="minorHAnsi" w:hAnsiTheme="minorHAnsi"/>
        </w:rPr>
        <w:t>.</w:t>
      </w:r>
      <w:r w:rsidRPr="00B4222E">
        <w:rPr>
          <w:rFonts w:asciiTheme="minorHAnsi" w:hAnsiTheme="minorHAnsi"/>
        </w:rPr>
        <w:t xml:space="preserve"> </w:t>
      </w:r>
    </w:p>
    <w:p w14:paraId="5A65FF45" w14:textId="77777777" w:rsidR="00AE11DC" w:rsidRPr="00B4222E" w:rsidRDefault="00AE11DC" w:rsidP="00B4222E">
      <w:pPr>
        <w:spacing w:before="100" w:beforeAutospacing="1" w:after="120" w:line="360" w:lineRule="auto"/>
        <w:jc w:val="both"/>
        <w:rPr>
          <w:rFonts w:asciiTheme="minorHAnsi" w:hAnsiTheme="minorHAnsi"/>
        </w:rPr>
      </w:pPr>
    </w:p>
    <w:p w14:paraId="0C6BEDEA" w14:textId="0162872A" w:rsidR="00FB01E4" w:rsidRDefault="00247F93" w:rsidP="00B4222E">
      <w:pPr>
        <w:spacing w:before="100" w:beforeAutospacing="1" w:after="120" w:line="360" w:lineRule="auto"/>
        <w:jc w:val="both"/>
        <w:rPr>
          <w:rFonts w:asciiTheme="minorHAnsi" w:hAnsiTheme="minorHAnsi"/>
        </w:rPr>
      </w:pPr>
      <w:r w:rsidRPr="00B4222E">
        <w:rPr>
          <w:rFonts w:asciiTheme="minorHAnsi" w:hAnsiTheme="minorHAnsi"/>
        </w:rPr>
        <w:t>First we recap on d</w:t>
      </w:r>
      <w:r w:rsidR="00DF4BB1" w:rsidRPr="00B4222E">
        <w:rPr>
          <w:rFonts w:asciiTheme="minorHAnsi" w:hAnsiTheme="minorHAnsi"/>
        </w:rPr>
        <w:t>ifferences in how</w:t>
      </w:r>
      <w:r w:rsidR="008D36A8">
        <w:rPr>
          <w:rFonts w:asciiTheme="minorHAnsi" w:hAnsiTheme="minorHAnsi"/>
        </w:rPr>
        <w:t>, what we term,</w:t>
      </w:r>
      <w:r w:rsidR="00DF4BB1" w:rsidRPr="00B4222E">
        <w:rPr>
          <w:rFonts w:asciiTheme="minorHAnsi" w:hAnsiTheme="minorHAnsi"/>
        </w:rPr>
        <w:t xml:space="preserve"> Types 1 and 2</w:t>
      </w:r>
      <w:r w:rsidRPr="00B4222E">
        <w:rPr>
          <w:rFonts w:asciiTheme="minorHAnsi" w:hAnsiTheme="minorHAnsi"/>
        </w:rPr>
        <w:t xml:space="preserve"> are conducted and reported</w:t>
      </w:r>
      <w:r w:rsidR="00DF4BB1" w:rsidRPr="00B4222E">
        <w:rPr>
          <w:rFonts w:asciiTheme="minorHAnsi" w:hAnsiTheme="minorHAnsi"/>
        </w:rPr>
        <w:t xml:space="preserve"> across adult</w:t>
      </w:r>
      <w:r w:rsidR="00F951B3" w:rsidRPr="00B4222E">
        <w:rPr>
          <w:rFonts w:asciiTheme="minorHAnsi" w:hAnsiTheme="minorHAnsi"/>
        </w:rPr>
        <w:t xml:space="preserve"> social care and social services more broadly</w:t>
      </w:r>
      <w:r w:rsidR="008D36A8">
        <w:rPr>
          <w:rFonts w:asciiTheme="minorHAnsi" w:hAnsiTheme="minorHAnsi"/>
        </w:rPr>
        <w:t>.  These types emerged inductively during our systematic review of practitioner research in the social care field for adults</w:t>
      </w:r>
      <w:r w:rsidR="006B1DA4">
        <w:rPr>
          <w:rFonts w:asciiTheme="minorHAnsi" w:hAnsiTheme="minorHAnsi"/>
        </w:rPr>
        <w:t xml:space="preserve"> (Shaw </w:t>
      </w:r>
      <w:r w:rsidR="006B1DA4" w:rsidRPr="006B1DA4">
        <w:rPr>
          <w:rFonts w:asciiTheme="minorHAnsi" w:hAnsiTheme="minorHAnsi"/>
          <w:i/>
        </w:rPr>
        <w:t>et al</w:t>
      </w:r>
      <w:r w:rsidR="006B1DA4">
        <w:rPr>
          <w:rFonts w:asciiTheme="minorHAnsi" w:hAnsiTheme="minorHAnsi"/>
        </w:rPr>
        <w:t>., 2014)</w:t>
      </w:r>
      <w:r w:rsidRPr="00B4222E">
        <w:rPr>
          <w:rFonts w:asciiTheme="minorHAnsi" w:hAnsiTheme="minorHAnsi"/>
        </w:rPr>
        <w:t xml:space="preserve">.  </w:t>
      </w:r>
    </w:p>
    <w:p w14:paraId="5507EF92" w14:textId="000CAF6A" w:rsidR="006B1DA4" w:rsidRPr="009110F2" w:rsidRDefault="009110F2" w:rsidP="00B4222E">
      <w:pPr>
        <w:spacing w:before="100" w:beforeAutospacing="1" w:after="120" w:line="360" w:lineRule="auto"/>
        <w:jc w:val="both"/>
        <w:rPr>
          <w:rFonts w:asciiTheme="minorHAnsi" w:hAnsiTheme="minorHAnsi"/>
          <w:b/>
          <w:sz w:val="28"/>
        </w:rPr>
      </w:pPr>
      <w:r w:rsidRPr="009110F2">
        <w:rPr>
          <w:rFonts w:asciiTheme="minorHAnsi" w:hAnsiTheme="minorHAnsi"/>
          <w:b/>
          <w:sz w:val="28"/>
        </w:rPr>
        <w:t xml:space="preserve">INSERT </w:t>
      </w:r>
      <w:r w:rsidR="006B1DA4" w:rsidRPr="009110F2">
        <w:rPr>
          <w:rFonts w:asciiTheme="minorHAnsi" w:hAnsiTheme="minorHAnsi"/>
          <w:b/>
          <w:sz w:val="28"/>
        </w:rPr>
        <w:t>Table 1: Configurations of Practitioner-formed research</w:t>
      </w:r>
    </w:p>
    <w:p w14:paraId="0CCE568E" w14:textId="77777777" w:rsidR="005F4D45" w:rsidRPr="00B4222E" w:rsidRDefault="009F2714" w:rsidP="00B4222E">
      <w:pPr>
        <w:shd w:val="clear" w:color="auto" w:fill="FFFFFF"/>
        <w:spacing w:before="100" w:beforeAutospacing="1" w:after="120" w:line="360" w:lineRule="auto"/>
        <w:jc w:val="both"/>
        <w:rPr>
          <w:rFonts w:asciiTheme="minorHAnsi" w:hAnsiTheme="minorHAnsi"/>
          <w:b/>
          <w:sz w:val="28"/>
        </w:rPr>
      </w:pPr>
      <w:r w:rsidRPr="00B4222E">
        <w:rPr>
          <w:rFonts w:asciiTheme="minorHAnsi" w:hAnsiTheme="minorHAnsi"/>
          <w:b/>
          <w:color w:val="222222"/>
          <w:sz w:val="28"/>
        </w:rPr>
        <w:t>Generic good practice</w:t>
      </w:r>
      <w:r w:rsidR="009D4EF3" w:rsidRPr="00B4222E">
        <w:rPr>
          <w:rFonts w:asciiTheme="minorHAnsi" w:hAnsiTheme="minorHAnsi"/>
          <w:b/>
          <w:color w:val="222222"/>
          <w:sz w:val="28"/>
        </w:rPr>
        <w:t xml:space="preserve">: </w:t>
      </w:r>
      <w:r w:rsidRPr="00B4222E">
        <w:rPr>
          <w:rFonts w:asciiTheme="minorHAnsi" w:hAnsiTheme="minorHAnsi"/>
          <w:b/>
          <w:i/>
          <w:sz w:val="28"/>
        </w:rPr>
        <w:t>Thinking – d</w:t>
      </w:r>
      <w:r w:rsidR="009D4EF3" w:rsidRPr="00B4222E">
        <w:rPr>
          <w:rFonts w:asciiTheme="minorHAnsi" w:hAnsiTheme="minorHAnsi"/>
          <w:b/>
          <w:i/>
          <w:sz w:val="28"/>
        </w:rPr>
        <w:t xml:space="preserve">oing – </w:t>
      </w:r>
      <w:r w:rsidRPr="00B4222E">
        <w:rPr>
          <w:rFonts w:asciiTheme="minorHAnsi" w:hAnsiTheme="minorHAnsi"/>
          <w:b/>
          <w:i/>
          <w:sz w:val="28"/>
        </w:rPr>
        <w:t>s</w:t>
      </w:r>
      <w:r w:rsidR="009D4EF3" w:rsidRPr="00B4222E">
        <w:rPr>
          <w:rFonts w:asciiTheme="minorHAnsi" w:hAnsiTheme="minorHAnsi"/>
          <w:b/>
          <w:i/>
          <w:sz w:val="28"/>
        </w:rPr>
        <w:t>haring</w:t>
      </w:r>
    </w:p>
    <w:p w14:paraId="62DB2F52" w14:textId="58F50900" w:rsidR="0056787D" w:rsidRPr="00B4222E" w:rsidRDefault="00F76181" w:rsidP="00B4222E">
      <w:pPr>
        <w:spacing w:before="100" w:beforeAutospacing="1" w:after="120" w:line="360" w:lineRule="auto"/>
        <w:jc w:val="both"/>
        <w:rPr>
          <w:rFonts w:asciiTheme="minorHAnsi" w:hAnsiTheme="minorHAnsi"/>
        </w:rPr>
      </w:pPr>
      <w:r w:rsidRPr="00B4222E">
        <w:rPr>
          <w:rFonts w:asciiTheme="minorHAnsi" w:hAnsiTheme="minorHAnsi"/>
        </w:rPr>
        <w:t>Before distinguishing the distinctive practice implications of each form of practitioner research, we suggest there are generic good practice conclusions shared by all such studies. However,</w:t>
      </w:r>
      <w:r w:rsidR="00B42578" w:rsidRPr="00B4222E">
        <w:rPr>
          <w:rFonts w:asciiTheme="minorHAnsi" w:hAnsiTheme="minorHAnsi"/>
        </w:rPr>
        <w:t xml:space="preserve"> </w:t>
      </w:r>
      <w:r w:rsidR="009828E7" w:rsidRPr="00B4222E">
        <w:rPr>
          <w:rFonts w:asciiTheme="minorHAnsi" w:hAnsiTheme="minorHAnsi"/>
        </w:rPr>
        <w:t>there are prior considerations</w:t>
      </w:r>
      <w:r w:rsidR="00B42578" w:rsidRPr="00B4222E">
        <w:rPr>
          <w:rFonts w:asciiTheme="minorHAnsi" w:hAnsiTheme="minorHAnsi"/>
        </w:rPr>
        <w:t xml:space="preserve"> before we assess reliability, credibility and transferability of research outcomes</w:t>
      </w:r>
      <w:r w:rsidR="009828E7" w:rsidRPr="00B4222E">
        <w:rPr>
          <w:rFonts w:asciiTheme="minorHAnsi" w:hAnsiTheme="minorHAnsi"/>
        </w:rPr>
        <w:t xml:space="preserve">.  </w:t>
      </w:r>
      <w:r w:rsidR="00F951B3" w:rsidRPr="00B4222E">
        <w:rPr>
          <w:rFonts w:asciiTheme="minorHAnsi" w:hAnsiTheme="minorHAnsi"/>
        </w:rPr>
        <w:t>Traditional</w:t>
      </w:r>
      <w:r w:rsidR="006447F6" w:rsidRPr="00B4222E">
        <w:rPr>
          <w:rFonts w:asciiTheme="minorHAnsi" w:hAnsiTheme="minorHAnsi"/>
        </w:rPr>
        <w:t>ly,</w:t>
      </w:r>
      <w:r w:rsidR="00F951B3" w:rsidRPr="00B4222E">
        <w:rPr>
          <w:rFonts w:asciiTheme="minorHAnsi" w:hAnsiTheme="minorHAnsi"/>
        </w:rPr>
        <w:t xml:space="preserve"> social </w:t>
      </w:r>
      <w:r w:rsidRPr="00B4222E">
        <w:rPr>
          <w:rFonts w:asciiTheme="minorHAnsi" w:hAnsiTheme="minorHAnsi"/>
        </w:rPr>
        <w:t xml:space="preserve">work and social care </w:t>
      </w:r>
      <w:r w:rsidR="00F951B3" w:rsidRPr="00B4222E">
        <w:rPr>
          <w:rFonts w:asciiTheme="minorHAnsi" w:hAnsiTheme="minorHAnsi"/>
        </w:rPr>
        <w:t xml:space="preserve">research </w:t>
      </w:r>
      <w:r w:rsidRPr="00B4222E">
        <w:rPr>
          <w:rFonts w:asciiTheme="minorHAnsi" w:hAnsiTheme="minorHAnsi"/>
        </w:rPr>
        <w:t xml:space="preserve">has </w:t>
      </w:r>
      <w:r w:rsidR="00F951B3" w:rsidRPr="00B4222E">
        <w:rPr>
          <w:rFonts w:asciiTheme="minorHAnsi" w:hAnsiTheme="minorHAnsi"/>
        </w:rPr>
        <w:t xml:space="preserve">adopted a </w:t>
      </w:r>
      <w:r w:rsidR="006447F6" w:rsidRPr="00B4222E">
        <w:rPr>
          <w:rFonts w:asciiTheme="minorHAnsi" w:hAnsiTheme="minorHAnsi"/>
        </w:rPr>
        <w:t xml:space="preserve">somewhat </w:t>
      </w:r>
      <w:r w:rsidR="00F951B3" w:rsidRPr="00B4222E">
        <w:rPr>
          <w:rFonts w:asciiTheme="minorHAnsi" w:hAnsiTheme="minorHAnsi"/>
        </w:rPr>
        <w:t xml:space="preserve">singular focus on </w:t>
      </w:r>
      <w:r w:rsidR="0056787D" w:rsidRPr="00B4222E">
        <w:rPr>
          <w:rFonts w:asciiTheme="minorHAnsi" w:hAnsiTheme="minorHAnsi"/>
        </w:rPr>
        <w:t xml:space="preserve">the value of </w:t>
      </w:r>
      <w:r w:rsidR="00F951B3" w:rsidRPr="00B4222E">
        <w:rPr>
          <w:rFonts w:asciiTheme="minorHAnsi" w:hAnsiTheme="minorHAnsi"/>
        </w:rPr>
        <w:t xml:space="preserve">research outcomes, with knowledge production underpinned by </w:t>
      </w:r>
      <w:r w:rsidR="0056787D" w:rsidRPr="00B4222E">
        <w:rPr>
          <w:rFonts w:asciiTheme="minorHAnsi" w:hAnsiTheme="minorHAnsi"/>
        </w:rPr>
        <w:t xml:space="preserve">reliable </w:t>
      </w:r>
      <w:r w:rsidR="00F951B3" w:rsidRPr="00B4222E">
        <w:rPr>
          <w:rFonts w:asciiTheme="minorHAnsi" w:hAnsiTheme="minorHAnsi"/>
        </w:rPr>
        <w:t>techniques</w:t>
      </w:r>
      <w:r w:rsidR="004F43D1" w:rsidRPr="00B4222E">
        <w:rPr>
          <w:rFonts w:asciiTheme="minorHAnsi" w:hAnsiTheme="minorHAnsi"/>
        </w:rPr>
        <w:t xml:space="preserve"> but with relatively little emphasis</w:t>
      </w:r>
      <w:r w:rsidR="006447F6" w:rsidRPr="00B4222E">
        <w:rPr>
          <w:rFonts w:asciiTheme="minorHAnsi" w:hAnsiTheme="minorHAnsi"/>
        </w:rPr>
        <w:t xml:space="preserve"> </w:t>
      </w:r>
      <w:r w:rsidR="0056787D" w:rsidRPr="00B4222E">
        <w:rPr>
          <w:rFonts w:asciiTheme="minorHAnsi" w:hAnsiTheme="minorHAnsi"/>
        </w:rPr>
        <w:t xml:space="preserve">on </w:t>
      </w:r>
      <w:r w:rsidR="006447F6" w:rsidRPr="00B4222E">
        <w:rPr>
          <w:rFonts w:asciiTheme="minorHAnsi" w:hAnsiTheme="minorHAnsi"/>
        </w:rPr>
        <w:t>how the research process may involve</w:t>
      </w:r>
      <w:r w:rsidR="004F43D1" w:rsidRPr="00B4222E">
        <w:rPr>
          <w:rFonts w:asciiTheme="minorHAnsi" w:hAnsiTheme="minorHAnsi"/>
        </w:rPr>
        <w:t xml:space="preserve"> additional</w:t>
      </w:r>
      <w:r w:rsidR="008D36A8">
        <w:rPr>
          <w:rFonts w:asciiTheme="minorHAnsi" w:hAnsiTheme="minorHAnsi"/>
        </w:rPr>
        <w:t>,</w:t>
      </w:r>
      <w:r w:rsidR="004F43D1" w:rsidRPr="00B4222E">
        <w:rPr>
          <w:rFonts w:asciiTheme="minorHAnsi" w:hAnsiTheme="minorHAnsi"/>
        </w:rPr>
        <w:t xml:space="preserve"> </w:t>
      </w:r>
      <w:r w:rsidR="006447F6" w:rsidRPr="00B4222E">
        <w:rPr>
          <w:rFonts w:asciiTheme="minorHAnsi" w:hAnsiTheme="minorHAnsi"/>
        </w:rPr>
        <w:t>direct and indirect</w:t>
      </w:r>
      <w:r w:rsidR="008D36A8">
        <w:rPr>
          <w:rFonts w:asciiTheme="minorHAnsi" w:hAnsiTheme="minorHAnsi"/>
        </w:rPr>
        <w:t>,</w:t>
      </w:r>
      <w:r w:rsidR="006447F6" w:rsidRPr="00B4222E">
        <w:rPr>
          <w:rFonts w:asciiTheme="minorHAnsi" w:hAnsiTheme="minorHAnsi"/>
        </w:rPr>
        <w:t xml:space="preserve"> benefits.  Looking</w:t>
      </w:r>
      <w:r w:rsidR="004F43D1" w:rsidRPr="00B4222E">
        <w:rPr>
          <w:rFonts w:asciiTheme="minorHAnsi" w:hAnsiTheme="minorHAnsi"/>
        </w:rPr>
        <w:t xml:space="preserve"> across all</w:t>
      </w:r>
      <w:r w:rsidR="00932FE2" w:rsidRPr="00B4222E">
        <w:rPr>
          <w:rFonts w:asciiTheme="minorHAnsi" w:hAnsiTheme="minorHAnsi"/>
        </w:rPr>
        <w:t xml:space="preserve"> p</w:t>
      </w:r>
      <w:r w:rsidR="0056787D" w:rsidRPr="00B4222E">
        <w:rPr>
          <w:rFonts w:asciiTheme="minorHAnsi" w:hAnsiTheme="minorHAnsi"/>
        </w:rPr>
        <w:t xml:space="preserve">ractitioner </w:t>
      </w:r>
      <w:r w:rsidR="00932FE2" w:rsidRPr="00B4222E">
        <w:rPr>
          <w:rFonts w:asciiTheme="minorHAnsi" w:hAnsiTheme="minorHAnsi"/>
        </w:rPr>
        <w:t>r</w:t>
      </w:r>
      <w:r w:rsidR="006447F6" w:rsidRPr="00B4222E">
        <w:rPr>
          <w:rFonts w:asciiTheme="minorHAnsi" w:hAnsiTheme="minorHAnsi"/>
        </w:rPr>
        <w:t xml:space="preserve">esearch </w:t>
      </w:r>
      <w:r w:rsidR="00932FE2" w:rsidRPr="00B4222E">
        <w:rPr>
          <w:rFonts w:asciiTheme="minorHAnsi" w:hAnsiTheme="minorHAnsi"/>
        </w:rPr>
        <w:t xml:space="preserve">we suggest that </w:t>
      </w:r>
      <w:r w:rsidR="004F43D1" w:rsidRPr="00B4222E">
        <w:rPr>
          <w:rFonts w:asciiTheme="minorHAnsi" w:hAnsiTheme="minorHAnsi"/>
        </w:rPr>
        <w:t xml:space="preserve">engagement </w:t>
      </w:r>
      <w:r w:rsidR="006447F6" w:rsidRPr="00B4222E">
        <w:rPr>
          <w:rFonts w:asciiTheme="minorHAnsi" w:hAnsiTheme="minorHAnsi"/>
        </w:rPr>
        <w:t xml:space="preserve">by professionals </w:t>
      </w:r>
      <w:r w:rsidR="004F43D1" w:rsidRPr="00B4222E">
        <w:rPr>
          <w:rFonts w:asciiTheme="minorHAnsi" w:hAnsiTheme="minorHAnsi"/>
        </w:rPr>
        <w:t xml:space="preserve">with the </w:t>
      </w:r>
      <w:r w:rsidR="0056787D" w:rsidRPr="00B4222E">
        <w:rPr>
          <w:rFonts w:asciiTheme="minorHAnsi" w:hAnsiTheme="minorHAnsi"/>
        </w:rPr>
        <w:t xml:space="preserve">process </w:t>
      </w:r>
      <w:r w:rsidR="004F43D1" w:rsidRPr="00B4222E">
        <w:rPr>
          <w:rFonts w:asciiTheme="minorHAnsi" w:hAnsiTheme="minorHAnsi"/>
        </w:rPr>
        <w:t xml:space="preserve">of inquiry </w:t>
      </w:r>
      <w:r w:rsidR="006447F6" w:rsidRPr="00B4222E">
        <w:rPr>
          <w:rFonts w:asciiTheme="minorHAnsi" w:hAnsiTheme="minorHAnsi"/>
        </w:rPr>
        <w:t xml:space="preserve">promises to </w:t>
      </w:r>
      <w:r w:rsidR="0056787D" w:rsidRPr="00B4222E">
        <w:rPr>
          <w:rFonts w:asciiTheme="minorHAnsi" w:hAnsiTheme="minorHAnsi"/>
        </w:rPr>
        <w:t>deliver s</w:t>
      </w:r>
      <w:r w:rsidR="004F43D1" w:rsidRPr="00B4222E">
        <w:rPr>
          <w:rFonts w:asciiTheme="minorHAnsi" w:hAnsiTheme="minorHAnsi"/>
        </w:rPr>
        <w:t>igni</w:t>
      </w:r>
      <w:r w:rsidR="006447F6" w:rsidRPr="00B4222E">
        <w:rPr>
          <w:rFonts w:asciiTheme="minorHAnsi" w:hAnsiTheme="minorHAnsi"/>
        </w:rPr>
        <w:t xml:space="preserve">ficant benefits </w:t>
      </w:r>
      <w:r w:rsidR="008D36A8">
        <w:rPr>
          <w:rFonts w:asciiTheme="minorHAnsi" w:hAnsiTheme="minorHAnsi"/>
        </w:rPr>
        <w:t xml:space="preserve">that arise </w:t>
      </w:r>
      <w:r w:rsidR="004F43D1" w:rsidRPr="00B4222E">
        <w:rPr>
          <w:rFonts w:asciiTheme="minorHAnsi" w:hAnsiTheme="minorHAnsi"/>
        </w:rPr>
        <w:t xml:space="preserve">from </w:t>
      </w:r>
      <w:r w:rsidR="006447F6" w:rsidRPr="00B4222E">
        <w:rPr>
          <w:rFonts w:asciiTheme="minorHAnsi" w:hAnsiTheme="minorHAnsi"/>
        </w:rPr>
        <w:t xml:space="preserve">simply beginning to think about </w:t>
      </w:r>
      <w:r w:rsidR="004F43D1" w:rsidRPr="00B4222E">
        <w:rPr>
          <w:rFonts w:asciiTheme="minorHAnsi" w:hAnsiTheme="minorHAnsi"/>
        </w:rPr>
        <w:t>research</w:t>
      </w:r>
      <w:r w:rsidRPr="00B4222E">
        <w:rPr>
          <w:rFonts w:asciiTheme="minorHAnsi" w:hAnsiTheme="minorHAnsi"/>
        </w:rPr>
        <w:t>. These</w:t>
      </w:r>
      <w:r w:rsidR="006447F6" w:rsidRPr="00B4222E">
        <w:rPr>
          <w:rFonts w:asciiTheme="minorHAnsi" w:hAnsiTheme="minorHAnsi"/>
        </w:rPr>
        <w:t xml:space="preserve"> includ</w:t>
      </w:r>
      <w:r w:rsidRPr="00B4222E">
        <w:rPr>
          <w:rFonts w:asciiTheme="minorHAnsi" w:hAnsiTheme="minorHAnsi"/>
        </w:rPr>
        <w:t>e</w:t>
      </w:r>
      <w:r w:rsidR="0056787D" w:rsidRPr="00B4222E">
        <w:rPr>
          <w:rFonts w:asciiTheme="minorHAnsi" w:hAnsiTheme="minorHAnsi"/>
        </w:rPr>
        <w:t>:</w:t>
      </w:r>
    </w:p>
    <w:p w14:paraId="0DB33D4D" w14:textId="77777777" w:rsidR="0056787D" w:rsidRPr="00B4222E" w:rsidRDefault="0056787D" w:rsidP="00B4222E">
      <w:pPr>
        <w:pStyle w:val="ListParagraph"/>
        <w:numPr>
          <w:ilvl w:val="0"/>
          <w:numId w:val="16"/>
        </w:numPr>
        <w:spacing w:before="100" w:beforeAutospacing="1" w:after="120" w:line="360" w:lineRule="auto"/>
        <w:jc w:val="both"/>
        <w:rPr>
          <w:rFonts w:asciiTheme="minorHAnsi" w:hAnsiTheme="minorHAnsi"/>
        </w:rPr>
      </w:pPr>
      <w:r w:rsidRPr="00B4222E">
        <w:rPr>
          <w:rFonts w:asciiTheme="minorHAnsi" w:hAnsiTheme="minorHAnsi"/>
        </w:rPr>
        <w:t>Reflecting on practice puzzles</w:t>
      </w:r>
      <w:r w:rsidR="006447F6" w:rsidRPr="00B4222E">
        <w:rPr>
          <w:rFonts w:asciiTheme="minorHAnsi" w:hAnsiTheme="minorHAnsi"/>
        </w:rPr>
        <w:t>;</w:t>
      </w:r>
    </w:p>
    <w:p w14:paraId="304364A7" w14:textId="77777777" w:rsidR="0056787D" w:rsidRPr="00B4222E" w:rsidRDefault="0056787D" w:rsidP="00B4222E">
      <w:pPr>
        <w:pStyle w:val="ListParagraph"/>
        <w:numPr>
          <w:ilvl w:val="0"/>
          <w:numId w:val="16"/>
        </w:numPr>
        <w:spacing w:before="100" w:beforeAutospacing="1" w:after="120" w:line="360" w:lineRule="auto"/>
        <w:jc w:val="both"/>
        <w:rPr>
          <w:rFonts w:asciiTheme="minorHAnsi" w:hAnsiTheme="minorHAnsi"/>
        </w:rPr>
      </w:pPr>
      <w:r w:rsidRPr="00B4222E">
        <w:rPr>
          <w:rFonts w:asciiTheme="minorHAnsi" w:hAnsiTheme="minorHAnsi"/>
        </w:rPr>
        <w:t>Considering the current evidence-base</w:t>
      </w:r>
      <w:r w:rsidR="004F43D1" w:rsidRPr="00B4222E">
        <w:rPr>
          <w:rFonts w:asciiTheme="minorHAnsi" w:hAnsiTheme="minorHAnsi"/>
        </w:rPr>
        <w:t xml:space="preserve"> including </w:t>
      </w:r>
      <w:r w:rsidR="006447F6" w:rsidRPr="00B4222E">
        <w:rPr>
          <w:rFonts w:asciiTheme="minorHAnsi" w:hAnsiTheme="minorHAnsi"/>
        </w:rPr>
        <w:t xml:space="preserve">contemplating </w:t>
      </w:r>
      <w:r w:rsidR="004F43D1" w:rsidRPr="00B4222E">
        <w:rPr>
          <w:rFonts w:asciiTheme="minorHAnsi" w:hAnsiTheme="minorHAnsi"/>
        </w:rPr>
        <w:t>information search and retrieval</w:t>
      </w:r>
      <w:r w:rsidR="006447F6" w:rsidRPr="00B4222E">
        <w:rPr>
          <w:rFonts w:asciiTheme="minorHAnsi" w:hAnsiTheme="minorHAnsi"/>
        </w:rPr>
        <w:t>;</w:t>
      </w:r>
    </w:p>
    <w:p w14:paraId="24791E8E" w14:textId="77777777" w:rsidR="0056787D" w:rsidRPr="00B4222E" w:rsidRDefault="0056787D" w:rsidP="00B4222E">
      <w:pPr>
        <w:pStyle w:val="ListParagraph"/>
        <w:numPr>
          <w:ilvl w:val="0"/>
          <w:numId w:val="16"/>
        </w:numPr>
        <w:spacing w:before="100" w:beforeAutospacing="1" w:after="120" w:line="360" w:lineRule="auto"/>
        <w:jc w:val="both"/>
        <w:rPr>
          <w:rFonts w:asciiTheme="minorHAnsi" w:hAnsiTheme="minorHAnsi"/>
        </w:rPr>
      </w:pPr>
      <w:r w:rsidRPr="00B4222E">
        <w:rPr>
          <w:rFonts w:asciiTheme="minorHAnsi" w:hAnsiTheme="minorHAnsi"/>
        </w:rPr>
        <w:t>Becoming familiar with social research methods</w:t>
      </w:r>
      <w:r w:rsidR="006447F6" w:rsidRPr="00B4222E">
        <w:rPr>
          <w:rFonts w:asciiTheme="minorHAnsi" w:hAnsiTheme="minorHAnsi"/>
        </w:rPr>
        <w:t>;</w:t>
      </w:r>
    </w:p>
    <w:p w14:paraId="6449511F" w14:textId="26777260" w:rsidR="0098193B" w:rsidRPr="00B4222E" w:rsidRDefault="0098193B" w:rsidP="00B4222E">
      <w:pPr>
        <w:pStyle w:val="ListParagraph"/>
        <w:numPr>
          <w:ilvl w:val="0"/>
          <w:numId w:val="16"/>
        </w:numPr>
        <w:spacing w:before="100" w:beforeAutospacing="1" w:after="120" w:line="360" w:lineRule="auto"/>
        <w:jc w:val="both"/>
        <w:rPr>
          <w:rFonts w:asciiTheme="minorHAnsi" w:hAnsiTheme="minorHAnsi"/>
        </w:rPr>
      </w:pPr>
      <w:r w:rsidRPr="00B4222E">
        <w:rPr>
          <w:rFonts w:asciiTheme="minorHAnsi" w:hAnsiTheme="minorHAnsi"/>
        </w:rPr>
        <w:t>Developing hunches about efficacy and considering how to identify impacts</w:t>
      </w:r>
      <w:r w:rsidR="0073670D">
        <w:rPr>
          <w:rFonts w:asciiTheme="minorHAnsi" w:hAnsiTheme="minorHAnsi"/>
        </w:rPr>
        <w:t>;</w:t>
      </w:r>
    </w:p>
    <w:p w14:paraId="5595F6CA" w14:textId="77777777" w:rsidR="0056787D" w:rsidRPr="00B4222E" w:rsidRDefault="0056787D" w:rsidP="00B4222E">
      <w:pPr>
        <w:pStyle w:val="ListParagraph"/>
        <w:numPr>
          <w:ilvl w:val="0"/>
          <w:numId w:val="16"/>
        </w:numPr>
        <w:spacing w:before="100" w:beforeAutospacing="1" w:after="120" w:line="360" w:lineRule="auto"/>
        <w:jc w:val="both"/>
        <w:rPr>
          <w:rFonts w:asciiTheme="minorHAnsi" w:hAnsiTheme="minorHAnsi"/>
        </w:rPr>
      </w:pPr>
      <w:r w:rsidRPr="00B4222E">
        <w:rPr>
          <w:rFonts w:asciiTheme="minorHAnsi" w:hAnsiTheme="minorHAnsi"/>
        </w:rPr>
        <w:t>Communicating with colleagues around practice issues</w:t>
      </w:r>
      <w:r w:rsidR="006447F6" w:rsidRPr="00B4222E">
        <w:rPr>
          <w:rFonts w:asciiTheme="minorHAnsi" w:hAnsiTheme="minorHAnsi"/>
        </w:rPr>
        <w:t>.</w:t>
      </w:r>
    </w:p>
    <w:p w14:paraId="75298EFA" w14:textId="6A2C3F44" w:rsidR="0045183C" w:rsidRPr="00B4222E" w:rsidRDefault="00B44CB7"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rPr>
        <w:t xml:space="preserve">For this part of the argument we draw on studies that </w:t>
      </w:r>
      <w:r w:rsidR="008D36A8">
        <w:rPr>
          <w:rFonts w:asciiTheme="minorHAnsi" w:hAnsiTheme="minorHAnsi"/>
        </w:rPr>
        <w:t xml:space="preserve">involved </w:t>
      </w:r>
      <w:r w:rsidRPr="00B4222E">
        <w:rPr>
          <w:rFonts w:asciiTheme="minorHAnsi" w:hAnsiTheme="minorHAnsi"/>
        </w:rPr>
        <w:t xml:space="preserve">on fieldwork with participants in practitioner research projects. </w:t>
      </w:r>
      <w:r w:rsidR="00A27281" w:rsidRPr="00B4222E">
        <w:rPr>
          <w:rFonts w:asciiTheme="minorHAnsi" w:hAnsiTheme="minorHAnsi"/>
        </w:rPr>
        <w:t xml:space="preserve">Our experience of New Zealand and Scottish </w:t>
      </w:r>
      <w:r w:rsidR="00F76181" w:rsidRPr="00B4222E">
        <w:rPr>
          <w:rFonts w:asciiTheme="minorHAnsi" w:hAnsiTheme="minorHAnsi"/>
        </w:rPr>
        <w:t>(</w:t>
      </w:r>
      <w:r w:rsidR="00EA56CC" w:rsidRPr="00B4222E">
        <w:rPr>
          <w:rFonts w:asciiTheme="minorHAnsi" w:hAnsiTheme="minorHAnsi"/>
        </w:rPr>
        <w:t>CHILDREN 1</w:t>
      </w:r>
      <w:r w:rsidR="00EA56CC" w:rsidRPr="00B4222E">
        <w:rPr>
          <w:rFonts w:asciiTheme="minorHAnsi" w:hAnsiTheme="minorHAnsi"/>
          <w:vertAlign w:val="superscript"/>
        </w:rPr>
        <w:t>st</w:t>
      </w:r>
      <w:r w:rsidR="00F76181" w:rsidRPr="00B4222E">
        <w:rPr>
          <w:rFonts w:asciiTheme="minorHAnsi" w:hAnsiTheme="minorHAnsi"/>
        </w:rPr>
        <w:t xml:space="preserve">) </w:t>
      </w:r>
      <w:r w:rsidR="00932FE2" w:rsidRPr="00B4222E">
        <w:rPr>
          <w:rFonts w:asciiTheme="minorHAnsi" w:hAnsiTheme="minorHAnsi"/>
        </w:rPr>
        <w:t>practitioner initiatives (</w:t>
      </w:r>
      <w:r w:rsidR="0073670D" w:rsidRPr="0073670D">
        <w:rPr>
          <w:rFonts w:asciiTheme="minorHAnsi" w:hAnsiTheme="minorHAnsi"/>
        </w:rPr>
        <w:t xml:space="preserve">Lunt </w:t>
      </w:r>
      <w:r w:rsidR="0073670D" w:rsidRPr="006B14F3">
        <w:rPr>
          <w:rFonts w:asciiTheme="minorHAnsi" w:hAnsiTheme="minorHAnsi"/>
          <w:i/>
        </w:rPr>
        <w:t>et al</w:t>
      </w:r>
      <w:r w:rsidR="006B14F3">
        <w:rPr>
          <w:rFonts w:asciiTheme="minorHAnsi" w:hAnsiTheme="minorHAnsi"/>
          <w:i/>
        </w:rPr>
        <w:t>.</w:t>
      </w:r>
      <w:r w:rsidR="0073670D" w:rsidRPr="0073670D">
        <w:rPr>
          <w:rFonts w:asciiTheme="minorHAnsi" w:hAnsiTheme="minorHAnsi"/>
        </w:rPr>
        <w:t xml:space="preserve">, 2008; Lunt </w:t>
      </w:r>
      <w:r w:rsidR="0073670D" w:rsidRPr="006B14F3">
        <w:rPr>
          <w:rFonts w:asciiTheme="minorHAnsi" w:hAnsiTheme="minorHAnsi"/>
          <w:i/>
        </w:rPr>
        <w:t>et al</w:t>
      </w:r>
      <w:r w:rsidR="006B14F3">
        <w:rPr>
          <w:rFonts w:asciiTheme="minorHAnsi" w:hAnsiTheme="minorHAnsi"/>
          <w:i/>
        </w:rPr>
        <w:t>.</w:t>
      </w:r>
      <w:r w:rsidR="0073670D" w:rsidRPr="0073670D">
        <w:rPr>
          <w:rFonts w:asciiTheme="minorHAnsi" w:hAnsiTheme="minorHAnsi"/>
        </w:rPr>
        <w:t>, 2009</w:t>
      </w:r>
      <w:r w:rsidR="00932FE2" w:rsidRPr="00B4222E">
        <w:rPr>
          <w:rFonts w:asciiTheme="minorHAnsi" w:hAnsiTheme="minorHAnsi"/>
        </w:rPr>
        <w:t>)</w:t>
      </w:r>
      <w:r w:rsidR="00932FE2" w:rsidRPr="00B4222E">
        <w:rPr>
          <w:rStyle w:val="EndnoteReference"/>
          <w:rFonts w:asciiTheme="minorHAnsi" w:hAnsiTheme="minorHAnsi"/>
        </w:rPr>
        <w:endnoteReference w:id="1"/>
      </w:r>
      <w:r w:rsidR="00A27281" w:rsidRPr="00B4222E">
        <w:rPr>
          <w:rFonts w:asciiTheme="minorHAnsi" w:hAnsiTheme="minorHAnsi"/>
        </w:rPr>
        <w:t xml:space="preserve"> </w:t>
      </w:r>
      <w:r w:rsidR="00A27281" w:rsidRPr="00B4222E">
        <w:rPr>
          <w:rFonts w:asciiTheme="minorHAnsi" w:hAnsiTheme="minorHAnsi"/>
        </w:rPr>
        <w:lastRenderedPageBreak/>
        <w:t>points to t</w:t>
      </w:r>
      <w:r w:rsidR="0045183C" w:rsidRPr="00B4222E">
        <w:rPr>
          <w:rFonts w:asciiTheme="minorHAnsi" w:hAnsiTheme="minorHAnsi"/>
          <w:bCs/>
        </w:rPr>
        <w:t xml:space="preserve">he most </w:t>
      </w:r>
      <w:r w:rsidR="002343B7">
        <w:rPr>
          <w:rFonts w:asciiTheme="minorHAnsi" w:hAnsiTheme="minorHAnsi"/>
          <w:bCs/>
        </w:rPr>
        <w:t xml:space="preserve">consistent theme </w:t>
      </w:r>
      <w:r w:rsidR="00A27281" w:rsidRPr="00B4222E">
        <w:rPr>
          <w:rFonts w:asciiTheme="minorHAnsi" w:hAnsiTheme="minorHAnsi"/>
          <w:bCs/>
        </w:rPr>
        <w:t>in project topics being</w:t>
      </w:r>
      <w:r w:rsidR="002343B7">
        <w:rPr>
          <w:rFonts w:asciiTheme="minorHAnsi" w:hAnsiTheme="minorHAnsi"/>
          <w:bCs/>
        </w:rPr>
        <w:t xml:space="preserve"> a commitment to improving practice</w:t>
      </w:r>
      <w:r w:rsidR="0045183C" w:rsidRPr="00B4222E">
        <w:rPr>
          <w:rFonts w:asciiTheme="minorHAnsi" w:hAnsiTheme="minorHAnsi"/>
          <w:bCs/>
        </w:rPr>
        <w:t xml:space="preserve"> – either </w:t>
      </w:r>
      <w:r w:rsidR="002343B7">
        <w:rPr>
          <w:rFonts w:asciiTheme="minorHAnsi" w:hAnsiTheme="minorHAnsi"/>
          <w:bCs/>
        </w:rPr>
        <w:t xml:space="preserve">individual </w:t>
      </w:r>
      <w:r w:rsidR="0045183C" w:rsidRPr="00B4222E">
        <w:rPr>
          <w:rFonts w:asciiTheme="minorHAnsi" w:hAnsiTheme="minorHAnsi"/>
          <w:bCs/>
        </w:rPr>
        <w:t xml:space="preserve">or that of the team or agency. </w:t>
      </w:r>
      <w:r w:rsidR="00F76181" w:rsidRPr="00B4222E">
        <w:rPr>
          <w:rFonts w:asciiTheme="minorHAnsi" w:hAnsiTheme="minorHAnsi"/>
          <w:bCs/>
        </w:rPr>
        <w:t>For example, a</w:t>
      </w:r>
      <w:r w:rsidR="00A27281" w:rsidRPr="00B4222E">
        <w:rPr>
          <w:rFonts w:asciiTheme="minorHAnsi" w:hAnsiTheme="minorHAnsi"/>
          <w:bCs/>
        </w:rPr>
        <w:t xml:space="preserve"> practitioner researcher in the </w:t>
      </w:r>
      <w:r w:rsidR="00EA56CC" w:rsidRPr="00B4222E">
        <w:rPr>
          <w:rFonts w:asciiTheme="minorHAnsi" w:hAnsiTheme="minorHAnsi"/>
          <w:bCs/>
        </w:rPr>
        <w:t>CHILDREN 1</w:t>
      </w:r>
      <w:r w:rsidR="00EA56CC" w:rsidRPr="00B4222E">
        <w:rPr>
          <w:rFonts w:asciiTheme="minorHAnsi" w:hAnsiTheme="minorHAnsi"/>
          <w:bCs/>
          <w:vertAlign w:val="superscript"/>
        </w:rPr>
        <w:t>st</w:t>
      </w:r>
      <w:r w:rsidR="00EA56CC" w:rsidRPr="00B4222E">
        <w:rPr>
          <w:rFonts w:asciiTheme="minorHAnsi" w:hAnsiTheme="minorHAnsi"/>
          <w:bCs/>
        </w:rPr>
        <w:t xml:space="preserve"> </w:t>
      </w:r>
      <w:r w:rsidR="00A27281" w:rsidRPr="00B4222E">
        <w:rPr>
          <w:rFonts w:asciiTheme="minorHAnsi" w:hAnsiTheme="minorHAnsi"/>
          <w:bCs/>
        </w:rPr>
        <w:t xml:space="preserve">project </w:t>
      </w:r>
      <w:r w:rsidR="00F76181" w:rsidRPr="00B4222E">
        <w:rPr>
          <w:rFonts w:asciiTheme="minorHAnsi" w:hAnsiTheme="minorHAnsi"/>
          <w:bCs/>
        </w:rPr>
        <w:t>valued</w:t>
      </w:r>
      <w:r w:rsidR="00A27281" w:rsidRPr="00B4222E">
        <w:rPr>
          <w:rFonts w:asciiTheme="minorHAnsi" w:hAnsiTheme="minorHAnsi"/>
          <w:bCs/>
        </w:rPr>
        <w:t xml:space="preserve">: </w:t>
      </w:r>
      <w:r w:rsidR="0045183C" w:rsidRPr="00B4222E">
        <w:rPr>
          <w:rFonts w:asciiTheme="minorHAnsi" w:hAnsiTheme="minorHAnsi"/>
          <w:bCs/>
        </w:rPr>
        <w:t>‘Having an opportunity to do research that would impact on services and ultimately on those people who would receive those s</w:t>
      </w:r>
      <w:r w:rsidR="00A27281" w:rsidRPr="00B4222E">
        <w:rPr>
          <w:rFonts w:asciiTheme="minorHAnsi" w:hAnsiTheme="minorHAnsi"/>
          <w:bCs/>
        </w:rPr>
        <w:t>ervices’ (Gillian</w:t>
      </w:r>
      <w:r w:rsidR="00622F80" w:rsidRPr="00B4222E">
        <w:rPr>
          <w:rStyle w:val="EndnoteReference"/>
          <w:rFonts w:asciiTheme="minorHAnsi" w:hAnsiTheme="minorHAnsi"/>
          <w:bCs/>
        </w:rPr>
        <w:endnoteReference w:id="2"/>
      </w:r>
      <w:r w:rsidR="00A27281" w:rsidRPr="00B4222E">
        <w:rPr>
          <w:rFonts w:asciiTheme="minorHAnsi" w:hAnsiTheme="minorHAnsi"/>
          <w:bCs/>
        </w:rPr>
        <w:t>)</w:t>
      </w:r>
      <w:r w:rsidR="006B14F3">
        <w:rPr>
          <w:rFonts w:asciiTheme="minorHAnsi" w:hAnsiTheme="minorHAnsi"/>
          <w:bCs/>
        </w:rPr>
        <w:t xml:space="preserve"> </w:t>
      </w:r>
      <w:r w:rsidR="0073670D">
        <w:rPr>
          <w:rFonts w:asciiTheme="minorHAnsi" w:hAnsiTheme="minorHAnsi"/>
          <w:bCs/>
        </w:rPr>
        <w:t xml:space="preserve">(see Lunt </w:t>
      </w:r>
      <w:r w:rsidR="0073670D" w:rsidRPr="0073670D">
        <w:rPr>
          <w:rFonts w:asciiTheme="minorHAnsi" w:hAnsiTheme="minorHAnsi"/>
          <w:bCs/>
          <w:i/>
        </w:rPr>
        <w:t>et al.</w:t>
      </w:r>
      <w:r w:rsidR="008D36A8">
        <w:rPr>
          <w:rFonts w:asciiTheme="minorHAnsi" w:hAnsiTheme="minorHAnsi"/>
          <w:bCs/>
          <w:i/>
        </w:rPr>
        <w:t>,</w:t>
      </w:r>
      <w:r w:rsidR="0073670D" w:rsidRPr="0073670D">
        <w:rPr>
          <w:rFonts w:asciiTheme="minorHAnsi" w:hAnsiTheme="minorHAnsi"/>
          <w:bCs/>
          <w:i/>
        </w:rPr>
        <w:t xml:space="preserve"> </w:t>
      </w:r>
      <w:r w:rsidR="006B14F3">
        <w:rPr>
          <w:rFonts w:asciiTheme="minorHAnsi" w:hAnsiTheme="minorHAnsi"/>
          <w:bCs/>
        </w:rPr>
        <w:t>2009</w:t>
      </w:r>
      <w:r w:rsidR="0073670D">
        <w:rPr>
          <w:rFonts w:asciiTheme="minorHAnsi" w:hAnsiTheme="minorHAnsi"/>
          <w:bCs/>
        </w:rPr>
        <w:t>)</w:t>
      </w:r>
      <w:r w:rsidR="00A27281" w:rsidRPr="00B4222E">
        <w:rPr>
          <w:rFonts w:asciiTheme="minorHAnsi" w:hAnsiTheme="minorHAnsi"/>
          <w:bCs/>
        </w:rPr>
        <w:t xml:space="preserve">.  </w:t>
      </w:r>
      <w:r w:rsidR="0045183C" w:rsidRPr="00B4222E">
        <w:rPr>
          <w:rFonts w:asciiTheme="minorHAnsi" w:hAnsiTheme="minorHAnsi"/>
          <w:bCs/>
        </w:rPr>
        <w:t xml:space="preserve">For some practitioners this practice interest </w:t>
      </w:r>
      <w:r w:rsidR="004C7A1E">
        <w:rPr>
          <w:rFonts w:asciiTheme="minorHAnsi" w:hAnsiTheme="minorHAnsi"/>
          <w:bCs/>
        </w:rPr>
        <w:t>emerged from</w:t>
      </w:r>
      <w:r w:rsidR="0045183C" w:rsidRPr="00B4222E">
        <w:rPr>
          <w:rFonts w:asciiTheme="minorHAnsi" w:hAnsiTheme="minorHAnsi"/>
          <w:bCs/>
        </w:rPr>
        <w:t xml:space="preserve"> ‘practice puzzles’ such that their research was </w:t>
      </w:r>
      <w:r w:rsidR="002343B7">
        <w:rPr>
          <w:rFonts w:asciiTheme="minorHAnsi" w:hAnsiTheme="minorHAnsi"/>
          <w:bCs/>
        </w:rPr>
        <w:t xml:space="preserve">often a lens that enabled them to </w:t>
      </w:r>
      <w:r w:rsidR="004C7A1E">
        <w:rPr>
          <w:rFonts w:asciiTheme="minorHAnsi" w:hAnsiTheme="minorHAnsi"/>
          <w:bCs/>
        </w:rPr>
        <w:t>focus on deeply held</w:t>
      </w:r>
      <w:r w:rsidR="0045183C" w:rsidRPr="00B4222E">
        <w:rPr>
          <w:rFonts w:asciiTheme="minorHAnsi" w:hAnsiTheme="minorHAnsi"/>
          <w:bCs/>
        </w:rPr>
        <w:t xml:space="preserve">, but sometimes partly unrealized, and long contained career-life issues. A focus group member </w:t>
      </w:r>
      <w:r w:rsidR="0098193B" w:rsidRPr="00B4222E">
        <w:rPr>
          <w:rFonts w:asciiTheme="minorHAnsi" w:hAnsiTheme="minorHAnsi"/>
          <w:bCs/>
        </w:rPr>
        <w:t xml:space="preserve">from the </w:t>
      </w:r>
      <w:r w:rsidR="00EA56CC" w:rsidRPr="00B4222E">
        <w:rPr>
          <w:rFonts w:asciiTheme="minorHAnsi" w:hAnsiTheme="minorHAnsi"/>
          <w:bCs/>
        </w:rPr>
        <w:t>CHILDREN 1</w:t>
      </w:r>
      <w:r w:rsidR="00EA56CC" w:rsidRPr="00B4222E">
        <w:rPr>
          <w:rFonts w:asciiTheme="minorHAnsi" w:hAnsiTheme="minorHAnsi"/>
          <w:bCs/>
          <w:vertAlign w:val="superscript"/>
        </w:rPr>
        <w:t>st</w:t>
      </w:r>
      <w:r w:rsidR="00EA56CC" w:rsidRPr="00B4222E">
        <w:rPr>
          <w:rFonts w:asciiTheme="minorHAnsi" w:hAnsiTheme="minorHAnsi"/>
          <w:bCs/>
        </w:rPr>
        <w:t xml:space="preserve"> </w:t>
      </w:r>
      <w:r w:rsidR="0045183C" w:rsidRPr="00B4222E">
        <w:rPr>
          <w:rFonts w:asciiTheme="minorHAnsi" w:hAnsiTheme="minorHAnsi"/>
          <w:bCs/>
        </w:rPr>
        <w:t>described the operation of family plans</w:t>
      </w:r>
      <w:r w:rsidR="00A27281" w:rsidRPr="00B4222E">
        <w:rPr>
          <w:rFonts w:asciiTheme="minorHAnsi" w:hAnsiTheme="minorHAnsi"/>
          <w:bCs/>
        </w:rPr>
        <w:t>, observing:</w:t>
      </w:r>
    </w:p>
    <w:p w14:paraId="565F06BA" w14:textId="0B77241B" w:rsidR="0045183C" w:rsidRPr="00B4222E" w:rsidRDefault="0045183C" w:rsidP="00B4222E">
      <w:pPr>
        <w:autoSpaceDE w:val="0"/>
        <w:autoSpaceDN w:val="0"/>
        <w:adjustRightInd w:val="0"/>
        <w:spacing w:before="100" w:beforeAutospacing="1" w:after="120" w:line="360" w:lineRule="auto"/>
        <w:ind w:left="720"/>
        <w:jc w:val="both"/>
        <w:rPr>
          <w:rFonts w:asciiTheme="minorHAnsi" w:hAnsiTheme="minorHAnsi"/>
          <w:bCs/>
        </w:rPr>
      </w:pPr>
      <w:r w:rsidRPr="00B4222E">
        <w:rPr>
          <w:rFonts w:asciiTheme="minorHAnsi" w:hAnsiTheme="minorHAnsi"/>
          <w:bCs/>
        </w:rPr>
        <w:t>I find that plans are not followed by various groupings and so … I wondered why that was and was that something we could really work on. So irritation prompted me really. But it was something that you could really use and I think I really thought that too</w:t>
      </w:r>
      <w:r w:rsidR="0073670D">
        <w:rPr>
          <w:rFonts w:asciiTheme="minorHAnsi" w:hAnsiTheme="minorHAnsi"/>
          <w:bCs/>
        </w:rPr>
        <w:t xml:space="preserve"> (Lunt </w:t>
      </w:r>
      <w:r w:rsidR="0073670D" w:rsidRPr="0073670D">
        <w:rPr>
          <w:rFonts w:asciiTheme="minorHAnsi" w:hAnsiTheme="minorHAnsi"/>
          <w:bCs/>
          <w:i/>
        </w:rPr>
        <w:t>et al</w:t>
      </w:r>
      <w:r w:rsidR="006B14F3">
        <w:rPr>
          <w:rFonts w:asciiTheme="minorHAnsi" w:hAnsiTheme="minorHAnsi"/>
          <w:bCs/>
        </w:rPr>
        <w:t>., 2009</w:t>
      </w:r>
      <w:r w:rsidR="0073670D">
        <w:rPr>
          <w:rFonts w:asciiTheme="minorHAnsi" w:hAnsiTheme="minorHAnsi"/>
          <w:bCs/>
        </w:rPr>
        <w:t>)</w:t>
      </w:r>
      <w:r w:rsidRPr="00B4222E">
        <w:rPr>
          <w:rFonts w:asciiTheme="minorHAnsi" w:hAnsiTheme="minorHAnsi"/>
          <w:bCs/>
        </w:rPr>
        <w:t xml:space="preserve">. </w:t>
      </w:r>
    </w:p>
    <w:p w14:paraId="797555A3" w14:textId="02A37AC4" w:rsidR="0056787D" w:rsidRPr="00B4222E" w:rsidRDefault="004C7A1E" w:rsidP="00B4222E">
      <w:pPr>
        <w:autoSpaceDE w:val="0"/>
        <w:autoSpaceDN w:val="0"/>
        <w:adjustRightInd w:val="0"/>
        <w:spacing w:before="100" w:beforeAutospacing="1" w:after="120" w:line="360" w:lineRule="auto"/>
        <w:jc w:val="both"/>
        <w:rPr>
          <w:rFonts w:asciiTheme="minorHAnsi" w:hAnsiTheme="minorHAnsi"/>
          <w:bCs/>
        </w:rPr>
      </w:pPr>
      <w:r>
        <w:rPr>
          <w:rFonts w:asciiTheme="minorHAnsi" w:hAnsiTheme="minorHAnsi"/>
          <w:bCs/>
        </w:rPr>
        <w:t xml:space="preserve">We believe that the importance of such </w:t>
      </w:r>
      <w:r w:rsidR="0045183C" w:rsidRPr="00B4222E">
        <w:rPr>
          <w:rFonts w:asciiTheme="minorHAnsi" w:hAnsiTheme="minorHAnsi"/>
          <w:bCs/>
        </w:rPr>
        <w:t>personal commitments, puzzles and investments may be u</w:t>
      </w:r>
      <w:r>
        <w:rPr>
          <w:rFonts w:asciiTheme="minorHAnsi" w:hAnsiTheme="minorHAnsi"/>
          <w:bCs/>
        </w:rPr>
        <w:t xml:space="preserve">nderestimated in broader </w:t>
      </w:r>
      <w:r w:rsidR="0045183C" w:rsidRPr="00B4222E">
        <w:rPr>
          <w:rFonts w:asciiTheme="minorHAnsi" w:hAnsiTheme="minorHAnsi"/>
          <w:bCs/>
        </w:rPr>
        <w:t xml:space="preserve">deliberations about </w:t>
      </w:r>
      <w:r>
        <w:rPr>
          <w:rFonts w:asciiTheme="minorHAnsi" w:hAnsiTheme="minorHAnsi"/>
          <w:bCs/>
        </w:rPr>
        <w:t xml:space="preserve">establishing and delivering </w:t>
      </w:r>
      <w:r w:rsidR="0045183C" w:rsidRPr="00B4222E">
        <w:rPr>
          <w:rFonts w:asciiTheme="minorHAnsi" w:hAnsiTheme="minorHAnsi"/>
          <w:bCs/>
        </w:rPr>
        <w:t>practitioner research projects</w:t>
      </w:r>
      <w:r w:rsidR="00E66C07" w:rsidRPr="00B4222E">
        <w:rPr>
          <w:rFonts w:asciiTheme="minorHAnsi" w:hAnsiTheme="minorHAnsi"/>
          <w:bCs/>
        </w:rPr>
        <w:t xml:space="preserve"> (</w:t>
      </w:r>
      <w:r w:rsidR="0073670D" w:rsidRPr="0073670D">
        <w:rPr>
          <w:rFonts w:asciiTheme="minorHAnsi" w:hAnsiTheme="minorHAnsi"/>
          <w:bCs/>
        </w:rPr>
        <w:t>Shaw and Lunt, 2011</w:t>
      </w:r>
      <w:r w:rsidR="00E66C07" w:rsidRPr="00B4222E">
        <w:rPr>
          <w:rFonts w:asciiTheme="minorHAnsi" w:hAnsiTheme="minorHAnsi"/>
          <w:bCs/>
        </w:rPr>
        <w:t>)</w:t>
      </w:r>
      <w:r w:rsidR="0045183C" w:rsidRPr="00B4222E">
        <w:rPr>
          <w:rFonts w:asciiTheme="minorHAnsi" w:hAnsiTheme="minorHAnsi"/>
          <w:bCs/>
        </w:rPr>
        <w:t>.</w:t>
      </w:r>
    </w:p>
    <w:p w14:paraId="6C70FFE0" w14:textId="09BC5C93" w:rsidR="00F951B3" w:rsidRPr="00B4222E" w:rsidRDefault="004F43D1" w:rsidP="00B4222E">
      <w:pPr>
        <w:spacing w:before="100" w:beforeAutospacing="1" w:after="120" w:line="360" w:lineRule="auto"/>
        <w:jc w:val="both"/>
        <w:rPr>
          <w:rFonts w:asciiTheme="minorHAnsi" w:hAnsiTheme="minorHAnsi"/>
        </w:rPr>
      </w:pPr>
      <w:r w:rsidRPr="00B4222E">
        <w:rPr>
          <w:rFonts w:asciiTheme="minorHAnsi" w:hAnsiTheme="minorHAnsi"/>
        </w:rPr>
        <w:t xml:space="preserve">Such thinking </w:t>
      </w:r>
      <w:r w:rsidR="00821F38" w:rsidRPr="00B4222E">
        <w:rPr>
          <w:rFonts w:asciiTheme="minorHAnsi" w:hAnsiTheme="minorHAnsi"/>
        </w:rPr>
        <w:t xml:space="preserve">undertaken </w:t>
      </w:r>
      <w:r w:rsidRPr="00B4222E">
        <w:rPr>
          <w:rFonts w:asciiTheme="minorHAnsi" w:hAnsiTheme="minorHAnsi"/>
        </w:rPr>
        <w:t>with</w:t>
      </w:r>
      <w:r w:rsidR="0056787D" w:rsidRPr="00B4222E">
        <w:rPr>
          <w:rFonts w:asciiTheme="minorHAnsi" w:hAnsiTheme="minorHAnsi"/>
        </w:rPr>
        <w:t xml:space="preserve">in </w:t>
      </w:r>
      <w:r w:rsidR="00821F38" w:rsidRPr="00B4222E">
        <w:rPr>
          <w:rFonts w:asciiTheme="minorHAnsi" w:hAnsiTheme="minorHAnsi"/>
        </w:rPr>
        <w:t xml:space="preserve">the scope of </w:t>
      </w:r>
      <w:r w:rsidR="0056787D" w:rsidRPr="00B4222E">
        <w:rPr>
          <w:rFonts w:asciiTheme="minorHAnsi" w:hAnsiTheme="minorHAnsi"/>
        </w:rPr>
        <w:t xml:space="preserve">traditional </w:t>
      </w:r>
      <w:r w:rsidR="00877E89" w:rsidRPr="00B4222E">
        <w:rPr>
          <w:rFonts w:asciiTheme="minorHAnsi" w:hAnsiTheme="minorHAnsi"/>
        </w:rPr>
        <w:t>research studies is</w:t>
      </w:r>
      <w:r w:rsidR="00821F38" w:rsidRPr="00B4222E">
        <w:rPr>
          <w:rFonts w:asciiTheme="minorHAnsi" w:hAnsiTheme="minorHAnsi"/>
        </w:rPr>
        <w:t xml:space="preserve"> seen as </w:t>
      </w:r>
      <w:r w:rsidR="004440F8" w:rsidRPr="00B4222E">
        <w:rPr>
          <w:rFonts w:asciiTheme="minorHAnsi" w:hAnsiTheme="minorHAnsi"/>
        </w:rPr>
        <w:t>‘</w:t>
      </w:r>
      <w:r w:rsidR="0056787D" w:rsidRPr="00B4222E">
        <w:rPr>
          <w:rFonts w:asciiTheme="minorHAnsi" w:hAnsiTheme="minorHAnsi"/>
        </w:rPr>
        <w:t>problem conceptualisation</w:t>
      </w:r>
      <w:r w:rsidR="004440F8" w:rsidRPr="00B4222E">
        <w:rPr>
          <w:rFonts w:asciiTheme="minorHAnsi" w:hAnsiTheme="minorHAnsi"/>
        </w:rPr>
        <w:t>’</w:t>
      </w:r>
      <w:r w:rsidRPr="00B4222E">
        <w:rPr>
          <w:rFonts w:asciiTheme="minorHAnsi" w:hAnsiTheme="minorHAnsi"/>
        </w:rPr>
        <w:t xml:space="preserve"> </w:t>
      </w:r>
      <w:r w:rsidR="0056787D" w:rsidRPr="00B4222E">
        <w:rPr>
          <w:rFonts w:asciiTheme="minorHAnsi" w:hAnsiTheme="minorHAnsi"/>
        </w:rPr>
        <w:t xml:space="preserve">and </w:t>
      </w:r>
      <w:r w:rsidR="00821F38" w:rsidRPr="00B4222E">
        <w:rPr>
          <w:rFonts w:asciiTheme="minorHAnsi" w:hAnsiTheme="minorHAnsi"/>
        </w:rPr>
        <w:t>play</w:t>
      </w:r>
      <w:r w:rsidR="00877E89" w:rsidRPr="00B4222E">
        <w:rPr>
          <w:rFonts w:asciiTheme="minorHAnsi" w:hAnsiTheme="minorHAnsi"/>
        </w:rPr>
        <w:t>s</w:t>
      </w:r>
      <w:r w:rsidR="00821F38" w:rsidRPr="00B4222E">
        <w:rPr>
          <w:rFonts w:asciiTheme="minorHAnsi" w:hAnsiTheme="minorHAnsi"/>
        </w:rPr>
        <w:t xml:space="preserve"> a supporting role to data collection and </w:t>
      </w:r>
      <w:r w:rsidR="0056787D" w:rsidRPr="00B4222E">
        <w:rPr>
          <w:rFonts w:asciiTheme="minorHAnsi" w:hAnsiTheme="minorHAnsi"/>
        </w:rPr>
        <w:t>evidence</w:t>
      </w:r>
      <w:r w:rsidR="00821F38" w:rsidRPr="00B4222E">
        <w:rPr>
          <w:rFonts w:asciiTheme="minorHAnsi" w:hAnsiTheme="minorHAnsi"/>
        </w:rPr>
        <w:t xml:space="preserve"> gathering.  For</w:t>
      </w:r>
      <w:r w:rsidR="0098193B" w:rsidRPr="00B4222E">
        <w:rPr>
          <w:rFonts w:asciiTheme="minorHAnsi" w:hAnsiTheme="minorHAnsi"/>
        </w:rPr>
        <w:t xml:space="preserve"> practitioner r</w:t>
      </w:r>
      <w:r w:rsidR="0056787D" w:rsidRPr="00B4222E">
        <w:rPr>
          <w:rFonts w:asciiTheme="minorHAnsi" w:hAnsiTheme="minorHAnsi"/>
        </w:rPr>
        <w:t xml:space="preserve">esearch </w:t>
      </w:r>
      <w:r w:rsidR="00877E89" w:rsidRPr="00B4222E">
        <w:rPr>
          <w:rFonts w:asciiTheme="minorHAnsi" w:hAnsiTheme="minorHAnsi"/>
        </w:rPr>
        <w:t>such activities may</w:t>
      </w:r>
      <w:r w:rsidR="0056787D" w:rsidRPr="00B4222E">
        <w:rPr>
          <w:rFonts w:asciiTheme="minorHAnsi" w:hAnsiTheme="minorHAnsi"/>
        </w:rPr>
        <w:t xml:space="preserve"> themselves </w:t>
      </w:r>
      <w:r w:rsidR="00877E89" w:rsidRPr="00B4222E">
        <w:rPr>
          <w:rFonts w:asciiTheme="minorHAnsi" w:hAnsiTheme="minorHAnsi"/>
        </w:rPr>
        <w:t>offer</w:t>
      </w:r>
      <w:r w:rsidR="00821F38" w:rsidRPr="00B4222E">
        <w:rPr>
          <w:rFonts w:asciiTheme="minorHAnsi" w:hAnsiTheme="minorHAnsi"/>
        </w:rPr>
        <w:t xml:space="preserve"> </w:t>
      </w:r>
      <w:r w:rsidR="0056787D" w:rsidRPr="00B4222E">
        <w:rPr>
          <w:rFonts w:asciiTheme="minorHAnsi" w:hAnsiTheme="minorHAnsi"/>
        </w:rPr>
        <w:t>indirect</w:t>
      </w:r>
      <w:r w:rsidR="00821F38" w:rsidRPr="00B4222E">
        <w:rPr>
          <w:rFonts w:asciiTheme="minorHAnsi" w:hAnsiTheme="minorHAnsi"/>
        </w:rPr>
        <w:t>/secondary</w:t>
      </w:r>
      <w:r w:rsidR="0056787D" w:rsidRPr="00B4222E">
        <w:rPr>
          <w:rFonts w:asciiTheme="minorHAnsi" w:hAnsiTheme="minorHAnsi"/>
        </w:rPr>
        <w:t xml:space="preserve"> outcomes and </w:t>
      </w:r>
      <w:r w:rsidR="00877E89" w:rsidRPr="00B4222E">
        <w:rPr>
          <w:rFonts w:asciiTheme="minorHAnsi" w:hAnsiTheme="minorHAnsi"/>
        </w:rPr>
        <w:t>practice contributions</w:t>
      </w:r>
      <w:r w:rsidR="00821F38" w:rsidRPr="00B4222E">
        <w:rPr>
          <w:rFonts w:asciiTheme="minorHAnsi" w:hAnsiTheme="minorHAnsi"/>
        </w:rPr>
        <w:t xml:space="preserve">.  Thus contemplating </w:t>
      </w:r>
      <w:r w:rsidR="0056787D" w:rsidRPr="00B4222E">
        <w:rPr>
          <w:rFonts w:asciiTheme="minorHAnsi" w:hAnsiTheme="minorHAnsi"/>
        </w:rPr>
        <w:t>research puzzles</w:t>
      </w:r>
      <w:r w:rsidR="00821F38" w:rsidRPr="00B4222E">
        <w:rPr>
          <w:rFonts w:asciiTheme="minorHAnsi" w:hAnsiTheme="minorHAnsi"/>
        </w:rPr>
        <w:t xml:space="preserve"> that develop out of practice</w:t>
      </w:r>
      <w:r w:rsidR="0056787D" w:rsidRPr="00B4222E">
        <w:rPr>
          <w:rFonts w:asciiTheme="minorHAnsi" w:hAnsiTheme="minorHAnsi"/>
        </w:rPr>
        <w:t>, irrespective of whe</w:t>
      </w:r>
      <w:r w:rsidR="00821F38" w:rsidRPr="00B4222E">
        <w:rPr>
          <w:rFonts w:asciiTheme="minorHAnsi" w:hAnsiTheme="minorHAnsi"/>
        </w:rPr>
        <w:t>ther the study is undertaken,</w:t>
      </w:r>
      <w:r w:rsidR="00877E89" w:rsidRPr="00B4222E">
        <w:rPr>
          <w:rFonts w:asciiTheme="minorHAnsi" w:hAnsiTheme="minorHAnsi"/>
        </w:rPr>
        <w:t xml:space="preserve"> carries some </w:t>
      </w:r>
      <w:r w:rsidR="00821F38" w:rsidRPr="00B4222E">
        <w:rPr>
          <w:rFonts w:asciiTheme="minorHAnsi" w:hAnsiTheme="minorHAnsi"/>
        </w:rPr>
        <w:t xml:space="preserve">measure of good </w:t>
      </w:r>
      <w:r w:rsidR="00877E89" w:rsidRPr="00B4222E">
        <w:rPr>
          <w:rFonts w:asciiTheme="minorHAnsi" w:hAnsiTheme="minorHAnsi"/>
        </w:rPr>
        <w:t>professional practice</w:t>
      </w:r>
      <w:r w:rsidR="00F76181" w:rsidRPr="00B4222E">
        <w:rPr>
          <w:rFonts w:asciiTheme="minorHAnsi" w:hAnsiTheme="minorHAnsi"/>
        </w:rPr>
        <w:t xml:space="preserve"> of the kind often advocated in terms of reflective practice</w:t>
      </w:r>
      <w:r w:rsidR="00877E89" w:rsidRPr="00B4222E">
        <w:rPr>
          <w:rFonts w:asciiTheme="minorHAnsi" w:hAnsiTheme="minorHAnsi"/>
        </w:rPr>
        <w:t>.  Whilst b</w:t>
      </w:r>
      <w:r w:rsidR="0056787D" w:rsidRPr="00B4222E">
        <w:rPr>
          <w:rFonts w:asciiTheme="minorHAnsi" w:hAnsiTheme="minorHAnsi"/>
        </w:rPr>
        <w:t xml:space="preserve">enefits </w:t>
      </w:r>
      <w:r w:rsidR="00821F38" w:rsidRPr="00B4222E">
        <w:rPr>
          <w:rFonts w:asciiTheme="minorHAnsi" w:hAnsiTheme="minorHAnsi"/>
        </w:rPr>
        <w:t xml:space="preserve">such as these are </w:t>
      </w:r>
      <w:r w:rsidR="00877E89" w:rsidRPr="00B4222E">
        <w:rPr>
          <w:rFonts w:asciiTheme="minorHAnsi" w:hAnsiTheme="minorHAnsi"/>
        </w:rPr>
        <w:t xml:space="preserve">more </w:t>
      </w:r>
      <w:r w:rsidR="00821F38" w:rsidRPr="00B4222E">
        <w:rPr>
          <w:rFonts w:asciiTheme="minorHAnsi" w:hAnsiTheme="minorHAnsi"/>
        </w:rPr>
        <w:t xml:space="preserve">likely to be individual or </w:t>
      </w:r>
      <w:r w:rsidR="00877E89" w:rsidRPr="00B4222E">
        <w:rPr>
          <w:rFonts w:asciiTheme="minorHAnsi" w:hAnsiTheme="minorHAnsi"/>
        </w:rPr>
        <w:t xml:space="preserve">local, they </w:t>
      </w:r>
      <w:r w:rsidR="003A3BC9" w:rsidRPr="00B4222E">
        <w:rPr>
          <w:rFonts w:asciiTheme="minorHAnsi" w:hAnsiTheme="minorHAnsi"/>
        </w:rPr>
        <w:t>are benefits nevertheless.</w:t>
      </w:r>
    </w:p>
    <w:p w14:paraId="35ABCDA8" w14:textId="53C1561E" w:rsidR="00005BB0" w:rsidRPr="00B4222E" w:rsidRDefault="00813A0C" w:rsidP="00B4222E">
      <w:pPr>
        <w:spacing w:before="100" w:beforeAutospacing="1" w:after="120" w:line="360" w:lineRule="auto"/>
        <w:jc w:val="both"/>
        <w:rPr>
          <w:rFonts w:asciiTheme="minorHAnsi" w:hAnsiTheme="minorHAnsi"/>
          <w:bCs/>
          <w:color w:val="000000" w:themeColor="text1"/>
          <w:lang w:eastAsia="en-GB"/>
        </w:rPr>
      </w:pPr>
      <w:r w:rsidRPr="00B4222E">
        <w:rPr>
          <w:rFonts w:asciiTheme="minorHAnsi" w:hAnsiTheme="minorHAnsi"/>
          <w:color w:val="000000" w:themeColor="text1"/>
        </w:rPr>
        <w:t xml:space="preserve">The doing </w:t>
      </w:r>
      <w:r w:rsidR="0045183C" w:rsidRPr="00B4222E">
        <w:rPr>
          <w:rFonts w:asciiTheme="minorHAnsi" w:hAnsiTheme="minorHAnsi"/>
          <w:color w:val="000000" w:themeColor="text1"/>
        </w:rPr>
        <w:t xml:space="preserve">phase </w:t>
      </w:r>
      <w:r w:rsidR="00877E89" w:rsidRPr="00B4222E">
        <w:rPr>
          <w:rFonts w:asciiTheme="minorHAnsi" w:hAnsiTheme="minorHAnsi"/>
          <w:color w:val="000000" w:themeColor="text1"/>
        </w:rPr>
        <w:t>of activity whereby a study takes pla</w:t>
      </w:r>
      <w:r w:rsidR="005736F8" w:rsidRPr="00B4222E">
        <w:rPr>
          <w:rFonts w:asciiTheme="minorHAnsi" w:hAnsiTheme="minorHAnsi"/>
          <w:color w:val="000000" w:themeColor="text1"/>
        </w:rPr>
        <w:t xml:space="preserve">ce carries a categorical imperative that </w:t>
      </w:r>
      <w:r w:rsidR="008E56F3" w:rsidRPr="00B4222E">
        <w:rPr>
          <w:rFonts w:asciiTheme="minorHAnsi" w:hAnsiTheme="minorHAnsi"/>
          <w:color w:val="000000" w:themeColor="text1"/>
        </w:rPr>
        <w:t>conduct</w:t>
      </w:r>
      <w:r w:rsidR="005736F8" w:rsidRPr="00B4222E">
        <w:rPr>
          <w:rFonts w:asciiTheme="minorHAnsi" w:hAnsiTheme="minorHAnsi"/>
          <w:color w:val="000000" w:themeColor="text1"/>
        </w:rPr>
        <w:t xml:space="preserve"> </w:t>
      </w:r>
      <w:r w:rsidR="005736F8" w:rsidRPr="00B4222E">
        <w:rPr>
          <w:rFonts w:asciiTheme="minorHAnsi" w:hAnsiTheme="minorHAnsi"/>
          <w:i/>
          <w:color w:val="000000" w:themeColor="text1"/>
        </w:rPr>
        <w:t>do no harm</w:t>
      </w:r>
      <w:r w:rsidR="005736F8" w:rsidRPr="00B4222E">
        <w:rPr>
          <w:rFonts w:asciiTheme="minorHAnsi" w:hAnsiTheme="minorHAnsi"/>
          <w:color w:val="000000" w:themeColor="text1"/>
        </w:rPr>
        <w:t xml:space="preserve"> –</w:t>
      </w:r>
      <w:r w:rsidRPr="00B4222E">
        <w:rPr>
          <w:rFonts w:asciiTheme="minorHAnsi" w:hAnsiTheme="minorHAnsi"/>
          <w:color w:val="000000" w:themeColor="text1"/>
        </w:rPr>
        <w:t xml:space="preserve"> fieldwork </w:t>
      </w:r>
      <w:r w:rsidR="005736F8" w:rsidRPr="00B4222E">
        <w:rPr>
          <w:rFonts w:asciiTheme="minorHAnsi" w:hAnsiTheme="minorHAnsi"/>
          <w:color w:val="000000" w:themeColor="text1"/>
        </w:rPr>
        <w:t xml:space="preserve">must </w:t>
      </w:r>
      <w:r w:rsidR="00AE11DC" w:rsidRPr="00B4222E">
        <w:rPr>
          <w:rFonts w:asciiTheme="minorHAnsi" w:hAnsiTheme="minorHAnsi"/>
          <w:color w:val="000000" w:themeColor="text1"/>
        </w:rPr>
        <w:t>accord</w:t>
      </w:r>
      <w:r w:rsidR="004440F8" w:rsidRPr="00B4222E">
        <w:rPr>
          <w:rFonts w:asciiTheme="minorHAnsi" w:hAnsiTheme="minorHAnsi"/>
          <w:color w:val="000000" w:themeColor="text1"/>
        </w:rPr>
        <w:t xml:space="preserve"> to </w:t>
      </w:r>
      <w:r w:rsidRPr="00B4222E">
        <w:rPr>
          <w:rFonts w:asciiTheme="minorHAnsi" w:hAnsiTheme="minorHAnsi"/>
          <w:color w:val="000000" w:themeColor="text1"/>
        </w:rPr>
        <w:t xml:space="preserve">sound principles </w:t>
      </w:r>
      <w:r w:rsidR="005736F8" w:rsidRPr="00B4222E">
        <w:rPr>
          <w:rFonts w:asciiTheme="minorHAnsi" w:hAnsiTheme="minorHAnsi"/>
          <w:color w:val="000000" w:themeColor="text1"/>
        </w:rPr>
        <w:t>or</w:t>
      </w:r>
      <w:r w:rsidRPr="00B4222E">
        <w:rPr>
          <w:rFonts w:asciiTheme="minorHAnsi" w:hAnsiTheme="minorHAnsi"/>
          <w:color w:val="000000" w:themeColor="text1"/>
        </w:rPr>
        <w:t xml:space="preserve"> </w:t>
      </w:r>
      <w:r w:rsidR="004440F8" w:rsidRPr="00B4222E">
        <w:rPr>
          <w:rFonts w:asciiTheme="minorHAnsi" w:hAnsiTheme="minorHAnsi"/>
          <w:color w:val="000000" w:themeColor="text1"/>
        </w:rPr>
        <w:t>guidelines</w:t>
      </w:r>
      <w:r w:rsidR="00877E89" w:rsidRPr="00B4222E">
        <w:rPr>
          <w:rFonts w:asciiTheme="minorHAnsi" w:hAnsiTheme="minorHAnsi"/>
          <w:color w:val="000000" w:themeColor="text1"/>
        </w:rPr>
        <w:t xml:space="preserve"> (</w:t>
      </w:r>
      <w:r w:rsidR="0073670D" w:rsidRPr="0073670D">
        <w:rPr>
          <w:rFonts w:asciiTheme="minorHAnsi" w:hAnsiTheme="minorHAnsi"/>
          <w:color w:val="000000" w:themeColor="text1"/>
        </w:rPr>
        <w:t xml:space="preserve">Lunt and </w:t>
      </w:r>
      <w:proofErr w:type="spellStart"/>
      <w:r w:rsidR="0073670D" w:rsidRPr="0073670D">
        <w:rPr>
          <w:rFonts w:asciiTheme="minorHAnsi" w:hAnsiTheme="minorHAnsi"/>
          <w:color w:val="000000" w:themeColor="text1"/>
        </w:rPr>
        <w:t>Fouché</w:t>
      </w:r>
      <w:proofErr w:type="spellEnd"/>
      <w:r w:rsidR="0073670D" w:rsidRPr="0073670D">
        <w:rPr>
          <w:rFonts w:asciiTheme="minorHAnsi" w:hAnsiTheme="minorHAnsi"/>
          <w:color w:val="000000" w:themeColor="text1"/>
        </w:rPr>
        <w:t>, 2010</w:t>
      </w:r>
      <w:r w:rsidRPr="00B4222E">
        <w:rPr>
          <w:rFonts w:asciiTheme="minorHAnsi" w:hAnsiTheme="minorHAnsi"/>
          <w:color w:val="000000" w:themeColor="text1"/>
        </w:rPr>
        <w:t>).</w:t>
      </w:r>
      <w:r w:rsidR="004440F8" w:rsidRPr="00B4222E">
        <w:rPr>
          <w:rFonts w:asciiTheme="minorHAnsi" w:hAnsiTheme="minorHAnsi"/>
          <w:color w:val="000000" w:themeColor="text1"/>
        </w:rPr>
        <w:t xml:space="preserve"> </w:t>
      </w:r>
      <w:r w:rsidRPr="00B4222E">
        <w:rPr>
          <w:rFonts w:asciiTheme="minorHAnsi" w:hAnsiTheme="minorHAnsi"/>
          <w:color w:val="000000" w:themeColor="text1"/>
        </w:rPr>
        <w:t xml:space="preserve">In our review of adult social care literature </w:t>
      </w:r>
      <w:r w:rsidR="008E56F3" w:rsidRPr="00B4222E">
        <w:rPr>
          <w:rFonts w:asciiTheme="minorHAnsi" w:hAnsiTheme="minorHAnsi"/>
          <w:color w:val="000000" w:themeColor="text1"/>
        </w:rPr>
        <w:t>(</w:t>
      </w:r>
      <w:r w:rsidR="0073670D">
        <w:rPr>
          <w:rFonts w:asciiTheme="minorHAnsi" w:hAnsiTheme="minorHAnsi"/>
          <w:color w:val="000000" w:themeColor="text1"/>
        </w:rPr>
        <w:t>Shaw</w:t>
      </w:r>
      <w:r w:rsidR="008D36A8">
        <w:rPr>
          <w:rFonts w:asciiTheme="minorHAnsi" w:hAnsiTheme="minorHAnsi"/>
          <w:color w:val="000000" w:themeColor="text1"/>
        </w:rPr>
        <w:t xml:space="preserve"> </w:t>
      </w:r>
      <w:r w:rsidR="008E56F3" w:rsidRPr="00B4222E">
        <w:rPr>
          <w:rFonts w:asciiTheme="minorHAnsi" w:hAnsiTheme="minorHAnsi"/>
          <w:i/>
          <w:color w:val="000000" w:themeColor="text1"/>
        </w:rPr>
        <w:t>et al</w:t>
      </w:r>
      <w:r w:rsidR="001D5F75">
        <w:rPr>
          <w:rFonts w:asciiTheme="minorHAnsi" w:hAnsiTheme="minorHAnsi"/>
          <w:i/>
          <w:color w:val="000000" w:themeColor="text1"/>
        </w:rPr>
        <w:t>.</w:t>
      </w:r>
      <w:r w:rsidR="008E56F3" w:rsidRPr="00B4222E">
        <w:rPr>
          <w:rFonts w:asciiTheme="minorHAnsi" w:hAnsiTheme="minorHAnsi"/>
          <w:color w:val="000000" w:themeColor="text1"/>
        </w:rPr>
        <w:t xml:space="preserve">, 2014) </w:t>
      </w:r>
      <w:r w:rsidRPr="00B4222E">
        <w:rPr>
          <w:rFonts w:asciiTheme="minorHAnsi" w:hAnsiTheme="minorHAnsi"/>
          <w:color w:val="000000" w:themeColor="text1"/>
        </w:rPr>
        <w:t xml:space="preserve">we noted that overall </w:t>
      </w:r>
      <w:r w:rsidR="00BE00EB" w:rsidRPr="00B4222E">
        <w:rPr>
          <w:rFonts w:asciiTheme="minorHAnsi" w:hAnsiTheme="minorHAnsi"/>
          <w:color w:val="000000" w:themeColor="text1"/>
        </w:rPr>
        <w:t>papers were fairly comprehensive in</w:t>
      </w:r>
      <w:r w:rsidR="004C7A1E">
        <w:rPr>
          <w:rFonts w:asciiTheme="minorHAnsi" w:hAnsiTheme="minorHAnsi"/>
          <w:color w:val="000000" w:themeColor="text1"/>
        </w:rPr>
        <w:t xml:space="preserve"> their coverage of </w:t>
      </w:r>
      <w:r w:rsidR="00BE00EB" w:rsidRPr="00B4222E">
        <w:rPr>
          <w:rFonts w:asciiTheme="minorHAnsi" w:hAnsiTheme="minorHAnsi"/>
          <w:color w:val="000000" w:themeColor="text1"/>
        </w:rPr>
        <w:t>research practice</w:t>
      </w:r>
      <w:r w:rsidR="004C7A1E">
        <w:rPr>
          <w:rFonts w:asciiTheme="minorHAnsi" w:hAnsiTheme="minorHAnsi"/>
          <w:color w:val="000000" w:themeColor="text1"/>
        </w:rPr>
        <w:t xml:space="preserve"> and ethics</w:t>
      </w:r>
      <w:r w:rsidR="008D36A8">
        <w:rPr>
          <w:rFonts w:asciiTheme="minorHAnsi" w:hAnsiTheme="minorHAnsi"/>
          <w:color w:val="000000" w:themeColor="text1"/>
        </w:rPr>
        <w:t xml:space="preserve"> (see Table Two for summary of research </w:t>
      </w:r>
      <w:r w:rsidR="008D36A8">
        <w:rPr>
          <w:rFonts w:asciiTheme="minorHAnsi" w:hAnsiTheme="minorHAnsi"/>
          <w:color w:val="000000" w:themeColor="text1"/>
        </w:rPr>
        <w:lastRenderedPageBreak/>
        <w:t>problems addressed across the 72 studies)</w:t>
      </w:r>
      <w:r w:rsidR="00BE00EB" w:rsidRPr="00B4222E">
        <w:rPr>
          <w:rFonts w:asciiTheme="minorHAnsi" w:hAnsiTheme="minorHAnsi"/>
          <w:color w:val="000000" w:themeColor="text1"/>
        </w:rPr>
        <w:t>. Forty-two</w:t>
      </w:r>
      <w:r w:rsidR="00BE00EB" w:rsidRPr="00B4222E">
        <w:rPr>
          <w:rFonts w:asciiTheme="minorHAnsi" w:hAnsiTheme="minorHAnsi"/>
          <w:color w:val="000000" w:themeColor="text1"/>
          <w:shd w:val="clear" w:color="auto" w:fill="FFFFFF" w:themeFill="background1"/>
        </w:rPr>
        <w:t xml:space="preserve"> of the 72</w:t>
      </w:r>
      <w:r w:rsidR="00BE00EB" w:rsidRPr="00B4222E">
        <w:rPr>
          <w:rFonts w:asciiTheme="minorHAnsi" w:hAnsiTheme="minorHAnsi"/>
          <w:color w:val="000000" w:themeColor="text1"/>
        </w:rPr>
        <w:t xml:space="preserve"> papers provided some details regarding what consideration had been given to ethics in the res</w:t>
      </w:r>
      <w:r w:rsidRPr="00B4222E">
        <w:rPr>
          <w:rFonts w:asciiTheme="minorHAnsi" w:hAnsiTheme="minorHAnsi"/>
          <w:color w:val="000000" w:themeColor="text1"/>
        </w:rPr>
        <w:t>earch process. M</w:t>
      </w:r>
      <w:r w:rsidR="00BE00EB" w:rsidRPr="00B4222E">
        <w:rPr>
          <w:rFonts w:asciiTheme="minorHAnsi" w:hAnsiTheme="minorHAnsi"/>
          <w:bCs/>
          <w:color w:val="000000" w:themeColor="text1"/>
        </w:rPr>
        <w:t xml:space="preserve">any </w:t>
      </w:r>
      <w:r w:rsidRPr="00B4222E">
        <w:rPr>
          <w:rFonts w:asciiTheme="minorHAnsi" w:hAnsiTheme="minorHAnsi"/>
          <w:color w:val="000000" w:themeColor="text1"/>
        </w:rPr>
        <w:t>papers had</w:t>
      </w:r>
      <w:r w:rsidR="00BE00EB" w:rsidRPr="00B4222E">
        <w:rPr>
          <w:rFonts w:asciiTheme="minorHAnsi" w:hAnsiTheme="minorHAnsi"/>
          <w:color w:val="000000" w:themeColor="text1"/>
        </w:rPr>
        <w:t xml:space="preserve"> </w:t>
      </w:r>
      <w:r w:rsidRPr="00B4222E">
        <w:rPr>
          <w:rFonts w:asciiTheme="minorHAnsi" w:hAnsiTheme="minorHAnsi"/>
          <w:color w:val="000000" w:themeColor="text1"/>
        </w:rPr>
        <w:t xml:space="preserve">explicit discussion of </w:t>
      </w:r>
      <w:r w:rsidR="00BE00EB" w:rsidRPr="00B4222E">
        <w:rPr>
          <w:rFonts w:asciiTheme="minorHAnsi" w:hAnsiTheme="minorHAnsi"/>
          <w:color w:val="000000" w:themeColor="text1"/>
        </w:rPr>
        <w:t>the process that they had used to ensure research participants had</w:t>
      </w:r>
      <w:r w:rsidRPr="00B4222E">
        <w:rPr>
          <w:rFonts w:asciiTheme="minorHAnsi" w:hAnsiTheme="minorHAnsi"/>
          <w:color w:val="000000" w:themeColor="text1"/>
        </w:rPr>
        <w:t xml:space="preserve"> given their informed consent.  Thirteen projects were said to ha</w:t>
      </w:r>
      <w:r w:rsidR="004C7A1E">
        <w:rPr>
          <w:rFonts w:asciiTheme="minorHAnsi" w:hAnsiTheme="minorHAnsi"/>
          <w:color w:val="000000" w:themeColor="text1"/>
        </w:rPr>
        <w:t xml:space="preserve">ve been submitted to a range of </w:t>
      </w:r>
      <w:r w:rsidRPr="00B4222E">
        <w:rPr>
          <w:rFonts w:asciiTheme="minorHAnsi" w:hAnsiTheme="minorHAnsi"/>
          <w:color w:val="000000" w:themeColor="text1"/>
        </w:rPr>
        <w:t xml:space="preserve">institutional review boards – most typically local university and/ or local research ethics committee, but also involved reference to other guidance and gatekeepers: </w:t>
      </w:r>
      <w:r w:rsidR="00AE11DC" w:rsidRPr="00B4222E">
        <w:rPr>
          <w:rFonts w:asciiTheme="minorHAnsi" w:hAnsiTheme="minorHAnsi"/>
          <w:color w:val="000000" w:themeColor="text1"/>
        </w:rPr>
        <w:t>Research G</w:t>
      </w:r>
      <w:r w:rsidRPr="00B4222E">
        <w:rPr>
          <w:rFonts w:asciiTheme="minorHAnsi" w:hAnsiTheme="minorHAnsi"/>
          <w:color w:val="000000" w:themeColor="text1"/>
        </w:rPr>
        <w:t>overnance Ma</w:t>
      </w:r>
      <w:r w:rsidR="00D90D92" w:rsidRPr="00B4222E">
        <w:rPr>
          <w:rFonts w:asciiTheme="minorHAnsi" w:hAnsiTheme="minorHAnsi"/>
          <w:color w:val="000000" w:themeColor="text1"/>
        </w:rPr>
        <w:t>nagers</w:t>
      </w:r>
      <w:r w:rsidRPr="00B4222E">
        <w:rPr>
          <w:rFonts w:asciiTheme="minorHAnsi" w:hAnsiTheme="minorHAnsi"/>
          <w:color w:val="000000" w:themeColor="text1"/>
        </w:rPr>
        <w:t xml:space="preserve">, </w:t>
      </w:r>
      <w:r w:rsidR="00D90D92" w:rsidRPr="00B4222E">
        <w:rPr>
          <w:rFonts w:asciiTheme="minorHAnsi" w:hAnsiTheme="minorHAnsi"/>
          <w:color w:val="000000" w:themeColor="text1"/>
        </w:rPr>
        <w:t>Ethical Review C</w:t>
      </w:r>
      <w:r w:rsidRPr="00B4222E">
        <w:rPr>
          <w:rFonts w:asciiTheme="minorHAnsi" w:hAnsiTheme="minorHAnsi"/>
          <w:color w:val="000000" w:themeColor="text1"/>
        </w:rPr>
        <w:t>ommittee</w:t>
      </w:r>
      <w:r w:rsidR="00D90D92" w:rsidRPr="00B4222E">
        <w:rPr>
          <w:rFonts w:asciiTheme="minorHAnsi" w:hAnsiTheme="minorHAnsi"/>
          <w:color w:val="000000" w:themeColor="text1"/>
        </w:rPr>
        <w:t>s,</w:t>
      </w:r>
      <w:r w:rsidRPr="00B4222E">
        <w:rPr>
          <w:rFonts w:asciiTheme="minorHAnsi" w:hAnsiTheme="minorHAnsi"/>
          <w:bCs/>
          <w:color w:val="000000" w:themeColor="text1"/>
        </w:rPr>
        <w:t xml:space="preserve"> </w:t>
      </w:r>
      <w:r w:rsidR="00AE11DC" w:rsidRPr="00B4222E">
        <w:rPr>
          <w:rFonts w:asciiTheme="minorHAnsi" w:hAnsiTheme="minorHAnsi"/>
          <w:color w:val="000000" w:themeColor="text1"/>
        </w:rPr>
        <w:t>p</w:t>
      </w:r>
      <w:r w:rsidR="00D90D92" w:rsidRPr="00B4222E">
        <w:rPr>
          <w:rFonts w:asciiTheme="minorHAnsi" w:hAnsiTheme="minorHAnsi"/>
          <w:color w:val="000000" w:themeColor="text1"/>
        </w:rPr>
        <w:t xml:space="preserve">rofessional and disciplinary </w:t>
      </w:r>
      <w:r w:rsidRPr="00B4222E">
        <w:rPr>
          <w:rFonts w:asciiTheme="minorHAnsi" w:hAnsiTheme="minorHAnsi"/>
          <w:color w:val="000000" w:themeColor="text1"/>
        </w:rPr>
        <w:t>code</w:t>
      </w:r>
      <w:r w:rsidR="00D90D92" w:rsidRPr="00B4222E">
        <w:rPr>
          <w:rFonts w:asciiTheme="minorHAnsi" w:hAnsiTheme="minorHAnsi"/>
          <w:color w:val="000000" w:themeColor="text1"/>
        </w:rPr>
        <w:t>s</w:t>
      </w:r>
      <w:r w:rsidRPr="00B4222E">
        <w:rPr>
          <w:rFonts w:asciiTheme="minorHAnsi" w:hAnsiTheme="minorHAnsi"/>
          <w:color w:val="000000" w:themeColor="text1"/>
        </w:rPr>
        <w:t xml:space="preserve"> of ethics</w:t>
      </w:r>
      <w:r w:rsidRPr="00B4222E">
        <w:rPr>
          <w:rFonts w:asciiTheme="minorHAnsi" w:hAnsiTheme="minorHAnsi"/>
          <w:bCs/>
          <w:color w:val="000000" w:themeColor="text1"/>
          <w:lang w:eastAsia="en-GB"/>
        </w:rPr>
        <w:t>.</w:t>
      </w:r>
      <w:r w:rsidRPr="00B4222E">
        <w:rPr>
          <w:rFonts w:asciiTheme="minorHAnsi" w:hAnsiTheme="minorHAnsi"/>
          <w:color w:val="000000" w:themeColor="text1"/>
        </w:rPr>
        <w:t xml:space="preserve"> </w:t>
      </w:r>
      <w:r w:rsidR="004C7A1E">
        <w:rPr>
          <w:rFonts w:asciiTheme="minorHAnsi" w:hAnsiTheme="minorHAnsi"/>
          <w:color w:val="000000" w:themeColor="text1"/>
        </w:rPr>
        <w:t xml:space="preserve">In some studies there were </w:t>
      </w:r>
      <w:r w:rsidR="00AB777A" w:rsidRPr="00B4222E">
        <w:rPr>
          <w:rFonts w:asciiTheme="minorHAnsi" w:hAnsiTheme="minorHAnsi"/>
          <w:color w:val="000000" w:themeColor="text1"/>
        </w:rPr>
        <w:t>fewer detailed ethical reflections (</w:t>
      </w:r>
      <w:r w:rsidR="00355C80" w:rsidRPr="00B4222E">
        <w:rPr>
          <w:rFonts w:asciiTheme="minorHAnsi" w:hAnsiTheme="minorHAnsi"/>
          <w:color w:val="000000" w:themeColor="text1"/>
        </w:rPr>
        <w:t xml:space="preserve">e.g. </w:t>
      </w:r>
      <w:r w:rsidR="00080F47">
        <w:rPr>
          <w:rFonts w:asciiTheme="minorHAnsi" w:hAnsiTheme="minorHAnsi"/>
          <w:color w:val="000000" w:themeColor="text1"/>
        </w:rPr>
        <w:t>Gascoigne &amp;</w:t>
      </w:r>
      <w:r w:rsidR="00AB777A" w:rsidRPr="00B4222E">
        <w:rPr>
          <w:rFonts w:asciiTheme="minorHAnsi" w:hAnsiTheme="minorHAnsi"/>
          <w:color w:val="000000" w:themeColor="text1"/>
        </w:rPr>
        <w:t xml:space="preserve"> </w:t>
      </w:r>
      <w:proofErr w:type="spellStart"/>
      <w:r w:rsidR="00AB777A" w:rsidRPr="00B4222E">
        <w:rPr>
          <w:rFonts w:asciiTheme="minorHAnsi" w:hAnsiTheme="minorHAnsi"/>
          <w:color w:val="000000" w:themeColor="text1"/>
        </w:rPr>
        <w:t>Mashhoudy</w:t>
      </w:r>
      <w:proofErr w:type="spellEnd"/>
      <w:r w:rsidR="00AB777A" w:rsidRPr="00B4222E">
        <w:rPr>
          <w:rFonts w:asciiTheme="minorHAnsi" w:hAnsiTheme="minorHAnsi"/>
          <w:color w:val="000000" w:themeColor="text1"/>
        </w:rPr>
        <w:t>, 2011; Halfpenny-Weir,</w:t>
      </w:r>
      <w:r w:rsidR="00080F47">
        <w:rPr>
          <w:rFonts w:asciiTheme="minorHAnsi" w:hAnsiTheme="minorHAnsi"/>
          <w:color w:val="000000" w:themeColor="text1"/>
        </w:rPr>
        <w:t xml:space="preserve"> 2009).  For example, in Lau &amp;</w:t>
      </w:r>
      <w:r w:rsidR="00AB777A" w:rsidRPr="00B4222E">
        <w:rPr>
          <w:rFonts w:asciiTheme="minorHAnsi" w:hAnsiTheme="minorHAnsi"/>
          <w:color w:val="000000" w:themeColor="text1"/>
        </w:rPr>
        <w:t xml:space="preserve"> Ridge (2011) there </w:t>
      </w:r>
      <w:r w:rsidR="00426796" w:rsidRPr="00B4222E">
        <w:rPr>
          <w:rFonts w:asciiTheme="minorHAnsi" w:hAnsiTheme="minorHAnsi"/>
          <w:color w:val="000000" w:themeColor="text1"/>
        </w:rPr>
        <w:t>wa</w:t>
      </w:r>
      <w:r w:rsidR="00AB777A" w:rsidRPr="00B4222E">
        <w:rPr>
          <w:rFonts w:asciiTheme="minorHAnsi" w:hAnsiTheme="minorHAnsi"/>
          <w:color w:val="000000" w:themeColor="text1"/>
        </w:rPr>
        <w:t xml:space="preserve">s no detail on permissions to cite case study details, </w:t>
      </w:r>
      <w:proofErr w:type="gramStart"/>
      <w:r w:rsidR="00AB777A" w:rsidRPr="00B4222E">
        <w:rPr>
          <w:rFonts w:asciiTheme="minorHAnsi" w:hAnsiTheme="minorHAnsi"/>
          <w:color w:val="000000" w:themeColor="text1"/>
        </w:rPr>
        <w:t>nor</w:t>
      </w:r>
      <w:proofErr w:type="gramEnd"/>
      <w:r w:rsidR="00AB777A" w:rsidRPr="00B4222E">
        <w:rPr>
          <w:rFonts w:asciiTheme="minorHAnsi" w:hAnsiTheme="minorHAnsi"/>
          <w:color w:val="000000" w:themeColor="text1"/>
        </w:rPr>
        <w:t xml:space="preserve"> about anonymization or confidentiality.  Similarly, </w:t>
      </w:r>
      <w:proofErr w:type="spellStart"/>
      <w:r w:rsidR="00AB777A" w:rsidRPr="00B4222E">
        <w:rPr>
          <w:rFonts w:asciiTheme="minorHAnsi" w:hAnsiTheme="minorHAnsi"/>
          <w:color w:val="000000" w:themeColor="text1"/>
        </w:rPr>
        <w:t>Blacher</w:t>
      </w:r>
      <w:proofErr w:type="spellEnd"/>
      <w:r w:rsidR="00AB777A" w:rsidRPr="00B4222E">
        <w:rPr>
          <w:rFonts w:asciiTheme="minorHAnsi" w:hAnsiTheme="minorHAnsi"/>
          <w:color w:val="000000" w:themeColor="text1"/>
        </w:rPr>
        <w:t xml:space="preserve"> (2003) said little about access, confidentiality, anonymity, and it remains unclear who undertook the interviews and how.  For some studies it was not possible to determine access, confidentiality or anonymity and it is unclear whether this reflected </w:t>
      </w:r>
      <w:r w:rsidR="00AB777A" w:rsidRPr="00B4222E">
        <w:rPr>
          <w:rFonts w:asciiTheme="minorHAnsi" w:hAnsiTheme="minorHAnsi"/>
          <w:i/>
          <w:color w:val="000000" w:themeColor="text1"/>
        </w:rPr>
        <w:t>lacunae</w:t>
      </w:r>
      <w:r w:rsidR="00AB777A" w:rsidRPr="00B4222E">
        <w:rPr>
          <w:rFonts w:asciiTheme="minorHAnsi" w:hAnsiTheme="minorHAnsi"/>
          <w:color w:val="000000" w:themeColor="text1"/>
        </w:rPr>
        <w:t xml:space="preserve"> in reporting the study or actual research practice.</w:t>
      </w:r>
      <w:r w:rsidR="00AB777A" w:rsidRPr="00B4222E">
        <w:rPr>
          <w:rFonts w:asciiTheme="minorHAnsi" w:hAnsiTheme="minorHAnsi"/>
          <w:bCs/>
          <w:color w:val="000000" w:themeColor="text1"/>
          <w:lang w:eastAsia="en-GB"/>
        </w:rPr>
        <w:t xml:space="preserve"> </w:t>
      </w:r>
      <w:r w:rsidR="00BE00EB" w:rsidRPr="00B4222E">
        <w:rPr>
          <w:rFonts w:asciiTheme="minorHAnsi" w:hAnsiTheme="minorHAnsi"/>
          <w:color w:val="000000" w:themeColor="text1"/>
        </w:rPr>
        <w:t xml:space="preserve">In some papers it is reasonable to assume that </w:t>
      </w:r>
      <w:r w:rsidRPr="00B4222E">
        <w:rPr>
          <w:rFonts w:asciiTheme="minorHAnsi" w:hAnsiTheme="minorHAnsi"/>
          <w:color w:val="000000" w:themeColor="text1"/>
        </w:rPr>
        <w:t xml:space="preserve">fundamental ethical processes such as </w:t>
      </w:r>
      <w:r w:rsidR="00BE00EB" w:rsidRPr="00B4222E">
        <w:rPr>
          <w:rFonts w:asciiTheme="minorHAnsi" w:hAnsiTheme="minorHAnsi"/>
          <w:color w:val="000000" w:themeColor="text1"/>
        </w:rPr>
        <w:t>the consent process took place but w</w:t>
      </w:r>
      <w:r w:rsidR="00426796" w:rsidRPr="00B4222E">
        <w:rPr>
          <w:rFonts w:asciiTheme="minorHAnsi" w:hAnsiTheme="minorHAnsi"/>
          <w:color w:val="000000" w:themeColor="text1"/>
        </w:rPr>
        <w:t>ere</w:t>
      </w:r>
      <w:r w:rsidR="00BE00EB" w:rsidRPr="00B4222E">
        <w:rPr>
          <w:rFonts w:asciiTheme="minorHAnsi" w:hAnsiTheme="minorHAnsi"/>
          <w:color w:val="000000" w:themeColor="text1"/>
        </w:rPr>
        <w:t xml:space="preserve"> simply not reported</w:t>
      </w:r>
      <w:r w:rsidRPr="00B4222E">
        <w:rPr>
          <w:rFonts w:asciiTheme="minorHAnsi" w:hAnsiTheme="minorHAnsi"/>
          <w:color w:val="000000" w:themeColor="text1"/>
        </w:rPr>
        <w:t xml:space="preserve">. </w:t>
      </w:r>
    </w:p>
    <w:p w14:paraId="5FB21A7A" w14:textId="7A62F2F0" w:rsidR="00E7756A" w:rsidRPr="00B4222E" w:rsidRDefault="009F2714" w:rsidP="00B4222E">
      <w:pPr>
        <w:spacing w:before="100" w:beforeAutospacing="1" w:after="120" w:line="360" w:lineRule="auto"/>
        <w:jc w:val="both"/>
        <w:rPr>
          <w:rFonts w:asciiTheme="minorHAnsi" w:hAnsiTheme="minorHAnsi"/>
        </w:rPr>
      </w:pPr>
      <w:r w:rsidRPr="00B4222E">
        <w:rPr>
          <w:rFonts w:asciiTheme="minorHAnsi" w:hAnsiTheme="minorHAnsi"/>
        </w:rPr>
        <w:t>What can be said</w:t>
      </w:r>
      <w:r w:rsidR="00DB7EB1" w:rsidRPr="00B4222E">
        <w:rPr>
          <w:rFonts w:asciiTheme="minorHAnsi" w:hAnsiTheme="minorHAnsi"/>
        </w:rPr>
        <w:t xml:space="preserve"> about gen</w:t>
      </w:r>
      <w:r w:rsidRPr="00B4222E">
        <w:rPr>
          <w:rFonts w:asciiTheme="minorHAnsi" w:hAnsiTheme="minorHAnsi"/>
        </w:rPr>
        <w:t xml:space="preserve">eric good practice of reported studies regardless of whether they are Type 1 or Type 2 </w:t>
      </w:r>
      <w:r w:rsidR="008E56F3" w:rsidRPr="00B4222E">
        <w:rPr>
          <w:rFonts w:asciiTheme="minorHAnsi" w:hAnsiTheme="minorHAnsi"/>
        </w:rPr>
        <w:t>practitioner r</w:t>
      </w:r>
      <w:r w:rsidR="00AD3B9C" w:rsidRPr="00B4222E">
        <w:rPr>
          <w:rFonts w:asciiTheme="minorHAnsi" w:hAnsiTheme="minorHAnsi"/>
        </w:rPr>
        <w:t>esearch</w:t>
      </w:r>
      <w:r w:rsidRPr="00B4222E">
        <w:rPr>
          <w:rFonts w:asciiTheme="minorHAnsi" w:hAnsiTheme="minorHAnsi"/>
        </w:rPr>
        <w:t xml:space="preserve">?  </w:t>
      </w:r>
      <w:r w:rsidR="00AE11DC" w:rsidRPr="00B4222E">
        <w:rPr>
          <w:rFonts w:asciiTheme="minorHAnsi" w:hAnsiTheme="minorHAnsi"/>
        </w:rPr>
        <w:t>It is likely that there is a significant difference between Type 1 and 2 in that studies with</w:t>
      </w:r>
      <w:r w:rsidR="008E56F3" w:rsidRPr="00B4222E">
        <w:rPr>
          <w:rFonts w:asciiTheme="minorHAnsi" w:hAnsiTheme="minorHAnsi"/>
        </w:rPr>
        <w:t>out an</w:t>
      </w:r>
      <w:r w:rsidR="00AE11DC" w:rsidRPr="00B4222E">
        <w:rPr>
          <w:rFonts w:asciiTheme="minorHAnsi" w:hAnsiTheme="minorHAnsi"/>
        </w:rPr>
        <w:t xml:space="preserve"> academic lead accustomed to writing for mainstream academic audiences </w:t>
      </w:r>
      <w:r w:rsidR="008E56F3" w:rsidRPr="00B4222E">
        <w:rPr>
          <w:rFonts w:asciiTheme="minorHAnsi" w:hAnsiTheme="minorHAnsi"/>
        </w:rPr>
        <w:t>are less likely to translate into journal outputs</w:t>
      </w:r>
      <w:r w:rsidR="00EB310A" w:rsidRPr="00B4222E">
        <w:rPr>
          <w:rFonts w:asciiTheme="minorHAnsi" w:hAnsiTheme="minorHAnsi"/>
        </w:rPr>
        <w:t>.</w:t>
      </w:r>
      <w:r w:rsidR="00AE11DC" w:rsidRPr="00B4222E">
        <w:rPr>
          <w:rFonts w:asciiTheme="minorHAnsi" w:hAnsiTheme="minorHAnsi"/>
        </w:rPr>
        <w:t xml:space="preserve"> </w:t>
      </w:r>
      <w:r w:rsidR="00355C80" w:rsidRPr="00B4222E">
        <w:rPr>
          <w:rFonts w:asciiTheme="minorHAnsi" w:hAnsiTheme="minorHAnsi"/>
        </w:rPr>
        <w:t>Confident estimates of the scale of such research are hard to come by</w:t>
      </w:r>
      <w:r w:rsidR="00E7756A" w:rsidRPr="00B4222E">
        <w:rPr>
          <w:rFonts w:asciiTheme="minorHAnsi" w:hAnsiTheme="minorHAnsi"/>
        </w:rPr>
        <w:t xml:space="preserve">, but practitioner research in social care probably occupies a major part of the total volume of research activity in the field. For example, an incomplete audit by one of the authors of projects from 1999 to 2002 in South East Wales yielded 42 projects. A conservative extrapolation for numbers of current or recent such projects in the UK would be well into four figures – a number well above estimates of the number of social care research projects taking place in British universities for the same period. </w:t>
      </w:r>
    </w:p>
    <w:p w14:paraId="3567D5B8" w14:textId="1355575F" w:rsidR="002A078C" w:rsidRPr="002A078C" w:rsidRDefault="009F2714" w:rsidP="002A078C">
      <w:pPr>
        <w:spacing w:before="100" w:beforeAutospacing="1" w:after="120" w:line="360" w:lineRule="auto"/>
        <w:jc w:val="both"/>
        <w:rPr>
          <w:rFonts w:asciiTheme="minorHAnsi" w:hAnsiTheme="minorHAnsi"/>
        </w:rPr>
      </w:pPr>
      <w:r w:rsidRPr="00B4222E">
        <w:rPr>
          <w:rFonts w:asciiTheme="minorHAnsi" w:hAnsiTheme="minorHAnsi"/>
        </w:rPr>
        <w:lastRenderedPageBreak/>
        <w:t xml:space="preserve">In assessing studies </w:t>
      </w:r>
      <w:r w:rsidR="00AE11DC" w:rsidRPr="00B4222E">
        <w:rPr>
          <w:rFonts w:asciiTheme="minorHAnsi" w:hAnsiTheme="minorHAnsi"/>
        </w:rPr>
        <w:t xml:space="preserve">that are published </w:t>
      </w:r>
      <w:r w:rsidRPr="00B4222E">
        <w:rPr>
          <w:rFonts w:asciiTheme="minorHAnsi" w:hAnsiTheme="minorHAnsi"/>
        </w:rPr>
        <w:t xml:space="preserve">what is the balance to be struck between their methodological rigour and the substantive contribution?  </w:t>
      </w:r>
      <w:r w:rsidR="00DB7EB1" w:rsidRPr="00B4222E">
        <w:rPr>
          <w:rFonts w:asciiTheme="minorHAnsi" w:hAnsiTheme="minorHAnsi"/>
        </w:rPr>
        <w:t>Here o</w:t>
      </w:r>
      <w:r w:rsidR="00897E62" w:rsidRPr="00B4222E">
        <w:rPr>
          <w:rFonts w:asciiTheme="minorHAnsi" w:hAnsiTheme="minorHAnsi"/>
        </w:rPr>
        <w:t xml:space="preserve">ur approach to </w:t>
      </w:r>
      <w:r w:rsidR="004C7A1E">
        <w:rPr>
          <w:rFonts w:asciiTheme="minorHAnsi" w:hAnsiTheme="minorHAnsi"/>
        </w:rPr>
        <w:t xml:space="preserve">appraising </w:t>
      </w:r>
      <w:r w:rsidR="00897E62" w:rsidRPr="00B4222E">
        <w:rPr>
          <w:rFonts w:asciiTheme="minorHAnsi" w:hAnsiTheme="minorHAnsi"/>
        </w:rPr>
        <w:t>the studi</w:t>
      </w:r>
      <w:r w:rsidR="004C7A1E">
        <w:rPr>
          <w:rFonts w:asciiTheme="minorHAnsi" w:hAnsiTheme="minorHAnsi"/>
        </w:rPr>
        <w:t xml:space="preserve">es is premised on the longstanding </w:t>
      </w:r>
      <w:r w:rsidR="00897E62" w:rsidRPr="00B4222E">
        <w:rPr>
          <w:rFonts w:asciiTheme="minorHAnsi" w:hAnsiTheme="minorHAnsi"/>
        </w:rPr>
        <w:t>academic assumption that good research entails a certain form of writing, and an expectation that researchers will set their work in a scholarly tradition and context</w:t>
      </w:r>
      <w:r w:rsidRPr="00B4222E">
        <w:rPr>
          <w:rFonts w:asciiTheme="minorHAnsi" w:hAnsiTheme="minorHAnsi"/>
        </w:rPr>
        <w:t xml:space="preserve"> – including methodological justification and detail</w:t>
      </w:r>
      <w:r w:rsidR="000B4151" w:rsidRPr="00B4222E">
        <w:rPr>
          <w:rFonts w:asciiTheme="minorHAnsi" w:hAnsiTheme="minorHAnsi"/>
        </w:rPr>
        <w:t>. T</w:t>
      </w:r>
      <w:r w:rsidR="00897E62" w:rsidRPr="00B4222E">
        <w:rPr>
          <w:rFonts w:asciiTheme="minorHAnsi" w:hAnsiTheme="minorHAnsi"/>
        </w:rPr>
        <w:t xml:space="preserve">he questioning of scholarly conventions </w:t>
      </w:r>
      <w:r w:rsidRPr="00B4222E">
        <w:rPr>
          <w:rFonts w:asciiTheme="minorHAnsi" w:hAnsiTheme="minorHAnsi"/>
        </w:rPr>
        <w:t xml:space="preserve">such as through more personal and reflexive forms of writing </w:t>
      </w:r>
      <w:r w:rsidR="00897E62" w:rsidRPr="00B4222E">
        <w:rPr>
          <w:rFonts w:asciiTheme="minorHAnsi" w:hAnsiTheme="minorHAnsi"/>
        </w:rPr>
        <w:t>does at least suggest that we should leave open the question of whether good practitioner research sh</w:t>
      </w:r>
      <w:r w:rsidRPr="00B4222E">
        <w:rPr>
          <w:rFonts w:asciiTheme="minorHAnsi" w:hAnsiTheme="minorHAnsi"/>
        </w:rPr>
        <w:t xml:space="preserve">ould </w:t>
      </w:r>
      <w:r w:rsidR="00426796" w:rsidRPr="00B4222E">
        <w:rPr>
          <w:rFonts w:asciiTheme="minorHAnsi" w:hAnsiTheme="minorHAnsi"/>
        </w:rPr>
        <w:t>be open to more diverse and perhaps innovative forms of writing</w:t>
      </w:r>
      <w:r w:rsidR="00F10537" w:rsidRPr="00B4222E">
        <w:rPr>
          <w:rFonts w:asciiTheme="minorHAnsi" w:hAnsiTheme="minorHAnsi"/>
        </w:rPr>
        <w:t>.</w:t>
      </w:r>
    </w:p>
    <w:p w14:paraId="0F55EDFE" w14:textId="01B22FBB" w:rsidR="002A078C" w:rsidRPr="009110F2" w:rsidRDefault="009110F2" w:rsidP="002A078C">
      <w:pPr>
        <w:spacing w:line="360" w:lineRule="auto"/>
        <w:rPr>
          <w:rFonts w:asciiTheme="minorHAnsi" w:eastAsiaTheme="minorEastAsia" w:hAnsiTheme="minorHAnsi" w:cs="Arial"/>
          <w:b/>
          <w:sz w:val="28"/>
          <w:lang w:bidi="ar-SA"/>
        </w:rPr>
      </w:pPr>
      <w:r w:rsidRPr="009110F2">
        <w:rPr>
          <w:rFonts w:asciiTheme="minorHAnsi" w:eastAsiaTheme="minorEastAsia" w:hAnsiTheme="minorHAnsi" w:cs="Arial"/>
          <w:b/>
          <w:color w:val="000000"/>
          <w:sz w:val="28"/>
          <w:lang w:bidi="ar-SA"/>
        </w:rPr>
        <w:t xml:space="preserve">INSERT </w:t>
      </w:r>
      <w:r w:rsidR="002A078C" w:rsidRPr="009110F2">
        <w:rPr>
          <w:rFonts w:asciiTheme="minorHAnsi" w:eastAsiaTheme="minorEastAsia" w:hAnsiTheme="minorHAnsi" w:cs="Arial"/>
          <w:b/>
          <w:color w:val="000000"/>
          <w:sz w:val="28"/>
          <w:lang w:bidi="ar-SA"/>
        </w:rPr>
        <w:t>Table 2: Research Problems Addressed</w:t>
      </w:r>
      <w:r w:rsidR="008D36A8" w:rsidRPr="009110F2">
        <w:rPr>
          <w:rFonts w:asciiTheme="minorHAnsi" w:eastAsiaTheme="minorEastAsia" w:hAnsiTheme="minorHAnsi" w:cs="Arial"/>
          <w:b/>
          <w:color w:val="000000"/>
          <w:sz w:val="28"/>
          <w:lang w:bidi="ar-SA"/>
        </w:rPr>
        <w:t xml:space="preserve"> A</w:t>
      </w:r>
      <w:r w:rsidR="002A078C" w:rsidRPr="009110F2">
        <w:rPr>
          <w:rFonts w:asciiTheme="minorHAnsi" w:eastAsiaTheme="minorEastAsia" w:hAnsiTheme="minorHAnsi" w:cs="Arial"/>
          <w:b/>
          <w:color w:val="000000"/>
          <w:sz w:val="28"/>
          <w:lang w:bidi="ar-SA"/>
        </w:rPr>
        <w:t>cross</w:t>
      </w:r>
      <w:r w:rsidR="008D36A8" w:rsidRPr="009110F2">
        <w:rPr>
          <w:rFonts w:asciiTheme="minorHAnsi" w:eastAsiaTheme="minorEastAsia" w:hAnsiTheme="minorHAnsi" w:cs="Arial"/>
          <w:b/>
          <w:color w:val="000000"/>
          <w:sz w:val="28"/>
          <w:lang w:bidi="ar-SA"/>
        </w:rPr>
        <w:t xml:space="preserve"> the 72 P</w:t>
      </w:r>
      <w:r w:rsidR="002A078C" w:rsidRPr="009110F2">
        <w:rPr>
          <w:rFonts w:asciiTheme="minorHAnsi" w:eastAsiaTheme="minorEastAsia" w:hAnsiTheme="minorHAnsi" w:cs="Arial"/>
          <w:b/>
          <w:color w:val="000000"/>
          <w:sz w:val="28"/>
          <w:lang w:bidi="ar-SA"/>
        </w:rPr>
        <w:t>apers.</w:t>
      </w:r>
      <w:r w:rsidR="002A078C" w:rsidRPr="009110F2">
        <w:rPr>
          <w:rFonts w:asciiTheme="minorHAnsi" w:eastAsiaTheme="minorEastAsia" w:hAnsiTheme="minorHAnsi" w:cs="Arial"/>
          <w:b/>
          <w:color w:val="000000"/>
          <w:sz w:val="28"/>
          <w:vertAlign w:val="superscript"/>
          <w:lang w:bidi="ar-SA"/>
        </w:rPr>
        <w:footnoteReference w:id="1"/>
      </w:r>
    </w:p>
    <w:p w14:paraId="071A227A" w14:textId="3A8F286B" w:rsidR="000B4151" w:rsidRPr="00B4222E" w:rsidRDefault="00A14709" w:rsidP="00B4222E">
      <w:pPr>
        <w:shd w:val="clear" w:color="auto" w:fill="FFFFFF"/>
        <w:spacing w:before="100" w:beforeAutospacing="1" w:after="120" w:line="360" w:lineRule="auto"/>
        <w:jc w:val="both"/>
        <w:rPr>
          <w:rFonts w:asciiTheme="minorHAnsi" w:hAnsiTheme="minorHAnsi"/>
        </w:rPr>
      </w:pPr>
      <w:r w:rsidRPr="00B4222E">
        <w:rPr>
          <w:rFonts w:asciiTheme="minorHAnsi" w:hAnsiTheme="minorHAnsi"/>
        </w:rPr>
        <w:t xml:space="preserve">Assuming that </w:t>
      </w:r>
      <w:r w:rsidR="000B4151" w:rsidRPr="00B4222E">
        <w:rPr>
          <w:rFonts w:asciiTheme="minorHAnsi" w:hAnsiTheme="minorHAnsi"/>
        </w:rPr>
        <w:t xml:space="preserve">wider claims to knowledge are being made </w:t>
      </w:r>
      <w:r w:rsidR="00936F92" w:rsidRPr="00B4222E">
        <w:rPr>
          <w:rFonts w:asciiTheme="minorHAnsi" w:hAnsiTheme="minorHAnsi"/>
        </w:rPr>
        <w:t xml:space="preserve">it is reasonable to demand </w:t>
      </w:r>
      <w:r w:rsidR="000B4151" w:rsidRPr="00B4222E">
        <w:rPr>
          <w:rFonts w:asciiTheme="minorHAnsi" w:hAnsiTheme="minorHAnsi"/>
        </w:rPr>
        <w:t xml:space="preserve">methodological transparency.  </w:t>
      </w:r>
      <w:r w:rsidR="00897E62" w:rsidRPr="00B4222E">
        <w:rPr>
          <w:rFonts w:asciiTheme="minorHAnsi" w:hAnsiTheme="minorHAnsi"/>
        </w:rPr>
        <w:t xml:space="preserve">Most papers </w:t>
      </w:r>
      <w:r w:rsidR="00547B62" w:rsidRPr="00B4222E">
        <w:rPr>
          <w:rFonts w:asciiTheme="minorHAnsi" w:hAnsiTheme="minorHAnsi"/>
        </w:rPr>
        <w:t xml:space="preserve">in our 2014 review </w:t>
      </w:r>
      <w:r w:rsidR="00897E62" w:rsidRPr="00B4222E">
        <w:rPr>
          <w:rFonts w:asciiTheme="minorHAnsi" w:hAnsiTheme="minorHAnsi"/>
        </w:rPr>
        <w:t xml:space="preserve">were explicit about the methods that had been employed, providing detailed information on design rationale, data collection and analysis.  </w:t>
      </w:r>
      <w:r w:rsidR="00547B62" w:rsidRPr="00B4222E">
        <w:rPr>
          <w:rFonts w:asciiTheme="minorHAnsi" w:hAnsiTheme="minorHAnsi"/>
        </w:rPr>
        <w:t xml:space="preserve">The </w:t>
      </w:r>
      <w:r w:rsidR="000B4151" w:rsidRPr="00B4222E">
        <w:rPr>
          <w:rFonts w:asciiTheme="minorHAnsi" w:hAnsiTheme="minorHAnsi"/>
        </w:rPr>
        <w:t xml:space="preserve">practitioner research shows considerable methodological range, </w:t>
      </w:r>
      <w:r w:rsidR="00936F92" w:rsidRPr="00B4222E">
        <w:rPr>
          <w:rFonts w:asciiTheme="minorHAnsi" w:hAnsiTheme="minorHAnsi"/>
        </w:rPr>
        <w:t>but comparing the two types of practitioner research there are differences with</w:t>
      </w:r>
      <w:r w:rsidR="00AE11DC" w:rsidRPr="00B4222E">
        <w:rPr>
          <w:rFonts w:asciiTheme="minorHAnsi" w:hAnsiTheme="minorHAnsi"/>
        </w:rPr>
        <w:t xml:space="preserve"> Type 1</w:t>
      </w:r>
      <w:r w:rsidR="00AD3B9C" w:rsidRPr="00B4222E">
        <w:rPr>
          <w:rFonts w:asciiTheme="minorHAnsi" w:hAnsiTheme="minorHAnsi"/>
        </w:rPr>
        <w:t xml:space="preserve"> </w:t>
      </w:r>
      <w:r w:rsidR="00936F92" w:rsidRPr="00B4222E">
        <w:rPr>
          <w:rFonts w:asciiTheme="minorHAnsi" w:hAnsiTheme="minorHAnsi"/>
        </w:rPr>
        <w:t xml:space="preserve">having </w:t>
      </w:r>
      <w:r w:rsidR="00AD3B9C" w:rsidRPr="00B4222E">
        <w:rPr>
          <w:rFonts w:asciiTheme="minorHAnsi" w:hAnsiTheme="minorHAnsi"/>
        </w:rPr>
        <w:t>a</w:t>
      </w:r>
      <w:r w:rsidR="000B4151" w:rsidRPr="00B4222E">
        <w:rPr>
          <w:rFonts w:asciiTheme="minorHAnsi" w:hAnsiTheme="minorHAnsi"/>
        </w:rPr>
        <w:t xml:space="preserve"> high</w:t>
      </w:r>
      <w:r w:rsidR="00AD3B9C" w:rsidRPr="00B4222E">
        <w:rPr>
          <w:rFonts w:asciiTheme="minorHAnsi" w:hAnsiTheme="minorHAnsi"/>
        </w:rPr>
        <w:t>er</w:t>
      </w:r>
      <w:r w:rsidR="000B4151" w:rsidRPr="00B4222E">
        <w:rPr>
          <w:rFonts w:asciiTheme="minorHAnsi" w:hAnsiTheme="minorHAnsi"/>
        </w:rPr>
        <w:t xml:space="preserve"> percentage of structured methods, and a greater proportion of mixed method studies.  A</w:t>
      </w:r>
      <w:r w:rsidR="00897E62" w:rsidRPr="00B4222E">
        <w:rPr>
          <w:rFonts w:asciiTheme="minorHAnsi" w:hAnsiTheme="minorHAnsi"/>
        </w:rPr>
        <w:t>cross the 72 studies, 35 fourteen dr</w:t>
      </w:r>
      <w:r w:rsidR="000B4151" w:rsidRPr="00B4222E">
        <w:rPr>
          <w:rFonts w:asciiTheme="minorHAnsi" w:hAnsiTheme="minorHAnsi"/>
        </w:rPr>
        <w:t xml:space="preserve">ew on more than one method – </w:t>
      </w:r>
      <w:r w:rsidR="00897E62" w:rsidRPr="00B4222E">
        <w:rPr>
          <w:rFonts w:asciiTheme="minorHAnsi" w:hAnsiTheme="minorHAnsi"/>
        </w:rPr>
        <w:t>117 methods choices were made across th</w:t>
      </w:r>
      <w:r w:rsidR="00A06E58">
        <w:rPr>
          <w:rFonts w:asciiTheme="minorHAnsi" w:hAnsiTheme="minorHAnsi"/>
        </w:rPr>
        <w:t xml:space="preserve">e 72 studies. Whilst there methods were </w:t>
      </w:r>
      <w:r w:rsidR="00897E62" w:rsidRPr="00B4222E">
        <w:rPr>
          <w:rFonts w:asciiTheme="minorHAnsi" w:hAnsiTheme="minorHAnsi"/>
        </w:rPr>
        <w:t>predominantly semi-structured interviews, there were also instances of syntheses, focus groups an</w:t>
      </w:r>
      <w:r w:rsidR="00A06E58">
        <w:rPr>
          <w:rFonts w:asciiTheme="minorHAnsi" w:hAnsiTheme="minorHAnsi"/>
        </w:rPr>
        <w:t>d group interviews</w:t>
      </w:r>
      <w:r w:rsidR="00897E62" w:rsidRPr="00B4222E">
        <w:rPr>
          <w:rFonts w:asciiTheme="minorHAnsi" w:hAnsiTheme="minorHAnsi"/>
        </w:rPr>
        <w:t xml:space="preserve">, narratives/autobiography, visual diaries, sleep diaries, </w:t>
      </w:r>
      <w:r w:rsidR="00A06E58">
        <w:rPr>
          <w:rFonts w:asciiTheme="minorHAnsi" w:hAnsiTheme="minorHAnsi"/>
        </w:rPr>
        <w:t xml:space="preserve">observations, </w:t>
      </w:r>
      <w:r w:rsidR="00897E62" w:rsidRPr="00B4222E">
        <w:rPr>
          <w:rFonts w:asciiTheme="minorHAnsi" w:hAnsiTheme="minorHAnsi"/>
        </w:rPr>
        <w:t xml:space="preserve">records and organisational documents, action research, and </w:t>
      </w:r>
      <w:r w:rsidR="00AD3B9C" w:rsidRPr="00B4222E">
        <w:rPr>
          <w:rFonts w:asciiTheme="minorHAnsi" w:hAnsiTheme="minorHAnsi"/>
        </w:rPr>
        <w:t>personal records</w:t>
      </w:r>
      <w:r w:rsidR="00897E62" w:rsidRPr="00B4222E">
        <w:rPr>
          <w:rFonts w:asciiTheme="minorHAnsi" w:hAnsiTheme="minorHAnsi"/>
        </w:rPr>
        <w:t xml:space="preserve"> </w:t>
      </w:r>
      <w:r w:rsidR="00080F47">
        <w:rPr>
          <w:rFonts w:asciiTheme="minorHAnsi" w:hAnsiTheme="minorHAnsi"/>
        </w:rPr>
        <w:t>(White &amp;</w:t>
      </w:r>
      <w:r w:rsidR="00AD3B9C" w:rsidRPr="00B4222E">
        <w:rPr>
          <w:rFonts w:asciiTheme="minorHAnsi" w:hAnsiTheme="minorHAnsi"/>
        </w:rPr>
        <w:t xml:space="preserve"> </w:t>
      </w:r>
      <w:proofErr w:type="spellStart"/>
      <w:r w:rsidR="00AD3B9C" w:rsidRPr="00B4222E">
        <w:rPr>
          <w:rFonts w:asciiTheme="minorHAnsi" w:hAnsiTheme="minorHAnsi"/>
        </w:rPr>
        <w:t>Lemmer</w:t>
      </w:r>
      <w:proofErr w:type="spellEnd"/>
      <w:r w:rsidR="00AD3B9C" w:rsidRPr="00B4222E">
        <w:rPr>
          <w:rFonts w:asciiTheme="minorHAnsi" w:hAnsiTheme="minorHAnsi"/>
        </w:rPr>
        <w:t xml:space="preserve">, 1998; Birch, 2005; Green </w:t>
      </w:r>
      <w:r w:rsidR="00AD3B9C" w:rsidRPr="00B4222E">
        <w:rPr>
          <w:rFonts w:asciiTheme="minorHAnsi" w:hAnsiTheme="minorHAnsi"/>
          <w:i/>
        </w:rPr>
        <w:t>et al</w:t>
      </w:r>
      <w:r w:rsidR="001D5F75">
        <w:rPr>
          <w:rFonts w:asciiTheme="minorHAnsi" w:hAnsiTheme="minorHAnsi"/>
          <w:i/>
        </w:rPr>
        <w:t>.</w:t>
      </w:r>
      <w:r w:rsidR="00AD3B9C" w:rsidRPr="00B4222E">
        <w:rPr>
          <w:rFonts w:asciiTheme="minorHAnsi" w:hAnsiTheme="minorHAnsi"/>
        </w:rPr>
        <w:t xml:space="preserve">, 2005; Welch </w:t>
      </w:r>
      <w:r w:rsidR="00080F47">
        <w:rPr>
          <w:rFonts w:asciiTheme="minorHAnsi" w:hAnsiTheme="minorHAnsi"/>
        </w:rPr>
        <w:t>&amp;</w:t>
      </w:r>
      <w:r w:rsidR="00AD3B9C" w:rsidRPr="00B4222E">
        <w:rPr>
          <w:rFonts w:asciiTheme="minorHAnsi" w:hAnsiTheme="minorHAnsi"/>
        </w:rPr>
        <w:t xml:space="preserve"> </w:t>
      </w:r>
      <w:r w:rsidR="0033154F" w:rsidRPr="00B4222E">
        <w:rPr>
          <w:rFonts w:asciiTheme="minorHAnsi" w:hAnsiTheme="minorHAnsi"/>
        </w:rPr>
        <w:t xml:space="preserve">Dawson, 2006; </w:t>
      </w:r>
      <w:proofErr w:type="spellStart"/>
      <w:r w:rsidR="0033154F" w:rsidRPr="00B4222E">
        <w:rPr>
          <w:rFonts w:asciiTheme="minorHAnsi" w:hAnsiTheme="minorHAnsi"/>
        </w:rPr>
        <w:t>Pipon</w:t>
      </w:r>
      <w:proofErr w:type="spellEnd"/>
      <w:r w:rsidR="0033154F" w:rsidRPr="00B4222E">
        <w:rPr>
          <w:rFonts w:asciiTheme="minorHAnsi" w:hAnsiTheme="minorHAnsi"/>
        </w:rPr>
        <w:t xml:space="preserve">-Young </w:t>
      </w:r>
      <w:r w:rsidR="0033154F" w:rsidRPr="00B4222E">
        <w:rPr>
          <w:rFonts w:asciiTheme="minorHAnsi" w:hAnsiTheme="minorHAnsi"/>
          <w:i/>
        </w:rPr>
        <w:t>et al</w:t>
      </w:r>
      <w:r w:rsidR="001D5F75">
        <w:rPr>
          <w:rFonts w:asciiTheme="minorHAnsi" w:hAnsiTheme="minorHAnsi"/>
          <w:i/>
        </w:rPr>
        <w:t>.</w:t>
      </w:r>
      <w:r w:rsidR="00AD3B9C" w:rsidRPr="00B4222E">
        <w:rPr>
          <w:rFonts w:asciiTheme="minorHAnsi" w:hAnsiTheme="minorHAnsi"/>
        </w:rPr>
        <w:t>, 2012).</w:t>
      </w:r>
    </w:p>
    <w:p w14:paraId="10A95161" w14:textId="2933FCB0" w:rsidR="00F10537" w:rsidRPr="00B4222E" w:rsidRDefault="001D77F0" w:rsidP="00B4222E">
      <w:pPr>
        <w:shd w:val="clear" w:color="auto" w:fill="FFFFFF"/>
        <w:spacing w:before="100" w:beforeAutospacing="1" w:after="120" w:line="360" w:lineRule="auto"/>
        <w:jc w:val="both"/>
        <w:rPr>
          <w:rFonts w:asciiTheme="minorHAnsi" w:hAnsiTheme="minorHAnsi"/>
        </w:rPr>
      </w:pPr>
      <w:r>
        <w:rPr>
          <w:rFonts w:asciiTheme="minorHAnsi" w:hAnsiTheme="minorHAnsi"/>
        </w:rPr>
        <w:t xml:space="preserve">Whilst it was not the case that </w:t>
      </w:r>
      <w:r w:rsidR="00AE11DC" w:rsidRPr="00B4222E">
        <w:rPr>
          <w:rFonts w:asciiTheme="minorHAnsi" w:hAnsiTheme="minorHAnsi"/>
        </w:rPr>
        <w:t>all studies reported details</w:t>
      </w:r>
      <w:r w:rsidR="00897E62" w:rsidRPr="00B4222E">
        <w:rPr>
          <w:rFonts w:asciiTheme="minorHAnsi" w:hAnsiTheme="minorHAnsi"/>
        </w:rPr>
        <w:t xml:space="preserve"> clearly and unambiguously, in general the descriptions of</w:t>
      </w:r>
      <w:r>
        <w:rPr>
          <w:rFonts w:asciiTheme="minorHAnsi" w:hAnsiTheme="minorHAnsi"/>
        </w:rPr>
        <w:t xml:space="preserve"> </w:t>
      </w:r>
      <w:r w:rsidR="00897E62" w:rsidRPr="00B4222E">
        <w:rPr>
          <w:rFonts w:asciiTheme="minorHAnsi" w:hAnsiTheme="minorHAnsi"/>
        </w:rPr>
        <w:t xml:space="preserve">study design, development of instrument, or search strategy, were clear. The quality and robustness in design and write-up was evident for some pieces (e.g. Connolly </w:t>
      </w:r>
      <w:r w:rsidR="00897E62" w:rsidRPr="00B4222E">
        <w:rPr>
          <w:rFonts w:asciiTheme="minorHAnsi" w:hAnsiTheme="minorHAnsi"/>
          <w:i/>
        </w:rPr>
        <w:t>et al</w:t>
      </w:r>
      <w:r w:rsidR="001D5F75">
        <w:rPr>
          <w:rFonts w:asciiTheme="minorHAnsi" w:hAnsiTheme="minorHAnsi"/>
          <w:i/>
        </w:rPr>
        <w:t>.</w:t>
      </w:r>
      <w:r w:rsidR="00080F47">
        <w:rPr>
          <w:rFonts w:asciiTheme="minorHAnsi" w:hAnsiTheme="minorHAnsi"/>
        </w:rPr>
        <w:t xml:space="preserve">, 2009; </w:t>
      </w:r>
      <w:proofErr w:type="spellStart"/>
      <w:r w:rsidR="00080F47">
        <w:rPr>
          <w:rFonts w:asciiTheme="minorHAnsi" w:hAnsiTheme="minorHAnsi"/>
        </w:rPr>
        <w:t>Furminger</w:t>
      </w:r>
      <w:proofErr w:type="spellEnd"/>
      <w:r w:rsidR="00080F47">
        <w:rPr>
          <w:rFonts w:asciiTheme="minorHAnsi" w:hAnsiTheme="minorHAnsi"/>
        </w:rPr>
        <w:t xml:space="preserve"> &amp; </w:t>
      </w:r>
      <w:r w:rsidR="00080F47">
        <w:rPr>
          <w:rFonts w:asciiTheme="minorHAnsi" w:hAnsiTheme="minorHAnsi"/>
        </w:rPr>
        <w:lastRenderedPageBreak/>
        <w:t>Webber, 2009; Welch &amp;</w:t>
      </w:r>
      <w:r w:rsidR="00897E62" w:rsidRPr="00B4222E">
        <w:rPr>
          <w:rFonts w:asciiTheme="minorHAnsi" w:hAnsiTheme="minorHAnsi"/>
        </w:rPr>
        <w:t xml:space="preserve"> Dawson, 2006).  This was less clear in Godfrey’s (2004) reflective account of the journey and learning achi</w:t>
      </w:r>
      <w:r>
        <w:rPr>
          <w:rFonts w:asciiTheme="minorHAnsi" w:hAnsiTheme="minorHAnsi"/>
        </w:rPr>
        <w:t>eved in the process of undertaking</w:t>
      </w:r>
      <w:r w:rsidR="00897E62" w:rsidRPr="00B4222E">
        <w:rPr>
          <w:rFonts w:asciiTheme="minorHAnsi" w:hAnsiTheme="minorHAnsi"/>
        </w:rPr>
        <w:t xml:space="preserve"> research. Whether the description provided encompasses all aspec</w:t>
      </w:r>
      <w:r w:rsidR="00F10537" w:rsidRPr="00B4222E">
        <w:rPr>
          <w:rFonts w:asciiTheme="minorHAnsi" w:hAnsiTheme="minorHAnsi"/>
        </w:rPr>
        <w:t xml:space="preserve">ts of the study, is not clear. </w:t>
      </w:r>
    </w:p>
    <w:p w14:paraId="4AA3AC69" w14:textId="04BCAC66" w:rsidR="00897E62" w:rsidRPr="00B4222E" w:rsidRDefault="00897E62" w:rsidP="00B4222E">
      <w:pPr>
        <w:shd w:val="clear" w:color="auto" w:fill="FFFFFF"/>
        <w:spacing w:before="100" w:beforeAutospacing="1" w:after="120" w:line="360" w:lineRule="auto"/>
        <w:jc w:val="both"/>
        <w:rPr>
          <w:rFonts w:asciiTheme="minorHAnsi" w:hAnsiTheme="minorHAnsi"/>
        </w:rPr>
      </w:pPr>
      <w:r w:rsidRPr="00B4222E">
        <w:rPr>
          <w:rFonts w:asciiTheme="minorHAnsi" w:hAnsiTheme="minorHAnsi"/>
        </w:rPr>
        <w:t>Designs and approach</w:t>
      </w:r>
      <w:r w:rsidR="001D77F0">
        <w:rPr>
          <w:rFonts w:asciiTheme="minorHAnsi" w:hAnsiTheme="minorHAnsi"/>
        </w:rPr>
        <w:t>es were diverse</w:t>
      </w:r>
      <w:r w:rsidRPr="00B4222E">
        <w:rPr>
          <w:rFonts w:asciiTheme="minorHAnsi" w:hAnsiTheme="minorHAnsi"/>
        </w:rPr>
        <w:t xml:space="preserve">, although they were typically cross-sectional and </w:t>
      </w:r>
      <w:r w:rsidR="001D77F0">
        <w:rPr>
          <w:rFonts w:asciiTheme="minorHAnsi" w:hAnsiTheme="minorHAnsi"/>
        </w:rPr>
        <w:t>involved data being</w:t>
      </w:r>
      <w:r w:rsidRPr="00B4222E">
        <w:rPr>
          <w:rFonts w:asciiTheme="minorHAnsi" w:hAnsiTheme="minorHAnsi"/>
        </w:rPr>
        <w:t xml:space="preserve"> collec</w:t>
      </w:r>
      <w:r w:rsidR="001D77F0">
        <w:rPr>
          <w:rFonts w:asciiTheme="minorHAnsi" w:hAnsiTheme="minorHAnsi"/>
        </w:rPr>
        <w:t>ted at one point in time. We found a</w:t>
      </w:r>
      <w:r w:rsidRPr="00B4222E">
        <w:rPr>
          <w:rFonts w:asciiTheme="minorHAnsi" w:hAnsiTheme="minorHAnsi"/>
        </w:rPr>
        <w:t xml:space="preserve"> small number of examples of a quasi-experimenta</w:t>
      </w:r>
      <w:r w:rsidR="00080F47">
        <w:rPr>
          <w:rFonts w:asciiTheme="minorHAnsi" w:hAnsiTheme="minorHAnsi"/>
        </w:rPr>
        <w:t>l design including Gascoigne &amp;</w:t>
      </w:r>
      <w:r w:rsidRPr="00B4222E">
        <w:rPr>
          <w:rFonts w:asciiTheme="minorHAnsi" w:hAnsiTheme="minorHAnsi"/>
        </w:rPr>
        <w:t xml:space="preserve"> </w:t>
      </w:r>
      <w:proofErr w:type="spellStart"/>
      <w:r w:rsidRPr="00B4222E">
        <w:rPr>
          <w:rFonts w:asciiTheme="minorHAnsi" w:hAnsiTheme="minorHAnsi"/>
        </w:rPr>
        <w:t>Mashhoudy</w:t>
      </w:r>
      <w:proofErr w:type="spellEnd"/>
      <w:r w:rsidRPr="00B4222E">
        <w:rPr>
          <w:rFonts w:asciiTheme="minorHAnsi" w:hAnsiTheme="minorHAnsi"/>
        </w:rPr>
        <w:t xml:space="preserve"> (2011) who examined the mortality rate of a group of </w:t>
      </w:r>
      <w:r w:rsidR="001D77F0">
        <w:rPr>
          <w:rFonts w:asciiTheme="minorHAnsi" w:hAnsiTheme="minorHAnsi"/>
        </w:rPr>
        <w:t xml:space="preserve">residential home </w:t>
      </w:r>
      <w:r w:rsidRPr="00B4222E">
        <w:rPr>
          <w:rFonts w:asciiTheme="minorHAnsi" w:hAnsiTheme="minorHAnsi"/>
        </w:rPr>
        <w:t>residents who had experienced involuntar</w:t>
      </w:r>
      <w:r w:rsidR="001D77F0">
        <w:rPr>
          <w:rFonts w:asciiTheme="minorHAnsi" w:hAnsiTheme="minorHAnsi"/>
        </w:rPr>
        <w:t>y relocation</w:t>
      </w:r>
      <w:r w:rsidRPr="00B4222E">
        <w:rPr>
          <w:rFonts w:asciiTheme="minorHAnsi" w:hAnsiTheme="minorHAnsi"/>
        </w:rPr>
        <w:t xml:space="preserve">, and compared them with that of a group within their first year of residential care who had not experienced relocation. </w:t>
      </w:r>
    </w:p>
    <w:p w14:paraId="7910CC9E" w14:textId="128E8CA7" w:rsidR="00A14709" w:rsidRPr="00B4222E" w:rsidRDefault="00897E62" w:rsidP="00B4222E">
      <w:pPr>
        <w:spacing w:before="100" w:beforeAutospacing="1" w:after="120" w:line="360" w:lineRule="auto"/>
        <w:jc w:val="both"/>
        <w:rPr>
          <w:rFonts w:asciiTheme="minorHAnsi" w:hAnsiTheme="minorHAnsi" w:cs="Arial"/>
        </w:rPr>
      </w:pPr>
      <w:r w:rsidRPr="00B4222E">
        <w:rPr>
          <w:rFonts w:asciiTheme="minorHAnsi" w:hAnsiTheme="minorHAnsi" w:cs="Arial"/>
        </w:rPr>
        <w:t xml:space="preserve">Many of the studies </w:t>
      </w:r>
      <w:r w:rsidR="00C81B5C">
        <w:rPr>
          <w:rFonts w:asciiTheme="minorHAnsi" w:hAnsiTheme="minorHAnsi" w:cs="Arial"/>
        </w:rPr>
        <w:t xml:space="preserve">took place </w:t>
      </w:r>
      <w:r w:rsidR="00CD4113">
        <w:rPr>
          <w:rFonts w:asciiTheme="minorHAnsi" w:hAnsiTheme="minorHAnsi" w:cs="Arial"/>
        </w:rPr>
        <w:t xml:space="preserve">in </w:t>
      </w:r>
      <w:r w:rsidRPr="00B4222E">
        <w:rPr>
          <w:rFonts w:asciiTheme="minorHAnsi" w:hAnsiTheme="minorHAnsi" w:cs="Arial"/>
        </w:rPr>
        <w:t xml:space="preserve">a particular bounded locality, whether a health </w:t>
      </w:r>
      <w:r w:rsidR="00E7756A" w:rsidRPr="00B4222E">
        <w:rPr>
          <w:rFonts w:asciiTheme="minorHAnsi" w:hAnsiTheme="minorHAnsi" w:cs="Arial"/>
        </w:rPr>
        <w:t>t</w:t>
      </w:r>
      <w:r w:rsidRPr="00B4222E">
        <w:rPr>
          <w:rFonts w:asciiTheme="minorHAnsi" w:hAnsiTheme="minorHAnsi" w:cs="Arial"/>
        </w:rPr>
        <w:t>rust, a defined area, a city or otherwise bounded si</w:t>
      </w:r>
      <w:r w:rsidR="00547B62" w:rsidRPr="00B4222E">
        <w:rPr>
          <w:rFonts w:asciiTheme="minorHAnsi" w:hAnsiTheme="minorHAnsi" w:cs="Arial"/>
        </w:rPr>
        <w:t>te</w:t>
      </w:r>
      <w:r w:rsidR="00BE00EB" w:rsidRPr="00B4222E">
        <w:rPr>
          <w:rFonts w:asciiTheme="minorHAnsi" w:hAnsiTheme="minorHAnsi" w:cs="Arial"/>
        </w:rPr>
        <w:t xml:space="preserve">.  </w:t>
      </w:r>
      <w:r w:rsidR="00C81B5C">
        <w:rPr>
          <w:rFonts w:asciiTheme="minorHAnsi" w:hAnsiTheme="minorHAnsi" w:cs="Arial"/>
        </w:rPr>
        <w:t xml:space="preserve">The studies adopted sampling </w:t>
      </w:r>
      <w:r w:rsidRPr="00B4222E">
        <w:rPr>
          <w:rFonts w:asciiTheme="minorHAnsi" w:hAnsiTheme="minorHAnsi" w:cs="Arial"/>
        </w:rPr>
        <w:t xml:space="preserve">approaches </w:t>
      </w:r>
      <w:r w:rsidR="00C81B5C">
        <w:rPr>
          <w:rFonts w:asciiTheme="minorHAnsi" w:hAnsiTheme="minorHAnsi" w:cs="Arial"/>
        </w:rPr>
        <w:t xml:space="preserve">that </w:t>
      </w:r>
      <w:r w:rsidR="00BE00EB" w:rsidRPr="00B4222E">
        <w:rPr>
          <w:rFonts w:asciiTheme="minorHAnsi" w:hAnsiTheme="minorHAnsi" w:cs="Arial"/>
        </w:rPr>
        <w:t>included purposive</w:t>
      </w:r>
      <w:r w:rsidRPr="00B4222E">
        <w:rPr>
          <w:rFonts w:asciiTheme="minorHAnsi" w:hAnsiTheme="minorHAnsi" w:cs="Arial"/>
        </w:rPr>
        <w:t>,</w:t>
      </w:r>
      <w:r w:rsidR="00BE00EB" w:rsidRPr="00B4222E">
        <w:rPr>
          <w:rFonts w:asciiTheme="minorHAnsi" w:hAnsiTheme="minorHAnsi" w:cs="Arial"/>
        </w:rPr>
        <w:t xml:space="preserve"> self-selecting</w:t>
      </w:r>
      <w:r w:rsidRPr="00B4222E">
        <w:rPr>
          <w:rFonts w:asciiTheme="minorHAnsi" w:hAnsiTheme="minorHAnsi"/>
          <w:bCs/>
          <w:color w:val="000000"/>
          <w:lang w:eastAsia="en-GB"/>
        </w:rPr>
        <w:t>,</w:t>
      </w:r>
      <w:r w:rsidR="00BE00EB" w:rsidRPr="00B4222E">
        <w:rPr>
          <w:rFonts w:asciiTheme="minorHAnsi" w:hAnsiTheme="minorHAnsi" w:cs="Arial"/>
        </w:rPr>
        <w:t xml:space="preserve"> convenience</w:t>
      </w:r>
      <w:r w:rsidRPr="00B4222E">
        <w:rPr>
          <w:rFonts w:asciiTheme="minorHAnsi" w:hAnsiTheme="minorHAnsi"/>
          <w:bCs/>
          <w:color w:val="000000"/>
          <w:lang w:eastAsia="en-GB"/>
        </w:rPr>
        <w:t>,</w:t>
      </w:r>
      <w:r w:rsidR="00BE00EB" w:rsidRPr="00B4222E">
        <w:rPr>
          <w:rFonts w:asciiTheme="minorHAnsi" w:hAnsiTheme="minorHAnsi" w:cs="Arial"/>
        </w:rPr>
        <w:t xml:space="preserve"> random stratified</w:t>
      </w:r>
      <w:r w:rsidR="00CD4113">
        <w:rPr>
          <w:rFonts w:asciiTheme="minorHAnsi" w:hAnsiTheme="minorHAnsi"/>
          <w:bCs/>
          <w:color w:val="000000"/>
          <w:lang w:eastAsia="en-GB"/>
        </w:rPr>
        <w:t>,</w:t>
      </w:r>
      <w:r w:rsidRPr="00B4222E">
        <w:rPr>
          <w:rFonts w:asciiTheme="minorHAnsi" w:hAnsiTheme="minorHAnsi"/>
          <w:bCs/>
          <w:color w:val="000000"/>
          <w:lang w:eastAsia="en-GB"/>
        </w:rPr>
        <w:t xml:space="preserve"> random/simple probability</w:t>
      </w:r>
      <w:r w:rsidR="00C81B5C">
        <w:rPr>
          <w:rFonts w:asciiTheme="minorHAnsi" w:hAnsiTheme="minorHAnsi" w:cs="Arial"/>
        </w:rPr>
        <w:t>.  There was also an attempt</w:t>
      </w:r>
      <w:r w:rsidRPr="00B4222E">
        <w:rPr>
          <w:rFonts w:asciiTheme="minorHAnsi" w:hAnsiTheme="minorHAnsi" w:cs="Arial"/>
        </w:rPr>
        <w:t xml:space="preserve"> at achieving full-census within a borough (</w:t>
      </w:r>
      <w:r w:rsidR="00080F47">
        <w:rPr>
          <w:rFonts w:asciiTheme="minorHAnsi" w:hAnsiTheme="minorHAnsi"/>
          <w:bCs/>
          <w:color w:val="000000"/>
          <w:lang w:eastAsia="en-GB"/>
        </w:rPr>
        <w:t>Slack &amp;</w:t>
      </w:r>
      <w:r w:rsidRPr="00B4222E">
        <w:rPr>
          <w:rFonts w:asciiTheme="minorHAnsi" w:hAnsiTheme="minorHAnsi"/>
          <w:bCs/>
          <w:color w:val="000000"/>
          <w:lang w:eastAsia="en-GB"/>
        </w:rPr>
        <w:t xml:space="preserve"> Webber, 2007).</w:t>
      </w:r>
      <w:r w:rsidR="00BE00EB" w:rsidRPr="00B4222E">
        <w:rPr>
          <w:rFonts w:asciiTheme="minorHAnsi" w:hAnsiTheme="minorHAnsi" w:cs="Arial"/>
        </w:rPr>
        <w:t xml:space="preserve">  </w:t>
      </w:r>
      <w:r w:rsidR="00C81B5C">
        <w:rPr>
          <w:rFonts w:asciiTheme="minorHAnsi" w:hAnsiTheme="minorHAnsi"/>
        </w:rPr>
        <w:t>V</w:t>
      </w:r>
      <w:r w:rsidRPr="00B4222E">
        <w:rPr>
          <w:rFonts w:asciiTheme="minorHAnsi" w:hAnsiTheme="minorHAnsi"/>
        </w:rPr>
        <w:t xml:space="preserve">ariable levels of reflection on research processes </w:t>
      </w:r>
      <w:r w:rsidR="00C81B5C">
        <w:rPr>
          <w:rFonts w:asciiTheme="minorHAnsi" w:hAnsiTheme="minorHAnsi"/>
        </w:rPr>
        <w:t xml:space="preserve">were evident </w:t>
      </w:r>
      <w:r w:rsidRPr="00B4222E">
        <w:rPr>
          <w:rFonts w:asciiTheme="minorHAnsi" w:hAnsiTheme="minorHAnsi"/>
        </w:rPr>
        <w:t xml:space="preserve">(partial exceptions </w:t>
      </w:r>
      <w:r w:rsidR="00C81B5C">
        <w:rPr>
          <w:rFonts w:asciiTheme="minorHAnsi" w:hAnsiTheme="minorHAnsi"/>
        </w:rPr>
        <w:t xml:space="preserve">where there were </w:t>
      </w:r>
      <w:r w:rsidR="00AD3B9C" w:rsidRPr="00B4222E">
        <w:rPr>
          <w:rFonts w:asciiTheme="minorHAnsi" w:hAnsiTheme="minorHAnsi"/>
        </w:rPr>
        <w:t xml:space="preserve">higher levels </w:t>
      </w:r>
      <w:r w:rsidRPr="00B4222E">
        <w:rPr>
          <w:rFonts w:asciiTheme="minorHAnsi" w:hAnsiTheme="minorHAnsi"/>
        </w:rPr>
        <w:t xml:space="preserve">included Godfrey, 2004; McKay </w:t>
      </w:r>
      <w:r w:rsidRPr="00B4222E">
        <w:rPr>
          <w:rFonts w:asciiTheme="minorHAnsi" w:hAnsiTheme="minorHAnsi"/>
          <w:i/>
        </w:rPr>
        <w:t>et al</w:t>
      </w:r>
      <w:r w:rsidR="001D5F75">
        <w:rPr>
          <w:rFonts w:asciiTheme="minorHAnsi" w:hAnsiTheme="minorHAnsi"/>
          <w:i/>
        </w:rPr>
        <w:t>.</w:t>
      </w:r>
      <w:r w:rsidRPr="00B4222E">
        <w:rPr>
          <w:rFonts w:asciiTheme="minorHAnsi" w:hAnsiTheme="minorHAnsi"/>
        </w:rPr>
        <w:t>, 2011,</w:t>
      </w:r>
      <w:r w:rsidR="00080F47">
        <w:rPr>
          <w:rFonts w:asciiTheme="minorHAnsi" w:hAnsiTheme="minorHAnsi"/>
        </w:rPr>
        <w:t xml:space="preserve"> McWilliams, 2005; and Welch &amp;</w:t>
      </w:r>
      <w:r w:rsidRPr="00B4222E">
        <w:rPr>
          <w:rFonts w:asciiTheme="minorHAnsi" w:hAnsiTheme="minorHAnsi"/>
        </w:rPr>
        <w:t xml:space="preserve"> Dawson, 2006). </w:t>
      </w:r>
      <w:r w:rsidR="00C81B5C">
        <w:rPr>
          <w:rFonts w:asciiTheme="minorHAnsi" w:hAnsiTheme="minorHAnsi"/>
        </w:rPr>
        <w:t>Dat</w:t>
      </w:r>
      <w:r w:rsidR="00CD4113">
        <w:rPr>
          <w:rFonts w:asciiTheme="minorHAnsi" w:hAnsiTheme="minorHAnsi"/>
        </w:rPr>
        <w:t>a</w:t>
      </w:r>
      <w:r w:rsidR="00C81B5C">
        <w:rPr>
          <w:rFonts w:asciiTheme="minorHAnsi" w:hAnsiTheme="minorHAnsi"/>
        </w:rPr>
        <w:t xml:space="preserve"> was typically viewed in realist </w:t>
      </w:r>
      <w:r w:rsidRPr="00B4222E">
        <w:rPr>
          <w:rFonts w:asciiTheme="minorHAnsi" w:hAnsiTheme="minorHAnsi"/>
        </w:rPr>
        <w:t>terms, and, despite some interest in reflective practice in social c</w:t>
      </w:r>
      <w:r w:rsidR="00C81B5C">
        <w:rPr>
          <w:rFonts w:asciiTheme="minorHAnsi" w:hAnsiTheme="minorHAnsi"/>
        </w:rPr>
        <w:t>are, there appeared to be limited awareness of</w:t>
      </w:r>
      <w:r w:rsidR="00CD4113">
        <w:rPr>
          <w:rFonts w:asciiTheme="minorHAnsi" w:hAnsiTheme="minorHAnsi"/>
        </w:rPr>
        <w:t>,</w:t>
      </w:r>
      <w:r w:rsidR="00C81B5C">
        <w:rPr>
          <w:rFonts w:asciiTheme="minorHAnsi" w:hAnsiTheme="minorHAnsi"/>
        </w:rPr>
        <w:t xml:space="preserve"> and engagement with</w:t>
      </w:r>
      <w:r w:rsidR="00CD4113">
        <w:rPr>
          <w:rFonts w:asciiTheme="minorHAnsi" w:hAnsiTheme="minorHAnsi"/>
        </w:rPr>
        <w:t>,</w:t>
      </w:r>
      <w:r w:rsidR="00C81B5C">
        <w:rPr>
          <w:rFonts w:asciiTheme="minorHAnsi" w:hAnsiTheme="minorHAnsi"/>
        </w:rPr>
        <w:t xml:space="preserve"> </w:t>
      </w:r>
      <w:r w:rsidRPr="00B4222E">
        <w:rPr>
          <w:rFonts w:asciiTheme="minorHAnsi" w:hAnsiTheme="minorHAnsi"/>
        </w:rPr>
        <w:t xml:space="preserve">reflexivity. However, </w:t>
      </w:r>
      <w:r w:rsidR="00C81B5C">
        <w:rPr>
          <w:rFonts w:asciiTheme="minorHAnsi" w:hAnsiTheme="minorHAnsi"/>
        </w:rPr>
        <w:t xml:space="preserve">here </w:t>
      </w:r>
      <w:r w:rsidRPr="00B4222E">
        <w:rPr>
          <w:rFonts w:asciiTheme="minorHAnsi" w:hAnsiTheme="minorHAnsi"/>
        </w:rPr>
        <w:t>practitioner researchers may not be markedly different from academic social care researchers in these respects.</w:t>
      </w:r>
    </w:p>
    <w:p w14:paraId="2AC9044A" w14:textId="62548A2B" w:rsidR="00AD3B9C" w:rsidRPr="00B4222E" w:rsidRDefault="00A14709" w:rsidP="00B4222E">
      <w:pPr>
        <w:keepNext/>
        <w:spacing w:before="100" w:beforeAutospacing="1" w:after="120" w:line="360" w:lineRule="auto"/>
        <w:jc w:val="both"/>
        <w:outlineLvl w:val="3"/>
        <w:rPr>
          <w:rFonts w:asciiTheme="minorHAnsi" w:hAnsiTheme="minorHAnsi"/>
          <w:i/>
        </w:rPr>
      </w:pPr>
      <w:r w:rsidRPr="00B4222E">
        <w:rPr>
          <w:rFonts w:asciiTheme="minorHAnsi" w:hAnsiTheme="minorHAnsi"/>
          <w:bCs/>
          <w:lang w:eastAsia="en-GB"/>
        </w:rPr>
        <w:lastRenderedPageBreak/>
        <w:t>A</w:t>
      </w:r>
      <w:r w:rsidR="00897E62" w:rsidRPr="00B4222E">
        <w:rPr>
          <w:rFonts w:asciiTheme="minorHAnsi" w:hAnsiTheme="minorHAnsi"/>
        </w:rPr>
        <w:t xml:space="preserve">mong </w:t>
      </w:r>
      <w:r w:rsidR="00C81B5C">
        <w:rPr>
          <w:rFonts w:asciiTheme="minorHAnsi" w:hAnsiTheme="minorHAnsi"/>
        </w:rPr>
        <w:t xml:space="preserve">papers that </w:t>
      </w:r>
      <w:r w:rsidR="00897E62" w:rsidRPr="00B4222E">
        <w:rPr>
          <w:rFonts w:asciiTheme="minorHAnsi" w:hAnsiTheme="minorHAnsi"/>
        </w:rPr>
        <w:t>that stood out as providi</w:t>
      </w:r>
      <w:r w:rsidR="003D1E19">
        <w:rPr>
          <w:rFonts w:asciiTheme="minorHAnsi" w:hAnsiTheme="minorHAnsi"/>
        </w:rPr>
        <w:t>ng comprehensive and clear</w:t>
      </w:r>
      <w:r w:rsidR="00897E62" w:rsidRPr="00B4222E">
        <w:rPr>
          <w:rFonts w:asciiTheme="minorHAnsi" w:hAnsiTheme="minorHAnsi"/>
        </w:rPr>
        <w:t xml:space="preserve"> deta</w:t>
      </w:r>
      <w:r w:rsidR="003D1E19">
        <w:rPr>
          <w:rFonts w:asciiTheme="minorHAnsi" w:hAnsiTheme="minorHAnsi"/>
        </w:rPr>
        <w:t xml:space="preserve">il were those </w:t>
      </w:r>
      <w:r w:rsidR="00897E62" w:rsidRPr="00B4222E">
        <w:rPr>
          <w:rFonts w:asciiTheme="minorHAnsi" w:hAnsiTheme="minorHAnsi"/>
        </w:rPr>
        <w:t>studi</w:t>
      </w:r>
      <w:r w:rsidR="003D1E19">
        <w:rPr>
          <w:rFonts w:asciiTheme="minorHAnsi" w:hAnsiTheme="minorHAnsi"/>
        </w:rPr>
        <w:t xml:space="preserve">es that had been undertaken </w:t>
      </w:r>
      <w:r w:rsidR="00897E62" w:rsidRPr="00B4222E">
        <w:rPr>
          <w:rFonts w:asciiTheme="minorHAnsi" w:hAnsiTheme="minorHAnsi"/>
        </w:rPr>
        <w:t>in partnersh</w:t>
      </w:r>
      <w:r w:rsidR="00080F47">
        <w:rPr>
          <w:rFonts w:asciiTheme="minorHAnsi" w:hAnsiTheme="minorHAnsi"/>
        </w:rPr>
        <w:t>ip with academics (e.g. Kane &amp;</w:t>
      </w:r>
      <w:r w:rsidR="00897E62" w:rsidRPr="00B4222E">
        <w:rPr>
          <w:rFonts w:asciiTheme="minorHAnsi" w:hAnsiTheme="minorHAnsi"/>
        </w:rPr>
        <w:t xml:space="preserve"> Bamford, 2003; Mitchell </w:t>
      </w:r>
      <w:r w:rsidR="00897E62" w:rsidRPr="00B4222E">
        <w:rPr>
          <w:rFonts w:asciiTheme="minorHAnsi" w:hAnsiTheme="minorHAnsi"/>
          <w:i/>
        </w:rPr>
        <w:t>et al</w:t>
      </w:r>
      <w:r w:rsidR="001D5F75">
        <w:rPr>
          <w:rFonts w:asciiTheme="minorHAnsi" w:hAnsiTheme="minorHAnsi"/>
          <w:i/>
        </w:rPr>
        <w:t>.</w:t>
      </w:r>
      <w:r w:rsidR="00080F47">
        <w:rPr>
          <w:rFonts w:asciiTheme="minorHAnsi" w:hAnsiTheme="minorHAnsi"/>
        </w:rPr>
        <w:t>, 1998; Slack &amp;</w:t>
      </w:r>
      <w:r w:rsidR="00897E62" w:rsidRPr="00B4222E">
        <w:rPr>
          <w:rFonts w:asciiTheme="minorHAnsi" w:hAnsiTheme="minorHAnsi"/>
        </w:rPr>
        <w:t xml:space="preserve"> Webber, 2007). </w:t>
      </w:r>
      <w:r w:rsidR="00F37E56">
        <w:rPr>
          <w:rFonts w:asciiTheme="minorHAnsi" w:hAnsiTheme="minorHAnsi"/>
        </w:rPr>
        <w:t xml:space="preserve">It may be that </w:t>
      </w:r>
      <w:r w:rsidR="00AE11DC" w:rsidRPr="00B4222E">
        <w:rPr>
          <w:rFonts w:asciiTheme="minorHAnsi" w:hAnsiTheme="minorHAnsi"/>
        </w:rPr>
        <w:t>academic</w:t>
      </w:r>
      <w:r w:rsidR="00F37E56">
        <w:rPr>
          <w:rFonts w:asciiTheme="minorHAnsi" w:hAnsiTheme="minorHAnsi"/>
        </w:rPr>
        <w:t>s undertake a role of</w:t>
      </w:r>
      <w:r w:rsidR="00AE11DC" w:rsidRPr="00B4222E">
        <w:rPr>
          <w:rFonts w:asciiTheme="minorHAnsi" w:hAnsiTheme="minorHAnsi"/>
        </w:rPr>
        <w:t xml:space="preserve"> supporti</w:t>
      </w:r>
      <w:r w:rsidR="00F37E56">
        <w:rPr>
          <w:rFonts w:asciiTheme="minorHAnsi" w:hAnsiTheme="minorHAnsi"/>
        </w:rPr>
        <w:t xml:space="preserve">ng authors </w:t>
      </w:r>
      <w:r w:rsidR="00897E62" w:rsidRPr="00B4222E">
        <w:rPr>
          <w:rFonts w:asciiTheme="minorHAnsi" w:hAnsiTheme="minorHAnsi"/>
        </w:rPr>
        <w:t xml:space="preserve">to ‘scholar up’ the original research for publication. This </w:t>
      </w:r>
      <w:r w:rsidR="00F37E56">
        <w:rPr>
          <w:rFonts w:asciiTheme="minorHAnsi" w:hAnsiTheme="minorHAnsi"/>
        </w:rPr>
        <w:t xml:space="preserve">functional support </w:t>
      </w:r>
      <w:r w:rsidR="00897E62" w:rsidRPr="00B4222E">
        <w:rPr>
          <w:rFonts w:asciiTheme="minorHAnsi" w:hAnsiTheme="minorHAnsi"/>
        </w:rPr>
        <w:t xml:space="preserve">may have been more common in those Type 1 studies where the practitioner and academic roles are less clearly differentiated. </w:t>
      </w:r>
    </w:p>
    <w:p w14:paraId="0CDA393D" w14:textId="53240C46" w:rsidR="00897E62" w:rsidRPr="00B4222E" w:rsidRDefault="00AD3B9C" w:rsidP="00B4222E">
      <w:pPr>
        <w:pStyle w:val="CommentText"/>
        <w:spacing w:before="100" w:beforeAutospacing="1" w:after="120" w:line="360" w:lineRule="auto"/>
        <w:jc w:val="both"/>
        <w:rPr>
          <w:rFonts w:asciiTheme="minorHAnsi" w:hAnsiTheme="minorHAnsi"/>
          <w:sz w:val="24"/>
          <w:szCs w:val="24"/>
        </w:rPr>
      </w:pPr>
      <w:r w:rsidRPr="00B4222E">
        <w:rPr>
          <w:rFonts w:asciiTheme="minorHAnsi" w:hAnsiTheme="minorHAnsi"/>
          <w:sz w:val="24"/>
          <w:szCs w:val="24"/>
        </w:rPr>
        <w:t>There were oc</w:t>
      </w:r>
      <w:r w:rsidR="00F37E56">
        <w:rPr>
          <w:rFonts w:asciiTheme="minorHAnsi" w:hAnsiTheme="minorHAnsi"/>
          <w:sz w:val="24"/>
          <w:szCs w:val="24"/>
        </w:rPr>
        <w:t xml:space="preserve">casional studies that highlighted </w:t>
      </w:r>
      <w:r w:rsidRPr="00B4222E">
        <w:rPr>
          <w:rFonts w:asciiTheme="minorHAnsi" w:hAnsiTheme="minorHAnsi"/>
          <w:sz w:val="24"/>
          <w:szCs w:val="24"/>
        </w:rPr>
        <w:t>sampling limitations, rating reliabilities or methods to enhance reflexivity. H</w:t>
      </w:r>
      <w:r w:rsidR="00F37E56">
        <w:rPr>
          <w:rFonts w:asciiTheme="minorHAnsi" w:hAnsiTheme="minorHAnsi"/>
          <w:sz w:val="24"/>
          <w:szCs w:val="24"/>
        </w:rPr>
        <w:t>owever, in some</w:t>
      </w:r>
      <w:r w:rsidRPr="00B4222E">
        <w:rPr>
          <w:rFonts w:asciiTheme="minorHAnsi" w:hAnsiTheme="minorHAnsi"/>
          <w:sz w:val="24"/>
          <w:szCs w:val="24"/>
        </w:rPr>
        <w:t xml:space="preserve"> </w:t>
      </w:r>
      <w:r w:rsidR="00F37E56">
        <w:rPr>
          <w:rFonts w:asciiTheme="minorHAnsi" w:hAnsiTheme="minorHAnsi"/>
          <w:sz w:val="24"/>
          <w:szCs w:val="24"/>
        </w:rPr>
        <w:t>studies</w:t>
      </w:r>
      <w:r w:rsidR="00897E62" w:rsidRPr="00B4222E">
        <w:rPr>
          <w:rFonts w:asciiTheme="minorHAnsi" w:hAnsiTheme="minorHAnsi"/>
          <w:sz w:val="24"/>
          <w:szCs w:val="24"/>
        </w:rPr>
        <w:t xml:space="preserve"> further details on the implications of their samples (e.g.</w:t>
      </w:r>
      <w:r w:rsidR="00897E62" w:rsidRPr="00B4222E">
        <w:rPr>
          <w:rFonts w:asciiTheme="minorHAnsi" w:hAnsiTheme="minorHAnsi"/>
          <w:bCs/>
          <w:color w:val="000000"/>
          <w:sz w:val="24"/>
          <w:szCs w:val="24"/>
        </w:rPr>
        <w:t xml:space="preserve"> </w:t>
      </w:r>
      <w:proofErr w:type="spellStart"/>
      <w:r w:rsidR="00080F47">
        <w:rPr>
          <w:rFonts w:asciiTheme="minorHAnsi" w:hAnsiTheme="minorHAnsi"/>
          <w:bCs/>
          <w:color w:val="000000"/>
          <w:sz w:val="24"/>
          <w:szCs w:val="24"/>
          <w:lang w:eastAsia="en-GB"/>
        </w:rPr>
        <w:t>Blacher</w:t>
      </w:r>
      <w:proofErr w:type="spellEnd"/>
      <w:r w:rsidR="00080F47">
        <w:rPr>
          <w:rFonts w:asciiTheme="minorHAnsi" w:hAnsiTheme="minorHAnsi"/>
          <w:bCs/>
          <w:color w:val="000000"/>
          <w:sz w:val="24"/>
          <w:szCs w:val="24"/>
          <w:lang w:eastAsia="en-GB"/>
        </w:rPr>
        <w:t xml:space="preserve">, 2003; </w:t>
      </w:r>
      <w:proofErr w:type="spellStart"/>
      <w:r w:rsidR="00080F47">
        <w:rPr>
          <w:rFonts w:asciiTheme="minorHAnsi" w:hAnsiTheme="minorHAnsi"/>
          <w:bCs/>
          <w:color w:val="000000"/>
          <w:sz w:val="24"/>
          <w:szCs w:val="24"/>
          <w:lang w:eastAsia="en-GB"/>
        </w:rPr>
        <w:t>Gormley</w:t>
      </w:r>
      <w:proofErr w:type="spellEnd"/>
      <w:r w:rsidR="00080F47">
        <w:rPr>
          <w:rFonts w:asciiTheme="minorHAnsi" w:hAnsiTheme="minorHAnsi"/>
          <w:bCs/>
          <w:color w:val="000000"/>
          <w:sz w:val="24"/>
          <w:szCs w:val="24"/>
          <w:lang w:eastAsia="en-GB"/>
        </w:rPr>
        <w:t xml:space="preserve"> &amp;</w:t>
      </w:r>
      <w:r w:rsidR="00897E62" w:rsidRPr="00B4222E">
        <w:rPr>
          <w:rFonts w:asciiTheme="minorHAnsi" w:hAnsiTheme="minorHAnsi"/>
          <w:bCs/>
          <w:color w:val="000000"/>
          <w:sz w:val="24"/>
          <w:szCs w:val="24"/>
          <w:lang w:eastAsia="en-GB"/>
        </w:rPr>
        <w:t xml:space="preserve"> Quinn, 2009; </w:t>
      </w:r>
      <w:proofErr w:type="spellStart"/>
      <w:r w:rsidR="00897E62" w:rsidRPr="00B4222E">
        <w:rPr>
          <w:rFonts w:asciiTheme="minorHAnsi" w:hAnsiTheme="minorHAnsi"/>
          <w:bCs/>
          <w:color w:val="000000"/>
          <w:sz w:val="24"/>
          <w:szCs w:val="24"/>
          <w:lang w:eastAsia="en-GB"/>
        </w:rPr>
        <w:t>Mulhall</w:t>
      </w:r>
      <w:proofErr w:type="spellEnd"/>
      <w:r w:rsidR="00897E62" w:rsidRPr="00B4222E">
        <w:rPr>
          <w:rFonts w:asciiTheme="minorHAnsi" w:hAnsiTheme="minorHAnsi"/>
          <w:bCs/>
          <w:color w:val="000000"/>
          <w:sz w:val="24"/>
          <w:szCs w:val="24"/>
          <w:lang w:eastAsia="en-GB"/>
        </w:rPr>
        <w:t>, 2000)</w:t>
      </w:r>
      <w:r w:rsidR="00897E62" w:rsidRPr="00B4222E">
        <w:rPr>
          <w:rFonts w:asciiTheme="minorHAnsi" w:hAnsiTheme="minorHAnsi"/>
          <w:color w:val="000000"/>
          <w:sz w:val="24"/>
          <w:szCs w:val="24"/>
        </w:rPr>
        <w:t xml:space="preserve"> </w:t>
      </w:r>
      <w:r w:rsidR="00897E62" w:rsidRPr="00B4222E">
        <w:rPr>
          <w:rFonts w:asciiTheme="minorHAnsi" w:hAnsiTheme="minorHAnsi"/>
          <w:sz w:val="24"/>
          <w:szCs w:val="24"/>
        </w:rPr>
        <w:t>or the method t</w:t>
      </w:r>
      <w:r w:rsidR="00EB310A" w:rsidRPr="00B4222E">
        <w:rPr>
          <w:rFonts w:asciiTheme="minorHAnsi" w:hAnsiTheme="minorHAnsi"/>
          <w:sz w:val="24"/>
          <w:szCs w:val="24"/>
        </w:rPr>
        <w:t>hat they had used (Godfrey, 2004</w:t>
      </w:r>
      <w:r w:rsidR="00897E62" w:rsidRPr="00B4222E">
        <w:rPr>
          <w:rFonts w:asciiTheme="minorHAnsi" w:hAnsiTheme="minorHAnsi"/>
          <w:sz w:val="24"/>
          <w:szCs w:val="24"/>
        </w:rPr>
        <w:t>) may have been informative.</w:t>
      </w:r>
      <w:r w:rsidR="00897E62" w:rsidRPr="00B4222E">
        <w:rPr>
          <w:rFonts w:asciiTheme="minorHAnsi" w:hAnsiTheme="minorHAnsi"/>
          <w:color w:val="000000"/>
          <w:sz w:val="24"/>
          <w:szCs w:val="24"/>
          <w:lang w:eastAsia="en-GB"/>
        </w:rPr>
        <w:t xml:space="preserve">  </w:t>
      </w:r>
      <w:r w:rsidR="00897E62" w:rsidRPr="00B4222E">
        <w:rPr>
          <w:rFonts w:asciiTheme="minorHAnsi" w:hAnsiTheme="minorHAnsi"/>
          <w:sz w:val="24"/>
          <w:szCs w:val="24"/>
        </w:rPr>
        <w:t>For other papers it was sometimes difficult to appraise their reliability or dependability due</w:t>
      </w:r>
      <w:r w:rsidR="00F37E56">
        <w:rPr>
          <w:rFonts w:asciiTheme="minorHAnsi" w:hAnsiTheme="minorHAnsi"/>
          <w:sz w:val="24"/>
          <w:szCs w:val="24"/>
        </w:rPr>
        <w:t xml:space="preserve"> to a dearth of information on the design of the studies or lack of clarity in reporting </w:t>
      </w:r>
      <w:r w:rsidR="00897E62" w:rsidRPr="00B4222E">
        <w:rPr>
          <w:rFonts w:asciiTheme="minorHAnsi" w:hAnsiTheme="minorHAnsi"/>
          <w:sz w:val="24"/>
          <w:szCs w:val="24"/>
        </w:rPr>
        <w:t xml:space="preserve">their findings.  </w:t>
      </w:r>
      <w:r w:rsidR="00F37E56">
        <w:rPr>
          <w:rFonts w:asciiTheme="minorHAnsi" w:hAnsiTheme="minorHAnsi"/>
          <w:color w:val="000000"/>
          <w:sz w:val="24"/>
          <w:szCs w:val="24"/>
          <w:lang w:eastAsia="en-GB"/>
        </w:rPr>
        <w:t>Part of the explanation</w:t>
      </w:r>
      <w:r w:rsidR="00897E62" w:rsidRPr="00B4222E">
        <w:rPr>
          <w:rFonts w:asciiTheme="minorHAnsi" w:hAnsiTheme="minorHAnsi"/>
          <w:color w:val="000000"/>
          <w:sz w:val="24"/>
          <w:szCs w:val="24"/>
          <w:lang w:eastAsia="en-GB"/>
        </w:rPr>
        <w:t xml:space="preserve"> for this was that findings perhaps had been under-analysed.</w:t>
      </w:r>
      <w:r w:rsidR="00897E62" w:rsidRPr="00B4222E">
        <w:rPr>
          <w:rFonts w:asciiTheme="minorHAnsi" w:hAnsiTheme="minorHAnsi"/>
          <w:sz w:val="24"/>
          <w:szCs w:val="24"/>
        </w:rPr>
        <w:t xml:space="preserve">  </w:t>
      </w:r>
      <w:r w:rsidR="00897E62" w:rsidRPr="00B4222E">
        <w:rPr>
          <w:rFonts w:asciiTheme="minorHAnsi" w:hAnsiTheme="minorHAnsi"/>
          <w:color w:val="000000"/>
          <w:sz w:val="24"/>
          <w:szCs w:val="24"/>
          <w:lang w:eastAsia="en-GB"/>
        </w:rPr>
        <w:t>Gaps in reporting</w:t>
      </w:r>
      <w:r w:rsidR="00897E62" w:rsidRPr="00B4222E">
        <w:rPr>
          <w:rFonts w:asciiTheme="minorHAnsi" w:hAnsiTheme="minorHAnsi"/>
          <w:sz w:val="24"/>
          <w:szCs w:val="24"/>
        </w:rPr>
        <w:t xml:space="preserve"> were most </w:t>
      </w:r>
      <w:r w:rsidR="004B4846">
        <w:rPr>
          <w:rFonts w:asciiTheme="minorHAnsi" w:hAnsiTheme="minorHAnsi"/>
          <w:sz w:val="24"/>
          <w:szCs w:val="24"/>
        </w:rPr>
        <w:t xml:space="preserve">apparent regarding </w:t>
      </w:r>
      <w:r w:rsidR="00897E62" w:rsidRPr="00B4222E">
        <w:rPr>
          <w:rFonts w:asciiTheme="minorHAnsi" w:hAnsiTheme="minorHAnsi"/>
          <w:sz w:val="24"/>
          <w:szCs w:val="24"/>
        </w:rPr>
        <w:t>the samples that studies had used – the sampling frames, their rationales, sampling methods, and, where re</w:t>
      </w:r>
      <w:r w:rsidR="004B4846">
        <w:rPr>
          <w:rFonts w:asciiTheme="minorHAnsi" w:hAnsiTheme="minorHAnsi"/>
          <w:sz w:val="24"/>
          <w:szCs w:val="24"/>
        </w:rPr>
        <w:t xml:space="preserve">levant, sampling attrition. Because of gaps in this information it could be </w:t>
      </w:r>
      <w:r w:rsidR="00897E62" w:rsidRPr="00B4222E">
        <w:rPr>
          <w:rFonts w:asciiTheme="minorHAnsi" w:hAnsiTheme="minorHAnsi"/>
          <w:sz w:val="24"/>
          <w:szCs w:val="24"/>
        </w:rPr>
        <w:t xml:space="preserve">difficult to appraise the reliability and transferability of the findings.  </w:t>
      </w:r>
    </w:p>
    <w:p w14:paraId="2AD29C26" w14:textId="239E14C7" w:rsidR="00897E62" w:rsidRPr="00B4222E" w:rsidRDefault="00897E62" w:rsidP="00B4222E">
      <w:pPr>
        <w:spacing w:before="100" w:beforeAutospacing="1" w:after="120" w:line="360" w:lineRule="auto"/>
        <w:jc w:val="both"/>
        <w:rPr>
          <w:rFonts w:asciiTheme="minorHAnsi" w:hAnsiTheme="minorHAnsi"/>
          <w:bCs/>
          <w:color w:val="000000"/>
          <w:lang w:eastAsia="en-GB"/>
        </w:rPr>
      </w:pPr>
      <w:r w:rsidRPr="00B4222E">
        <w:rPr>
          <w:rFonts w:asciiTheme="minorHAnsi" w:hAnsiTheme="minorHAnsi"/>
        </w:rPr>
        <w:t xml:space="preserve">However, on a more positive note, even where </w:t>
      </w:r>
      <w:r w:rsidR="00E6183A">
        <w:rPr>
          <w:rFonts w:asciiTheme="minorHAnsi" w:hAnsiTheme="minorHAnsi"/>
        </w:rPr>
        <w:t xml:space="preserve">discussion of </w:t>
      </w:r>
      <w:r w:rsidRPr="00B4222E">
        <w:rPr>
          <w:rFonts w:asciiTheme="minorHAnsi" w:hAnsiTheme="minorHAnsi"/>
        </w:rPr>
        <w:t>methodologies used</w:t>
      </w:r>
      <w:r w:rsidR="00E6183A">
        <w:rPr>
          <w:rFonts w:asciiTheme="minorHAnsi" w:hAnsiTheme="minorHAnsi"/>
        </w:rPr>
        <w:t xml:space="preserve"> provided limited detail, the </w:t>
      </w:r>
      <w:r w:rsidRPr="00B4222E">
        <w:rPr>
          <w:rFonts w:asciiTheme="minorHAnsi" w:hAnsiTheme="minorHAnsi"/>
        </w:rPr>
        <w:t xml:space="preserve">context-rich descriptions </w:t>
      </w:r>
      <w:r w:rsidR="00E6183A">
        <w:rPr>
          <w:rFonts w:asciiTheme="minorHAnsi" w:hAnsiTheme="minorHAnsi"/>
        </w:rPr>
        <w:t xml:space="preserve">that were provided by most studies </w:t>
      </w:r>
      <w:r w:rsidRPr="00B4222E">
        <w:rPr>
          <w:rFonts w:asciiTheme="minorHAnsi" w:hAnsiTheme="minorHAnsi"/>
        </w:rPr>
        <w:t>gave a sense of credibility or authenticity. There were studi</w:t>
      </w:r>
      <w:r w:rsidR="00E6183A">
        <w:rPr>
          <w:rFonts w:asciiTheme="minorHAnsi" w:hAnsiTheme="minorHAnsi"/>
        </w:rPr>
        <w:t xml:space="preserve">es where chosen scales were adopted because their </w:t>
      </w:r>
      <w:r w:rsidRPr="00B4222E">
        <w:rPr>
          <w:rFonts w:asciiTheme="minorHAnsi" w:hAnsiTheme="minorHAnsi"/>
        </w:rPr>
        <w:t xml:space="preserve">reliability and </w:t>
      </w:r>
      <w:r w:rsidR="00080F47">
        <w:rPr>
          <w:rFonts w:asciiTheme="minorHAnsi" w:hAnsiTheme="minorHAnsi"/>
        </w:rPr>
        <w:t>validity</w:t>
      </w:r>
      <w:r w:rsidR="00E6183A">
        <w:rPr>
          <w:rFonts w:asciiTheme="minorHAnsi" w:hAnsiTheme="minorHAnsi"/>
        </w:rPr>
        <w:t xml:space="preserve"> had been established in previous studies</w:t>
      </w:r>
      <w:r w:rsidR="00080F47">
        <w:rPr>
          <w:rFonts w:asciiTheme="minorHAnsi" w:hAnsiTheme="minorHAnsi"/>
        </w:rPr>
        <w:t xml:space="preserve"> (Holmes, 1998; Knox &amp;</w:t>
      </w:r>
      <w:r w:rsidRPr="00B4222E">
        <w:rPr>
          <w:rFonts w:asciiTheme="minorHAnsi" w:hAnsiTheme="minorHAnsi"/>
        </w:rPr>
        <w:t xml:space="preserve"> Menzies, 2005; McWilliams, 2005; Goodacre</w:t>
      </w:r>
      <w:r w:rsidR="00080F47">
        <w:rPr>
          <w:rFonts w:asciiTheme="minorHAnsi" w:hAnsiTheme="minorHAnsi"/>
        </w:rPr>
        <w:t xml:space="preserve"> &amp;</w:t>
      </w:r>
      <w:r w:rsidRPr="00B4222E">
        <w:rPr>
          <w:rFonts w:asciiTheme="minorHAnsi" w:hAnsiTheme="minorHAnsi"/>
        </w:rPr>
        <w:t xml:space="preserve"> Turner, 2005).  Many studies emphasised the importance of piloting prior to data collection proper (e.g. Jepson, </w:t>
      </w:r>
      <w:r w:rsidR="00080F47">
        <w:rPr>
          <w:rFonts w:asciiTheme="minorHAnsi" w:hAnsiTheme="minorHAnsi"/>
        </w:rPr>
        <w:t>1998; Melton, 1998; Goodacre &amp;</w:t>
      </w:r>
      <w:r w:rsidRPr="00B4222E">
        <w:rPr>
          <w:rFonts w:asciiTheme="minorHAnsi" w:hAnsiTheme="minorHAnsi"/>
        </w:rPr>
        <w:t xml:space="preserve"> Turner, 2005).  A high proportion of the studies were exploratory and descriptive in nature, with only a few studies attempting to develop explanatory accounts. Most studies were </w:t>
      </w:r>
      <w:r w:rsidR="009021E5">
        <w:rPr>
          <w:rFonts w:asciiTheme="minorHAnsi" w:hAnsiTheme="minorHAnsi"/>
        </w:rPr>
        <w:t xml:space="preserve">careful to avoid overstepping the </w:t>
      </w:r>
      <w:r w:rsidRPr="00B4222E">
        <w:rPr>
          <w:rFonts w:asciiTheme="minorHAnsi" w:hAnsiTheme="minorHAnsi"/>
        </w:rPr>
        <w:t>conclusions that they drew fro</w:t>
      </w:r>
      <w:r w:rsidR="009021E5">
        <w:rPr>
          <w:rFonts w:asciiTheme="minorHAnsi" w:hAnsiTheme="minorHAnsi"/>
        </w:rPr>
        <w:t xml:space="preserve">m their research, aware of </w:t>
      </w:r>
      <w:r w:rsidRPr="00B4222E">
        <w:rPr>
          <w:rFonts w:asciiTheme="minorHAnsi" w:hAnsiTheme="minorHAnsi"/>
        </w:rPr>
        <w:t xml:space="preserve">the limitations of sampling and reliability. These were often situated within </w:t>
      </w:r>
      <w:r w:rsidRPr="00B4222E">
        <w:rPr>
          <w:rFonts w:asciiTheme="minorHAnsi" w:hAnsiTheme="minorHAnsi"/>
        </w:rPr>
        <w:lastRenderedPageBreak/>
        <w:t>discussions stimulating reflection on practice or i</w:t>
      </w:r>
      <w:r w:rsidR="009021E5">
        <w:rPr>
          <w:rFonts w:asciiTheme="minorHAnsi" w:hAnsiTheme="minorHAnsi"/>
        </w:rPr>
        <w:t xml:space="preserve">dentifying issues where </w:t>
      </w:r>
      <w:r w:rsidRPr="00B4222E">
        <w:rPr>
          <w:rFonts w:asciiTheme="minorHAnsi" w:hAnsiTheme="minorHAnsi"/>
        </w:rPr>
        <w:t>further inquiry</w:t>
      </w:r>
      <w:r w:rsidR="009021E5">
        <w:rPr>
          <w:rFonts w:asciiTheme="minorHAnsi" w:hAnsiTheme="minorHAnsi"/>
        </w:rPr>
        <w:t xml:space="preserve"> was required</w:t>
      </w:r>
      <w:r w:rsidRPr="00B4222E">
        <w:rPr>
          <w:rFonts w:asciiTheme="minorHAnsi" w:hAnsiTheme="minorHAnsi"/>
        </w:rPr>
        <w:t>. Some pa</w:t>
      </w:r>
      <w:r w:rsidR="009021E5">
        <w:rPr>
          <w:rFonts w:asciiTheme="minorHAnsi" w:hAnsiTheme="minorHAnsi"/>
        </w:rPr>
        <w:t xml:space="preserve">pers were explicit about the </w:t>
      </w:r>
      <w:r w:rsidR="00D93E21">
        <w:rPr>
          <w:rFonts w:asciiTheme="minorHAnsi" w:hAnsiTheme="minorHAnsi"/>
        </w:rPr>
        <w:t>limits surrounding</w:t>
      </w:r>
      <w:r w:rsidRPr="00B4222E">
        <w:rPr>
          <w:rFonts w:asciiTheme="minorHAnsi" w:hAnsiTheme="minorHAnsi"/>
        </w:rPr>
        <w:t xml:space="preserve"> the transferability or generalisability o</w:t>
      </w:r>
      <w:r w:rsidR="00080F47">
        <w:rPr>
          <w:rFonts w:asciiTheme="minorHAnsi" w:hAnsiTheme="minorHAnsi"/>
        </w:rPr>
        <w:t xml:space="preserve">f their findings. </w:t>
      </w:r>
      <w:proofErr w:type="spellStart"/>
      <w:r w:rsidR="00080F47">
        <w:rPr>
          <w:rFonts w:asciiTheme="minorHAnsi" w:hAnsiTheme="minorHAnsi"/>
        </w:rPr>
        <w:t>Lillywhite</w:t>
      </w:r>
      <w:proofErr w:type="spellEnd"/>
      <w:r w:rsidR="00080F47">
        <w:rPr>
          <w:rFonts w:asciiTheme="minorHAnsi" w:hAnsiTheme="minorHAnsi"/>
        </w:rPr>
        <w:t xml:space="preserve"> &amp;</w:t>
      </w:r>
      <w:r w:rsidRPr="00B4222E">
        <w:rPr>
          <w:rFonts w:asciiTheme="minorHAnsi" w:hAnsiTheme="minorHAnsi"/>
        </w:rPr>
        <w:t xml:space="preserve"> Atwal, for example, conclude </w:t>
      </w:r>
      <w:r w:rsidRPr="00B4222E">
        <w:rPr>
          <w:rFonts w:asciiTheme="minorHAnsi" w:hAnsiTheme="minorHAnsi"/>
          <w:color w:val="000000"/>
          <w:lang w:eastAsia="en-GB"/>
        </w:rPr>
        <w:t>‘The findings of this study must be interpreted with caution, as the study may not be representative of community occupational therapists working across the UK’ (</w:t>
      </w:r>
      <w:proofErr w:type="spellStart"/>
      <w:r w:rsidR="00080F47">
        <w:rPr>
          <w:rFonts w:asciiTheme="minorHAnsi" w:hAnsiTheme="minorHAnsi"/>
          <w:bCs/>
          <w:color w:val="000000"/>
          <w:lang w:eastAsia="en-GB"/>
        </w:rPr>
        <w:t>Lillywhite</w:t>
      </w:r>
      <w:proofErr w:type="spellEnd"/>
      <w:r w:rsidR="00080F47">
        <w:rPr>
          <w:rFonts w:asciiTheme="minorHAnsi" w:hAnsiTheme="minorHAnsi"/>
          <w:bCs/>
          <w:color w:val="000000"/>
          <w:lang w:eastAsia="en-GB"/>
        </w:rPr>
        <w:t xml:space="preserve"> &amp;</w:t>
      </w:r>
      <w:r w:rsidRPr="00B4222E">
        <w:rPr>
          <w:rFonts w:asciiTheme="minorHAnsi" w:hAnsiTheme="minorHAnsi"/>
          <w:bCs/>
          <w:color w:val="000000"/>
          <w:lang w:eastAsia="en-GB"/>
        </w:rPr>
        <w:t xml:space="preserve"> Atwal, 2003, p. </w:t>
      </w:r>
      <w:r w:rsidRPr="00B4222E">
        <w:rPr>
          <w:rFonts w:asciiTheme="minorHAnsi" w:hAnsiTheme="minorHAnsi"/>
          <w:color w:val="000000"/>
          <w:lang w:eastAsia="en-GB"/>
        </w:rPr>
        <w:t xml:space="preserve">135).   These are not the only studies that reflect on interpretive limitations (cf. </w:t>
      </w:r>
      <w:r w:rsidRPr="00B4222E">
        <w:rPr>
          <w:rFonts w:asciiTheme="minorHAnsi" w:hAnsiTheme="minorHAnsi"/>
          <w:bCs/>
          <w:color w:val="000000"/>
          <w:lang w:eastAsia="en-GB"/>
        </w:rPr>
        <w:t xml:space="preserve">Archibald, 2001; Atwal </w:t>
      </w:r>
      <w:r w:rsidRPr="00B4222E">
        <w:rPr>
          <w:rFonts w:asciiTheme="minorHAnsi" w:hAnsiTheme="minorHAnsi"/>
          <w:bCs/>
          <w:i/>
          <w:color w:val="000000"/>
          <w:lang w:eastAsia="en-GB"/>
        </w:rPr>
        <w:t>et al</w:t>
      </w:r>
      <w:r w:rsidR="001D5F75">
        <w:rPr>
          <w:rFonts w:asciiTheme="minorHAnsi" w:hAnsiTheme="minorHAnsi"/>
          <w:bCs/>
          <w:i/>
          <w:color w:val="000000"/>
          <w:lang w:eastAsia="en-GB"/>
        </w:rPr>
        <w:t>.</w:t>
      </w:r>
      <w:r w:rsidRPr="00B4222E">
        <w:rPr>
          <w:rFonts w:asciiTheme="minorHAnsi" w:hAnsiTheme="minorHAnsi"/>
          <w:bCs/>
          <w:color w:val="000000"/>
          <w:lang w:eastAsia="en-GB"/>
        </w:rPr>
        <w:t>, 2003</w:t>
      </w:r>
      <w:r w:rsidRPr="00B4222E">
        <w:rPr>
          <w:rFonts w:asciiTheme="minorHAnsi" w:hAnsiTheme="minorHAnsi"/>
          <w:bCs/>
          <w:color w:val="000000"/>
        </w:rPr>
        <w:t xml:space="preserve">; </w:t>
      </w:r>
      <w:r w:rsidR="00080F47">
        <w:rPr>
          <w:rFonts w:asciiTheme="minorHAnsi" w:hAnsiTheme="minorHAnsi"/>
          <w:bCs/>
          <w:color w:val="000000"/>
          <w:lang w:eastAsia="en-GB"/>
        </w:rPr>
        <w:t xml:space="preserve">Godfrey, 2004; </w:t>
      </w:r>
      <w:proofErr w:type="spellStart"/>
      <w:r w:rsidR="00080F47">
        <w:rPr>
          <w:rFonts w:asciiTheme="minorHAnsi" w:hAnsiTheme="minorHAnsi"/>
          <w:bCs/>
          <w:color w:val="000000"/>
          <w:lang w:eastAsia="en-GB"/>
        </w:rPr>
        <w:t>Gormley</w:t>
      </w:r>
      <w:proofErr w:type="spellEnd"/>
      <w:r w:rsidR="00080F47">
        <w:rPr>
          <w:rFonts w:asciiTheme="minorHAnsi" w:hAnsiTheme="minorHAnsi"/>
          <w:bCs/>
          <w:color w:val="000000"/>
          <w:lang w:eastAsia="en-GB"/>
        </w:rPr>
        <w:t xml:space="preserve"> &amp; Quinn, 2009; </w:t>
      </w:r>
      <w:proofErr w:type="spellStart"/>
      <w:r w:rsidR="00080F47">
        <w:rPr>
          <w:rFonts w:asciiTheme="minorHAnsi" w:hAnsiTheme="minorHAnsi"/>
          <w:bCs/>
          <w:color w:val="000000"/>
          <w:lang w:eastAsia="en-GB"/>
        </w:rPr>
        <w:t>McAlynn</w:t>
      </w:r>
      <w:proofErr w:type="spellEnd"/>
      <w:r w:rsidR="00080F47">
        <w:rPr>
          <w:rFonts w:asciiTheme="minorHAnsi" w:hAnsiTheme="minorHAnsi"/>
          <w:bCs/>
          <w:color w:val="000000"/>
          <w:lang w:eastAsia="en-GB"/>
        </w:rPr>
        <w:t xml:space="preserve"> &amp;</w:t>
      </w:r>
      <w:r w:rsidRPr="00B4222E">
        <w:rPr>
          <w:rFonts w:asciiTheme="minorHAnsi" w:hAnsiTheme="minorHAnsi"/>
          <w:bCs/>
          <w:color w:val="000000"/>
          <w:lang w:eastAsia="en-GB"/>
        </w:rPr>
        <w:t xml:space="preserve"> McLaughlin, 2012</w:t>
      </w:r>
      <w:r w:rsidR="00080F47">
        <w:rPr>
          <w:rFonts w:asciiTheme="minorHAnsi" w:hAnsiTheme="minorHAnsi"/>
          <w:bCs/>
          <w:color w:val="000000"/>
          <w:lang w:eastAsia="en-GB"/>
        </w:rPr>
        <w:t xml:space="preserve">; Sutton, 1998).  For Welch &amp; </w:t>
      </w:r>
      <w:r w:rsidRPr="00B4222E">
        <w:rPr>
          <w:rFonts w:asciiTheme="minorHAnsi" w:hAnsiTheme="minorHAnsi"/>
          <w:bCs/>
          <w:color w:val="000000"/>
          <w:lang w:eastAsia="en-GB"/>
        </w:rPr>
        <w:t xml:space="preserve">Dawson (2006), </w:t>
      </w:r>
      <w:r w:rsidRPr="00B4222E">
        <w:rPr>
          <w:rFonts w:asciiTheme="minorHAnsi" w:hAnsiTheme="minorHAnsi"/>
          <w:color w:val="000000"/>
          <w:lang w:eastAsia="en-GB"/>
        </w:rPr>
        <w:t xml:space="preserve">‘While the research does not seek to provide </w:t>
      </w:r>
      <w:proofErr w:type="spellStart"/>
      <w:r w:rsidRPr="00B4222E">
        <w:rPr>
          <w:rFonts w:asciiTheme="minorHAnsi" w:hAnsiTheme="minorHAnsi"/>
          <w:color w:val="000000"/>
          <w:lang w:eastAsia="en-GB"/>
        </w:rPr>
        <w:t>generalisable</w:t>
      </w:r>
      <w:proofErr w:type="spellEnd"/>
      <w:r w:rsidRPr="00B4222E">
        <w:rPr>
          <w:rFonts w:asciiTheme="minorHAnsi" w:hAnsiTheme="minorHAnsi"/>
          <w:color w:val="000000"/>
          <w:lang w:eastAsia="en-GB"/>
        </w:rPr>
        <w:t xml:space="preserve"> findings, themes that emerged are potentially transferable to other areas of practice’ (p. 232</w:t>
      </w:r>
      <w:r w:rsidRPr="00B4222E">
        <w:rPr>
          <w:rFonts w:asciiTheme="minorHAnsi" w:hAnsiTheme="minorHAnsi"/>
          <w:bCs/>
          <w:color w:val="000000"/>
          <w:lang w:eastAsia="en-GB"/>
        </w:rPr>
        <w:t xml:space="preserve">). </w:t>
      </w:r>
      <w:r w:rsidR="00652449" w:rsidRPr="00B4222E">
        <w:rPr>
          <w:rFonts w:asciiTheme="minorHAnsi" w:hAnsiTheme="minorHAnsi"/>
          <w:color w:val="000000"/>
          <w:lang w:eastAsia="en-GB"/>
        </w:rPr>
        <w:t xml:space="preserve">However, in a small number of studies </w:t>
      </w:r>
      <w:r w:rsidRPr="00B4222E">
        <w:rPr>
          <w:rFonts w:asciiTheme="minorHAnsi" w:hAnsiTheme="minorHAnsi"/>
          <w:color w:val="000000"/>
          <w:lang w:eastAsia="en-GB"/>
        </w:rPr>
        <w:t>this was not clear.</w:t>
      </w:r>
      <w:r w:rsidR="00C5067D" w:rsidRPr="00B4222E">
        <w:rPr>
          <w:rFonts w:asciiTheme="minorHAnsi" w:hAnsiTheme="minorHAnsi"/>
        </w:rPr>
        <w:t xml:space="preserve"> </w:t>
      </w:r>
      <w:r w:rsidR="00936F92" w:rsidRPr="00B4222E">
        <w:rPr>
          <w:rFonts w:asciiTheme="minorHAnsi" w:hAnsiTheme="minorHAnsi"/>
        </w:rPr>
        <w:t xml:space="preserve">Given the characterisations of Type 1 and Type </w:t>
      </w:r>
      <w:r w:rsidR="00D93E21">
        <w:rPr>
          <w:rFonts w:asciiTheme="minorHAnsi" w:hAnsiTheme="minorHAnsi"/>
        </w:rPr>
        <w:t>2 research</w:t>
      </w:r>
      <w:r w:rsidR="00CD4113">
        <w:rPr>
          <w:rFonts w:asciiTheme="minorHAnsi" w:hAnsiTheme="minorHAnsi"/>
        </w:rPr>
        <w:t>,</w:t>
      </w:r>
      <w:r w:rsidR="00D93E21">
        <w:rPr>
          <w:rFonts w:asciiTheme="minorHAnsi" w:hAnsiTheme="minorHAnsi"/>
        </w:rPr>
        <w:t xml:space="preserve"> </w:t>
      </w:r>
      <w:r w:rsidR="00936F92" w:rsidRPr="00B4222E">
        <w:rPr>
          <w:rFonts w:asciiTheme="minorHAnsi" w:hAnsiTheme="minorHAnsi"/>
        </w:rPr>
        <w:t>differences in the coverage of design and approach within the article</w:t>
      </w:r>
      <w:r w:rsidR="00D93E21">
        <w:rPr>
          <w:rFonts w:asciiTheme="minorHAnsi" w:hAnsiTheme="minorHAnsi"/>
        </w:rPr>
        <w:t>s are perhaps unsurprising</w:t>
      </w:r>
      <w:r w:rsidR="00936F92" w:rsidRPr="00B4222E">
        <w:rPr>
          <w:rFonts w:asciiTheme="minorHAnsi" w:hAnsiTheme="minorHAnsi"/>
        </w:rPr>
        <w:t xml:space="preserve">. </w:t>
      </w:r>
    </w:p>
    <w:p w14:paraId="63372CC1" w14:textId="77777777" w:rsidR="00D90D92" w:rsidRPr="00B4222E" w:rsidRDefault="00D90D92" w:rsidP="00B4222E">
      <w:pPr>
        <w:spacing w:before="100" w:beforeAutospacing="1" w:after="120" w:line="360" w:lineRule="auto"/>
        <w:jc w:val="both"/>
        <w:rPr>
          <w:rFonts w:asciiTheme="minorHAnsi" w:hAnsiTheme="minorHAnsi"/>
          <w:b/>
          <w:sz w:val="28"/>
        </w:rPr>
      </w:pPr>
    </w:p>
    <w:p w14:paraId="56BCDA27" w14:textId="77777777" w:rsidR="00897E62" w:rsidRPr="00B4222E" w:rsidRDefault="00897E62" w:rsidP="00B4222E">
      <w:pPr>
        <w:spacing w:before="100" w:beforeAutospacing="1" w:after="120" w:line="360" w:lineRule="auto"/>
        <w:jc w:val="both"/>
        <w:rPr>
          <w:rFonts w:asciiTheme="minorHAnsi" w:hAnsiTheme="minorHAnsi"/>
          <w:b/>
          <w:sz w:val="28"/>
        </w:rPr>
      </w:pPr>
      <w:r w:rsidRPr="00B4222E">
        <w:rPr>
          <w:rFonts w:asciiTheme="minorHAnsi" w:hAnsiTheme="minorHAnsi"/>
          <w:b/>
          <w:sz w:val="28"/>
        </w:rPr>
        <w:t xml:space="preserve">Utility, capacity building and value for people </w:t>
      </w:r>
    </w:p>
    <w:p w14:paraId="671D9422" w14:textId="3277512B" w:rsidR="00897E62" w:rsidRPr="00B4222E" w:rsidRDefault="002F3C3A" w:rsidP="00B4222E">
      <w:pPr>
        <w:spacing w:before="100" w:beforeAutospacing="1" w:after="120" w:line="360" w:lineRule="auto"/>
        <w:jc w:val="both"/>
        <w:rPr>
          <w:rFonts w:asciiTheme="minorHAnsi" w:hAnsiTheme="minorHAnsi"/>
        </w:rPr>
      </w:pPr>
      <w:r w:rsidRPr="00B4222E">
        <w:rPr>
          <w:rFonts w:asciiTheme="minorHAnsi" w:hAnsiTheme="minorHAnsi"/>
        </w:rPr>
        <w:t xml:space="preserve">A wider </w:t>
      </w:r>
      <w:r w:rsidR="00D93E21">
        <w:rPr>
          <w:rFonts w:asciiTheme="minorHAnsi" w:hAnsiTheme="minorHAnsi"/>
        </w:rPr>
        <w:t xml:space="preserve">question for practitioner research relates to </w:t>
      </w:r>
      <w:r w:rsidRPr="00B4222E">
        <w:rPr>
          <w:rFonts w:asciiTheme="minorHAnsi" w:hAnsiTheme="minorHAnsi"/>
        </w:rPr>
        <w:t>the contribution</w:t>
      </w:r>
      <w:r w:rsidR="00E7756A" w:rsidRPr="00B4222E">
        <w:rPr>
          <w:rFonts w:asciiTheme="minorHAnsi" w:hAnsiTheme="minorHAnsi"/>
        </w:rPr>
        <w:t>s made by</w:t>
      </w:r>
      <w:r w:rsidRPr="00B4222E">
        <w:rPr>
          <w:rFonts w:asciiTheme="minorHAnsi" w:hAnsiTheme="minorHAnsi"/>
        </w:rPr>
        <w:t xml:space="preserve"> such activities (see </w:t>
      </w:r>
      <w:r w:rsidR="0073670D">
        <w:rPr>
          <w:rFonts w:asciiTheme="minorHAnsi" w:hAnsiTheme="minorHAnsi"/>
        </w:rPr>
        <w:t xml:space="preserve">Lunt </w:t>
      </w:r>
      <w:r w:rsidRPr="00B4222E">
        <w:rPr>
          <w:rFonts w:asciiTheme="minorHAnsi" w:hAnsiTheme="minorHAnsi"/>
          <w:i/>
        </w:rPr>
        <w:t>et al</w:t>
      </w:r>
      <w:r w:rsidR="001D5F75">
        <w:rPr>
          <w:rFonts w:asciiTheme="minorHAnsi" w:hAnsiTheme="minorHAnsi"/>
          <w:i/>
        </w:rPr>
        <w:t>.</w:t>
      </w:r>
      <w:r w:rsidRPr="00B4222E">
        <w:rPr>
          <w:rFonts w:asciiTheme="minorHAnsi" w:hAnsiTheme="minorHAnsi"/>
        </w:rPr>
        <w:t xml:space="preserve">, 2011).  </w:t>
      </w:r>
      <w:r w:rsidR="00D93E21">
        <w:rPr>
          <w:rFonts w:asciiTheme="minorHAnsi" w:hAnsiTheme="minorHAnsi"/>
        </w:rPr>
        <w:t>Our</w:t>
      </w:r>
      <w:r w:rsidR="00897E62" w:rsidRPr="00B4222E">
        <w:rPr>
          <w:rFonts w:asciiTheme="minorHAnsi" w:hAnsiTheme="minorHAnsi"/>
        </w:rPr>
        <w:t xml:space="preserve"> </w:t>
      </w:r>
      <w:r w:rsidRPr="00B4222E">
        <w:rPr>
          <w:rFonts w:asciiTheme="minorHAnsi" w:hAnsiTheme="minorHAnsi"/>
        </w:rPr>
        <w:t xml:space="preserve">2014 </w:t>
      </w:r>
      <w:r w:rsidR="00D93E21">
        <w:rPr>
          <w:rFonts w:asciiTheme="minorHAnsi" w:hAnsiTheme="minorHAnsi"/>
        </w:rPr>
        <w:t>review involved</w:t>
      </w:r>
      <w:r w:rsidR="00897E62" w:rsidRPr="00B4222E">
        <w:rPr>
          <w:rFonts w:asciiTheme="minorHAnsi" w:hAnsiTheme="minorHAnsi"/>
        </w:rPr>
        <w:t xml:space="preserve"> an appraisal of the utility of the research studies. This included consideration of their contribution to knowledge, their relevance and accessibility, their concern for enabling impact and </w:t>
      </w:r>
      <w:r w:rsidR="00D93E21">
        <w:rPr>
          <w:rFonts w:asciiTheme="minorHAnsi" w:hAnsiTheme="minorHAnsi"/>
        </w:rPr>
        <w:t xml:space="preserve">the extent to which </w:t>
      </w:r>
      <w:r w:rsidR="00897E62" w:rsidRPr="00B4222E">
        <w:rPr>
          <w:rFonts w:asciiTheme="minorHAnsi" w:hAnsiTheme="minorHAnsi"/>
        </w:rPr>
        <w:t>research process contr</w:t>
      </w:r>
      <w:r w:rsidR="00A14709" w:rsidRPr="00B4222E">
        <w:rPr>
          <w:rFonts w:asciiTheme="minorHAnsi" w:hAnsiTheme="minorHAnsi"/>
        </w:rPr>
        <w:t xml:space="preserve">ibuted to building capacity. Here </w:t>
      </w:r>
      <w:r w:rsidR="00897E62" w:rsidRPr="00B4222E">
        <w:rPr>
          <w:rFonts w:asciiTheme="minorHAnsi" w:hAnsiTheme="minorHAnsi"/>
        </w:rPr>
        <w:t>the differences between Type 1 and Typ</w:t>
      </w:r>
      <w:r w:rsidR="00DB7EB1" w:rsidRPr="00B4222E">
        <w:rPr>
          <w:rFonts w:asciiTheme="minorHAnsi" w:hAnsiTheme="minorHAnsi"/>
        </w:rPr>
        <w:t xml:space="preserve">e 2 studies were most apparent.  </w:t>
      </w:r>
      <w:r w:rsidR="00897E62" w:rsidRPr="00B4222E">
        <w:rPr>
          <w:rFonts w:asciiTheme="minorHAnsi" w:hAnsiTheme="minorHAnsi"/>
        </w:rPr>
        <w:t xml:space="preserve">To some extent </w:t>
      </w:r>
      <w:r w:rsidR="00D93E21">
        <w:rPr>
          <w:rFonts w:asciiTheme="minorHAnsi" w:hAnsiTheme="minorHAnsi"/>
        </w:rPr>
        <w:t>these factors are interlinked given e</w:t>
      </w:r>
      <w:r w:rsidR="00897E62" w:rsidRPr="00B4222E">
        <w:rPr>
          <w:rFonts w:asciiTheme="minorHAnsi" w:hAnsiTheme="minorHAnsi"/>
        </w:rPr>
        <w:t>nabling impact is dependent upon contributing to knowledge, being relevant and accessible and can be linked to contributin</w:t>
      </w:r>
      <w:r w:rsidR="00D93E21">
        <w:rPr>
          <w:rFonts w:asciiTheme="minorHAnsi" w:hAnsiTheme="minorHAnsi"/>
        </w:rPr>
        <w:t xml:space="preserve">g towards building capacity. For some studies, this was achieved </w:t>
      </w:r>
      <w:r w:rsidR="00897E62" w:rsidRPr="00B4222E">
        <w:rPr>
          <w:rFonts w:asciiTheme="minorHAnsi" w:hAnsiTheme="minorHAnsi"/>
        </w:rPr>
        <w:t xml:space="preserve">in </w:t>
      </w:r>
      <w:r w:rsidR="00D93E21">
        <w:rPr>
          <w:rFonts w:asciiTheme="minorHAnsi" w:hAnsiTheme="minorHAnsi"/>
        </w:rPr>
        <w:t xml:space="preserve">a conventional way through </w:t>
      </w:r>
      <w:r w:rsidR="00897E62" w:rsidRPr="00B4222E">
        <w:rPr>
          <w:rFonts w:asciiTheme="minorHAnsi" w:hAnsiTheme="minorHAnsi"/>
        </w:rPr>
        <w:t>linking the reporting of research findings</w:t>
      </w:r>
      <w:r w:rsidR="00D93E21">
        <w:rPr>
          <w:rFonts w:asciiTheme="minorHAnsi" w:hAnsiTheme="minorHAnsi"/>
        </w:rPr>
        <w:t xml:space="preserve"> to clear recommendations but more broadly </w:t>
      </w:r>
      <w:r w:rsidR="00897E62" w:rsidRPr="00B4222E">
        <w:rPr>
          <w:rFonts w:asciiTheme="minorHAnsi" w:hAnsiTheme="minorHAnsi"/>
        </w:rPr>
        <w:t xml:space="preserve">there was </w:t>
      </w:r>
      <w:r w:rsidR="00D93E21">
        <w:rPr>
          <w:rFonts w:asciiTheme="minorHAnsi" w:hAnsiTheme="minorHAnsi"/>
        </w:rPr>
        <w:t xml:space="preserve">less attention or explicit mention of </w:t>
      </w:r>
      <w:r w:rsidR="00897E62" w:rsidRPr="00B4222E">
        <w:rPr>
          <w:rFonts w:asciiTheme="minorHAnsi" w:hAnsiTheme="minorHAnsi"/>
        </w:rPr>
        <w:t>clearly established dissemination processes</w:t>
      </w:r>
      <w:r w:rsidRPr="00B4222E">
        <w:rPr>
          <w:rFonts w:asciiTheme="minorHAnsi" w:hAnsiTheme="minorHAnsi"/>
        </w:rPr>
        <w:t xml:space="preserve">, </w:t>
      </w:r>
      <w:r w:rsidR="00FC2968" w:rsidRPr="00B4222E">
        <w:rPr>
          <w:rFonts w:asciiTheme="minorHAnsi" w:hAnsiTheme="minorHAnsi"/>
        </w:rPr>
        <w:t>utilis</w:t>
      </w:r>
      <w:r w:rsidR="00897E62" w:rsidRPr="00B4222E">
        <w:rPr>
          <w:rFonts w:asciiTheme="minorHAnsi" w:hAnsiTheme="minorHAnsi"/>
        </w:rPr>
        <w:t xml:space="preserve">ation </w:t>
      </w:r>
      <w:r w:rsidRPr="00B4222E">
        <w:rPr>
          <w:rFonts w:asciiTheme="minorHAnsi" w:hAnsiTheme="minorHAnsi"/>
        </w:rPr>
        <w:t xml:space="preserve">and impact </w:t>
      </w:r>
      <w:r w:rsidR="00897E62" w:rsidRPr="00B4222E">
        <w:rPr>
          <w:rFonts w:asciiTheme="minorHAnsi" w:hAnsiTheme="minorHAnsi"/>
        </w:rPr>
        <w:t xml:space="preserve">pathways. In only a few papers, it was clear </w:t>
      </w:r>
      <w:r w:rsidR="00D93E21">
        <w:rPr>
          <w:rFonts w:asciiTheme="minorHAnsi" w:hAnsiTheme="minorHAnsi"/>
        </w:rPr>
        <w:t xml:space="preserve">that the authors had sought </w:t>
      </w:r>
      <w:r w:rsidR="00897E62" w:rsidRPr="00B4222E">
        <w:rPr>
          <w:rFonts w:asciiTheme="minorHAnsi" w:hAnsiTheme="minorHAnsi"/>
        </w:rPr>
        <w:t xml:space="preserve">to disseminate </w:t>
      </w:r>
      <w:r w:rsidR="00D93E21">
        <w:rPr>
          <w:rFonts w:asciiTheme="minorHAnsi" w:hAnsiTheme="minorHAnsi"/>
        </w:rPr>
        <w:t xml:space="preserve">findings </w:t>
      </w:r>
      <w:r w:rsidR="00897E62" w:rsidRPr="00B4222E">
        <w:rPr>
          <w:rFonts w:asciiTheme="minorHAnsi" w:hAnsiTheme="minorHAnsi"/>
        </w:rPr>
        <w:t>as widely as possible. Fo</w:t>
      </w:r>
      <w:r w:rsidR="00D93E21">
        <w:rPr>
          <w:rFonts w:asciiTheme="minorHAnsi" w:hAnsiTheme="minorHAnsi"/>
        </w:rPr>
        <w:t xml:space="preserve">r example, </w:t>
      </w:r>
      <w:proofErr w:type="spellStart"/>
      <w:r w:rsidR="00D93E21">
        <w:rPr>
          <w:rFonts w:asciiTheme="minorHAnsi" w:hAnsiTheme="minorHAnsi"/>
        </w:rPr>
        <w:t>Mulhall</w:t>
      </w:r>
      <w:proofErr w:type="spellEnd"/>
      <w:r w:rsidR="00D93E21">
        <w:rPr>
          <w:rFonts w:asciiTheme="minorHAnsi" w:hAnsiTheme="minorHAnsi"/>
        </w:rPr>
        <w:t xml:space="preserve"> (2000) </w:t>
      </w:r>
      <w:r w:rsidR="00897E62" w:rsidRPr="00B4222E">
        <w:rPr>
          <w:rFonts w:asciiTheme="minorHAnsi" w:hAnsiTheme="minorHAnsi"/>
        </w:rPr>
        <w:t xml:space="preserve">with respect to community mental health service </w:t>
      </w:r>
      <w:proofErr w:type="gramStart"/>
      <w:r w:rsidR="00897E62" w:rsidRPr="00B4222E">
        <w:rPr>
          <w:rFonts w:asciiTheme="minorHAnsi" w:hAnsiTheme="minorHAnsi"/>
        </w:rPr>
        <w:t>users</w:t>
      </w:r>
      <w:proofErr w:type="gramEnd"/>
      <w:r w:rsidR="00897E62" w:rsidRPr="00B4222E">
        <w:rPr>
          <w:rFonts w:asciiTheme="minorHAnsi" w:hAnsiTheme="minorHAnsi"/>
        </w:rPr>
        <w:t xml:space="preserve"> </w:t>
      </w:r>
      <w:r w:rsidR="00897E62" w:rsidRPr="00B4222E">
        <w:rPr>
          <w:rFonts w:asciiTheme="minorHAnsi" w:hAnsiTheme="minorHAnsi"/>
        </w:rPr>
        <w:lastRenderedPageBreak/>
        <w:t xml:space="preserve">perspectives </w:t>
      </w:r>
      <w:r w:rsidR="00D93E21">
        <w:rPr>
          <w:rFonts w:asciiTheme="minorHAnsi" w:hAnsiTheme="minorHAnsi"/>
        </w:rPr>
        <w:t xml:space="preserve">reported </w:t>
      </w:r>
      <w:r w:rsidR="00897E62" w:rsidRPr="00B4222E">
        <w:rPr>
          <w:rFonts w:asciiTheme="minorHAnsi" w:hAnsiTheme="minorHAnsi"/>
        </w:rPr>
        <w:t xml:space="preserve">that: ‘The dialogue is now open on many channels with people who have the capacity to change. </w:t>
      </w:r>
      <w:proofErr w:type="gramStart"/>
      <w:r w:rsidR="00897E62" w:rsidRPr="00B4222E">
        <w:rPr>
          <w:rFonts w:asciiTheme="minorHAnsi" w:hAnsiTheme="minorHAnsi"/>
        </w:rPr>
        <w:t>The findings of the study are being actively used and discussed’ (p. 34).</w:t>
      </w:r>
      <w:proofErr w:type="gramEnd"/>
      <w:r w:rsidR="00897E62" w:rsidRPr="00B4222E">
        <w:rPr>
          <w:rFonts w:asciiTheme="minorHAnsi" w:hAnsiTheme="minorHAnsi"/>
        </w:rPr>
        <w:t xml:space="preserve"> </w:t>
      </w:r>
    </w:p>
    <w:p w14:paraId="57E78F16" w14:textId="028FE1E6" w:rsidR="00897E62" w:rsidRPr="00B4222E" w:rsidRDefault="00D93E21" w:rsidP="00B4222E">
      <w:pPr>
        <w:spacing w:before="100" w:beforeAutospacing="1" w:after="120" w:line="360" w:lineRule="auto"/>
        <w:jc w:val="both"/>
        <w:rPr>
          <w:rFonts w:asciiTheme="minorHAnsi" w:hAnsiTheme="minorHAnsi"/>
        </w:rPr>
      </w:pPr>
      <w:r>
        <w:rPr>
          <w:rFonts w:asciiTheme="minorHAnsi" w:hAnsiTheme="minorHAnsi"/>
        </w:rPr>
        <w:t xml:space="preserve">In other papers, interest in </w:t>
      </w:r>
      <w:r w:rsidR="00897E62" w:rsidRPr="00B4222E">
        <w:rPr>
          <w:rFonts w:asciiTheme="minorHAnsi" w:hAnsiTheme="minorHAnsi"/>
        </w:rPr>
        <w:t xml:space="preserve">enabling </w:t>
      </w:r>
      <w:r w:rsidR="00FC2968" w:rsidRPr="00B4222E">
        <w:rPr>
          <w:rFonts w:asciiTheme="minorHAnsi" w:hAnsiTheme="minorHAnsi"/>
        </w:rPr>
        <w:t>utilis</w:t>
      </w:r>
      <w:r w:rsidR="00897E62" w:rsidRPr="00B4222E">
        <w:rPr>
          <w:rFonts w:asciiTheme="minorHAnsi" w:hAnsiTheme="minorHAnsi"/>
        </w:rPr>
        <w:t>ation went beyond the publication and dissemination of their research find</w:t>
      </w:r>
      <w:r w:rsidR="0096748B">
        <w:rPr>
          <w:rFonts w:asciiTheme="minorHAnsi" w:hAnsiTheme="minorHAnsi"/>
        </w:rPr>
        <w:t xml:space="preserve">ings. For example, </w:t>
      </w:r>
      <w:r w:rsidR="00080F47">
        <w:rPr>
          <w:rFonts w:asciiTheme="minorHAnsi" w:hAnsiTheme="minorHAnsi"/>
        </w:rPr>
        <w:t>Welch &amp;</w:t>
      </w:r>
      <w:r w:rsidR="00897E62" w:rsidRPr="00B4222E">
        <w:rPr>
          <w:rFonts w:asciiTheme="minorHAnsi" w:hAnsiTheme="minorHAnsi"/>
        </w:rPr>
        <w:t xml:space="preserve"> Dawson</w:t>
      </w:r>
      <w:r w:rsidR="0096748B">
        <w:rPr>
          <w:rFonts w:asciiTheme="minorHAnsi" w:hAnsiTheme="minorHAnsi"/>
        </w:rPr>
        <w:t xml:space="preserve">’s (2006) use of </w:t>
      </w:r>
      <w:r w:rsidR="00897E62" w:rsidRPr="00B4222E">
        <w:rPr>
          <w:rFonts w:asciiTheme="minorHAnsi" w:hAnsiTheme="minorHAnsi"/>
        </w:rPr>
        <w:t>action research models entailed embedding these considerations as an integral part of the research process. Fo</w:t>
      </w:r>
      <w:r w:rsidR="0096748B">
        <w:rPr>
          <w:rFonts w:asciiTheme="minorHAnsi" w:hAnsiTheme="minorHAnsi"/>
        </w:rPr>
        <w:t xml:space="preserve">r others, it was incorporated into the </w:t>
      </w:r>
      <w:r w:rsidR="00897E62" w:rsidRPr="00B4222E">
        <w:rPr>
          <w:rFonts w:asciiTheme="minorHAnsi" w:hAnsiTheme="minorHAnsi"/>
        </w:rPr>
        <w:t xml:space="preserve">research process due to their close links to a practice base including managers/practice (Connolly </w:t>
      </w:r>
      <w:r w:rsidR="00897E62" w:rsidRPr="00B4222E">
        <w:rPr>
          <w:rFonts w:asciiTheme="minorHAnsi" w:hAnsiTheme="minorHAnsi"/>
          <w:i/>
        </w:rPr>
        <w:t>et al</w:t>
      </w:r>
      <w:r w:rsidR="001D5F75">
        <w:rPr>
          <w:rFonts w:asciiTheme="minorHAnsi" w:hAnsiTheme="minorHAnsi"/>
          <w:i/>
        </w:rPr>
        <w:t>.</w:t>
      </w:r>
      <w:r w:rsidR="00897E62" w:rsidRPr="00B4222E">
        <w:rPr>
          <w:rFonts w:asciiTheme="minorHAnsi" w:hAnsiTheme="minorHAnsi"/>
        </w:rPr>
        <w:t xml:space="preserve">, 2009; Keady </w:t>
      </w:r>
      <w:r w:rsidR="00897E62" w:rsidRPr="00B4222E">
        <w:rPr>
          <w:rFonts w:asciiTheme="minorHAnsi" w:hAnsiTheme="minorHAnsi"/>
          <w:i/>
        </w:rPr>
        <w:t>et al</w:t>
      </w:r>
      <w:r w:rsidR="001D5F75">
        <w:rPr>
          <w:rFonts w:asciiTheme="minorHAnsi" w:hAnsiTheme="minorHAnsi"/>
          <w:i/>
        </w:rPr>
        <w:t>.</w:t>
      </w:r>
      <w:r w:rsidR="0096748B">
        <w:rPr>
          <w:rFonts w:asciiTheme="minorHAnsi" w:hAnsiTheme="minorHAnsi"/>
        </w:rPr>
        <w:t>, 2007). I</w:t>
      </w:r>
      <w:r w:rsidR="00897E62" w:rsidRPr="00B4222E">
        <w:rPr>
          <w:rFonts w:asciiTheme="minorHAnsi" w:hAnsiTheme="minorHAnsi"/>
        </w:rPr>
        <w:t xml:space="preserve">n some cases </w:t>
      </w:r>
      <w:r w:rsidR="0096748B">
        <w:rPr>
          <w:rFonts w:asciiTheme="minorHAnsi" w:hAnsiTheme="minorHAnsi"/>
        </w:rPr>
        <w:t xml:space="preserve">pragmatism was apparent whereby </w:t>
      </w:r>
      <w:r w:rsidR="00897E62" w:rsidRPr="00B4222E">
        <w:rPr>
          <w:rFonts w:asciiTheme="minorHAnsi" w:hAnsiTheme="minorHAnsi"/>
        </w:rPr>
        <w:t>authors took advantage of opportunities for links and openings that emerged during the process to affect some leve</w:t>
      </w:r>
      <w:r w:rsidR="0096748B">
        <w:rPr>
          <w:rFonts w:asciiTheme="minorHAnsi" w:hAnsiTheme="minorHAnsi"/>
        </w:rPr>
        <w:t xml:space="preserve">l of change. Sometimes such opportunity was </w:t>
      </w:r>
      <w:r w:rsidR="00897E62" w:rsidRPr="00B4222E">
        <w:rPr>
          <w:rFonts w:asciiTheme="minorHAnsi" w:hAnsiTheme="minorHAnsi"/>
        </w:rPr>
        <w:t>t</w:t>
      </w:r>
      <w:r w:rsidR="0096748B">
        <w:rPr>
          <w:rFonts w:asciiTheme="minorHAnsi" w:hAnsiTheme="minorHAnsi"/>
        </w:rPr>
        <w:t xml:space="preserve">he result of </w:t>
      </w:r>
      <w:r w:rsidR="00897E62" w:rsidRPr="00B4222E">
        <w:rPr>
          <w:rFonts w:asciiTheme="minorHAnsi" w:hAnsiTheme="minorHAnsi"/>
        </w:rPr>
        <w:t xml:space="preserve">partnerships </w:t>
      </w:r>
      <w:r w:rsidR="0096748B">
        <w:rPr>
          <w:rFonts w:asciiTheme="minorHAnsi" w:hAnsiTheme="minorHAnsi"/>
        </w:rPr>
        <w:t xml:space="preserve">being developed </w:t>
      </w:r>
      <w:r w:rsidR="00897E62" w:rsidRPr="00B4222E">
        <w:rPr>
          <w:rFonts w:asciiTheme="minorHAnsi" w:hAnsiTheme="minorHAnsi"/>
        </w:rPr>
        <w:t xml:space="preserve">between the practitioner-researchers and other practitioners or between practitioners and service users. </w:t>
      </w:r>
    </w:p>
    <w:p w14:paraId="00D06AB5" w14:textId="2F0DD2DA" w:rsidR="00897E62" w:rsidRPr="00B4222E" w:rsidRDefault="00E64CFC" w:rsidP="00B4222E">
      <w:pPr>
        <w:spacing w:before="100" w:beforeAutospacing="1" w:after="120" w:line="360" w:lineRule="auto"/>
        <w:jc w:val="both"/>
        <w:rPr>
          <w:rFonts w:asciiTheme="minorHAnsi" w:hAnsiTheme="minorHAnsi"/>
        </w:rPr>
      </w:pPr>
      <w:r>
        <w:rPr>
          <w:rFonts w:asciiTheme="minorHAnsi" w:hAnsiTheme="minorHAnsi"/>
        </w:rPr>
        <w:t>An overarching strength of all paper</w:t>
      </w:r>
      <w:r w:rsidR="00644C3E">
        <w:rPr>
          <w:rFonts w:asciiTheme="minorHAnsi" w:hAnsiTheme="minorHAnsi"/>
        </w:rPr>
        <w:t>s</w:t>
      </w:r>
      <w:r>
        <w:rPr>
          <w:rFonts w:asciiTheme="minorHAnsi" w:hAnsiTheme="minorHAnsi"/>
        </w:rPr>
        <w:t xml:space="preserve"> was </w:t>
      </w:r>
      <w:r w:rsidR="00897E62" w:rsidRPr="00B4222E">
        <w:rPr>
          <w:rFonts w:asciiTheme="minorHAnsi" w:hAnsiTheme="minorHAnsi"/>
        </w:rPr>
        <w:t>their plausibility from a practitio</w:t>
      </w:r>
      <w:r>
        <w:rPr>
          <w:rFonts w:asciiTheme="minorHAnsi" w:hAnsiTheme="minorHAnsi"/>
        </w:rPr>
        <w:t>ner’s perspective, and that they promoted</w:t>
      </w:r>
      <w:r w:rsidR="00897E62" w:rsidRPr="00B4222E">
        <w:rPr>
          <w:rFonts w:asciiTheme="minorHAnsi" w:hAnsiTheme="minorHAnsi"/>
        </w:rPr>
        <w:t xml:space="preserve"> self-reflection and self-development. Many of the studies were situated within a clearly, defined practice context and drew on description and analysis to explore practice dilemmas or problems (e.g. Archibald, 2001; Carson </w:t>
      </w:r>
      <w:r w:rsidR="00897E62" w:rsidRPr="00B4222E">
        <w:rPr>
          <w:rFonts w:asciiTheme="minorHAnsi" w:hAnsiTheme="minorHAnsi"/>
          <w:i/>
        </w:rPr>
        <w:t>et al</w:t>
      </w:r>
      <w:r w:rsidR="001D5F75">
        <w:rPr>
          <w:rFonts w:asciiTheme="minorHAnsi" w:hAnsiTheme="minorHAnsi"/>
          <w:i/>
        </w:rPr>
        <w:t>.</w:t>
      </w:r>
      <w:r w:rsidR="00080F47">
        <w:rPr>
          <w:rFonts w:asciiTheme="minorHAnsi" w:hAnsiTheme="minorHAnsi"/>
        </w:rPr>
        <w:t>, 1998; Lau &amp;</w:t>
      </w:r>
      <w:r w:rsidR="00897E62" w:rsidRPr="00B4222E">
        <w:rPr>
          <w:rFonts w:asciiTheme="minorHAnsi" w:hAnsiTheme="minorHAnsi"/>
        </w:rPr>
        <w:t xml:space="preserve"> Ridge, 2001). </w:t>
      </w:r>
    </w:p>
    <w:p w14:paraId="7C092FFB" w14:textId="4B3ED908" w:rsidR="0086272D" w:rsidRPr="00B4222E" w:rsidRDefault="00897E62" w:rsidP="00B4222E">
      <w:pPr>
        <w:spacing w:before="100" w:beforeAutospacing="1" w:after="120" w:line="360" w:lineRule="auto"/>
        <w:jc w:val="both"/>
        <w:rPr>
          <w:rFonts w:asciiTheme="minorHAnsi" w:hAnsiTheme="minorHAnsi"/>
          <w:b/>
          <w:color w:val="222222"/>
        </w:rPr>
      </w:pPr>
      <w:r w:rsidRPr="00B4222E">
        <w:rPr>
          <w:rFonts w:asciiTheme="minorHAnsi" w:hAnsiTheme="minorHAnsi"/>
        </w:rPr>
        <w:t xml:space="preserve">Some authors made reference to </w:t>
      </w:r>
      <w:r w:rsidR="00E64CFC">
        <w:rPr>
          <w:rFonts w:asciiTheme="minorHAnsi" w:hAnsiTheme="minorHAnsi"/>
        </w:rPr>
        <w:t xml:space="preserve">research having impacted </w:t>
      </w:r>
      <w:r w:rsidRPr="00B4222E">
        <w:rPr>
          <w:rFonts w:asciiTheme="minorHAnsi" w:hAnsiTheme="minorHAnsi"/>
        </w:rPr>
        <w:t xml:space="preserve">on their own experience or through </w:t>
      </w:r>
      <w:r w:rsidR="00E64CFC">
        <w:rPr>
          <w:rFonts w:asciiTheme="minorHAnsi" w:hAnsiTheme="minorHAnsi"/>
        </w:rPr>
        <w:t xml:space="preserve">the relationships formed during </w:t>
      </w:r>
      <w:r w:rsidR="00652449" w:rsidRPr="00B4222E">
        <w:rPr>
          <w:rFonts w:asciiTheme="minorHAnsi" w:hAnsiTheme="minorHAnsi"/>
        </w:rPr>
        <w:t>the course of the research</w:t>
      </w:r>
      <w:r w:rsidR="00E64CFC">
        <w:rPr>
          <w:rFonts w:asciiTheme="minorHAnsi" w:hAnsiTheme="minorHAnsi"/>
        </w:rPr>
        <w:t xml:space="preserve"> (providing some support for the</w:t>
      </w:r>
      <w:r w:rsidR="00652449" w:rsidRPr="00B4222E">
        <w:rPr>
          <w:rFonts w:asciiTheme="minorHAnsi" w:hAnsiTheme="minorHAnsi"/>
        </w:rPr>
        <w:t xml:space="preserve"> thinking – doing – sharing distinction made above)</w:t>
      </w:r>
      <w:r w:rsidRPr="00B4222E">
        <w:rPr>
          <w:rFonts w:asciiTheme="minorHAnsi" w:hAnsiTheme="minorHAnsi"/>
        </w:rPr>
        <w:t>. In these cases the practitioner-researchers’ perceptions reflect a sense of empowerment a</w:t>
      </w:r>
      <w:r w:rsidR="0086272D" w:rsidRPr="00B4222E">
        <w:rPr>
          <w:rFonts w:asciiTheme="minorHAnsi" w:hAnsiTheme="minorHAnsi"/>
        </w:rPr>
        <w:t>nd of the possibility of change.</w:t>
      </w:r>
      <w:r w:rsidR="00BE00EB" w:rsidRPr="00B4222E">
        <w:rPr>
          <w:rFonts w:asciiTheme="minorHAnsi" w:hAnsiTheme="minorHAnsi"/>
          <w:b/>
          <w:color w:val="222222"/>
        </w:rPr>
        <w:t xml:space="preserve"> </w:t>
      </w:r>
    </w:p>
    <w:p w14:paraId="76E7BE68" w14:textId="01B69434" w:rsidR="004D5FFB" w:rsidRPr="00B4222E" w:rsidRDefault="0086272D" w:rsidP="00B4222E">
      <w:pPr>
        <w:spacing w:before="100" w:beforeAutospacing="1" w:after="120" w:line="360" w:lineRule="auto"/>
        <w:jc w:val="both"/>
        <w:rPr>
          <w:rFonts w:asciiTheme="minorHAnsi" w:hAnsiTheme="minorHAnsi"/>
        </w:rPr>
      </w:pPr>
      <w:r w:rsidRPr="00B4222E">
        <w:rPr>
          <w:rFonts w:asciiTheme="minorHAnsi" w:hAnsiTheme="minorHAnsi"/>
        </w:rPr>
        <w:t xml:space="preserve">This doing of research activity (listening to users and carers, colleagues and managers, as well as reviewing data; revisiting practice puzzles etc.) has the potential to provide additional benefits, generating insights and evidence that </w:t>
      </w:r>
      <w:r w:rsidR="00E6694E" w:rsidRPr="00B4222E">
        <w:rPr>
          <w:rFonts w:asciiTheme="minorHAnsi" w:hAnsiTheme="minorHAnsi"/>
        </w:rPr>
        <w:t xml:space="preserve">are valuable of themselves and which also </w:t>
      </w:r>
      <w:r w:rsidRPr="00B4222E">
        <w:rPr>
          <w:rFonts w:asciiTheme="minorHAnsi" w:hAnsiTheme="minorHAnsi"/>
        </w:rPr>
        <w:t>hold promise of practice change.</w:t>
      </w:r>
      <w:r w:rsidR="00E6694E" w:rsidRPr="00B4222E">
        <w:rPr>
          <w:rFonts w:asciiTheme="minorHAnsi" w:hAnsiTheme="minorHAnsi"/>
        </w:rPr>
        <w:t xml:space="preserve">  Difficulties</w:t>
      </w:r>
      <w:r w:rsidRPr="00B4222E">
        <w:rPr>
          <w:rFonts w:asciiTheme="minorHAnsi" w:hAnsiTheme="minorHAnsi"/>
        </w:rPr>
        <w:t xml:space="preserve"> </w:t>
      </w:r>
      <w:r w:rsidR="00E6694E" w:rsidRPr="00B4222E">
        <w:rPr>
          <w:rFonts w:asciiTheme="minorHAnsi" w:hAnsiTheme="minorHAnsi"/>
        </w:rPr>
        <w:t xml:space="preserve">are </w:t>
      </w:r>
      <w:r w:rsidRPr="00B4222E">
        <w:rPr>
          <w:rFonts w:asciiTheme="minorHAnsi" w:hAnsiTheme="minorHAnsi"/>
        </w:rPr>
        <w:t>that such experiences, insight</w:t>
      </w:r>
      <w:r w:rsidR="00E6694E" w:rsidRPr="00B4222E">
        <w:rPr>
          <w:rFonts w:asciiTheme="minorHAnsi" w:hAnsiTheme="minorHAnsi"/>
        </w:rPr>
        <w:t>s</w:t>
      </w:r>
      <w:r w:rsidRPr="00B4222E">
        <w:rPr>
          <w:rFonts w:asciiTheme="minorHAnsi" w:hAnsiTheme="minorHAnsi"/>
        </w:rPr>
        <w:t xml:space="preserve"> and evidence</w:t>
      </w:r>
      <w:r w:rsidR="00E6694E" w:rsidRPr="00B4222E">
        <w:rPr>
          <w:rFonts w:asciiTheme="minorHAnsi" w:hAnsiTheme="minorHAnsi"/>
        </w:rPr>
        <w:t>s</w:t>
      </w:r>
      <w:r w:rsidRPr="00B4222E">
        <w:rPr>
          <w:rFonts w:asciiTheme="minorHAnsi" w:hAnsiTheme="minorHAnsi"/>
        </w:rPr>
        <w:t xml:space="preserve"> </w:t>
      </w:r>
      <w:r w:rsidR="00E6694E" w:rsidRPr="00B4222E">
        <w:rPr>
          <w:rFonts w:asciiTheme="minorHAnsi" w:hAnsiTheme="minorHAnsi"/>
        </w:rPr>
        <w:t xml:space="preserve">are </w:t>
      </w:r>
      <w:r w:rsidRPr="00B4222E">
        <w:rPr>
          <w:rFonts w:asciiTheme="minorHAnsi" w:hAnsiTheme="minorHAnsi"/>
        </w:rPr>
        <w:t xml:space="preserve">individual or local, rather than more </w:t>
      </w:r>
      <w:r w:rsidRPr="00B4222E">
        <w:rPr>
          <w:rFonts w:asciiTheme="minorHAnsi" w:hAnsiTheme="minorHAnsi"/>
        </w:rPr>
        <w:lastRenderedPageBreak/>
        <w:t xml:space="preserve">widely shared.  Activity that is the sum of thinking, doing and sharing opens up further opportunities, with the potential for research benefits that are indirect </w:t>
      </w:r>
      <w:r w:rsidRPr="00644C3E">
        <w:rPr>
          <w:rFonts w:asciiTheme="minorHAnsi" w:hAnsiTheme="minorHAnsi"/>
          <w:i/>
        </w:rPr>
        <w:t>and</w:t>
      </w:r>
      <w:r w:rsidRPr="00B4222E">
        <w:rPr>
          <w:rFonts w:asciiTheme="minorHAnsi" w:hAnsiTheme="minorHAnsi"/>
        </w:rPr>
        <w:t xml:space="preserve"> direct, immediate </w:t>
      </w:r>
      <w:r w:rsidRPr="00644C3E">
        <w:rPr>
          <w:rFonts w:asciiTheme="minorHAnsi" w:hAnsiTheme="minorHAnsi"/>
          <w:i/>
        </w:rPr>
        <w:t>and</w:t>
      </w:r>
      <w:r w:rsidRPr="00B4222E">
        <w:rPr>
          <w:rFonts w:asciiTheme="minorHAnsi" w:hAnsiTheme="minorHAnsi"/>
        </w:rPr>
        <w:t xml:space="preserve"> longer term, local </w:t>
      </w:r>
      <w:r w:rsidRPr="00644C3E">
        <w:rPr>
          <w:rFonts w:asciiTheme="minorHAnsi" w:hAnsiTheme="minorHAnsi"/>
          <w:i/>
        </w:rPr>
        <w:t>and</w:t>
      </w:r>
      <w:r w:rsidRPr="00B4222E">
        <w:rPr>
          <w:rFonts w:asciiTheme="minorHAnsi" w:hAnsiTheme="minorHAnsi"/>
        </w:rPr>
        <w:t xml:space="preserve"> non-local.  </w:t>
      </w:r>
    </w:p>
    <w:p w14:paraId="0782A094" w14:textId="09F07812" w:rsidR="0086272D" w:rsidRPr="00B4222E" w:rsidRDefault="004D5FFB" w:rsidP="00B4222E">
      <w:pPr>
        <w:spacing w:before="100" w:beforeAutospacing="1" w:after="120" w:line="360" w:lineRule="auto"/>
        <w:jc w:val="both"/>
        <w:rPr>
          <w:rFonts w:asciiTheme="minorHAnsi" w:hAnsiTheme="minorHAnsi"/>
        </w:rPr>
      </w:pPr>
      <w:r w:rsidRPr="00B4222E">
        <w:rPr>
          <w:rFonts w:asciiTheme="minorHAnsi" w:hAnsiTheme="minorHAnsi"/>
        </w:rPr>
        <w:t xml:space="preserve">We do not suggest that each practitioner study will (or indeed, should) result in the full range of </w:t>
      </w:r>
      <w:r w:rsidR="003A3BC9" w:rsidRPr="00B4222E">
        <w:rPr>
          <w:rFonts w:asciiTheme="minorHAnsi" w:hAnsiTheme="minorHAnsi"/>
        </w:rPr>
        <w:t xml:space="preserve">potential </w:t>
      </w:r>
      <w:r w:rsidRPr="00B4222E">
        <w:rPr>
          <w:rFonts w:asciiTheme="minorHAnsi" w:hAnsiTheme="minorHAnsi"/>
        </w:rPr>
        <w:t>impacts/benefits</w:t>
      </w:r>
      <w:r w:rsidR="003A3BC9" w:rsidRPr="00B4222E">
        <w:rPr>
          <w:rFonts w:asciiTheme="minorHAnsi" w:hAnsiTheme="minorHAnsi"/>
        </w:rPr>
        <w:t xml:space="preserve"> (Table </w:t>
      </w:r>
      <w:r w:rsidR="00CD4113">
        <w:rPr>
          <w:rFonts w:asciiTheme="minorHAnsi" w:hAnsiTheme="minorHAnsi"/>
        </w:rPr>
        <w:t>3</w:t>
      </w:r>
      <w:r w:rsidR="003A3BC9" w:rsidRPr="00B4222E">
        <w:rPr>
          <w:rFonts w:asciiTheme="minorHAnsi" w:hAnsiTheme="minorHAnsi"/>
        </w:rPr>
        <w:t>)</w:t>
      </w:r>
      <w:r w:rsidRPr="00B4222E">
        <w:rPr>
          <w:rFonts w:asciiTheme="minorHAnsi" w:hAnsiTheme="minorHAnsi"/>
        </w:rPr>
        <w:t xml:space="preserve">.  </w:t>
      </w:r>
      <w:r w:rsidR="00D823CC">
        <w:rPr>
          <w:rFonts w:asciiTheme="minorHAnsi" w:hAnsiTheme="minorHAnsi"/>
        </w:rPr>
        <w:t xml:space="preserve">The table is </w:t>
      </w:r>
      <w:r w:rsidRPr="00B4222E">
        <w:rPr>
          <w:rFonts w:asciiTheme="minorHAnsi" w:hAnsiTheme="minorHAnsi"/>
        </w:rPr>
        <w:t xml:space="preserve">an exemplar </w:t>
      </w:r>
      <w:proofErr w:type="spellStart"/>
      <w:r w:rsidRPr="00B4222E">
        <w:rPr>
          <w:rFonts w:asciiTheme="minorHAnsi" w:hAnsiTheme="minorHAnsi"/>
        </w:rPr>
        <w:t>typification</w:t>
      </w:r>
      <w:proofErr w:type="spellEnd"/>
      <w:r w:rsidRPr="00B4222E">
        <w:rPr>
          <w:rFonts w:asciiTheme="minorHAnsi" w:hAnsiTheme="minorHAnsi"/>
        </w:rPr>
        <w:t xml:space="preserve">, identifying </w:t>
      </w:r>
      <w:r w:rsidR="00D823CC">
        <w:rPr>
          <w:rFonts w:asciiTheme="minorHAnsi" w:hAnsiTheme="minorHAnsi"/>
        </w:rPr>
        <w:t xml:space="preserve">a wide range of </w:t>
      </w:r>
      <w:r w:rsidRPr="00B4222E">
        <w:rPr>
          <w:rFonts w:asciiTheme="minorHAnsi" w:hAnsiTheme="minorHAnsi"/>
        </w:rPr>
        <w:t>stakeholders groups</w:t>
      </w:r>
      <w:r w:rsidR="00644C3E">
        <w:rPr>
          <w:rFonts w:asciiTheme="minorHAnsi" w:hAnsiTheme="minorHAnsi"/>
        </w:rPr>
        <w:t>:</w:t>
      </w:r>
      <w:r w:rsidRPr="00B4222E">
        <w:rPr>
          <w:rFonts w:asciiTheme="minorHAnsi" w:hAnsiTheme="minorHAnsi"/>
        </w:rPr>
        <w:t xml:space="preserve"> individual practitioner researchers undertaking studies, colleagues within the team or site, the broader agen</w:t>
      </w:r>
      <w:r w:rsidR="00D823CC">
        <w:rPr>
          <w:rFonts w:asciiTheme="minorHAnsi" w:hAnsiTheme="minorHAnsi"/>
        </w:rPr>
        <w:t>cy, a wider professional context</w:t>
      </w:r>
      <w:r w:rsidRPr="00B4222E">
        <w:rPr>
          <w:rFonts w:asciiTheme="minorHAnsi" w:hAnsiTheme="minorHAnsi"/>
        </w:rPr>
        <w:t xml:space="preserve">, service </w:t>
      </w:r>
      <w:r w:rsidR="00D823CC">
        <w:rPr>
          <w:rFonts w:asciiTheme="minorHAnsi" w:hAnsiTheme="minorHAnsi"/>
        </w:rPr>
        <w:t xml:space="preserve">users, and academic partners.  Identified </w:t>
      </w:r>
      <w:r w:rsidRPr="00B4222E">
        <w:rPr>
          <w:rFonts w:asciiTheme="minorHAnsi" w:hAnsiTheme="minorHAnsi"/>
        </w:rPr>
        <w:t>b</w:t>
      </w:r>
      <w:r w:rsidR="00D823CC">
        <w:rPr>
          <w:rFonts w:asciiTheme="minorHAnsi" w:hAnsiTheme="minorHAnsi"/>
        </w:rPr>
        <w:t xml:space="preserve">enefits </w:t>
      </w:r>
      <w:r w:rsidR="00644C3E">
        <w:rPr>
          <w:rFonts w:asciiTheme="minorHAnsi" w:hAnsiTheme="minorHAnsi"/>
        </w:rPr>
        <w:t xml:space="preserve">and what we judge to be the likelihood of their development (weak, moderate or strong) </w:t>
      </w:r>
      <w:r w:rsidR="00D823CC">
        <w:rPr>
          <w:rFonts w:asciiTheme="minorHAnsi" w:hAnsiTheme="minorHAnsi"/>
        </w:rPr>
        <w:t>are outlined</w:t>
      </w:r>
      <w:r w:rsidRPr="00B4222E">
        <w:rPr>
          <w:rFonts w:asciiTheme="minorHAnsi" w:hAnsiTheme="minorHAnsi"/>
        </w:rPr>
        <w:t xml:space="preserve"> along four dimensions: skills development</w:t>
      </w:r>
      <w:r w:rsidR="00D823CC">
        <w:rPr>
          <w:rFonts w:asciiTheme="minorHAnsi" w:hAnsiTheme="minorHAnsi"/>
        </w:rPr>
        <w:t xml:space="preserve">, impacts on delivery, communication improvements, and </w:t>
      </w:r>
      <w:r w:rsidRPr="00B4222E">
        <w:rPr>
          <w:rFonts w:asciiTheme="minorHAnsi" w:hAnsiTheme="minorHAnsi"/>
        </w:rPr>
        <w:t>theoretical developments.</w:t>
      </w:r>
    </w:p>
    <w:p w14:paraId="5B1A1D6E" w14:textId="178E8CDC" w:rsidR="00F35DA9" w:rsidRPr="00885EF4" w:rsidRDefault="00885EF4" w:rsidP="00B4222E">
      <w:pPr>
        <w:spacing w:before="100" w:beforeAutospacing="1" w:after="120" w:line="360" w:lineRule="auto"/>
        <w:rPr>
          <w:rFonts w:asciiTheme="minorHAnsi" w:hAnsiTheme="minorHAnsi"/>
          <w:b/>
          <w:sz w:val="28"/>
        </w:rPr>
        <w:sectPr w:rsidR="00F35DA9" w:rsidRPr="00885EF4" w:rsidSect="00885EF4">
          <w:footerReference w:type="default" r:id="rId10"/>
          <w:type w:val="continuous"/>
          <w:pgSz w:w="11906" w:h="16838"/>
          <w:pgMar w:top="1440" w:right="1800" w:bottom="1440" w:left="1800" w:header="708" w:footer="708" w:gutter="0"/>
          <w:cols w:space="708"/>
          <w:docGrid w:linePitch="360"/>
        </w:sectPr>
      </w:pPr>
      <w:r w:rsidRPr="00885EF4">
        <w:rPr>
          <w:rFonts w:asciiTheme="minorHAnsi" w:hAnsiTheme="minorHAnsi"/>
          <w:b/>
          <w:sz w:val="28"/>
        </w:rPr>
        <w:t xml:space="preserve">Insert Table: </w:t>
      </w:r>
      <w:r w:rsidR="002A078C">
        <w:rPr>
          <w:rFonts w:asciiTheme="minorHAnsi" w:hAnsiTheme="minorHAnsi"/>
          <w:b/>
          <w:sz w:val="28"/>
        </w:rPr>
        <w:t>3</w:t>
      </w:r>
      <w:r w:rsidRPr="00885EF4">
        <w:rPr>
          <w:rFonts w:asciiTheme="minorHAnsi" w:hAnsiTheme="minorHAnsi"/>
          <w:b/>
          <w:sz w:val="28"/>
        </w:rPr>
        <w:tab/>
        <w:t>Matrix of potential benefits arising from T</w:t>
      </w:r>
      <w:r w:rsidR="00CD4113">
        <w:rPr>
          <w:rFonts w:asciiTheme="minorHAnsi" w:hAnsiTheme="minorHAnsi"/>
          <w:b/>
          <w:sz w:val="28"/>
        </w:rPr>
        <w:t>ypes</w:t>
      </w:r>
      <w:r w:rsidRPr="00885EF4">
        <w:rPr>
          <w:rFonts w:asciiTheme="minorHAnsi" w:hAnsiTheme="minorHAnsi"/>
          <w:b/>
          <w:sz w:val="28"/>
        </w:rPr>
        <w:t xml:space="preserve"> 1 and 2 practitioner research (weak, moderate or strong likelihood) about </w:t>
      </w:r>
      <w:r>
        <w:rPr>
          <w:rFonts w:asciiTheme="minorHAnsi" w:hAnsiTheme="minorHAnsi"/>
          <w:b/>
          <w:sz w:val="28"/>
        </w:rPr>
        <w:t>here</w:t>
      </w:r>
    </w:p>
    <w:p w14:paraId="418EEDD1" w14:textId="77777777" w:rsidR="00F35DA9" w:rsidRPr="00B4222E" w:rsidRDefault="00F35DA9" w:rsidP="00B4222E">
      <w:pPr>
        <w:spacing w:before="100" w:beforeAutospacing="1" w:after="120" w:line="360" w:lineRule="auto"/>
        <w:jc w:val="both"/>
        <w:rPr>
          <w:rFonts w:asciiTheme="minorHAnsi" w:hAnsiTheme="minorHAnsi"/>
        </w:rPr>
        <w:sectPr w:rsidR="00F35DA9" w:rsidRPr="00B4222E" w:rsidSect="00885EF4">
          <w:type w:val="continuous"/>
          <w:pgSz w:w="11906" w:h="16838"/>
          <w:pgMar w:top="1440" w:right="1797" w:bottom="1440" w:left="1797" w:header="709" w:footer="709" w:gutter="0"/>
          <w:cols w:space="708"/>
          <w:docGrid w:linePitch="360"/>
        </w:sectPr>
      </w:pPr>
    </w:p>
    <w:p w14:paraId="49BD40AA" w14:textId="1DB7B75A" w:rsidR="00897E62" w:rsidRPr="00B4222E" w:rsidRDefault="00D823CC" w:rsidP="00B4222E">
      <w:pPr>
        <w:spacing w:before="100" w:beforeAutospacing="1" w:after="120" w:line="360" w:lineRule="auto"/>
        <w:jc w:val="both"/>
        <w:rPr>
          <w:rFonts w:asciiTheme="minorHAnsi" w:hAnsiTheme="minorHAnsi"/>
        </w:rPr>
      </w:pPr>
      <w:r>
        <w:rPr>
          <w:rFonts w:asciiTheme="minorHAnsi" w:hAnsiTheme="minorHAnsi"/>
        </w:rPr>
        <w:lastRenderedPageBreak/>
        <w:t>There are d</w:t>
      </w:r>
      <w:r w:rsidR="00897E62" w:rsidRPr="00B4222E">
        <w:rPr>
          <w:rFonts w:asciiTheme="minorHAnsi" w:hAnsiTheme="minorHAnsi"/>
        </w:rPr>
        <w:t xml:space="preserve">rawbacks </w:t>
      </w:r>
      <w:r>
        <w:rPr>
          <w:rFonts w:asciiTheme="minorHAnsi" w:hAnsiTheme="minorHAnsi"/>
        </w:rPr>
        <w:t xml:space="preserve">to acknowledge, particularly regarding </w:t>
      </w:r>
      <w:r w:rsidR="00897E62" w:rsidRPr="00B4222E">
        <w:rPr>
          <w:rFonts w:asciiTheme="minorHAnsi" w:hAnsiTheme="minorHAnsi"/>
        </w:rPr>
        <w:t>the limits</w:t>
      </w:r>
      <w:r>
        <w:rPr>
          <w:rFonts w:asciiTheme="minorHAnsi" w:hAnsiTheme="minorHAnsi"/>
        </w:rPr>
        <w:t xml:space="preserve"> that an article format places </w:t>
      </w:r>
      <w:r w:rsidR="00897E62" w:rsidRPr="00B4222E">
        <w:rPr>
          <w:rFonts w:asciiTheme="minorHAnsi" w:hAnsiTheme="minorHAnsi"/>
        </w:rPr>
        <w:t>on</w:t>
      </w:r>
      <w:r>
        <w:rPr>
          <w:rFonts w:asciiTheme="minorHAnsi" w:hAnsiTheme="minorHAnsi"/>
        </w:rPr>
        <w:t xml:space="preserve"> the detail that authors are able to provide </w:t>
      </w:r>
      <w:r w:rsidR="000858A4">
        <w:rPr>
          <w:rFonts w:asciiTheme="minorHAnsi" w:hAnsiTheme="minorHAnsi"/>
        </w:rPr>
        <w:t xml:space="preserve">around </w:t>
      </w:r>
      <w:r w:rsidR="00897E62" w:rsidRPr="00B4222E">
        <w:rPr>
          <w:rFonts w:asciiTheme="minorHAnsi" w:hAnsiTheme="minorHAnsi"/>
        </w:rPr>
        <w:t>conducting the studies, and the limited detail about methods</w:t>
      </w:r>
      <w:r w:rsidR="000858A4">
        <w:rPr>
          <w:rFonts w:asciiTheme="minorHAnsi" w:hAnsiTheme="minorHAnsi"/>
        </w:rPr>
        <w:t xml:space="preserve"> and samples.  Studies that included</w:t>
      </w:r>
      <w:r w:rsidR="00897E62" w:rsidRPr="00B4222E">
        <w:rPr>
          <w:rFonts w:asciiTheme="minorHAnsi" w:hAnsiTheme="minorHAnsi"/>
        </w:rPr>
        <w:t xml:space="preserve"> broader comments about utilisation and implem</w:t>
      </w:r>
      <w:r w:rsidR="000858A4">
        <w:rPr>
          <w:rFonts w:asciiTheme="minorHAnsi" w:hAnsiTheme="minorHAnsi"/>
        </w:rPr>
        <w:t xml:space="preserve">entation of findings </w:t>
      </w:r>
      <w:r w:rsidR="00897E62" w:rsidRPr="00B4222E">
        <w:rPr>
          <w:rFonts w:asciiTheme="minorHAnsi" w:hAnsiTheme="minorHAnsi"/>
        </w:rPr>
        <w:t xml:space="preserve">were relatively unusual across the 72 articles.  </w:t>
      </w:r>
      <w:r w:rsidR="00897E62" w:rsidRPr="00B4222E">
        <w:rPr>
          <w:rFonts w:asciiTheme="minorHAnsi" w:hAnsiTheme="minorHAnsi"/>
          <w:lang w:eastAsia="en-GB"/>
        </w:rPr>
        <w:t>We recognize that the questions posed and methods used in practitioner research are likely t</w:t>
      </w:r>
      <w:r w:rsidR="000858A4">
        <w:rPr>
          <w:rFonts w:asciiTheme="minorHAnsi" w:hAnsiTheme="minorHAnsi"/>
          <w:lang w:eastAsia="en-GB"/>
        </w:rPr>
        <w:t xml:space="preserve">o reflect </w:t>
      </w:r>
      <w:r w:rsidR="00897E62" w:rsidRPr="00B4222E">
        <w:rPr>
          <w:rFonts w:asciiTheme="minorHAnsi" w:hAnsiTheme="minorHAnsi"/>
          <w:lang w:eastAsia="en-GB"/>
        </w:rPr>
        <w:t>the resources available to practitioner researchers, in terms of time, money and access to other exp</w:t>
      </w:r>
      <w:r w:rsidR="000858A4">
        <w:rPr>
          <w:rFonts w:asciiTheme="minorHAnsi" w:hAnsiTheme="minorHAnsi"/>
          <w:lang w:eastAsia="en-GB"/>
        </w:rPr>
        <w:t xml:space="preserve">ertise.  It is perhaps to </w:t>
      </w:r>
      <w:r w:rsidR="00897E62" w:rsidRPr="00B4222E">
        <w:rPr>
          <w:rFonts w:asciiTheme="minorHAnsi" w:hAnsiTheme="minorHAnsi"/>
          <w:lang w:eastAsia="en-GB"/>
        </w:rPr>
        <w:t xml:space="preserve">expect </w:t>
      </w:r>
      <w:r w:rsidR="000858A4">
        <w:rPr>
          <w:rFonts w:asciiTheme="minorHAnsi" w:hAnsiTheme="minorHAnsi"/>
          <w:lang w:eastAsia="en-GB"/>
        </w:rPr>
        <w:t xml:space="preserve">too much of </w:t>
      </w:r>
      <w:r w:rsidR="00897E62" w:rsidRPr="00B4222E">
        <w:rPr>
          <w:rFonts w:asciiTheme="minorHAnsi" w:hAnsiTheme="minorHAnsi"/>
          <w:lang w:eastAsia="en-GB"/>
        </w:rPr>
        <w:t>these small scale studies to achieve in terms of utility and impact what w</w:t>
      </w:r>
      <w:r w:rsidR="000858A4">
        <w:rPr>
          <w:rFonts w:asciiTheme="minorHAnsi" w:hAnsiTheme="minorHAnsi"/>
          <w:lang w:eastAsia="en-GB"/>
        </w:rPr>
        <w:t>ider ‘academic’ research studies</w:t>
      </w:r>
      <w:r w:rsidR="00897E62" w:rsidRPr="00B4222E">
        <w:rPr>
          <w:rFonts w:asciiTheme="minorHAnsi" w:hAnsiTheme="minorHAnsi"/>
          <w:lang w:eastAsia="en-GB"/>
        </w:rPr>
        <w:t xml:space="preserve"> typically fail to accomplish. </w:t>
      </w:r>
    </w:p>
    <w:p w14:paraId="358E8608" w14:textId="053775CF" w:rsidR="00B4262A" w:rsidRPr="00B4222E" w:rsidRDefault="00B4262A" w:rsidP="00B4222E">
      <w:pPr>
        <w:shd w:val="clear" w:color="auto" w:fill="FFFFFF"/>
        <w:spacing w:before="100" w:beforeAutospacing="1" w:after="120" w:line="360" w:lineRule="auto"/>
        <w:jc w:val="both"/>
        <w:rPr>
          <w:rFonts w:asciiTheme="minorHAnsi" w:hAnsiTheme="minorHAnsi"/>
          <w:b/>
          <w:color w:val="222222"/>
          <w:sz w:val="28"/>
        </w:rPr>
      </w:pPr>
      <w:r w:rsidRPr="00B4222E">
        <w:rPr>
          <w:rFonts w:asciiTheme="minorHAnsi" w:hAnsiTheme="minorHAnsi"/>
          <w:b/>
          <w:color w:val="222222"/>
          <w:sz w:val="28"/>
        </w:rPr>
        <w:t xml:space="preserve">Stimulating Type 1 and 2 practitioner research  </w:t>
      </w:r>
    </w:p>
    <w:p w14:paraId="3D437294" w14:textId="6341054E" w:rsidR="00C12166" w:rsidRDefault="00C12166" w:rsidP="00B4222E">
      <w:pPr>
        <w:spacing w:before="100" w:beforeAutospacing="1" w:after="120" w:line="360" w:lineRule="auto"/>
        <w:jc w:val="both"/>
        <w:rPr>
          <w:rFonts w:asciiTheme="minorHAnsi" w:hAnsiTheme="minorHAnsi"/>
        </w:rPr>
      </w:pPr>
      <w:r w:rsidRPr="00C12166">
        <w:rPr>
          <w:rFonts w:asciiTheme="minorHAnsi" w:hAnsiTheme="minorHAnsi"/>
        </w:rPr>
        <w:t xml:space="preserve">There is an agenda, both nationally and internationally, around building research capacity within social work.  Powell and Orme (2011) report an ESRC-funded </w:t>
      </w:r>
      <w:r w:rsidRPr="00C12166">
        <w:rPr>
          <w:rFonts w:asciiTheme="minorHAnsi" w:hAnsiTheme="minorHAnsi"/>
        </w:rPr>
        <w:lastRenderedPageBreak/>
        <w:t xml:space="preserve">Researcher Development Initiative (RDI) for social work, arguing for a 'social practices model' that emphasises context and situated learning that complement more traditional methods of research training. </w:t>
      </w:r>
      <w:r w:rsidR="00C43B1B">
        <w:rPr>
          <w:rFonts w:asciiTheme="minorHAnsi" w:hAnsiTheme="minorHAnsi"/>
        </w:rPr>
        <w:t xml:space="preserve">Established </w:t>
      </w:r>
      <w:r w:rsidRPr="00C12166">
        <w:rPr>
          <w:rFonts w:asciiTheme="minorHAnsi" w:hAnsiTheme="minorHAnsi"/>
        </w:rPr>
        <w:t xml:space="preserve">collaborative models </w:t>
      </w:r>
      <w:r w:rsidR="00C43B1B">
        <w:rPr>
          <w:rFonts w:asciiTheme="minorHAnsi" w:hAnsiTheme="minorHAnsi"/>
        </w:rPr>
        <w:t xml:space="preserve">are reported </w:t>
      </w:r>
      <w:r w:rsidRPr="00C12166">
        <w:rPr>
          <w:rFonts w:asciiTheme="minorHAnsi" w:hAnsiTheme="minorHAnsi"/>
        </w:rPr>
        <w:t>including within health-based social work (</w:t>
      </w:r>
      <w:proofErr w:type="spellStart"/>
      <w:r w:rsidRPr="00C12166">
        <w:rPr>
          <w:rFonts w:asciiTheme="minorHAnsi" w:hAnsiTheme="minorHAnsi"/>
        </w:rPr>
        <w:t>Joubert</w:t>
      </w:r>
      <w:proofErr w:type="spellEnd"/>
      <w:r w:rsidRPr="00C12166">
        <w:rPr>
          <w:rFonts w:asciiTheme="minorHAnsi" w:hAnsiTheme="minorHAnsi"/>
        </w:rPr>
        <w:t xml:space="preserve"> and Hocking, 2015) that, for example, led to a range of clinically focused research studies and growing research engagement and confidence amongst practitioners. There is </w:t>
      </w:r>
      <w:r w:rsidR="00C43B1B">
        <w:rPr>
          <w:rFonts w:asciiTheme="minorHAnsi" w:hAnsiTheme="minorHAnsi"/>
        </w:rPr>
        <w:t xml:space="preserve">increasing </w:t>
      </w:r>
      <w:r w:rsidRPr="00C12166">
        <w:rPr>
          <w:rFonts w:asciiTheme="minorHAnsi" w:hAnsiTheme="minorHAnsi"/>
        </w:rPr>
        <w:t>recognition of how effective strategies must be underpinned by understanding the organisational context and social workers</w:t>
      </w:r>
      <w:r w:rsidR="00C43B1B">
        <w:rPr>
          <w:rFonts w:asciiTheme="minorHAnsi" w:hAnsiTheme="minorHAnsi"/>
        </w:rPr>
        <w:t>’ practice</w:t>
      </w:r>
      <w:r w:rsidRPr="00C12166">
        <w:rPr>
          <w:rFonts w:asciiTheme="minorHAnsi" w:hAnsiTheme="minorHAnsi"/>
        </w:rPr>
        <w:t xml:space="preserve"> (Harvey </w:t>
      </w:r>
      <w:r w:rsidRPr="00C43B1B">
        <w:rPr>
          <w:rFonts w:asciiTheme="minorHAnsi" w:hAnsiTheme="minorHAnsi"/>
          <w:i/>
        </w:rPr>
        <w:t>et al</w:t>
      </w:r>
      <w:r w:rsidRPr="00C12166">
        <w:rPr>
          <w:rFonts w:asciiTheme="minorHAnsi" w:hAnsiTheme="minorHAnsi"/>
        </w:rPr>
        <w:t>., 2013).  There is also attention to the role of services users within collaborative projects involving academics and practitioners (</w:t>
      </w:r>
      <w:r w:rsidR="00C43B1B">
        <w:rPr>
          <w:rFonts w:asciiTheme="minorHAnsi" w:hAnsiTheme="minorHAnsi"/>
        </w:rPr>
        <w:t xml:space="preserve">e.g. </w:t>
      </w:r>
      <w:r w:rsidRPr="00C12166">
        <w:rPr>
          <w:rFonts w:asciiTheme="minorHAnsi" w:hAnsiTheme="minorHAnsi"/>
        </w:rPr>
        <w:t xml:space="preserve">Fleming </w:t>
      </w:r>
      <w:r w:rsidRPr="00C43B1B">
        <w:rPr>
          <w:rFonts w:asciiTheme="minorHAnsi" w:hAnsiTheme="minorHAnsi"/>
          <w:i/>
        </w:rPr>
        <w:t>et al</w:t>
      </w:r>
      <w:r w:rsidRPr="00C12166">
        <w:rPr>
          <w:rFonts w:asciiTheme="minorHAnsi" w:hAnsiTheme="minorHAnsi"/>
        </w:rPr>
        <w:t>., 2014).</w:t>
      </w:r>
    </w:p>
    <w:p w14:paraId="5A59178A" w14:textId="1B6AAE9F" w:rsidR="00420C05" w:rsidRPr="00B4222E" w:rsidRDefault="00744522" w:rsidP="00B4222E">
      <w:pPr>
        <w:spacing w:before="100" w:beforeAutospacing="1" w:after="120" w:line="360" w:lineRule="auto"/>
        <w:jc w:val="both"/>
        <w:rPr>
          <w:rFonts w:asciiTheme="minorHAnsi" w:hAnsiTheme="minorHAnsi"/>
        </w:rPr>
      </w:pPr>
      <w:r>
        <w:rPr>
          <w:rFonts w:asciiTheme="minorHAnsi" w:hAnsiTheme="minorHAnsi"/>
        </w:rPr>
        <w:t>Within our own review t</w:t>
      </w:r>
      <w:r w:rsidR="00547B62" w:rsidRPr="00B4222E">
        <w:rPr>
          <w:rFonts w:asciiTheme="minorHAnsi" w:hAnsiTheme="minorHAnsi"/>
        </w:rPr>
        <w:t>he size of studies varied considerably reflecting in part different research cultures in health and social care agenc</w:t>
      </w:r>
      <w:r w:rsidR="008F35CB">
        <w:rPr>
          <w:rFonts w:asciiTheme="minorHAnsi" w:hAnsiTheme="minorHAnsi"/>
        </w:rPr>
        <w:t xml:space="preserve">ies.  A distinction may be drawn </w:t>
      </w:r>
      <w:r w:rsidR="00547B62" w:rsidRPr="00B4222E">
        <w:rPr>
          <w:rFonts w:asciiTheme="minorHAnsi" w:hAnsiTheme="minorHAnsi"/>
        </w:rPr>
        <w:t xml:space="preserve">between ‘cottage industry’ </w:t>
      </w:r>
      <w:proofErr w:type="gramStart"/>
      <w:r w:rsidR="00547B62" w:rsidRPr="00B4222E">
        <w:rPr>
          <w:rFonts w:asciiTheme="minorHAnsi" w:hAnsiTheme="minorHAnsi"/>
        </w:rPr>
        <w:t>research</w:t>
      </w:r>
      <w:proofErr w:type="gramEnd"/>
      <w:r w:rsidR="00AD3B9C" w:rsidRPr="00B4222E">
        <w:rPr>
          <w:rFonts w:asciiTheme="minorHAnsi" w:hAnsiTheme="minorHAnsi"/>
        </w:rPr>
        <w:t xml:space="preserve"> (Type 2</w:t>
      </w:r>
      <w:r w:rsidR="00547B62" w:rsidRPr="00B4222E">
        <w:rPr>
          <w:rFonts w:asciiTheme="minorHAnsi" w:hAnsiTheme="minorHAnsi"/>
        </w:rPr>
        <w:t xml:space="preserve">) and (often larger) more organisationally sponsored and supported endeavours (Type </w:t>
      </w:r>
      <w:r w:rsidR="00AD3B9C" w:rsidRPr="00B4222E">
        <w:rPr>
          <w:rFonts w:asciiTheme="minorHAnsi" w:hAnsiTheme="minorHAnsi"/>
        </w:rPr>
        <w:t>1)</w:t>
      </w:r>
      <w:r w:rsidR="00547B62" w:rsidRPr="00B4222E">
        <w:rPr>
          <w:rFonts w:asciiTheme="minorHAnsi" w:hAnsiTheme="minorHAnsi"/>
        </w:rPr>
        <w:t xml:space="preserve">.  </w:t>
      </w:r>
      <w:r w:rsidR="001B1D63" w:rsidRPr="00B4222E">
        <w:rPr>
          <w:rFonts w:asciiTheme="minorHAnsi" w:hAnsiTheme="minorHAnsi"/>
        </w:rPr>
        <w:t xml:space="preserve">This is not a watertight distinction. For example, the work of </w:t>
      </w:r>
      <w:r w:rsidR="008F35CB">
        <w:rPr>
          <w:rFonts w:asciiTheme="minorHAnsi" w:hAnsiTheme="minorHAnsi"/>
        </w:rPr>
        <w:t xml:space="preserve">Knut </w:t>
      </w:r>
      <w:r w:rsidR="001B1D63" w:rsidRPr="00B4222E">
        <w:rPr>
          <w:rFonts w:asciiTheme="minorHAnsi" w:hAnsiTheme="minorHAnsi"/>
        </w:rPr>
        <w:t>Ramian, referenced elsewhere, falls into what we call Type 2 studies, but has enjoyed modest funding</w:t>
      </w:r>
      <w:r w:rsidR="00930D05" w:rsidRPr="00B4222E">
        <w:rPr>
          <w:rFonts w:asciiTheme="minorHAnsi" w:hAnsiTheme="minorHAnsi"/>
        </w:rPr>
        <w:t xml:space="preserve"> (</w:t>
      </w:r>
      <w:r w:rsidR="00644C3E">
        <w:rPr>
          <w:rFonts w:asciiTheme="minorHAnsi" w:hAnsiTheme="minorHAnsi"/>
        </w:rPr>
        <w:t xml:space="preserve">Lunt </w:t>
      </w:r>
      <w:r w:rsidR="00930D05" w:rsidRPr="00B4222E">
        <w:rPr>
          <w:rFonts w:asciiTheme="minorHAnsi" w:hAnsiTheme="minorHAnsi"/>
          <w:i/>
        </w:rPr>
        <w:t>et al</w:t>
      </w:r>
      <w:r w:rsidR="001D5F75">
        <w:rPr>
          <w:rFonts w:asciiTheme="minorHAnsi" w:hAnsiTheme="minorHAnsi"/>
          <w:i/>
        </w:rPr>
        <w:t>.</w:t>
      </w:r>
      <w:r w:rsidR="00930D05" w:rsidRPr="00B4222E">
        <w:rPr>
          <w:rFonts w:asciiTheme="minorHAnsi" w:hAnsiTheme="minorHAnsi"/>
        </w:rPr>
        <w:t>, 2011)</w:t>
      </w:r>
      <w:r w:rsidR="001B1D63" w:rsidRPr="00B4222E">
        <w:rPr>
          <w:rFonts w:asciiTheme="minorHAnsi" w:hAnsiTheme="minorHAnsi"/>
        </w:rPr>
        <w:t xml:space="preserve">. Nor </w:t>
      </w:r>
      <w:r w:rsidR="008F35CB">
        <w:rPr>
          <w:rFonts w:asciiTheme="minorHAnsi" w:hAnsiTheme="minorHAnsi"/>
        </w:rPr>
        <w:t xml:space="preserve">are these </w:t>
      </w:r>
      <w:r w:rsidR="00547B62" w:rsidRPr="00B4222E">
        <w:rPr>
          <w:rFonts w:asciiTheme="minorHAnsi" w:hAnsiTheme="minorHAnsi"/>
        </w:rPr>
        <w:t>an evaluativ</w:t>
      </w:r>
      <w:r w:rsidR="004D5FFB" w:rsidRPr="00B4222E">
        <w:rPr>
          <w:rFonts w:asciiTheme="minorHAnsi" w:hAnsiTheme="minorHAnsi"/>
        </w:rPr>
        <w:t>e pair of categories and w</w:t>
      </w:r>
      <w:r w:rsidR="00547B62" w:rsidRPr="00B4222E">
        <w:rPr>
          <w:rFonts w:asciiTheme="minorHAnsi" w:hAnsiTheme="minorHAnsi"/>
        </w:rPr>
        <w:t xml:space="preserve">e are wary of assuming an ideal </w:t>
      </w:r>
      <w:r w:rsidR="00E66C07" w:rsidRPr="00B4222E">
        <w:rPr>
          <w:rFonts w:asciiTheme="minorHAnsi" w:hAnsiTheme="minorHAnsi"/>
        </w:rPr>
        <w:t>model of research</w:t>
      </w:r>
      <w:r w:rsidR="008F35CB">
        <w:rPr>
          <w:rFonts w:asciiTheme="minorHAnsi" w:hAnsiTheme="minorHAnsi"/>
        </w:rPr>
        <w:t xml:space="preserve">, that would lead to </w:t>
      </w:r>
      <w:r w:rsidR="00547B62" w:rsidRPr="00B4222E">
        <w:rPr>
          <w:rFonts w:asciiTheme="minorHAnsi" w:hAnsiTheme="minorHAnsi"/>
        </w:rPr>
        <w:t>invidious distinctions of naïve versus mature; small versus large; practitioner versus practitioner + academic models of practitioner research.</w:t>
      </w:r>
    </w:p>
    <w:p w14:paraId="5323D06A" w14:textId="07401853" w:rsidR="005736F8" w:rsidRPr="00B4222E" w:rsidRDefault="0086272D" w:rsidP="00B4222E">
      <w:pPr>
        <w:spacing w:before="100" w:beforeAutospacing="1" w:after="120" w:line="360" w:lineRule="auto"/>
        <w:jc w:val="both"/>
        <w:rPr>
          <w:rFonts w:asciiTheme="minorHAnsi" w:hAnsiTheme="minorHAnsi"/>
        </w:rPr>
      </w:pPr>
      <w:r w:rsidRPr="00B4222E">
        <w:rPr>
          <w:rFonts w:asciiTheme="minorHAnsi" w:hAnsiTheme="minorHAnsi"/>
        </w:rPr>
        <w:t>Having identified the potential benefits of both Type 1 and Type 2 Practitioner Research w</w:t>
      </w:r>
      <w:r w:rsidR="005736F8" w:rsidRPr="00B4222E">
        <w:rPr>
          <w:rFonts w:asciiTheme="minorHAnsi" w:hAnsiTheme="minorHAnsi"/>
        </w:rPr>
        <w:t xml:space="preserve">hat kinds of factors prompt and sustain practitioner engagement in research? </w:t>
      </w:r>
      <w:r w:rsidR="00C40EC4" w:rsidRPr="00B4222E">
        <w:rPr>
          <w:rFonts w:asciiTheme="minorHAnsi" w:hAnsiTheme="minorHAnsi"/>
        </w:rPr>
        <w:t xml:space="preserve">Once again we turn to earlier research that entailed direct fieldwork with participants. </w:t>
      </w:r>
      <w:r w:rsidR="005736F8" w:rsidRPr="00B4222E">
        <w:rPr>
          <w:rFonts w:asciiTheme="minorHAnsi" w:hAnsiTheme="minorHAnsi"/>
        </w:rPr>
        <w:t>Our earlier research on practitioner research initiatives</w:t>
      </w:r>
      <w:r w:rsidR="00B4262A" w:rsidRPr="00B4222E">
        <w:rPr>
          <w:rFonts w:asciiTheme="minorHAnsi" w:hAnsiTheme="minorHAnsi"/>
        </w:rPr>
        <w:t xml:space="preserve"> (</w:t>
      </w:r>
      <w:r w:rsidR="00644C3E">
        <w:rPr>
          <w:rFonts w:asciiTheme="minorHAnsi" w:hAnsiTheme="minorHAnsi"/>
        </w:rPr>
        <w:t xml:space="preserve">Lunt </w:t>
      </w:r>
      <w:r w:rsidR="00B4262A" w:rsidRPr="00B4222E">
        <w:rPr>
          <w:rFonts w:asciiTheme="minorHAnsi" w:hAnsiTheme="minorHAnsi"/>
          <w:i/>
        </w:rPr>
        <w:t>et al</w:t>
      </w:r>
      <w:r w:rsidR="001D5F75">
        <w:rPr>
          <w:rFonts w:asciiTheme="minorHAnsi" w:hAnsiTheme="minorHAnsi"/>
          <w:i/>
        </w:rPr>
        <w:t>.</w:t>
      </w:r>
      <w:r w:rsidR="00B4262A" w:rsidRPr="00B4222E">
        <w:rPr>
          <w:rFonts w:asciiTheme="minorHAnsi" w:hAnsiTheme="minorHAnsi"/>
        </w:rPr>
        <w:t xml:space="preserve">, 2008; </w:t>
      </w:r>
      <w:r w:rsidR="00644C3E">
        <w:rPr>
          <w:rFonts w:asciiTheme="minorHAnsi" w:hAnsiTheme="minorHAnsi"/>
        </w:rPr>
        <w:t xml:space="preserve">Lunt </w:t>
      </w:r>
      <w:r w:rsidR="00B4262A" w:rsidRPr="00B4222E">
        <w:rPr>
          <w:rFonts w:asciiTheme="minorHAnsi" w:hAnsiTheme="minorHAnsi"/>
          <w:i/>
        </w:rPr>
        <w:t>et al</w:t>
      </w:r>
      <w:r w:rsidR="001D5F75">
        <w:rPr>
          <w:rFonts w:asciiTheme="minorHAnsi" w:hAnsiTheme="minorHAnsi"/>
          <w:i/>
        </w:rPr>
        <w:t>.</w:t>
      </w:r>
      <w:r w:rsidR="00B4262A" w:rsidRPr="00B4222E">
        <w:rPr>
          <w:rFonts w:asciiTheme="minorHAnsi" w:hAnsiTheme="minorHAnsi"/>
        </w:rPr>
        <w:t>, 2011)</w:t>
      </w:r>
      <w:r w:rsidR="005736F8" w:rsidRPr="00B4222E">
        <w:rPr>
          <w:rFonts w:asciiTheme="minorHAnsi" w:hAnsiTheme="minorHAnsi"/>
        </w:rPr>
        <w:t xml:space="preserve"> leads us to suggest that there is a combination of three factors that stimulate activity per se:</w:t>
      </w:r>
    </w:p>
    <w:p w14:paraId="1FFF666D" w14:textId="77777777" w:rsidR="005736F8" w:rsidRPr="00B4222E" w:rsidRDefault="005736F8" w:rsidP="00B4222E">
      <w:pPr>
        <w:pStyle w:val="ListParagraph"/>
        <w:numPr>
          <w:ilvl w:val="0"/>
          <w:numId w:val="5"/>
        </w:numPr>
        <w:spacing w:before="100" w:beforeAutospacing="1" w:after="120" w:line="360" w:lineRule="auto"/>
        <w:jc w:val="both"/>
        <w:rPr>
          <w:rFonts w:asciiTheme="minorHAnsi" w:hAnsiTheme="minorHAnsi"/>
        </w:rPr>
      </w:pPr>
      <w:r w:rsidRPr="00B4222E">
        <w:rPr>
          <w:rFonts w:asciiTheme="minorHAnsi" w:hAnsiTheme="minorHAnsi"/>
        </w:rPr>
        <w:t xml:space="preserve">Personal </w:t>
      </w:r>
      <w:r w:rsidRPr="00B4222E">
        <w:rPr>
          <w:rFonts w:asciiTheme="minorHAnsi" w:hAnsiTheme="minorHAnsi"/>
          <w:i/>
        </w:rPr>
        <w:t>motivation</w:t>
      </w:r>
      <w:r w:rsidRPr="00B4222E">
        <w:rPr>
          <w:rFonts w:asciiTheme="minorHAnsi" w:hAnsiTheme="minorHAnsi"/>
        </w:rPr>
        <w:t>.</w:t>
      </w:r>
    </w:p>
    <w:p w14:paraId="24091700" w14:textId="77777777" w:rsidR="005736F8" w:rsidRPr="00B4222E" w:rsidRDefault="005736F8" w:rsidP="00B4222E">
      <w:pPr>
        <w:pStyle w:val="ListParagraph"/>
        <w:numPr>
          <w:ilvl w:val="0"/>
          <w:numId w:val="5"/>
        </w:numPr>
        <w:spacing w:before="100" w:beforeAutospacing="1" w:after="120" w:line="360" w:lineRule="auto"/>
        <w:jc w:val="both"/>
        <w:rPr>
          <w:rFonts w:asciiTheme="minorHAnsi" w:hAnsiTheme="minorHAnsi"/>
        </w:rPr>
      </w:pPr>
      <w:r w:rsidRPr="00B4222E">
        <w:rPr>
          <w:rFonts w:asciiTheme="minorHAnsi" w:hAnsiTheme="minorHAnsi"/>
        </w:rPr>
        <w:t xml:space="preserve">Personal and professional </w:t>
      </w:r>
      <w:r w:rsidRPr="00B4222E">
        <w:rPr>
          <w:rFonts w:asciiTheme="minorHAnsi" w:hAnsiTheme="minorHAnsi"/>
          <w:i/>
        </w:rPr>
        <w:t>capacity</w:t>
      </w:r>
      <w:r w:rsidRPr="00B4222E">
        <w:rPr>
          <w:rFonts w:asciiTheme="minorHAnsi" w:hAnsiTheme="minorHAnsi"/>
        </w:rPr>
        <w:t xml:space="preserve"> to carry forward the research.</w:t>
      </w:r>
    </w:p>
    <w:p w14:paraId="0BC425B5" w14:textId="77777777" w:rsidR="005736F8" w:rsidRPr="00B4222E" w:rsidRDefault="005736F8" w:rsidP="00B4222E">
      <w:pPr>
        <w:pStyle w:val="ListParagraph"/>
        <w:numPr>
          <w:ilvl w:val="0"/>
          <w:numId w:val="5"/>
        </w:numPr>
        <w:spacing w:before="100" w:beforeAutospacing="1" w:after="120" w:line="360" w:lineRule="auto"/>
        <w:jc w:val="both"/>
        <w:rPr>
          <w:rFonts w:asciiTheme="minorHAnsi" w:hAnsiTheme="minorHAnsi"/>
        </w:rPr>
      </w:pPr>
      <w:r w:rsidRPr="00B4222E">
        <w:rPr>
          <w:rFonts w:asciiTheme="minorHAnsi" w:hAnsiTheme="minorHAnsi"/>
        </w:rPr>
        <w:t xml:space="preserve">Timely </w:t>
      </w:r>
      <w:r w:rsidRPr="00B4222E">
        <w:rPr>
          <w:rFonts w:asciiTheme="minorHAnsi" w:hAnsiTheme="minorHAnsi"/>
          <w:i/>
        </w:rPr>
        <w:t>opportunity</w:t>
      </w:r>
      <w:r w:rsidRPr="00B4222E">
        <w:rPr>
          <w:rFonts w:asciiTheme="minorHAnsi" w:hAnsiTheme="minorHAnsi"/>
        </w:rPr>
        <w:t xml:space="preserve"> </w:t>
      </w:r>
    </w:p>
    <w:p w14:paraId="09BE36C6" w14:textId="2F1C4A0E" w:rsidR="005736F8" w:rsidRPr="00B4222E" w:rsidRDefault="005736F8" w:rsidP="00B4222E">
      <w:pPr>
        <w:spacing w:before="100" w:beforeAutospacing="1" w:after="120" w:line="360" w:lineRule="auto"/>
        <w:jc w:val="both"/>
        <w:rPr>
          <w:rFonts w:asciiTheme="minorHAnsi" w:hAnsiTheme="minorHAnsi"/>
        </w:rPr>
      </w:pPr>
      <w:r w:rsidRPr="00B4222E">
        <w:rPr>
          <w:rFonts w:asciiTheme="minorHAnsi" w:hAnsiTheme="minorHAnsi"/>
        </w:rPr>
        <w:lastRenderedPageBreak/>
        <w:t xml:space="preserve">While one or other of these may exist in isolation, without the conjunction of all three </w:t>
      </w:r>
      <w:r w:rsidR="00C95E3B">
        <w:rPr>
          <w:rFonts w:asciiTheme="minorHAnsi" w:hAnsiTheme="minorHAnsi"/>
        </w:rPr>
        <w:t xml:space="preserve">it is unlikely that </w:t>
      </w:r>
      <w:r w:rsidRPr="00B4222E">
        <w:rPr>
          <w:rFonts w:asciiTheme="minorHAnsi" w:hAnsiTheme="minorHAnsi"/>
        </w:rPr>
        <w:t>practitioner res</w:t>
      </w:r>
      <w:r w:rsidR="00C95E3B">
        <w:rPr>
          <w:rFonts w:asciiTheme="minorHAnsi" w:hAnsiTheme="minorHAnsi"/>
        </w:rPr>
        <w:t>earch initiatives will take place, or at least carry through to completion.  E</w:t>
      </w:r>
      <w:r w:rsidRPr="00B4222E">
        <w:rPr>
          <w:rFonts w:asciiTheme="minorHAnsi" w:hAnsiTheme="minorHAnsi"/>
        </w:rPr>
        <w:t>ach is necess</w:t>
      </w:r>
      <w:r w:rsidR="00C95E3B">
        <w:rPr>
          <w:rFonts w:asciiTheme="minorHAnsi" w:hAnsiTheme="minorHAnsi"/>
        </w:rPr>
        <w:t>ary but none is sufficient and t</w:t>
      </w:r>
      <w:r w:rsidRPr="00B4222E">
        <w:rPr>
          <w:rFonts w:asciiTheme="minorHAnsi" w:hAnsiTheme="minorHAnsi"/>
        </w:rPr>
        <w:t>he combination of all three will ensure that practitioner research activity is completed.</w:t>
      </w:r>
    </w:p>
    <w:p w14:paraId="7965F3A0" w14:textId="0BB645FC" w:rsidR="008E56F3" w:rsidRPr="00B4222E" w:rsidRDefault="00420C05" w:rsidP="00B4222E">
      <w:pPr>
        <w:spacing w:before="100" w:beforeAutospacing="1" w:after="120" w:line="360" w:lineRule="auto"/>
        <w:jc w:val="both"/>
        <w:rPr>
          <w:rFonts w:asciiTheme="minorHAnsi" w:hAnsiTheme="minorHAnsi"/>
        </w:rPr>
      </w:pPr>
      <w:r w:rsidRPr="00B4222E">
        <w:rPr>
          <w:rFonts w:asciiTheme="minorHAnsi" w:hAnsiTheme="minorHAnsi"/>
        </w:rPr>
        <w:t xml:space="preserve">Working in a close team environment </w:t>
      </w:r>
      <w:r w:rsidR="00AD3B9C" w:rsidRPr="00B4222E">
        <w:rPr>
          <w:rFonts w:asciiTheme="minorHAnsi" w:hAnsiTheme="minorHAnsi"/>
        </w:rPr>
        <w:t>such as with netw</w:t>
      </w:r>
      <w:r w:rsidR="00B4262A" w:rsidRPr="00B4222E">
        <w:rPr>
          <w:rFonts w:asciiTheme="minorHAnsi" w:hAnsiTheme="minorHAnsi"/>
        </w:rPr>
        <w:t>orked initiatives (</w:t>
      </w:r>
      <w:r w:rsidR="00C40EC4" w:rsidRPr="00B4222E">
        <w:rPr>
          <w:rFonts w:asciiTheme="minorHAnsi" w:hAnsiTheme="minorHAnsi"/>
        </w:rPr>
        <w:t xml:space="preserve">as in some instances of </w:t>
      </w:r>
      <w:r w:rsidR="00B4262A" w:rsidRPr="00B4222E">
        <w:rPr>
          <w:rFonts w:asciiTheme="minorHAnsi" w:hAnsiTheme="minorHAnsi"/>
        </w:rPr>
        <w:t>Type 2</w:t>
      </w:r>
      <w:r w:rsidR="00C40EC4" w:rsidRPr="00B4222E">
        <w:rPr>
          <w:rFonts w:asciiTheme="minorHAnsi" w:hAnsiTheme="minorHAnsi"/>
        </w:rPr>
        <w:t xml:space="preserve"> research</w:t>
      </w:r>
      <w:r w:rsidR="00B4262A" w:rsidRPr="00B4222E">
        <w:rPr>
          <w:rFonts w:asciiTheme="minorHAnsi" w:hAnsiTheme="minorHAnsi"/>
        </w:rPr>
        <w:t>) or practitioner research</w:t>
      </w:r>
      <w:r w:rsidR="00AD3B9C" w:rsidRPr="00B4222E">
        <w:rPr>
          <w:rFonts w:asciiTheme="minorHAnsi" w:hAnsiTheme="minorHAnsi"/>
        </w:rPr>
        <w:t xml:space="preserve"> within larger teams (Type 1) offers </w:t>
      </w:r>
      <w:r w:rsidRPr="00B4222E">
        <w:rPr>
          <w:rFonts w:asciiTheme="minorHAnsi" w:hAnsiTheme="minorHAnsi"/>
        </w:rPr>
        <w:t xml:space="preserve">a number of advantages to the research process, including </w:t>
      </w:r>
      <w:r w:rsidR="00AE2729">
        <w:rPr>
          <w:rFonts w:asciiTheme="minorHAnsi" w:hAnsiTheme="minorHAnsi"/>
        </w:rPr>
        <w:t xml:space="preserve">providing </w:t>
      </w:r>
      <w:r w:rsidRPr="00B4222E">
        <w:rPr>
          <w:rFonts w:asciiTheme="minorHAnsi" w:hAnsiTheme="minorHAnsi"/>
        </w:rPr>
        <w:t xml:space="preserve">motivation, organisational ability, research skills and presentation skills.  </w:t>
      </w:r>
      <w:r w:rsidR="00910647" w:rsidRPr="00B4222E">
        <w:rPr>
          <w:rFonts w:asciiTheme="minorHAnsi" w:hAnsiTheme="minorHAnsi"/>
        </w:rPr>
        <w:t>Within small groups an</w:t>
      </w:r>
      <w:r w:rsidRPr="00B4222E">
        <w:rPr>
          <w:rFonts w:asciiTheme="minorHAnsi" w:hAnsiTheme="minorHAnsi"/>
        </w:rPr>
        <w:t xml:space="preserve"> individual charged with keeping the project on track and typically undertaking a range of functions is an important ingredient in maintaining motivation and completing projects.</w:t>
      </w:r>
      <w:r w:rsidR="00B4262A" w:rsidRPr="00B4222E">
        <w:rPr>
          <w:rFonts w:asciiTheme="minorHAnsi" w:hAnsiTheme="minorHAnsi"/>
        </w:rPr>
        <w:t xml:space="preserve">  I</w:t>
      </w:r>
      <w:r w:rsidR="00910647" w:rsidRPr="00B4222E">
        <w:rPr>
          <w:rFonts w:asciiTheme="minorHAnsi" w:hAnsiTheme="minorHAnsi"/>
        </w:rPr>
        <w:t xml:space="preserve">n a Type 1 project </w:t>
      </w:r>
      <w:r w:rsidR="00B4262A" w:rsidRPr="00B4222E">
        <w:rPr>
          <w:rFonts w:asciiTheme="minorHAnsi" w:hAnsiTheme="minorHAnsi"/>
        </w:rPr>
        <w:t xml:space="preserve">this </w:t>
      </w:r>
      <w:r w:rsidR="00956197" w:rsidRPr="00B4222E">
        <w:rPr>
          <w:rFonts w:asciiTheme="minorHAnsi" w:hAnsiTheme="minorHAnsi"/>
        </w:rPr>
        <w:t xml:space="preserve">may </w:t>
      </w:r>
      <w:r w:rsidR="00910647" w:rsidRPr="00B4222E">
        <w:rPr>
          <w:rFonts w:asciiTheme="minorHAnsi" w:hAnsiTheme="minorHAnsi"/>
        </w:rPr>
        <w:t>be the grant</w:t>
      </w:r>
      <w:r w:rsidR="00CA08FA" w:rsidRPr="00B4222E">
        <w:rPr>
          <w:rFonts w:asciiTheme="minorHAnsi" w:hAnsiTheme="minorHAnsi"/>
        </w:rPr>
        <w:t xml:space="preserve"> or research contract</w:t>
      </w:r>
      <w:r w:rsidR="00910647" w:rsidRPr="00B4222E">
        <w:rPr>
          <w:rFonts w:asciiTheme="minorHAnsi" w:hAnsiTheme="minorHAnsi"/>
        </w:rPr>
        <w:t>-holder.</w:t>
      </w:r>
      <w:r w:rsidRPr="00B4222E">
        <w:rPr>
          <w:rFonts w:asciiTheme="minorHAnsi" w:hAnsiTheme="minorHAnsi"/>
        </w:rPr>
        <w:t xml:space="preserve">  </w:t>
      </w:r>
    </w:p>
    <w:p w14:paraId="57404A3E" w14:textId="18C5C9B3" w:rsidR="008E56F3" w:rsidRPr="00B4222E" w:rsidRDefault="008E56F3" w:rsidP="00B4222E">
      <w:pPr>
        <w:spacing w:before="100" w:beforeAutospacing="1" w:after="120" w:line="360" w:lineRule="auto"/>
        <w:jc w:val="both"/>
        <w:rPr>
          <w:rFonts w:asciiTheme="minorHAnsi" w:hAnsiTheme="minorHAnsi"/>
        </w:rPr>
      </w:pPr>
      <w:r w:rsidRPr="00B4222E">
        <w:rPr>
          <w:rFonts w:asciiTheme="minorHAnsi" w:hAnsiTheme="minorHAnsi"/>
        </w:rPr>
        <w:t xml:space="preserve">Six key types of support </w:t>
      </w:r>
      <w:r w:rsidR="001A5F79" w:rsidRPr="00B4222E">
        <w:rPr>
          <w:rFonts w:asciiTheme="minorHAnsi" w:hAnsiTheme="minorHAnsi"/>
        </w:rPr>
        <w:t xml:space="preserve">may be </w:t>
      </w:r>
      <w:r w:rsidRPr="00B4222E">
        <w:rPr>
          <w:rFonts w:asciiTheme="minorHAnsi" w:hAnsiTheme="minorHAnsi"/>
        </w:rPr>
        <w:t xml:space="preserve">offered </w:t>
      </w:r>
      <w:r w:rsidR="00AE2729">
        <w:rPr>
          <w:rFonts w:asciiTheme="minorHAnsi" w:hAnsiTheme="minorHAnsi"/>
        </w:rPr>
        <w:t>by mentors and tutors: directing</w:t>
      </w:r>
      <w:r w:rsidRPr="00B4222E">
        <w:rPr>
          <w:rFonts w:asciiTheme="minorHAnsi" w:hAnsiTheme="minorHAnsi"/>
        </w:rPr>
        <w:t xml:space="preserve"> and teaching on </w:t>
      </w:r>
      <w:r w:rsidR="00AE2729">
        <w:rPr>
          <w:rFonts w:asciiTheme="minorHAnsi" w:hAnsiTheme="minorHAnsi"/>
        </w:rPr>
        <w:t xml:space="preserve">research methods; assisting </w:t>
      </w:r>
      <w:r w:rsidRPr="00B4222E">
        <w:rPr>
          <w:rFonts w:asciiTheme="minorHAnsi" w:hAnsiTheme="minorHAnsi"/>
        </w:rPr>
        <w:t xml:space="preserve">with design and implementation; support around practicalities; </w:t>
      </w:r>
      <w:r w:rsidR="00AE2729">
        <w:rPr>
          <w:rFonts w:asciiTheme="minorHAnsi" w:hAnsiTheme="minorHAnsi"/>
        </w:rPr>
        <w:t>providing opportunities to discuss</w:t>
      </w:r>
      <w:r w:rsidRPr="00B4222E">
        <w:rPr>
          <w:rFonts w:asciiTheme="minorHAnsi" w:hAnsiTheme="minorHAnsi"/>
        </w:rPr>
        <w:t xml:space="preserve"> dilemmas; em</w:t>
      </w:r>
      <w:r w:rsidR="00AE2729">
        <w:rPr>
          <w:rFonts w:asciiTheme="minorHAnsi" w:hAnsiTheme="minorHAnsi"/>
        </w:rPr>
        <w:t>otional support; and ensuring participants are kept</w:t>
      </w:r>
      <w:r w:rsidRPr="00B4222E">
        <w:rPr>
          <w:rFonts w:asciiTheme="minorHAnsi" w:hAnsiTheme="minorHAnsi"/>
        </w:rPr>
        <w:t xml:space="preserve"> to timescale</w:t>
      </w:r>
      <w:r w:rsidR="00B4262A" w:rsidRPr="00B4222E">
        <w:rPr>
          <w:rFonts w:asciiTheme="minorHAnsi" w:hAnsiTheme="minorHAnsi"/>
        </w:rPr>
        <w:t xml:space="preserve"> (</w:t>
      </w:r>
      <w:r w:rsidR="00644C3E">
        <w:rPr>
          <w:rFonts w:asciiTheme="minorHAnsi" w:hAnsiTheme="minorHAnsi"/>
        </w:rPr>
        <w:t xml:space="preserve">Lunt </w:t>
      </w:r>
      <w:r w:rsidR="00B4262A" w:rsidRPr="00B4222E">
        <w:rPr>
          <w:rFonts w:asciiTheme="minorHAnsi" w:hAnsiTheme="minorHAnsi"/>
          <w:i/>
        </w:rPr>
        <w:t>et al</w:t>
      </w:r>
      <w:r w:rsidR="001D5F75">
        <w:rPr>
          <w:rFonts w:asciiTheme="minorHAnsi" w:hAnsiTheme="minorHAnsi"/>
          <w:i/>
        </w:rPr>
        <w:t>.</w:t>
      </w:r>
      <w:r w:rsidR="00B4262A" w:rsidRPr="00B4222E">
        <w:rPr>
          <w:rFonts w:asciiTheme="minorHAnsi" w:hAnsiTheme="minorHAnsi"/>
        </w:rPr>
        <w:t>, 2008)</w:t>
      </w:r>
      <w:r w:rsidRPr="00B4222E">
        <w:rPr>
          <w:rFonts w:asciiTheme="minorHAnsi" w:hAnsiTheme="minorHAnsi"/>
        </w:rPr>
        <w:t>.</w:t>
      </w:r>
    </w:p>
    <w:p w14:paraId="041940F3" w14:textId="45387537" w:rsidR="00725048" w:rsidRPr="00B4222E" w:rsidRDefault="00420C05"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rPr>
        <w:t xml:space="preserve">Needs around time management, forward planning and maintaining motivation can be effectively managed by providing a </w:t>
      </w:r>
      <w:r w:rsidRPr="00B4222E">
        <w:rPr>
          <w:rFonts w:asciiTheme="minorHAnsi" w:hAnsiTheme="minorHAnsi"/>
          <w:i/>
          <w:iCs/>
        </w:rPr>
        <w:t>framework of opportunity</w:t>
      </w:r>
      <w:r w:rsidRPr="00B4222E">
        <w:rPr>
          <w:rFonts w:asciiTheme="minorHAnsi" w:hAnsiTheme="minorHAnsi"/>
        </w:rPr>
        <w:t xml:space="preserve">. </w:t>
      </w:r>
      <w:r w:rsidR="00910647" w:rsidRPr="00B4222E">
        <w:rPr>
          <w:rFonts w:asciiTheme="minorHAnsi" w:hAnsiTheme="minorHAnsi"/>
        </w:rPr>
        <w:t>This is less likely to be a concern in funded projects (</w:t>
      </w:r>
      <w:r w:rsidR="00956197" w:rsidRPr="00B4222E">
        <w:rPr>
          <w:rFonts w:asciiTheme="minorHAnsi" w:hAnsiTheme="minorHAnsi"/>
        </w:rPr>
        <w:t xml:space="preserve">perhaps </w:t>
      </w:r>
      <w:r w:rsidR="00910647" w:rsidRPr="00B4222E">
        <w:rPr>
          <w:rFonts w:asciiTheme="minorHAnsi" w:hAnsiTheme="minorHAnsi"/>
        </w:rPr>
        <w:t xml:space="preserve">typically Type 1). </w:t>
      </w:r>
      <w:r w:rsidRPr="00B4222E">
        <w:rPr>
          <w:rFonts w:asciiTheme="minorHAnsi" w:hAnsiTheme="minorHAnsi"/>
        </w:rPr>
        <w:t>A close-ended commit</w:t>
      </w:r>
      <w:r w:rsidR="00930D05" w:rsidRPr="00B4222E">
        <w:rPr>
          <w:rFonts w:asciiTheme="minorHAnsi" w:hAnsiTheme="minorHAnsi"/>
        </w:rPr>
        <w:t>ment with project milestones become</w:t>
      </w:r>
      <w:r w:rsidRPr="00B4222E">
        <w:rPr>
          <w:rFonts w:asciiTheme="minorHAnsi" w:hAnsiTheme="minorHAnsi"/>
        </w:rPr>
        <w:t xml:space="preserve"> effective markers to allow </w:t>
      </w:r>
      <w:r w:rsidR="00910647" w:rsidRPr="00B4222E">
        <w:rPr>
          <w:rFonts w:asciiTheme="minorHAnsi" w:hAnsiTheme="minorHAnsi"/>
        </w:rPr>
        <w:t xml:space="preserve">individuals </w:t>
      </w:r>
      <w:r w:rsidRPr="00B4222E">
        <w:rPr>
          <w:rFonts w:asciiTheme="minorHAnsi" w:hAnsiTheme="minorHAnsi"/>
        </w:rPr>
        <w:t>to benchmark progress and optimise their own ideas, skills, and energies.   The role of the employing organisation is important if practitioner research projects and practitioner research more broadly are to be nurtured</w:t>
      </w:r>
      <w:r w:rsidR="00B4262A" w:rsidRPr="00B4222E">
        <w:rPr>
          <w:rFonts w:asciiTheme="minorHAnsi" w:hAnsiTheme="minorHAnsi"/>
        </w:rPr>
        <w:t xml:space="preserve"> (Type 2)</w:t>
      </w:r>
      <w:r w:rsidRPr="00B4222E">
        <w:rPr>
          <w:rFonts w:asciiTheme="minorHAnsi" w:hAnsiTheme="minorHAnsi"/>
        </w:rPr>
        <w:t>. Organisations need to</w:t>
      </w:r>
      <w:r w:rsidRPr="00B4222E">
        <w:rPr>
          <w:rFonts w:asciiTheme="minorHAnsi" w:hAnsiTheme="minorHAnsi"/>
          <w:szCs w:val="22"/>
        </w:rPr>
        <w:t xml:space="preserve"> help build teams and encourage networking of appropriate resources within agencies</w:t>
      </w:r>
      <w:r w:rsidR="001A5F79" w:rsidRPr="00B4222E">
        <w:rPr>
          <w:rFonts w:asciiTheme="minorHAnsi" w:hAnsiTheme="minorHAnsi"/>
        </w:rPr>
        <w:t>.</w:t>
      </w:r>
      <w:r w:rsidRPr="00B4222E">
        <w:rPr>
          <w:rFonts w:asciiTheme="minorHAnsi" w:hAnsiTheme="minorHAnsi"/>
        </w:rPr>
        <w:t xml:space="preserve">  </w:t>
      </w:r>
    </w:p>
    <w:p w14:paraId="616E31C7" w14:textId="189F453C" w:rsidR="00B73591" w:rsidRPr="00B4222E" w:rsidRDefault="008F38B7"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bCs/>
        </w:rPr>
        <w:t>Participants</w:t>
      </w:r>
      <w:r w:rsidR="00B4262A" w:rsidRPr="00B4222E">
        <w:rPr>
          <w:rFonts w:asciiTheme="minorHAnsi" w:hAnsiTheme="minorHAnsi"/>
          <w:bCs/>
        </w:rPr>
        <w:t xml:space="preserve"> in the </w:t>
      </w:r>
      <w:r w:rsidR="00EA56CC" w:rsidRPr="00B4222E">
        <w:rPr>
          <w:rFonts w:asciiTheme="minorHAnsi" w:hAnsiTheme="minorHAnsi"/>
          <w:bCs/>
        </w:rPr>
        <w:t>CHILDREN 1</w:t>
      </w:r>
      <w:r w:rsidR="00EA56CC" w:rsidRPr="00B4222E">
        <w:rPr>
          <w:rFonts w:asciiTheme="minorHAnsi" w:hAnsiTheme="minorHAnsi"/>
          <w:bCs/>
          <w:vertAlign w:val="superscript"/>
        </w:rPr>
        <w:t>st</w:t>
      </w:r>
      <w:r w:rsidR="00EA56CC" w:rsidRPr="00B4222E">
        <w:rPr>
          <w:rFonts w:asciiTheme="minorHAnsi" w:hAnsiTheme="minorHAnsi"/>
          <w:bCs/>
        </w:rPr>
        <w:t xml:space="preserve"> </w:t>
      </w:r>
      <w:r w:rsidR="005B4226" w:rsidRPr="00B4222E">
        <w:rPr>
          <w:rFonts w:asciiTheme="minorHAnsi" w:hAnsiTheme="minorHAnsi"/>
          <w:bCs/>
        </w:rPr>
        <w:t>project</w:t>
      </w:r>
      <w:r w:rsidRPr="00B4222E">
        <w:rPr>
          <w:rFonts w:asciiTheme="minorHAnsi" w:hAnsiTheme="minorHAnsi"/>
          <w:bCs/>
        </w:rPr>
        <w:t xml:space="preserve"> </w:t>
      </w:r>
      <w:r w:rsidR="006B14F3">
        <w:rPr>
          <w:rFonts w:asciiTheme="minorHAnsi" w:hAnsiTheme="minorHAnsi"/>
          <w:bCs/>
        </w:rPr>
        <w:t xml:space="preserve">(Lunt </w:t>
      </w:r>
      <w:r w:rsidR="006B14F3" w:rsidRPr="006B14F3">
        <w:rPr>
          <w:rFonts w:asciiTheme="minorHAnsi" w:hAnsiTheme="minorHAnsi"/>
          <w:bCs/>
          <w:i/>
        </w:rPr>
        <w:t>et al</w:t>
      </w:r>
      <w:r w:rsidR="006B14F3">
        <w:rPr>
          <w:rFonts w:asciiTheme="minorHAnsi" w:hAnsiTheme="minorHAnsi"/>
          <w:bCs/>
        </w:rPr>
        <w:t>., 2009</w:t>
      </w:r>
      <w:r w:rsidR="00644C3E">
        <w:rPr>
          <w:rFonts w:asciiTheme="minorHAnsi" w:hAnsiTheme="minorHAnsi"/>
          <w:bCs/>
        </w:rPr>
        <w:t xml:space="preserve">) </w:t>
      </w:r>
      <w:r w:rsidRPr="00B4222E">
        <w:rPr>
          <w:rFonts w:asciiTheme="minorHAnsi" w:hAnsiTheme="minorHAnsi"/>
          <w:bCs/>
        </w:rPr>
        <w:t>had much to say on the themes of the worth, meaning and value of the initiative</w:t>
      </w:r>
      <w:r w:rsidR="00744522">
        <w:rPr>
          <w:rFonts w:asciiTheme="minorHAnsi" w:hAnsiTheme="minorHAnsi"/>
          <w:bCs/>
        </w:rPr>
        <w:t xml:space="preserve"> such as</w:t>
      </w:r>
      <w:r w:rsidRPr="00B4222E">
        <w:rPr>
          <w:rFonts w:asciiTheme="minorHAnsi" w:hAnsiTheme="minorHAnsi"/>
          <w:bCs/>
        </w:rPr>
        <w:t xml:space="preserve"> ‘It’s a fantastic opportunity</w:t>
      </w:r>
      <w:r w:rsidR="00744522">
        <w:rPr>
          <w:rFonts w:asciiTheme="minorHAnsi" w:hAnsiTheme="minorHAnsi"/>
          <w:bCs/>
        </w:rPr>
        <w:t xml:space="preserve"> and</w:t>
      </w:r>
      <w:r w:rsidRPr="00B4222E">
        <w:rPr>
          <w:rFonts w:asciiTheme="minorHAnsi" w:hAnsiTheme="minorHAnsi"/>
          <w:bCs/>
        </w:rPr>
        <w:t xml:space="preserve"> it’s a great thing’</w:t>
      </w:r>
      <w:r w:rsidR="00CA08FA" w:rsidRPr="00B4222E">
        <w:rPr>
          <w:rFonts w:asciiTheme="minorHAnsi" w:hAnsiTheme="minorHAnsi"/>
          <w:bCs/>
        </w:rPr>
        <w:t>.  Practitioner r</w:t>
      </w:r>
      <w:r w:rsidR="00725048" w:rsidRPr="00B4222E">
        <w:rPr>
          <w:rFonts w:asciiTheme="minorHAnsi" w:hAnsiTheme="minorHAnsi"/>
          <w:bCs/>
        </w:rPr>
        <w:t xml:space="preserve">esearch does </w:t>
      </w:r>
      <w:r w:rsidR="00930D05" w:rsidRPr="00B4222E">
        <w:rPr>
          <w:rFonts w:asciiTheme="minorHAnsi" w:hAnsiTheme="minorHAnsi"/>
          <w:bCs/>
        </w:rPr>
        <w:t xml:space="preserve">however </w:t>
      </w:r>
      <w:r w:rsidR="00725048" w:rsidRPr="00B4222E">
        <w:rPr>
          <w:rFonts w:asciiTheme="minorHAnsi" w:hAnsiTheme="minorHAnsi"/>
          <w:bCs/>
        </w:rPr>
        <w:t>carry risks</w:t>
      </w:r>
      <w:r w:rsidR="00CA08FA" w:rsidRPr="00B4222E">
        <w:rPr>
          <w:rFonts w:asciiTheme="minorHAnsi" w:hAnsiTheme="minorHAnsi"/>
          <w:bCs/>
        </w:rPr>
        <w:t xml:space="preserve"> for participants given initiatives are something in which large hopes may be invested. </w:t>
      </w:r>
      <w:r w:rsidR="00725048" w:rsidRPr="00B4222E">
        <w:rPr>
          <w:rFonts w:asciiTheme="minorHAnsi" w:hAnsiTheme="minorHAnsi"/>
          <w:bCs/>
        </w:rPr>
        <w:t xml:space="preserve"> </w:t>
      </w:r>
      <w:r w:rsidR="00725048" w:rsidRPr="00B4222E">
        <w:rPr>
          <w:rFonts w:asciiTheme="minorHAnsi" w:hAnsiTheme="minorHAnsi"/>
          <w:bCs/>
        </w:rPr>
        <w:lastRenderedPageBreak/>
        <w:t>Social workers who, by their own standards, fell behind were unlikely to be forgiving of themselves.</w:t>
      </w:r>
      <w:r w:rsidR="00CA08FA" w:rsidRPr="00B4222E">
        <w:rPr>
          <w:rFonts w:asciiTheme="minorHAnsi" w:hAnsiTheme="minorHAnsi"/>
          <w:bCs/>
        </w:rPr>
        <w:t xml:space="preserve"> As one practitioner r</w:t>
      </w:r>
      <w:r w:rsidR="00725048" w:rsidRPr="00B4222E">
        <w:rPr>
          <w:rFonts w:asciiTheme="minorHAnsi" w:hAnsiTheme="minorHAnsi"/>
          <w:bCs/>
        </w:rPr>
        <w:t>esearcher said: It’s no excuse for me, he’s as busy as I am.  Have there been advantages taking part? It doesn’t feel like it at the moment, it just feels like a millstone to be honest</w:t>
      </w:r>
      <w:r w:rsidR="005B4226" w:rsidRPr="00B4222E">
        <w:rPr>
          <w:rFonts w:asciiTheme="minorHAnsi" w:hAnsiTheme="minorHAnsi"/>
          <w:bCs/>
        </w:rPr>
        <w:t>’</w:t>
      </w:r>
      <w:r w:rsidR="00725048" w:rsidRPr="00B4222E">
        <w:rPr>
          <w:rFonts w:asciiTheme="minorHAnsi" w:hAnsiTheme="minorHAnsi"/>
          <w:bCs/>
        </w:rPr>
        <w:t xml:space="preserve"> (Lesley).</w:t>
      </w:r>
    </w:p>
    <w:p w14:paraId="6D1FA720" w14:textId="2D23A4A6" w:rsidR="00930D05" w:rsidRPr="00B4222E" w:rsidRDefault="00CA08FA"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bCs/>
        </w:rPr>
        <w:t xml:space="preserve">Alongside the </w:t>
      </w:r>
      <w:r w:rsidR="008F38B7" w:rsidRPr="00B4222E">
        <w:rPr>
          <w:rFonts w:asciiTheme="minorHAnsi" w:hAnsiTheme="minorHAnsi"/>
          <w:bCs/>
        </w:rPr>
        <w:t xml:space="preserve">strength of feeling about a project unfinished, the sense that </w:t>
      </w:r>
      <w:r w:rsidR="00C40EC4" w:rsidRPr="00B4222E">
        <w:rPr>
          <w:rFonts w:asciiTheme="minorHAnsi" w:hAnsiTheme="minorHAnsi"/>
          <w:bCs/>
        </w:rPr>
        <w:t xml:space="preserve">a </w:t>
      </w:r>
      <w:r w:rsidR="008F38B7" w:rsidRPr="00B4222E">
        <w:rPr>
          <w:rFonts w:asciiTheme="minorHAnsi" w:hAnsiTheme="minorHAnsi"/>
          <w:bCs/>
        </w:rPr>
        <w:t>wider agency program had been foregrounded at the expense of the individual projects</w:t>
      </w:r>
      <w:r w:rsidRPr="00B4222E">
        <w:rPr>
          <w:rFonts w:asciiTheme="minorHAnsi" w:hAnsiTheme="minorHAnsi"/>
          <w:bCs/>
        </w:rPr>
        <w:t xml:space="preserve"> is also potentially problematic</w:t>
      </w:r>
      <w:r w:rsidR="008F38B7" w:rsidRPr="00B4222E">
        <w:rPr>
          <w:rFonts w:asciiTheme="minorHAnsi" w:hAnsiTheme="minorHAnsi"/>
          <w:bCs/>
        </w:rPr>
        <w:t>.</w:t>
      </w:r>
      <w:r w:rsidR="00B73591" w:rsidRPr="00B4222E">
        <w:rPr>
          <w:rFonts w:asciiTheme="minorHAnsi" w:hAnsiTheme="minorHAnsi"/>
          <w:bCs/>
        </w:rPr>
        <w:t xml:space="preserve"> </w:t>
      </w:r>
      <w:r w:rsidR="00930D05" w:rsidRPr="00B4222E">
        <w:rPr>
          <w:rFonts w:asciiTheme="minorHAnsi" w:hAnsiTheme="minorHAnsi"/>
          <w:bCs/>
        </w:rPr>
        <w:t>As two comments from Focus Groups within the CHILDREN 1</w:t>
      </w:r>
      <w:r w:rsidR="00930D05" w:rsidRPr="00B4222E">
        <w:rPr>
          <w:rFonts w:asciiTheme="minorHAnsi" w:hAnsiTheme="minorHAnsi"/>
          <w:bCs/>
          <w:vertAlign w:val="superscript"/>
        </w:rPr>
        <w:t>st</w:t>
      </w:r>
      <w:r w:rsidR="00930D05" w:rsidRPr="00B4222E">
        <w:rPr>
          <w:rFonts w:asciiTheme="minorHAnsi" w:hAnsiTheme="minorHAnsi"/>
          <w:bCs/>
        </w:rPr>
        <w:t xml:space="preserve"> study</w:t>
      </w:r>
      <w:r w:rsidR="006B14F3">
        <w:rPr>
          <w:rFonts w:asciiTheme="minorHAnsi" w:hAnsiTheme="minorHAnsi"/>
          <w:bCs/>
        </w:rPr>
        <w:t xml:space="preserve"> (Lunt </w:t>
      </w:r>
      <w:r w:rsidR="006B14F3" w:rsidRPr="006B14F3">
        <w:rPr>
          <w:rFonts w:asciiTheme="minorHAnsi" w:hAnsiTheme="minorHAnsi"/>
          <w:bCs/>
          <w:i/>
        </w:rPr>
        <w:t>et al</w:t>
      </w:r>
      <w:r w:rsidR="006B14F3">
        <w:rPr>
          <w:rFonts w:asciiTheme="minorHAnsi" w:hAnsiTheme="minorHAnsi"/>
          <w:bCs/>
        </w:rPr>
        <w:t>., 2009)</w:t>
      </w:r>
      <w:r w:rsidR="00930D05" w:rsidRPr="00B4222E">
        <w:rPr>
          <w:rFonts w:asciiTheme="minorHAnsi" w:hAnsiTheme="minorHAnsi"/>
          <w:bCs/>
        </w:rPr>
        <w:t xml:space="preserve"> support:</w:t>
      </w:r>
    </w:p>
    <w:p w14:paraId="37583274" w14:textId="6ED8CBEE" w:rsidR="00930D05" w:rsidRPr="00B4222E" w:rsidRDefault="00B73591" w:rsidP="00B4222E">
      <w:pPr>
        <w:autoSpaceDE w:val="0"/>
        <w:autoSpaceDN w:val="0"/>
        <w:adjustRightInd w:val="0"/>
        <w:spacing w:before="100" w:beforeAutospacing="1" w:after="120" w:line="360" w:lineRule="auto"/>
        <w:ind w:left="720"/>
        <w:jc w:val="both"/>
        <w:rPr>
          <w:rFonts w:asciiTheme="minorHAnsi" w:hAnsiTheme="minorHAnsi"/>
          <w:bCs/>
        </w:rPr>
      </w:pPr>
      <w:r w:rsidRPr="00B4222E">
        <w:rPr>
          <w:rFonts w:asciiTheme="minorHAnsi" w:hAnsiTheme="minorHAnsi"/>
          <w:bCs/>
        </w:rPr>
        <w:t>‘</w:t>
      </w:r>
      <w:r w:rsidR="008F38B7" w:rsidRPr="00B4222E">
        <w:rPr>
          <w:rFonts w:asciiTheme="minorHAnsi" w:hAnsiTheme="minorHAnsi"/>
          <w:bCs/>
        </w:rPr>
        <w:t>I really wanted something for the kids who took part in that, you know this wasn’t really necessarily something for me but it was more about the kind of process that they took part in and that feels like that’s kind of disappeared and that it has been something more corporate</w:t>
      </w:r>
      <w:r w:rsidRPr="00B4222E">
        <w:rPr>
          <w:rFonts w:asciiTheme="minorHAnsi" w:hAnsiTheme="minorHAnsi"/>
          <w:bCs/>
        </w:rPr>
        <w:t>’</w:t>
      </w:r>
      <w:r w:rsidR="00CA08FA" w:rsidRPr="00B4222E">
        <w:rPr>
          <w:rFonts w:asciiTheme="minorHAnsi" w:hAnsiTheme="minorHAnsi"/>
        </w:rPr>
        <w:t xml:space="preserve">.  </w:t>
      </w:r>
    </w:p>
    <w:p w14:paraId="0ABA1E41" w14:textId="66ABCADC" w:rsidR="005B4226" w:rsidRPr="00B4222E" w:rsidRDefault="005B4226" w:rsidP="00F03535">
      <w:pPr>
        <w:autoSpaceDE w:val="0"/>
        <w:autoSpaceDN w:val="0"/>
        <w:adjustRightInd w:val="0"/>
        <w:spacing w:before="100" w:beforeAutospacing="1" w:after="120" w:line="360" w:lineRule="auto"/>
        <w:ind w:left="720"/>
        <w:jc w:val="both"/>
        <w:rPr>
          <w:rFonts w:asciiTheme="minorHAnsi" w:hAnsiTheme="minorHAnsi"/>
          <w:bCs/>
        </w:rPr>
      </w:pPr>
      <w:r w:rsidRPr="00B4222E">
        <w:rPr>
          <w:rFonts w:asciiTheme="minorHAnsi" w:hAnsiTheme="minorHAnsi"/>
          <w:bCs/>
        </w:rPr>
        <w:t>‘</w:t>
      </w:r>
      <w:r w:rsidR="008F38B7" w:rsidRPr="00B4222E">
        <w:rPr>
          <w:rFonts w:asciiTheme="minorHAnsi" w:hAnsiTheme="minorHAnsi"/>
          <w:bCs/>
        </w:rPr>
        <w:t>I ended up somehow presenting my research project three times to a public audience which I’m really, I am not really sure why. I kind of got into this situation where I did it at a staff conference and two other kinds of conferences and that felt like it... it lost meaning for what it was about.</w:t>
      </w:r>
      <w:r w:rsidRPr="00B4222E">
        <w:rPr>
          <w:rFonts w:asciiTheme="minorHAnsi" w:hAnsiTheme="minorHAnsi"/>
          <w:bCs/>
        </w:rPr>
        <w:t>’</w:t>
      </w:r>
    </w:p>
    <w:p w14:paraId="457CD4A8" w14:textId="312FC0C6" w:rsidR="00CA08FA" w:rsidRPr="00B4222E" w:rsidRDefault="00CA08FA"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bCs/>
        </w:rPr>
        <w:t>This may reflect a failure on the part of some senior agency staff to fully appreciate the significance of the projects for practitioners in terms of ownership and interest.</w:t>
      </w:r>
      <w:r w:rsidRPr="00B4222E">
        <w:rPr>
          <w:rFonts w:asciiTheme="minorHAnsi" w:hAnsiTheme="minorHAnsi"/>
          <w:lang w:val="en-US"/>
        </w:rPr>
        <w:t xml:space="preserve"> A further disconnect was reflected in the ways that the academic standpoint was sometimes viewed by practitioners as marginalizing real world understanding.</w:t>
      </w:r>
      <w:r w:rsidRPr="00B4222E">
        <w:rPr>
          <w:rFonts w:asciiTheme="minorHAnsi" w:hAnsiTheme="minorHAnsi"/>
          <w:bCs/>
        </w:rPr>
        <w:t xml:space="preserve">  As well as </w:t>
      </w:r>
      <w:r w:rsidR="008F38B7" w:rsidRPr="00B4222E">
        <w:rPr>
          <w:rFonts w:asciiTheme="minorHAnsi" w:hAnsiTheme="minorHAnsi"/>
          <w:bCs/>
        </w:rPr>
        <w:t>a feeling of having muted</w:t>
      </w:r>
      <w:r w:rsidR="0045183C" w:rsidRPr="00B4222E">
        <w:rPr>
          <w:rFonts w:asciiTheme="minorHAnsi" w:hAnsiTheme="minorHAnsi"/>
          <w:bCs/>
        </w:rPr>
        <w:t xml:space="preserve"> voices or </w:t>
      </w:r>
      <w:r w:rsidR="00930D05" w:rsidRPr="00B4222E">
        <w:rPr>
          <w:rFonts w:asciiTheme="minorHAnsi" w:hAnsiTheme="minorHAnsi"/>
          <w:bCs/>
        </w:rPr>
        <w:t>becoming invisible, f</w:t>
      </w:r>
      <w:r w:rsidR="008E56F3" w:rsidRPr="00B4222E">
        <w:rPr>
          <w:rFonts w:asciiTheme="minorHAnsi" w:hAnsiTheme="minorHAnsi"/>
        </w:rPr>
        <w:t>ollowing completion of projects, there was frequently a sense of ‘what now?</w:t>
      </w:r>
      <w:proofErr w:type="gramStart"/>
      <w:r w:rsidR="008E56F3" w:rsidRPr="00B4222E">
        <w:rPr>
          <w:rFonts w:asciiTheme="minorHAnsi" w:hAnsiTheme="minorHAnsi"/>
        </w:rPr>
        <w:t>’,</w:t>
      </w:r>
      <w:proofErr w:type="gramEnd"/>
      <w:r w:rsidR="008E56F3" w:rsidRPr="00B4222E">
        <w:rPr>
          <w:rFonts w:asciiTheme="minorHAnsi" w:hAnsiTheme="minorHAnsi"/>
        </w:rPr>
        <w:t xml:space="preserve"> which those who were delivering the initiatives were only partly able to address through assistance with dissemination and presentation. Research implications are always a part of conflicting priorities in </w:t>
      </w:r>
      <w:r w:rsidR="00744522">
        <w:rPr>
          <w:rFonts w:asciiTheme="minorHAnsi" w:hAnsiTheme="minorHAnsi"/>
        </w:rPr>
        <w:t xml:space="preserve">the </w:t>
      </w:r>
      <w:r w:rsidR="008E56F3" w:rsidRPr="00B4222E">
        <w:rPr>
          <w:rFonts w:asciiTheme="minorHAnsi" w:hAnsiTheme="minorHAnsi"/>
        </w:rPr>
        <w:t xml:space="preserve">politics of the agency. </w:t>
      </w:r>
      <w:r w:rsidRPr="00B4222E">
        <w:rPr>
          <w:rFonts w:asciiTheme="minorHAnsi" w:hAnsiTheme="minorHAnsi"/>
        </w:rPr>
        <w:t xml:space="preserve">A comment from that same focus group will serve. “It feels like it’s been a major piece of work for me – for me.  I </w:t>
      </w:r>
      <w:proofErr w:type="gramStart"/>
      <w:r w:rsidRPr="00B4222E">
        <w:rPr>
          <w:rFonts w:asciiTheme="minorHAnsi" w:hAnsiTheme="minorHAnsi"/>
        </w:rPr>
        <w:t>think,</w:t>
      </w:r>
      <w:proofErr w:type="gramEnd"/>
      <w:r w:rsidRPr="00B4222E">
        <w:rPr>
          <w:rFonts w:asciiTheme="minorHAnsi" w:hAnsiTheme="minorHAnsi"/>
        </w:rPr>
        <w:t xml:space="preserve"> I look at and I think I can’t believe I actually did that but it feels like it’s disappeared into the air somehow”</w:t>
      </w:r>
      <w:r w:rsidR="00744522">
        <w:rPr>
          <w:rFonts w:asciiTheme="minorHAnsi" w:hAnsiTheme="minorHAnsi"/>
        </w:rPr>
        <w:t xml:space="preserve"> (Lunt </w:t>
      </w:r>
      <w:r w:rsidR="00744522" w:rsidRPr="00744522">
        <w:rPr>
          <w:rFonts w:asciiTheme="minorHAnsi" w:hAnsiTheme="minorHAnsi"/>
          <w:i/>
        </w:rPr>
        <w:t>et al</w:t>
      </w:r>
      <w:r w:rsidR="00744522">
        <w:rPr>
          <w:rFonts w:asciiTheme="minorHAnsi" w:hAnsiTheme="minorHAnsi"/>
        </w:rPr>
        <w:t>., 2009)</w:t>
      </w:r>
    </w:p>
    <w:p w14:paraId="36761982" w14:textId="40BEC993" w:rsidR="008E56F3" w:rsidRPr="00B4222E" w:rsidRDefault="00CA08FA" w:rsidP="00B4222E">
      <w:pPr>
        <w:spacing w:before="100" w:beforeAutospacing="1" w:after="120" w:line="360" w:lineRule="auto"/>
        <w:jc w:val="both"/>
        <w:rPr>
          <w:rFonts w:asciiTheme="minorHAnsi" w:hAnsiTheme="minorHAnsi"/>
        </w:rPr>
      </w:pPr>
      <w:r w:rsidRPr="00B4222E">
        <w:rPr>
          <w:rFonts w:asciiTheme="minorHAnsi" w:hAnsiTheme="minorHAnsi"/>
        </w:rPr>
        <w:lastRenderedPageBreak/>
        <w:t xml:space="preserve">To these potential pitfalls may be added </w:t>
      </w:r>
      <w:r w:rsidR="00B4262A" w:rsidRPr="00B4222E">
        <w:rPr>
          <w:rFonts w:asciiTheme="minorHAnsi" w:hAnsiTheme="minorHAnsi"/>
        </w:rPr>
        <w:t xml:space="preserve">tensions across teams, </w:t>
      </w:r>
      <w:r w:rsidRPr="00B4222E">
        <w:rPr>
          <w:rFonts w:asciiTheme="minorHAnsi" w:hAnsiTheme="minorHAnsi"/>
        </w:rPr>
        <w:t xml:space="preserve">where a shared project is planned – </w:t>
      </w:r>
      <w:r w:rsidR="00B4262A" w:rsidRPr="00B4222E">
        <w:rPr>
          <w:rFonts w:asciiTheme="minorHAnsi" w:hAnsiTheme="minorHAnsi"/>
        </w:rPr>
        <w:t>frustration</w:t>
      </w:r>
      <w:r w:rsidRPr="00B4222E">
        <w:rPr>
          <w:rFonts w:asciiTheme="minorHAnsi" w:hAnsiTheme="minorHAnsi"/>
        </w:rPr>
        <w:t>,</w:t>
      </w:r>
      <w:r w:rsidR="00B4262A" w:rsidRPr="00B4222E">
        <w:rPr>
          <w:rFonts w:asciiTheme="minorHAnsi" w:hAnsiTheme="minorHAnsi"/>
        </w:rPr>
        <w:t xml:space="preserve"> disillusionment </w:t>
      </w:r>
      <w:r w:rsidRPr="00B4222E">
        <w:rPr>
          <w:rFonts w:asciiTheme="minorHAnsi" w:hAnsiTheme="minorHAnsi"/>
        </w:rPr>
        <w:t>and disappointment with self, colleagues and the practitioner research process</w:t>
      </w:r>
      <w:r w:rsidR="00F422F6" w:rsidRPr="00B4222E">
        <w:rPr>
          <w:rFonts w:asciiTheme="minorHAnsi" w:hAnsiTheme="minorHAnsi"/>
        </w:rPr>
        <w:t xml:space="preserve"> are all real possibilities.  In future practitioner research development it is important to begin to understand more about these </w:t>
      </w:r>
      <w:r w:rsidR="00B4262A" w:rsidRPr="00B4222E">
        <w:rPr>
          <w:rFonts w:asciiTheme="minorHAnsi" w:hAnsiTheme="minorHAnsi"/>
        </w:rPr>
        <w:t>unintended outcomes of</w:t>
      </w:r>
      <w:r w:rsidR="00F422F6" w:rsidRPr="00B4222E">
        <w:rPr>
          <w:rFonts w:asciiTheme="minorHAnsi" w:hAnsiTheme="minorHAnsi"/>
        </w:rPr>
        <w:t xml:space="preserve"> initiatives –</w:t>
      </w:r>
      <w:r w:rsidR="00C1078F" w:rsidRPr="00B4222E">
        <w:rPr>
          <w:rFonts w:asciiTheme="minorHAnsi" w:hAnsiTheme="minorHAnsi"/>
        </w:rPr>
        <w:t xml:space="preserve"> their</w:t>
      </w:r>
      <w:r w:rsidR="00F422F6" w:rsidRPr="00B4222E">
        <w:rPr>
          <w:rFonts w:asciiTheme="minorHAnsi" w:hAnsiTheme="minorHAnsi"/>
        </w:rPr>
        <w:t xml:space="preserve"> occurrence and how they might best </w:t>
      </w:r>
      <w:r w:rsidR="00C76CA0" w:rsidRPr="00B4222E">
        <w:rPr>
          <w:rFonts w:asciiTheme="minorHAnsi" w:hAnsiTheme="minorHAnsi"/>
        </w:rPr>
        <w:t xml:space="preserve">be </w:t>
      </w:r>
      <w:r w:rsidR="00F422F6" w:rsidRPr="00B4222E">
        <w:rPr>
          <w:rFonts w:asciiTheme="minorHAnsi" w:hAnsiTheme="minorHAnsi"/>
        </w:rPr>
        <w:t xml:space="preserve">navigated. </w:t>
      </w:r>
    </w:p>
    <w:p w14:paraId="3C5302C6" w14:textId="77777777" w:rsidR="008F38B7" w:rsidRPr="00B4222E" w:rsidRDefault="00D32A8C" w:rsidP="00B4222E">
      <w:pPr>
        <w:shd w:val="clear" w:color="auto" w:fill="FFFFFF"/>
        <w:spacing w:before="100" w:beforeAutospacing="1" w:after="120" w:line="360" w:lineRule="auto"/>
        <w:jc w:val="both"/>
        <w:rPr>
          <w:rFonts w:asciiTheme="minorHAnsi" w:hAnsiTheme="minorHAnsi"/>
          <w:b/>
          <w:color w:val="222222"/>
          <w:sz w:val="28"/>
        </w:rPr>
      </w:pPr>
      <w:r w:rsidRPr="00B4222E">
        <w:rPr>
          <w:rFonts w:asciiTheme="minorHAnsi" w:hAnsiTheme="minorHAnsi"/>
          <w:b/>
          <w:color w:val="222222"/>
          <w:sz w:val="28"/>
        </w:rPr>
        <w:t>Conclusion: p</w:t>
      </w:r>
      <w:r w:rsidR="00312487" w:rsidRPr="00B4222E">
        <w:rPr>
          <w:rFonts w:asciiTheme="minorHAnsi" w:hAnsiTheme="minorHAnsi"/>
          <w:b/>
          <w:color w:val="222222"/>
          <w:sz w:val="28"/>
        </w:rPr>
        <w:t>arallel models or synthesis</w:t>
      </w:r>
    </w:p>
    <w:p w14:paraId="23F8647A" w14:textId="7247F18E" w:rsidR="004E199D" w:rsidRPr="00B4222E" w:rsidRDefault="001A5F79"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bCs/>
        </w:rPr>
        <w:t>Rather than see Type 1 and 2 as s</w:t>
      </w:r>
      <w:r w:rsidR="00081B1A" w:rsidRPr="00B4222E">
        <w:rPr>
          <w:rFonts w:asciiTheme="minorHAnsi" w:hAnsiTheme="minorHAnsi"/>
          <w:bCs/>
        </w:rPr>
        <w:t>chisms</w:t>
      </w:r>
      <w:r w:rsidRPr="00B4222E">
        <w:rPr>
          <w:rFonts w:asciiTheme="minorHAnsi" w:hAnsiTheme="minorHAnsi"/>
          <w:bCs/>
        </w:rPr>
        <w:t xml:space="preserve"> </w:t>
      </w:r>
      <w:r w:rsidR="00B40E51" w:rsidRPr="00B4222E">
        <w:rPr>
          <w:rFonts w:asciiTheme="minorHAnsi" w:hAnsiTheme="minorHAnsi"/>
          <w:bCs/>
        </w:rPr>
        <w:t xml:space="preserve">they should be viewed </w:t>
      </w:r>
      <w:r w:rsidRPr="00B4222E">
        <w:rPr>
          <w:rFonts w:asciiTheme="minorHAnsi" w:hAnsiTheme="minorHAnsi"/>
          <w:bCs/>
        </w:rPr>
        <w:t xml:space="preserve">as </w:t>
      </w:r>
      <w:r w:rsidR="00B40E51" w:rsidRPr="00B4222E">
        <w:rPr>
          <w:rFonts w:asciiTheme="minorHAnsi" w:hAnsiTheme="minorHAnsi"/>
          <w:bCs/>
        </w:rPr>
        <w:t xml:space="preserve">potential </w:t>
      </w:r>
      <w:r w:rsidR="00B4262A" w:rsidRPr="00B4222E">
        <w:rPr>
          <w:rFonts w:asciiTheme="minorHAnsi" w:hAnsiTheme="minorHAnsi"/>
          <w:bCs/>
        </w:rPr>
        <w:t xml:space="preserve">opportunities </w:t>
      </w:r>
      <w:r w:rsidR="00B40E51" w:rsidRPr="00B4222E">
        <w:rPr>
          <w:rFonts w:asciiTheme="minorHAnsi" w:hAnsiTheme="minorHAnsi"/>
          <w:bCs/>
        </w:rPr>
        <w:t>with</w:t>
      </w:r>
      <w:r w:rsidR="00B4262A" w:rsidRPr="00B4222E">
        <w:rPr>
          <w:rFonts w:asciiTheme="minorHAnsi" w:hAnsiTheme="minorHAnsi"/>
          <w:bCs/>
        </w:rPr>
        <w:t>in practitioner research</w:t>
      </w:r>
      <w:r w:rsidR="00B40E51" w:rsidRPr="00B4222E">
        <w:rPr>
          <w:rFonts w:asciiTheme="minorHAnsi" w:hAnsiTheme="minorHAnsi"/>
          <w:bCs/>
        </w:rPr>
        <w:t xml:space="preserve"> and knowledge generation</w:t>
      </w:r>
      <w:r w:rsidRPr="00B4222E">
        <w:rPr>
          <w:rFonts w:asciiTheme="minorHAnsi" w:hAnsiTheme="minorHAnsi"/>
          <w:bCs/>
        </w:rPr>
        <w:t>.  Simply, there is n</w:t>
      </w:r>
      <w:r w:rsidR="00081B1A" w:rsidRPr="00B4222E">
        <w:rPr>
          <w:rFonts w:asciiTheme="minorHAnsi" w:hAnsiTheme="minorHAnsi"/>
          <w:bCs/>
        </w:rPr>
        <w:t xml:space="preserve">o one best </w:t>
      </w:r>
      <w:r w:rsidRPr="00B4222E">
        <w:rPr>
          <w:rFonts w:asciiTheme="minorHAnsi" w:hAnsiTheme="minorHAnsi"/>
          <w:bCs/>
        </w:rPr>
        <w:t xml:space="preserve">way and there are advantages and drawbacks </w:t>
      </w:r>
      <w:r w:rsidR="00B40E51" w:rsidRPr="00B4222E">
        <w:rPr>
          <w:rFonts w:asciiTheme="minorHAnsi" w:hAnsiTheme="minorHAnsi"/>
          <w:bCs/>
        </w:rPr>
        <w:t xml:space="preserve">for </w:t>
      </w:r>
      <w:r w:rsidRPr="00B4222E">
        <w:rPr>
          <w:rFonts w:asciiTheme="minorHAnsi" w:hAnsiTheme="minorHAnsi"/>
          <w:bCs/>
        </w:rPr>
        <w:t>both</w:t>
      </w:r>
      <w:r w:rsidR="00B40E51" w:rsidRPr="00B4222E">
        <w:rPr>
          <w:rFonts w:asciiTheme="minorHAnsi" w:hAnsiTheme="minorHAnsi"/>
          <w:bCs/>
        </w:rPr>
        <w:t xml:space="preserve"> variants</w:t>
      </w:r>
      <w:r w:rsidRPr="00B4222E">
        <w:rPr>
          <w:rFonts w:asciiTheme="minorHAnsi" w:hAnsiTheme="minorHAnsi"/>
          <w:bCs/>
        </w:rPr>
        <w:t xml:space="preserve">. </w:t>
      </w:r>
      <w:r w:rsidR="00B4262A" w:rsidRPr="00B4222E">
        <w:rPr>
          <w:rFonts w:asciiTheme="minorHAnsi" w:hAnsiTheme="minorHAnsi"/>
          <w:bCs/>
        </w:rPr>
        <w:t>The problems of developing practitioner r</w:t>
      </w:r>
      <w:r w:rsidR="00FA339B" w:rsidRPr="00B4222E">
        <w:rPr>
          <w:rFonts w:asciiTheme="minorHAnsi" w:hAnsiTheme="minorHAnsi"/>
          <w:bCs/>
        </w:rPr>
        <w:t>esearch are often unhelpfully framed in a ‘deficit’ way - that practitioner researchers l</w:t>
      </w:r>
      <w:r w:rsidR="00AD1ABE" w:rsidRPr="00B4222E">
        <w:rPr>
          <w:rFonts w:asciiTheme="minorHAnsi" w:hAnsiTheme="minorHAnsi"/>
          <w:bCs/>
        </w:rPr>
        <w:t xml:space="preserve">ack skills, time, support etc. </w:t>
      </w:r>
      <w:r w:rsidR="00980A3D" w:rsidRPr="00B4222E">
        <w:rPr>
          <w:rFonts w:asciiTheme="minorHAnsi" w:hAnsiTheme="minorHAnsi"/>
          <w:bCs/>
        </w:rPr>
        <w:t>Practitioner r</w:t>
      </w:r>
      <w:r w:rsidR="008F38B7" w:rsidRPr="00B4222E">
        <w:rPr>
          <w:rFonts w:asciiTheme="minorHAnsi" w:hAnsiTheme="minorHAnsi"/>
          <w:bCs/>
        </w:rPr>
        <w:t xml:space="preserve">esearch </w:t>
      </w:r>
      <w:r w:rsidR="00980A3D" w:rsidRPr="00B4222E">
        <w:rPr>
          <w:rFonts w:asciiTheme="minorHAnsi" w:hAnsiTheme="minorHAnsi"/>
          <w:bCs/>
        </w:rPr>
        <w:t xml:space="preserve">may </w:t>
      </w:r>
      <w:r w:rsidR="008F38B7" w:rsidRPr="00B4222E">
        <w:rPr>
          <w:rFonts w:asciiTheme="minorHAnsi" w:hAnsiTheme="minorHAnsi"/>
          <w:bCs/>
        </w:rPr>
        <w:t>best be understood as a distinctive social form and culture of inquiry</w:t>
      </w:r>
      <w:r w:rsidR="00AD1ABE" w:rsidRPr="00B4222E">
        <w:rPr>
          <w:rFonts w:asciiTheme="minorHAnsi" w:hAnsiTheme="minorHAnsi"/>
          <w:bCs/>
        </w:rPr>
        <w:t xml:space="preserve"> containing </w:t>
      </w:r>
      <w:r w:rsidR="004E199D" w:rsidRPr="00B4222E">
        <w:rPr>
          <w:rFonts w:asciiTheme="minorHAnsi" w:hAnsiTheme="minorHAnsi"/>
          <w:bCs/>
        </w:rPr>
        <w:t>Type 1 and Type 2</w:t>
      </w:r>
      <w:r w:rsidR="00AD1ABE" w:rsidRPr="00B4222E">
        <w:rPr>
          <w:rFonts w:asciiTheme="minorHAnsi" w:hAnsiTheme="minorHAnsi"/>
          <w:bCs/>
        </w:rPr>
        <w:t xml:space="preserve"> variants.</w:t>
      </w:r>
    </w:p>
    <w:p w14:paraId="4D747528" w14:textId="68CB6C4A" w:rsidR="008F38B7" w:rsidRPr="00B4222E" w:rsidRDefault="00AD1ABE" w:rsidP="00B4222E">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bCs/>
        </w:rPr>
        <w:t xml:space="preserve">These </w:t>
      </w:r>
      <w:r w:rsidR="00980A3D" w:rsidRPr="00B4222E">
        <w:rPr>
          <w:rFonts w:asciiTheme="minorHAnsi" w:hAnsiTheme="minorHAnsi"/>
          <w:bCs/>
        </w:rPr>
        <w:t>practitioner-as-researchers</w:t>
      </w:r>
      <w:r w:rsidRPr="00B4222E">
        <w:rPr>
          <w:rFonts w:asciiTheme="minorHAnsi" w:hAnsiTheme="minorHAnsi"/>
          <w:bCs/>
        </w:rPr>
        <w:t xml:space="preserve"> possess</w:t>
      </w:r>
      <w:r w:rsidR="008F38B7" w:rsidRPr="00B4222E">
        <w:rPr>
          <w:rFonts w:asciiTheme="minorHAnsi" w:hAnsiTheme="minorHAnsi"/>
          <w:bCs/>
        </w:rPr>
        <w:t xml:space="preserve"> a sociality outside, or at least on the margins, of both research and practice – an uncomfortable but creative marginalization </w:t>
      </w:r>
      <w:r w:rsidR="008C7CC1">
        <w:rPr>
          <w:rFonts w:asciiTheme="minorHAnsi" w:hAnsiTheme="minorHAnsi"/>
          <w:bCs/>
        </w:rPr>
        <w:t>with</w:t>
      </w:r>
      <w:r w:rsidR="008F38B7" w:rsidRPr="00B4222E">
        <w:rPr>
          <w:rFonts w:asciiTheme="minorHAnsi" w:hAnsiTheme="minorHAnsi"/>
          <w:bCs/>
        </w:rPr>
        <w:t xml:space="preserve"> an ide</w:t>
      </w:r>
      <w:r w:rsidR="008C7CC1">
        <w:rPr>
          <w:rFonts w:asciiTheme="minorHAnsi" w:hAnsiTheme="minorHAnsi"/>
          <w:bCs/>
        </w:rPr>
        <w:t xml:space="preserve">ntity that is not research </w:t>
      </w:r>
      <w:r w:rsidR="008F38B7" w:rsidRPr="00B4222E">
        <w:rPr>
          <w:rFonts w:asciiTheme="minorHAnsi" w:hAnsiTheme="minorHAnsi"/>
          <w:bCs/>
        </w:rPr>
        <w:t>or pr</w:t>
      </w:r>
      <w:r w:rsidR="004E199D" w:rsidRPr="00B4222E">
        <w:rPr>
          <w:rFonts w:asciiTheme="minorHAnsi" w:hAnsiTheme="minorHAnsi"/>
          <w:bCs/>
        </w:rPr>
        <w:t>actice.</w:t>
      </w:r>
      <w:r w:rsidR="008C7CC1">
        <w:rPr>
          <w:rFonts w:asciiTheme="minorHAnsi" w:hAnsiTheme="minorHAnsi"/>
          <w:bCs/>
        </w:rPr>
        <w:t xml:space="preserve"> As a result practitioner research is </w:t>
      </w:r>
      <w:r w:rsidR="00C40EC4" w:rsidRPr="00B4222E">
        <w:rPr>
          <w:rFonts w:asciiTheme="minorHAnsi" w:hAnsiTheme="minorHAnsi"/>
          <w:bCs/>
        </w:rPr>
        <w:t>both rewarding and isolating, especially for those engaged in Type 2 projects. This probably supports the value of networked linking of projects.</w:t>
      </w:r>
    </w:p>
    <w:p w14:paraId="6E334E31" w14:textId="6F7D7CD7" w:rsidR="00AE76EE" w:rsidRDefault="00C40EC4" w:rsidP="00735FB3">
      <w:pPr>
        <w:autoSpaceDE w:val="0"/>
        <w:autoSpaceDN w:val="0"/>
        <w:adjustRightInd w:val="0"/>
        <w:spacing w:before="100" w:beforeAutospacing="1" w:after="120" w:line="360" w:lineRule="auto"/>
        <w:jc w:val="both"/>
        <w:rPr>
          <w:rFonts w:asciiTheme="minorHAnsi" w:hAnsiTheme="minorHAnsi"/>
          <w:bCs/>
        </w:rPr>
      </w:pPr>
      <w:r w:rsidRPr="00B4222E">
        <w:rPr>
          <w:rFonts w:asciiTheme="minorHAnsi" w:hAnsiTheme="minorHAnsi"/>
          <w:bCs/>
        </w:rPr>
        <w:t>Following from this, t</w:t>
      </w:r>
      <w:r w:rsidR="008F38B7" w:rsidRPr="00B4222E">
        <w:rPr>
          <w:rFonts w:asciiTheme="minorHAnsi" w:hAnsiTheme="minorHAnsi"/>
          <w:bCs/>
        </w:rPr>
        <w:t>he perspective has consequences for how practitioner research can best be</w:t>
      </w:r>
      <w:r w:rsidR="00AD1ABE" w:rsidRPr="00B4222E">
        <w:rPr>
          <w:rFonts w:asciiTheme="minorHAnsi" w:hAnsiTheme="minorHAnsi"/>
          <w:bCs/>
        </w:rPr>
        <w:t>: i)</w:t>
      </w:r>
      <w:r w:rsidR="008F38B7" w:rsidRPr="00B4222E">
        <w:rPr>
          <w:rFonts w:asciiTheme="minorHAnsi" w:hAnsiTheme="minorHAnsi"/>
          <w:bCs/>
        </w:rPr>
        <w:t xml:space="preserve"> ‘taught’ and learned</w:t>
      </w:r>
      <w:r w:rsidR="00AD1ABE" w:rsidRPr="00B4222E">
        <w:rPr>
          <w:rFonts w:asciiTheme="minorHAnsi" w:hAnsiTheme="minorHAnsi"/>
          <w:bCs/>
        </w:rPr>
        <w:t>; ii) organised iii) assessed as outputs</w:t>
      </w:r>
      <w:r w:rsidR="008F38B7" w:rsidRPr="00B4222E">
        <w:rPr>
          <w:rFonts w:asciiTheme="minorHAnsi" w:hAnsiTheme="minorHAnsi"/>
          <w:bCs/>
        </w:rPr>
        <w:t>.</w:t>
      </w:r>
      <w:r w:rsidR="00AD1ABE" w:rsidRPr="00B4222E">
        <w:rPr>
          <w:rFonts w:asciiTheme="minorHAnsi" w:hAnsiTheme="minorHAnsi"/>
          <w:bCs/>
        </w:rPr>
        <w:t xml:space="preserve"> </w:t>
      </w:r>
      <w:r w:rsidRPr="00B4222E">
        <w:rPr>
          <w:rFonts w:asciiTheme="minorHAnsi" w:hAnsiTheme="minorHAnsi"/>
          <w:bCs/>
        </w:rPr>
        <w:t xml:space="preserve">If </w:t>
      </w:r>
      <w:r w:rsidR="008C7CC1">
        <w:rPr>
          <w:rFonts w:asciiTheme="minorHAnsi" w:hAnsiTheme="minorHAnsi"/>
          <w:bCs/>
        </w:rPr>
        <w:t xml:space="preserve">there is substance in the view </w:t>
      </w:r>
      <w:r w:rsidR="008F38B7" w:rsidRPr="00B4222E">
        <w:rPr>
          <w:rFonts w:asciiTheme="minorHAnsi" w:hAnsiTheme="minorHAnsi"/>
          <w:bCs/>
        </w:rPr>
        <w:t xml:space="preserve">that practitioner research should not be viewed as a form of research added on to everyday social work practice, this leads to a position in which support and facilitation for practitioner research are not simply about providing information on methods and techniques. A </w:t>
      </w:r>
      <w:r w:rsidR="008C7CC1">
        <w:rPr>
          <w:rFonts w:asciiTheme="minorHAnsi" w:hAnsiTheme="minorHAnsi"/>
          <w:bCs/>
        </w:rPr>
        <w:t>process such as practitioner research</w:t>
      </w:r>
      <w:r w:rsidR="008F38B7" w:rsidRPr="00B4222E">
        <w:rPr>
          <w:rFonts w:asciiTheme="minorHAnsi" w:hAnsiTheme="minorHAnsi"/>
          <w:bCs/>
        </w:rPr>
        <w:t xml:space="preserve"> that has an intrinsic emergent quality to it cannot be reduced to a set of prior</w:t>
      </w:r>
      <w:r w:rsidR="008C7CC1">
        <w:rPr>
          <w:rFonts w:asciiTheme="minorHAnsi" w:hAnsiTheme="minorHAnsi"/>
          <w:bCs/>
        </w:rPr>
        <w:t xml:space="preserve"> rules or textbook mantras, and </w:t>
      </w:r>
      <w:r w:rsidR="008F38B7" w:rsidRPr="00B4222E">
        <w:rPr>
          <w:rFonts w:asciiTheme="minorHAnsi" w:hAnsiTheme="minorHAnsi"/>
          <w:bCs/>
        </w:rPr>
        <w:t>a</w:t>
      </w:r>
      <w:r w:rsidR="008C7CC1">
        <w:rPr>
          <w:rFonts w:asciiTheme="minorHAnsi" w:hAnsiTheme="minorHAnsi"/>
          <w:bCs/>
        </w:rPr>
        <w:t>s a form of learning</w:t>
      </w:r>
      <w:r w:rsidR="008F38B7" w:rsidRPr="00B4222E">
        <w:rPr>
          <w:rFonts w:asciiTheme="minorHAnsi" w:hAnsiTheme="minorHAnsi"/>
          <w:bCs/>
        </w:rPr>
        <w:t xml:space="preserve"> cannot nor ought to be reduci</w:t>
      </w:r>
      <w:r w:rsidR="008C7CC1">
        <w:rPr>
          <w:rFonts w:asciiTheme="minorHAnsi" w:hAnsiTheme="minorHAnsi"/>
          <w:bCs/>
        </w:rPr>
        <w:t>ble to individual skill-acquisition</w:t>
      </w:r>
      <w:r w:rsidR="00644C3E">
        <w:rPr>
          <w:rFonts w:asciiTheme="minorHAnsi" w:hAnsiTheme="minorHAnsi"/>
          <w:bCs/>
        </w:rPr>
        <w:t xml:space="preserve"> (see also, </w:t>
      </w:r>
      <w:r w:rsidR="00644C3E" w:rsidRPr="00644C3E">
        <w:rPr>
          <w:rFonts w:asciiTheme="minorHAnsi" w:hAnsiTheme="minorHAnsi"/>
          <w:bCs/>
        </w:rPr>
        <w:t xml:space="preserve">Harvey </w:t>
      </w:r>
      <w:r w:rsidR="00644C3E" w:rsidRPr="00644C3E">
        <w:rPr>
          <w:rFonts w:asciiTheme="minorHAnsi" w:hAnsiTheme="minorHAnsi"/>
          <w:bCs/>
          <w:i/>
        </w:rPr>
        <w:t>et al</w:t>
      </w:r>
      <w:r w:rsidR="00644C3E" w:rsidRPr="00644C3E">
        <w:rPr>
          <w:rFonts w:asciiTheme="minorHAnsi" w:hAnsiTheme="minorHAnsi"/>
          <w:bCs/>
        </w:rPr>
        <w:t>., 2013</w:t>
      </w:r>
      <w:r w:rsidR="00644C3E">
        <w:rPr>
          <w:rFonts w:asciiTheme="minorHAnsi" w:hAnsiTheme="minorHAnsi"/>
          <w:bCs/>
        </w:rPr>
        <w:t xml:space="preserve">; </w:t>
      </w:r>
      <w:r w:rsidR="006B14F3" w:rsidRPr="006B14F3">
        <w:rPr>
          <w:rFonts w:asciiTheme="minorHAnsi" w:hAnsiTheme="minorHAnsi"/>
          <w:bCs/>
        </w:rPr>
        <w:t>Powell</w:t>
      </w:r>
      <w:r w:rsidR="006B14F3">
        <w:rPr>
          <w:rFonts w:asciiTheme="minorHAnsi" w:hAnsiTheme="minorHAnsi"/>
          <w:bCs/>
        </w:rPr>
        <w:t xml:space="preserve"> and Orme, 2011</w:t>
      </w:r>
      <w:r w:rsidR="00644C3E" w:rsidRPr="00644C3E">
        <w:rPr>
          <w:rFonts w:asciiTheme="minorHAnsi" w:hAnsiTheme="minorHAnsi"/>
          <w:bCs/>
        </w:rPr>
        <w:t>)</w:t>
      </w:r>
      <w:r w:rsidR="008F38B7" w:rsidRPr="00B4222E">
        <w:rPr>
          <w:rFonts w:asciiTheme="minorHAnsi" w:hAnsiTheme="minorHAnsi"/>
          <w:bCs/>
        </w:rPr>
        <w:t>.</w:t>
      </w:r>
      <w:r w:rsidR="004E199D" w:rsidRPr="00B4222E">
        <w:rPr>
          <w:rFonts w:asciiTheme="minorHAnsi" w:hAnsiTheme="minorHAnsi"/>
          <w:bCs/>
        </w:rPr>
        <w:t xml:space="preserve"> </w:t>
      </w:r>
      <w:r w:rsidR="00FF2B99" w:rsidRPr="00B4222E">
        <w:rPr>
          <w:rFonts w:asciiTheme="minorHAnsi" w:hAnsiTheme="minorHAnsi"/>
          <w:color w:val="222222"/>
        </w:rPr>
        <w:t>P</w:t>
      </w:r>
      <w:r w:rsidR="00FF2B99" w:rsidRPr="00B4222E">
        <w:rPr>
          <w:rFonts w:asciiTheme="minorHAnsi" w:hAnsiTheme="minorHAnsi"/>
          <w:bCs/>
        </w:rPr>
        <w:t>ractitioner rese</w:t>
      </w:r>
      <w:r w:rsidR="008C7CC1">
        <w:rPr>
          <w:rFonts w:asciiTheme="minorHAnsi" w:hAnsiTheme="minorHAnsi"/>
          <w:bCs/>
        </w:rPr>
        <w:t xml:space="preserve">arch should not be seen as something of an </w:t>
      </w:r>
      <w:r w:rsidR="00FF2B99" w:rsidRPr="00B4222E">
        <w:rPr>
          <w:rFonts w:asciiTheme="minorHAnsi" w:hAnsiTheme="minorHAnsi"/>
          <w:bCs/>
        </w:rPr>
        <w:t xml:space="preserve">add-on to everyday core </w:t>
      </w:r>
      <w:r w:rsidR="00FF2B99" w:rsidRPr="00B4222E">
        <w:rPr>
          <w:rFonts w:asciiTheme="minorHAnsi" w:hAnsiTheme="minorHAnsi"/>
          <w:bCs/>
        </w:rPr>
        <w:lastRenderedPageBreak/>
        <w:t>practice, but as a mu</w:t>
      </w:r>
      <w:r w:rsidR="008C7CC1">
        <w:rPr>
          <w:rFonts w:asciiTheme="minorHAnsi" w:hAnsiTheme="minorHAnsi"/>
          <w:bCs/>
        </w:rPr>
        <w:t>ltiform activity that questions</w:t>
      </w:r>
      <w:r w:rsidR="00FF2B99" w:rsidRPr="00B4222E">
        <w:rPr>
          <w:rFonts w:asciiTheme="minorHAnsi" w:hAnsiTheme="minorHAnsi"/>
          <w:bCs/>
        </w:rPr>
        <w:t xml:space="preserve"> the taken-for-</w:t>
      </w:r>
      <w:proofErr w:type="spellStart"/>
      <w:r w:rsidR="00FF2B99" w:rsidRPr="00B4222E">
        <w:rPr>
          <w:rFonts w:asciiTheme="minorHAnsi" w:hAnsiTheme="minorHAnsi"/>
          <w:bCs/>
        </w:rPr>
        <w:t>grantedness</w:t>
      </w:r>
      <w:proofErr w:type="spellEnd"/>
      <w:r w:rsidR="00FF2B99" w:rsidRPr="00B4222E">
        <w:rPr>
          <w:rFonts w:asciiTheme="minorHAnsi" w:hAnsiTheme="minorHAnsi"/>
          <w:bCs/>
        </w:rPr>
        <w:t xml:space="preserve"> of practice, mainstream academic research, management and, in all likelihood, the e</w:t>
      </w:r>
      <w:r w:rsidR="004E199D" w:rsidRPr="00B4222E">
        <w:rPr>
          <w:rFonts w:asciiTheme="minorHAnsi" w:hAnsiTheme="minorHAnsi"/>
          <w:bCs/>
        </w:rPr>
        <w:t>xperience of receiving services</w:t>
      </w:r>
      <w:r w:rsidR="00980A3D" w:rsidRPr="00B4222E">
        <w:rPr>
          <w:rFonts w:asciiTheme="minorHAnsi" w:hAnsiTheme="minorHAnsi"/>
          <w:bCs/>
        </w:rPr>
        <w:t>.</w:t>
      </w:r>
      <w:r w:rsidR="00AD1ABE" w:rsidRPr="00B4222E">
        <w:rPr>
          <w:rFonts w:asciiTheme="minorHAnsi" w:hAnsiTheme="minorHAnsi"/>
          <w:bCs/>
        </w:rPr>
        <w:t xml:space="preserve"> </w:t>
      </w:r>
      <w:r w:rsidR="00AD1ABE" w:rsidRPr="00B4222E">
        <w:rPr>
          <w:rFonts w:asciiTheme="minorHAnsi" w:hAnsiTheme="minorHAnsi"/>
          <w:bCs/>
          <w:highlight w:val="yellow"/>
        </w:rPr>
        <w:t xml:space="preserve"> </w:t>
      </w:r>
    </w:p>
    <w:p w14:paraId="154AC911" w14:textId="77777777" w:rsidR="006B1DA4" w:rsidRDefault="006B1DA4" w:rsidP="006B1DA4">
      <w:pPr>
        <w:rPr>
          <w:rFonts w:asciiTheme="minorHAnsi" w:hAnsiTheme="minorHAnsi"/>
          <w:b/>
        </w:rPr>
      </w:pPr>
    </w:p>
    <w:p w14:paraId="6A3803D7" w14:textId="77777777" w:rsidR="006B1DA4" w:rsidRPr="002C52FC" w:rsidRDefault="006B1DA4" w:rsidP="006B1DA4">
      <w:pPr>
        <w:rPr>
          <w:rFonts w:asciiTheme="minorHAnsi" w:hAnsiTheme="minorHAnsi"/>
          <w:b/>
        </w:rPr>
      </w:pPr>
      <w:r w:rsidRPr="002C52FC">
        <w:rPr>
          <w:rFonts w:asciiTheme="minorHAnsi" w:hAnsiTheme="minorHAnsi"/>
          <w:b/>
        </w:rPr>
        <w:t>Funding</w:t>
      </w:r>
    </w:p>
    <w:p w14:paraId="01F83529" w14:textId="77777777" w:rsidR="006B1DA4" w:rsidRDefault="006B1DA4" w:rsidP="006B1DA4">
      <w:pPr>
        <w:rPr>
          <w:rFonts w:asciiTheme="minorHAnsi" w:hAnsiTheme="minorHAnsi"/>
        </w:rPr>
      </w:pPr>
    </w:p>
    <w:p w14:paraId="2A1C2882" w14:textId="77777777" w:rsidR="006B1DA4" w:rsidRPr="002C52FC" w:rsidRDefault="006B1DA4" w:rsidP="006B1DA4">
      <w:pPr>
        <w:rPr>
          <w:rFonts w:asciiTheme="minorHAnsi" w:hAnsiTheme="minorHAnsi"/>
        </w:rPr>
      </w:pPr>
      <w:r w:rsidRPr="002C52FC">
        <w:rPr>
          <w:rFonts w:asciiTheme="minorHAnsi" w:hAnsiTheme="minorHAnsi"/>
        </w:rPr>
        <w:t>The authors acknowledge the NIHR School for Social Care Research who funded an earlier systematic review on which this article draws</w:t>
      </w:r>
      <w:r>
        <w:rPr>
          <w:rFonts w:asciiTheme="minorHAnsi" w:hAnsiTheme="minorHAnsi"/>
        </w:rPr>
        <w:t>.</w:t>
      </w:r>
    </w:p>
    <w:p w14:paraId="0EF1F1FE" w14:textId="77777777" w:rsidR="00735FB3" w:rsidRPr="00735FB3" w:rsidRDefault="00735FB3" w:rsidP="00735FB3">
      <w:pPr>
        <w:autoSpaceDE w:val="0"/>
        <w:autoSpaceDN w:val="0"/>
        <w:adjustRightInd w:val="0"/>
        <w:spacing w:before="100" w:beforeAutospacing="1" w:after="120" w:line="360" w:lineRule="auto"/>
        <w:jc w:val="both"/>
        <w:rPr>
          <w:rFonts w:asciiTheme="minorHAnsi" w:hAnsiTheme="minorHAnsi"/>
          <w:bCs/>
        </w:rPr>
      </w:pPr>
    </w:p>
    <w:p w14:paraId="749BA2A2" w14:textId="77777777" w:rsidR="00021D01" w:rsidRPr="00B4222E" w:rsidRDefault="00021D01" w:rsidP="00B4222E">
      <w:pPr>
        <w:spacing w:before="100" w:beforeAutospacing="1" w:after="120" w:line="360" w:lineRule="auto"/>
        <w:rPr>
          <w:rFonts w:asciiTheme="minorHAnsi" w:hAnsiTheme="minorHAnsi"/>
          <w:b/>
          <w:sz w:val="28"/>
          <w:szCs w:val="28"/>
        </w:rPr>
      </w:pPr>
      <w:r w:rsidRPr="00B4222E">
        <w:rPr>
          <w:rFonts w:asciiTheme="minorHAnsi" w:hAnsiTheme="minorHAnsi"/>
          <w:b/>
          <w:sz w:val="28"/>
          <w:szCs w:val="28"/>
        </w:rPr>
        <w:t xml:space="preserve">References </w:t>
      </w:r>
    </w:p>
    <w:p w14:paraId="11BB245B" w14:textId="77777777" w:rsidR="00021D01" w:rsidRPr="00B4222E" w:rsidRDefault="00021D01" w:rsidP="00735FB3">
      <w:pPr>
        <w:spacing w:before="100" w:beforeAutospacing="1" w:after="120" w:line="360" w:lineRule="auto"/>
        <w:ind w:left="113" w:hanging="113"/>
        <w:rPr>
          <w:rFonts w:asciiTheme="minorHAnsi" w:hAnsiTheme="minorHAnsi"/>
          <w:color w:val="000000"/>
        </w:rPr>
      </w:pPr>
      <w:r w:rsidRPr="00B4222E">
        <w:rPr>
          <w:rFonts w:asciiTheme="minorHAnsi" w:hAnsiTheme="minorHAnsi"/>
          <w:color w:val="000000"/>
        </w:rPr>
        <w:t>Archibald, C. (2001) ‘Resident sexual expression and the key worker relationship: an unspoken stress in residential care work?</w:t>
      </w:r>
      <w:proofErr w:type="gramStart"/>
      <w:r w:rsidRPr="00B4222E">
        <w:rPr>
          <w:rFonts w:asciiTheme="minorHAnsi" w:hAnsiTheme="minorHAnsi"/>
          <w:color w:val="000000"/>
        </w:rPr>
        <w:t>’,</w:t>
      </w:r>
      <w:proofErr w:type="gramEnd"/>
      <w:r w:rsidRPr="00B4222E">
        <w:rPr>
          <w:rFonts w:asciiTheme="minorHAnsi" w:hAnsiTheme="minorHAnsi"/>
          <w:color w:val="000000"/>
        </w:rPr>
        <w:t xml:space="preserve"> </w:t>
      </w:r>
      <w:r w:rsidRPr="00B4222E">
        <w:rPr>
          <w:rFonts w:asciiTheme="minorHAnsi" w:hAnsiTheme="minorHAnsi"/>
          <w:i/>
          <w:color w:val="000000"/>
        </w:rPr>
        <w:t>Practice: Social Work in Action</w:t>
      </w:r>
      <w:r w:rsidRPr="00B4222E">
        <w:rPr>
          <w:rFonts w:asciiTheme="minorHAnsi" w:hAnsiTheme="minorHAnsi"/>
          <w:color w:val="000000"/>
        </w:rPr>
        <w:t>, 13 (1): 5-12.</w:t>
      </w:r>
    </w:p>
    <w:p w14:paraId="536E6224" w14:textId="0759ED23" w:rsidR="00021D01" w:rsidRPr="00B4222E" w:rsidRDefault="00735FB3" w:rsidP="00735FB3">
      <w:pPr>
        <w:spacing w:before="100" w:beforeAutospacing="1" w:after="120" w:line="360" w:lineRule="auto"/>
        <w:ind w:left="113" w:hanging="113"/>
        <w:rPr>
          <w:rFonts w:asciiTheme="minorHAnsi" w:hAnsiTheme="minorHAnsi"/>
          <w:color w:val="000000"/>
        </w:rPr>
      </w:pPr>
      <w:r>
        <w:rPr>
          <w:rFonts w:asciiTheme="minorHAnsi" w:hAnsiTheme="minorHAnsi"/>
          <w:color w:val="000000"/>
        </w:rPr>
        <w:t>Atwal, A., Owen, S. &amp;</w:t>
      </w:r>
      <w:r w:rsidR="00021D01" w:rsidRPr="00B4222E">
        <w:rPr>
          <w:rFonts w:asciiTheme="minorHAnsi" w:hAnsiTheme="minorHAnsi"/>
          <w:color w:val="000000"/>
        </w:rPr>
        <w:t xml:space="preserve"> Davies, R. (2003) ‘</w:t>
      </w:r>
      <w:proofErr w:type="gramStart"/>
      <w:r w:rsidR="00021D01" w:rsidRPr="00B4222E">
        <w:rPr>
          <w:rFonts w:asciiTheme="minorHAnsi" w:hAnsiTheme="minorHAnsi"/>
          <w:color w:val="000000"/>
        </w:rPr>
        <w:t>Struggling</w:t>
      </w:r>
      <w:proofErr w:type="gramEnd"/>
      <w:r w:rsidR="00021D01" w:rsidRPr="00B4222E">
        <w:rPr>
          <w:rFonts w:asciiTheme="minorHAnsi" w:hAnsiTheme="minorHAnsi"/>
          <w:color w:val="000000"/>
        </w:rPr>
        <w:t xml:space="preserve"> for occupational satisfaction: Older people in care homes’, </w:t>
      </w:r>
      <w:r w:rsidR="00021D01" w:rsidRPr="00B4222E">
        <w:rPr>
          <w:rFonts w:asciiTheme="minorHAnsi" w:hAnsiTheme="minorHAnsi"/>
          <w:i/>
          <w:color w:val="000000"/>
        </w:rPr>
        <w:t>British Journal of Occupational Therapy</w:t>
      </w:r>
      <w:r w:rsidR="00021D01" w:rsidRPr="00B4222E">
        <w:rPr>
          <w:rFonts w:asciiTheme="minorHAnsi" w:hAnsiTheme="minorHAnsi"/>
          <w:color w:val="000000"/>
        </w:rPr>
        <w:t>, 66(3): 118-124.</w:t>
      </w:r>
    </w:p>
    <w:p w14:paraId="4CB7E9ED" w14:textId="77777777" w:rsidR="00021D01" w:rsidRPr="00B4222E" w:rsidRDefault="00021D01" w:rsidP="00735FB3">
      <w:pPr>
        <w:spacing w:before="100" w:beforeAutospacing="1" w:after="120" w:line="360" w:lineRule="auto"/>
        <w:ind w:left="113" w:hanging="113"/>
        <w:rPr>
          <w:rFonts w:asciiTheme="minorHAnsi" w:hAnsiTheme="minorHAnsi"/>
          <w:color w:val="000000"/>
        </w:rPr>
      </w:pPr>
      <w:proofErr w:type="spellStart"/>
      <w:proofErr w:type="gramStart"/>
      <w:r w:rsidRPr="00B4222E">
        <w:rPr>
          <w:rFonts w:asciiTheme="minorHAnsi" w:hAnsiTheme="minorHAnsi"/>
          <w:color w:val="000000"/>
        </w:rPr>
        <w:t>Blacher</w:t>
      </w:r>
      <w:proofErr w:type="spellEnd"/>
      <w:r w:rsidRPr="00B4222E">
        <w:rPr>
          <w:rFonts w:asciiTheme="minorHAnsi" w:hAnsiTheme="minorHAnsi"/>
          <w:color w:val="000000"/>
        </w:rPr>
        <w:t>, M. (2003) ‘The Autonomous Practitioner?</w:t>
      </w:r>
      <w:proofErr w:type="gramEnd"/>
      <w:r w:rsidRPr="00B4222E">
        <w:rPr>
          <w:rFonts w:asciiTheme="minorHAnsi" w:hAnsiTheme="minorHAnsi"/>
          <w:color w:val="000000"/>
        </w:rPr>
        <w:t xml:space="preserve"> Out of Hours/EDT practice and ‘mainstream’/daytime practice: some points of divergence’, </w:t>
      </w:r>
      <w:r w:rsidRPr="00B4222E">
        <w:rPr>
          <w:rFonts w:asciiTheme="minorHAnsi" w:hAnsiTheme="minorHAnsi"/>
          <w:i/>
          <w:color w:val="000000"/>
        </w:rPr>
        <w:t>Practice: Social Work in Action</w:t>
      </w:r>
      <w:r w:rsidRPr="00B4222E">
        <w:rPr>
          <w:rFonts w:asciiTheme="minorHAnsi" w:hAnsiTheme="minorHAnsi"/>
          <w:color w:val="000000"/>
        </w:rPr>
        <w:t>, 15 (2): 59-70.</w:t>
      </w:r>
    </w:p>
    <w:p w14:paraId="469603B0" w14:textId="77777777" w:rsidR="00021D01" w:rsidRPr="00B4222E" w:rsidRDefault="00021D01" w:rsidP="00735FB3">
      <w:pPr>
        <w:spacing w:before="100" w:beforeAutospacing="1" w:after="120" w:line="360" w:lineRule="auto"/>
        <w:ind w:left="113" w:hanging="113"/>
        <w:rPr>
          <w:rFonts w:asciiTheme="minorHAnsi" w:hAnsiTheme="minorHAnsi"/>
        </w:rPr>
      </w:pPr>
      <w:r w:rsidRPr="00B4222E">
        <w:rPr>
          <w:rFonts w:asciiTheme="minorHAnsi" w:hAnsiTheme="minorHAnsi"/>
        </w:rPr>
        <w:t xml:space="preserve">Birch, M. (2005) ‘Cultivating wildness: three conservation volunteers experiences of participation in the Green Gym Scheme’, </w:t>
      </w:r>
      <w:r w:rsidRPr="00B4222E">
        <w:rPr>
          <w:rFonts w:asciiTheme="minorHAnsi" w:hAnsiTheme="minorHAnsi"/>
          <w:i/>
        </w:rPr>
        <w:t>The British Journal of Occupational Therapy</w:t>
      </w:r>
      <w:r w:rsidRPr="00B4222E">
        <w:rPr>
          <w:rFonts w:asciiTheme="minorHAnsi" w:hAnsiTheme="minorHAnsi"/>
        </w:rPr>
        <w:t xml:space="preserve">, 68 (6): 244-252. </w:t>
      </w:r>
    </w:p>
    <w:p w14:paraId="04184192" w14:textId="5A1AB02A" w:rsidR="00021D01" w:rsidRPr="00B4222E" w:rsidRDefault="00021D01" w:rsidP="00735FB3">
      <w:pPr>
        <w:spacing w:before="100" w:beforeAutospacing="1" w:after="120" w:line="360" w:lineRule="auto"/>
        <w:ind w:left="113" w:hanging="113"/>
        <w:rPr>
          <w:rFonts w:asciiTheme="minorHAnsi" w:hAnsiTheme="minorHAnsi"/>
          <w:color w:val="000000"/>
        </w:rPr>
      </w:pPr>
      <w:proofErr w:type="gramStart"/>
      <w:r w:rsidRPr="00B4222E">
        <w:rPr>
          <w:rFonts w:asciiTheme="minorHAnsi" w:hAnsiTheme="minorHAnsi"/>
          <w:color w:val="000000"/>
        </w:rPr>
        <w:t xml:space="preserve">Carson, G, Clare, I.C.H. </w:t>
      </w:r>
      <w:r w:rsidR="00EA14B1">
        <w:rPr>
          <w:rFonts w:asciiTheme="minorHAnsi" w:hAnsiTheme="minorHAnsi"/>
          <w:color w:val="000000"/>
        </w:rPr>
        <w:t xml:space="preserve">&amp; </w:t>
      </w:r>
      <w:r w:rsidRPr="00B4222E">
        <w:rPr>
          <w:rFonts w:asciiTheme="minorHAnsi" w:hAnsiTheme="minorHAnsi"/>
          <w:color w:val="000000"/>
        </w:rPr>
        <w:t xml:space="preserve">Murphy, G.H. (1998) ‘Assessment and treatment of self-injury with a man with a profound learning disability’, </w:t>
      </w:r>
      <w:r w:rsidRPr="00B4222E">
        <w:rPr>
          <w:rFonts w:asciiTheme="minorHAnsi" w:hAnsiTheme="minorHAnsi"/>
          <w:i/>
          <w:color w:val="000000"/>
        </w:rPr>
        <w:t>British Journal of Learning Disabilities</w:t>
      </w:r>
      <w:r w:rsidRPr="00B4222E">
        <w:rPr>
          <w:rFonts w:asciiTheme="minorHAnsi" w:hAnsiTheme="minorHAnsi"/>
          <w:color w:val="000000"/>
        </w:rPr>
        <w:t>, 26: 51-57.</w:t>
      </w:r>
      <w:proofErr w:type="gramEnd"/>
    </w:p>
    <w:p w14:paraId="31982E38" w14:textId="76D5FD9E" w:rsidR="00021D01" w:rsidRDefault="00021D01" w:rsidP="00735FB3">
      <w:pPr>
        <w:spacing w:before="100" w:beforeAutospacing="1" w:after="120" w:line="360" w:lineRule="auto"/>
        <w:ind w:left="113" w:hanging="113"/>
        <w:rPr>
          <w:rFonts w:asciiTheme="minorHAnsi" w:hAnsiTheme="minorHAnsi"/>
          <w:color w:val="000000"/>
        </w:rPr>
      </w:pPr>
      <w:r w:rsidRPr="00B4222E">
        <w:rPr>
          <w:rFonts w:asciiTheme="minorHAnsi" w:hAnsiTheme="minorHAnsi"/>
          <w:color w:val="000000"/>
        </w:rPr>
        <w:t xml:space="preserve">Connolly, M., </w:t>
      </w:r>
      <w:proofErr w:type="spellStart"/>
      <w:r w:rsidRPr="00B4222E">
        <w:rPr>
          <w:rFonts w:asciiTheme="minorHAnsi" w:hAnsiTheme="minorHAnsi"/>
          <w:color w:val="000000"/>
        </w:rPr>
        <w:t>Grimshaw</w:t>
      </w:r>
      <w:proofErr w:type="spellEnd"/>
      <w:r w:rsidRPr="00B4222E">
        <w:rPr>
          <w:rFonts w:asciiTheme="minorHAnsi" w:hAnsiTheme="minorHAnsi"/>
          <w:color w:val="000000"/>
        </w:rPr>
        <w:t xml:space="preserve">, J., Dodd, M., </w:t>
      </w:r>
      <w:proofErr w:type="spellStart"/>
      <w:r w:rsidRPr="00B4222E">
        <w:rPr>
          <w:rFonts w:asciiTheme="minorHAnsi" w:hAnsiTheme="minorHAnsi"/>
          <w:color w:val="000000"/>
        </w:rPr>
        <w:t>Cawthorne</w:t>
      </w:r>
      <w:proofErr w:type="spellEnd"/>
      <w:r w:rsidRPr="00B4222E">
        <w:rPr>
          <w:rFonts w:asciiTheme="minorHAnsi" w:hAnsiTheme="minorHAnsi"/>
          <w:color w:val="000000"/>
        </w:rPr>
        <w:t xml:space="preserve">, J., Hulme, T., </w:t>
      </w:r>
      <w:proofErr w:type="spellStart"/>
      <w:r w:rsidR="00EA14B1">
        <w:rPr>
          <w:rFonts w:asciiTheme="minorHAnsi" w:hAnsiTheme="minorHAnsi"/>
          <w:color w:val="000000"/>
        </w:rPr>
        <w:t>Everitt</w:t>
      </w:r>
      <w:proofErr w:type="spellEnd"/>
      <w:r w:rsidR="00EA14B1">
        <w:rPr>
          <w:rFonts w:asciiTheme="minorHAnsi" w:hAnsiTheme="minorHAnsi"/>
          <w:color w:val="000000"/>
        </w:rPr>
        <w:t>, S., Tierney, S. &amp;</w:t>
      </w:r>
      <w:r w:rsidRPr="00B4222E">
        <w:rPr>
          <w:rFonts w:asciiTheme="minorHAnsi" w:hAnsiTheme="minorHAnsi"/>
          <w:color w:val="000000"/>
        </w:rPr>
        <w:t xml:space="preserve"> Deaton, C. (2009) ‘Systems and people under pressure: the discharge process in an acute hospital’, </w:t>
      </w:r>
      <w:r w:rsidRPr="00B4222E">
        <w:rPr>
          <w:rFonts w:asciiTheme="minorHAnsi" w:hAnsiTheme="minorHAnsi"/>
          <w:i/>
          <w:color w:val="000000"/>
        </w:rPr>
        <w:t>Journal of Clinical Nursing</w:t>
      </w:r>
      <w:r w:rsidRPr="00B4222E">
        <w:rPr>
          <w:rFonts w:asciiTheme="minorHAnsi" w:hAnsiTheme="minorHAnsi"/>
          <w:color w:val="000000"/>
        </w:rPr>
        <w:t>, 18: 549-558.</w:t>
      </w:r>
    </w:p>
    <w:p w14:paraId="501EA8AC" w14:textId="19751A99" w:rsidR="00C12166" w:rsidRPr="00B4222E" w:rsidRDefault="00C12166" w:rsidP="00735FB3">
      <w:pPr>
        <w:spacing w:before="100" w:beforeAutospacing="1" w:after="120" w:line="360" w:lineRule="auto"/>
        <w:ind w:left="113" w:hanging="113"/>
        <w:rPr>
          <w:rFonts w:asciiTheme="minorHAnsi" w:hAnsiTheme="minorHAnsi"/>
          <w:color w:val="000000"/>
        </w:rPr>
      </w:pPr>
      <w:r w:rsidRPr="00C12166">
        <w:rPr>
          <w:rFonts w:asciiTheme="minorHAnsi" w:hAnsiTheme="minorHAnsi"/>
          <w:color w:val="000000"/>
        </w:rPr>
        <w:lastRenderedPageBreak/>
        <w:t xml:space="preserve">Fleming, J., Beresford, P., </w:t>
      </w:r>
      <w:proofErr w:type="spellStart"/>
      <w:r w:rsidRPr="00C12166">
        <w:rPr>
          <w:rFonts w:asciiTheme="minorHAnsi" w:hAnsiTheme="minorHAnsi"/>
          <w:color w:val="000000"/>
        </w:rPr>
        <w:t>Bewley</w:t>
      </w:r>
      <w:proofErr w:type="spellEnd"/>
      <w:r w:rsidRPr="00C12166">
        <w:rPr>
          <w:rFonts w:asciiTheme="minorHAnsi" w:hAnsiTheme="minorHAnsi"/>
          <w:color w:val="000000"/>
        </w:rPr>
        <w:t xml:space="preserve">, C., Croft, S., </w:t>
      </w:r>
      <w:proofErr w:type="spellStart"/>
      <w:r w:rsidRPr="00C12166">
        <w:rPr>
          <w:rFonts w:asciiTheme="minorHAnsi" w:hAnsiTheme="minorHAnsi"/>
          <w:color w:val="000000"/>
        </w:rPr>
        <w:t>Branfield</w:t>
      </w:r>
      <w:proofErr w:type="spellEnd"/>
      <w:r w:rsidRPr="00C12166">
        <w:rPr>
          <w:rFonts w:asciiTheme="minorHAnsi" w:hAnsiTheme="minorHAnsi"/>
          <w:color w:val="000000"/>
        </w:rPr>
        <w:t xml:space="preserve">, F., </w:t>
      </w:r>
      <w:proofErr w:type="spellStart"/>
      <w:r w:rsidRPr="00C12166">
        <w:rPr>
          <w:rFonts w:asciiTheme="minorHAnsi" w:hAnsiTheme="minorHAnsi"/>
          <w:color w:val="000000"/>
        </w:rPr>
        <w:t>Postle</w:t>
      </w:r>
      <w:proofErr w:type="spellEnd"/>
      <w:r w:rsidRPr="00C12166">
        <w:rPr>
          <w:rFonts w:asciiTheme="minorHAnsi" w:hAnsiTheme="minorHAnsi"/>
          <w:color w:val="000000"/>
        </w:rPr>
        <w:t xml:space="preserve">, K., Turner, M (2014) Working together - innovative collaboration in social care research, </w:t>
      </w:r>
      <w:r w:rsidRPr="00C12166">
        <w:rPr>
          <w:rFonts w:asciiTheme="minorHAnsi" w:hAnsiTheme="minorHAnsi"/>
          <w:i/>
          <w:color w:val="000000"/>
        </w:rPr>
        <w:t>Qualitative Social Work</w:t>
      </w:r>
      <w:r>
        <w:rPr>
          <w:rFonts w:asciiTheme="minorHAnsi" w:hAnsiTheme="minorHAnsi"/>
          <w:color w:val="000000"/>
        </w:rPr>
        <w:t xml:space="preserve">, 13 (5): </w:t>
      </w:r>
      <w:r w:rsidRPr="00C12166">
        <w:rPr>
          <w:rFonts w:asciiTheme="minorHAnsi" w:hAnsiTheme="minorHAnsi"/>
          <w:color w:val="000000"/>
        </w:rPr>
        <w:t>706-722</w:t>
      </w:r>
      <w:r>
        <w:rPr>
          <w:rFonts w:asciiTheme="minorHAnsi" w:hAnsiTheme="minorHAnsi"/>
          <w:color w:val="000000"/>
        </w:rPr>
        <w:t>.</w:t>
      </w:r>
    </w:p>
    <w:p w14:paraId="3631EC51" w14:textId="57544E41" w:rsidR="00021D01" w:rsidRPr="00B4222E" w:rsidRDefault="00EA14B1" w:rsidP="00735FB3">
      <w:pPr>
        <w:spacing w:before="100" w:beforeAutospacing="1" w:after="120" w:line="360" w:lineRule="auto"/>
        <w:ind w:left="113" w:hanging="113"/>
        <w:rPr>
          <w:rFonts w:asciiTheme="minorHAnsi" w:hAnsiTheme="minorHAnsi"/>
          <w:color w:val="000000"/>
        </w:rPr>
      </w:pPr>
      <w:proofErr w:type="spellStart"/>
      <w:r>
        <w:rPr>
          <w:rFonts w:asciiTheme="minorHAnsi" w:hAnsiTheme="minorHAnsi"/>
          <w:color w:val="000000"/>
        </w:rPr>
        <w:t>Furminger</w:t>
      </w:r>
      <w:proofErr w:type="spellEnd"/>
      <w:r>
        <w:rPr>
          <w:rFonts w:asciiTheme="minorHAnsi" w:hAnsiTheme="minorHAnsi"/>
          <w:color w:val="000000"/>
        </w:rPr>
        <w:t>, E. &amp;</w:t>
      </w:r>
      <w:r w:rsidR="00021D01" w:rsidRPr="00B4222E">
        <w:rPr>
          <w:rFonts w:asciiTheme="minorHAnsi" w:hAnsiTheme="minorHAnsi"/>
          <w:color w:val="000000"/>
        </w:rPr>
        <w:t xml:space="preserve"> Webber, M. (2009) ‘</w:t>
      </w:r>
      <w:proofErr w:type="gramStart"/>
      <w:r w:rsidR="00021D01" w:rsidRPr="00B4222E">
        <w:rPr>
          <w:rFonts w:asciiTheme="minorHAnsi" w:hAnsiTheme="minorHAnsi"/>
          <w:color w:val="000000"/>
        </w:rPr>
        <w:t>The</w:t>
      </w:r>
      <w:proofErr w:type="gramEnd"/>
      <w:r w:rsidR="00021D01" w:rsidRPr="00B4222E">
        <w:rPr>
          <w:rFonts w:asciiTheme="minorHAnsi" w:hAnsiTheme="minorHAnsi"/>
          <w:color w:val="000000"/>
        </w:rPr>
        <w:t xml:space="preserve"> effect of crisis resolution and home treatment on assessments under the 1983 Mental Health Act: An Increased Workload for approved social workers?’ </w:t>
      </w:r>
      <w:r w:rsidR="00021D01" w:rsidRPr="00B4222E">
        <w:rPr>
          <w:rFonts w:asciiTheme="minorHAnsi" w:hAnsiTheme="minorHAnsi"/>
          <w:i/>
          <w:color w:val="000000"/>
        </w:rPr>
        <w:t>British Journal of Social Work</w:t>
      </w:r>
      <w:r w:rsidR="00021D01" w:rsidRPr="00B4222E">
        <w:rPr>
          <w:rFonts w:asciiTheme="minorHAnsi" w:hAnsiTheme="minorHAnsi"/>
          <w:color w:val="000000"/>
        </w:rPr>
        <w:t>, 39: 901-917.</w:t>
      </w:r>
    </w:p>
    <w:p w14:paraId="3443AE54" w14:textId="0B38245D" w:rsidR="00021D01" w:rsidRPr="00B4222E" w:rsidRDefault="00EA14B1" w:rsidP="00735FB3">
      <w:pPr>
        <w:spacing w:before="100" w:beforeAutospacing="1" w:after="120" w:line="360" w:lineRule="auto"/>
        <w:ind w:left="113" w:hanging="113"/>
        <w:rPr>
          <w:rFonts w:asciiTheme="minorHAnsi" w:hAnsiTheme="minorHAnsi"/>
          <w:color w:val="000000"/>
        </w:rPr>
      </w:pPr>
      <w:r>
        <w:rPr>
          <w:rFonts w:asciiTheme="minorHAnsi" w:hAnsiTheme="minorHAnsi"/>
          <w:color w:val="000000"/>
        </w:rPr>
        <w:t>Gascoigne, M. &amp;</w:t>
      </w:r>
      <w:r w:rsidR="00021D01" w:rsidRPr="00B4222E">
        <w:rPr>
          <w:rFonts w:asciiTheme="minorHAnsi" w:hAnsiTheme="minorHAnsi"/>
          <w:color w:val="000000"/>
        </w:rPr>
        <w:t xml:space="preserve"> </w:t>
      </w:r>
      <w:proofErr w:type="spellStart"/>
      <w:r w:rsidR="00021D01" w:rsidRPr="00B4222E">
        <w:rPr>
          <w:rFonts w:asciiTheme="minorHAnsi" w:hAnsiTheme="minorHAnsi"/>
          <w:color w:val="000000"/>
        </w:rPr>
        <w:t>Mash</w:t>
      </w:r>
      <w:r w:rsidR="00F927A0" w:rsidRPr="00B4222E">
        <w:rPr>
          <w:rFonts w:asciiTheme="minorHAnsi" w:hAnsiTheme="minorHAnsi"/>
          <w:color w:val="000000"/>
        </w:rPr>
        <w:t>h</w:t>
      </w:r>
      <w:r w:rsidR="00021D01" w:rsidRPr="00B4222E">
        <w:rPr>
          <w:rFonts w:asciiTheme="minorHAnsi" w:hAnsiTheme="minorHAnsi"/>
          <w:color w:val="000000"/>
        </w:rPr>
        <w:t>oudy</w:t>
      </w:r>
      <w:proofErr w:type="spellEnd"/>
      <w:r w:rsidR="00021D01" w:rsidRPr="00B4222E">
        <w:rPr>
          <w:rFonts w:asciiTheme="minorHAnsi" w:hAnsiTheme="minorHAnsi"/>
          <w:color w:val="000000"/>
        </w:rPr>
        <w:t xml:space="preserve">, H. (2011) ‘Involuntary relocation from residential homes: Quantitative analysis of mortality, research review and relevance to practice’, </w:t>
      </w:r>
      <w:r w:rsidR="00021D01" w:rsidRPr="00B4222E">
        <w:rPr>
          <w:rFonts w:asciiTheme="minorHAnsi" w:hAnsiTheme="minorHAnsi"/>
          <w:i/>
          <w:color w:val="000000"/>
        </w:rPr>
        <w:t>Practice: Social Work in Action</w:t>
      </w:r>
      <w:r w:rsidR="00021D01" w:rsidRPr="00B4222E">
        <w:rPr>
          <w:rFonts w:asciiTheme="minorHAnsi" w:hAnsiTheme="minorHAnsi"/>
          <w:color w:val="000000"/>
        </w:rPr>
        <w:t>,</w:t>
      </w:r>
      <w:r w:rsidR="00021D01" w:rsidRPr="00B4222E">
        <w:rPr>
          <w:rFonts w:asciiTheme="minorHAnsi" w:hAnsiTheme="minorHAnsi"/>
          <w:i/>
          <w:color w:val="000000"/>
        </w:rPr>
        <w:t xml:space="preserve"> </w:t>
      </w:r>
      <w:r w:rsidR="00021D01" w:rsidRPr="00B4222E">
        <w:rPr>
          <w:rFonts w:asciiTheme="minorHAnsi" w:hAnsiTheme="minorHAnsi"/>
          <w:color w:val="000000"/>
        </w:rPr>
        <w:t>23(2):83-94.</w:t>
      </w:r>
    </w:p>
    <w:p w14:paraId="23838A42" w14:textId="77777777" w:rsidR="00021D01" w:rsidRPr="00B4222E" w:rsidRDefault="00021D01" w:rsidP="00735FB3">
      <w:pPr>
        <w:spacing w:before="100" w:beforeAutospacing="1" w:after="120" w:line="360" w:lineRule="auto"/>
        <w:ind w:left="113" w:hanging="113"/>
        <w:rPr>
          <w:rFonts w:asciiTheme="minorHAnsi" w:hAnsiTheme="minorHAnsi"/>
          <w:color w:val="000000"/>
        </w:rPr>
      </w:pPr>
      <w:proofErr w:type="gramStart"/>
      <w:r w:rsidRPr="00B4222E">
        <w:rPr>
          <w:rFonts w:asciiTheme="minorHAnsi" w:hAnsiTheme="minorHAnsi"/>
          <w:color w:val="000000"/>
        </w:rPr>
        <w:t>Godfrey, M. (2004) ‘More than 'involvement'.</w:t>
      </w:r>
      <w:proofErr w:type="gramEnd"/>
      <w:r w:rsidRPr="00B4222E">
        <w:rPr>
          <w:rFonts w:asciiTheme="minorHAnsi" w:hAnsiTheme="minorHAnsi"/>
          <w:color w:val="000000"/>
        </w:rPr>
        <w:t xml:space="preserve"> How commissioning user interviews in the research process begins to change the balance of power’, </w:t>
      </w:r>
      <w:r w:rsidRPr="00B4222E">
        <w:rPr>
          <w:rFonts w:asciiTheme="minorHAnsi" w:hAnsiTheme="minorHAnsi"/>
          <w:i/>
          <w:color w:val="000000"/>
        </w:rPr>
        <w:t>Practice: Social Work in Action</w:t>
      </w:r>
      <w:r w:rsidRPr="00B4222E">
        <w:rPr>
          <w:rFonts w:asciiTheme="minorHAnsi" w:hAnsiTheme="minorHAnsi"/>
          <w:color w:val="000000"/>
        </w:rPr>
        <w:t>, 16 (3): 223-231.</w:t>
      </w:r>
    </w:p>
    <w:p w14:paraId="085BD33B" w14:textId="53D5DEB9" w:rsidR="00021D01" w:rsidRPr="00B4222E" w:rsidRDefault="00EA14B1" w:rsidP="00735FB3">
      <w:pPr>
        <w:spacing w:before="100" w:beforeAutospacing="1" w:after="120" w:line="360" w:lineRule="auto"/>
        <w:ind w:left="113" w:hanging="113"/>
        <w:rPr>
          <w:rFonts w:asciiTheme="minorHAnsi" w:hAnsiTheme="minorHAnsi"/>
        </w:rPr>
      </w:pPr>
      <w:r>
        <w:rPr>
          <w:rFonts w:asciiTheme="minorHAnsi" w:hAnsiTheme="minorHAnsi"/>
        </w:rPr>
        <w:t>Goodacre, L. &amp;</w:t>
      </w:r>
      <w:r w:rsidR="00021D01" w:rsidRPr="00B4222E">
        <w:rPr>
          <w:rFonts w:asciiTheme="minorHAnsi" w:hAnsiTheme="minorHAnsi"/>
        </w:rPr>
        <w:t xml:space="preserve"> Turner, G. (2005) ‘An investigation of the Effectiveness of the Quebec User Evaluation of Satisfaction within Assistive Technology via a postal survey,’ </w:t>
      </w:r>
      <w:r w:rsidR="00021D01" w:rsidRPr="00B4222E">
        <w:rPr>
          <w:rFonts w:asciiTheme="minorHAnsi" w:hAnsiTheme="minorHAnsi"/>
          <w:i/>
        </w:rPr>
        <w:t>The British Journal of Occupational Therapy</w:t>
      </w:r>
      <w:r w:rsidR="00021D01" w:rsidRPr="00B4222E">
        <w:rPr>
          <w:rFonts w:asciiTheme="minorHAnsi" w:hAnsiTheme="minorHAnsi"/>
        </w:rPr>
        <w:t>, 68 (2): 93-96.</w:t>
      </w:r>
    </w:p>
    <w:p w14:paraId="45C33C53" w14:textId="2EF4CEC4" w:rsidR="00021D01" w:rsidRPr="00B4222E" w:rsidRDefault="00EA14B1" w:rsidP="00735FB3">
      <w:pPr>
        <w:spacing w:before="100" w:beforeAutospacing="1" w:after="120" w:line="360" w:lineRule="auto"/>
        <w:ind w:left="113" w:hanging="113"/>
        <w:rPr>
          <w:rFonts w:asciiTheme="minorHAnsi" w:hAnsiTheme="minorHAnsi"/>
          <w:color w:val="000000"/>
        </w:rPr>
      </w:pPr>
      <w:proofErr w:type="spellStart"/>
      <w:r>
        <w:rPr>
          <w:rFonts w:asciiTheme="minorHAnsi" w:hAnsiTheme="minorHAnsi"/>
          <w:color w:val="000000"/>
        </w:rPr>
        <w:t>Gormley</w:t>
      </w:r>
      <w:proofErr w:type="spellEnd"/>
      <w:r>
        <w:rPr>
          <w:rFonts w:asciiTheme="minorHAnsi" w:hAnsiTheme="minorHAnsi"/>
          <w:color w:val="000000"/>
        </w:rPr>
        <w:t>, D. &amp;</w:t>
      </w:r>
      <w:r w:rsidR="00021D01" w:rsidRPr="00B4222E">
        <w:rPr>
          <w:rFonts w:asciiTheme="minorHAnsi" w:hAnsiTheme="minorHAnsi"/>
          <w:color w:val="000000"/>
        </w:rPr>
        <w:t xml:space="preserve"> Quinn, N. (2009) ‘Mental health stigma and discrimination: The experience within social work’, </w:t>
      </w:r>
      <w:r w:rsidR="00021D01" w:rsidRPr="00B4222E">
        <w:rPr>
          <w:rFonts w:asciiTheme="minorHAnsi" w:hAnsiTheme="minorHAnsi"/>
          <w:i/>
          <w:color w:val="000000"/>
        </w:rPr>
        <w:t>Practice; Social Work in Action</w:t>
      </w:r>
      <w:r w:rsidR="00021D01" w:rsidRPr="00B4222E">
        <w:rPr>
          <w:rFonts w:asciiTheme="minorHAnsi" w:hAnsiTheme="minorHAnsi"/>
          <w:color w:val="000000"/>
        </w:rPr>
        <w:t>, 21(4): 259-272.</w:t>
      </w:r>
    </w:p>
    <w:p w14:paraId="6DEE1756" w14:textId="0B40A5BD" w:rsidR="00021D01" w:rsidRPr="00B4222E" w:rsidRDefault="00021D01" w:rsidP="00735FB3">
      <w:pPr>
        <w:spacing w:before="100" w:beforeAutospacing="1" w:after="120" w:line="360" w:lineRule="auto"/>
        <w:ind w:left="113" w:hanging="113"/>
        <w:rPr>
          <w:rFonts w:asciiTheme="minorHAnsi" w:hAnsiTheme="minorHAnsi"/>
        </w:rPr>
      </w:pPr>
      <w:proofErr w:type="gramStart"/>
      <w:r w:rsidRPr="00B4222E">
        <w:rPr>
          <w:rFonts w:asciiTheme="minorHAnsi" w:hAnsiTheme="minorHAnsi"/>
        </w:rPr>
        <w:t>Green</w:t>
      </w:r>
      <w:r w:rsidR="00080F47">
        <w:rPr>
          <w:rFonts w:asciiTheme="minorHAnsi" w:hAnsiTheme="minorHAnsi"/>
        </w:rPr>
        <w:t>.,</w:t>
      </w:r>
      <w:proofErr w:type="gramEnd"/>
      <w:r w:rsidR="00080F47">
        <w:rPr>
          <w:rFonts w:asciiTheme="minorHAnsi" w:hAnsiTheme="minorHAnsi"/>
        </w:rPr>
        <w:t xml:space="preserve"> A., Hicks, J., Weekes, R. &amp;</w:t>
      </w:r>
      <w:r w:rsidRPr="00B4222E">
        <w:rPr>
          <w:rFonts w:asciiTheme="minorHAnsi" w:hAnsiTheme="minorHAnsi"/>
        </w:rPr>
        <w:t xml:space="preserve"> Wilson, S. (2005)  ‘Cognitive-behavioural groups intervention for people with chronic insomnia: an initial evaluation,’ </w:t>
      </w:r>
      <w:r w:rsidRPr="00B4222E">
        <w:rPr>
          <w:rFonts w:asciiTheme="minorHAnsi" w:hAnsiTheme="minorHAnsi"/>
          <w:i/>
        </w:rPr>
        <w:t>The British Journal of Occupational Therapy</w:t>
      </w:r>
      <w:r w:rsidRPr="00B4222E">
        <w:rPr>
          <w:rFonts w:asciiTheme="minorHAnsi" w:hAnsiTheme="minorHAnsi"/>
        </w:rPr>
        <w:t xml:space="preserve">, 68 (11): 518-522. </w:t>
      </w:r>
    </w:p>
    <w:p w14:paraId="6202409E" w14:textId="77777777" w:rsidR="00021D01" w:rsidRPr="00B4222E" w:rsidRDefault="00021D01" w:rsidP="00735FB3">
      <w:pPr>
        <w:spacing w:before="100" w:beforeAutospacing="1" w:after="120" w:line="360" w:lineRule="auto"/>
        <w:ind w:left="113" w:hanging="113"/>
        <w:rPr>
          <w:rFonts w:asciiTheme="minorHAnsi" w:hAnsiTheme="minorHAnsi"/>
          <w:color w:val="000000"/>
        </w:rPr>
      </w:pPr>
      <w:r w:rsidRPr="00B4222E">
        <w:rPr>
          <w:rFonts w:asciiTheme="minorHAnsi" w:hAnsiTheme="minorHAnsi"/>
          <w:color w:val="000000"/>
        </w:rPr>
        <w:t xml:space="preserve">Halfpenny-Weir, E. (2009) ‘The experience of working in an early intervention in psychosis team’, </w:t>
      </w:r>
      <w:r w:rsidRPr="00B4222E">
        <w:rPr>
          <w:rFonts w:asciiTheme="minorHAnsi" w:hAnsiTheme="minorHAnsi"/>
          <w:i/>
          <w:color w:val="000000"/>
        </w:rPr>
        <w:t>Advances in Dual Diagnosis</w:t>
      </w:r>
      <w:r w:rsidRPr="00B4222E">
        <w:rPr>
          <w:rFonts w:asciiTheme="minorHAnsi" w:hAnsiTheme="minorHAnsi"/>
          <w:color w:val="000000"/>
        </w:rPr>
        <w:t>, 2(4): 18-23.</w:t>
      </w:r>
    </w:p>
    <w:p w14:paraId="1A50CA7F" w14:textId="541F4950" w:rsidR="00644C3E" w:rsidRDefault="00644C3E" w:rsidP="00735FB3">
      <w:pPr>
        <w:spacing w:before="100" w:beforeAutospacing="1" w:after="120" w:line="360" w:lineRule="auto"/>
        <w:ind w:left="113" w:hanging="113"/>
        <w:rPr>
          <w:rFonts w:asciiTheme="minorHAnsi" w:hAnsiTheme="minorHAnsi"/>
        </w:rPr>
      </w:pPr>
      <w:r w:rsidRPr="00644C3E">
        <w:rPr>
          <w:rFonts w:asciiTheme="minorHAnsi" w:hAnsiTheme="minorHAnsi"/>
        </w:rPr>
        <w:t xml:space="preserve">Harvey, D., Plummer, D., </w:t>
      </w:r>
      <w:proofErr w:type="spellStart"/>
      <w:r w:rsidRPr="00644C3E">
        <w:rPr>
          <w:rFonts w:asciiTheme="minorHAnsi" w:hAnsiTheme="minorHAnsi"/>
        </w:rPr>
        <w:t>Pighills</w:t>
      </w:r>
      <w:proofErr w:type="spellEnd"/>
      <w:r w:rsidRPr="00644C3E">
        <w:rPr>
          <w:rFonts w:asciiTheme="minorHAnsi" w:hAnsiTheme="minorHAnsi"/>
        </w:rPr>
        <w:t xml:space="preserve">, A. and Pain, T (2013) Practitioner Research Capacity: A Survey of Social Workers in Northern Queensland, </w:t>
      </w:r>
      <w:r w:rsidRPr="00644C3E">
        <w:rPr>
          <w:rFonts w:asciiTheme="minorHAnsi" w:hAnsiTheme="minorHAnsi"/>
          <w:i/>
        </w:rPr>
        <w:t>Australian Social Work</w:t>
      </w:r>
      <w:r>
        <w:rPr>
          <w:rFonts w:asciiTheme="minorHAnsi" w:hAnsiTheme="minorHAnsi"/>
        </w:rPr>
        <w:t>, 66 (4):</w:t>
      </w:r>
      <w:r w:rsidRPr="00644C3E">
        <w:rPr>
          <w:rFonts w:asciiTheme="minorHAnsi" w:hAnsiTheme="minorHAnsi"/>
        </w:rPr>
        <w:t xml:space="preserve"> 540-554</w:t>
      </w:r>
      <w:r>
        <w:rPr>
          <w:rFonts w:asciiTheme="minorHAnsi" w:hAnsiTheme="minorHAnsi"/>
        </w:rPr>
        <w:t>.</w:t>
      </w:r>
    </w:p>
    <w:p w14:paraId="0B75C957" w14:textId="77777777" w:rsidR="00021D01" w:rsidRPr="00B4222E" w:rsidRDefault="00021D01" w:rsidP="00735FB3">
      <w:pPr>
        <w:spacing w:before="100" w:beforeAutospacing="1" w:after="120" w:line="360" w:lineRule="auto"/>
        <w:ind w:left="113" w:hanging="113"/>
        <w:rPr>
          <w:rFonts w:asciiTheme="minorHAnsi" w:hAnsiTheme="minorHAnsi"/>
        </w:rPr>
      </w:pPr>
      <w:r w:rsidRPr="00B4222E">
        <w:rPr>
          <w:rFonts w:asciiTheme="minorHAnsi" w:hAnsiTheme="minorHAnsi"/>
        </w:rPr>
        <w:lastRenderedPageBreak/>
        <w:t xml:space="preserve">Holmes, M. (1998) ‘An Evaluation of Staff Attitudes towards the Sexual Activity of People with Learning Disabilities’, </w:t>
      </w:r>
      <w:proofErr w:type="gramStart"/>
      <w:r w:rsidRPr="00B4222E">
        <w:rPr>
          <w:rFonts w:asciiTheme="minorHAnsi" w:hAnsiTheme="minorHAnsi"/>
          <w:i/>
        </w:rPr>
        <w:t>The</w:t>
      </w:r>
      <w:proofErr w:type="gramEnd"/>
      <w:r w:rsidRPr="00B4222E">
        <w:rPr>
          <w:rFonts w:asciiTheme="minorHAnsi" w:hAnsiTheme="minorHAnsi"/>
          <w:i/>
        </w:rPr>
        <w:t xml:space="preserve"> British Journal of Occupational Therapy</w:t>
      </w:r>
      <w:r w:rsidRPr="00B4222E">
        <w:rPr>
          <w:rFonts w:asciiTheme="minorHAnsi" w:hAnsiTheme="minorHAnsi"/>
        </w:rPr>
        <w:t>, 61 (3): 111-115.</w:t>
      </w:r>
    </w:p>
    <w:p w14:paraId="40B9BD36" w14:textId="77777777" w:rsidR="00021D01" w:rsidRDefault="00021D01" w:rsidP="00735FB3">
      <w:pPr>
        <w:spacing w:before="100" w:beforeAutospacing="1" w:after="120" w:line="360" w:lineRule="auto"/>
        <w:ind w:left="113" w:hanging="113"/>
        <w:rPr>
          <w:rFonts w:asciiTheme="minorHAnsi" w:hAnsiTheme="minorHAnsi"/>
        </w:rPr>
      </w:pPr>
      <w:r w:rsidRPr="00B4222E">
        <w:rPr>
          <w:rFonts w:asciiTheme="minorHAnsi" w:hAnsiTheme="minorHAnsi"/>
        </w:rPr>
        <w:t xml:space="preserve">Jepson, J. (1998) ‘Study into the Equipment Needs of People with Restricted Growth’, </w:t>
      </w:r>
      <w:proofErr w:type="gramStart"/>
      <w:r w:rsidRPr="00B4222E">
        <w:rPr>
          <w:rFonts w:asciiTheme="minorHAnsi" w:hAnsiTheme="minorHAnsi"/>
          <w:i/>
        </w:rPr>
        <w:t>The</w:t>
      </w:r>
      <w:proofErr w:type="gramEnd"/>
      <w:r w:rsidRPr="00B4222E">
        <w:rPr>
          <w:rFonts w:asciiTheme="minorHAnsi" w:hAnsiTheme="minorHAnsi"/>
          <w:i/>
        </w:rPr>
        <w:t xml:space="preserve"> British Journal of Occupational Therapy</w:t>
      </w:r>
      <w:r w:rsidRPr="00B4222E">
        <w:rPr>
          <w:rFonts w:asciiTheme="minorHAnsi" w:hAnsiTheme="minorHAnsi"/>
        </w:rPr>
        <w:t>, 61 (1):22-26.</w:t>
      </w:r>
    </w:p>
    <w:p w14:paraId="3AB0D0BB" w14:textId="1006134E" w:rsidR="00644C3E" w:rsidRPr="00B4222E" w:rsidRDefault="00644C3E" w:rsidP="00735FB3">
      <w:pPr>
        <w:spacing w:before="100" w:beforeAutospacing="1" w:after="120" w:line="360" w:lineRule="auto"/>
        <w:ind w:left="113" w:hanging="113"/>
        <w:rPr>
          <w:rFonts w:asciiTheme="minorHAnsi" w:hAnsiTheme="minorHAnsi"/>
        </w:rPr>
      </w:pPr>
      <w:proofErr w:type="spellStart"/>
      <w:r w:rsidRPr="00644C3E">
        <w:rPr>
          <w:rFonts w:asciiTheme="minorHAnsi" w:hAnsiTheme="minorHAnsi"/>
        </w:rPr>
        <w:t>Joubert</w:t>
      </w:r>
      <w:proofErr w:type="spellEnd"/>
      <w:r w:rsidRPr="00644C3E">
        <w:rPr>
          <w:rFonts w:asciiTheme="minorHAnsi" w:hAnsiTheme="minorHAnsi"/>
        </w:rPr>
        <w:t xml:space="preserve">, L. and Hocking, A. (2015) Academic Practitioner Partnerships: A Model for Collaborative Practice, </w:t>
      </w:r>
      <w:r w:rsidRPr="00644C3E">
        <w:rPr>
          <w:rFonts w:asciiTheme="minorHAnsi" w:hAnsiTheme="minorHAnsi"/>
          <w:i/>
        </w:rPr>
        <w:t>Australian Social Work</w:t>
      </w:r>
      <w:r>
        <w:rPr>
          <w:rFonts w:asciiTheme="minorHAnsi" w:hAnsiTheme="minorHAnsi"/>
        </w:rPr>
        <w:t xml:space="preserve">, 68 (3): </w:t>
      </w:r>
      <w:r w:rsidRPr="00644C3E">
        <w:rPr>
          <w:rFonts w:asciiTheme="minorHAnsi" w:hAnsiTheme="minorHAnsi"/>
        </w:rPr>
        <w:t>352-363</w:t>
      </w:r>
      <w:r>
        <w:rPr>
          <w:rFonts w:asciiTheme="minorHAnsi" w:hAnsiTheme="minorHAnsi"/>
        </w:rPr>
        <w:t>.</w:t>
      </w:r>
    </w:p>
    <w:p w14:paraId="309C99B5" w14:textId="5EF3385F" w:rsidR="00021D01" w:rsidRPr="00B4222E" w:rsidRDefault="00EA14B1" w:rsidP="00735FB3">
      <w:pPr>
        <w:spacing w:before="100" w:beforeAutospacing="1" w:after="120" w:line="360" w:lineRule="auto"/>
        <w:ind w:left="113" w:hanging="113"/>
        <w:rPr>
          <w:rFonts w:asciiTheme="minorHAnsi" w:hAnsiTheme="minorHAnsi"/>
          <w:color w:val="000000"/>
        </w:rPr>
      </w:pPr>
      <w:r>
        <w:rPr>
          <w:rFonts w:asciiTheme="minorHAnsi" w:hAnsiTheme="minorHAnsi"/>
          <w:color w:val="000000"/>
        </w:rPr>
        <w:t>Kane, D. &amp;</w:t>
      </w:r>
      <w:r w:rsidR="00021D01" w:rsidRPr="00B4222E">
        <w:rPr>
          <w:rFonts w:asciiTheme="minorHAnsi" w:hAnsiTheme="minorHAnsi"/>
          <w:color w:val="000000"/>
        </w:rPr>
        <w:t xml:space="preserve"> Bamford, D. (2003) ‘A review of education/support groups for adult survivors of child sexual abuse: A qualitative analysis’, </w:t>
      </w:r>
      <w:r w:rsidR="00021D01" w:rsidRPr="00B4222E">
        <w:rPr>
          <w:rFonts w:asciiTheme="minorHAnsi" w:hAnsiTheme="minorHAnsi"/>
          <w:i/>
          <w:color w:val="000000"/>
        </w:rPr>
        <w:t>Practice: Social Work in Action</w:t>
      </w:r>
      <w:r w:rsidR="00021D01" w:rsidRPr="00B4222E">
        <w:rPr>
          <w:rFonts w:asciiTheme="minorHAnsi" w:hAnsiTheme="minorHAnsi"/>
          <w:color w:val="000000"/>
        </w:rPr>
        <w:t>, 15 (4): 7-20.</w:t>
      </w:r>
    </w:p>
    <w:p w14:paraId="02C18D79" w14:textId="7551D0FE" w:rsidR="00021D01" w:rsidRPr="00B4222E" w:rsidRDefault="00021D01" w:rsidP="00735FB3">
      <w:pPr>
        <w:spacing w:before="100" w:beforeAutospacing="1" w:after="120" w:line="360" w:lineRule="auto"/>
        <w:ind w:left="113" w:hanging="113"/>
        <w:rPr>
          <w:rFonts w:asciiTheme="minorHAnsi" w:hAnsiTheme="minorHAnsi"/>
          <w:color w:val="000000"/>
        </w:rPr>
      </w:pPr>
      <w:r w:rsidRPr="00B4222E">
        <w:rPr>
          <w:rFonts w:asciiTheme="minorHAnsi" w:hAnsiTheme="minorHAnsi"/>
          <w:color w:val="000000"/>
        </w:rPr>
        <w:t>Keady, J., Ashcro</w:t>
      </w:r>
      <w:r w:rsidR="00EA14B1">
        <w:rPr>
          <w:rFonts w:asciiTheme="minorHAnsi" w:hAnsiTheme="minorHAnsi"/>
          <w:color w:val="000000"/>
        </w:rPr>
        <w:t>ft-Simpson, S., Halligan, K. &amp;</w:t>
      </w:r>
      <w:r w:rsidRPr="00B4222E">
        <w:rPr>
          <w:rFonts w:asciiTheme="minorHAnsi" w:hAnsiTheme="minorHAnsi"/>
          <w:color w:val="000000"/>
        </w:rPr>
        <w:t xml:space="preserve"> Williams, S. (2007) ‘Admiral nursing and the family care of a parent with dementia: using autobiographical narrative as grounding for negotiated clinical practice and decision-making’, </w:t>
      </w:r>
      <w:proofErr w:type="spellStart"/>
      <w:r w:rsidRPr="00B4222E">
        <w:rPr>
          <w:rFonts w:asciiTheme="minorHAnsi" w:hAnsiTheme="minorHAnsi"/>
          <w:i/>
          <w:color w:val="000000"/>
        </w:rPr>
        <w:t>Scandanavian</w:t>
      </w:r>
      <w:proofErr w:type="spellEnd"/>
      <w:r w:rsidRPr="00B4222E">
        <w:rPr>
          <w:rFonts w:asciiTheme="minorHAnsi" w:hAnsiTheme="minorHAnsi"/>
          <w:i/>
          <w:color w:val="000000"/>
        </w:rPr>
        <w:t xml:space="preserve"> Journal of Caring Science</w:t>
      </w:r>
      <w:r w:rsidRPr="00B4222E">
        <w:rPr>
          <w:rFonts w:asciiTheme="minorHAnsi" w:hAnsiTheme="minorHAnsi"/>
          <w:color w:val="000000"/>
        </w:rPr>
        <w:t>, 21: 345-353.</w:t>
      </w:r>
    </w:p>
    <w:p w14:paraId="565D10D4" w14:textId="2E08C383" w:rsidR="00021D01" w:rsidRPr="00B4222E" w:rsidRDefault="00EA14B1" w:rsidP="00735FB3">
      <w:pPr>
        <w:spacing w:before="100" w:beforeAutospacing="1" w:after="120" w:line="360" w:lineRule="auto"/>
        <w:ind w:left="113" w:hanging="113"/>
        <w:rPr>
          <w:rFonts w:asciiTheme="minorHAnsi" w:hAnsiTheme="minorHAnsi"/>
        </w:rPr>
      </w:pPr>
      <w:r>
        <w:rPr>
          <w:rFonts w:asciiTheme="minorHAnsi" w:hAnsiTheme="minorHAnsi"/>
        </w:rPr>
        <w:t>Knox, V. &amp;</w:t>
      </w:r>
      <w:r w:rsidR="00021D01" w:rsidRPr="00B4222E">
        <w:rPr>
          <w:rFonts w:asciiTheme="minorHAnsi" w:hAnsiTheme="minorHAnsi"/>
        </w:rPr>
        <w:t xml:space="preserve"> Menzies, S. (2005) ‘Using the measure of processes and care to assess parents' views of a paediatric therapy service’, </w:t>
      </w:r>
      <w:r w:rsidR="00021D01" w:rsidRPr="00B4222E">
        <w:rPr>
          <w:rFonts w:asciiTheme="minorHAnsi" w:hAnsiTheme="minorHAnsi"/>
          <w:i/>
        </w:rPr>
        <w:t>The British Journal of Occupational Therapy</w:t>
      </w:r>
      <w:r w:rsidR="00021D01" w:rsidRPr="00B4222E">
        <w:rPr>
          <w:rFonts w:asciiTheme="minorHAnsi" w:hAnsiTheme="minorHAnsi"/>
        </w:rPr>
        <w:t xml:space="preserve">, 68 (3): 110-116.  </w:t>
      </w:r>
    </w:p>
    <w:p w14:paraId="4B5B85DC" w14:textId="1D65F101" w:rsidR="00021D01" w:rsidRPr="00B4222E" w:rsidRDefault="00021D01" w:rsidP="00735FB3">
      <w:pPr>
        <w:spacing w:before="100" w:beforeAutospacing="1" w:after="120" w:line="360" w:lineRule="auto"/>
        <w:ind w:left="113" w:hanging="113"/>
        <w:rPr>
          <w:rFonts w:asciiTheme="minorHAnsi" w:hAnsiTheme="minorHAnsi"/>
          <w:color w:val="000000"/>
        </w:rPr>
      </w:pPr>
      <w:r w:rsidRPr="00B4222E">
        <w:rPr>
          <w:rFonts w:asciiTheme="minorHAnsi" w:hAnsiTheme="minorHAnsi"/>
          <w:color w:val="000000"/>
        </w:rPr>
        <w:t>Yin-</w:t>
      </w:r>
      <w:proofErr w:type="spellStart"/>
      <w:r w:rsidRPr="00B4222E">
        <w:rPr>
          <w:rFonts w:asciiTheme="minorHAnsi" w:hAnsiTheme="minorHAnsi"/>
          <w:color w:val="000000"/>
        </w:rPr>
        <w:t>H</w:t>
      </w:r>
      <w:r w:rsidR="00EA14B1">
        <w:rPr>
          <w:rFonts w:asciiTheme="minorHAnsi" w:hAnsiTheme="minorHAnsi"/>
          <w:color w:val="000000"/>
        </w:rPr>
        <w:t>ar</w:t>
      </w:r>
      <w:proofErr w:type="spellEnd"/>
      <w:r w:rsidR="00EA14B1">
        <w:rPr>
          <w:rFonts w:asciiTheme="minorHAnsi" w:hAnsiTheme="minorHAnsi"/>
          <w:color w:val="000000"/>
        </w:rPr>
        <w:t xml:space="preserve"> Lau, A. &amp;</w:t>
      </w:r>
      <w:r w:rsidRPr="00B4222E">
        <w:rPr>
          <w:rFonts w:asciiTheme="minorHAnsi" w:hAnsiTheme="minorHAnsi"/>
          <w:color w:val="000000"/>
        </w:rPr>
        <w:t xml:space="preserve"> Ridge, M. (2011) ‘Addressing the impact of social exclusion on mental health in Gypsy, Roma and Traveller communities’, </w:t>
      </w:r>
      <w:r w:rsidRPr="00B4222E">
        <w:rPr>
          <w:rFonts w:asciiTheme="minorHAnsi" w:hAnsiTheme="minorHAnsi"/>
          <w:i/>
          <w:color w:val="000000"/>
        </w:rPr>
        <w:t>Mental Health and Social Inclusion</w:t>
      </w:r>
      <w:r w:rsidRPr="00B4222E">
        <w:rPr>
          <w:rFonts w:asciiTheme="minorHAnsi" w:hAnsiTheme="minorHAnsi"/>
          <w:color w:val="000000"/>
        </w:rPr>
        <w:t>, 15(3): 129-137.</w:t>
      </w:r>
    </w:p>
    <w:p w14:paraId="112B2889" w14:textId="000ABD04" w:rsidR="00021D01" w:rsidRDefault="00EA14B1" w:rsidP="00735FB3">
      <w:pPr>
        <w:spacing w:before="100" w:beforeAutospacing="1" w:after="120" w:line="360" w:lineRule="auto"/>
        <w:ind w:left="113" w:hanging="113"/>
        <w:rPr>
          <w:rFonts w:asciiTheme="minorHAnsi" w:hAnsiTheme="minorHAnsi"/>
          <w:color w:val="000000"/>
        </w:rPr>
      </w:pPr>
      <w:proofErr w:type="spellStart"/>
      <w:r>
        <w:rPr>
          <w:rFonts w:asciiTheme="minorHAnsi" w:hAnsiTheme="minorHAnsi"/>
          <w:color w:val="000000"/>
        </w:rPr>
        <w:t>Lillywhite</w:t>
      </w:r>
      <w:proofErr w:type="spellEnd"/>
      <w:r>
        <w:rPr>
          <w:rFonts w:asciiTheme="minorHAnsi" w:hAnsiTheme="minorHAnsi"/>
          <w:color w:val="000000"/>
        </w:rPr>
        <w:t>, A. &amp;</w:t>
      </w:r>
      <w:r w:rsidR="00021D01" w:rsidRPr="00B4222E">
        <w:rPr>
          <w:rFonts w:asciiTheme="minorHAnsi" w:hAnsiTheme="minorHAnsi"/>
          <w:color w:val="000000"/>
        </w:rPr>
        <w:t xml:space="preserve"> Atwal, A. (2003) ‘Occupational therapists' perceptions of the role of community learning disability teams’, </w:t>
      </w:r>
      <w:r w:rsidR="00021D01" w:rsidRPr="00B4222E">
        <w:rPr>
          <w:rFonts w:asciiTheme="minorHAnsi" w:hAnsiTheme="minorHAnsi"/>
          <w:i/>
          <w:color w:val="000000"/>
        </w:rPr>
        <w:t>British Journal of Learning Disabilities</w:t>
      </w:r>
      <w:r w:rsidR="00021D01" w:rsidRPr="00B4222E">
        <w:rPr>
          <w:rFonts w:asciiTheme="minorHAnsi" w:hAnsiTheme="minorHAnsi"/>
          <w:color w:val="000000"/>
        </w:rPr>
        <w:t>, 31: 130-135.</w:t>
      </w:r>
    </w:p>
    <w:p w14:paraId="3386BB2A" w14:textId="1CF97607" w:rsidR="00644C3E" w:rsidRPr="00644C3E" w:rsidRDefault="00644C3E" w:rsidP="00644C3E">
      <w:pPr>
        <w:spacing w:before="100" w:beforeAutospacing="1" w:after="120" w:line="360" w:lineRule="auto"/>
        <w:ind w:left="113" w:hanging="113"/>
        <w:rPr>
          <w:rFonts w:asciiTheme="minorHAnsi" w:hAnsiTheme="minorHAnsi"/>
          <w:color w:val="000000"/>
        </w:rPr>
      </w:pPr>
      <w:r w:rsidRPr="00644C3E">
        <w:rPr>
          <w:rFonts w:asciiTheme="minorHAnsi" w:hAnsiTheme="minorHAnsi"/>
          <w:color w:val="000000"/>
        </w:rPr>
        <w:t xml:space="preserve">Lunt, N. and </w:t>
      </w:r>
      <w:proofErr w:type="spellStart"/>
      <w:r w:rsidRPr="00644C3E">
        <w:rPr>
          <w:rFonts w:asciiTheme="minorHAnsi" w:hAnsiTheme="minorHAnsi"/>
          <w:color w:val="000000"/>
        </w:rPr>
        <w:t>Fouché</w:t>
      </w:r>
      <w:proofErr w:type="spellEnd"/>
      <w:r w:rsidRPr="00644C3E">
        <w:rPr>
          <w:rFonts w:asciiTheme="minorHAnsi" w:hAnsiTheme="minorHAnsi"/>
          <w:color w:val="000000"/>
        </w:rPr>
        <w:t xml:space="preserve">, C. (2010) ‘Practitioner research, ethics and research governance’, </w:t>
      </w:r>
      <w:r w:rsidRPr="00644C3E">
        <w:rPr>
          <w:rFonts w:asciiTheme="minorHAnsi" w:hAnsiTheme="minorHAnsi"/>
          <w:i/>
          <w:color w:val="000000"/>
        </w:rPr>
        <w:t>Ethics &amp; Social Welfare</w:t>
      </w:r>
      <w:r>
        <w:rPr>
          <w:rFonts w:asciiTheme="minorHAnsi" w:hAnsiTheme="minorHAnsi"/>
          <w:color w:val="000000"/>
        </w:rPr>
        <w:t>, 4 (3):</w:t>
      </w:r>
      <w:r w:rsidRPr="00644C3E">
        <w:rPr>
          <w:rFonts w:asciiTheme="minorHAnsi" w:hAnsiTheme="minorHAnsi"/>
          <w:color w:val="000000"/>
        </w:rPr>
        <w:t>219-235</w:t>
      </w:r>
      <w:r>
        <w:rPr>
          <w:rFonts w:asciiTheme="minorHAnsi" w:hAnsiTheme="minorHAnsi"/>
          <w:color w:val="000000"/>
        </w:rPr>
        <w:t>.</w:t>
      </w:r>
    </w:p>
    <w:p w14:paraId="52C71A77" w14:textId="77777777" w:rsidR="00644C3E" w:rsidRPr="00644C3E" w:rsidRDefault="00644C3E" w:rsidP="00644C3E">
      <w:pPr>
        <w:spacing w:before="100" w:beforeAutospacing="1" w:after="120" w:line="360" w:lineRule="auto"/>
        <w:ind w:left="113" w:hanging="113"/>
        <w:rPr>
          <w:rFonts w:asciiTheme="minorHAnsi" w:hAnsiTheme="minorHAnsi"/>
          <w:color w:val="000000"/>
        </w:rPr>
      </w:pPr>
      <w:r w:rsidRPr="00644C3E">
        <w:rPr>
          <w:rFonts w:asciiTheme="minorHAnsi" w:hAnsiTheme="minorHAnsi"/>
          <w:color w:val="000000"/>
        </w:rPr>
        <w:lastRenderedPageBreak/>
        <w:t xml:space="preserve">Lunt, N., </w:t>
      </w:r>
      <w:proofErr w:type="spellStart"/>
      <w:r w:rsidRPr="00644C3E">
        <w:rPr>
          <w:rFonts w:asciiTheme="minorHAnsi" w:hAnsiTheme="minorHAnsi"/>
          <w:color w:val="000000"/>
        </w:rPr>
        <w:t>Fouché</w:t>
      </w:r>
      <w:proofErr w:type="spellEnd"/>
      <w:r w:rsidRPr="00644C3E">
        <w:rPr>
          <w:rFonts w:asciiTheme="minorHAnsi" w:hAnsiTheme="minorHAnsi"/>
          <w:color w:val="000000"/>
        </w:rPr>
        <w:t xml:space="preserve">, C. and Yates, D. (2008) </w:t>
      </w:r>
      <w:r w:rsidRPr="00644C3E">
        <w:rPr>
          <w:rFonts w:asciiTheme="minorHAnsi" w:hAnsiTheme="minorHAnsi"/>
          <w:i/>
          <w:color w:val="000000"/>
        </w:rPr>
        <w:t>Growing Research in Practice: Report of an Innovative Partnership model</w:t>
      </w:r>
      <w:r w:rsidRPr="00644C3E">
        <w:rPr>
          <w:rFonts w:asciiTheme="minorHAnsi" w:hAnsiTheme="minorHAnsi"/>
          <w:color w:val="000000"/>
        </w:rPr>
        <w:t>, Wellington: Families Commission.</w:t>
      </w:r>
    </w:p>
    <w:p w14:paraId="3B4F29C3" w14:textId="77777777" w:rsidR="00644C3E" w:rsidRPr="00644C3E" w:rsidRDefault="00644C3E" w:rsidP="00644C3E">
      <w:pPr>
        <w:spacing w:before="100" w:beforeAutospacing="1" w:after="120" w:line="360" w:lineRule="auto"/>
        <w:ind w:left="113" w:hanging="113"/>
        <w:rPr>
          <w:rFonts w:asciiTheme="minorHAnsi" w:hAnsiTheme="minorHAnsi"/>
          <w:color w:val="000000"/>
        </w:rPr>
      </w:pPr>
      <w:r w:rsidRPr="00644C3E">
        <w:rPr>
          <w:rFonts w:asciiTheme="minorHAnsi" w:hAnsiTheme="minorHAnsi"/>
          <w:color w:val="000000"/>
        </w:rPr>
        <w:t xml:space="preserve">Lunt, N., Shaw, I.F. and Mitchell, F. (2009) </w:t>
      </w:r>
      <w:r w:rsidRPr="00644C3E">
        <w:rPr>
          <w:rFonts w:asciiTheme="minorHAnsi" w:hAnsiTheme="minorHAnsi"/>
          <w:i/>
          <w:color w:val="000000"/>
        </w:rPr>
        <w:t>Practitioner Research in CHILDREN 1st: Cohorts, Networks and Systems</w:t>
      </w:r>
      <w:r w:rsidRPr="00644C3E">
        <w:rPr>
          <w:rFonts w:asciiTheme="minorHAnsi" w:hAnsiTheme="minorHAnsi"/>
          <w:color w:val="000000"/>
        </w:rPr>
        <w:t>, Report prepared for The Institute for Research and Innovation in the Social Services. Edinburgh.</w:t>
      </w:r>
    </w:p>
    <w:p w14:paraId="2D7B7069" w14:textId="6701F235" w:rsidR="00644C3E" w:rsidRPr="00B4222E" w:rsidRDefault="00644C3E" w:rsidP="00644C3E">
      <w:pPr>
        <w:spacing w:before="100" w:beforeAutospacing="1" w:after="120" w:line="360" w:lineRule="auto"/>
        <w:ind w:left="113" w:hanging="113"/>
        <w:rPr>
          <w:rFonts w:asciiTheme="minorHAnsi" w:hAnsiTheme="minorHAnsi"/>
          <w:color w:val="000000"/>
        </w:rPr>
      </w:pPr>
      <w:r w:rsidRPr="00644C3E">
        <w:rPr>
          <w:rFonts w:asciiTheme="minorHAnsi" w:hAnsiTheme="minorHAnsi"/>
          <w:color w:val="000000"/>
        </w:rPr>
        <w:t xml:space="preserve">Lunt, N., Ramian, K., Shaw, I., </w:t>
      </w:r>
      <w:proofErr w:type="spellStart"/>
      <w:r w:rsidRPr="00644C3E">
        <w:rPr>
          <w:rFonts w:asciiTheme="minorHAnsi" w:hAnsiTheme="minorHAnsi"/>
          <w:color w:val="000000"/>
        </w:rPr>
        <w:t>Fouché</w:t>
      </w:r>
      <w:proofErr w:type="spellEnd"/>
      <w:r w:rsidRPr="00644C3E">
        <w:rPr>
          <w:rFonts w:asciiTheme="minorHAnsi" w:hAnsiTheme="minorHAnsi"/>
          <w:color w:val="000000"/>
        </w:rPr>
        <w:t xml:space="preserve">, C. and Mitchell, F. (2011) ‘Networking practitioner research: synthesizing the state of the ‘art’’, </w:t>
      </w:r>
      <w:r w:rsidRPr="00644C3E">
        <w:rPr>
          <w:rFonts w:asciiTheme="minorHAnsi" w:hAnsiTheme="minorHAnsi"/>
          <w:i/>
          <w:color w:val="000000"/>
        </w:rPr>
        <w:t>European Journal of Social Work</w:t>
      </w:r>
      <w:r w:rsidRPr="00644C3E">
        <w:rPr>
          <w:rFonts w:asciiTheme="minorHAnsi" w:hAnsiTheme="minorHAnsi"/>
          <w:color w:val="000000"/>
        </w:rPr>
        <w:t>, 15 (2): 185-203.</w:t>
      </w:r>
    </w:p>
    <w:p w14:paraId="27DA6106" w14:textId="778E9C2D" w:rsidR="00021D01" w:rsidRPr="00B4222E" w:rsidRDefault="00EA14B1" w:rsidP="00735FB3">
      <w:pPr>
        <w:spacing w:before="100" w:beforeAutospacing="1" w:after="120" w:line="360" w:lineRule="auto"/>
        <w:ind w:left="113" w:hanging="113"/>
        <w:rPr>
          <w:rFonts w:asciiTheme="minorHAnsi" w:hAnsiTheme="minorHAnsi"/>
          <w:color w:val="000000"/>
        </w:rPr>
      </w:pPr>
      <w:proofErr w:type="spellStart"/>
      <w:r>
        <w:rPr>
          <w:rFonts w:asciiTheme="minorHAnsi" w:hAnsiTheme="minorHAnsi"/>
          <w:color w:val="000000"/>
        </w:rPr>
        <w:t>McAlynn</w:t>
      </w:r>
      <w:proofErr w:type="spellEnd"/>
      <w:r>
        <w:rPr>
          <w:rFonts w:asciiTheme="minorHAnsi" w:hAnsiTheme="minorHAnsi"/>
          <w:color w:val="000000"/>
        </w:rPr>
        <w:t>, M. &amp;</w:t>
      </w:r>
      <w:r w:rsidR="00021D01" w:rsidRPr="00B4222E">
        <w:rPr>
          <w:rFonts w:asciiTheme="minorHAnsi" w:hAnsiTheme="minorHAnsi"/>
          <w:color w:val="000000"/>
        </w:rPr>
        <w:t xml:space="preserve"> McLaughlin, J. (2008) ‘Key factors impending discharge planning in hospital social work: An exploratory study’, </w:t>
      </w:r>
      <w:r w:rsidR="00021D01" w:rsidRPr="00B4222E">
        <w:rPr>
          <w:rFonts w:asciiTheme="minorHAnsi" w:hAnsiTheme="minorHAnsi"/>
          <w:i/>
          <w:color w:val="000000"/>
        </w:rPr>
        <w:t>Social Work in Health Care</w:t>
      </w:r>
      <w:r w:rsidR="00021D01" w:rsidRPr="00B4222E">
        <w:rPr>
          <w:rFonts w:asciiTheme="minorHAnsi" w:hAnsiTheme="minorHAnsi"/>
          <w:color w:val="000000"/>
        </w:rPr>
        <w:t>, 46(3):1-27.</w:t>
      </w:r>
    </w:p>
    <w:p w14:paraId="7FC8EC4E" w14:textId="4A5E6B92" w:rsidR="00021D01" w:rsidRPr="00B4222E" w:rsidRDefault="00021D01" w:rsidP="00735FB3">
      <w:pPr>
        <w:spacing w:before="100" w:beforeAutospacing="1" w:after="120" w:line="360" w:lineRule="auto"/>
        <w:ind w:left="113" w:hanging="113"/>
        <w:rPr>
          <w:rFonts w:asciiTheme="minorHAnsi" w:hAnsiTheme="minorHAnsi"/>
        </w:rPr>
      </w:pPr>
      <w:r w:rsidRPr="00B4222E">
        <w:rPr>
          <w:rFonts w:asciiTheme="minorHAnsi" w:hAnsiTheme="minorHAnsi"/>
        </w:rPr>
        <w:t xml:space="preserve">McWilliams, S. (2005) ‘Developmental coordination disorder and self-esteem: do occupational therapy groups have a positive effect?’ </w:t>
      </w:r>
      <w:r w:rsidRPr="00B4222E">
        <w:rPr>
          <w:rFonts w:asciiTheme="minorHAnsi" w:hAnsiTheme="minorHAnsi"/>
          <w:i/>
        </w:rPr>
        <w:t>The British Journal of Occupational Therapy</w:t>
      </w:r>
      <w:r w:rsidRPr="00B4222E">
        <w:rPr>
          <w:rFonts w:asciiTheme="minorHAnsi" w:hAnsiTheme="minorHAnsi"/>
        </w:rPr>
        <w:t>, 68 (9): 393-400</w:t>
      </w:r>
      <w:r w:rsidR="001D5F75">
        <w:rPr>
          <w:rFonts w:asciiTheme="minorHAnsi" w:hAnsiTheme="minorHAnsi"/>
        </w:rPr>
        <w:t>.</w:t>
      </w:r>
      <w:r w:rsidRPr="00B4222E">
        <w:rPr>
          <w:rFonts w:asciiTheme="minorHAnsi" w:hAnsiTheme="minorHAnsi"/>
        </w:rPr>
        <w:t xml:space="preserve"> </w:t>
      </w:r>
    </w:p>
    <w:p w14:paraId="5A1E7754" w14:textId="3DE24255" w:rsidR="00021D01" w:rsidRPr="00B4222E" w:rsidRDefault="00021D01" w:rsidP="00735FB3">
      <w:pPr>
        <w:spacing w:before="100" w:beforeAutospacing="1" w:after="120" w:line="360" w:lineRule="auto"/>
        <w:ind w:left="113" w:hanging="113"/>
        <w:rPr>
          <w:rStyle w:val="st"/>
          <w:rFonts w:asciiTheme="minorHAnsi" w:hAnsiTheme="minorHAnsi"/>
        </w:rPr>
      </w:pPr>
      <w:r w:rsidRPr="00B4222E">
        <w:rPr>
          <w:rFonts w:asciiTheme="minorHAnsi" w:hAnsiTheme="minorHAnsi"/>
          <w:color w:val="000000"/>
        </w:rPr>
        <w:t>McKay, K., McLaughlin, C., Rossi, S.,</w:t>
      </w:r>
      <w:r w:rsidR="00EA14B1">
        <w:rPr>
          <w:rFonts w:asciiTheme="minorHAnsi" w:hAnsiTheme="minorHAnsi"/>
          <w:color w:val="000000"/>
        </w:rPr>
        <w:t xml:space="preserve"> </w:t>
      </w:r>
      <w:proofErr w:type="spellStart"/>
      <w:r w:rsidR="00EA14B1">
        <w:rPr>
          <w:rFonts w:asciiTheme="minorHAnsi" w:hAnsiTheme="minorHAnsi"/>
          <w:color w:val="000000"/>
        </w:rPr>
        <w:t>McNicholl</w:t>
      </w:r>
      <w:proofErr w:type="spellEnd"/>
      <w:r w:rsidR="00EA14B1">
        <w:rPr>
          <w:rFonts w:asciiTheme="minorHAnsi" w:hAnsiTheme="minorHAnsi"/>
          <w:color w:val="000000"/>
        </w:rPr>
        <w:t xml:space="preserve">, J., </w:t>
      </w:r>
      <w:proofErr w:type="spellStart"/>
      <w:r w:rsidR="00EA14B1">
        <w:rPr>
          <w:rFonts w:asciiTheme="minorHAnsi" w:hAnsiTheme="minorHAnsi"/>
          <w:color w:val="000000"/>
        </w:rPr>
        <w:t>Notman</w:t>
      </w:r>
      <w:proofErr w:type="spellEnd"/>
      <w:r w:rsidR="00EA14B1">
        <w:rPr>
          <w:rFonts w:asciiTheme="minorHAnsi" w:hAnsiTheme="minorHAnsi"/>
          <w:color w:val="000000"/>
        </w:rPr>
        <w:t>, M. &amp;</w:t>
      </w:r>
      <w:r w:rsidRPr="00B4222E">
        <w:rPr>
          <w:rFonts w:asciiTheme="minorHAnsi" w:hAnsiTheme="minorHAnsi"/>
          <w:color w:val="000000"/>
        </w:rPr>
        <w:t xml:space="preserve"> Fraser, D. (2011) Exploring how practitioners support and protect adults at risk of harm in the light of the Adult Support and Protection (Scotland) Act 2007</w:t>
      </w:r>
      <w:r w:rsidRPr="00B4222E">
        <w:rPr>
          <w:rFonts w:asciiTheme="minorHAnsi" w:hAnsiTheme="minorHAnsi"/>
        </w:rPr>
        <w:t xml:space="preserve">, </w:t>
      </w:r>
      <w:r w:rsidRPr="00B4222E">
        <w:rPr>
          <w:rStyle w:val="st"/>
          <w:rFonts w:asciiTheme="minorHAnsi" w:hAnsiTheme="minorHAnsi"/>
        </w:rPr>
        <w:t>University of Stirling, STORRE: Stirling Online Research.</w:t>
      </w:r>
    </w:p>
    <w:p w14:paraId="5DD4A941" w14:textId="77777777" w:rsidR="00021D01" w:rsidRPr="00B4222E" w:rsidRDefault="00021D01" w:rsidP="00735FB3">
      <w:pPr>
        <w:spacing w:before="100" w:beforeAutospacing="1" w:after="120" w:line="360" w:lineRule="auto"/>
        <w:ind w:left="113" w:hanging="113"/>
        <w:rPr>
          <w:rFonts w:asciiTheme="minorHAnsi" w:hAnsiTheme="minorHAnsi"/>
        </w:rPr>
      </w:pPr>
      <w:proofErr w:type="gramStart"/>
      <w:r w:rsidRPr="00B4222E">
        <w:rPr>
          <w:rFonts w:asciiTheme="minorHAnsi" w:hAnsiTheme="minorHAnsi"/>
        </w:rPr>
        <w:t>Melton</w:t>
      </w:r>
      <w:proofErr w:type="gramEnd"/>
      <w:r w:rsidRPr="00B4222E">
        <w:rPr>
          <w:rFonts w:asciiTheme="minorHAnsi" w:hAnsiTheme="minorHAnsi"/>
        </w:rPr>
        <w:t xml:space="preserve">, J. (1998) ‘How do Clients with Learning Disabilities Evaluate their Experience of Cooking with the Occupation Therapist?’ </w:t>
      </w:r>
      <w:r w:rsidRPr="00B4222E">
        <w:rPr>
          <w:rFonts w:asciiTheme="minorHAnsi" w:hAnsiTheme="minorHAnsi"/>
          <w:i/>
        </w:rPr>
        <w:t>The British Journal of Occupational Therapy</w:t>
      </w:r>
      <w:r w:rsidRPr="00B4222E">
        <w:rPr>
          <w:rFonts w:asciiTheme="minorHAnsi" w:hAnsiTheme="minorHAnsi"/>
        </w:rPr>
        <w:t>, 61 (3): 106-110.</w:t>
      </w:r>
    </w:p>
    <w:p w14:paraId="426E175A" w14:textId="2A54A85D" w:rsidR="00021D01" w:rsidRPr="00B4222E" w:rsidRDefault="00021D01" w:rsidP="00735FB3">
      <w:pPr>
        <w:spacing w:before="100" w:beforeAutospacing="1" w:after="120" w:line="360" w:lineRule="auto"/>
        <w:ind w:left="113" w:hanging="113"/>
        <w:rPr>
          <w:rFonts w:asciiTheme="minorHAnsi" w:hAnsiTheme="minorHAnsi"/>
          <w:color w:val="000000"/>
        </w:rPr>
      </w:pPr>
      <w:r w:rsidRPr="00B4222E">
        <w:rPr>
          <w:rFonts w:asciiTheme="minorHAnsi" w:hAnsiTheme="minorHAnsi"/>
          <w:color w:val="000000"/>
        </w:rPr>
        <w:t>Mitchell, F., Ralston,</w:t>
      </w:r>
      <w:r w:rsidR="00EA14B1">
        <w:rPr>
          <w:rFonts w:asciiTheme="minorHAnsi" w:hAnsiTheme="minorHAnsi"/>
          <w:color w:val="000000"/>
        </w:rPr>
        <w:t xml:space="preserve"> G., McInnes, J., Crilly, E. &amp;</w:t>
      </w:r>
      <w:r w:rsidRPr="00B4222E">
        <w:rPr>
          <w:rFonts w:asciiTheme="minorHAnsi" w:hAnsiTheme="minorHAnsi"/>
          <w:color w:val="000000"/>
        </w:rPr>
        <w:t xml:space="preserve"> Anderson, J. (1998) ‘Supporting relatives of adults with chronic mental illness in the community: a comparative evaluation of two groups’, </w:t>
      </w:r>
      <w:r w:rsidRPr="00B4222E">
        <w:rPr>
          <w:rFonts w:asciiTheme="minorHAnsi" w:hAnsiTheme="minorHAnsi"/>
          <w:i/>
          <w:color w:val="000000"/>
        </w:rPr>
        <w:t>Practice: Social Work in Action</w:t>
      </w:r>
      <w:r w:rsidRPr="00B4222E">
        <w:rPr>
          <w:rFonts w:asciiTheme="minorHAnsi" w:hAnsiTheme="minorHAnsi"/>
          <w:color w:val="000000"/>
        </w:rPr>
        <w:t>, 10 (4):15-26.</w:t>
      </w:r>
    </w:p>
    <w:p w14:paraId="1482B163" w14:textId="77777777" w:rsidR="00021D01" w:rsidRPr="00B4222E" w:rsidRDefault="00021D01" w:rsidP="00735FB3">
      <w:pPr>
        <w:spacing w:before="100" w:beforeAutospacing="1" w:after="120" w:line="360" w:lineRule="auto"/>
        <w:ind w:left="113" w:hanging="113"/>
        <w:rPr>
          <w:rFonts w:asciiTheme="minorHAnsi" w:hAnsiTheme="minorHAnsi"/>
          <w:color w:val="000000"/>
        </w:rPr>
      </w:pPr>
      <w:proofErr w:type="spellStart"/>
      <w:r w:rsidRPr="00B4222E">
        <w:rPr>
          <w:rFonts w:asciiTheme="minorHAnsi" w:hAnsiTheme="minorHAnsi"/>
          <w:color w:val="000000"/>
        </w:rPr>
        <w:t>Mulhall</w:t>
      </w:r>
      <w:proofErr w:type="spellEnd"/>
      <w:r w:rsidRPr="00B4222E">
        <w:rPr>
          <w:rFonts w:asciiTheme="minorHAnsi" w:hAnsiTheme="minorHAnsi"/>
          <w:color w:val="000000"/>
        </w:rPr>
        <w:t xml:space="preserve">, J. (2000) ‘Using community mental health services: asking users’, </w:t>
      </w:r>
      <w:r w:rsidRPr="00B4222E">
        <w:rPr>
          <w:rFonts w:asciiTheme="minorHAnsi" w:hAnsiTheme="minorHAnsi"/>
          <w:i/>
          <w:color w:val="000000"/>
        </w:rPr>
        <w:t>Practice: Social Work in Action</w:t>
      </w:r>
      <w:r w:rsidRPr="00B4222E">
        <w:rPr>
          <w:rFonts w:asciiTheme="minorHAnsi" w:hAnsiTheme="minorHAnsi"/>
          <w:color w:val="000000"/>
        </w:rPr>
        <w:t>, 12 (4): 27-36.</w:t>
      </w:r>
    </w:p>
    <w:p w14:paraId="74DBE6B2" w14:textId="22FE0EFC" w:rsidR="00021D01" w:rsidRDefault="00021D01" w:rsidP="00735FB3">
      <w:pPr>
        <w:spacing w:before="100" w:beforeAutospacing="1" w:after="120" w:line="360" w:lineRule="auto"/>
        <w:ind w:left="113" w:hanging="113"/>
        <w:rPr>
          <w:rFonts w:asciiTheme="minorHAnsi" w:hAnsiTheme="minorHAnsi"/>
        </w:rPr>
      </w:pPr>
      <w:proofErr w:type="spellStart"/>
      <w:r w:rsidRPr="00B4222E">
        <w:rPr>
          <w:rFonts w:asciiTheme="minorHAnsi" w:hAnsiTheme="minorHAnsi"/>
        </w:rPr>
        <w:lastRenderedPageBreak/>
        <w:t>Pipon</w:t>
      </w:r>
      <w:proofErr w:type="spellEnd"/>
      <w:r w:rsidRPr="00B4222E">
        <w:rPr>
          <w:rFonts w:asciiTheme="minorHAnsi" w:hAnsiTheme="minorHAnsi"/>
        </w:rPr>
        <w:t xml:space="preserve">-Young, </w:t>
      </w:r>
      <w:r w:rsidR="00EA14B1">
        <w:rPr>
          <w:rFonts w:asciiTheme="minorHAnsi" w:hAnsiTheme="minorHAnsi"/>
        </w:rPr>
        <w:t>F. E., Lee, K. M., Jones, F. &amp;</w:t>
      </w:r>
      <w:r w:rsidRPr="00B4222E">
        <w:rPr>
          <w:rFonts w:asciiTheme="minorHAnsi" w:hAnsiTheme="minorHAnsi"/>
        </w:rPr>
        <w:t xml:space="preserve"> </w:t>
      </w:r>
      <w:proofErr w:type="spellStart"/>
      <w:r w:rsidRPr="00B4222E">
        <w:rPr>
          <w:rFonts w:asciiTheme="minorHAnsi" w:hAnsiTheme="minorHAnsi"/>
        </w:rPr>
        <w:t>Guss</w:t>
      </w:r>
      <w:proofErr w:type="spellEnd"/>
      <w:r w:rsidRPr="00B4222E">
        <w:rPr>
          <w:rFonts w:asciiTheme="minorHAnsi" w:hAnsiTheme="minorHAnsi"/>
        </w:rPr>
        <w:t xml:space="preserve">, R. (2012) 'I'm not all gone, I can still speak: The experiences of younger people with dementia. </w:t>
      </w:r>
      <w:proofErr w:type="gramStart"/>
      <w:r w:rsidRPr="00B4222E">
        <w:rPr>
          <w:rFonts w:asciiTheme="minorHAnsi" w:hAnsiTheme="minorHAnsi"/>
        </w:rPr>
        <w:t>An action research study.'</w:t>
      </w:r>
      <w:proofErr w:type="gramEnd"/>
      <w:r w:rsidRPr="00B4222E">
        <w:rPr>
          <w:rFonts w:asciiTheme="minorHAnsi" w:hAnsiTheme="minorHAnsi"/>
        </w:rPr>
        <w:t xml:space="preserve"> </w:t>
      </w:r>
      <w:r w:rsidRPr="00B4222E">
        <w:rPr>
          <w:rFonts w:asciiTheme="minorHAnsi" w:hAnsiTheme="minorHAnsi"/>
          <w:i/>
        </w:rPr>
        <w:t>Dementia,</w:t>
      </w:r>
      <w:r w:rsidRPr="00B4222E">
        <w:rPr>
          <w:rFonts w:asciiTheme="minorHAnsi" w:hAnsiTheme="minorHAnsi"/>
        </w:rPr>
        <w:t xml:space="preserve"> 11 (5): 597-616.</w:t>
      </w:r>
    </w:p>
    <w:p w14:paraId="762D9A6E" w14:textId="3AAB789F" w:rsidR="006B14F3" w:rsidRDefault="006B14F3" w:rsidP="00735FB3">
      <w:pPr>
        <w:spacing w:before="100" w:beforeAutospacing="1" w:after="120" w:line="360" w:lineRule="auto"/>
        <w:ind w:left="113" w:hanging="113"/>
        <w:rPr>
          <w:rFonts w:asciiTheme="minorHAnsi" w:hAnsiTheme="minorHAnsi"/>
        </w:rPr>
      </w:pPr>
      <w:r w:rsidRPr="006B14F3">
        <w:rPr>
          <w:rFonts w:asciiTheme="minorHAnsi" w:hAnsiTheme="minorHAnsi"/>
        </w:rPr>
        <w:t xml:space="preserve">Powell, J. and Orme, J. (2011) </w:t>
      </w:r>
      <w:r>
        <w:rPr>
          <w:rFonts w:asciiTheme="minorHAnsi" w:hAnsiTheme="minorHAnsi"/>
        </w:rPr>
        <w:t>‘</w:t>
      </w:r>
      <w:r w:rsidRPr="006B14F3">
        <w:rPr>
          <w:rFonts w:asciiTheme="minorHAnsi" w:hAnsiTheme="minorHAnsi"/>
        </w:rPr>
        <w:t>Increasing the Confidence and Competence of Social Work Researchers: What Works?</w:t>
      </w:r>
      <w:r>
        <w:rPr>
          <w:rFonts w:asciiTheme="minorHAnsi" w:hAnsiTheme="minorHAnsi"/>
        </w:rPr>
        <w:t>’</w:t>
      </w:r>
      <w:r w:rsidRPr="006B14F3">
        <w:rPr>
          <w:rFonts w:asciiTheme="minorHAnsi" w:hAnsiTheme="minorHAnsi"/>
        </w:rPr>
        <w:t xml:space="preserve"> </w:t>
      </w:r>
      <w:r w:rsidRPr="006B14F3">
        <w:rPr>
          <w:rFonts w:asciiTheme="minorHAnsi" w:hAnsiTheme="minorHAnsi"/>
          <w:i/>
        </w:rPr>
        <w:t xml:space="preserve">British Journal </w:t>
      </w:r>
      <w:proofErr w:type="gramStart"/>
      <w:r w:rsidRPr="006B14F3">
        <w:rPr>
          <w:rFonts w:asciiTheme="minorHAnsi" w:hAnsiTheme="minorHAnsi"/>
          <w:i/>
        </w:rPr>
        <w:t>Of</w:t>
      </w:r>
      <w:proofErr w:type="gramEnd"/>
      <w:r w:rsidRPr="006B14F3">
        <w:rPr>
          <w:rFonts w:asciiTheme="minorHAnsi" w:hAnsiTheme="minorHAnsi"/>
          <w:i/>
        </w:rPr>
        <w:t xml:space="preserve"> Social Work</w:t>
      </w:r>
      <w:r>
        <w:rPr>
          <w:rFonts w:asciiTheme="minorHAnsi" w:hAnsiTheme="minorHAnsi"/>
        </w:rPr>
        <w:t xml:space="preserve">, 41, (8): </w:t>
      </w:r>
      <w:r w:rsidRPr="006B14F3">
        <w:rPr>
          <w:rFonts w:asciiTheme="minorHAnsi" w:hAnsiTheme="minorHAnsi"/>
        </w:rPr>
        <w:t>1566-1585</w:t>
      </w:r>
      <w:r>
        <w:rPr>
          <w:rFonts w:asciiTheme="minorHAnsi" w:hAnsiTheme="minorHAnsi"/>
        </w:rPr>
        <w:t>.</w:t>
      </w:r>
    </w:p>
    <w:p w14:paraId="2A154618" w14:textId="77777777" w:rsidR="00644C3E" w:rsidRPr="00644C3E" w:rsidRDefault="00644C3E" w:rsidP="00644C3E">
      <w:pPr>
        <w:spacing w:before="100" w:beforeAutospacing="1" w:after="120" w:line="360" w:lineRule="auto"/>
        <w:ind w:left="113" w:hanging="113"/>
        <w:rPr>
          <w:rFonts w:asciiTheme="minorHAnsi" w:hAnsiTheme="minorHAnsi"/>
        </w:rPr>
      </w:pPr>
      <w:proofErr w:type="gramStart"/>
      <w:r w:rsidRPr="00644C3E">
        <w:rPr>
          <w:rFonts w:asciiTheme="minorHAnsi" w:hAnsiTheme="minorHAnsi"/>
        </w:rPr>
        <w:t xml:space="preserve">Shaw, I. F., Lunt, N. and Mitchell, F. (2014) </w:t>
      </w:r>
      <w:r w:rsidRPr="00644C3E">
        <w:rPr>
          <w:rFonts w:asciiTheme="minorHAnsi" w:hAnsiTheme="minorHAnsi"/>
          <w:i/>
        </w:rPr>
        <w:t>Practitioner research in social care: a review and recommendations</w:t>
      </w:r>
      <w:r w:rsidRPr="00644C3E">
        <w:rPr>
          <w:rFonts w:asciiTheme="minorHAnsi" w:hAnsiTheme="minorHAnsi"/>
        </w:rPr>
        <w:t>, London: NIHR School for Social Care Research.</w:t>
      </w:r>
      <w:proofErr w:type="gramEnd"/>
      <w:r w:rsidRPr="00644C3E">
        <w:rPr>
          <w:rFonts w:asciiTheme="minorHAnsi" w:hAnsiTheme="minorHAnsi"/>
        </w:rPr>
        <w:t xml:space="preserve"> (Methods Review; no. 18)</w:t>
      </w:r>
    </w:p>
    <w:p w14:paraId="3E5E2332" w14:textId="0D2EE189" w:rsidR="00644C3E" w:rsidRPr="00B4222E" w:rsidRDefault="00644C3E" w:rsidP="00644C3E">
      <w:pPr>
        <w:spacing w:before="100" w:beforeAutospacing="1" w:after="120" w:line="360" w:lineRule="auto"/>
        <w:ind w:left="113" w:hanging="113"/>
        <w:rPr>
          <w:rFonts w:asciiTheme="minorHAnsi" w:hAnsiTheme="minorHAnsi"/>
        </w:rPr>
      </w:pPr>
      <w:r w:rsidRPr="00644C3E">
        <w:rPr>
          <w:rFonts w:asciiTheme="minorHAnsi" w:hAnsiTheme="minorHAnsi"/>
        </w:rPr>
        <w:t xml:space="preserve">Shaw, I. and Lunt, N. (2011) ‘Navigating practitioner research’, </w:t>
      </w:r>
      <w:r w:rsidRPr="00644C3E">
        <w:rPr>
          <w:rFonts w:asciiTheme="minorHAnsi" w:hAnsiTheme="minorHAnsi"/>
          <w:i/>
        </w:rPr>
        <w:t>British Journal of Social Work</w:t>
      </w:r>
      <w:r w:rsidRPr="00644C3E">
        <w:rPr>
          <w:rFonts w:asciiTheme="minorHAnsi" w:hAnsiTheme="minorHAnsi"/>
        </w:rPr>
        <w:t>, 41 (8): 1548-1565.</w:t>
      </w:r>
    </w:p>
    <w:p w14:paraId="2652D0EB" w14:textId="1DBC86FF" w:rsidR="00021D01" w:rsidRPr="00B4222E" w:rsidRDefault="00EA14B1" w:rsidP="00735FB3">
      <w:pPr>
        <w:spacing w:before="100" w:beforeAutospacing="1" w:after="120" w:line="360" w:lineRule="auto"/>
        <w:ind w:left="113" w:hanging="113"/>
        <w:rPr>
          <w:rFonts w:asciiTheme="minorHAnsi" w:hAnsiTheme="minorHAnsi"/>
          <w:color w:val="000000"/>
        </w:rPr>
      </w:pPr>
      <w:r>
        <w:rPr>
          <w:rFonts w:asciiTheme="minorHAnsi" w:hAnsiTheme="minorHAnsi"/>
          <w:color w:val="000000"/>
        </w:rPr>
        <w:t>Slack, K. &amp;</w:t>
      </w:r>
      <w:r w:rsidR="00021D01" w:rsidRPr="00B4222E">
        <w:rPr>
          <w:rFonts w:asciiTheme="minorHAnsi" w:hAnsiTheme="minorHAnsi"/>
          <w:color w:val="000000"/>
        </w:rPr>
        <w:t xml:space="preserve"> Webber, M. (2007) ‘Do we care? Adult mental health professionals’ attitudes towards supporting service users’ children’, </w:t>
      </w:r>
      <w:r w:rsidR="00021D01" w:rsidRPr="00B4222E">
        <w:rPr>
          <w:rFonts w:asciiTheme="minorHAnsi" w:hAnsiTheme="minorHAnsi"/>
          <w:i/>
          <w:color w:val="000000"/>
        </w:rPr>
        <w:t>Child and Family Social Work</w:t>
      </w:r>
      <w:r w:rsidR="00021D01" w:rsidRPr="00B4222E">
        <w:rPr>
          <w:rFonts w:asciiTheme="minorHAnsi" w:hAnsiTheme="minorHAnsi"/>
          <w:color w:val="000000"/>
        </w:rPr>
        <w:t>, 13: 72-79.</w:t>
      </w:r>
    </w:p>
    <w:p w14:paraId="52257E84" w14:textId="77777777" w:rsidR="00021D01" w:rsidRPr="00B4222E" w:rsidRDefault="00021D01" w:rsidP="00735FB3">
      <w:pPr>
        <w:spacing w:before="100" w:beforeAutospacing="1" w:after="120" w:line="360" w:lineRule="auto"/>
        <w:ind w:left="113" w:hanging="113"/>
        <w:rPr>
          <w:rFonts w:asciiTheme="minorHAnsi" w:hAnsiTheme="minorHAnsi"/>
        </w:rPr>
      </w:pPr>
      <w:r w:rsidRPr="00B4222E">
        <w:rPr>
          <w:rFonts w:asciiTheme="minorHAnsi" w:hAnsiTheme="minorHAnsi"/>
        </w:rPr>
        <w:t xml:space="preserve">Sutton, S. (1998) ‘An Acute Medical Admission Unit: is there a Place </w:t>
      </w:r>
      <w:proofErr w:type="gramStart"/>
      <w:r w:rsidRPr="00B4222E">
        <w:rPr>
          <w:rFonts w:asciiTheme="minorHAnsi" w:hAnsiTheme="minorHAnsi"/>
        </w:rPr>
        <w:t>for an</w:t>
      </w:r>
      <w:proofErr w:type="gramEnd"/>
      <w:r w:rsidRPr="00B4222E">
        <w:rPr>
          <w:rFonts w:asciiTheme="minorHAnsi" w:hAnsiTheme="minorHAnsi"/>
        </w:rPr>
        <w:t xml:space="preserve"> Occupational Therapists?’ </w:t>
      </w:r>
      <w:r w:rsidRPr="00B4222E">
        <w:rPr>
          <w:rFonts w:asciiTheme="minorHAnsi" w:hAnsiTheme="minorHAnsi"/>
          <w:i/>
        </w:rPr>
        <w:t>The British Journal of Occupational Therapy</w:t>
      </w:r>
      <w:r w:rsidRPr="00B4222E">
        <w:rPr>
          <w:rFonts w:asciiTheme="minorHAnsi" w:hAnsiTheme="minorHAnsi"/>
        </w:rPr>
        <w:t>, 61 (1): 2-6.</w:t>
      </w:r>
    </w:p>
    <w:p w14:paraId="0373822C" w14:textId="170E7ED2" w:rsidR="00021D01" w:rsidRPr="00B4222E" w:rsidRDefault="00EA14B1" w:rsidP="00735FB3">
      <w:pPr>
        <w:spacing w:before="100" w:beforeAutospacing="1" w:after="120" w:line="360" w:lineRule="auto"/>
        <w:ind w:left="113" w:hanging="113"/>
        <w:rPr>
          <w:rFonts w:asciiTheme="minorHAnsi" w:hAnsiTheme="minorHAnsi"/>
          <w:color w:val="000000"/>
        </w:rPr>
      </w:pPr>
      <w:r>
        <w:rPr>
          <w:rFonts w:asciiTheme="minorHAnsi" w:hAnsiTheme="minorHAnsi"/>
          <w:color w:val="000000"/>
        </w:rPr>
        <w:t>Welch, A. &amp;</w:t>
      </w:r>
      <w:r w:rsidR="00021D01" w:rsidRPr="00B4222E">
        <w:rPr>
          <w:rFonts w:asciiTheme="minorHAnsi" w:hAnsiTheme="minorHAnsi"/>
          <w:color w:val="000000"/>
        </w:rPr>
        <w:t xml:space="preserve"> Dawson, P. (2006) ‘Closing the gap: collaborative learning as a strategy to embed evidence within occupational therapy practice’, </w:t>
      </w:r>
      <w:r w:rsidR="00021D01" w:rsidRPr="00B4222E">
        <w:rPr>
          <w:rFonts w:asciiTheme="minorHAnsi" w:hAnsiTheme="minorHAnsi"/>
          <w:i/>
          <w:color w:val="000000"/>
        </w:rPr>
        <w:t>Journal of Evaluation in Clinical Practice</w:t>
      </w:r>
      <w:r w:rsidR="00021D01" w:rsidRPr="00B4222E">
        <w:rPr>
          <w:rFonts w:asciiTheme="minorHAnsi" w:hAnsiTheme="minorHAnsi"/>
          <w:color w:val="000000"/>
        </w:rPr>
        <w:t>, 12(2): 227-238.</w:t>
      </w:r>
    </w:p>
    <w:p w14:paraId="545A0414" w14:textId="36B4A2B0" w:rsidR="00021D01" w:rsidRPr="00B4222E" w:rsidRDefault="00EA14B1" w:rsidP="00735FB3">
      <w:pPr>
        <w:spacing w:before="100" w:beforeAutospacing="1" w:after="120" w:line="360" w:lineRule="auto"/>
        <w:ind w:left="113" w:hanging="113"/>
        <w:rPr>
          <w:rFonts w:asciiTheme="minorHAnsi" w:hAnsiTheme="minorHAnsi"/>
        </w:rPr>
      </w:pPr>
      <w:r>
        <w:rPr>
          <w:rFonts w:asciiTheme="minorHAnsi" w:hAnsiTheme="minorHAnsi"/>
        </w:rPr>
        <w:t>White, E. &amp;</w:t>
      </w:r>
      <w:r w:rsidR="00021D01" w:rsidRPr="00B4222E">
        <w:rPr>
          <w:rFonts w:asciiTheme="minorHAnsi" w:hAnsiTheme="minorHAnsi"/>
        </w:rPr>
        <w:t xml:space="preserve"> </w:t>
      </w:r>
      <w:proofErr w:type="spellStart"/>
      <w:r w:rsidR="00021D01" w:rsidRPr="00B4222E">
        <w:rPr>
          <w:rFonts w:asciiTheme="minorHAnsi" w:hAnsiTheme="minorHAnsi"/>
        </w:rPr>
        <w:t>Lemmer</w:t>
      </w:r>
      <w:proofErr w:type="spellEnd"/>
      <w:r w:rsidR="00021D01" w:rsidRPr="00B4222E">
        <w:rPr>
          <w:rFonts w:asciiTheme="minorHAnsi" w:hAnsiTheme="minorHAnsi"/>
        </w:rPr>
        <w:t xml:space="preserve">, B. (1998) ‘Effectiveness in Wheelchair Service Provision’, </w:t>
      </w:r>
      <w:proofErr w:type="gramStart"/>
      <w:r w:rsidR="00021D01" w:rsidRPr="00B4222E">
        <w:rPr>
          <w:rFonts w:asciiTheme="minorHAnsi" w:hAnsiTheme="minorHAnsi"/>
          <w:i/>
        </w:rPr>
        <w:t>The</w:t>
      </w:r>
      <w:proofErr w:type="gramEnd"/>
      <w:r w:rsidR="00021D01" w:rsidRPr="00B4222E">
        <w:rPr>
          <w:rFonts w:asciiTheme="minorHAnsi" w:hAnsiTheme="minorHAnsi"/>
          <w:i/>
        </w:rPr>
        <w:t xml:space="preserve"> British Journal of Occupational Therapy</w:t>
      </w:r>
      <w:r w:rsidR="00021D01" w:rsidRPr="00B4222E">
        <w:rPr>
          <w:rFonts w:asciiTheme="minorHAnsi" w:hAnsiTheme="minorHAnsi"/>
        </w:rPr>
        <w:t xml:space="preserve">, 61 (7): 301-305. </w:t>
      </w:r>
    </w:p>
    <w:sectPr w:rsidR="00021D01" w:rsidRPr="00B4222E" w:rsidSect="00885EF4">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2AA8F" w14:textId="77777777" w:rsidR="00C43B1B" w:rsidRDefault="00C43B1B" w:rsidP="00FB01E4">
      <w:r>
        <w:separator/>
      </w:r>
    </w:p>
  </w:endnote>
  <w:endnote w:type="continuationSeparator" w:id="0">
    <w:p w14:paraId="15902E7A" w14:textId="77777777" w:rsidR="00C43B1B" w:rsidRDefault="00C43B1B" w:rsidP="00FB01E4">
      <w:r>
        <w:continuationSeparator/>
      </w:r>
    </w:p>
  </w:endnote>
  <w:endnote w:id="1">
    <w:p w14:paraId="3452A8F4" w14:textId="4AD21054" w:rsidR="00C43B1B" w:rsidRDefault="00C43B1B" w:rsidP="00932FE2">
      <w:pPr>
        <w:pStyle w:val="EndnoteText"/>
      </w:pPr>
      <w:r>
        <w:rPr>
          <w:rStyle w:val="EndnoteReference"/>
        </w:rPr>
        <w:endnoteRef/>
      </w:r>
      <w:r>
        <w:t xml:space="preserve"> Growing Research in Practice integrated research support, peer support, teamwork, mentoring and partnership into a funded programme that set a framework and timeline to achieve these outcomes. Groups of practitioners were required to conceptualize, design, undertake and disseminate their own research and projects drew support from methods experts, mentors and peers, thus allowing groups to benchmark progress. Six </w:t>
      </w:r>
      <w:proofErr w:type="gramStart"/>
      <w:r>
        <w:t>workshops,</w:t>
      </w:r>
      <w:proofErr w:type="gramEnd"/>
      <w:r>
        <w:t xml:space="preserve"> were spread over a 12 month period and mentors met regularly with teams in the workplace and e-mail was used to communicate throughout. </w:t>
      </w:r>
    </w:p>
    <w:p w14:paraId="62285D0C" w14:textId="77777777" w:rsidR="00C43B1B" w:rsidRDefault="00C43B1B" w:rsidP="00932FE2">
      <w:pPr>
        <w:pStyle w:val="EndnoteText"/>
      </w:pPr>
    </w:p>
    <w:p w14:paraId="5BE1F5F3" w14:textId="040F9D40" w:rsidR="00C43B1B" w:rsidRDefault="00C43B1B" w:rsidP="00932FE2">
      <w:pPr>
        <w:pStyle w:val="EndnoteText"/>
      </w:pPr>
      <w:r>
        <w:t>The practitioner initiative of CHILDREN 1</w:t>
      </w:r>
      <w:r w:rsidRPr="001A5F79">
        <w:rPr>
          <w:vertAlign w:val="superscript"/>
        </w:rPr>
        <w:t>st</w:t>
      </w:r>
      <w:r>
        <w:t xml:space="preserve"> – a large voluntary agency in Scotland in Scotland – and the Glasgow School of Social Work, aimed at supporting individual practitioners to develop and undertake their own small-scale research projects.   The Project sought impact at three levels – individual, team, and organisation – and two cohorts of practitioners were recruited, in 2006 and 2007.  Each cohort took one to two years to complete projects. The entire fieldwork, analysis and write-up for each individual study were conducted by the individual practitioners.   The provision of training consisted of a series of structured, face-to-face training days with ongoing one-to-one support provided by an academic tutor via contact by telephone and e-mail throughout.</w:t>
      </w:r>
    </w:p>
    <w:p w14:paraId="2F0E8F1F" w14:textId="77777777" w:rsidR="00C43B1B" w:rsidRDefault="00C43B1B" w:rsidP="00932FE2">
      <w:pPr>
        <w:pStyle w:val="EndnoteText"/>
      </w:pPr>
    </w:p>
  </w:endnote>
  <w:endnote w:id="2">
    <w:p w14:paraId="49ACC1F4" w14:textId="1FB420BE" w:rsidR="00C43B1B" w:rsidRDefault="00C43B1B" w:rsidP="003945E6">
      <w:pPr>
        <w:pStyle w:val="EndnoteText"/>
      </w:pPr>
      <w:r>
        <w:rPr>
          <w:rStyle w:val="EndnoteReference"/>
        </w:rPr>
        <w:endnoteRef/>
      </w:r>
      <w:r>
        <w:t xml:space="preserve"> All participant names are pseudonyms. Further details of the research approach can be found in Appendix 1 of Lunt </w:t>
      </w:r>
      <w:r w:rsidRPr="003945E6">
        <w:rPr>
          <w:i/>
        </w:rPr>
        <w:t>et al</w:t>
      </w:r>
      <w:r>
        <w:t xml:space="preserve">., 2009.  The study adhered to principles of confidentiality, anonymity and informed consent.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71833"/>
      <w:docPartObj>
        <w:docPartGallery w:val="Page Numbers (Bottom of Page)"/>
        <w:docPartUnique/>
      </w:docPartObj>
    </w:sdtPr>
    <w:sdtEndPr>
      <w:rPr>
        <w:noProof/>
      </w:rPr>
    </w:sdtEndPr>
    <w:sdtContent>
      <w:p w14:paraId="681C2B66" w14:textId="77777777" w:rsidR="00C43B1B" w:rsidRDefault="00C43B1B">
        <w:pPr>
          <w:pStyle w:val="Footer"/>
          <w:jc w:val="right"/>
        </w:pPr>
        <w:r>
          <w:fldChar w:fldCharType="begin"/>
        </w:r>
        <w:r>
          <w:instrText xml:space="preserve"> PAGE   \* MERGEFORMAT </w:instrText>
        </w:r>
        <w:r>
          <w:fldChar w:fldCharType="separate"/>
        </w:r>
        <w:r w:rsidR="00B775B2">
          <w:rPr>
            <w:noProof/>
          </w:rPr>
          <w:t>1</w:t>
        </w:r>
        <w:r>
          <w:rPr>
            <w:noProof/>
          </w:rPr>
          <w:fldChar w:fldCharType="end"/>
        </w:r>
      </w:p>
    </w:sdtContent>
  </w:sdt>
  <w:p w14:paraId="1BB9C3EB" w14:textId="77777777" w:rsidR="00C43B1B" w:rsidRDefault="00C43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71219" w14:textId="77777777" w:rsidR="00C43B1B" w:rsidRDefault="00C43B1B" w:rsidP="00FB01E4">
      <w:r>
        <w:separator/>
      </w:r>
    </w:p>
  </w:footnote>
  <w:footnote w:type="continuationSeparator" w:id="0">
    <w:p w14:paraId="0AAB07CD" w14:textId="77777777" w:rsidR="00C43B1B" w:rsidRDefault="00C43B1B" w:rsidP="00FB01E4">
      <w:r>
        <w:continuationSeparator/>
      </w:r>
    </w:p>
  </w:footnote>
  <w:footnote w:id="1">
    <w:p w14:paraId="310049FC" w14:textId="77777777" w:rsidR="00C43B1B" w:rsidRDefault="00C43B1B" w:rsidP="002A078C">
      <w:pPr>
        <w:pStyle w:val="FootnoteText"/>
      </w:pPr>
      <w:r>
        <w:rPr>
          <w:rStyle w:val="FootnoteReference"/>
          <w:rFonts w:eastAsiaTheme="majorEastAsia"/>
        </w:rPr>
        <w:footnoteRef/>
      </w:r>
      <w:r>
        <w:t xml:space="preserve"> A number of studies addressed more than one problem. The percentage figures are the same as the numbers.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5BD"/>
    <w:multiLevelType w:val="hybridMultilevel"/>
    <w:tmpl w:val="12828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466B7"/>
    <w:multiLevelType w:val="hybridMultilevel"/>
    <w:tmpl w:val="6E702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B30BE4"/>
    <w:multiLevelType w:val="hybridMultilevel"/>
    <w:tmpl w:val="C764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93FA4"/>
    <w:multiLevelType w:val="multilevel"/>
    <w:tmpl w:val="769C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C1AE5"/>
    <w:multiLevelType w:val="hybridMultilevel"/>
    <w:tmpl w:val="D382C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88107C"/>
    <w:multiLevelType w:val="hybridMultilevel"/>
    <w:tmpl w:val="415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AF7FE5"/>
    <w:multiLevelType w:val="hybridMultilevel"/>
    <w:tmpl w:val="4D1A6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447980"/>
    <w:multiLevelType w:val="hybridMultilevel"/>
    <w:tmpl w:val="4D1A6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7066BE"/>
    <w:multiLevelType w:val="hybridMultilevel"/>
    <w:tmpl w:val="A95CC674"/>
    <w:lvl w:ilvl="0" w:tplc="130277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0128D3"/>
    <w:multiLevelType w:val="hybridMultilevel"/>
    <w:tmpl w:val="8020AEB6"/>
    <w:lvl w:ilvl="0" w:tplc="130277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A80895"/>
    <w:multiLevelType w:val="hybridMultilevel"/>
    <w:tmpl w:val="C2AA887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83E1309"/>
    <w:multiLevelType w:val="hybridMultilevel"/>
    <w:tmpl w:val="D7F6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E76F92"/>
    <w:multiLevelType w:val="hybridMultilevel"/>
    <w:tmpl w:val="1796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FD1DC0"/>
    <w:multiLevelType w:val="hybridMultilevel"/>
    <w:tmpl w:val="116C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9D22A1"/>
    <w:multiLevelType w:val="hybridMultilevel"/>
    <w:tmpl w:val="AAAE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4235833"/>
    <w:multiLevelType w:val="hybridMultilevel"/>
    <w:tmpl w:val="4D1A6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1A54B8"/>
    <w:multiLevelType w:val="hybridMultilevel"/>
    <w:tmpl w:val="DE10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FD6FB2"/>
    <w:multiLevelType w:val="hybridMultilevel"/>
    <w:tmpl w:val="8B52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3"/>
  </w:num>
  <w:num w:numId="5">
    <w:abstractNumId w:val="2"/>
  </w:num>
  <w:num w:numId="6">
    <w:abstractNumId w:val="14"/>
  </w:num>
  <w:num w:numId="7">
    <w:abstractNumId w:val="10"/>
  </w:num>
  <w:num w:numId="8">
    <w:abstractNumId w:val="4"/>
  </w:num>
  <w:num w:numId="9">
    <w:abstractNumId w:val="0"/>
  </w:num>
  <w:num w:numId="10">
    <w:abstractNumId w:val="5"/>
  </w:num>
  <w:num w:numId="11">
    <w:abstractNumId w:val="7"/>
  </w:num>
  <w:num w:numId="12">
    <w:abstractNumId w:val="1"/>
  </w:num>
  <w:num w:numId="13">
    <w:abstractNumId w:val="15"/>
  </w:num>
  <w:num w:numId="14">
    <w:abstractNumId w:val="13"/>
  </w:num>
  <w:num w:numId="15">
    <w:abstractNumId w:val="6"/>
  </w:num>
  <w:num w:numId="16">
    <w:abstractNumId w:val="11"/>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78"/>
    <w:rsid w:val="00005BB0"/>
    <w:rsid w:val="00021D01"/>
    <w:rsid w:val="00030539"/>
    <w:rsid w:val="00036E65"/>
    <w:rsid w:val="00075BEE"/>
    <w:rsid w:val="00080F47"/>
    <w:rsid w:val="0008158E"/>
    <w:rsid w:val="00081B1A"/>
    <w:rsid w:val="000858A4"/>
    <w:rsid w:val="0009176B"/>
    <w:rsid w:val="000B0917"/>
    <w:rsid w:val="000B1044"/>
    <w:rsid w:val="000B4151"/>
    <w:rsid w:val="000C7DC2"/>
    <w:rsid w:val="000E2E55"/>
    <w:rsid w:val="000E58AC"/>
    <w:rsid w:val="000F3FEA"/>
    <w:rsid w:val="00160A9A"/>
    <w:rsid w:val="00181DA6"/>
    <w:rsid w:val="001A5F79"/>
    <w:rsid w:val="001B1D63"/>
    <w:rsid w:val="001D5F75"/>
    <w:rsid w:val="001D77F0"/>
    <w:rsid w:val="00230F2D"/>
    <w:rsid w:val="002343B7"/>
    <w:rsid w:val="00247F93"/>
    <w:rsid w:val="00254FC0"/>
    <w:rsid w:val="00261794"/>
    <w:rsid w:val="002A078C"/>
    <w:rsid w:val="002A303E"/>
    <w:rsid w:val="002D61A4"/>
    <w:rsid w:val="002F3C3A"/>
    <w:rsid w:val="00312487"/>
    <w:rsid w:val="00327E8B"/>
    <w:rsid w:val="00330F2A"/>
    <w:rsid w:val="0033154F"/>
    <w:rsid w:val="00355C80"/>
    <w:rsid w:val="003945E6"/>
    <w:rsid w:val="003A3BC9"/>
    <w:rsid w:val="003B38D7"/>
    <w:rsid w:val="003D1E19"/>
    <w:rsid w:val="003F3F8A"/>
    <w:rsid w:val="00400D62"/>
    <w:rsid w:val="00420C05"/>
    <w:rsid w:val="00426568"/>
    <w:rsid w:val="00426796"/>
    <w:rsid w:val="004268BE"/>
    <w:rsid w:val="00434153"/>
    <w:rsid w:val="004440F8"/>
    <w:rsid w:val="0045183C"/>
    <w:rsid w:val="00461AAB"/>
    <w:rsid w:val="00462C95"/>
    <w:rsid w:val="00467665"/>
    <w:rsid w:val="00484806"/>
    <w:rsid w:val="00492F72"/>
    <w:rsid w:val="004A5F6F"/>
    <w:rsid w:val="004B4846"/>
    <w:rsid w:val="004C7A1E"/>
    <w:rsid w:val="004D5FFB"/>
    <w:rsid w:val="004E199D"/>
    <w:rsid w:val="004F43D1"/>
    <w:rsid w:val="005310EA"/>
    <w:rsid w:val="00547B62"/>
    <w:rsid w:val="0056787D"/>
    <w:rsid w:val="00570FB7"/>
    <w:rsid w:val="005736F8"/>
    <w:rsid w:val="005B0A7F"/>
    <w:rsid w:val="005B4226"/>
    <w:rsid w:val="005B4FB5"/>
    <w:rsid w:val="005F4D45"/>
    <w:rsid w:val="00622F80"/>
    <w:rsid w:val="006356EF"/>
    <w:rsid w:val="006447F6"/>
    <w:rsid w:val="00644C3E"/>
    <w:rsid w:val="006450A5"/>
    <w:rsid w:val="00652449"/>
    <w:rsid w:val="00663AED"/>
    <w:rsid w:val="006B14F3"/>
    <w:rsid w:val="006B1DA4"/>
    <w:rsid w:val="00725048"/>
    <w:rsid w:val="00735FB3"/>
    <w:rsid w:val="0073670D"/>
    <w:rsid w:val="00744522"/>
    <w:rsid w:val="00795224"/>
    <w:rsid w:val="007B3332"/>
    <w:rsid w:val="007B73F2"/>
    <w:rsid w:val="00813A0C"/>
    <w:rsid w:val="00821F38"/>
    <w:rsid w:val="0086272D"/>
    <w:rsid w:val="00866892"/>
    <w:rsid w:val="00877E89"/>
    <w:rsid w:val="00885EF4"/>
    <w:rsid w:val="00897E62"/>
    <w:rsid w:val="008C7CC1"/>
    <w:rsid w:val="008D36A8"/>
    <w:rsid w:val="008E56F3"/>
    <w:rsid w:val="008F35CB"/>
    <w:rsid w:val="008F38B7"/>
    <w:rsid w:val="009021E5"/>
    <w:rsid w:val="00910647"/>
    <w:rsid w:val="009110F2"/>
    <w:rsid w:val="00930D05"/>
    <w:rsid w:val="00932FE2"/>
    <w:rsid w:val="00936F92"/>
    <w:rsid w:val="00956197"/>
    <w:rsid w:val="0096748B"/>
    <w:rsid w:val="00980A3D"/>
    <w:rsid w:val="0098193B"/>
    <w:rsid w:val="009828E7"/>
    <w:rsid w:val="009B562A"/>
    <w:rsid w:val="009D4EF3"/>
    <w:rsid w:val="009E4840"/>
    <w:rsid w:val="009F1B0F"/>
    <w:rsid w:val="009F2714"/>
    <w:rsid w:val="00A06E58"/>
    <w:rsid w:val="00A14709"/>
    <w:rsid w:val="00A27281"/>
    <w:rsid w:val="00A77DE9"/>
    <w:rsid w:val="00AB777A"/>
    <w:rsid w:val="00AD1ABE"/>
    <w:rsid w:val="00AD3B9C"/>
    <w:rsid w:val="00AE11DC"/>
    <w:rsid w:val="00AE2729"/>
    <w:rsid w:val="00AE76EE"/>
    <w:rsid w:val="00AF3425"/>
    <w:rsid w:val="00B40E51"/>
    <w:rsid w:val="00B4222E"/>
    <w:rsid w:val="00B42578"/>
    <w:rsid w:val="00B4262A"/>
    <w:rsid w:val="00B44CB7"/>
    <w:rsid w:val="00B73591"/>
    <w:rsid w:val="00B775B2"/>
    <w:rsid w:val="00B94536"/>
    <w:rsid w:val="00BA25B2"/>
    <w:rsid w:val="00BB41CA"/>
    <w:rsid w:val="00BC46E2"/>
    <w:rsid w:val="00BE00EB"/>
    <w:rsid w:val="00C03B6A"/>
    <w:rsid w:val="00C1078F"/>
    <w:rsid w:val="00C116D1"/>
    <w:rsid w:val="00C12166"/>
    <w:rsid w:val="00C21DC2"/>
    <w:rsid w:val="00C265FE"/>
    <w:rsid w:val="00C30EB5"/>
    <w:rsid w:val="00C40EC4"/>
    <w:rsid w:val="00C42FE9"/>
    <w:rsid w:val="00C43B1B"/>
    <w:rsid w:val="00C5067D"/>
    <w:rsid w:val="00C577E8"/>
    <w:rsid w:val="00C62776"/>
    <w:rsid w:val="00C76CA0"/>
    <w:rsid w:val="00C77672"/>
    <w:rsid w:val="00C807B3"/>
    <w:rsid w:val="00C81B5C"/>
    <w:rsid w:val="00C9011D"/>
    <w:rsid w:val="00C95E3B"/>
    <w:rsid w:val="00CA08FA"/>
    <w:rsid w:val="00CC699D"/>
    <w:rsid w:val="00CC7078"/>
    <w:rsid w:val="00CD4113"/>
    <w:rsid w:val="00CF1521"/>
    <w:rsid w:val="00D126FB"/>
    <w:rsid w:val="00D14828"/>
    <w:rsid w:val="00D17A35"/>
    <w:rsid w:val="00D25E1F"/>
    <w:rsid w:val="00D32A8C"/>
    <w:rsid w:val="00D5195C"/>
    <w:rsid w:val="00D823CC"/>
    <w:rsid w:val="00D90D92"/>
    <w:rsid w:val="00D93E21"/>
    <w:rsid w:val="00DB02A1"/>
    <w:rsid w:val="00DB7EB1"/>
    <w:rsid w:val="00DC73F3"/>
    <w:rsid w:val="00DD2BA3"/>
    <w:rsid w:val="00DF4BB1"/>
    <w:rsid w:val="00E10F6E"/>
    <w:rsid w:val="00E16721"/>
    <w:rsid w:val="00E6183A"/>
    <w:rsid w:val="00E64CFC"/>
    <w:rsid w:val="00E6694E"/>
    <w:rsid w:val="00E66C07"/>
    <w:rsid w:val="00E7756A"/>
    <w:rsid w:val="00EA14B1"/>
    <w:rsid w:val="00EA56CC"/>
    <w:rsid w:val="00EB310A"/>
    <w:rsid w:val="00F03535"/>
    <w:rsid w:val="00F10537"/>
    <w:rsid w:val="00F35DA9"/>
    <w:rsid w:val="00F37E56"/>
    <w:rsid w:val="00F422F6"/>
    <w:rsid w:val="00F76181"/>
    <w:rsid w:val="00F927A0"/>
    <w:rsid w:val="00F951B3"/>
    <w:rsid w:val="00FA339B"/>
    <w:rsid w:val="00FA497F"/>
    <w:rsid w:val="00FB01E4"/>
    <w:rsid w:val="00FC2968"/>
    <w:rsid w:val="00FD26CA"/>
    <w:rsid w:val="00FD428E"/>
    <w:rsid w:val="00FF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C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78"/>
    <w:rPr>
      <w:sz w:val="24"/>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78"/>
    <w:pPr>
      <w:ind w:left="720"/>
      <w:contextualSpacing/>
    </w:pPr>
  </w:style>
  <w:style w:type="character" w:customStyle="1" w:styleId="apple-converted-space">
    <w:name w:val="apple-converted-space"/>
    <w:basedOn w:val="DefaultParagraphFont"/>
    <w:rsid w:val="00CC7078"/>
  </w:style>
  <w:style w:type="table" w:styleId="TableGrid">
    <w:name w:val="Table Grid"/>
    <w:basedOn w:val="TableNormal"/>
    <w:uiPriority w:val="59"/>
    <w:rsid w:val="00897E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B01E4"/>
    <w:pPr>
      <w:tabs>
        <w:tab w:val="center" w:pos="4513"/>
        <w:tab w:val="right" w:pos="9026"/>
      </w:tabs>
    </w:pPr>
  </w:style>
  <w:style w:type="character" w:customStyle="1" w:styleId="HeaderChar">
    <w:name w:val="Header Char"/>
    <w:basedOn w:val="DefaultParagraphFont"/>
    <w:link w:val="Header"/>
    <w:rsid w:val="00FB01E4"/>
    <w:rPr>
      <w:sz w:val="24"/>
      <w:szCs w:val="24"/>
      <w:lang w:eastAsia="en-US" w:bidi="he-IL"/>
    </w:rPr>
  </w:style>
  <w:style w:type="paragraph" w:styleId="Footer">
    <w:name w:val="footer"/>
    <w:basedOn w:val="Normal"/>
    <w:link w:val="FooterChar"/>
    <w:uiPriority w:val="99"/>
    <w:rsid w:val="00FB01E4"/>
    <w:pPr>
      <w:tabs>
        <w:tab w:val="center" w:pos="4513"/>
        <w:tab w:val="right" w:pos="9026"/>
      </w:tabs>
    </w:pPr>
  </w:style>
  <w:style w:type="character" w:customStyle="1" w:styleId="FooterChar">
    <w:name w:val="Footer Char"/>
    <w:basedOn w:val="DefaultParagraphFont"/>
    <w:link w:val="Footer"/>
    <w:uiPriority w:val="99"/>
    <w:rsid w:val="00FB01E4"/>
    <w:rPr>
      <w:sz w:val="24"/>
      <w:szCs w:val="24"/>
      <w:lang w:eastAsia="en-US" w:bidi="he-IL"/>
    </w:rPr>
  </w:style>
  <w:style w:type="character" w:styleId="CommentReference">
    <w:name w:val="annotation reference"/>
    <w:basedOn w:val="DefaultParagraphFont"/>
    <w:rsid w:val="00547B62"/>
    <w:rPr>
      <w:sz w:val="16"/>
      <w:szCs w:val="16"/>
    </w:rPr>
  </w:style>
  <w:style w:type="paragraph" w:styleId="CommentText">
    <w:name w:val="annotation text"/>
    <w:basedOn w:val="Normal"/>
    <w:link w:val="CommentTextChar"/>
    <w:rsid w:val="00547B62"/>
    <w:rPr>
      <w:sz w:val="20"/>
      <w:szCs w:val="20"/>
    </w:rPr>
  </w:style>
  <w:style w:type="character" w:customStyle="1" w:styleId="CommentTextChar">
    <w:name w:val="Comment Text Char"/>
    <w:basedOn w:val="DefaultParagraphFont"/>
    <w:link w:val="CommentText"/>
    <w:rsid w:val="00547B62"/>
    <w:rPr>
      <w:lang w:eastAsia="en-US" w:bidi="he-IL"/>
    </w:rPr>
  </w:style>
  <w:style w:type="paragraph" w:styleId="CommentSubject">
    <w:name w:val="annotation subject"/>
    <w:basedOn w:val="CommentText"/>
    <w:next w:val="CommentText"/>
    <w:link w:val="CommentSubjectChar"/>
    <w:rsid w:val="00547B62"/>
    <w:rPr>
      <w:b/>
      <w:bCs/>
    </w:rPr>
  </w:style>
  <w:style w:type="character" w:customStyle="1" w:styleId="CommentSubjectChar">
    <w:name w:val="Comment Subject Char"/>
    <w:basedOn w:val="CommentTextChar"/>
    <w:link w:val="CommentSubject"/>
    <w:rsid w:val="00547B62"/>
    <w:rPr>
      <w:b/>
      <w:bCs/>
      <w:lang w:eastAsia="en-US" w:bidi="he-IL"/>
    </w:rPr>
  </w:style>
  <w:style w:type="paragraph" w:styleId="BalloonText">
    <w:name w:val="Balloon Text"/>
    <w:basedOn w:val="Normal"/>
    <w:link w:val="BalloonTextChar"/>
    <w:rsid w:val="00547B62"/>
    <w:rPr>
      <w:rFonts w:ascii="Tahoma" w:hAnsi="Tahoma" w:cs="Tahoma"/>
      <w:sz w:val="16"/>
      <w:szCs w:val="16"/>
    </w:rPr>
  </w:style>
  <w:style w:type="character" w:customStyle="1" w:styleId="BalloonTextChar">
    <w:name w:val="Balloon Text Char"/>
    <w:basedOn w:val="DefaultParagraphFont"/>
    <w:link w:val="BalloonText"/>
    <w:rsid w:val="00547B62"/>
    <w:rPr>
      <w:rFonts w:ascii="Tahoma" w:hAnsi="Tahoma" w:cs="Tahoma"/>
      <w:sz w:val="16"/>
      <w:szCs w:val="16"/>
      <w:lang w:eastAsia="en-US" w:bidi="he-IL"/>
    </w:rPr>
  </w:style>
  <w:style w:type="character" w:styleId="Emphasis">
    <w:name w:val="Emphasis"/>
    <w:basedOn w:val="DefaultParagraphFont"/>
    <w:uiPriority w:val="20"/>
    <w:qFormat/>
    <w:rsid w:val="00021D01"/>
    <w:rPr>
      <w:i/>
      <w:iCs/>
    </w:rPr>
  </w:style>
  <w:style w:type="character" w:customStyle="1" w:styleId="st">
    <w:name w:val="st"/>
    <w:basedOn w:val="DefaultParagraphFont"/>
    <w:rsid w:val="00021D01"/>
  </w:style>
  <w:style w:type="paragraph" w:customStyle="1" w:styleId="pagecontents">
    <w:name w:val="pagecontents"/>
    <w:basedOn w:val="Normal"/>
    <w:rsid w:val="00021D01"/>
    <w:pPr>
      <w:spacing w:before="100" w:beforeAutospacing="1" w:after="100" w:afterAutospacing="1"/>
    </w:pPr>
    <w:rPr>
      <w:rFonts w:ascii="Verdana" w:hAnsi="Verdana"/>
      <w:color w:val="000000"/>
      <w:sz w:val="17"/>
      <w:szCs w:val="17"/>
      <w:lang w:val="en-US" w:bidi="ar-SA"/>
    </w:rPr>
  </w:style>
  <w:style w:type="paragraph" w:styleId="EndnoteText">
    <w:name w:val="endnote text"/>
    <w:basedOn w:val="Normal"/>
    <w:link w:val="EndnoteTextChar"/>
    <w:semiHidden/>
    <w:unhideWhenUsed/>
    <w:rsid w:val="00932FE2"/>
    <w:rPr>
      <w:sz w:val="20"/>
      <w:szCs w:val="20"/>
    </w:rPr>
  </w:style>
  <w:style w:type="character" w:customStyle="1" w:styleId="EndnoteTextChar">
    <w:name w:val="Endnote Text Char"/>
    <w:basedOn w:val="DefaultParagraphFont"/>
    <w:link w:val="EndnoteText"/>
    <w:semiHidden/>
    <w:rsid w:val="00932FE2"/>
    <w:rPr>
      <w:lang w:eastAsia="en-US" w:bidi="he-IL"/>
    </w:rPr>
  </w:style>
  <w:style w:type="character" w:styleId="EndnoteReference">
    <w:name w:val="endnote reference"/>
    <w:basedOn w:val="DefaultParagraphFont"/>
    <w:semiHidden/>
    <w:unhideWhenUsed/>
    <w:rsid w:val="00932FE2"/>
    <w:rPr>
      <w:vertAlign w:val="superscript"/>
    </w:rPr>
  </w:style>
  <w:style w:type="character" w:styleId="Hyperlink">
    <w:name w:val="Hyperlink"/>
    <w:basedOn w:val="DefaultParagraphFont"/>
    <w:rsid w:val="0008158E"/>
    <w:rPr>
      <w:color w:val="0000FF" w:themeColor="hyperlink"/>
      <w:u w:val="single"/>
    </w:rPr>
  </w:style>
  <w:style w:type="table" w:customStyle="1" w:styleId="TableGrid1">
    <w:name w:val="Table Grid1"/>
    <w:basedOn w:val="TableNormal"/>
    <w:next w:val="TableGrid"/>
    <w:uiPriority w:val="59"/>
    <w:rsid w:val="002A078C"/>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A078C"/>
    <w:rPr>
      <w:sz w:val="20"/>
      <w:szCs w:val="20"/>
    </w:rPr>
  </w:style>
  <w:style w:type="character" w:customStyle="1" w:styleId="FootnoteTextChar">
    <w:name w:val="Footnote Text Char"/>
    <w:basedOn w:val="DefaultParagraphFont"/>
    <w:link w:val="FootnoteText"/>
    <w:rsid w:val="002A078C"/>
    <w:rPr>
      <w:lang w:eastAsia="en-US" w:bidi="he-IL"/>
    </w:rPr>
  </w:style>
  <w:style w:type="character" w:styleId="FootnoteReference">
    <w:name w:val="footnote reference"/>
    <w:basedOn w:val="DefaultParagraphFont"/>
    <w:uiPriority w:val="99"/>
    <w:rsid w:val="002A07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078"/>
    <w:rPr>
      <w:sz w:val="24"/>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78"/>
    <w:pPr>
      <w:ind w:left="720"/>
      <w:contextualSpacing/>
    </w:pPr>
  </w:style>
  <w:style w:type="character" w:customStyle="1" w:styleId="apple-converted-space">
    <w:name w:val="apple-converted-space"/>
    <w:basedOn w:val="DefaultParagraphFont"/>
    <w:rsid w:val="00CC7078"/>
  </w:style>
  <w:style w:type="table" w:styleId="TableGrid">
    <w:name w:val="Table Grid"/>
    <w:basedOn w:val="TableNormal"/>
    <w:uiPriority w:val="59"/>
    <w:rsid w:val="00897E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B01E4"/>
    <w:pPr>
      <w:tabs>
        <w:tab w:val="center" w:pos="4513"/>
        <w:tab w:val="right" w:pos="9026"/>
      </w:tabs>
    </w:pPr>
  </w:style>
  <w:style w:type="character" w:customStyle="1" w:styleId="HeaderChar">
    <w:name w:val="Header Char"/>
    <w:basedOn w:val="DefaultParagraphFont"/>
    <w:link w:val="Header"/>
    <w:rsid w:val="00FB01E4"/>
    <w:rPr>
      <w:sz w:val="24"/>
      <w:szCs w:val="24"/>
      <w:lang w:eastAsia="en-US" w:bidi="he-IL"/>
    </w:rPr>
  </w:style>
  <w:style w:type="paragraph" w:styleId="Footer">
    <w:name w:val="footer"/>
    <w:basedOn w:val="Normal"/>
    <w:link w:val="FooterChar"/>
    <w:uiPriority w:val="99"/>
    <w:rsid w:val="00FB01E4"/>
    <w:pPr>
      <w:tabs>
        <w:tab w:val="center" w:pos="4513"/>
        <w:tab w:val="right" w:pos="9026"/>
      </w:tabs>
    </w:pPr>
  </w:style>
  <w:style w:type="character" w:customStyle="1" w:styleId="FooterChar">
    <w:name w:val="Footer Char"/>
    <w:basedOn w:val="DefaultParagraphFont"/>
    <w:link w:val="Footer"/>
    <w:uiPriority w:val="99"/>
    <w:rsid w:val="00FB01E4"/>
    <w:rPr>
      <w:sz w:val="24"/>
      <w:szCs w:val="24"/>
      <w:lang w:eastAsia="en-US" w:bidi="he-IL"/>
    </w:rPr>
  </w:style>
  <w:style w:type="character" w:styleId="CommentReference">
    <w:name w:val="annotation reference"/>
    <w:basedOn w:val="DefaultParagraphFont"/>
    <w:rsid w:val="00547B62"/>
    <w:rPr>
      <w:sz w:val="16"/>
      <w:szCs w:val="16"/>
    </w:rPr>
  </w:style>
  <w:style w:type="paragraph" w:styleId="CommentText">
    <w:name w:val="annotation text"/>
    <w:basedOn w:val="Normal"/>
    <w:link w:val="CommentTextChar"/>
    <w:rsid w:val="00547B62"/>
    <w:rPr>
      <w:sz w:val="20"/>
      <w:szCs w:val="20"/>
    </w:rPr>
  </w:style>
  <w:style w:type="character" w:customStyle="1" w:styleId="CommentTextChar">
    <w:name w:val="Comment Text Char"/>
    <w:basedOn w:val="DefaultParagraphFont"/>
    <w:link w:val="CommentText"/>
    <w:rsid w:val="00547B62"/>
    <w:rPr>
      <w:lang w:eastAsia="en-US" w:bidi="he-IL"/>
    </w:rPr>
  </w:style>
  <w:style w:type="paragraph" w:styleId="CommentSubject">
    <w:name w:val="annotation subject"/>
    <w:basedOn w:val="CommentText"/>
    <w:next w:val="CommentText"/>
    <w:link w:val="CommentSubjectChar"/>
    <w:rsid w:val="00547B62"/>
    <w:rPr>
      <w:b/>
      <w:bCs/>
    </w:rPr>
  </w:style>
  <w:style w:type="character" w:customStyle="1" w:styleId="CommentSubjectChar">
    <w:name w:val="Comment Subject Char"/>
    <w:basedOn w:val="CommentTextChar"/>
    <w:link w:val="CommentSubject"/>
    <w:rsid w:val="00547B62"/>
    <w:rPr>
      <w:b/>
      <w:bCs/>
      <w:lang w:eastAsia="en-US" w:bidi="he-IL"/>
    </w:rPr>
  </w:style>
  <w:style w:type="paragraph" w:styleId="BalloonText">
    <w:name w:val="Balloon Text"/>
    <w:basedOn w:val="Normal"/>
    <w:link w:val="BalloonTextChar"/>
    <w:rsid w:val="00547B62"/>
    <w:rPr>
      <w:rFonts w:ascii="Tahoma" w:hAnsi="Tahoma" w:cs="Tahoma"/>
      <w:sz w:val="16"/>
      <w:szCs w:val="16"/>
    </w:rPr>
  </w:style>
  <w:style w:type="character" w:customStyle="1" w:styleId="BalloonTextChar">
    <w:name w:val="Balloon Text Char"/>
    <w:basedOn w:val="DefaultParagraphFont"/>
    <w:link w:val="BalloonText"/>
    <w:rsid w:val="00547B62"/>
    <w:rPr>
      <w:rFonts w:ascii="Tahoma" w:hAnsi="Tahoma" w:cs="Tahoma"/>
      <w:sz w:val="16"/>
      <w:szCs w:val="16"/>
      <w:lang w:eastAsia="en-US" w:bidi="he-IL"/>
    </w:rPr>
  </w:style>
  <w:style w:type="character" w:styleId="Emphasis">
    <w:name w:val="Emphasis"/>
    <w:basedOn w:val="DefaultParagraphFont"/>
    <w:uiPriority w:val="20"/>
    <w:qFormat/>
    <w:rsid w:val="00021D01"/>
    <w:rPr>
      <w:i/>
      <w:iCs/>
    </w:rPr>
  </w:style>
  <w:style w:type="character" w:customStyle="1" w:styleId="st">
    <w:name w:val="st"/>
    <w:basedOn w:val="DefaultParagraphFont"/>
    <w:rsid w:val="00021D01"/>
  </w:style>
  <w:style w:type="paragraph" w:customStyle="1" w:styleId="pagecontents">
    <w:name w:val="pagecontents"/>
    <w:basedOn w:val="Normal"/>
    <w:rsid w:val="00021D01"/>
    <w:pPr>
      <w:spacing w:before="100" w:beforeAutospacing="1" w:after="100" w:afterAutospacing="1"/>
    </w:pPr>
    <w:rPr>
      <w:rFonts w:ascii="Verdana" w:hAnsi="Verdana"/>
      <w:color w:val="000000"/>
      <w:sz w:val="17"/>
      <w:szCs w:val="17"/>
      <w:lang w:val="en-US" w:bidi="ar-SA"/>
    </w:rPr>
  </w:style>
  <w:style w:type="paragraph" w:styleId="EndnoteText">
    <w:name w:val="endnote text"/>
    <w:basedOn w:val="Normal"/>
    <w:link w:val="EndnoteTextChar"/>
    <w:semiHidden/>
    <w:unhideWhenUsed/>
    <w:rsid w:val="00932FE2"/>
    <w:rPr>
      <w:sz w:val="20"/>
      <w:szCs w:val="20"/>
    </w:rPr>
  </w:style>
  <w:style w:type="character" w:customStyle="1" w:styleId="EndnoteTextChar">
    <w:name w:val="Endnote Text Char"/>
    <w:basedOn w:val="DefaultParagraphFont"/>
    <w:link w:val="EndnoteText"/>
    <w:semiHidden/>
    <w:rsid w:val="00932FE2"/>
    <w:rPr>
      <w:lang w:eastAsia="en-US" w:bidi="he-IL"/>
    </w:rPr>
  </w:style>
  <w:style w:type="character" w:styleId="EndnoteReference">
    <w:name w:val="endnote reference"/>
    <w:basedOn w:val="DefaultParagraphFont"/>
    <w:semiHidden/>
    <w:unhideWhenUsed/>
    <w:rsid w:val="00932FE2"/>
    <w:rPr>
      <w:vertAlign w:val="superscript"/>
    </w:rPr>
  </w:style>
  <w:style w:type="character" w:styleId="Hyperlink">
    <w:name w:val="Hyperlink"/>
    <w:basedOn w:val="DefaultParagraphFont"/>
    <w:rsid w:val="0008158E"/>
    <w:rPr>
      <w:color w:val="0000FF" w:themeColor="hyperlink"/>
      <w:u w:val="single"/>
    </w:rPr>
  </w:style>
  <w:style w:type="table" w:customStyle="1" w:styleId="TableGrid1">
    <w:name w:val="Table Grid1"/>
    <w:basedOn w:val="TableNormal"/>
    <w:next w:val="TableGrid"/>
    <w:uiPriority w:val="59"/>
    <w:rsid w:val="002A078C"/>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A078C"/>
    <w:rPr>
      <w:sz w:val="20"/>
      <w:szCs w:val="20"/>
    </w:rPr>
  </w:style>
  <w:style w:type="character" w:customStyle="1" w:styleId="FootnoteTextChar">
    <w:name w:val="Footnote Text Char"/>
    <w:basedOn w:val="DefaultParagraphFont"/>
    <w:link w:val="FootnoteText"/>
    <w:rsid w:val="002A078C"/>
    <w:rPr>
      <w:lang w:eastAsia="en-US" w:bidi="he-IL"/>
    </w:rPr>
  </w:style>
  <w:style w:type="character" w:styleId="FootnoteReference">
    <w:name w:val="footnote reference"/>
    <w:basedOn w:val="DefaultParagraphFont"/>
    <w:uiPriority w:val="99"/>
    <w:rsid w:val="002A0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5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eil.lunt@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2CEF-A5DF-4254-A317-888CEBBA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E5E2438C.dotm</Template>
  <TotalTime>53</TotalTime>
  <Pages>21</Pages>
  <Words>5853</Words>
  <Characters>33332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Lunt</dc:creator>
  <cp:lastModifiedBy>Neil Lunt</cp:lastModifiedBy>
  <cp:revision>15</cp:revision>
  <cp:lastPrinted>2015-12-17T17:07:00Z</cp:lastPrinted>
  <dcterms:created xsi:type="dcterms:W3CDTF">2016-04-27T14:55:00Z</dcterms:created>
  <dcterms:modified xsi:type="dcterms:W3CDTF">2016-04-28T14:17:00Z</dcterms:modified>
</cp:coreProperties>
</file>