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A4F75" w14:textId="77777777" w:rsidR="005F3AE1" w:rsidRPr="003943E9" w:rsidRDefault="005F3AE1" w:rsidP="0073521F">
      <w:pPr>
        <w:spacing w:after="0" w:line="480" w:lineRule="auto"/>
        <w:rPr>
          <w:rFonts w:ascii="Times New Roman" w:eastAsiaTheme="majorEastAsia" w:hAnsi="Times New Roman" w:cs="Times New Roman"/>
          <w:b/>
          <w:bCs/>
          <w:sz w:val="26"/>
          <w:szCs w:val="26"/>
        </w:rPr>
      </w:pPr>
      <w:r w:rsidRPr="003943E9">
        <w:rPr>
          <w:rFonts w:ascii="Times New Roman" w:eastAsiaTheme="majorEastAsia" w:hAnsi="Times New Roman" w:cs="Times New Roman"/>
          <w:b/>
          <w:bCs/>
          <w:sz w:val="26"/>
          <w:szCs w:val="26"/>
        </w:rPr>
        <w:t>Is undergraduate debt an impediment to postgraduate enrolment in England?</w:t>
      </w:r>
    </w:p>
    <w:p w14:paraId="49673902" w14:textId="67FDEA9D" w:rsidR="008D2389" w:rsidRPr="00664F8A" w:rsidRDefault="005F3AE1" w:rsidP="0073521F">
      <w:pPr>
        <w:spacing w:after="0" w:line="480" w:lineRule="auto"/>
        <w:rPr>
          <w:rFonts w:ascii="Times New Roman" w:eastAsiaTheme="majorEastAsia" w:hAnsi="Times New Roman" w:cs="Times New Roman"/>
          <w:b/>
          <w:bCs/>
          <w:i/>
          <w:sz w:val="24"/>
          <w:szCs w:val="26"/>
        </w:rPr>
      </w:pPr>
      <w:r w:rsidRPr="00664F8A">
        <w:rPr>
          <w:rFonts w:ascii="Times New Roman" w:eastAsiaTheme="majorEastAsia" w:hAnsi="Times New Roman" w:cs="Times New Roman"/>
          <w:bCs/>
          <w:i/>
          <w:sz w:val="24"/>
          <w:szCs w:val="26"/>
        </w:rPr>
        <w:t>Paul Wakeling, Gillian Hampden-Thompson and Sally Hancock</w:t>
      </w:r>
    </w:p>
    <w:p w14:paraId="131E8A24" w14:textId="77777777" w:rsidR="003943E9" w:rsidRDefault="003943E9" w:rsidP="0073521F">
      <w:pPr>
        <w:spacing w:after="0" w:line="480" w:lineRule="auto"/>
        <w:rPr>
          <w:rFonts w:ascii="Times New Roman" w:eastAsiaTheme="majorEastAsia" w:hAnsi="Times New Roman" w:cs="Times New Roman"/>
          <w:b/>
          <w:bCs/>
          <w:sz w:val="26"/>
          <w:szCs w:val="26"/>
        </w:rPr>
      </w:pPr>
    </w:p>
    <w:p w14:paraId="15A63948" w14:textId="31D8543A" w:rsidR="003943E9" w:rsidRPr="003943E9" w:rsidRDefault="003943E9" w:rsidP="0073521F">
      <w:pPr>
        <w:spacing w:after="0" w:line="480" w:lineRule="auto"/>
        <w:rPr>
          <w:rFonts w:ascii="Times New Roman" w:eastAsiaTheme="majorEastAsia" w:hAnsi="Times New Roman" w:cs="Times New Roman"/>
          <w:b/>
          <w:bCs/>
          <w:sz w:val="26"/>
          <w:szCs w:val="26"/>
        </w:rPr>
      </w:pPr>
      <w:r w:rsidRPr="003943E9">
        <w:rPr>
          <w:rFonts w:ascii="Times New Roman" w:eastAsiaTheme="majorEastAsia" w:hAnsi="Times New Roman" w:cs="Times New Roman"/>
          <w:b/>
          <w:bCs/>
          <w:sz w:val="26"/>
          <w:szCs w:val="26"/>
        </w:rPr>
        <w:t>Abstract</w:t>
      </w:r>
    </w:p>
    <w:p w14:paraId="24F04D75" w14:textId="77777777" w:rsidR="003943E9" w:rsidRPr="003943E9" w:rsidRDefault="003943E9" w:rsidP="0073521F">
      <w:pPr>
        <w:spacing w:after="0" w:line="480" w:lineRule="auto"/>
        <w:rPr>
          <w:rFonts w:ascii="Times New Roman" w:eastAsiaTheme="majorEastAsia" w:hAnsi="Times New Roman" w:cs="Times New Roman"/>
          <w:bCs/>
          <w:sz w:val="24"/>
          <w:szCs w:val="26"/>
        </w:rPr>
      </w:pPr>
    </w:p>
    <w:p w14:paraId="5323FCED" w14:textId="2BE900C3" w:rsidR="003943E9" w:rsidRPr="00F700D8" w:rsidRDefault="000A2686" w:rsidP="0073521F">
      <w:pPr>
        <w:spacing w:after="0" w:line="480" w:lineRule="auto"/>
        <w:rPr>
          <w:rFonts w:ascii="Times New Roman" w:eastAsiaTheme="majorEastAsia" w:hAnsi="Times New Roman" w:cs="Times New Roman"/>
          <w:bCs/>
          <w:sz w:val="24"/>
          <w:szCs w:val="26"/>
        </w:rPr>
      </w:pPr>
      <w:r>
        <w:rPr>
          <w:rFonts w:ascii="Times New Roman" w:eastAsiaTheme="majorEastAsia" w:hAnsi="Times New Roman" w:cs="Times New Roman"/>
          <w:bCs/>
          <w:sz w:val="24"/>
          <w:szCs w:val="26"/>
        </w:rPr>
        <w:t>Changes to undergraduate student funding arrangements in England have prompted concerns that increased indebtedness will deter graduates from postgraduate study. While it is clear that student debt has increased substantially in recent years, international evidence is equivocal on whether such debt is a deterrent to further study and there is hardly any prior research on this topic in the UK context. Using a large-scale survey of 2009 and 2012 graduates from six selective English universities, we investigate the association between undergraduate debt, other graduate characteristics and progression to postgraduate study.</w:t>
      </w:r>
      <w:r w:rsidR="00F700D8">
        <w:rPr>
          <w:rFonts w:ascii="Times New Roman" w:eastAsiaTheme="majorEastAsia" w:hAnsi="Times New Roman" w:cs="Times New Roman"/>
          <w:bCs/>
          <w:sz w:val="24"/>
          <w:szCs w:val="26"/>
        </w:rPr>
        <w:t xml:space="preserve"> We find some association of higher debt levels with lower rates of progression to postgraduate study, although this reduces when controlling for other factors, such as degree-level attainment and subject discipline. Within a multivariate logistic regression model predicting progression to postgraduate study we find that debt </w:t>
      </w:r>
      <w:r w:rsidR="00DB287B">
        <w:rPr>
          <w:rFonts w:ascii="Times New Roman" w:eastAsiaTheme="majorEastAsia" w:hAnsi="Times New Roman" w:cs="Times New Roman"/>
          <w:bCs/>
          <w:sz w:val="24"/>
          <w:szCs w:val="26"/>
        </w:rPr>
        <w:t>is not</w:t>
      </w:r>
      <w:r w:rsidR="00F700D8">
        <w:rPr>
          <w:rFonts w:ascii="Times New Roman" w:eastAsiaTheme="majorEastAsia" w:hAnsi="Times New Roman" w:cs="Times New Roman"/>
          <w:bCs/>
          <w:sz w:val="24"/>
          <w:szCs w:val="26"/>
        </w:rPr>
        <w:t xml:space="preserve"> a statistically significant predictor</w:t>
      </w:r>
      <w:r w:rsidR="00DB287B">
        <w:rPr>
          <w:rFonts w:ascii="Times New Roman" w:eastAsiaTheme="majorEastAsia" w:hAnsi="Times New Roman" w:cs="Times New Roman"/>
          <w:bCs/>
          <w:sz w:val="24"/>
          <w:szCs w:val="26"/>
        </w:rPr>
        <w:t>, although other characteristics are important.</w:t>
      </w:r>
      <w:r w:rsidR="00F700D8">
        <w:rPr>
          <w:rFonts w:ascii="Times New Roman" w:eastAsiaTheme="majorEastAsia" w:hAnsi="Times New Roman" w:cs="Times New Roman"/>
          <w:bCs/>
          <w:sz w:val="24"/>
          <w:szCs w:val="26"/>
        </w:rPr>
        <w:t xml:space="preserve"> This indicates, we suggest, that underlying financial resources, rather than debt </w:t>
      </w:r>
      <w:r w:rsidR="00F700D8">
        <w:rPr>
          <w:rFonts w:ascii="Times New Roman" w:eastAsiaTheme="majorEastAsia" w:hAnsi="Times New Roman" w:cs="Times New Roman"/>
          <w:bCs/>
          <w:i/>
          <w:sz w:val="24"/>
          <w:szCs w:val="26"/>
        </w:rPr>
        <w:t>per se</w:t>
      </w:r>
      <w:r w:rsidR="00F700D8">
        <w:rPr>
          <w:rFonts w:ascii="Times New Roman" w:eastAsiaTheme="majorEastAsia" w:hAnsi="Times New Roman" w:cs="Times New Roman"/>
          <w:bCs/>
          <w:sz w:val="24"/>
          <w:szCs w:val="26"/>
        </w:rPr>
        <w:t xml:space="preserve"> are critical in enabling access to postgraduate study. We consider the implications of recently-announced loans for postgraduate study in England given these findings.</w:t>
      </w:r>
    </w:p>
    <w:p w14:paraId="7C57889B" w14:textId="77777777" w:rsidR="000A2686" w:rsidRPr="003943E9" w:rsidRDefault="000A2686" w:rsidP="0073521F">
      <w:pPr>
        <w:spacing w:after="0" w:line="480" w:lineRule="auto"/>
        <w:rPr>
          <w:rFonts w:ascii="Times New Roman" w:eastAsiaTheme="majorEastAsia" w:hAnsi="Times New Roman" w:cs="Times New Roman"/>
          <w:bCs/>
          <w:sz w:val="24"/>
          <w:szCs w:val="26"/>
        </w:rPr>
      </w:pPr>
    </w:p>
    <w:p w14:paraId="26AAF15B" w14:textId="5E0441D5" w:rsidR="003943E9" w:rsidRDefault="003943E9" w:rsidP="0073521F">
      <w:pPr>
        <w:spacing w:after="0" w:line="480" w:lineRule="auto"/>
        <w:rPr>
          <w:rFonts w:ascii="Times New Roman" w:eastAsiaTheme="majorEastAsia" w:hAnsi="Times New Roman" w:cs="Times New Roman"/>
          <w:bCs/>
          <w:sz w:val="24"/>
          <w:szCs w:val="26"/>
        </w:rPr>
      </w:pPr>
      <w:r w:rsidRPr="003943E9">
        <w:rPr>
          <w:rFonts w:ascii="Times New Roman" w:eastAsiaTheme="majorEastAsia" w:hAnsi="Times New Roman" w:cs="Times New Roman"/>
          <w:bCs/>
          <w:sz w:val="24"/>
          <w:szCs w:val="26"/>
        </w:rPr>
        <w:t>Keywords:</w:t>
      </w:r>
      <w:r w:rsidR="000D5451">
        <w:rPr>
          <w:rFonts w:ascii="Times New Roman" w:eastAsiaTheme="majorEastAsia" w:hAnsi="Times New Roman" w:cs="Times New Roman"/>
          <w:bCs/>
          <w:sz w:val="24"/>
          <w:szCs w:val="26"/>
        </w:rPr>
        <w:t xml:space="preserve"> </w:t>
      </w:r>
      <w:r w:rsidR="00664F8A">
        <w:rPr>
          <w:rFonts w:ascii="Times New Roman" w:eastAsiaTheme="majorEastAsia" w:hAnsi="Times New Roman" w:cs="Times New Roman"/>
          <w:bCs/>
          <w:sz w:val="24"/>
          <w:szCs w:val="26"/>
        </w:rPr>
        <w:t>postgraduate study, student debt, student funding, student loans</w:t>
      </w:r>
    </w:p>
    <w:p w14:paraId="645E6537" w14:textId="65908D77" w:rsidR="00744F5F" w:rsidRDefault="00744F5F" w:rsidP="0073521F">
      <w:pPr>
        <w:spacing w:after="0" w:line="480" w:lineRule="auto"/>
        <w:rPr>
          <w:rFonts w:ascii="Times New Roman" w:eastAsiaTheme="majorEastAsia" w:hAnsi="Times New Roman" w:cs="Times New Roman"/>
          <w:bCs/>
          <w:sz w:val="24"/>
          <w:szCs w:val="26"/>
        </w:rPr>
      </w:pPr>
    </w:p>
    <w:p w14:paraId="7B9DE470" w14:textId="11A22659" w:rsidR="0029497D" w:rsidRDefault="00744F5F" w:rsidP="00D6514F">
      <w:pPr>
        <w:spacing w:after="0" w:line="480" w:lineRule="auto"/>
        <w:rPr>
          <w:rFonts w:ascii="Times New Roman" w:eastAsiaTheme="majorEastAsia" w:hAnsi="Times New Roman" w:cs="Times New Roman"/>
          <w:b/>
          <w:bCs/>
          <w:sz w:val="26"/>
          <w:szCs w:val="26"/>
        </w:rPr>
      </w:pPr>
      <w:r>
        <w:rPr>
          <w:rFonts w:ascii="Times New Roman" w:eastAsiaTheme="majorEastAsia" w:hAnsi="Times New Roman" w:cs="Times New Roman"/>
          <w:bCs/>
          <w:sz w:val="24"/>
          <w:szCs w:val="26"/>
        </w:rPr>
        <w:t xml:space="preserve">Word count: </w:t>
      </w:r>
      <w:r w:rsidR="00A77AF1">
        <w:rPr>
          <w:rFonts w:ascii="Times New Roman" w:eastAsiaTheme="majorEastAsia" w:hAnsi="Times New Roman" w:cs="Times New Roman"/>
          <w:bCs/>
          <w:sz w:val="24"/>
          <w:szCs w:val="26"/>
        </w:rPr>
        <w:t>8,000</w:t>
      </w:r>
      <w:r w:rsidR="0029497D">
        <w:rPr>
          <w:rFonts w:ascii="Times New Roman" w:eastAsiaTheme="majorEastAsia" w:hAnsi="Times New Roman" w:cs="Times New Roman"/>
          <w:b/>
          <w:bCs/>
          <w:sz w:val="26"/>
          <w:szCs w:val="26"/>
        </w:rPr>
        <w:br w:type="page"/>
      </w:r>
    </w:p>
    <w:p w14:paraId="1802E516" w14:textId="06476297" w:rsidR="008D2389" w:rsidRPr="003943E9" w:rsidRDefault="00872399" w:rsidP="0073521F">
      <w:pPr>
        <w:spacing w:after="0" w:line="480" w:lineRule="auto"/>
        <w:rPr>
          <w:rFonts w:ascii="Times New Roman" w:eastAsiaTheme="majorEastAsia" w:hAnsi="Times New Roman" w:cs="Times New Roman"/>
          <w:b/>
          <w:bCs/>
          <w:sz w:val="26"/>
          <w:szCs w:val="26"/>
        </w:rPr>
      </w:pPr>
      <w:r w:rsidRPr="003943E9">
        <w:rPr>
          <w:rFonts w:ascii="Times New Roman" w:eastAsiaTheme="majorEastAsia" w:hAnsi="Times New Roman" w:cs="Times New Roman"/>
          <w:b/>
          <w:bCs/>
          <w:sz w:val="26"/>
          <w:szCs w:val="26"/>
        </w:rPr>
        <w:lastRenderedPageBreak/>
        <w:t>Introduction</w:t>
      </w:r>
    </w:p>
    <w:p w14:paraId="05E7F0B7" w14:textId="77777777" w:rsidR="006E5448" w:rsidRDefault="006E5448" w:rsidP="0073521F">
      <w:pPr>
        <w:spacing w:after="0" w:line="480" w:lineRule="auto"/>
        <w:rPr>
          <w:rFonts w:ascii="Times New Roman" w:eastAsiaTheme="majorEastAsia" w:hAnsi="Times New Roman" w:cs="Times New Roman"/>
          <w:bCs/>
          <w:sz w:val="24"/>
          <w:szCs w:val="26"/>
        </w:rPr>
      </w:pPr>
    </w:p>
    <w:p w14:paraId="274A86D6" w14:textId="1AE33360" w:rsidR="008D2389" w:rsidRPr="003943E9" w:rsidRDefault="005A21C2" w:rsidP="0073521F">
      <w:pPr>
        <w:spacing w:after="0" w:line="480" w:lineRule="auto"/>
        <w:rPr>
          <w:rFonts w:ascii="Times New Roman" w:eastAsiaTheme="majorEastAsia" w:hAnsi="Times New Roman" w:cs="Times New Roman"/>
          <w:bCs/>
          <w:sz w:val="24"/>
          <w:szCs w:val="26"/>
        </w:rPr>
      </w:pPr>
      <w:r>
        <w:rPr>
          <w:rFonts w:ascii="Times New Roman" w:eastAsiaTheme="majorEastAsia" w:hAnsi="Times New Roman" w:cs="Times New Roman"/>
          <w:bCs/>
          <w:sz w:val="24"/>
          <w:szCs w:val="26"/>
        </w:rPr>
        <w:t>In t</w:t>
      </w:r>
      <w:r w:rsidR="005F3AE1" w:rsidRPr="003943E9">
        <w:rPr>
          <w:rFonts w:ascii="Times New Roman" w:eastAsiaTheme="majorEastAsia" w:hAnsi="Times New Roman" w:cs="Times New Roman"/>
          <w:bCs/>
          <w:sz w:val="24"/>
          <w:szCs w:val="26"/>
        </w:rPr>
        <w:t xml:space="preserve">his </w:t>
      </w:r>
      <w:proofErr w:type="gramStart"/>
      <w:r w:rsidR="005F3AE1" w:rsidRPr="003943E9">
        <w:rPr>
          <w:rFonts w:ascii="Times New Roman" w:eastAsiaTheme="majorEastAsia" w:hAnsi="Times New Roman" w:cs="Times New Roman"/>
          <w:bCs/>
          <w:sz w:val="24"/>
          <w:szCs w:val="26"/>
        </w:rPr>
        <w:t>article</w:t>
      </w:r>
      <w:proofErr w:type="gramEnd"/>
      <w:r w:rsidR="005F3AE1" w:rsidRPr="003943E9">
        <w:rPr>
          <w:rFonts w:ascii="Times New Roman" w:eastAsiaTheme="majorEastAsia" w:hAnsi="Times New Roman" w:cs="Times New Roman"/>
          <w:bCs/>
          <w:sz w:val="24"/>
          <w:szCs w:val="26"/>
        </w:rPr>
        <w:t xml:space="preserve"> </w:t>
      </w:r>
      <w:r>
        <w:rPr>
          <w:rFonts w:ascii="Times New Roman" w:eastAsiaTheme="majorEastAsia" w:hAnsi="Times New Roman" w:cs="Times New Roman"/>
          <w:bCs/>
          <w:sz w:val="24"/>
          <w:szCs w:val="26"/>
        </w:rPr>
        <w:t xml:space="preserve">we </w:t>
      </w:r>
      <w:r w:rsidR="005F3AE1" w:rsidRPr="003943E9">
        <w:rPr>
          <w:rFonts w:ascii="Times New Roman" w:eastAsiaTheme="majorEastAsia" w:hAnsi="Times New Roman" w:cs="Times New Roman"/>
          <w:bCs/>
          <w:sz w:val="24"/>
          <w:szCs w:val="26"/>
        </w:rPr>
        <w:t xml:space="preserve">investigate whether higher levels of undergraduate debt are associated with a lower probability of enrolling </w:t>
      </w:r>
      <w:r w:rsidR="00D957ED" w:rsidRPr="003943E9">
        <w:rPr>
          <w:rFonts w:ascii="Times New Roman" w:eastAsiaTheme="majorEastAsia" w:hAnsi="Times New Roman" w:cs="Times New Roman"/>
          <w:bCs/>
          <w:sz w:val="24"/>
          <w:szCs w:val="26"/>
        </w:rPr>
        <w:t>on</w:t>
      </w:r>
      <w:r w:rsidR="005F3AE1" w:rsidRPr="003943E9">
        <w:rPr>
          <w:rFonts w:ascii="Times New Roman" w:eastAsiaTheme="majorEastAsia" w:hAnsi="Times New Roman" w:cs="Times New Roman"/>
          <w:bCs/>
          <w:sz w:val="24"/>
          <w:szCs w:val="26"/>
        </w:rPr>
        <w:t xml:space="preserve"> postgraduate degrees, drawing on new evidence from a multi-institutional study of access to postgraduate </w:t>
      </w:r>
      <w:r w:rsidR="00D957ED" w:rsidRPr="003943E9">
        <w:rPr>
          <w:rFonts w:ascii="Times New Roman" w:eastAsiaTheme="majorEastAsia" w:hAnsi="Times New Roman" w:cs="Times New Roman"/>
          <w:bCs/>
          <w:sz w:val="24"/>
          <w:szCs w:val="26"/>
        </w:rPr>
        <w:t>education</w:t>
      </w:r>
      <w:r w:rsidR="001503B8" w:rsidRPr="003943E9">
        <w:rPr>
          <w:rFonts w:ascii="Times New Roman" w:eastAsiaTheme="majorEastAsia" w:hAnsi="Times New Roman" w:cs="Times New Roman"/>
          <w:bCs/>
          <w:sz w:val="24"/>
          <w:szCs w:val="26"/>
        </w:rPr>
        <w:t xml:space="preserve"> in England</w:t>
      </w:r>
      <w:r w:rsidR="005F3AE1" w:rsidRPr="003943E9">
        <w:rPr>
          <w:rFonts w:ascii="Times New Roman" w:eastAsiaTheme="majorEastAsia" w:hAnsi="Times New Roman" w:cs="Times New Roman"/>
          <w:bCs/>
          <w:sz w:val="24"/>
          <w:szCs w:val="26"/>
        </w:rPr>
        <w:t>.</w:t>
      </w:r>
      <w:r w:rsidR="00100303" w:rsidRPr="003943E9">
        <w:rPr>
          <w:rFonts w:ascii="Times New Roman" w:eastAsiaTheme="majorEastAsia" w:hAnsi="Times New Roman" w:cs="Times New Roman"/>
          <w:bCs/>
          <w:sz w:val="24"/>
          <w:szCs w:val="26"/>
        </w:rPr>
        <w:t xml:space="preserve"> This is an important question for </w:t>
      </w:r>
      <w:r w:rsidR="0064467D" w:rsidRPr="003943E9">
        <w:rPr>
          <w:rFonts w:ascii="Times New Roman" w:eastAsiaTheme="majorEastAsia" w:hAnsi="Times New Roman" w:cs="Times New Roman"/>
          <w:bCs/>
          <w:sz w:val="24"/>
          <w:szCs w:val="26"/>
        </w:rPr>
        <w:t>several</w:t>
      </w:r>
      <w:r w:rsidR="00100303" w:rsidRPr="003943E9">
        <w:rPr>
          <w:rFonts w:ascii="Times New Roman" w:eastAsiaTheme="majorEastAsia" w:hAnsi="Times New Roman" w:cs="Times New Roman"/>
          <w:bCs/>
          <w:sz w:val="24"/>
          <w:szCs w:val="26"/>
        </w:rPr>
        <w:t xml:space="preserve"> reasons. Postgraduate qualifications increasingly provide a labour market advantage, being associated with access to the most </w:t>
      </w:r>
      <w:r w:rsidR="00100303" w:rsidRPr="00872A63">
        <w:rPr>
          <w:rFonts w:ascii="Times New Roman" w:eastAsiaTheme="majorEastAsia" w:hAnsi="Times New Roman" w:cs="Times New Roman"/>
          <w:bCs/>
          <w:sz w:val="24"/>
          <w:szCs w:val="26"/>
        </w:rPr>
        <w:t>highly-rewarded jobs</w:t>
      </w:r>
      <w:r w:rsidR="00791CCF" w:rsidRPr="00872A63">
        <w:rPr>
          <w:rFonts w:ascii="Times New Roman" w:eastAsiaTheme="majorEastAsia" w:hAnsi="Times New Roman" w:cs="Times New Roman"/>
          <w:bCs/>
          <w:sz w:val="24"/>
          <w:szCs w:val="26"/>
        </w:rPr>
        <w:t xml:space="preserve"> (</w:t>
      </w:r>
      <w:r w:rsidR="00872A63" w:rsidRPr="00872A63">
        <w:rPr>
          <w:rFonts w:ascii="Times New Roman" w:eastAsiaTheme="majorEastAsia" w:hAnsi="Times New Roman" w:cs="Times New Roman"/>
          <w:bCs/>
          <w:sz w:val="24"/>
          <w:szCs w:val="26"/>
        </w:rPr>
        <w:t>OECD, 2015:</w:t>
      </w:r>
      <w:r w:rsidR="00872A63">
        <w:rPr>
          <w:rFonts w:ascii="Times New Roman" w:eastAsiaTheme="majorEastAsia" w:hAnsi="Times New Roman" w:cs="Times New Roman"/>
          <w:bCs/>
          <w:sz w:val="24"/>
          <w:szCs w:val="26"/>
        </w:rPr>
        <w:t xml:space="preserve"> </w:t>
      </w:r>
      <w:r w:rsidR="00791CCF" w:rsidRPr="00872A63">
        <w:rPr>
          <w:rFonts w:ascii="Times New Roman" w:eastAsiaTheme="majorEastAsia" w:hAnsi="Times New Roman" w:cs="Times New Roman"/>
          <w:bCs/>
          <w:sz w:val="24"/>
          <w:szCs w:val="26"/>
        </w:rPr>
        <w:t xml:space="preserve">Table A6.1a; Walker and Zhu, </w:t>
      </w:r>
      <w:r w:rsidR="003F4EBD" w:rsidRPr="00872A63">
        <w:rPr>
          <w:rFonts w:ascii="Times New Roman" w:eastAsiaTheme="majorEastAsia" w:hAnsi="Times New Roman" w:cs="Times New Roman"/>
          <w:bCs/>
          <w:sz w:val="24"/>
          <w:szCs w:val="26"/>
        </w:rPr>
        <w:t>2013).</w:t>
      </w:r>
      <w:r w:rsidR="00100303" w:rsidRPr="003943E9">
        <w:rPr>
          <w:rFonts w:ascii="Times New Roman" w:eastAsiaTheme="majorEastAsia" w:hAnsi="Times New Roman" w:cs="Times New Roman"/>
          <w:bCs/>
          <w:sz w:val="24"/>
          <w:szCs w:val="26"/>
        </w:rPr>
        <w:t xml:space="preserve"> Postgraduates </w:t>
      </w:r>
      <w:r w:rsidR="00D957ED" w:rsidRPr="003943E9">
        <w:rPr>
          <w:rFonts w:ascii="Times New Roman" w:eastAsiaTheme="majorEastAsia" w:hAnsi="Times New Roman" w:cs="Times New Roman"/>
          <w:bCs/>
          <w:sz w:val="24"/>
          <w:szCs w:val="26"/>
        </w:rPr>
        <w:t xml:space="preserve">represent the pool for supply of future knowledge workers, especially those working in higher education research and teaching. If debt accumulated from undergraduate study </w:t>
      </w:r>
      <w:r w:rsidR="0064467D">
        <w:rPr>
          <w:rFonts w:ascii="Times New Roman" w:eastAsiaTheme="majorEastAsia" w:hAnsi="Times New Roman" w:cs="Times New Roman"/>
          <w:bCs/>
          <w:sz w:val="24"/>
          <w:szCs w:val="26"/>
        </w:rPr>
        <w:t>deters</w:t>
      </w:r>
      <w:r w:rsidR="00D957ED" w:rsidRPr="003943E9">
        <w:rPr>
          <w:rFonts w:ascii="Times New Roman" w:eastAsiaTheme="majorEastAsia" w:hAnsi="Times New Roman" w:cs="Times New Roman"/>
          <w:bCs/>
          <w:sz w:val="24"/>
          <w:szCs w:val="26"/>
        </w:rPr>
        <w:t xml:space="preserve"> postgraduate enrolment, this presents risks to the future supply of highly-skilled labour (and indeed the creation of knowledge). If its effects are relative, then we would expect the most financially</w:t>
      </w:r>
      <w:r w:rsidR="001F0EB7">
        <w:rPr>
          <w:rFonts w:ascii="Times New Roman" w:eastAsiaTheme="majorEastAsia" w:hAnsi="Times New Roman" w:cs="Times New Roman"/>
          <w:bCs/>
          <w:sz w:val="24"/>
          <w:szCs w:val="26"/>
        </w:rPr>
        <w:t>-</w:t>
      </w:r>
      <w:r w:rsidR="00D957ED" w:rsidRPr="003943E9">
        <w:rPr>
          <w:rFonts w:ascii="Times New Roman" w:eastAsiaTheme="majorEastAsia" w:hAnsi="Times New Roman" w:cs="Times New Roman"/>
          <w:bCs/>
          <w:sz w:val="24"/>
          <w:szCs w:val="26"/>
        </w:rPr>
        <w:t xml:space="preserve">disadvantaged graduates to be most strongly deterred or prevented from postgraduate enrolment, with attendant consequences for social mobility, social justice and the national ‘talent pool’. </w:t>
      </w:r>
      <w:r w:rsidR="001F0EB7">
        <w:rPr>
          <w:rFonts w:ascii="Times New Roman" w:eastAsiaTheme="majorEastAsia" w:hAnsi="Times New Roman" w:cs="Times New Roman"/>
          <w:bCs/>
          <w:sz w:val="24"/>
          <w:szCs w:val="26"/>
        </w:rPr>
        <w:t>Given</w:t>
      </w:r>
      <w:r w:rsidR="00D957ED" w:rsidRPr="003943E9">
        <w:rPr>
          <w:rFonts w:ascii="Times New Roman" w:eastAsiaTheme="majorEastAsia" w:hAnsi="Times New Roman" w:cs="Times New Roman"/>
          <w:bCs/>
          <w:sz w:val="24"/>
          <w:szCs w:val="26"/>
        </w:rPr>
        <w:t xml:space="preserve"> recent radical changes to student funding in England</w:t>
      </w:r>
      <w:r w:rsidR="00CD33A4">
        <w:rPr>
          <w:rFonts w:ascii="Times New Roman" w:eastAsiaTheme="majorEastAsia" w:hAnsi="Times New Roman" w:cs="Times New Roman"/>
          <w:bCs/>
          <w:sz w:val="24"/>
          <w:szCs w:val="26"/>
        </w:rPr>
        <w:t>,</w:t>
      </w:r>
      <w:r w:rsidR="00F473A1">
        <w:rPr>
          <w:rFonts w:ascii="Times New Roman" w:eastAsiaTheme="majorEastAsia" w:hAnsi="Times New Roman" w:cs="Times New Roman"/>
          <w:bCs/>
          <w:sz w:val="24"/>
          <w:szCs w:val="26"/>
        </w:rPr>
        <w:t xml:space="preserve"> </w:t>
      </w:r>
      <w:r w:rsidR="001F0EB7">
        <w:rPr>
          <w:rFonts w:ascii="Times New Roman" w:eastAsiaTheme="majorEastAsia" w:hAnsi="Times New Roman" w:cs="Times New Roman"/>
          <w:bCs/>
          <w:sz w:val="24"/>
          <w:szCs w:val="26"/>
        </w:rPr>
        <w:t xml:space="preserve">such </w:t>
      </w:r>
      <w:r w:rsidR="00D957ED" w:rsidRPr="003943E9">
        <w:rPr>
          <w:rFonts w:ascii="Times New Roman" w:eastAsiaTheme="majorEastAsia" w:hAnsi="Times New Roman" w:cs="Times New Roman"/>
          <w:bCs/>
          <w:sz w:val="24"/>
          <w:szCs w:val="26"/>
        </w:rPr>
        <w:t xml:space="preserve">concerns have been expressed by </w:t>
      </w:r>
      <w:r w:rsidR="001F0EB7">
        <w:rPr>
          <w:rFonts w:ascii="Times New Roman" w:eastAsiaTheme="majorEastAsia" w:hAnsi="Times New Roman" w:cs="Times New Roman"/>
          <w:bCs/>
          <w:sz w:val="24"/>
          <w:szCs w:val="26"/>
        </w:rPr>
        <w:t>numerous</w:t>
      </w:r>
      <w:r w:rsidR="00D957ED" w:rsidRPr="003943E9">
        <w:rPr>
          <w:rFonts w:ascii="Times New Roman" w:eastAsiaTheme="majorEastAsia" w:hAnsi="Times New Roman" w:cs="Times New Roman"/>
          <w:bCs/>
          <w:sz w:val="24"/>
          <w:szCs w:val="26"/>
        </w:rPr>
        <w:t xml:space="preserve"> organisations and individuals</w:t>
      </w:r>
      <w:r w:rsidR="00F473A1">
        <w:rPr>
          <w:rFonts w:ascii="Times New Roman" w:eastAsiaTheme="majorEastAsia" w:hAnsi="Times New Roman" w:cs="Times New Roman"/>
          <w:bCs/>
          <w:sz w:val="24"/>
          <w:szCs w:val="26"/>
        </w:rPr>
        <w:t xml:space="preserve"> (</w:t>
      </w:r>
      <w:r w:rsidR="00710D4C">
        <w:rPr>
          <w:rFonts w:ascii="Times New Roman" w:eastAsiaTheme="majorEastAsia" w:hAnsi="Times New Roman" w:cs="Times New Roman"/>
          <w:bCs/>
          <w:sz w:val="24"/>
          <w:szCs w:val="26"/>
        </w:rPr>
        <w:t xml:space="preserve">e.g. </w:t>
      </w:r>
      <w:r w:rsidR="00CD33A4" w:rsidRPr="00D64CC7">
        <w:rPr>
          <w:rFonts w:ascii="Times New Roman" w:eastAsiaTheme="majorEastAsia" w:hAnsi="Times New Roman" w:cs="Times New Roman"/>
          <w:bCs/>
          <w:sz w:val="24"/>
          <w:szCs w:val="26"/>
        </w:rPr>
        <w:t xml:space="preserve">National Union of </w:t>
      </w:r>
      <w:r w:rsidR="00CD33A4" w:rsidRPr="00E372F2">
        <w:rPr>
          <w:rFonts w:ascii="Times New Roman" w:eastAsiaTheme="majorEastAsia" w:hAnsi="Times New Roman" w:cs="Times New Roman"/>
          <w:bCs/>
          <w:sz w:val="24"/>
          <w:szCs w:val="26"/>
        </w:rPr>
        <w:t>Students, 2012; Social Mobility and Child Poverty Commission, 2013</w:t>
      </w:r>
      <w:r w:rsidR="00F473A1" w:rsidRPr="00E372F2">
        <w:rPr>
          <w:rFonts w:ascii="Times New Roman" w:eastAsiaTheme="majorEastAsia" w:hAnsi="Times New Roman" w:cs="Times New Roman"/>
          <w:bCs/>
          <w:sz w:val="24"/>
          <w:szCs w:val="26"/>
        </w:rPr>
        <w:t>)</w:t>
      </w:r>
      <w:r w:rsidR="00D957ED" w:rsidRPr="00E372F2">
        <w:rPr>
          <w:rFonts w:ascii="Times New Roman" w:eastAsiaTheme="majorEastAsia" w:hAnsi="Times New Roman" w:cs="Times New Roman"/>
          <w:bCs/>
          <w:sz w:val="24"/>
          <w:szCs w:val="26"/>
        </w:rPr>
        <w:t>. Commentators have</w:t>
      </w:r>
      <w:r w:rsidR="00D957ED" w:rsidRPr="003943E9">
        <w:rPr>
          <w:rFonts w:ascii="Times New Roman" w:eastAsiaTheme="majorEastAsia" w:hAnsi="Times New Roman" w:cs="Times New Roman"/>
          <w:bCs/>
          <w:sz w:val="24"/>
          <w:szCs w:val="26"/>
        </w:rPr>
        <w:t xml:space="preserve"> pointed to the substantial debts now accrued by English graduates</w:t>
      </w:r>
      <w:r w:rsidR="00F74821" w:rsidRPr="003943E9">
        <w:rPr>
          <w:rFonts w:ascii="Times New Roman" w:eastAsiaTheme="majorEastAsia" w:hAnsi="Times New Roman" w:cs="Times New Roman"/>
          <w:bCs/>
          <w:sz w:val="24"/>
          <w:szCs w:val="26"/>
        </w:rPr>
        <w:t>, together with the absence of state support for study at postgraduate master</w:t>
      </w:r>
      <w:r w:rsidR="0025476E">
        <w:rPr>
          <w:rFonts w:ascii="Times New Roman" w:eastAsiaTheme="majorEastAsia" w:hAnsi="Times New Roman" w:cs="Times New Roman"/>
          <w:bCs/>
          <w:sz w:val="24"/>
          <w:szCs w:val="26"/>
        </w:rPr>
        <w:t>’</w:t>
      </w:r>
      <w:r w:rsidR="00F74821" w:rsidRPr="003943E9">
        <w:rPr>
          <w:rFonts w:ascii="Times New Roman" w:eastAsiaTheme="majorEastAsia" w:hAnsi="Times New Roman" w:cs="Times New Roman"/>
          <w:bCs/>
          <w:sz w:val="24"/>
          <w:szCs w:val="26"/>
        </w:rPr>
        <w:t>s level. In part, these concerns have prompted an unprecedented policy intervention by the UK government in the form of student loans as a contribution towards master</w:t>
      </w:r>
      <w:r w:rsidR="0025476E">
        <w:rPr>
          <w:rFonts w:ascii="Times New Roman" w:eastAsiaTheme="majorEastAsia" w:hAnsi="Times New Roman" w:cs="Times New Roman"/>
          <w:bCs/>
          <w:sz w:val="24"/>
          <w:szCs w:val="26"/>
        </w:rPr>
        <w:t>’</w:t>
      </w:r>
      <w:r w:rsidR="00F74821" w:rsidRPr="003943E9">
        <w:rPr>
          <w:rFonts w:ascii="Times New Roman" w:eastAsiaTheme="majorEastAsia" w:hAnsi="Times New Roman" w:cs="Times New Roman"/>
          <w:bCs/>
          <w:sz w:val="24"/>
          <w:szCs w:val="26"/>
        </w:rPr>
        <w:t xml:space="preserve">s-level study </w:t>
      </w:r>
      <w:r w:rsidR="008D6AFD">
        <w:rPr>
          <w:rFonts w:ascii="Times New Roman" w:eastAsiaTheme="majorEastAsia" w:hAnsi="Times New Roman" w:cs="Times New Roman"/>
          <w:bCs/>
          <w:sz w:val="24"/>
          <w:szCs w:val="26"/>
        </w:rPr>
        <w:t xml:space="preserve">in England </w:t>
      </w:r>
      <w:r w:rsidR="00F74821" w:rsidRPr="003943E9">
        <w:rPr>
          <w:rFonts w:ascii="Times New Roman" w:eastAsiaTheme="majorEastAsia" w:hAnsi="Times New Roman" w:cs="Times New Roman"/>
          <w:bCs/>
          <w:sz w:val="24"/>
          <w:szCs w:val="26"/>
        </w:rPr>
        <w:t>worth £10,000, commencing in autumn 2016</w:t>
      </w:r>
      <w:r w:rsidR="00CD33A4">
        <w:rPr>
          <w:rFonts w:ascii="Times New Roman" w:eastAsiaTheme="majorEastAsia" w:hAnsi="Times New Roman" w:cs="Times New Roman"/>
          <w:bCs/>
          <w:sz w:val="24"/>
          <w:szCs w:val="26"/>
        </w:rPr>
        <w:t>; and doctoral loans of £25,000 from 2018</w:t>
      </w:r>
      <w:r w:rsidR="00F473A1">
        <w:rPr>
          <w:rFonts w:ascii="Times New Roman" w:eastAsiaTheme="majorEastAsia" w:hAnsi="Times New Roman" w:cs="Times New Roman"/>
          <w:bCs/>
          <w:sz w:val="24"/>
          <w:szCs w:val="26"/>
        </w:rPr>
        <w:t xml:space="preserve"> </w:t>
      </w:r>
      <w:r w:rsidR="00F473A1" w:rsidRPr="00E372F2">
        <w:rPr>
          <w:rFonts w:ascii="Times New Roman" w:eastAsiaTheme="majorEastAsia" w:hAnsi="Times New Roman" w:cs="Times New Roman"/>
          <w:bCs/>
          <w:sz w:val="24"/>
          <w:szCs w:val="26"/>
        </w:rPr>
        <w:t>(</w:t>
      </w:r>
      <w:r w:rsidR="00CD33A4" w:rsidRPr="00E372F2">
        <w:rPr>
          <w:rFonts w:ascii="Times New Roman" w:eastAsiaTheme="majorEastAsia" w:hAnsi="Times New Roman" w:cs="Times New Roman"/>
          <w:bCs/>
          <w:sz w:val="24"/>
          <w:szCs w:val="26"/>
        </w:rPr>
        <w:t>HM Treasury, 2016</w:t>
      </w:r>
      <w:r w:rsidR="00F473A1" w:rsidRPr="00E372F2">
        <w:rPr>
          <w:rFonts w:ascii="Times New Roman" w:eastAsiaTheme="majorEastAsia" w:hAnsi="Times New Roman" w:cs="Times New Roman"/>
          <w:bCs/>
          <w:sz w:val="24"/>
          <w:szCs w:val="26"/>
        </w:rPr>
        <w:t>)</w:t>
      </w:r>
      <w:r w:rsidR="00F74821" w:rsidRPr="00E372F2">
        <w:rPr>
          <w:rFonts w:ascii="Times New Roman" w:eastAsiaTheme="majorEastAsia" w:hAnsi="Times New Roman" w:cs="Times New Roman"/>
          <w:bCs/>
          <w:sz w:val="24"/>
          <w:szCs w:val="26"/>
        </w:rPr>
        <w:t>.</w:t>
      </w:r>
    </w:p>
    <w:p w14:paraId="682DACFA" w14:textId="45F3D3DA" w:rsidR="00F74821" w:rsidRDefault="00F74821" w:rsidP="0073521F">
      <w:pPr>
        <w:spacing w:after="0" w:line="480" w:lineRule="auto"/>
        <w:ind w:firstLine="720"/>
        <w:rPr>
          <w:rFonts w:ascii="Times New Roman" w:eastAsiaTheme="majorEastAsia" w:hAnsi="Times New Roman" w:cs="Times New Roman"/>
          <w:bCs/>
          <w:sz w:val="24"/>
          <w:szCs w:val="26"/>
        </w:rPr>
      </w:pPr>
      <w:r w:rsidRPr="003943E9">
        <w:rPr>
          <w:rFonts w:ascii="Times New Roman" w:eastAsiaTheme="majorEastAsia" w:hAnsi="Times New Roman" w:cs="Times New Roman"/>
          <w:bCs/>
          <w:sz w:val="24"/>
          <w:szCs w:val="26"/>
        </w:rPr>
        <w:t>The evidence base on the effect of student debt on postgraduate enrolment is slim. Most previous studies focus on the US</w:t>
      </w:r>
      <w:r w:rsidR="00AE1F9B">
        <w:rPr>
          <w:rFonts w:ascii="Times New Roman" w:eastAsiaTheme="majorEastAsia" w:hAnsi="Times New Roman" w:cs="Times New Roman"/>
          <w:bCs/>
          <w:sz w:val="24"/>
          <w:szCs w:val="26"/>
        </w:rPr>
        <w:t>A</w:t>
      </w:r>
      <w:r w:rsidRPr="003943E9">
        <w:rPr>
          <w:rFonts w:ascii="Times New Roman" w:eastAsiaTheme="majorEastAsia" w:hAnsi="Times New Roman" w:cs="Times New Roman"/>
          <w:bCs/>
          <w:sz w:val="24"/>
          <w:szCs w:val="26"/>
        </w:rPr>
        <w:t xml:space="preserve"> and there is a lack of consensus on deterrent effects</w:t>
      </w:r>
      <w:r w:rsidR="00F473A1">
        <w:rPr>
          <w:rFonts w:ascii="Times New Roman" w:eastAsiaTheme="majorEastAsia" w:hAnsi="Times New Roman" w:cs="Times New Roman"/>
          <w:bCs/>
          <w:sz w:val="24"/>
          <w:szCs w:val="26"/>
        </w:rPr>
        <w:t xml:space="preserve"> (</w:t>
      </w:r>
      <w:r w:rsidR="00CD33A4">
        <w:rPr>
          <w:rFonts w:ascii="Times New Roman" w:eastAsiaTheme="majorEastAsia" w:hAnsi="Times New Roman" w:cs="Times New Roman"/>
          <w:bCs/>
          <w:sz w:val="24"/>
          <w:szCs w:val="26"/>
        </w:rPr>
        <w:t xml:space="preserve">English and </w:t>
      </w:r>
      <w:proofErr w:type="spellStart"/>
      <w:r w:rsidR="00CD33A4">
        <w:rPr>
          <w:rFonts w:ascii="Times New Roman" w:eastAsiaTheme="majorEastAsia" w:hAnsi="Times New Roman" w:cs="Times New Roman"/>
          <w:bCs/>
          <w:sz w:val="24"/>
          <w:szCs w:val="26"/>
        </w:rPr>
        <w:t>Umbach</w:t>
      </w:r>
      <w:proofErr w:type="spellEnd"/>
      <w:r w:rsidR="00CD33A4">
        <w:rPr>
          <w:rFonts w:ascii="Times New Roman" w:eastAsiaTheme="majorEastAsia" w:hAnsi="Times New Roman" w:cs="Times New Roman"/>
          <w:bCs/>
          <w:sz w:val="24"/>
          <w:szCs w:val="26"/>
        </w:rPr>
        <w:t>, 2016</w:t>
      </w:r>
      <w:r w:rsidR="00F473A1">
        <w:rPr>
          <w:rFonts w:ascii="Times New Roman" w:eastAsiaTheme="majorEastAsia" w:hAnsi="Times New Roman" w:cs="Times New Roman"/>
          <w:bCs/>
          <w:sz w:val="24"/>
          <w:szCs w:val="26"/>
        </w:rPr>
        <w:t>)</w:t>
      </w:r>
      <w:r w:rsidRPr="003943E9">
        <w:rPr>
          <w:rFonts w:ascii="Times New Roman" w:eastAsiaTheme="majorEastAsia" w:hAnsi="Times New Roman" w:cs="Times New Roman"/>
          <w:bCs/>
          <w:sz w:val="24"/>
          <w:szCs w:val="26"/>
        </w:rPr>
        <w:t xml:space="preserve">. There are </w:t>
      </w:r>
      <w:r w:rsidR="006E5448">
        <w:rPr>
          <w:rFonts w:ascii="Times New Roman" w:eastAsiaTheme="majorEastAsia" w:hAnsi="Times New Roman" w:cs="Times New Roman"/>
          <w:bCs/>
          <w:sz w:val="24"/>
          <w:szCs w:val="26"/>
        </w:rPr>
        <w:t xml:space="preserve">virtually </w:t>
      </w:r>
      <w:r w:rsidRPr="003943E9">
        <w:rPr>
          <w:rFonts w:ascii="Times New Roman" w:eastAsiaTheme="majorEastAsia" w:hAnsi="Times New Roman" w:cs="Times New Roman"/>
          <w:bCs/>
          <w:sz w:val="24"/>
          <w:szCs w:val="26"/>
        </w:rPr>
        <w:t xml:space="preserve">no previous studies on the impact of student </w:t>
      </w:r>
      <w:r w:rsidRPr="003943E9">
        <w:rPr>
          <w:rFonts w:ascii="Times New Roman" w:eastAsiaTheme="majorEastAsia" w:hAnsi="Times New Roman" w:cs="Times New Roman"/>
          <w:bCs/>
          <w:sz w:val="24"/>
          <w:szCs w:val="26"/>
        </w:rPr>
        <w:lastRenderedPageBreak/>
        <w:t xml:space="preserve">debt on postgraduate enrolments in the UK and an absence of suitable datasets with which to explore the topic. Here, we present findings from a new multi-institutional study of graduates’ entry to postgraduate study which included measurement of student debt alongside other relevant variables. Our dataset enables a multivariate exploration of the factors associated with progression to postgraduate study by graduates </w:t>
      </w:r>
      <w:r w:rsidR="00F96A2F" w:rsidRPr="003943E9">
        <w:rPr>
          <w:rFonts w:ascii="Times New Roman" w:eastAsiaTheme="majorEastAsia" w:hAnsi="Times New Roman" w:cs="Times New Roman"/>
          <w:bCs/>
          <w:sz w:val="24"/>
          <w:szCs w:val="26"/>
        </w:rPr>
        <w:t xml:space="preserve">from six universities in two different years which </w:t>
      </w:r>
      <w:r w:rsidR="0064467D" w:rsidRPr="003943E9">
        <w:rPr>
          <w:rFonts w:ascii="Times New Roman" w:eastAsiaTheme="majorEastAsia" w:hAnsi="Times New Roman" w:cs="Times New Roman"/>
          <w:bCs/>
          <w:sz w:val="24"/>
          <w:szCs w:val="26"/>
        </w:rPr>
        <w:t>considers</w:t>
      </w:r>
      <w:r w:rsidR="00F96A2F" w:rsidRPr="003943E9">
        <w:rPr>
          <w:rFonts w:ascii="Times New Roman" w:eastAsiaTheme="majorEastAsia" w:hAnsi="Times New Roman" w:cs="Times New Roman"/>
          <w:bCs/>
          <w:sz w:val="24"/>
          <w:szCs w:val="26"/>
        </w:rPr>
        <w:t xml:space="preserve"> varying levels of student debt. We are thus able to investigate whether students with higher levels of debt are systematically less likely subsequently to enrol on postgraduate programmes; and to determine whether debt has a differential </w:t>
      </w:r>
      <w:r w:rsidR="0064467D">
        <w:rPr>
          <w:rFonts w:ascii="Times New Roman" w:eastAsiaTheme="majorEastAsia" w:hAnsi="Times New Roman" w:cs="Times New Roman"/>
          <w:bCs/>
          <w:sz w:val="24"/>
          <w:szCs w:val="26"/>
        </w:rPr>
        <w:t xml:space="preserve">enrolment </w:t>
      </w:r>
      <w:r w:rsidR="00F96A2F" w:rsidRPr="003943E9">
        <w:rPr>
          <w:rFonts w:ascii="Times New Roman" w:eastAsiaTheme="majorEastAsia" w:hAnsi="Times New Roman" w:cs="Times New Roman"/>
          <w:bCs/>
          <w:sz w:val="24"/>
          <w:szCs w:val="26"/>
        </w:rPr>
        <w:t>impact on those otherwise underreprese</w:t>
      </w:r>
      <w:r w:rsidR="006C28CB" w:rsidRPr="003943E9">
        <w:rPr>
          <w:rFonts w:ascii="Times New Roman" w:eastAsiaTheme="majorEastAsia" w:hAnsi="Times New Roman" w:cs="Times New Roman"/>
          <w:bCs/>
          <w:sz w:val="24"/>
          <w:szCs w:val="26"/>
        </w:rPr>
        <w:t xml:space="preserve">nted at postgraduate level. In so doing, we add to existing understanding of the impact of financial factors on higher education enrolment in relation to other socio-cultural and academic factors. England, with its ongoing ‘experiment’ in student funding, presents both a fresh and a novel case with which to investigate more general relationships. Our study therefore addresses the academic literature as well as providing indications of the likely effects of </w:t>
      </w:r>
      <w:r w:rsidR="00DF52E5">
        <w:rPr>
          <w:rFonts w:ascii="Times New Roman" w:eastAsiaTheme="majorEastAsia" w:hAnsi="Times New Roman" w:cs="Times New Roman"/>
          <w:bCs/>
          <w:sz w:val="24"/>
          <w:szCs w:val="26"/>
        </w:rPr>
        <w:t>recent</w:t>
      </w:r>
      <w:r w:rsidR="00DF52E5" w:rsidRPr="003943E9">
        <w:rPr>
          <w:rFonts w:ascii="Times New Roman" w:eastAsiaTheme="majorEastAsia" w:hAnsi="Times New Roman" w:cs="Times New Roman"/>
          <w:bCs/>
          <w:sz w:val="24"/>
          <w:szCs w:val="26"/>
        </w:rPr>
        <w:t xml:space="preserve"> </w:t>
      </w:r>
      <w:r w:rsidR="006C28CB" w:rsidRPr="003943E9">
        <w:rPr>
          <w:rFonts w:ascii="Times New Roman" w:eastAsiaTheme="majorEastAsia" w:hAnsi="Times New Roman" w:cs="Times New Roman"/>
          <w:bCs/>
          <w:sz w:val="24"/>
          <w:szCs w:val="26"/>
        </w:rPr>
        <w:t>and new English higher education student funding policies.</w:t>
      </w:r>
    </w:p>
    <w:p w14:paraId="517CD724" w14:textId="77777777" w:rsidR="00B91DBC" w:rsidRDefault="00B91DBC" w:rsidP="0073521F">
      <w:pPr>
        <w:spacing w:after="0" w:line="480" w:lineRule="auto"/>
        <w:ind w:firstLine="720"/>
        <w:rPr>
          <w:rFonts w:ascii="Times New Roman" w:eastAsiaTheme="majorEastAsia" w:hAnsi="Times New Roman" w:cs="Times New Roman"/>
          <w:bCs/>
          <w:sz w:val="24"/>
          <w:szCs w:val="26"/>
        </w:rPr>
      </w:pPr>
    </w:p>
    <w:p w14:paraId="7B388145" w14:textId="4AA30031" w:rsidR="00993E8E" w:rsidRPr="003943E9" w:rsidRDefault="00C25A57" w:rsidP="0073521F">
      <w:pPr>
        <w:spacing w:after="0" w:line="480" w:lineRule="auto"/>
        <w:rPr>
          <w:rFonts w:ascii="Times New Roman" w:eastAsiaTheme="majorEastAsia" w:hAnsi="Times New Roman" w:cs="Times New Roman"/>
          <w:b/>
          <w:bCs/>
          <w:sz w:val="26"/>
          <w:szCs w:val="26"/>
        </w:rPr>
      </w:pPr>
      <w:r w:rsidRPr="003943E9">
        <w:rPr>
          <w:rFonts w:ascii="Times New Roman" w:eastAsiaTheme="majorEastAsia" w:hAnsi="Times New Roman" w:cs="Times New Roman"/>
          <w:b/>
          <w:bCs/>
          <w:sz w:val="26"/>
          <w:szCs w:val="26"/>
        </w:rPr>
        <w:t>Debt and postgraduate study</w:t>
      </w:r>
    </w:p>
    <w:p w14:paraId="364B88F1" w14:textId="77777777" w:rsidR="0073521F" w:rsidRDefault="0073521F" w:rsidP="0073521F">
      <w:pPr>
        <w:spacing w:after="0" w:line="480" w:lineRule="auto"/>
        <w:rPr>
          <w:rFonts w:ascii="Times New Roman" w:eastAsiaTheme="majorEastAsia" w:hAnsi="Times New Roman" w:cs="Times New Roman"/>
          <w:bCs/>
          <w:i/>
          <w:sz w:val="24"/>
          <w:szCs w:val="26"/>
        </w:rPr>
      </w:pPr>
    </w:p>
    <w:p w14:paraId="6A4B226D" w14:textId="5F74AC80" w:rsidR="00C25A57" w:rsidRPr="003943E9" w:rsidRDefault="00C25A57" w:rsidP="0073521F">
      <w:pPr>
        <w:spacing w:after="0" w:line="480" w:lineRule="auto"/>
        <w:rPr>
          <w:rFonts w:ascii="Times New Roman" w:eastAsiaTheme="majorEastAsia" w:hAnsi="Times New Roman" w:cs="Times New Roman"/>
          <w:bCs/>
          <w:i/>
          <w:sz w:val="24"/>
          <w:szCs w:val="26"/>
        </w:rPr>
      </w:pPr>
      <w:r w:rsidRPr="003943E9">
        <w:rPr>
          <w:rFonts w:ascii="Times New Roman" w:eastAsiaTheme="majorEastAsia" w:hAnsi="Times New Roman" w:cs="Times New Roman"/>
          <w:bCs/>
          <w:i/>
          <w:sz w:val="24"/>
          <w:szCs w:val="26"/>
        </w:rPr>
        <w:t>English student funding context</w:t>
      </w:r>
    </w:p>
    <w:p w14:paraId="2E0A5414" w14:textId="77777777" w:rsidR="006E5448" w:rsidRDefault="006E5448" w:rsidP="0073521F">
      <w:pPr>
        <w:spacing w:after="0" w:line="480" w:lineRule="auto"/>
        <w:rPr>
          <w:rFonts w:ascii="Times New Roman" w:eastAsiaTheme="majorEastAsia" w:hAnsi="Times New Roman" w:cs="Times New Roman"/>
          <w:bCs/>
          <w:sz w:val="24"/>
          <w:szCs w:val="26"/>
        </w:rPr>
      </w:pPr>
    </w:p>
    <w:p w14:paraId="41ABE022" w14:textId="145F738E" w:rsidR="009A501E" w:rsidRPr="003943E9" w:rsidRDefault="00C25A57" w:rsidP="0073521F">
      <w:pPr>
        <w:spacing w:after="0" w:line="480" w:lineRule="auto"/>
        <w:rPr>
          <w:rFonts w:ascii="Times New Roman" w:eastAsiaTheme="majorEastAsia" w:hAnsi="Times New Roman" w:cs="Times New Roman"/>
          <w:bCs/>
          <w:sz w:val="24"/>
          <w:szCs w:val="26"/>
        </w:rPr>
      </w:pPr>
      <w:r w:rsidRPr="003943E9">
        <w:rPr>
          <w:rFonts w:ascii="Times New Roman" w:eastAsiaTheme="majorEastAsia" w:hAnsi="Times New Roman" w:cs="Times New Roman"/>
          <w:bCs/>
          <w:sz w:val="24"/>
          <w:szCs w:val="26"/>
        </w:rPr>
        <w:t xml:space="preserve">England has witnessed considerable change in the arrangements for student funding at undergraduate level </w:t>
      </w:r>
      <w:r w:rsidR="00612C2E">
        <w:rPr>
          <w:rFonts w:ascii="Times New Roman" w:eastAsiaTheme="majorEastAsia" w:hAnsi="Times New Roman" w:cs="Times New Roman"/>
          <w:bCs/>
          <w:sz w:val="24"/>
          <w:szCs w:val="26"/>
        </w:rPr>
        <w:t>since</w:t>
      </w:r>
      <w:r w:rsidRPr="003943E9">
        <w:rPr>
          <w:rFonts w:ascii="Times New Roman" w:eastAsiaTheme="majorEastAsia" w:hAnsi="Times New Roman" w:cs="Times New Roman"/>
          <w:bCs/>
          <w:sz w:val="24"/>
          <w:szCs w:val="26"/>
        </w:rPr>
        <w:t xml:space="preserve"> 1998</w:t>
      </w:r>
      <w:r w:rsidR="00AE1F9B">
        <w:rPr>
          <w:rFonts w:ascii="Times New Roman" w:eastAsiaTheme="majorEastAsia" w:hAnsi="Times New Roman" w:cs="Times New Roman"/>
          <w:bCs/>
          <w:sz w:val="24"/>
          <w:szCs w:val="26"/>
        </w:rPr>
        <w:t>.</w:t>
      </w:r>
      <w:r w:rsidR="00612C2E">
        <w:rPr>
          <w:rFonts w:ascii="Times New Roman" w:eastAsiaTheme="majorEastAsia" w:hAnsi="Times New Roman" w:cs="Times New Roman"/>
          <w:bCs/>
          <w:sz w:val="24"/>
          <w:szCs w:val="26"/>
        </w:rPr>
        <w:t xml:space="preserve"> Previously</w:t>
      </w:r>
      <w:r w:rsidRPr="003943E9">
        <w:rPr>
          <w:rFonts w:ascii="Times New Roman" w:eastAsiaTheme="majorEastAsia" w:hAnsi="Times New Roman" w:cs="Times New Roman"/>
          <w:bCs/>
          <w:sz w:val="24"/>
          <w:szCs w:val="26"/>
        </w:rPr>
        <w:t xml:space="preserve">, </w:t>
      </w:r>
      <w:r w:rsidR="009A501E" w:rsidRPr="003943E9">
        <w:rPr>
          <w:rFonts w:ascii="Times New Roman" w:eastAsiaTheme="majorEastAsia" w:hAnsi="Times New Roman" w:cs="Times New Roman"/>
          <w:bCs/>
          <w:sz w:val="24"/>
          <w:szCs w:val="26"/>
        </w:rPr>
        <w:t xml:space="preserve">UK and EU </w:t>
      </w:r>
      <w:r w:rsidRPr="003943E9">
        <w:rPr>
          <w:rFonts w:ascii="Times New Roman" w:eastAsiaTheme="majorEastAsia" w:hAnsi="Times New Roman" w:cs="Times New Roman"/>
          <w:bCs/>
          <w:sz w:val="24"/>
          <w:szCs w:val="26"/>
        </w:rPr>
        <w:t xml:space="preserve">students were not liable for tuition fees and were eligible </w:t>
      </w:r>
      <w:r w:rsidR="00CD33A4">
        <w:rPr>
          <w:rFonts w:ascii="Times New Roman" w:eastAsiaTheme="majorEastAsia" w:hAnsi="Times New Roman" w:cs="Times New Roman"/>
          <w:bCs/>
          <w:sz w:val="24"/>
          <w:szCs w:val="26"/>
        </w:rPr>
        <w:t>for</w:t>
      </w:r>
      <w:r w:rsidRPr="003943E9">
        <w:rPr>
          <w:rFonts w:ascii="Times New Roman" w:eastAsiaTheme="majorEastAsia" w:hAnsi="Times New Roman" w:cs="Times New Roman"/>
          <w:bCs/>
          <w:sz w:val="24"/>
          <w:szCs w:val="26"/>
        </w:rPr>
        <w:t xml:space="preserve"> means-tested maintenance grants (later loans). From 1998, tuition fees of maximum £1,000 per annum were introduced on a means-tested basis. From 2006, fees were increased to a maximum of £3,000</w:t>
      </w:r>
      <w:r w:rsidR="009A501E" w:rsidRPr="003943E9">
        <w:rPr>
          <w:rFonts w:ascii="Times New Roman" w:eastAsiaTheme="majorEastAsia" w:hAnsi="Times New Roman" w:cs="Times New Roman"/>
          <w:bCs/>
          <w:sz w:val="24"/>
          <w:szCs w:val="26"/>
        </w:rPr>
        <w:t xml:space="preserve">, with student loans offered to cover these and </w:t>
      </w:r>
      <w:r w:rsidR="009A501E" w:rsidRPr="003943E9">
        <w:rPr>
          <w:rFonts w:ascii="Times New Roman" w:eastAsiaTheme="majorEastAsia" w:hAnsi="Times New Roman" w:cs="Times New Roman"/>
          <w:bCs/>
          <w:sz w:val="24"/>
          <w:szCs w:val="26"/>
        </w:rPr>
        <w:lastRenderedPageBreak/>
        <w:t xml:space="preserve">living costs. Finally, from 2012 the maximum fee was raised to £9,000, again with loans offered to cover these costs. Maintenance funding is more complex, with a unified grant system and devolved institutional bursaries targeted mainly towards those from low-income families. The most recent changes have seen grants replaced by means-tested additional loans </w:t>
      </w:r>
      <w:r w:rsidR="00846A62">
        <w:rPr>
          <w:rFonts w:ascii="Times New Roman" w:eastAsiaTheme="majorEastAsia" w:hAnsi="Times New Roman" w:cs="Times New Roman"/>
          <w:bCs/>
          <w:sz w:val="24"/>
          <w:szCs w:val="26"/>
        </w:rPr>
        <w:t>and</w:t>
      </w:r>
      <w:r w:rsidR="009A501E" w:rsidRPr="003943E9">
        <w:rPr>
          <w:rFonts w:ascii="Times New Roman" w:eastAsiaTheme="majorEastAsia" w:hAnsi="Times New Roman" w:cs="Times New Roman"/>
          <w:bCs/>
          <w:sz w:val="24"/>
          <w:szCs w:val="26"/>
        </w:rPr>
        <w:t xml:space="preserve"> </w:t>
      </w:r>
      <w:r w:rsidR="00840221">
        <w:rPr>
          <w:rFonts w:ascii="Times New Roman" w:eastAsiaTheme="majorEastAsia" w:hAnsi="Times New Roman" w:cs="Times New Roman"/>
          <w:bCs/>
          <w:sz w:val="24"/>
          <w:szCs w:val="26"/>
        </w:rPr>
        <w:t>legislati</w:t>
      </w:r>
      <w:r w:rsidR="00846A62">
        <w:rPr>
          <w:rFonts w:ascii="Times New Roman" w:eastAsiaTheme="majorEastAsia" w:hAnsi="Times New Roman" w:cs="Times New Roman"/>
          <w:bCs/>
          <w:sz w:val="24"/>
          <w:szCs w:val="26"/>
        </w:rPr>
        <w:t>on</w:t>
      </w:r>
      <w:r w:rsidR="009A501E" w:rsidRPr="003943E9">
        <w:rPr>
          <w:rFonts w:ascii="Times New Roman" w:eastAsiaTheme="majorEastAsia" w:hAnsi="Times New Roman" w:cs="Times New Roman"/>
          <w:bCs/>
          <w:sz w:val="24"/>
          <w:szCs w:val="26"/>
        </w:rPr>
        <w:t xml:space="preserve"> to allow fees to rise above £9,000. The graduates in our study were undergraduates under the £3,000 regime.</w:t>
      </w:r>
    </w:p>
    <w:p w14:paraId="54C619A9" w14:textId="33CC1306" w:rsidR="009A501E" w:rsidRPr="003943E9" w:rsidRDefault="009A501E" w:rsidP="006E5448">
      <w:pPr>
        <w:spacing w:after="0" w:line="480" w:lineRule="auto"/>
        <w:ind w:firstLine="720"/>
        <w:rPr>
          <w:rFonts w:ascii="Times New Roman" w:eastAsiaTheme="majorEastAsia" w:hAnsi="Times New Roman" w:cs="Times New Roman"/>
          <w:bCs/>
          <w:sz w:val="24"/>
          <w:szCs w:val="26"/>
        </w:rPr>
      </w:pPr>
      <w:r w:rsidRPr="003943E9">
        <w:rPr>
          <w:rFonts w:ascii="Times New Roman" w:eastAsiaTheme="majorEastAsia" w:hAnsi="Times New Roman" w:cs="Times New Roman"/>
          <w:bCs/>
          <w:sz w:val="24"/>
          <w:szCs w:val="26"/>
        </w:rPr>
        <w:t xml:space="preserve">In contrast, funding arrangements for postgraduate students have altered little. Essentially there </w:t>
      </w:r>
      <w:r w:rsidR="00EA2746">
        <w:rPr>
          <w:rFonts w:ascii="Times New Roman" w:eastAsiaTheme="majorEastAsia" w:hAnsi="Times New Roman" w:cs="Times New Roman"/>
          <w:bCs/>
          <w:sz w:val="24"/>
          <w:szCs w:val="26"/>
        </w:rPr>
        <w:t>has been</w:t>
      </w:r>
      <w:r w:rsidR="00EA2746" w:rsidRPr="003943E9">
        <w:rPr>
          <w:rFonts w:ascii="Times New Roman" w:eastAsiaTheme="majorEastAsia" w:hAnsi="Times New Roman" w:cs="Times New Roman"/>
          <w:bCs/>
          <w:sz w:val="24"/>
          <w:szCs w:val="26"/>
        </w:rPr>
        <w:t xml:space="preserve"> </w:t>
      </w:r>
      <w:r w:rsidR="00846A62">
        <w:rPr>
          <w:rFonts w:ascii="Times New Roman" w:eastAsiaTheme="majorEastAsia" w:hAnsi="Times New Roman" w:cs="Times New Roman"/>
          <w:bCs/>
          <w:sz w:val="24"/>
          <w:szCs w:val="26"/>
        </w:rPr>
        <w:t>scant</w:t>
      </w:r>
      <w:r w:rsidRPr="003943E9">
        <w:rPr>
          <w:rFonts w:ascii="Times New Roman" w:eastAsiaTheme="majorEastAsia" w:hAnsi="Times New Roman" w:cs="Times New Roman"/>
          <w:bCs/>
          <w:sz w:val="24"/>
          <w:szCs w:val="26"/>
        </w:rPr>
        <w:t xml:space="preserve"> state loan or grant funding for taught postgraduate study, outside specialist areas such as teacher training. Tuition fee</w:t>
      </w:r>
      <w:r w:rsidR="00612C2E">
        <w:rPr>
          <w:rFonts w:ascii="Times New Roman" w:eastAsiaTheme="majorEastAsia" w:hAnsi="Times New Roman" w:cs="Times New Roman"/>
          <w:bCs/>
          <w:sz w:val="24"/>
          <w:szCs w:val="26"/>
        </w:rPr>
        <w:t>s</w:t>
      </w:r>
      <w:r w:rsidRPr="003943E9">
        <w:rPr>
          <w:rFonts w:ascii="Times New Roman" w:eastAsiaTheme="majorEastAsia" w:hAnsi="Times New Roman" w:cs="Times New Roman"/>
          <w:bCs/>
          <w:sz w:val="24"/>
          <w:szCs w:val="26"/>
        </w:rPr>
        <w:t xml:space="preserve"> for </w:t>
      </w:r>
      <w:r w:rsidR="00612C2E">
        <w:rPr>
          <w:rFonts w:ascii="Times New Roman" w:eastAsiaTheme="majorEastAsia" w:hAnsi="Times New Roman" w:cs="Times New Roman"/>
          <w:bCs/>
          <w:sz w:val="24"/>
          <w:szCs w:val="26"/>
        </w:rPr>
        <w:t>most</w:t>
      </w:r>
      <w:r w:rsidRPr="003943E9">
        <w:rPr>
          <w:rFonts w:ascii="Times New Roman" w:eastAsiaTheme="majorEastAsia" w:hAnsi="Times New Roman" w:cs="Times New Roman"/>
          <w:bCs/>
          <w:sz w:val="24"/>
          <w:szCs w:val="26"/>
        </w:rPr>
        <w:t xml:space="preserve"> courses are unregulated and vary substantially, with many being lower than at</w:t>
      </w:r>
      <w:r w:rsidR="00C97973" w:rsidRPr="003943E9">
        <w:rPr>
          <w:rFonts w:ascii="Times New Roman" w:eastAsiaTheme="majorEastAsia" w:hAnsi="Times New Roman" w:cs="Times New Roman"/>
          <w:bCs/>
          <w:sz w:val="24"/>
          <w:szCs w:val="26"/>
        </w:rPr>
        <w:t xml:space="preserve"> undergraduate level but in some areas reaching £20,000+. In </w:t>
      </w:r>
      <w:r w:rsidR="00534129">
        <w:rPr>
          <w:rFonts w:ascii="Times New Roman" w:eastAsiaTheme="majorEastAsia" w:hAnsi="Times New Roman" w:cs="Times New Roman"/>
          <w:bCs/>
          <w:sz w:val="24"/>
          <w:szCs w:val="26"/>
        </w:rPr>
        <w:t>2011/12</w:t>
      </w:r>
      <w:r w:rsidR="00C97973" w:rsidRPr="003943E9">
        <w:rPr>
          <w:rFonts w:ascii="Times New Roman" w:eastAsiaTheme="majorEastAsia" w:hAnsi="Times New Roman" w:cs="Times New Roman"/>
          <w:bCs/>
          <w:sz w:val="24"/>
          <w:szCs w:val="26"/>
        </w:rPr>
        <w:t xml:space="preserve"> the median taught </w:t>
      </w:r>
      <w:r w:rsidR="00C97973" w:rsidRPr="00872A63">
        <w:rPr>
          <w:rFonts w:ascii="Times New Roman" w:eastAsiaTheme="majorEastAsia" w:hAnsi="Times New Roman" w:cs="Times New Roman"/>
          <w:bCs/>
          <w:sz w:val="24"/>
          <w:szCs w:val="26"/>
        </w:rPr>
        <w:t xml:space="preserve">postgraduate tuition fee was </w:t>
      </w:r>
      <w:r w:rsidR="00534129" w:rsidRPr="00872A63">
        <w:rPr>
          <w:rFonts w:ascii="Times New Roman" w:eastAsiaTheme="majorEastAsia" w:hAnsi="Times New Roman" w:cs="Times New Roman"/>
          <w:bCs/>
          <w:sz w:val="24"/>
          <w:szCs w:val="26"/>
        </w:rPr>
        <w:t>estimated at £4,605 (HEFCE, 2013a</w:t>
      </w:r>
      <w:r w:rsidR="00217014" w:rsidRPr="00872A63">
        <w:rPr>
          <w:rFonts w:ascii="Times New Roman" w:eastAsiaTheme="majorEastAsia" w:hAnsi="Times New Roman" w:cs="Times New Roman"/>
          <w:bCs/>
          <w:sz w:val="24"/>
          <w:szCs w:val="26"/>
        </w:rPr>
        <w:t>: 47</w:t>
      </w:r>
      <w:r w:rsidR="008005AC" w:rsidRPr="00872A63">
        <w:rPr>
          <w:rFonts w:ascii="Times New Roman" w:eastAsiaTheme="majorEastAsia" w:hAnsi="Times New Roman" w:cs="Times New Roman"/>
          <w:bCs/>
          <w:sz w:val="24"/>
          <w:szCs w:val="26"/>
        </w:rPr>
        <w:t>)</w:t>
      </w:r>
      <w:r w:rsidR="00217014" w:rsidRPr="00872A63">
        <w:rPr>
          <w:rFonts w:ascii="Times New Roman" w:eastAsiaTheme="majorEastAsia" w:hAnsi="Times New Roman" w:cs="Times New Roman"/>
          <w:bCs/>
          <w:sz w:val="24"/>
          <w:szCs w:val="26"/>
        </w:rPr>
        <w:t>.</w:t>
      </w:r>
      <w:r w:rsidR="00C97973" w:rsidRPr="00872A63">
        <w:rPr>
          <w:rFonts w:ascii="Times New Roman" w:eastAsiaTheme="majorEastAsia" w:hAnsi="Times New Roman" w:cs="Times New Roman"/>
          <w:bCs/>
          <w:sz w:val="24"/>
          <w:szCs w:val="26"/>
        </w:rPr>
        <w:t xml:space="preserve"> </w:t>
      </w:r>
      <w:r w:rsidRPr="00872A63">
        <w:rPr>
          <w:rFonts w:ascii="Times New Roman" w:eastAsiaTheme="majorEastAsia" w:hAnsi="Times New Roman" w:cs="Times New Roman"/>
          <w:bCs/>
          <w:sz w:val="24"/>
          <w:szCs w:val="26"/>
        </w:rPr>
        <w:t>Around three-quarters</w:t>
      </w:r>
      <w:r w:rsidRPr="003943E9">
        <w:rPr>
          <w:rFonts w:ascii="Times New Roman" w:eastAsiaTheme="majorEastAsia" w:hAnsi="Times New Roman" w:cs="Times New Roman"/>
          <w:bCs/>
          <w:sz w:val="24"/>
          <w:szCs w:val="26"/>
        </w:rPr>
        <w:t xml:space="preserve"> of full-time UK</w:t>
      </w:r>
      <w:r w:rsidR="00612C2E">
        <w:rPr>
          <w:rFonts w:ascii="Times New Roman" w:eastAsiaTheme="majorEastAsia" w:hAnsi="Times New Roman" w:cs="Times New Roman"/>
          <w:bCs/>
          <w:sz w:val="24"/>
          <w:szCs w:val="26"/>
        </w:rPr>
        <w:t>-domiciled</w:t>
      </w:r>
      <w:r w:rsidRPr="003943E9">
        <w:rPr>
          <w:rFonts w:ascii="Times New Roman" w:eastAsiaTheme="majorEastAsia" w:hAnsi="Times New Roman" w:cs="Times New Roman"/>
          <w:bCs/>
          <w:sz w:val="24"/>
          <w:szCs w:val="26"/>
        </w:rPr>
        <w:t xml:space="preserve"> taught </w:t>
      </w:r>
      <w:r w:rsidRPr="00F249C5">
        <w:rPr>
          <w:rFonts w:ascii="Times New Roman" w:eastAsiaTheme="majorEastAsia" w:hAnsi="Times New Roman" w:cs="Times New Roman"/>
          <w:bCs/>
          <w:sz w:val="24"/>
          <w:szCs w:val="26"/>
        </w:rPr>
        <w:t>postgraduates have no financial sponsor and hence must pay fees from their own and/or their family’s resources. Research students are much less likely to be self-</w:t>
      </w:r>
      <w:r w:rsidRPr="003943E9">
        <w:rPr>
          <w:rFonts w:ascii="Times New Roman" w:eastAsiaTheme="majorEastAsia" w:hAnsi="Times New Roman" w:cs="Times New Roman"/>
          <w:bCs/>
          <w:sz w:val="24"/>
          <w:szCs w:val="26"/>
        </w:rPr>
        <w:t>funding – just over one-third fall into this category – although competition for state, charitable, institutional or industrial scholarships can be intense</w:t>
      </w:r>
      <w:r w:rsidR="00217014">
        <w:rPr>
          <w:rFonts w:ascii="Times New Roman" w:eastAsiaTheme="majorEastAsia" w:hAnsi="Times New Roman" w:cs="Times New Roman"/>
          <w:bCs/>
          <w:sz w:val="24"/>
          <w:szCs w:val="26"/>
        </w:rPr>
        <w:t xml:space="preserve"> (BIS, 2015)</w:t>
      </w:r>
      <w:r w:rsidRPr="003943E9">
        <w:rPr>
          <w:rFonts w:ascii="Times New Roman" w:eastAsiaTheme="majorEastAsia" w:hAnsi="Times New Roman" w:cs="Times New Roman"/>
          <w:bCs/>
          <w:sz w:val="24"/>
          <w:szCs w:val="26"/>
        </w:rPr>
        <w:t xml:space="preserve">. </w:t>
      </w:r>
      <w:r w:rsidR="0000745D">
        <w:rPr>
          <w:rFonts w:ascii="Times New Roman" w:eastAsiaTheme="majorEastAsia" w:hAnsi="Times New Roman" w:cs="Times New Roman"/>
          <w:bCs/>
          <w:sz w:val="24"/>
          <w:szCs w:val="26"/>
        </w:rPr>
        <w:t>L</w:t>
      </w:r>
      <w:r w:rsidRPr="003943E9">
        <w:rPr>
          <w:rFonts w:ascii="Times New Roman" w:eastAsiaTheme="majorEastAsia" w:hAnsi="Times New Roman" w:cs="Times New Roman"/>
          <w:bCs/>
          <w:sz w:val="24"/>
          <w:szCs w:val="26"/>
        </w:rPr>
        <w:t>oans of up to £10,000 for postgraduate master</w:t>
      </w:r>
      <w:r w:rsidR="0025476E">
        <w:rPr>
          <w:rFonts w:ascii="Times New Roman" w:eastAsiaTheme="majorEastAsia" w:hAnsi="Times New Roman" w:cs="Times New Roman"/>
          <w:bCs/>
          <w:sz w:val="24"/>
          <w:szCs w:val="26"/>
        </w:rPr>
        <w:t>’</w:t>
      </w:r>
      <w:r w:rsidRPr="003943E9">
        <w:rPr>
          <w:rFonts w:ascii="Times New Roman" w:eastAsiaTheme="majorEastAsia" w:hAnsi="Times New Roman" w:cs="Times New Roman"/>
          <w:bCs/>
          <w:sz w:val="24"/>
          <w:szCs w:val="26"/>
        </w:rPr>
        <w:t xml:space="preserve">s study </w:t>
      </w:r>
      <w:r w:rsidR="00D6514F">
        <w:rPr>
          <w:rFonts w:ascii="Times New Roman" w:eastAsiaTheme="majorEastAsia" w:hAnsi="Times New Roman" w:cs="Times New Roman"/>
          <w:bCs/>
          <w:sz w:val="24"/>
          <w:szCs w:val="26"/>
        </w:rPr>
        <w:t xml:space="preserve">became </w:t>
      </w:r>
      <w:r w:rsidR="0000745D">
        <w:rPr>
          <w:rFonts w:ascii="Times New Roman" w:eastAsiaTheme="majorEastAsia" w:hAnsi="Times New Roman" w:cs="Times New Roman"/>
          <w:bCs/>
          <w:sz w:val="24"/>
          <w:szCs w:val="26"/>
        </w:rPr>
        <w:t>available in England from</w:t>
      </w:r>
      <w:r w:rsidRPr="003943E9">
        <w:rPr>
          <w:rFonts w:ascii="Times New Roman" w:eastAsiaTheme="majorEastAsia" w:hAnsi="Times New Roman" w:cs="Times New Roman"/>
          <w:bCs/>
          <w:sz w:val="24"/>
          <w:szCs w:val="26"/>
        </w:rPr>
        <w:t xml:space="preserve"> 2016 </w:t>
      </w:r>
      <w:r w:rsidR="0000745D">
        <w:rPr>
          <w:rFonts w:ascii="Times New Roman" w:eastAsiaTheme="majorEastAsia" w:hAnsi="Times New Roman" w:cs="Times New Roman"/>
          <w:bCs/>
          <w:sz w:val="24"/>
          <w:szCs w:val="26"/>
        </w:rPr>
        <w:t xml:space="preserve">with </w:t>
      </w:r>
      <w:r w:rsidRPr="003943E9">
        <w:rPr>
          <w:rFonts w:ascii="Times New Roman" w:eastAsiaTheme="majorEastAsia" w:hAnsi="Times New Roman" w:cs="Times New Roman"/>
          <w:bCs/>
          <w:sz w:val="24"/>
          <w:szCs w:val="26"/>
        </w:rPr>
        <w:t>loans of up to £25,000 fo</w:t>
      </w:r>
      <w:r w:rsidR="0084155E">
        <w:rPr>
          <w:rFonts w:ascii="Times New Roman" w:eastAsiaTheme="majorEastAsia" w:hAnsi="Times New Roman" w:cs="Times New Roman"/>
          <w:bCs/>
          <w:sz w:val="24"/>
          <w:szCs w:val="26"/>
        </w:rPr>
        <w:t xml:space="preserve">r doctoral study </w:t>
      </w:r>
      <w:r w:rsidR="00CB590C">
        <w:rPr>
          <w:rFonts w:ascii="Times New Roman" w:eastAsiaTheme="majorEastAsia" w:hAnsi="Times New Roman" w:cs="Times New Roman"/>
          <w:bCs/>
          <w:sz w:val="24"/>
          <w:szCs w:val="26"/>
        </w:rPr>
        <w:t>arriving in</w:t>
      </w:r>
      <w:r w:rsidR="0000745D">
        <w:rPr>
          <w:rFonts w:ascii="Times New Roman" w:eastAsiaTheme="majorEastAsia" w:hAnsi="Times New Roman" w:cs="Times New Roman"/>
          <w:bCs/>
          <w:sz w:val="24"/>
          <w:szCs w:val="26"/>
        </w:rPr>
        <w:t xml:space="preserve"> 2018</w:t>
      </w:r>
      <w:r w:rsidRPr="003943E9">
        <w:rPr>
          <w:rFonts w:ascii="Times New Roman" w:eastAsiaTheme="majorEastAsia" w:hAnsi="Times New Roman" w:cs="Times New Roman"/>
          <w:bCs/>
          <w:sz w:val="24"/>
          <w:szCs w:val="26"/>
        </w:rPr>
        <w:t>.</w:t>
      </w:r>
    </w:p>
    <w:p w14:paraId="1D46318C" w14:textId="569F1280" w:rsidR="004766BA" w:rsidRDefault="00612C2E" w:rsidP="001B765D">
      <w:pPr>
        <w:spacing w:after="0" w:line="480" w:lineRule="auto"/>
        <w:ind w:firstLine="720"/>
        <w:rPr>
          <w:rFonts w:ascii="Times New Roman" w:eastAsiaTheme="majorEastAsia" w:hAnsi="Times New Roman" w:cs="Times New Roman"/>
          <w:bCs/>
          <w:sz w:val="24"/>
          <w:szCs w:val="26"/>
        </w:rPr>
      </w:pPr>
      <w:r>
        <w:rPr>
          <w:rFonts w:ascii="Times New Roman" w:eastAsiaTheme="majorEastAsia" w:hAnsi="Times New Roman" w:cs="Times New Roman"/>
          <w:bCs/>
          <w:sz w:val="24"/>
          <w:szCs w:val="26"/>
        </w:rPr>
        <w:t>I</w:t>
      </w:r>
      <w:r w:rsidR="00171635">
        <w:rPr>
          <w:rFonts w:ascii="Times New Roman" w:eastAsiaTheme="majorEastAsia" w:hAnsi="Times New Roman" w:cs="Times New Roman"/>
          <w:bCs/>
          <w:sz w:val="24"/>
          <w:szCs w:val="26"/>
        </w:rPr>
        <w:t>t is difficult to obtain</w:t>
      </w:r>
      <w:r w:rsidR="007C5D50">
        <w:rPr>
          <w:rFonts w:ascii="Times New Roman" w:eastAsiaTheme="majorEastAsia" w:hAnsi="Times New Roman" w:cs="Times New Roman"/>
          <w:bCs/>
          <w:sz w:val="24"/>
          <w:szCs w:val="26"/>
        </w:rPr>
        <w:t xml:space="preserve"> </w:t>
      </w:r>
      <w:r w:rsidR="00171635">
        <w:rPr>
          <w:rFonts w:ascii="Times New Roman" w:eastAsiaTheme="majorEastAsia" w:hAnsi="Times New Roman" w:cs="Times New Roman"/>
          <w:bCs/>
          <w:sz w:val="24"/>
          <w:szCs w:val="26"/>
        </w:rPr>
        <w:t xml:space="preserve">reliable estimates of </w:t>
      </w:r>
      <w:r w:rsidR="007C5D50">
        <w:rPr>
          <w:rFonts w:ascii="Times New Roman" w:eastAsiaTheme="majorEastAsia" w:hAnsi="Times New Roman" w:cs="Times New Roman"/>
          <w:bCs/>
          <w:sz w:val="24"/>
          <w:szCs w:val="26"/>
        </w:rPr>
        <w:t xml:space="preserve">UK student debt levels, </w:t>
      </w:r>
      <w:r>
        <w:rPr>
          <w:rFonts w:ascii="Times New Roman" w:eastAsiaTheme="majorEastAsia" w:hAnsi="Times New Roman" w:cs="Times New Roman"/>
          <w:bCs/>
          <w:sz w:val="24"/>
          <w:szCs w:val="26"/>
        </w:rPr>
        <w:t xml:space="preserve">but given changes to student funding </w:t>
      </w:r>
      <w:proofErr w:type="gramStart"/>
      <w:r w:rsidR="007C5D50">
        <w:rPr>
          <w:rFonts w:ascii="Times New Roman" w:eastAsiaTheme="majorEastAsia" w:hAnsi="Times New Roman" w:cs="Times New Roman"/>
          <w:bCs/>
          <w:sz w:val="24"/>
          <w:szCs w:val="26"/>
        </w:rPr>
        <w:t>it is clear that they</w:t>
      </w:r>
      <w:proofErr w:type="gramEnd"/>
      <w:r w:rsidR="007C5D50">
        <w:rPr>
          <w:rFonts w:ascii="Times New Roman" w:eastAsiaTheme="majorEastAsia" w:hAnsi="Times New Roman" w:cs="Times New Roman"/>
          <w:bCs/>
          <w:sz w:val="24"/>
          <w:szCs w:val="26"/>
        </w:rPr>
        <w:t xml:space="preserve"> have increased substantially. Reviewing </w:t>
      </w:r>
      <w:r>
        <w:rPr>
          <w:rFonts w:ascii="Times New Roman" w:eastAsiaTheme="majorEastAsia" w:hAnsi="Times New Roman" w:cs="Times New Roman"/>
          <w:bCs/>
          <w:sz w:val="24"/>
          <w:szCs w:val="26"/>
        </w:rPr>
        <w:t>various</w:t>
      </w:r>
      <w:r w:rsidR="007C5D50" w:rsidRPr="00872A63">
        <w:rPr>
          <w:rFonts w:ascii="Times New Roman" w:eastAsiaTheme="majorEastAsia" w:hAnsi="Times New Roman" w:cs="Times New Roman"/>
          <w:bCs/>
          <w:sz w:val="24"/>
          <w:szCs w:val="26"/>
        </w:rPr>
        <w:t xml:space="preserve"> evidence over the period 1994 – 2011, </w:t>
      </w:r>
      <w:proofErr w:type="spellStart"/>
      <w:r w:rsidR="007C5D50" w:rsidRPr="00872A63">
        <w:rPr>
          <w:rFonts w:ascii="Times New Roman" w:eastAsiaTheme="majorEastAsia" w:hAnsi="Times New Roman" w:cs="Times New Roman"/>
          <w:bCs/>
          <w:sz w:val="24"/>
          <w:szCs w:val="26"/>
        </w:rPr>
        <w:t>Bachan</w:t>
      </w:r>
      <w:proofErr w:type="spellEnd"/>
      <w:r w:rsidR="007C5D50" w:rsidRPr="00872A63">
        <w:rPr>
          <w:rFonts w:ascii="Times New Roman" w:eastAsiaTheme="majorEastAsia" w:hAnsi="Times New Roman" w:cs="Times New Roman"/>
          <w:bCs/>
          <w:sz w:val="24"/>
          <w:szCs w:val="26"/>
        </w:rPr>
        <w:t xml:space="preserve"> (2013) reports average</w:t>
      </w:r>
      <w:r w:rsidR="007C5D50">
        <w:rPr>
          <w:rFonts w:ascii="Times New Roman" w:eastAsiaTheme="majorEastAsia" w:hAnsi="Times New Roman" w:cs="Times New Roman"/>
          <w:bCs/>
          <w:sz w:val="24"/>
          <w:szCs w:val="26"/>
        </w:rPr>
        <w:t xml:space="preserve"> </w:t>
      </w:r>
      <w:r w:rsidR="008005AC" w:rsidRPr="003943E9">
        <w:rPr>
          <w:rFonts w:ascii="Times New Roman" w:eastAsiaTheme="majorEastAsia" w:hAnsi="Times New Roman" w:cs="Times New Roman"/>
          <w:bCs/>
          <w:sz w:val="24"/>
          <w:szCs w:val="26"/>
        </w:rPr>
        <w:t xml:space="preserve">borrowing </w:t>
      </w:r>
      <w:r w:rsidR="007C5D50">
        <w:rPr>
          <w:rFonts w:ascii="Times New Roman" w:eastAsiaTheme="majorEastAsia" w:hAnsi="Times New Roman" w:cs="Times New Roman"/>
          <w:bCs/>
          <w:sz w:val="24"/>
          <w:szCs w:val="26"/>
        </w:rPr>
        <w:t>approaching £25,000 by the end of the period.</w:t>
      </w:r>
      <w:r w:rsidR="008005AC" w:rsidRPr="003943E9">
        <w:rPr>
          <w:rFonts w:ascii="Times New Roman" w:eastAsiaTheme="majorEastAsia" w:hAnsi="Times New Roman" w:cs="Times New Roman"/>
          <w:bCs/>
          <w:sz w:val="24"/>
          <w:szCs w:val="26"/>
        </w:rPr>
        <w:t xml:space="preserve"> The maximum </w:t>
      </w:r>
      <w:r w:rsidR="00523F89">
        <w:rPr>
          <w:rFonts w:ascii="Times New Roman" w:eastAsiaTheme="majorEastAsia" w:hAnsi="Times New Roman" w:cs="Times New Roman"/>
          <w:bCs/>
          <w:sz w:val="24"/>
          <w:szCs w:val="26"/>
        </w:rPr>
        <w:t xml:space="preserve">loan </w:t>
      </w:r>
      <w:r w:rsidR="008005AC" w:rsidRPr="003943E9">
        <w:rPr>
          <w:rFonts w:ascii="Times New Roman" w:eastAsiaTheme="majorEastAsia" w:hAnsi="Times New Roman" w:cs="Times New Roman"/>
          <w:bCs/>
          <w:sz w:val="24"/>
          <w:szCs w:val="26"/>
        </w:rPr>
        <w:t xml:space="preserve">amount </w:t>
      </w:r>
      <w:r w:rsidR="00523F89">
        <w:rPr>
          <w:rFonts w:ascii="Times New Roman" w:eastAsiaTheme="majorEastAsia" w:hAnsi="Times New Roman" w:cs="Times New Roman"/>
          <w:bCs/>
          <w:sz w:val="24"/>
          <w:szCs w:val="26"/>
        </w:rPr>
        <w:t>for</w:t>
      </w:r>
      <w:r w:rsidR="008005AC" w:rsidRPr="003943E9">
        <w:rPr>
          <w:rFonts w:ascii="Times New Roman" w:eastAsiaTheme="majorEastAsia" w:hAnsi="Times New Roman" w:cs="Times New Roman"/>
          <w:bCs/>
          <w:sz w:val="24"/>
          <w:szCs w:val="26"/>
        </w:rPr>
        <w:t xml:space="preserve"> an </w:t>
      </w:r>
      <w:r w:rsidR="007C5D50">
        <w:rPr>
          <w:rFonts w:ascii="Times New Roman" w:eastAsiaTheme="majorEastAsia" w:hAnsi="Times New Roman" w:cs="Times New Roman"/>
          <w:bCs/>
          <w:sz w:val="24"/>
          <w:szCs w:val="26"/>
        </w:rPr>
        <w:t xml:space="preserve">English-domiciled full-time </w:t>
      </w:r>
      <w:r w:rsidR="008005AC" w:rsidRPr="003943E9">
        <w:rPr>
          <w:rFonts w:ascii="Times New Roman" w:eastAsiaTheme="majorEastAsia" w:hAnsi="Times New Roman" w:cs="Times New Roman"/>
          <w:bCs/>
          <w:sz w:val="24"/>
          <w:szCs w:val="26"/>
        </w:rPr>
        <w:t xml:space="preserve">undergraduate student on a three-year degree </w:t>
      </w:r>
      <w:r w:rsidR="007C5D50">
        <w:rPr>
          <w:rFonts w:ascii="Times New Roman" w:eastAsiaTheme="majorEastAsia" w:hAnsi="Times New Roman" w:cs="Times New Roman"/>
          <w:bCs/>
          <w:sz w:val="24"/>
          <w:szCs w:val="26"/>
        </w:rPr>
        <w:t xml:space="preserve">entering university in 2016 </w:t>
      </w:r>
      <w:r w:rsidR="008005AC" w:rsidRPr="003943E9">
        <w:rPr>
          <w:rFonts w:ascii="Times New Roman" w:eastAsiaTheme="majorEastAsia" w:hAnsi="Times New Roman" w:cs="Times New Roman"/>
          <w:bCs/>
          <w:sz w:val="24"/>
          <w:szCs w:val="26"/>
        </w:rPr>
        <w:t xml:space="preserve">stands at </w:t>
      </w:r>
      <w:r w:rsidR="007C5D50">
        <w:rPr>
          <w:rFonts w:ascii="Times New Roman" w:eastAsiaTheme="majorEastAsia" w:hAnsi="Times New Roman" w:cs="Times New Roman"/>
          <w:bCs/>
          <w:sz w:val="24"/>
          <w:szCs w:val="26"/>
        </w:rPr>
        <w:t>£58,000 over the course of their degree</w:t>
      </w:r>
      <w:r w:rsidR="004766BA">
        <w:rPr>
          <w:rStyle w:val="EndnoteReference"/>
          <w:rFonts w:ascii="Times New Roman" w:eastAsiaTheme="majorEastAsia" w:hAnsi="Times New Roman" w:cs="Times New Roman"/>
          <w:bCs/>
          <w:sz w:val="24"/>
          <w:szCs w:val="26"/>
        </w:rPr>
        <w:endnoteReference w:id="1"/>
      </w:r>
      <w:r w:rsidR="004766BA">
        <w:rPr>
          <w:rFonts w:ascii="Times New Roman" w:eastAsiaTheme="majorEastAsia" w:hAnsi="Times New Roman" w:cs="Times New Roman"/>
          <w:bCs/>
          <w:sz w:val="24"/>
          <w:szCs w:val="26"/>
        </w:rPr>
        <w:t xml:space="preserve">. While this is a maximum, it compares unfavourably </w:t>
      </w:r>
      <w:r w:rsidR="004766BA">
        <w:rPr>
          <w:rFonts w:ascii="Times New Roman" w:eastAsiaTheme="majorEastAsia" w:hAnsi="Times New Roman" w:cs="Times New Roman"/>
          <w:bCs/>
          <w:sz w:val="24"/>
          <w:szCs w:val="26"/>
        </w:rPr>
        <w:lastRenderedPageBreak/>
        <w:t>with college debts in the USA, which were estimated to average $28,400 (around £20,000) among the 69</w:t>
      </w:r>
      <w:r w:rsidR="00132FA1">
        <w:rPr>
          <w:rFonts w:ascii="Times New Roman" w:eastAsiaTheme="majorEastAsia" w:hAnsi="Times New Roman" w:cs="Times New Roman"/>
          <w:bCs/>
          <w:sz w:val="24"/>
          <w:szCs w:val="26"/>
        </w:rPr>
        <w:t>%</w:t>
      </w:r>
      <w:r w:rsidR="004766BA">
        <w:rPr>
          <w:rFonts w:ascii="Times New Roman" w:eastAsiaTheme="majorEastAsia" w:hAnsi="Times New Roman" w:cs="Times New Roman"/>
          <w:bCs/>
          <w:sz w:val="24"/>
          <w:szCs w:val="26"/>
        </w:rPr>
        <w:t xml:space="preserve"> of graduates who </w:t>
      </w:r>
      <w:r w:rsidR="004766BA" w:rsidRPr="00872A63">
        <w:rPr>
          <w:rFonts w:ascii="Times New Roman" w:eastAsiaTheme="majorEastAsia" w:hAnsi="Times New Roman" w:cs="Times New Roman"/>
          <w:bCs/>
          <w:sz w:val="24"/>
          <w:szCs w:val="26"/>
        </w:rPr>
        <w:t>reported debts (Reed and Cochrane, 2014: 1).</w:t>
      </w:r>
    </w:p>
    <w:p w14:paraId="1FF4AB93" w14:textId="77777777" w:rsidR="004766BA" w:rsidRPr="003943E9" w:rsidRDefault="004766BA" w:rsidP="001B765D">
      <w:pPr>
        <w:spacing w:after="0" w:line="480" w:lineRule="auto"/>
        <w:ind w:firstLine="720"/>
        <w:rPr>
          <w:rFonts w:ascii="Times New Roman" w:eastAsiaTheme="majorEastAsia" w:hAnsi="Times New Roman" w:cs="Times New Roman"/>
          <w:bCs/>
          <w:sz w:val="24"/>
          <w:szCs w:val="26"/>
        </w:rPr>
      </w:pPr>
    </w:p>
    <w:p w14:paraId="6D3E46BF" w14:textId="1DC5B7BD" w:rsidR="004766BA" w:rsidRPr="00942FAA" w:rsidRDefault="004766BA" w:rsidP="0073521F">
      <w:pPr>
        <w:spacing w:after="0" w:line="480" w:lineRule="auto"/>
        <w:rPr>
          <w:rFonts w:ascii="Times New Roman" w:eastAsiaTheme="majorEastAsia" w:hAnsi="Times New Roman" w:cs="Times New Roman"/>
          <w:bCs/>
          <w:i/>
          <w:sz w:val="24"/>
          <w:szCs w:val="26"/>
        </w:rPr>
      </w:pPr>
      <w:r>
        <w:rPr>
          <w:rFonts w:ascii="Times New Roman" w:eastAsiaTheme="majorEastAsia" w:hAnsi="Times New Roman" w:cs="Times New Roman"/>
          <w:bCs/>
          <w:i/>
          <w:sz w:val="24"/>
          <w:szCs w:val="26"/>
        </w:rPr>
        <w:t>Undergraduate student debts</w:t>
      </w:r>
    </w:p>
    <w:p w14:paraId="0866E99E" w14:textId="77777777" w:rsidR="004766BA" w:rsidRDefault="004766BA" w:rsidP="0073521F">
      <w:pPr>
        <w:spacing w:after="0" w:line="480" w:lineRule="auto"/>
        <w:rPr>
          <w:rFonts w:ascii="Times New Roman" w:eastAsiaTheme="majorEastAsia" w:hAnsi="Times New Roman" w:cs="Times New Roman"/>
          <w:bCs/>
          <w:sz w:val="24"/>
          <w:szCs w:val="26"/>
        </w:rPr>
      </w:pPr>
    </w:p>
    <w:p w14:paraId="759A515C" w14:textId="3BDED642" w:rsidR="004766BA" w:rsidRDefault="004766BA" w:rsidP="0073521F">
      <w:pPr>
        <w:spacing w:after="0" w:line="480" w:lineRule="auto"/>
        <w:rPr>
          <w:rFonts w:ascii="Times New Roman" w:eastAsiaTheme="majorEastAsia" w:hAnsi="Times New Roman" w:cs="Times New Roman"/>
          <w:bCs/>
          <w:sz w:val="24"/>
          <w:szCs w:val="26"/>
        </w:rPr>
      </w:pPr>
      <w:r>
        <w:rPr>
          <w:rFonts w:ascii="Times New Roman" w:eastAsiaTheme="majorEastAsia" w:hAnsi="Times New Roman" w:cs="Times New Roman"/>
          <w:bCs/>
          <w:sz w:val="24"/>
          <w:szCs w:val="26"/>
        </w:rPr>
        <w:t>P</w:t>
      </w:r>
      <w:r w:rsidRPr="003943E9">
        <w:rPr>
          <w:rFonts w:ascii="Times New Roman" w:eastAsiaTheme="majorEastAsia" w:hAnsi="Times New Roman" w:cs="Times New Roman"/>
          <w:bCs/>
          <w:sz w:val="24"/>
          <w:szCs w:val="26"/>
        </w:rPr>
        <w:t>redictions that increased tuition fees would deter</w:t>
      </w:r>
      <w:r w:rsidR="0039327D">
        <w:rPr>
          <w:rFonts w:ascii="Times New Roman" w:eastAsiaTheme="majorEastAsia" w:hAnsi="Times New Roman" w:cs="Times New Roman"/>
          <w:bCs/>
          <w:sz w:val="24"/>
          <w:szCs w:val="26"/>
        </w:rPr>
        <w:t xml:space="preserve"> undergraduate enrolment </w:t>
      </w:r>
      <w:r w:rsidRPr="003943E9">
        <w:rPr>
          <w:rFonts w:ascii="Times New Roman" w:eastAsiaTheme="majorEastAsia" w:hAnsi="Times New Roman" w:cs="Times New Roman"/>
          <w:bCs/>
          <w:sz w:val="24"/>
          <w:szCs w:val="26"/>
        </w:rPr>
        <w:t xml:space="preserve">seem not to have been realised. While there were dips in enrolment </w:t>
      </w:r>
      <w:proofErr w:type="gramStart"/>
      <w:r w:rsidRPr="003943E9">
        <w:rPr>
          <w:rFonts w:ascii="Times New Roman" w:eastAsiaTheme="majorEastAsia" w:hAnsi="Times New Roman" w:cs="Times New Roman"/>
          <w:bCs/>
          <w:sz w:val="24"/>
          <w:szCs w:val="26"/>
        </w:rPr>
        <w:t>following</w:t>
      </w:r>
      <w:proofErr w:type="gramEnd"/>
      <w:r>
        <w:rPr>
          <w:rFonts w:ascii="Times New Roman" w:eastAsiaTheme="majorEastAsia" w:hAnsi="Times New Roman" w:cs="Times New Roman"/>
          <w:bCs/>
          <w:sz w:val="24"/>
          <w:szCs w:val="26"/>
        </w:rPr>
        <w:t xml:space="preserve"> fee</w:t>
      </w:r>
      <w:r w:rsidRPr="003943E9">
        <w:rPr>
          <w:rFonts w:ascii="Times New Roman" w:eastAsiaTheme="majorEastAsia" w:hAnsi="Times New Roman" w:cs="Times New Roman"/>
          <w:bCs/>
          <w:sz w:val="24"/>
          <w:szCs w:val="26"/>
        </w:rPr>
        <w:t xml:space="preserve"> increases in </w:t>
      </w:r>
      <w:r>
        <w:rPr>
          <w:rFonts w:ascii="Times New Roman" w:eastAsiaTheme="majorEastAsia" w:hAnsi="Times New Roman" w:cs="Times New Roman"/>
          <w:bCs/>
          <w:sz w:val="24"/>
          <w:szCs w:val="26"/>
        </w:rPr>
        <w:t>1998, 2006</w:t>
      </w:r>
      <w:r w:rsidRPr="003943E9">
        <w:rPr>
          <w:rFonts w:ascii="Times New Roman" w:eastAsiaTheme="majorEastAsia" w:hAnsi="Times New Roman" w:cs="Times New Roman"/>
          <w:bCs/>
          <w:sz w:val="24"/>
          <w:szCs w:val="26"/>
        </w:rPr>
        <w:t xml:space="preserve"> and </w:t>
      </w:r>
      <w:r>
        <w:rPr>
          <w:rFonts w:ascii="Times New Roman" w:eastAsiaTheme="majorEastAsia" w:hAnsi="Times New Roman" w:cs="Times New Roman"/>
          <w:bCs/>
          <w:sz w:val="24"/>
          <w:szCs w:val="26"/>
        </w:rPr>
        <w:t>2012,</w:t>
      </w:r>
      <w:r w:rsidRPr="003943E9">
        <w:rPr>
          <w:rFonts w:ascii="Times New Roman" w:eastAsiaTheme="majorEastAsia" w:hAnsi="Times New Roman" w:cs="Times New Roman"/>
          <w:bCs/>
          <w:sz w:val="24"/>
          <w:szCs w:val="26"/>
        </w:rPr>
        <w:t xml:space="preserve"> these were followed by recovery in succeeding years</w:t>
      </w:r>
      <w:r w:rsidR="004A0CF8">
        <w:rPr>
          <w:rFonts w:ascii="Times New Roman" w:eastAsiaTheme="majorEastAsia" w:hAnsi="Times New Roman" w:cs="Times New Roman"/>
          <w:bCs/>
          <w:sz w:val="24"/>
          <w:szCs w:val="26"/>
        </w:rPr>
        <w:t>. Statistics suggest that, contrary to expectation, participation rates for disadvantaged groups did not decline over this period</w:t>
      </w:r>
      <w:r w:rsidR="005A2FBD">
        <w:rPr>
          <w:rFonts w:ascii="Times New Roman" w:eastAsiaTheme="majorEastAsia" w:hAnsi="Times New Roman" w:cs="Times New Roman"/>
          <w:bCs/>
          <w:sz w:val="24"/>
          <w:szCs w:val="26"/>
        </w:rPr>
        <w:t>, despite higher fees</w:t>
      </w:r>
      <w:r>
        <w:rPr>
          <w:rFonts w:ascii="Times New Roman" w:eastAsiaTheme="majorEastAsia" w:hAnsi="Times New Roman" w:cs="Times New Roman"/>
          <w:bCs/>
          <w:sz w:val="24"/>
          <w:szCs w:val="26"/>
        </w:rPr>
        <w:t xml:space="preserve"> (Bolton, 2015)</w:t>
      </w:r>
      <w:r w:rsidRPr="003943E9">
        <w:rPr>
          <w:rFonts w:ascii="Times New Roman" w:eastAsiaTheme="majorEastAsia" w:hAnsi="Times New Roman" w:cs="Times New Roman"/>
          <w:bCs/>
          <w:sz w:val="24"/>
          <w:szCs w:val="26"/>
        </w:rPr>
        <w:t xml:space="preserve">. </w:t>
      </w:r>
      <w:r w:rsidR="00247049">
        <w:rPr>
          <w:rFonts w:ascii="Times New Roman" w:eastAsiaTheme="majorEastAsia" w:hAnsi="Times New Roman" w:cs="Times New Roman"/>
          <w:bCs/>
          <w:sz w:val="24"/>
          <w:szCs w:val="26"/>
        </w:rPr>
        <w:t>However t</w:t>
      </w:r>
      <w:r>
        <w:rPr>
          <w:rFonts w:ascii="Times New Roman" w:eastAsiaTheme="majorEastAsia" w:hAnsi="Times New Roman" w:cs="Times New Roman"/>
          <w:bCs/>
          <w:sz w:val="24"/>
          <w:szCs w:val="26"/>
        </w:rPr>
        <w:t xml:space="preserve">here is some evidence to suggest that, faced with higher costs or higher debts, poorer students opt to study closer to home or look for institutions where living costs can be </w:t>
      </w:r>
      <w:r w:rsidRPr="00122091">
        <w:rPr>
          <w:rFonts w:ascii="Times New Roman" w:eastAsiaTheme="majorEastAsia" w:hAnsi="Times New Roman" w:cs="Times New Roman"/>
          <w:bCs/>
          <w:sz w:val="24"/>
          <w:szCs w:val="26"/>
        </w:rPr>
        <w:t xml:space="preserve">minimised (Wilkins </w:t>
      </w:r>
      <w:r w:rsidRPr="00224049">
        <w:rPr>
          <w:rFonts w:ascii="Times New Roman" w:eastAsiaTheme="majorEastAsia" w:hAnsi="Times New Roman" w:cs="Times New Roman"/>
          <w:bCs/>
          <w:i/>
          <w:sz w:val="24"/>
          <w:szCs w:val="26"/>
        </w:rPr>
        <w:t>et al.</w:t>
      </w:r>
      <w:r w:rsidRPr="00122091">
        <w:rPr>
          <w:rFonts w:ascii="Times New Roman" w:eastAsiaTheme="majorEastAsia" w:hAnsi="Times New Roman" w:cs="Times New Roman"/>
          <w:bCs/>
          <w:sz w:val="24"/>
          <w:szCs w:val="26"/>
        </w:rPr>
        <w:t xml:space="preserve">, 2013). </w:t>
      </w:r>
      <w:r w:rsidR="00247049">
        <w:rPr>
          <w:rFonts w:ascii="Times New Roman" w:eastAsiaTheme="majorEastAsia" w:hAnsi="Times New Roman" w:cs="Times New Roman"/>
          <w:bCs/>
          <w:sz w:val="24"/>
          <w:szCs w:val="26"/>
        </w:rPr>
        <w:t>S</w:t>
      </w:r>
      <w:r w:rsidRPr="00122091">
        <w:rPr>
          <w:rFonts w:ascii="Times New Roman" w:eastAsiaTheme="majorEastAsia" w:hAnsi="Times New Roman" w:cs="Times New Roman"/>
          <w:bCs/>
          <w:sz w:val="24"/>
          <w:szCs w:val="26"/>
        </w:rPr>
        <w:t>uch studies tend to</w:t>
      </w:r>
      <w:r>
        <w:rPr>
          <w:rFonts w:ascii="Times New Roman" w:eastAsiaTheme="majorEastAsia" w:hAnsi="Times New Roman" w:cs="Times New Roman"/>
          <w:bCs/>
          <w:sz w:val="24"/>
          <w:szCs w:val="26"/>
        </w:rPr>
        <w:t xml:space="preserve"> be carried out prospectively, with students reacting to different scenarios and/or predicting their own future behaviour</w:t>
      </w:r>
      <w:r w:rsidR="00247049">
        <w:rPr>
          <w:rFonts w:ascii="Times New Roman" w:eastAsiaTheme="majorEastAsia" w:hAnsi="Times New Roman" w:cs="Times New Roman"/>
          <w:bCs/>
          <w:sz w:val="24"/>
          <w:szCs w:val="26"/>
        </w:rPr>
        <w:t xml:space="preserve">, </w:t>
      </w:r>
      <w:r>
        <w:rPr>
          <w:rFonts w:ascii="Times New Roman" w:eastAsiaTheme="majorEastAsia" w:hAnsi="Times New Roman" w:cs="Times New Roman"/>
          <w:bCs/>
          <w:sz w:val="24"/>
          <w:szCs w:val="26"/>
        </w:rPr>
        <w:t xml:space="preserve">predictions </w:t>
      </w:r>
      <w:r w:rsidR="00247049">
        <w:rPr>
          <w:rFonts w:ascii="Times New Roman" w:eastAsiaTheme="majorEastAsia" w:hAnsi="Times New Roman" w:cs="Times New Roman"/>
          <w:bCs/>
          <w:sz w:val="24"/>
          <w:szCs w:val="26"/>
        </w:rPr>
        <w:t xml:space="preserve">which </w:t>
      </w:r>
      <w:r>
        <w:rPr>
          <w:rFonts w:ascii="Times New Roman" w:eastAsiaTheme="majorEastAsia" w:hAnsi="Times New Roman" w:cs="Times New Roman"/>
          <w:bCs/>
          <w:sz w:val="24"/>
          <w:szCs w:val="26"/>
        </w:rPr>
        <w:t>may be at odds with actual behaviour.</w:t>
      </w:r>
    </w:p>
    <w:p w14:paraId="380F8DC8" w14:textId="66D7C1E3" w:rsidR="004766BA" w:rsidRDefault="004766BA" w:rsidP="00E7342C">
      <w:pPr>
        <w:spacing w:after="0" w:line="480" w:lineRule="auto"/>
        <w:ind w:firstLine="720"/>
        <w:rPr>
          <w:rFonts w:ascii="Times New Roman" w:eastAsiaTheme="majorEastAsia" w:hAnsi="Times New Roman" w:cs="Times New Roman"/>
          <w:bCs/>
          <w:sz w:val="24"/>
          <w:szCs w:val="26"/>
        </w:rPr>
      </w:pPr>
      <w:r>
        <w:rPr>
          <w:rFonts w:ascii="Times New Roman" w:eastAsiaTheme="majorEastAsia" w:hAnsi="Times New Roman" w:cs="Times New Roman"/>
          <w:bCs/>
          <w:sz w:val="24"/>
          <w:szCs w:val="26"/>
        </w:rPr>
        <w:t xml:space="preserve">Other recent studies suggest attitudes to debt among students and potential students are changing rapidly </w:t>
      </w:r>
      <w:r w:rsidR="0039327D">
        <w:rPr>
          <w:rFonts w:ascii="Times New Roman" w:eastAsiaTheme="majorEastAsia" w:hAnsi="Times New Roman" w:cs="Times New Roman"/>
          <w:bCs/>
          <w:sz w:val="24"/>
          <w:szCs w:val="26"/>
        </w:rPr>
        <w:t>under</w:t>
      </w:r>
      <w:r>
        <w:rPr>
          <w:rFonts w:ascii="Times New Roman" w:eastAsiaTheme="majorEastAsia" w:hAnsi="Times New Roman" w:cs="Times New Roman"/>
          <w:bCs/>
          <w:sz w:val="24"/>
          <w:szCs w:val="26"/>
        </w:rPr>
        <w:t xml:space="preserve"> the new arrangements. Several studies report students accepting debt as a ‘fact of life’ to which they are resigned, or in a minority of cases which </w:t>
      </w:r>
      <w:r w:rsidRPr="00122091">
        <w:rPr>
          <w:rFonts w:ascii="Times New Roman" w:eastAsiaTheme="majorEastAsia" w:hAnsi="Times New Roman" w:cs="Times New Roman"/>
          <w:bCs/>
          <w:sz w:val="24"/>
          <w:szCs w:val="26"/>
        </w:rPr>
        <w:t>they embrace as opening up opportunities (</w:t>
      </w:r>
      <w:proofErr w:type="spellStart"/>
      <w:r w:rsidRPr="00122091">
        <w:rPr>
          <w:rFonts w:ascii="Times New Roman" w:eastAsiaTheme="majorEastAsia" w:hAnsi="Times New Roman" w:cs="Times New Roman"/>
          <w:bCs/>
          <w:sz w:val="24"/>
          <w:szCs w:val="26"/>
        </w:rPr>
        <w:t>Esson</w:t>
      </w:r>
      <w:proofErr w:type="spellEnd"/>
      <w:r w:rsidRPr="00122091">
        <w:rPr>
          <w:rFonts w:ascii="Times New Roman" w:eastAsiaTheme="majorEastAsia" w:hAnsi="Times New Roman" w:cs="Times New Roman"/>
          <w:bCs/>
          <w:sz w:val="24"/>
          <w:szCs w:val="26"/>
        </w:rPr>
        <w:t xml:space="preserve"> and </w:t>
      </w:r>
      <w:proofErr w:type="spellStart"/>
      <w:r w:rsidRPr="00122091">
        <w:rPr>
          <w:rFonts w:ascii="Times New Roman" w:eastAsiaTheme="majorEastAsia" w:hAnsi="Times New Roman" w:cs="Times New Roman"/>
          <w:bCs/>
          <w:sz w:val="24"/>
          <w:szCs w:val="26"/>
        </w:rPr>
        <w:t>Ertl</w:t>
      </w:r>
      <w:proofErr w:type="spellEnd"/>
      <w:r w:rsidRPr="00122091">
        <w:rPr>
          <w:rFonts w:ascii="Times New Roman" w:eastAsiaTheme="majorEastAsia" w:hAnsi="Times New Roman" w:cs="Times New Roman"/>
          <w:bCs/>
          <w:sz w:val="24"/>
          <w:szCs w:val="26"/>
        </w:rPr>
        <w:t xml:space="preserve">, 2014; Harrison </w:t>
      </w:r>
      <w:r w:rsidRPr="00224049">
        <w:rPr>
          <w:rFonts w:ascii="Times New Roman" w:eastAsiaTheme="majorEastAsia" w:hAnsi="Times New Roman" w:cs="Times New Roman"/>
          <w:bCs/>
          <w:i/>
          <w:sz w:val="24"/>
          <w:szCs w:val="26"/>
        </w:rPr>
        <w:t>et al.</w:t>
      </w:r>
      <w:r w:rsidRPr="00122091">
        <w:rPr>
          <w:rFonts w:ascii="Times New Roman" w:eastAsiaTheme="majorEastAsia" w:hAnsi="Times New Roman" w:cs="Times New Roman"/>
          <w:bCs/>
          <w:sz w:val="24"/>
          <w:szCs w:val="26"/>
        </w:rPr>
        <w:t>, 2015</w:t>
      </w:r>
      <w:r>
        <w:rPr>
          <w:rFonts w:ascii="Times New Roman" w:eastAsiaTheme="majorEastAsia" w:hAnsi="Times New Roman" w:cs="Times New Roman"/>
          <w:bCs/>
          <w:sz w:val="24"/>
          <w:szCs w:val="26"/>
        </w:rPr>
        <w:t>a</w:t>
      </w:r>
      <w:r w:rsidRPr="00224049">
        <w:rPr>
          <w:rFonts w:ascii="Times New Roman" w:eastAsiaTheme="majorEastAsia" w:hAnsi="Times New Roman" w:cs="Times New Roman"/>
          <w:bCs/>
          <w:sz w:val="24"/>
          <w:szCs w:val="26"/>
        </w:rPr>
        <w:t>). Personality emerges as more salient than socio-economic</w:t>
      </w:r>
      <w:r>
        <w:rPr>
          <w:rFonts w:ascii="Times New Roman" w:eastAsiaTheme="majorEastAsia" w:hAnsi="Times New Roman" w:cs="Times New Roman"/>
          <w:bCs/>
          <w:sz w:val="24"/>
          <w:szCs w:val="26"/>
        </w:rPr>
        <w:t xml:space="preserve"> </w:t>
      </w:r>
      <w:r w:rsidRPr="00224049">
        <w:rPr>
          <w:rFonts w:ascii="Times New Roman" w:eastAsiaTheme="majorEastAsia" w:hAnsi="Times New Roman" w:cs="Times New Roman"/>
          <w:bCs/>
          <w:sz w:val="24"/>
          <w:szCs w:val="26"/>
        </w:rPr>
        <w:t xml:space="preserve">background in considering debt aversion (Harrison and </w:t>
      </w:r>
      <w:proofErr w:type="spellStart"/>
      <w:r w:rsidRPr="00224049">
        <w:rPr>
          <w:rFonts w:ascii="Times New Roman" w:eastAsiaTheme="majorEastAsia" w:hAnsi="Times New Roman" w:cs="Times New Roman"/>
          <w:bCs/>
          <w:sz w:val="24"/>
          <w:szCs w:val="26"/>
        </w:rPr>
        <w:t>Chudry</w:t>
      </w:r>
      <w:proofErr w:type="spellEnd"/>
      <w:r>
        <w:rPr>
          <w:rFonts w:ascii="Times New Roman" w:eastAsiaTheme="majorEastAsia" w:hAnsi="Times New Roman" w:cs="Times New Roman"/>
          <w:bCs/>
          <w:sz w:val="24"/>
          <w:szCs w:val="26"/>
        </w:rPr>
        <w:t>, 2011;</w:t>
      </w:r>
      <w:r w:rsidRPr="00224049">
        <w:rPr>
          <w:rFonts w:ascii="Times New Roman" w:eastAsiaTheme="majorEastAsia" w:hAnsi="Times New Roman" w:cs="Times New Roman"/>
          <w:bCs/>
          <w:sz w:val="24"/>
          <w:szCs w:val="26"/>
        </w:rPr>
        <w:t xml:space="preserve"> Harrison</w:t>
      </w:r>
      <w:r w:rsidRPr="00224049">
        <w:rPr>
          <w:rFonts w:ascii="Times New Roman" w:eastAsiaTheme="majorEastAsia" w:hAnsi="Times New Roman" w:cs="Times New Roman"/>
          <w:bCs/>
          <w:i/>
          <w:sz w:val="24"/>
          <w:szCs w:val="26"/>
        </w:rPr>
        <w:t xml:space="preserve"> et al.</w:t>
      </w:r>
      <w:r w:rsidRPr="00224049">
        <w:rPr>
          <w:rFonts w:ascii="Times New Roman" w:eastAsiaTheme="majorEastAsia" w:hAnsi="Times New Roman" w:cs="Times New Roman"/>
          <w:bCs/>
          <w:sz w:val="24"/>
          <w:szCs w:val="26"/>
        </w:rPr>
        <w:t>, 2015</w:t>
      </w:r>
      <w:r>
        <w:rPr>
          <w:rFonts w:ascii="Times New Roman" w:eastAsiaTheme="majorEastAsia" w:hAnsi="Times New Roman" w:cs="Times New Roman"/>
          <w:bCs/>
          <w:sz w:val="24"/>
          <w:szCs w:val="26"/>
        </w:rPr>
        <w:t>b</w:t>
      </w:r>
      <w:r w:rsidRPr="00224049">
        <w:rPr>
          <w:rFonts w:ascii="Times New Roman" w:eastAsiaTheme="majorEastAsia" w:hAnsi="Times New Roman" w:cs="Times New Roman"/>
          <w:bCs/>
          <w:sz w:val="24"/>
          <w:szCs w:val="26"/>
        </w:rPr>
        <w:t xml:space="preserve">). </w:t>
      </w:r>
      <w:r w:rsidRPr="00924CFC">
        <w:rPr>
          <w:rFonts w:ascii="Times New Roman" w:eastAsiaTheme="majorEastAsia" w:hAnsi="Times New Roman" w:cs="Times New Roman"/>
          <w:bCs/>
          <w:sz w:val="24"/>
          <w:szCs w:val="26"/>
        </w:rPr>
        <w:t>Jones (2015) argues that debt aversion in the narratives of high-ability,</w:t>
      </w:r>
      <w:r>
        <w:rPr>
          <w:rFonts w:ascii="Times New Roman" w:eastAsiaTheme="majorEastAsia" w:hAnsi="Times New Roman" w:cs="Times New Roman"/>
          <w:bCs/>
          <w:sz w:val="24"/>
          <w:szCs w:val="26"/>
        </w:rPr>
        <w:t xml:space="preserve"> socio-economically disadvantaged young people relate</w:t>
      </w:r>
      <w:r w:rsidR="00D6514F">
        <w:rPr>
          <w:rFonts w:ascii="Times New Roman" w:eastAsiaTheme="majorEastAsia" w:hAnsi="Times New Roman" w:cs="Times New Roman"/>
          <w:bCs/>
          <w:sz w:val="24"/>
          <w:szCs w:val="26"/>
        </w:rPr>
        <w:t>s</w:t>
      </w:r>
      <w:r>
        <w:rPr>
          <w:rFonts w:ascii="Times New Roman" w:eastAsiaTheme="majorEastAsia" w:hAnsi="Times New Roman" w:cs="Times New Roman"/>
          <w:bCs/>
          <w:sz w:val="24"/>
          <w:szCs w:val="26"/>
        </w:rPr>
        <w:t xml:space="preserve"> to the social and cultural, rather than financial</w:t>
      </w:r>
      <w:r w:rsidR="00D6514F">
        <w:rPr>
          <w:rFonts w:ascii="Times New Roman" w:eastAsiaTheme="majorEastAsia" w:hAnsi="Times New Roman" w:cs="Times New Roman"/>
          <w:bCs/>
          <w:sz w:val="24"/>
          <w:szCs w:val="26"/>
        </w:rPr>
        <w:t>,</w:t>
      </w:r>
      <w:r>
        <w:rPr>
          <w:rFonts w:ascii="Times New Roman" w:eastAsiaTheme="majorEastAsia" w:hAnsi="Times New Roman" w:cs="Times New Roman"/>
          <w:bCs/>
          <w:sz w:val="24"/>
          <w:szCs w:val="26"/>
        </w:rPr>
        <w:t xml:space="preserve"> costs of higher education participation</w:t>
      </w:r>
      <w:r w:rsidR="005A2FBD">
        <w:rPr>
          <w:rFonts w:ascii="Times New Roman" w:eastAsiaTheme="majorEastAsia" w:hAnsi="Times New Roman" w:cs="Times New Roman"/>
          <w:bCs/>
          <w:sz w:val="24"/>
          <w:szCs w:val="26"/>
        </w:rPr>
        <w:t>.</w:t>
      </w:r>
    </w:p>
    <w:p w14:paraId="14787113" w14:textId="506CF27C" w:rsidR="00576B07" w:rsidRDefault="00576B07" w:rsidP="0005376E">
      <w:pPr>
        <w:spacing w:after="0" w:line="480" w:lineRule="auto"/>
        <w:rPr>
          <w:rFonts w:ascii="Times New Roman" w:eastAsiaTheme="majorEastAsia" w:hAnsi="Times New Roman" w:cs="Times New Roman"/>
          <w:bCs/>
          <w:sz w:val="24"/>
          <w:szCs w:val="26"/>
        </w:rPr>
      </w:pPr>
    </w:p>
    <w:p w14:paraId="7E9F68FE" w14:textId="5E45A582" w:rsidR="006A5DBE" w:rsidRDefault="006A5DBE" w:rsidP="0005376E">
      <w:pPr>
        <w:spacing w:after="0" w:line="480" w:lineRule="auto"/>
        <w:rPr>
          <w:rFonts w:ascii="Times New Roman" w:eastAsiaTheme="majorEastAsia" w:hAnsi="Times New Roman" w:cs="Times New Roman"/>
          <w:bCs/>
          <w:sz w:val="24"/>
          <w:szCs w:val="26"/>
        </w:rPr>
      </w:pPr>
    </w:p>
    <w:p w14:paraId="30EB4757" w14:textId="77777777" w:rsidR="006A5DBE" w:rsidRDefault="006A5DBE" w:rsidP="0005376E">
      <w:pPr>
        <w:spacing w:after="0" w:line="480" w:lineRule="auto"/>
        <w:rPr>
          <w:rFonts w:ascii="Times New Roman" w:eastAsiaTheme="majorEastAsia" w:hAnsi="Times New Roman" w:cs="Times New Roman"/>
          <w:bCs/>
          <w:sz w:val="24"/>
          <w:szCs w:val="26"/>
        </w:rPr>
      </w:pPr>
    </w:p>
    <w:p w14:paraId="5331F031" w14:textId="117E7BC0" w:rsidR="00576B07" w:rsidRPr="00576B07" w:rsidRDefault="00576B07" w:rsidP="0005376E">
      <w:pPr>
        <w:spacing w:after="0" w:line="480" w:lineRule="auto"/>
        <w:rPr>
          <w:rFonts w:ascii="Times New Roman" w:eastAsiaTheme="majorEastAsia" w:hAnsi="Times New Roman" w:cs="Times New Roman"/>
          <w:bCs/>
          <w:i/>
          <w:sz w:val="24"/>
          <w:szCs w:val="26"/>
        </w:rPr>
      </w:pPr>
      <w:r>
        <w:rPr>
          <w:rFonts w:ascii="Times New Roman" w:eastAsiaTheme="majorEastAsia" w:hAnsi="Times New Roman" w:cs="Times New Roman"/>
          <w:bCs/>
          <w:i/>
          <w:sz w:val="24"/>
          <w:szCs w:val="26"/>
        </w:rPr>
        <w:lastRenderedPageBreak/>
        <w:t>Student decision-making: expectations</w:t>
      </w:r>
    </w:p>
    <w:p w14:paraId="7B1A3ACF" w14:textId="4AB5EC23" w:rsidR="00576B07" w:rsidRDefault="00576B07" w:rsidP="0073521F">
      <w:pPr>
        <w:spacing w:after="0" w:line="480" w:lineRule="auto"/>
        <w:rPr>
          <w:rFonts w:ascii="Times New Roman" w:eastAsiaTheme="majorEastAsia" w:hAnsi="Times New Roman" w:cs="Times New Roman"/>
          <w:bCs/>
          <w:sz w:val="24"/>
          <w:szCs w:val="26"/>
        </w:rPr>
      </w:pPr>
    </w:p>
    <w:p w14:paraId="4030D920" w14:textId="66C415C6" w:rsidR="00576B07" w:rsidRPr="00892D22" w:rsidRDefault="00576B07" w:rsidP="0073521F">
      <w:pPr>
        <w:spacing w:after="0" w:line="480" w:lineRule="auto"/>
      </w:pPr>
      <w:r>
        <w:rPr>
          <w:rFonts w:ascii="Times New Roman" w:eastAsiaTheme="majorEastAsia" w:hAnsi="Times New Roman" w:cs="Times New Roman"/>
          <w:bCs/>
          <w:sz w:val="24"/>
          <w:szCs w:val="26"/>
        </w:rPr>
        <w:t xml:space="preserve">Before considering </w:t>
      </w:r>
      <w:r w:rsidR="00B1415D">
        <w:rPr>
          <w:rFonts w:ascii="Times New Roman" w:eastAsiaTheme="majorEastAsia" w:hAnsi="Times New Roman" w:cs="Times New Roman"/>
          <w:bCs/>
          <w:sz w:val="24"/>
          <w:szCs w:val="26"/>
        </w:rPr>
        <w:t>pointers</w:t>
      </w:r>
      <w:r>
        <w:rPr>
          <w:rFonts w:ascii="Times New Roman" w:eastAsiaTheme="majorEastAsia" w:hAnsi="Times New Roman" w:cs="Times New Roman"/>
          <w:bCs/>
          <w:sz w:val="24"/>
          <w:szCs w:val="26"/>
        </w:rPr>
        <w:t xml:space="preserve"> from previous research on debt and entry to postgraduate study, we first review </w:t>
      </w:r>
      <w:r>
        <w:rPr>
          <w:rFonts w:ascii="Times New Roman" w:eastAsiaTheme="majorEastAsia" w:hAnsi="Times New Roman" w:cs="Times New Roman"/>
          <w:bCs/>
          <w:i/>
          <w:sz w:val="24"/>
          <w:szCs w:val="26"/>
        </w:rPr>
        <w:t xml:space="preserve">a priori </w:t>
      </w:r>
      <w:r w:rsidRPr="00576B07">
        <w:rPr>
          <w:rFonts w:ascii="Times New Roman" w:eastAsiaTheme="majorEastAsia" w:hAnsi="Times New Roman" w:cs="Times New Roman"/>
          <w:bCs/>
          <w:sz w:val="24"/>
          <w:szCs w:val="26"/>
        </w:rPr>
        <w:t>ex</w:t>
      </w:r>
      <w:r>
        <w:rPr>
          <w:rFonts w:ascii="Times New Roman" w:eastAsiaTheme="majorEastAsia" w:hAnsi="Times New Roman" w:cs="Times New Roman"/>
          <w:bCs/>
          <w:sz w:val="24"/>
          <w:szCs w:val="26"/>
        </w:rPr>
        <w:t>pectations. We consider three such predictions</w:t>
      </w:r>
      <w:r w:rsidR="009A4E3C">
        <w:rPr>
          <w:rFonts w:ascii="Times New Roman" w:eastAsiaTheme="majorEastAsia" w:hAnsi="Times New Roman" w:cs="Times New Roman"/>
          <w:bCs/>
          <w:sz w:val="24"/>
          <w:szCs w:val="26"/>
        </w:rPr>
        <w:t>, which are not necessarily mutually exclusive</w:t>
      </w:r>
      <w:r>
        <w:rPr>
          <w:rFonts w:ascii="Times New Roman" w:eastAsiaTheme="majorEastAsia" w:hAnsi="Times New Roman" w:cs="Times New Roman"/>
          <w:bCs/>
          <w:sz w:val="24"/>
          <w:szCs w:val="26"/>
        </w:rPr>
        <w:t xml:space="preserve">. The first is the </w:t>
      </w:r>
      <w:r w:rsidR="00201719">
        <w:rPr>
          <w:rFonts w:ascii="Times New Roman" w:eastAsiaTheme="majorEastAsia" w:hAnsi="Times New Roman" w:cs="Times New Roman"/>
          <w:bCs/>
          <w:sz w:val="24"/>
          <w:szCs w:val="26"/>
        </w:rPr>
        <w:t>common-sense</w:t>
      </w:r>
      <w:r>
        <w:rPr>
          <w:rFonts w:ascii="Times New Roman" w:eastAsiaTheme="majorEastAsia" w:hAnsi="Times New Roman" w:cs="Times New Roman"/>
          <w:bCs/>
          <w:sz w:val="24"/>
          <w:szCs w:val="26"/>
        </w:rPr>
        <w:t xml:space="preserve"> prediction which has dominated policy and media discussions of entry to postgraduate study in the UK: that higher undergraduate debts will constitute a straightforward deterrent to further study.</w:t>
      </w:r>
      <w:r w:rsidR="00CC238B">
        <w:rPr>
          <w:rFonts w:ascii="Times New Roman" w:eastAsiaTheme="majorEastAsia" w:hAnsi="Times New Roman" w:cs="Times New Roman"/>
          <w:bCs/>
          <w:sz w:val="24"/>
          <w:szCs w:val="26"/>
        </w:rPr>
        <w:t xml:space="preserve"> </w:t>
      </w:r>
      <w:r w:rsidR="008B6886">
        <w:rPr>
          <w:rFonts w:ascii="Times New Roman" w:eastAsiaTheme="majorEastAsia" w:hAnsi="Times New Roman" w:cs="Times New Roman"/>
          <w:bCs/>
          <w:sz w:val="24"/>
          <w:szCs w:val="26"/>
        </w:rPr>
        <w:t xml:space="preserve">A second possibility is that decision-making is driven by human capital considerations, whereby graduates in certain first-degree disciplines will anticipate greater labour market returns from postgraduate study. We might expect graduates from subject disciplines where there is no implied </w:t>
      </w:r>
      <w:r w:rsidR="00D6514F">
        <w:rPr>
          <w:rFonts w:ascii="Times New Roman" w:eastAsiaTheme="majorEastAsia" w:hAnsi="Times New Roman" w:cs="Times New Roman"/>
          <w:bCs/>
          <w:sz w:val="24"/>
          <w:szCs w:val="26"/>
        </w:rPr>
        <w:t xml:space="preserve">professional </w:t>
      </w:r>
      <w:r w:rsidR="008B6886">
        <w:rPr>
          <w:rFonts w:ascii="Times New Roman" w:eastAsiaTheme="majorEastAsia" w:hAnsi="Times New Roman" w:cs="Times New Roman"/>
          <w:bCs/>
          <w:sz w:val="24"/>
          <w:szCs w:val="26"/>
        </w:rPr>
        <w:t>destination to be more likely to opt for postgraduate study, regardless of accumulated debt. R</w:t>
      </w:r>
      <w:r>
        <w:rPr>
          <w:rFonts w:ascii="Times New Roman" w:eastAsiaTheme="majorEastAsia" w:hAnsi="Times New Roman" w:cs="Times New Roman"/>
          <w:bCs/>
          <w:sz w:val="24"/>
          <w:szCs w:val="26"/>
        </w:rPr>
        <w:t>elative risk aversion theory</w:t>
      </w:r>
      <w:r w:rsidR="008B6886">
        <w:rPr>
          <w:rFonts w:ascii="Times New Roman" w:eastAsiaTheme="majorEastAsia" w:hAnsi="Times New Roman" w:cs="Times New Roman"/>
          <w:bCs/>
          <w:sz w:val="24"/>
          <w:szCs w:val="26"/>
        </w:rPr>
        <w:t xml:space="preserve"> comprises a third prediction</w:t>
      </w:r>
      <w:r>
        <w:rPr>
          <w:rFonts w:ascii="Times New Roman" w:eastAsiaTheme="majorEastAsia" w:hAnsi="Times New Roman" w:cs="Times New Roman"/>
          <w:bCs/>
          <w:sz w:val="24"/>
          <w:szCs w:val="26"/>
        </w:rPr>
        <w:t xml:space="preserve">. This posits that individuals’ principal goal in educational decision-making is to avoid downward social mobility. </w:t>
      </w:r>
      <w:r w:rsidR="00201719">
        <w:rPr>
          <w:rFonts w:ascii="Times New Roman" w:eastAsiaTheme="majorEastAsia" w:hAnsi="Times New Roman" w:cs="Times New Roman"/>
          <w:bCs/>
          <w:sz w:val="24"/>
          <w:szCs w:val="26"/>
        </w:rPr>
        <w:t>Individuals will evaluate the risks and rewards of educational continuation</w:t>
      </w:r>
      <w:r w:rsidR="00201719" w:rsidRPr="00201719">
        <w:rPr>
          <w:rFonts w:ascii="Times New Roman" w:eastAsiaTheme="majorEastAsia" w:hAnsi="Times New Roman" w:cs="Times New Roman"/>
          <w:bCs/>
          <w:sz w:val="24"/>
          <w:szCs w:val="26"/>
        </w:rPr>
        <w:t xml:space="preserve"> </w:t>
      </w:r>
      <w:r w:rsidR="00201719">
        <w:rPr>
          <w:rFonts w:ascii="Times New Roman" w:eastAsiaTheme="majorEastAsia" w:hAnsi="Times New Roman" w:cs="Times New Roman"/>
          <w:bCs/>
          <w:sz w:val="24"/>
          <w:szCs w:val="26"/>
        </w:rPr>
        <w:t>using parental social class as their referent (</w:t>
      </w:r>
      <w:r w:rsidR="00201719" w:rsidRPr="001E267F">
        <w:rPr>
          <w:rFonts w:ascii="Times New Roman" w:eastAsiaTheme="majorEastAsia" w:hAnsi="Times New Roman" w:cs="Times New Roman"/>
          <w:bCs/>
          <w:sz w:val="24"/>
          <w:szCs w:val="26"/>
        </w:rPr>
        <w:t>Breen and Goldthorpe, 1997</w:t>
      </w:r>
      <w:r w:rsidR="00201719">
        <w:rPr>
          <w:rFonts w:ascii="Times New Roman" w:eastAsiaTheme="majorEastAsia" w:hAnsi="Times New Roman" w:cs="Times New Roman"/>
          <w:bCs/>
          <w:sz w:val="24"/>
          <w:szCs w:val="26"/>
        </w:rPr>
        <w:t xml:space="preserve">). This will generate social class inequalities since those who are already upwardly mobile </w:t>
      </w:r>
      <w:r w:rsidR="00C74CE4">
        <w:rPr>
          <w:rFonts w:ascii="Times New Roman" w:eastAsiaTheme="majorEastAsia" w:hAnsi="Times New Roman" w:cs="Times New Roman"/>
          <w:bCs/>
          <w:sz w:val="24"/>
          <w:szCs w:val="26"/>
        </w:rPr>
        <w:t>by</w:t>
      </w:r>
      <w:r w:rsidR="00201719">
        <w:rPr>
          <w:rFonts w:ascii="Times New Roman" w:eastAsiaTheme="majorEastAsia" w:hAnsi="Times New Roman" w:cs="Times New Roman"/>
          <w:bCs/>
          <w:sz w:val="24"/>
          <w:szCs w:val="26"/>
        </w:rPr>
        <w:t xml:space="preserve"> graduating from a first degree are</w:t>
      </w:r>
      <w:r w:rsidR="00C74CE4">
        <w:rPr>
          <w:rFonts w:ascii="Times New Roman" w:eastAsiaTheme="majorEastAsia" w:hAnsi="Times New Roman" w:cs="Times New Roman"/>
          <w:bCs/>
          <w:sz w:val="24"/>
          <w:szCs w:val="26"/>
        </w:rPr>
        <w:t>,</w:t>
      </w:r>
      <w:r w:rsidR="00201719">
        <w:rPr>
          <w:rFonts w:ascii="Times New Roman" w:eastAsiaTheme="majorEastAsia" w:hAnsi="Times New Roman" w:cs="Times New Roman"/>
          <w:bCs/>
          <w:sz w:val="24"/>
          <w:szCs w:val="26"/>
        </w:rPr>
        <w:t xml:space="preserve"> </w:t>
      </w:r>
      <w:r w:rsidR="00C74CE4" w:rsidRPr="00C74CE4">
        <w:rPr>
          <w:rFonts w:ascii="Times New Roman" w:eastAsiaTheme="majorEastAsia" w:hAnsi="Times New Roman" w:cs="Times New Roman"/>
          <w:bCs/>
          <w:i/>
          <w:sz w:val="24"/>
          <w:szCs w:val="26"/>
        </w:rPr>
        <w:t>ceteris paribus</w:t>
      </w:r>
      <w:r w:rsidR="00C74CE4">
        <w:rPr>
          <w:rFonts w:ascii="Times New Roman" w:eastAsiaTheme="majorEastAsia" w:hAnsi="Times New Roman" w:cs="Times New Roman"/>
          <w:bCs/>
          <w:sz w:val="24"/>
          <w:szCs w:val="26"/>
        </w:rPr>
        <w:t xml:space="preserve">, </w:t>
      </w:r>
      <w:r w:rsidR="00201719">
        <w:rPr>
          <w:rFonts w:ascii="Times New Roman" w:eastAsiaTheme="majorEastAsia" w:hAnsi="Times New Roman" w:cs="Times New Roman"/>
          <w:bCs/>
          <w:sz w:val="24"/>
          <w:szCs w:val="26"/>
        </w:rPr>
        <w:t xml:space="preserve">more likely to consolidate their gains in comparison with children of (say) parents from the higher professions, who may </w:t>
      </w:r>
      <w:r w:rsidR="00D6514F">
        <w:rPr>
          <w:rFonts w:ascii="Times New Roman" w:eastAsiaTheme="majorEastAsia" w:hAnsi="Times New Roman" w:cs="Times New Roman"/>
          <w:bCs/>
          <w:sz w:val="24"/>
          <w:szCs w:val="26"/>
        </w:rPr>
        <w:t>require</w:t>
      </w:r>
      <w:r w:rsidR="00201719">
        <w:rPr>
          <w:rFonts w:ascii="Times New Roman" w:eastAsiaTheme="majorEastAsia" w:hAnsi="Times New Roman" w:cs="Times New Roman"/>
          <w:bCs/>
          <w:sz w:val="24"/>
          <w:szCs w:val="26"/>
        </w:rPr>
        <w:t xml:space="preserve"> a postgraduate degree to maintain their position. </w:t>
      </w:r>
      <w:r w:rsidR="00C74CE4">
        <w:rPr>
          <w:rFonts w:ascii="Times New Roman" w:eastAsiaTheme="majorEastAsia" w:hAnsi="Times New Roman" w:cs="Times New Roman"/>
          <w:bCs/>
          <w:sz w:val="24"/>
          <w:szCs w:val="26"/>
        </w:rPr>
        <w:t xml:space="preserve">Larger undergraduate debts would be a greater deterrent for the upwardly mobile than the </w:t>
      </w:r>
      <w:proofErr w:type="spellStart"/>
      <w:r w:rsidR="00C74CE4">
        <w:rPr>
          <w:rFonts w:ascii="Times New Roman" w:eastAsiaTheme="majorEastAsia" w:hAnsi="Times New Roman" w:cs="Times New Roman"/>
          <w:bCs/>
          <w:sz w:val="24"/>
          <w:szCs w:val="26"/>
        </w:rPr>
        <w:t>intergeneration</w:t>
      </w:r>
      <w:r w:rsidR="008B6886">
        <w:rPr>
          <w:rFonts w:ascii="Times New Roman" w:eastAsiaTheme="majorEastAsia" w:hAnsi="Times New Roman" w:cs="Times New Roman"/>
          <w:bCs/>
          <w:sz w:val="24"/>
          <w:szCs w:val="26"/>
        </w:rPr>
        <w:t>al</w:t>
      </w:r>
      <w:r w:rsidR="00C74CE4">
        <w:rPr>
          <w:rFonts w:ascii="Times New Roman" w:eastAsiaTheme="majorEastAsia" w:hAnsi="Times New Roman" w:cs="Times New Roman"/>
          <w:bCs/>
          <w:sz w:val="24"/>
          <w:szCs w:val="26"/>
        </w:rPr>
        <w:t>ly</w:t>
      </w:r>
      <w:proofErr w:type="spellEnd"/>
      <w:r w:rsidR="00C74CE4">
        <w:rPr>
          <w:rFonts w:ascii="Times New Roman" w:eastAsiaTheme="majorEastAsia" w:hAnsi="Times New Roman" w:cs="Times New Roman"/>
          <w:bCs/>
          <w:sz w:val="24"/>
          <w:szCs w:val="26"/>
        </w:rPr>
        <w:t xml:space="preserve"> stable. </w:t>
      </w:r>
      <w:r w:rsidR="00892D22">
        <w:rPr>
          <w:rFonts w:ascii="Times New Roman" w:eastAsiaTheme="majorEastAsia" w:hAnsi="Times New Roman" w:cs="Times New Roman"/>
          <w:bCs/>
          <w:sz w:val="24"/>
          <w:szCs w:val="26"/>
        </w:rPr>
        <w:t xml:space="preserve">All three </w:t>
      </w:r>
      <w:r w:rsidR="009A4E3C">
        <w:rPr>
          <w:rFonts w:ascii="Times New Roman" w:eastAsiaTheme="majorEastAsia" w:hAnsi="Times New Roman" w:cs="Times New Roman"/>
          <w:bCs/>
          <w:sz w:val="24"/>
          <w:szCs w:val="26"/>
        </w:rPr>
        <w:t>predictions</w:t>
      </w:r>
      <w:r w:rsidR="00892D22">
        <w:rPr>
          <w:rFonts w:ascii="Times New Roman" w:eastAsiaTheme="majorEastAsia" w:hAnsi="Times New Roman" w:cs="Times New Roman"/>
          <w:bCs/>
          <w:sz w:val="24"/>
          <w:szCs w:val="26"/>
        </w:rPr>
        <w:t xml:space="preserve"> invoke a view of the student as </w:t>
      </w:r>
      <w:r w:rsidR="00892D22">
        <w:rPr>
          <w:rFonts w:ascii="Times New Roman" w:eastAsiaTheme="majorEastAsia" w:hAnsi="Times New Roman" w:cs="Times New Roman"/>
          <w:bCs/>
          <w:i/>
          <w:sz w:val="24"/>
          <w:szCs w:val="26"/>
        </w:rPr>
        <w:t xml:space="preserve">homo </w:t>
      </w:r>
      <w:proofErr w:type="spellStart"/>
      <w:r w:rsidR="00892D22">
        <w:rPr>
          <w:rFonts w:ascii="Times New Roman" w:eastAsiaTheme="majorEastAsia" w:hAnsi="Times New Roman" w:cs="Times New Roman"/>
          <w:bCs/>
          <w:i/>
          <w:sz w:val="24"/>
          <w:szCs w:val="26"/>
        </w:rPr>
        <w:t>economicus</w:t>
      </w:r>
      <w:proofErr w:type="spellEnd"/>
      <w:r w:rsidR="00892D22">
        <w:rPr>
          <w:rFonts w:ascii="Times New Roman" w:eastAsiaTheme="majorEastAsia" w:hAnsi="Times New Roman" w:cs="Times New Roman"/>
          <w:bCs/>
          <w:sz w:val="24"/>
          <w:szCs w:val="26"/>
        </w:rPr>
        <w:t>: a rational, calculating decision-maker who considers the potential effect of different post-graduation options for lifetime earnings (</w:t>
      </w:r>
      <w:proofErr w:type="spellStart"/>
      <w:r w:rsidR="00892D22">
        <w:rPr>
          <w:rFonts w:ascii="Times New Roman" w:eastAsiaTheme="majorEastAsia" w:hAnsi="Times New Roman" w:cs="Times New Roman"/>
          <w:bCs/>
          <w:sz w:val="24"/>
          <w:szCs w:val="26"/>
        </w:rPr>
        <w:t>Marginson</w:t>
      </w:r>
      <w:proofErr w:type="spellEnd"/>
      <w:r w:rsidR="00892D22">
        <w:rPr>
          <w:rFonts w:ascii="Times New Roman" w:eastAsiaTheme="majorEastAsia" w:hAnsi="Times New Roman" w:cs="Times New Roman"/>
          <w:bCs/>
          <w:sz w:val="24"/>
          <w:szCs w:val="26"/>
        </w:rPr>
        <w:t>, 2015).</w:t>
      </w:r>
    </w:p>
    <w:p w14:paraId="15A64F6B" w14:textId="31598786" w:rsidR="008B6886" w:rsidRDefault="008B6886" w:rsidP="0073521F">
      <w:pPr>
        <w:spacing w:after="0" w:line="480" w:lineRule="auto"/>
        <w:rPr>
          <w:rFonts w:ascii="Times New Roman" w:eastAsiaTheme="majorEastAsia" w:hAnsi="Times New Roman" w:cs="Times New Roman"/>
          <w:bCs/>
          <w:sz w:val="24"/>
          <w:szCs w:val="26"/>
        </w:rPr>
      </w:pPr>
    </w:p>
    <w:p w14:paraId="52B0FF23" w14:textId="440678F3" w:rsidR="006A5DBE" w:rsidRDefault="006A5DBE" w:rsidP="0073521F">
      <w:pPr>
        <w:spacing w:after="0" w:line="480" w:lineRule="auto"/>
        <w:rPr>
          <w:rFonts w:ascii="Times New Roman" w:eastAsiaTheme="majorEastAsia" w:hAnsi="Times New Roman" w:cs="Times New Roman"/>
          <w:bCs/>
          <w:sz w:val="24"/>
          <w:szCs w:val="26"/>
        </w:rPr>
      </w:pPr>
    </w:p>
    <w:p w14:paraId="475AEC00" w14:textId="77777777" w:rsidR="006A5DBE" w:rsidRDefault="006A5DBE" w:rsidP="0073521F">
      <w:pPr>
        <w:spacing w:after="0" w:line="480" w:lineRule="auto"/>
        <w:rPr>
          <w:rFonts w:ascii="Times New Roman" w:eastAsiaTheme="majorEastAsia" w:hAnsi="Times New Roman" w:cs="Times New Roman"/>
          <w:bCs/>
          <w:sz w:val="24"/>
          <w:szCs w:val="26"/>
        </w:rPr>
      </w:pPr>
    </w:p>
    <w:p w14:paraId="70A7F34B" w14:textId="0A37007C" w:rsidR="004766BA" w:rsidRPr="004028DA" w:rsidRDefault="004766BA" w:rsidP="0073521F">
      <w:pPr>
        <w:spacing w:after="0" w:line="480" w:lineRule="auto"/>
        <w:rPr>
          <w:rFonts w:ascii="Times New Roman" w:eastAsiaTheme="majorEastAsia" w:hAnsi="Times New Roman" w:cs="Times New Roman"/>
          <w:bCs/>
          <w:i/>
          <w:sz w:val="24"/>
          <w:szCs w:val="26"/>
        </w:rPr>
      </w:pPr>
      <w:r w:rsidRPr="00E919DB">
        <w:rPr>
          <w:rFonts w:ascii="Times New Roman" w:eastAsiaTheme="majorEastAsia" w:hAnsi="Times New Roman" w:cs="Times New Roman"/>
          <w:bCs/>
          <w:i/>
          <w:sz w:val="24"/>
          <w:szCs w:val="26"/>
        </w:rPr>
        <w:lastRenderedPageBreak/>
        <w:t>Debt and transition to postgraduate study</w:t>
      </w:r>
    </w:p>
    <w:p w14:paraId="47129893" w14:textId="77777777" w:rsidR="004766BA" w:rsidRDefault="004766BA" w:rsidP="0073521F">
      <w:pPr>
        <w:spacing w:after="0" w:line="480" w:lineRule="auto"/>
        <w:rPr>
          <w:rFonts w:ascii="Times New Roman" w:eastAsiaTheme="majorEastAsia" w:hAnsi="Times New Roman" w:cs="Times New Roman"/>
          <w:bCs/>
          <w:sz w:val="24"/>
          <w:szCs w:val="26"/>
        </w:rPr>
      </w:pPr>
    </w:p>
    <w:p w14:paraId="329E86CE" w14:textId="1102531B" w:rsidR="004766BA" w:rsidRDefault="004766BA" w:rsidP="0073521F">
      <w:pPr>
        <w:spacing w:after="0" w:line="480" w:lineRule="auto"/>
        <w:rPr>
          <w:rFonts w:ascii="Times New Roman" w:eastAsiaTheme="majorEastAsia" w:hAnsi="Times New Roman" w:cs="Times New Roman"/>
          <w:bCs/>
          <w:sz w:val="24"/>
          <w:szCs w:val="26"/>
        </w:rPr>
      </w:pPr>
      <w:r>
        <w:rPr>
          <w:rFonts w:ascii="Times New Roman" w:eastAsiaTheme="majorEastAsia" w:hAnsi="Times New Roman" w:cs="Times New Roman"/>
          <w:bCs/>
          <w:sz w:val="24"/>
          <w:szCs w:val="26"/>
        </w:rPr>
        <w:t xml:space="preserve">Almost all extant research on the effect of student debt on transition to postgraduate study concerns the USA. The comparatively high debt of American graduates may </w:t>
      </w:r>
      <w:r w:rsidR="00D6514F">
        <w:rPr>
          <w:rFonts w:ascii="Times New Roman" w:eastAsiaTheme="majorEastAsia" w:hAnsi="Times New Roman" w:cs="Times New Roman"/>
          <w:bCs/>
          <w:sz w:val="24"/>
          <w:szCs w:val="26"/>
        </w:rPr>
        <w:t>indicate the</w:t>
      </w:r>
      <w:r>
        <w:rPr>
          <w:rFonts w:ascii="Times New Roman" w:eastAsiaTheme="majorEastAsia" w:hAnsi="Times New Roman" w:cs="Times New Roman"/>
          <w:bCs/>
          <w:sz w:val="24"/>
          <w:szCs w:val="26"/>
        </w:rPr>
        <w:t xml:space="preserve"> likely future outcomes for English graduates in a high-debt regime, although there are important differences across the two contexts. </w:t>
      </w:r>
      <w:r w:rsidR="00FF3EC5">
        <w:rPr>
          <w:rFonts w:ascii="Times New Roman" w:eastAsiaTheme="majorEastAsia" w:hAnsi="Times New Roman" w:cs="Times New Roman"/>
          <w:bCs/>
          <w:sz w:val="24"/>
          <w:szCs w:val="26"/>
        </w:rPr>
        <w:t>Clearly,</w:t>
      </w:r>
      <w:r>
        <w:rPr>
          <w:rFonts w:ascii="Times New Roman" w:eastAsiaTheme="majorEastAsia" w:hAnsi="Times New Roman" w:cs="Times New Roman"/>
          <w:bCs/>
          <w:sz w:val="24"/>
          <w:szCs w:val="26"/>
        </w:rPr>
        <w:t xml:space="preserve"> some graduates borrow extensively to finance postgraduate study. </w:t>
      </w:r>
      <w:r w:rsidRPr="00C206BC">
        <w:rPr>
          <w:rFonts w:ascii="Times New Roman" w:eastAsiaTheme="majorEastAsia" w:hAnsi="Times New Roman" w:cs="Times New Roman"/>
          <w:bCs/>
          <w:sz w:val="24"/>
          <w:szCs w:val="26"/>
        </w:rPr>
        <w:t xml:space="preserve">Belasco </w:t>
      </w:r>
      <w:r w:rsidRPr="00C206BC">
        <w:rPr>
          <w:rFonts w:ascii="Times New Roman" w:eastAsiaTheme="majorEastAsia" w:hAnsi="Times New Roman" w:cs="Times New Roman"/>
          <w:bCs/>
          <w:i/>
          <w:sz w:val="24"/>
          <w:szCs w:val="26"/>
        </w:rPr>
        <w:t>et al.</w:t>
      </w:r>
      <w:r w:rsidRPr="00C206BC">
        <w:rPr>
          <w:rFonts w:ascii="Times New Roman" w:eastAsiaTheme="majorEastAsia" w:hAnsi="Times New Roman" w:cs="Times New Roman"/>
          <w:bCs/>
          <w:sz w:val="24"/>
          <w:szCs w:val="26"/>
        </w:rPr>
        <w:t xml:space="preserve"> (2014) report mean graduate borrowing of $31,000 for </w:t>
      </w:r>
      <w:proofErr w:type="spellStart"/>
      <w:r w:rsidRPr="00C206BC">
        <w:rPr>
          <w:rFonts w:ascii="Times New Roman" w:eastAsiaTheme="majorEastAsia" w:hAnsi="Times New Roman" w:cs="Times New Roman"/>
          <w:bCs/>
          <w:sz w:val="24"/>
          <w:szCs w:val="26"/>
        </w:rPr>
        <w:t>masters</w:t>
      </w:r>
      <w:proofErr w:type="spellEnd"/>
      <w:r w:rsidRPr="00C206BC">
        <w:rPr>
          <w:rFonts w:ascii="Times New Roman" w:eastAsiaTheme="majorEastAsia" w:hAnsi="Times New Roman" w:cs="Times New Roman"/>
          <w:bCs/>
          <w:sz w:val="24"/>
          <w:szCs w:val="26"/>
        </w:rPr>
        <w:t xml:space="preserve"> degree</w:t>
      </w:r>
      <w:r>
        <w:rPr>
          <w:rFonts w:ascii="Times New Roman" w:eastAsiaTheme="majorEastAsia" w:hAnsi="Times New Roman" w:cs="Times New Roman"/>
          <w:bCs/>
          <w:sz w:val="24"/>
          <w:szCs w:val="26"/>
        </w:rPr>
        <w:t xml:space="preserve"> recipients, $56,000 for doctoral graduates and almost $90,000 for first-professional graduate degrees. They show a range of factors as associated with </w:t>
      </w:r>
      <w:r w:rsidR="00D6514F">
        <w:rPr>
          <w:rFonts w:ascii="Times New Roman" w:eastAsiaTheme="majorEastAsia" w:hAnsi="Times New Roman" w:cs="Times New Roman"/>
          <w:bCs/>
          <w:sz w:val="24"/>
          <w:szCs w:val="26"/>
        </w:rPr>
        <w:t xml:space="preserve">accrued graduate </w:t>
      </w:r>
      <w:r>
        <w:rPr>
          <w:rFonts w:ascii="Times New Roman" w:eastAsiaTheme="majorEastAsia" w:hAnsi="Times New Roman" w:cs="Times New Roman"/>
          <w:bCs/>
          <w:sz w:val="24"/>
          <w:szCs w:val="26"/>
        </w:rPr>
        <w:t xml:space="preserve">debt, although they lack a direct measure of financial means or socio-economic background. </w:t>
      </w:r>
      <w:r w:rsidR="00D6514F">
        <w:rPr>
          <w:rFonts w:ascii="Times New Roman" w:eastAsiaTheme="majorEastAsia" w:hAnsi="Times New Roman" w:cs="Times New Roman"/>
          <w:bCs/>
          <w:sz w:val="24"/>
          <w:szCs w:val="26"/>
        </w:rPr>
        <w:t xml:space="preserve">Further, since </w:t>
      </w:r>
      <w:r w:rsidR="00E7342C">
        <w:rPr>
          <w:rFonts w:ascii="Times New Roman" w:eastAsiaTheme="majorEastAsia" w:hAnsi="Times New Roman" w:cs="Times New Roman"/>
          <w:bCs/>
          <w:sz w:val="24"/>
          <w:szCs w:val="26"/>
        </w:rPr>
        <w:t>their</w:t>
      </w:r>
      <w:r>
        <w:rPr>
          <w:rFonts w:ascii="Times New Roman" w:eastAsiaTheme="majorEastAsia" w:hAnsi="Times New Roman" w:cs="Times New Roman"/>
          <w:bCs/>
          <w:sz w:val="24"/>
          <w:szCs w:val="26"/>
        </w:rPr>
        <w:t xml:space="preserve"> study focuses on successful postgraduates, it does not </w:t>
      </w:r>
      <w:r w:rsidR="00D6514F">
        <w:rPr>
          <w:rFonts w:ascii="Times New Roman" w:eastAsiaTheme="majorEastAsia" w:hAnsi="Times New Roman" w:cs="Times New Roman"/>
          <w:bCs/>
          <w:sz w:val="24"/>
          <w:szCs w:val="26"/>
        </w:rPr>
        <w:t>address the</w:t>
      </w:r>
      <w:r>
        <w:rPr>
          <w:rFonts w:ascii="Times New Roman" w:eastAsiaTheme="majorEastAsia" w:hAnsi="Times New Roman" w:cs="Times New Roman"/>
          <w:bCs/>
          <w:sz w:val="24"/>
          <w:szCs w:val="26"/>
        </w:rPr>
        <w:t xml:space="preserve"> potential deterrent effect of undergraduate debts.</w:t>
      </w:r>
    </w:p>
    <w:p w14:paraId="08CCE12A" w14:textId="730A28B6" w:rsidR="004766BA" w:rsidRDefault="004766BA" w:rsidP="001B765D">
      <w:pPr>
        <w:spacing w:after="0" w:line="480" w:lineRule="auto"/>
        <w:ind w:firstLine="720"/>
        <w:rPr>
          <w:rFonts w:ascii="Times New Roman" w:eastAsiaTheme="majorEastAsia" w:hAnsi="Times New Roman" w:cs="Times New Roman"/>
          <w:bCs/>
          <w:sz w:val="24"/>
          <w:szCs w:val="26"/>
        </w:rPr>
      </w:pPr>
      <w:r>
        <w:rPr>
          <w:rFonts w:ascii="Times New Roman" w:eastAsiaTheme="majorEastAsia" w:hAnsi="Times New Roman" w:cs="Times New Roman"/>
          <w:bCs/>
          <w:sz w:val="24"/>
          <w:szCs w:val="26"/>
        </w:rPr>
        <w:t xml:space="preserve">Several US studies have investigated the relationship between undergraduate debts and transition to postgraduate study, </w:t>
      </w:r>
      <w:r w:rsidR="00E919DB">
        <w:rPr>
          <w:rFonts w:ascii="Times New Roman" w:eastAsiaTheme="majorEastAsia" w:hAnsi="Times New Roman" w:cs="Times New Roman"/>
          <w:bCs/>
          <w:sz w:val="24"/>
          <w:szCs w:val="26"/>
        </w:rPr>
        <w:t>but</w:t>
      </w:r>
      <w:r>
        <w:rPr>
          <w:rFonts w:ascii="Times New Roman" w:eastAsiaTheme="majorEastAsia" w:hAnsi="Times New Roman" w:cs="Times New Roman"/>
          <w:bCs/>
          <w:sz w:val="24"/>
          <w:szCs w:val="26"/>
        </w:rPr>
        <w:t xml:space="preserve"> no clear consensus emerges. Using the 1993/94 Baccalaureate and Beyond </w:t>
      </w:r>
      <w:r w:rsidRPr="000C1ACC">
        <w:rPr>
          <w:rFonts w:ascii="Times New Roman" w:eastAsiaTheme="majorEastAsia" w:hAnsi="Times New Roman" w:cs="Times New Roman"/>
          <w:bCs/>
          <w:sz w:val="24"/>
          <w:szCs w:val="26"/>
        </w:rPr>
        <w:t>dataset, Millett (2003) found a negative relationship between undergraduate debts and</w:t>
      </w:r>
      <w:r>
        <w:rPr>
          <w:rFonts w:ascii="Times New Roman" w:eastAsiaTheme="majorEastAsia" w:hAnsi="Times New Roman" w:cs="Times New Roman"/>
          <w:bCs/>
          <w:sz w:val="24"/>
          <w:szCs w:val="26"/>
        </w:rPr>
        <w:t xml:space="preserve"> </w:t>
      </w:r>
      <w:r w:rsidRPr="000C1ACC">
        <w:rPr>
          <w:rFonts w:ascii="Times New Roman" w:eastAsiaTheme="majorEastAsia" w:hAnsi="Times New Roman" w:cs="Times New Roman"/>
          <w:bCs/>
          <w:sz w:val="24"/>
          <w:szCs w:val="26"/>
        </w:rPr>
        <w:t xml:space="preserve">enrolment in postgraduate study. </w:t>
      </w:r>
      <w:r w:rsidR="00D6514F">
        <w:rPr>
          <w:rFonts w:ascii="Times New Roman" w:eastAsiaTheme="majorEastAsia" w:hAnsi="Times New Roman" w:cs="Times New Roman"/>
          <w:bCs/>
          <w:sz w:val="24"/>
          <w:szCs w:val="26"/>
        </w:rPr>
        <w:t>More recently</w:t>
      </w:r>
      <w:r w:rsidRPr="000C1ACC">
        <w:rPr>
          <w:rFonts w:ascii="Times New Roman" w:eastAsiaTheme="majorEastAsia" w:hAnsi="Times New Roman" w:cs="Times New Roman"/>
          <w:bCs/>
          <w:sz w:val="24"/>
          <w:szCs w:val="26"/>
        </w:rPr>
        <w:t>, Malcolm and Dowd (2011)</w:t>
      </w:r>
      <w:r>
        <w:rPr>
          <w:rFonts w:ascii="Times New Roman" w:eastAsiaTheme="majorEastAsia" w:hAnsi="Times New Roman" w:cs="Times New Roman"/>
          <w:bCs/>
          <w:sz w:val="24"/>
          <w:szCs w:val="26"/>
        </w:rPr>
        <w:t xml:space="preserve"> </w:t>
      </w:r>
      <w:r w:rsidRPr="000C1ACC">
        <w:rPr>
          <w:rFonts w:ascii="Times New Roman" w:eastAsiaTheme="majorEastAsia" w:hAnsi="Times New Roman" w:cs="Times New Roman"/>
          <w:bCs/>
          <w:sz w:val="24"/>
          <w:szCs w:val="26"/>
        </w:rPr>
        <w:t>reported a similar finding specifically for STEM graduates. However Zhang (2011), using the</w:t>
      </w:r>
      <w:r>
        <w:rPr>
          <w:rFonts w:ascii="Times New Roman" w:eastAsiaTheme="majorEastAsia" w:hAnsi="Times New Roman" w:cs="Times New Roman"/>
          <w:bCs/>
          <w:sz w:val="24"/>
          <w:szCs w:val="26"/>
        </w:rPr>
        <w:t xml:space="preserve"> same dataset as Millett but retaining more cases, found debt was a deterrent only in defined circumstances (e.g. for public university graduates and for certain types of graduate programme). </w:t>
      </w:r>
      <w:r w:rsidRPr="000C1ACC">
        <w:rPr>
          <w:rFonts w:ascii="Times New Roman" w:eastAsiaTheme="majorEastAsia" w:hAnsi="Times New Roman" w:cs="Times New Roman"/>
          <w:bCs/>
          <w:sz w:val="24"/>
          <w:szCs w:val="26"/>
        </w:rPr>
        <w:t xml:space="preserve">Finally English and </w:t>
      </w:r>
      <w:proofErr w:type="spellStart"/>
      <w:r w:rsidRPr="000C1ACC">
        <w:rPr>
          <w:rFonts w:ascii="Times New Roman" w:eastAsiaTheme="majorEastAsia" w:hAnsi="Times New Roman" w:cs="Times New Roman"/>
          <w:bCs/>
          <w:sz w:val="24"/>
          <w:szCs w:val="26"/>
        </w:rPr>
        <w:t>Umbach</w:t>
      </w:r>
      <w:proofErr w:type="spellEnd"/>
      <w:r w:rsidRPr="000C1ACC">
        <w:rPr>
          <w:rFonts w:ascii="Times New Roman" w:eastAsiaTheme="majorEastAsia" w:hAnsi="Times New Roman" w:cs="Times New Roman"/>
          <w:bCs/>
          <w:sz w:val="24"/>
          <w:szCs w:val="26"/>
        </w:rPr>
        <w:t xml:space="preserve"> (2016), using a later version of</w:t>
      </w:r>
      <w:r>
        <w:rPr>
          <w:rFonts w:ascii="Times New Roman" w:eastAsiaTheme="majorEastAsia" w:hAnsi="Times New Roman" w:cs="Times New Roman"/>
          <w:bCs/>
          <w:sz w:val="24"/>
          <w:szCs w:val="26"/>
        </w:rPr>
        <w:t xml:space="preserve"> Baccalaureate and Beyond (2000/01) found no association whatsoever between undergraduate debt and transition to postgraduate study.</w:t>
      </w:r>
    </w:p>
    <w:p w14:paraId="49DEB78D" w14:textId="67C8B571" w:rsidR="004766BA" w:rsidRDefault="004766BA" w:rsidP="001B765D">
      <w:pPr>
        <w:spacing w:after="0" w:line="480" w:lineRule="auto"/>
        <w:ind w:firstLine="720"/>
        <w:rPr>
          <w:rFonts w:ascii="Times New Roman" w:eastAsiaTheme="majorEastAsia" w:hAnsi="Times New Roman" w:cs="Times New Roman"/>
          <w:bCs/>
          <w:sz w:val="24"/>
          <w:szCs w:val="26"/>
        </w:rPr>
      </w:pPr>
      <w:r>
        <w:rPr>
          <w:rFonts w:ascii="Times New Roman" w:eastAsiaTheme="majorEastAsia" w:hAnsi="Times New Roman" w:cs="Times New Roman"/>
          <w:bCs/>
          <w:sz w:val="24"/>
          <w:szCs w:val="26"/>
        </w:rPr>
        <w:t xml:space="preserve">There are hardly any previous British studies of the relationship between </w:t>
      </w:r>
      <w:r w:rsidRPr="000C1ACC">
        <w:rPr>
          <w:rFonts w:ascii="Times New Roman" w:eastAsiaTheme="majorEastAsia" w:hAnsi="Times New Roman" w:cs="Times New Roman"/>
          <w:bCs/>
          <w:sz w:val="24"/>
          <w:szCs w:val="26"/>
        </w:rPr>
        <w:t xml:space="preserve">undergraduate debt and transition to postgraduate study. Stuart </w:t>
      </w:r>
      <w:r w:rsidRPr="001C22A4">
        <w:rPr>
          <w:rFonts w:ascii="Times New Roman" w:eastAsiaTheme="majorEastAsia" w:hAnsi="Times New Roman" w:cs="Times New Roman"/>
          <w:bCs/>
          <w:i/>
          <w:sz w:val="24"/>
          <w:szCs w:val="26"/>
        </w:rPr>
        <w:t>et al.</w:t>
      </w:r>
      <w:r w:rsidRPr="000C1ACC">
        <w:rPr>
          <w:rFonts w:ascii="Times New Roman" w:eastAsiaTheme="majorEastAsia" w:hAnsi="Times New Roman" w:cs="Times New Roman"/>
          <w:bCs/>
          <w:sz w:val="24"/>
          <w:szCs w:val="26"/>
        </w:rPr>
        <w:t xml:space="preserve"> (2008) found, in a study</w:t>
      </w:r>
      <w:r>
        <w:rPr>
          <w:rFonts w:ascii="Times New Roman" w:eastAsiaTheme="majorEastAsia" w:hAnsi="Times New Roman" w:cs="Times New Roman"/>
          <w:bCs/>
          <w:sz w:val="24"/>
          <w:szCs w:val="26"/>
        </w:rPr>
        <w:t xml:space="preserve"> of two new universities in the south of England, that final-year students with an aversion to </w:t>
      </w:r>
      <w:r>
        <w:rPr>
          <w:rFonts w:ascii="Times New Roman" w:eastAsiaTheme="majorEastAsia" w:hAnsi="Times New Roman" w:cs="Times New Roman"/>
          <w:bCs/>
          <w:sz w:val="24"/>
          <w:szCs w:val="26"/>
        </w:rPr>
        <w:lastRenderedPageBreak/>
        <w:t xml:space="preserve">debt were less likely to aspire to postgraduate study, although actual debt levels were unimportant. In 2013, the Higher Education Funding Council for England (HEFCE) conducted a survey of final-year ‘home/EU’ undergraduates as an addendum to the annual National Student Survey. This asked about students’ postgraduate study intentions, motivations and barriers and included data linkage to demographic and academic </w:t>
      </w:r>
      <w:r w:rsidRPr="000C1ACC">
        <w:rPr>
          <w:rFonts w:ascii="Times New Roman" w:eastAsiaTheme="majorEastAsia" w:hAnsi="Times New Roman" w:cs="Times New Roman"/>
          <w:bCs/>
          <w:sz w:val="24"/>
          <w:szCs w:val="26"/>
        </w:rPr>
        <w:t>variables. HEFCE (2013b) reported that debt aversion featured prominently as a reason why</w:t>
      </w:r>
      <w:r>
        <w:rPr>
          <w:rFonts w:ascii="Times New Roman" w:eastAsiaTheme="majorEastAsia" w:hAnsi="Times New Roman" w:cs="Times New Roman"/>
          <w:bCs/>
          <w:sz w:val="24"/>
          <w:szCs w:val="26"/>
        </w:rPr>
        <w:t xml:space="preserve"> students did not plan to enrol on a postgraduate programme, although overall cost considerations were most frequently cited. Students from less privileged socio-economic backgrounds were most likely to aspire to, but least likely to achieve transition to postgraduate study immediatel</w:t>
      </w:r>
      <w:r w:rsidR="0005376E">
        <w:rPr>
          <w:rFonts w:ascii="Times New Roman" w:eastAsiaTheme="majorEastAsia" w:hAnsi="Times New Roman" w:cs="Times New Roman"/>
          <w:bCs/>
          <w:sz w:val="24"/>
          <w:szCs w:val="26"/>
        </w:rPr>
        <w:t xml:space="preserve">y following their first degree, but </w:t>
      </w:r>
      <w:r>
        <w:rPr>
          <w:rFonts w:ascii="Times New Roman" w:eastAsiaTheme="majorEastAsia" w:hAnsi="Times New Roman" w:cs="Times New Roman"/>
          <w:bCs/>
          <w:sz w:val="24"/>
          <w:szCs w:val="26"/>
        </w:rPr>
        <w:t xml:space="preserve">it is unclear whether </w:t>
      </w:r>
      <w:r w:rsidR="00FF3EC5">
        <w:rPr>
          <w:rFonts w:ascii="Times New Roman" w:eastAsiaTheme="majorEastAsia" w:hAnsi="Times New Roman" w:cs="Times New Roman"/>
          <w:bCs/>
          <w:sz w:val="24"/>
          <w:szCs w:val="26"/>
        </w:rPr>
        <w:t xml:space="preserve">actual </w:t>
      </w:r>
      <w:r>
        <w:rPr>
          <w:rFonts w:ascii="Times New Roman" w:eastAsiaTheme="majorEastAsia" w:hAnsi="Times New Roman" w:cs="Times New Roman"/>
          <w:bCs/>
          <w:sz w:val="24"/>
          <w:szCs w:val="26"/>
        </w:rPr>
        <w:t>debt was a factor in this discrepancy.</w:t>
      </w:r>
    </w:p>
    <w:p w14:paraId="2F740FA7" w14:textId="77777777" w:rsidR="004766BA" w:rsidRDefault="004766BA" w:rsidP="001B765D">
      <w:pPr>
        <w:spacing w:after="0" w:line="480" w:lineRule="auto"/>
        <w:ind w:firstLine="720"/>
        <w:rPr>
          <w:rFonts w:ascii="Times New Roman" w:eastAsiaTheme="majorEastAsia" w:hAnsi="Times New Roman" w:cs="Times New Roman"/>
          <w:bCs/>
          <w:sz w:val="24"/>
          <w:szCs w:val="26"/>
        </w:rPr>
      </w:pPr>
    </w:p>
    <w:p w14:paraId="7249DDE7" w14:textId="46EA6DA4" w:rsidR="004766BA" w:rsidRPr="005A79D4" w:rsidRDefault="004766BA" w:rsidP="00F37C76">
      <w:pPr>
        <w:spacing w:after="0" w:line="480" w:lineRule="auto"/>
        <w:rPr>
          <w:rFonts w:ascii="Times New Roman" w:eastAsiaTheme="majorEastAsia" w:hAnsi="Times New Roman" w:cs="Times New Roman"/>
          <w:bCs/>
          <w:i/>
          <w:sz w:val="24"/>
          <w:szCs w:val="24"/>
        </w:rPr>
      </w:pPr>
      <w:r>
        <w:rPr>
          <w:rFonts w:ascii="Times New Roman" w:eastAsiaTheme="majorEastAsia" w:hAnsi="Times New Roman" w:cs="Times New Roman"/>
          <w:bCs/>
          <w:i/>
          <w:sz w:val="24"/>
          <w:szCs w:val="24"/>
        </w:rPr>
        <w:t>Other influences on postgraduate enrolment</w:t>
      </w:r>
    </w:p>
    <w:p w14:paraId="606A7C83" w14:textId="77777777" w:rsidR="00E7342C" w:rsidRDefault="00E7342C" w:rsidP="00F37C76">
      <w:pPr>
        <w:spacing w:after="0" w:line="480" w:lineRule="auto"/>
        <w:rPr>
          <w:rFonts w:ascii="Times New Roman" w:eastAsiaTheme="majorEastAsia" w:hAnsi="Times New Roman" w:cs="Times New Roman"/>
          <w:bCs/>
          <w:sz w:val="24"/>
          <w:szCs w:val="26"/>
        </w:rPr>
      </w:pPr>
    </w:p>
    <w:p w14:paraId="209419D8" w14:textId="1B7836ED" w:rsidR="004766BA" w:rsidRDefault="004766BA" w:rsidP="00F37C76">
      <w:pPr>
        <w:spacing w:after="0" w:line="480" w:lineRule="auto"/>
        <w:rPr>
          <w:rFonts w:ascii="Times New Roman" w:eastAsiaTheme="majorEastAsia" w:hAnsi="Times New Roman" w:cs="Times New Roman"/>
          <w:bCs/>
          <w:sz w:val="24"/>
          <w:szCs w:val="26"/>
        </w:rPr>
      </w:pPr>
      <w:r>
        <w:rPr>
          <w:rFonts w:ascii="Times New Roman" w:eastAsiaTheme="majorEastAsia" w:hAnsi="Times New Roman" w:cs="Times New Roman"/>
          <w:bCs/>
          <w:sz w:val="24"/>
          <w:szCs w:val="26"/>
        </w:rPr>
        <w:t xml:space="preserve">Other factors have been identified as important in the transition to postgraduate study. There is little direct evidence of students’ decision-making process in considering postgraduate study. At undergraduate level, students in England </w:t>
      </w:r>
      <w:r w:rsidR="00C5450C">
        <w:rPr>
          <w:rFonts w:ascii="Times New Roman" w:eastAsiaTheme="majorEastAsia" w:hAnsi="Times New Roman" w:cs="Times New Roman"/>
          <w:bCs/>
          <w:sz w:val="24"/>
          <w:szCs w:val="26"/>
        </w:rPr>
        <w:t>can</w:t>
      </w:r>
      <w:r>
        <w:rPr>
          <w:rFonts w:ascii="Times New Roman" w:eastAsiaTheme="majorEastAsia" w:hAnsi="Times New Roman" w:cs="Times New Roman"/>
          <w:bCs/>
          <w:sz w:val="24"/>
          <w:szCs w:val="26"/>
        </w:rPr>
        <w:t xml:space="preserve"> have quite vague understanding </w:t>
      </w:r>
      <w:r w:rsidRPr="0030603A">
        <w:rPr>
          <w:rFonts w:ascii="Times New Roman" w:eastAsiaTheme="majorEastAsia" w:hAnsi="Times New Roman" w:cs="Times New Roman"/>
          <w:bCs/>
          <w:sz w:val="24"/>
          <w:szCs w:val="26"/>
        </w:rPr>
        <w:t xml:space="preserve">of funding arrangements (Mangan </w:t>
      </w:r>
      <w:r w:rsidRPr="001C22A4">
        <w:rPr>
          <w:rFonts w:ascii="Times New Roman" w:eastAsiaTheme="majorEastAsia" w:hAnsi="Times New Roman" w:cs="Times New Roman"/>
          <w:bCs/>
          <w:i/>
          <w:sz w:val="24"/>
          <w:szCs w:val="26"/>
        </w:rPr>
        <w:t>et al.</w:t>
      </w:r>
      <w:r w:rsidRPr="0030603A">
        <w:rPr>
          <w:rFonts w:ascii="Times New Roman" w:eastAsiaTheme="majorEastAsia" w:hAnsi="Times New Roman" w:cs="Times New Roman"/>
          <w:bCs/>
          <w:sz w:val="24"/>
          <w:szCs w:val="26"/>
        </w:rPr>
        <w:t>, 2010). There is some evidence that</w:t>
      </w:r>
      <w:r>
        <w:rPr>
          <w:rFonts w:ascii="Times New Roman" w:eastAsiaTheme="majorEastAsia" w:hAnsi="Times New Roman" w:cs="Times New Roman"/>
          <w:bCs/>
          <w:sz w:val="24"/>
          <w:szCs w:val="26"/>
        </w:rPr>
        <w:t xml:space="preserve"> </w:t>
      </w:r>
      <w:r w:rsidRPr="0030603A">
        <w:rPr>
          <w:rFonts w:ascii="Times New Roman" w:eastAsiaTheme="majorEastAsia" w:hAnsi="Times New Roman" w:cs="Times New Roman"/>
          <w:bCs/>
          <w:sz w:val="24"/>
          <w:szCs w:val="26"/>
        </w:rPr>
        <w:t>graduates too show a poor grasp of postgraduate funding arrangements in England (Mellors-Bourne, 2015).</w:t>
      </w:r>
    </w:p>
    <w:p w14:paraId="18D768DA" w14:textId="18B0A16E" w:rsidR="004766BA" w:rsidRDefault="004766BA" w:rsidP="001B765D">
      <w:pPr>
        <w:spacing w:after="0" w:line="480" w:lineRule="auto"/>
        <w:ind w:firstLine="72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Regarding non-financial factors, transition to postgraduate study is known to vary across field of study</w:t>
      </w:r>
      <w:r w:rsidR="00D67DE6">
        <w:rPr>
          <w:rFonts w:ascii="Times New Roman" w:eastAsiaTheme="majorEastAsia" w:hAnsi="Times New Roman" w:cs="Times New Roman"/>
          <w:bCs/>
          <w:sz w:val="24"/>
          <w:szCs w:val="24"/>
        </w:rPr>
        <w:t>,</w:t>
      </w:r>
      <w:r>
        <w:rPr>
          <w:rFonts w:ascii="Times New Roman" w:eastAsiaTheme="majorEastAsia" w:hAnsi="Times New Roman" w:cs="Times New Roman"/>
          <w:bCs/>
          <w:sz w:val="24"/>
          <w:szCs w:val="24"/>
        </w:rPr>
        <w:t xml:space="preserve"> with first-degree attainment also being a key predictor. There is also substantial variation across type of institution, with those from the most selective (</w:t>
      </w:r>
      <w:proofErr w:type="gramStart"/>
      <w:r>
        <w:rPr>
          <w:rFonts w:ascii="Times New Roman" w:eastAsiaTheme="majorEastAsia" w:hAnsi="Times New Roman" w:cs="Times New Roman"/>
          <w:bCs/>
          <w:sz w:val="24"/>
          <w:szCs w:val="24"/>
        </w:rPr>
        <w:t>and also</w:t>
      </w:r>
      <w:proofErr w:type="gramEnd"/>
      <w:r>
        <w:rPr>
          <w:rFonts w:ascii="Times New Roman" w:eastAsiaTheme="majorEastAsia" w:hAnsi="Times New Roman" w:cs="Times New Roman"/>
          <w:bCs/>
          <w:sz w:val="24"/>
          <w:szCs w:val="24"/>
        </w:rPr>
        <w:t xml:space="preserve"> socially exclusive) institutions most likely to enter postgraduate study. However non-academic factors are also influential, with some evidence that those from lower socio-economic backgrounds, minority ethnic groups</w:t>
      </w:r>
      <w:r w:rsidR="00D6514F">
        <w:rPr>
          <w:rFonts w:ascii="Times New Roman" w:eastAsiaTheme="majorEastAsia" w:hAnsi="Times New Roman" w:cs="Times New Roman"/>
          <w:bCs/>
          <w:sz w:val="24"/>
          <w:szCs w:val="24"/>
        </w:rPr>
        <w:t>,</w:t>
      </w:r>
      <w:r>
        <w:rPr>
          <w:rFonts w:ascii="Times New Roman" w:eastAsiaTheme="majorEastAsia" w:hAnsi="Times New Roman" w:cs="Times New Roman"/>
          <w:bCs/>
          <w:sz w:val="24"/>
          <w:szCs w:val="24"/>
        </w:rPr>
        <w:t xml:space="preserve"> and women are less likely to enter </w:t>
      </w:r>
      <w:r w:rsidRPr="0030603A">
        <w:rPr>
          <w:rFonts w:ascii="Times New Roman" w:eastAsiaTheme="majorEastAsia" w:hAnsi="Times New Roman" w:cs="Times New Roman"/>
          <w:bCs/>
          <w:sz w:val="24"/>
          <w:szCs w:val="24"/>
        </w:rPr>
        <w:lastRenderedPageBreak/>
        <w:t>postgraduate study, conditional on achieving a first degree (</w:t>
      </w:r>
      <w:proofErr w:type="spellStart"/>
      <w:r w:rsidR="006564E8">
        <w:rPr>
          <w:rFonts w:ascii="Times New Roman" w:eastAsiaTheme="majorEastAsia" w:hAnsi="Times New Roman" w:cs="Times New Roman"/>
          <w:bCs/>
          <w:sz w:val="24"/>
          <w:szCs w:val="24"/>
        </w:rPr>
        <w:t>D</w:t>
      </w:r>
      <w:r w:rsidR="006564E8" w:rsidRPr="0030603A">
        <w:rPr>
          <w:rFonts w:ascii="Times New Roman" w:eastAsiaTheme="majorEastAsia" w:hAnsi="Times New Roman" w:cs="Times New Roman"/>
          <w:bCs/>
          <w:sz w:val="24"/>
          <w:szCs w:val="24"/>
        </w:rPr>
        <w:t>’Aguiar</w:t>
      </w:r>
      <w:proofErr w:type="spellEnd"/>
      <w:r w:rsidR="006564E8" w:rsidRPr="0030603A">
        <w:rPr>
          <w:rFonts w:ascii="Times New Roman" w:eastAsiaTheme="majorEastAsia" w:hAnsi="Times New Roman" w:cs="Times New Roman"/>
          <w:bCs/>
          <w:sz w:val="24"/>
          <w:szCs w:val="24"/>
        </w:rPr>
        <w:t xml:space="preserve"> </w:t>
      </w:r>
      <w:r w:rsidRPr="0030603A">
        <w:rPr>
          <w:rFonts w:ascii="Times New Roman" w:eastAsiaTheme="majorEastAsia" w:hAnsi="Times New Roman" w:cs="Times New Roman"/>
          <w:bCs/>
          <w:sz w:val="24"/>
          <w:szCs w:val="24"/>
        </w:rPr>
        <w:t xml:space="preserve">and Harrison, 2015; English and </w:t>
      </w:r>
      <w:proofErr w:type="spellStart"/>
      <w:r w:rsidRPr="0030603A">
        <w:rPr>
          <w:rFonts w:ascii="Times New Roman" w:eastAsiaTheme="majorEastAsia" w:hAnsi="Times New Roman" w:cs="Times New Roman"/>
          <w:bCs/>
          <w:sz w:val="24"/>
          <w:szCs w:val="24"/>
        </w:rPr>
        <w:t>Umbach</w:t>
      </w:r>
      <w:proofErr w:type="spellEnd"/>
      <w:r w:rsidRPr="0030603A">
        <w:rPr>
          <w:rFonts w:ascii="Times New Roman" w:eastAsiaTheme="majorEastAsia" w:hAnsi="Times New Roman" w:cs="Times New Roman"/>
          <w:bCs/>
          <w:sz w:val="24"/>
          <w:szCs w:val="24"/>
        </w:rPr>
        <w:t>, 2016; HEFCE, 2013b; Wakeling and Hampden-Thompson, 2013).</w:t>
      </w:r>
    </w:p>
    <w:p w14:paraId="3ABAC874" w14:textId="3AE0F539" w:rsidR="004766BA" w:rsidRPr="003943E9" w:rsidRDefault="004766BA" w:rsidP="0073521F">
      <w:pPr>
        <w:spacing w:after="0" w:line="480" w:lineRule="auto"/>
        <w:rPr>
          <w:rFonts w:ascii="Times New Roman" w:eastAsiaTheme="majorEastAsia" w:hAnsi="Times New Roman" w:cs="Times New Roman"/>
          <w:b/>
          <w:bCs/>
          <w:sz w:val="26"/>
          <w:szCs w:val="26"/>
        </w:rPr>
      </w:pPr>
    </w:p>
    <w:p w14:paraId="128941C1" w14:textId="2A7D0346" w:rsidR="004766BA" w:rsidRPr="005A79D4" w:rsidRDefault="004766BA" w:rsidP="005A79D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rPr>
          <w:rFonts w:ascii="Times New Roman" w:eastAsiaTheme="majorEastAsia" w:hAnsi="Times New Roman"/>
          <w:b/>
          <w:bCs/>
          <w:color w:val="auto"/>
          <w:sz w:val="26"/>
          <w:szCs w:val="26"/>
          <w:lang w:val="en-GB" w:eastAsia="en-US"/>
        </w:rPr>
      </w:pPr>
      <w:r w:rsidRPr="006F43B5">
        <w:rPr>
          <w:rFonts w:ascii="Times New Roman" w:eastAsiaTheme="majorEastAsia" w:hAnsi="Times New Roman"/>
          <w:b/>
          <w:bCs/>
          <w:color w:val="auto"/>
          <w:sz w:val="26"/>
          <w:szCs w:val="26"/>
          <w:lang w:val="en-GB" w:eastAsia="en-US"/>
        </w:rPr>
        <w:t>Methods</w:t>
      </w:r>
    </w:p>
    <w:p w14:paraId="06A8B055" w14:textId="77777777" w:rsidR="00E7342C" w:rsidRDefault="00E7342C" w:rsidP="00904E57">
      <w:pPr>
        <w:spacing w:after="0" w:line="480" w:lineRule="auto"/>
        <w:rPr>
          <w:rFonts w:ascii="Times New Roman" w:hAnsi="Times New Roman" w:cs="Times New Roman"/>
          <w:i/>
          <w:sz w:val="24"/>
          <w:szCs w:val="24"/>
        </w:rPr>
      </w:pPr>
    </w:p>
    <w:p w14:paraId="36AC328D" w14:textId="66C29192" w:rsidR="004766BA" w:rsidRPr="00904E57" w:rsidRDefault="00904E57" w:rsidP="00904E57">
      <w:pPr>
        <w:spacing w:after="0" w:line="480" w:lineRule="auto"/>
        <w:rPr>
          <w:rFonts w:ascii="Times New Roman" w:hAnsi="Times New Roman" w:cs="Times New Roman"/>
          <w:i/>
          <w:sz w:val="24"/>
          <w:szCs w:val="24"/>
        </w:rPr>
      </w:pPr>
      <w:r>
        <w:rPr>
          <w:rFonts w:ascii="Times New Roman" w:hAnsi="Times New Roman" w:cs="Times New Roman"/>
          <w:i/>
          <w:sz w:val="24"/>
          <w:szCs w:val="24"/>
        </w:rPr>
        <w:t>Data and Sample</w:t>
      </w:r>
    </w:p>
    <w:p w14:paraId="3A0C12F0" w14:textId="77777777" w:rsidR="0005376E" w:rsidRDefault="0005376E" w:rsidP="0073521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rPr>
          <w:rFonts w:ascii="Times New Roman" w:eastAsiaTheme="minorHAnsi" w:hAnsi="Times New Roman"/>
          <w:color w:val="auto"/>
          <w:szCs w:val="24"/>
          <w:lang w:val="en-GB" w:eastAsia="en-US"/>
        </w:rPr>
      </w:pPr>
    </w:p>
    <w:p w14:paraId="72A89D28" w14:textId="42D4E5D1" w:rsidR="004766BA" w:rsidRPr="001B765D" w:rsidRDefault="004766BA" w:rsidP="0073521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rPr>
          <w:rFonts w:ascii="Times New Roman" w:eastAsiaTheme="minorHAnsi" w:hAnsi="Times New Roman"/>
          <w:color w:val="auto"/>
          <w:szCs w:val="24"/>
          <w:lang w:val="en-GB" w:eastAsia="en-US"/>
        </w:rPr>
      </w:pPr>
      <w:r w:rsidRPr="001B765D">
        <w:rPr>
          <w:rFonts w:ascii="Times New Roman" w:eastAsiaTheme="minorHAnsi" w:hAnsi="Times New Roman"/>
          <w:color w:val="auto"/>
          <w:szCs w:val="24"/>
          <w:lang w:val="en-GB" w:eastAsia="en-US"/>
        </w:rPr>
        <w:t>Data for this paper were drawn from the Pathways Beyond Graduation (</w:t>
      </w:r>
      <w:proofErr w:type="spellStart"/>
      <w:r w:rsidRPr="001B765D">
        <w:rPr>
          <w:rFonts w:ascii="Times New Roman" w:eastAsiaTheme="minorHAnsi" w:hAnsi="Times New Roman"/>
          <w:color w:val="auto"/>
          <w:szCs w:val="24"/>
          <w:lang w:val="en-GB" w:eastAsia="en-US"/>
        </w:rPr>
        <w:t>PbG</w:t>
      </w:r>
      <w:proofErr w:type="spellEnd"/>
      <w:r w:rsidRPr="001B765D">
        <w:rPr>
          <w:rFonts w:ascii="Times New Roman" w:eastAsiaTheme="minorHAnsi" w:hAnsi="Times New Roman"/>
          <w:color w:val="auto"/>
          <w:szCs w:val="24"/>
          <w:lang w:val="en-GB" w:eastAsia="en-US"/>
        </w:rPr>
        <w:t xml:space="preserve">) survey, a large-scale online survey of first-degree alumni from six English higher education </w:t>
      </w:r>
      <w:r w:rsidRPr="00D25E9F">
        <w:rPr>
          <w:rFonts w:ascii="Times New Roman" w:eastAsiaTheme="minorHAnsi" w:hAnsi="Times New Roman"/>
          <w:color w:val="auto"/>
          <w:szCs w:val="24"/>
          <w:lang w:val="en-GB" w:eastAsia="en-US"/>
        </w:rPr>
        <w:t xml:space="preserve">institutions (HEIs). Full details of this survey are given in Hancock </w:t>
      </w:r>
      <w:r w:rsidRPr="00D25E9F">
        <w:rPr>
          <w:rFonts w:ascii="Times New Roman" w:eastAsiaTheme="minorHAnsi" w:hAnsi="Times New Roman"/>
          <w:i/>
          <w:color w:val="auto"/>
          <w:szCs w:val="24"/>
          <w:lang w:val="en-GB" w:eastAsia="en-US"/>
        </w:rPr>
        <w:t>et al</w:t>
      </w:r>
      <w:r w:rsidRPr="00D25E9F">
        <w:rPr>
          <w:rFonts w:ascii="Times New Roman" w:eastAsiaTheme="minorHAnsi" w:hAnsi="Times New Roman"/>
          <w:color w:val="auto"/>
          <w:szCs w:val="24"/>
          <w:lang w:val="en-GB" w:eastAsia="en-US"/>
        </w:rPr>
        <w:t xml:space="preserve"> (2015).</w:t>
      </w:r>
      <w:r w:rsidRPr="00D25E9F">
        <w:rPr>
          <w:rFonts w:ascii="Times New Roman" w:eastAsiaTheme="minorHAnsi" w:hAnsi="Times New Roman"/>
          <w:i/>
          <w:color w:val="auto"/>
          <w:szCs w:val="24"/>
          <w:lang w:val="en-GB" w:eastAsia="en-US"/>
        </w:rPr>
        <w:t xml:space="preserve"> </w:t>
      </w:r>
      <w:r w:rsidR="00D6514F">
        <w:rPr>
          <w:rFonts w:ascii="Times New Roman" w:eastAsiaTheme="minorHAnsi" w:hAnsi="Times New Roman"/>
          <w:color w:val="auto"/>
          <w:szCs w:val="24"/>
          <w:lang w:val="en-GB" w:eastAsia="en-US"/>
        </w:rPr>
        <w:t>Data were</w:t>
      </w:r>
      <w:r w:rsidRPr="001B765D">
        <w:rPr>
          <w:rFonts w:ascii="Times New Roman" w:eastAsiaTheme="minorHAnsi" w:hAnsi="Times New Roman"/>
          <w:color w:val="auto"/>
          <w:szCs w:val="24"/>
          <w:lang w:val="en-GB" w:eastAsia="en-US"/>
        </w:rPr>
        <w:t xml:space="preserve"> collected during May</w:t>
      </w:r>
      <w:r w:rsidR="006F43B5">
        <w:rPr>
          <w:rFonts w:ascii="Times New Roman" w:eastAsiaTheme="minorHAnsi" w:hAnsi="Times New Roman"/>
          <w:color w:val="auto"/>
          <w:szCs w:val="24"/>
          <w:lang w:val="en-GB" w:eastAsia="en-US"/>
        </w:rPr>
        <w:t>/</w:t>
      </w:r>
      <w:r w:rsidRPr="001B765D">
        <w:rPr>
          <w:rFonts w:ascii="Times New Roman" w:eastAsiaTheme="minorHAnsi" w:hAnsi="Times New Roman"/>
          <w:color w:val="auto"/>
          <w:szCs w:val="24"/>
          <w:lang w:val="en-GB" w:eastAsia="en-US"/>
        </w:rPr>
        <w:t xml:space="preserve"> June 2014.  The six participating HEIs formed a consortium through funding from the pilot ‘Postgraduate Support Scheme’</w:t>
      </w:r>
      <w:r w:rsidR="006F43B5">
        <w:rPr>
          <w:rFonts w:ascii="Times New Roman" w:eastAsiaTheme="minorHAnsi" w:hAnsi="Times New Roman"/>
          <w:color w:val="auto"/>
          <w:szCs w:val="24"/>
          <w:lang w:val="en-GB" w:eastAsia="en-US"/>
        </w:rPr>
        <w:t>,</w:t>
      </w:r>
      <w:r w:rsidRPr="001B765D">
        <w:rPr>
          <w:rFonts w:ascii="Times New Roman" w:eastAsiaTheme="minorHAnsi" w:hAnsi="Times New Roman"/>
          <w:color w:val="auto"/>
          <w:szCs w:val="24"/>
          <w:lang w:val="en-GB" w:eastAsia="en-US"/>
        </w:rPr>
        <w:t xml:space="preserve"> an initiative launched by HEFCE to support capable but </w:t>
      </w:r>
      <w:r w:rsidR="00BA35A5">
        <w:rPr>
          <w:rFonts w:ascii="Times New Roman" w:eastAsiaTheme="minorHAnsi" w:hAnsi="Times New Roman"/>
          <w:color w:val="auto"/>
          <w:szCs w:val="24"/>
          <w:lang w:val="en-GB" w:eastAsia="en-US"/>
        </w:rPr>
        <w:t>disadvantaged</w:t>
      </w:r>
      <w:r w:rsidRPr="001B765D">
        <w:rPr>
          <w:rFonts w:ascii="Times New Roman" w:eastAsiaTheme="minorHAnsi" w:hAnsi="Times New Roman"/>
          <w:color w:val="auto"/>
          <w:szCs w:val="24"/>
          <w:lang w:val="en-GB" w:eastAsia="en-US"/>
        </w:rPr>
        <w:t xml:space="preserve"> students to </w:t>
      </w:r>
      <w:r w:rsidR="006F43B5">
        <w:rPr>
          <w:rFonts w:ascii="Times New Roman" w:eastAsiaTheme="minorHAnsi" w:hAnsi="Times New Roman"/>
          <w:color w:val="auto"/>
          <w:szCs w:val="24"/>
          <w:lang w:val="en-GB" w:eastAsia="en-US"/>
        </w:rPr>
        <w:t>enter</w:t>
      </w:r>
      <w:r w:rsidRPr="001B765D">
        <w:rPr>
          <w:rFonts w:ascii="Times New Roman" w:eastAsiaTheme="minorHAnsi" w:hAnsi="Times New Roman"/>
          <w:color w:val="auto"/>
          <w:szCs w:val="24"/>
          <w:lang w:val="en-GB" w:eastAsia="en-US"/>
        </w:rPr>
        <w:t xml:space="preserve"> taught postgraduate study. The six HEIs are each members of the Russell Group, but vary in size - with postgraduate numbers ranging from </w:t>
      </w:r>
      <w:r w:rsidR="006F43B5">
        <w:rPr>
          <w:rFonts w:ascii="Times New Roman" w:eastAsiaTheme="minorHAnsi" w:hAnsi="Times New Roman"/>
          <w:color w:val="auto"/>
          <w:szCs w:val="24"/>
          <w:lang w:val="en-GB" w:eastAsia="en-US"/>
        </w:rPr>
        <w:t>fewer</w:t>
      </w:r>
      <w:r w:rsidR="006F43B5" w:rsidRPr="001B765D">
        <w:rPr>
          <w:rFonts w:ascii="Times New Roman" w:eastAsiaTheme="minorHAnsi" w:hAnsi="Times New Roman"/>
          <w:color w:val="auto"/>
          <w:szCs w:val="24"/>
          <w:lang w:val="en-GB" w:eastAsia="en-US"/>
        </w:rPr>
        <w:t xml:space="preserve"> </w:t>
      </w:r>
      <w:r w:rsidRPr="001B765D">
        <w:rPr>
          <w:rFonts w:ascii="Times New Roman" w:eastAsiaTheme="minorHAnsi" w:hAnsi="Times New Roman"/>
          <w:color w:val="auto"/>
          <w:szCs w:val="24"/>
          <w:lang w:val="en-GB" w:eastAsia="en-US"/>
        </w:rPr>
        <w:t xml:space="preserve">than 5,000 to </w:t>
      </w:r>
      <w:r w:rsidR="006F43B5">
        <w:rPr>
          <w:rFonts w:ascii="Times New Roman" w:eastAsiaTheme="minorHAnsi" w:hAnsi="Times New Roman"/>
          <w:color w:val="auto"/>
          <w:szCs w:val="24"/>
          <w:lang w:val="en-GB" w:eastAsia="en-US"/>
        </w:rPr>
        <w:t>over</w:t>
      </w:r>
      <w:r w:rsidRPr="001B765D">
        <w:rPr>
          <w:rFonts w:ascii="Times New Roman" w:eastAsiaTheme="minorHAnsi" w:hAnsi="Times New Roman"/>
          <w:color w:val="auto"/>
          <w:szCs w:val="24"/>
          <w:lang w:val="en-GB" w:eastAsia="en-US"/>
        </w:rPr>
        <w:t xml:space="preserve"> 10,000. Geographically the HEIs span the North West, North East and West Midlands of England. Combined, the six HEIs account </w:t>
      </w:r>
      <w:r w:rsidRPr="00D25E9F">
        <w:rPr>
          <w:rFonts w:ascii="Times New Roman" w:eastAsiaTheme="minorHAnsi" w:hAnsi="Times New Roman"/>
          <w:color w:val="auto"/>
          <w:szCs w:val="24"/>
          <w:lang w:val="en-GB" w:eastAsia="en-US"/>
        </w:rPr>
        <w:t>for approximately 10% of UK-domiciled postgraduate students outside London (Strike and Toyne, 2015).</w:t>
      </w:r>
    </w:p>
    <w:p w14:paraId="35446445" w14:textId="7F3D5464" w:rsidR="004766BA" w:rsidRPr="001B765D" w:rsidRDefault="004766BA" w:rsidP="0041360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rPr>
          <w:rFonts w:ascii="Times New Roman" w:hAnsi="Times New Roman"/>
          <w:b/>
          <w:szCs w:val="24"/>
        </w:rPr>
      </w:pPr>
      <w:r w:rsidRPr="001B765D">
        <w:rPr>
          <w:rFonts w:ascii="Times New Roman" w:eastAsiaTheme="minorHAnsi" w:hAnsi="Times New Roman"/>
          <w:color w:val="auto"/>
          <w:szCs w:val="24"/>
          <w:lang w:val="en-GB" w:eastAsia="en-US"/>
        </w:rPr>
        <w:tab/>
        <w:t xml:space="preserve">The </w:t>
      </w:r>
      <w:proofErr w:type="spellStart"/>
      <w:r w:rsidRPr="001B765D">
        <w:rPr>
          <w:rFonts w:ascii="Times New Roman" w:eastAsiaTheme="minorHAnsi" w:hAnsi="Times New Roman"/>
          <w:color w:val="auto"/>
          <w:szCs w:val="24"/>
          <w:lang w:val="en-GB" w:eastAsia="en-US"/>
        </w:rPr>
        <w:t>PbG</w:t>
      </w:r>
      <w:proofErr w:type="spellEnd"/>
      <w:r w:rsidRPr="001B765D">
        <w:rPr>
          <w:rFonts w:ascii="Times New Roman" w:eastAsiaTheme="minorHAnsi" w:hAnsi="Times New Roman"/>
          <w:color w:val="auto"/>
          <w:szCs w:val="24"/>
          <w:lang w:val="en-GB" w:eastAsia="en-US"/>
        </w:rPr>
        <w:t xml:space="preserve"> survey targeted all UK-domiciled first-degree alumni from the six HEIs, who had graduated in 2009 or 2012. </w:t>
      </w:r>
      <w:r w:rsidR="00AF75A2">
        <w:rPr>
          <w:rFonts w:ascii="Times New Roman" w:eastAsiaTheme="minorHAnsi" w:hAnsi="Times New Roman"/>
          <w:color w:val="auto"/>
          <w:szCs w:val="24"/>
          <w:lang w:val="en-GB" w:eastAsia="en-US"/>
        </w:rPr>
        <w:t>Both</w:t>
      </w:r>
      <w:r w:rsidRPr="001B765D">
        <w:rPr>
          <w:rFonts w:ascii="Times New Roman" w:eastAsiaTheme="minorHAnsi" w:hAnsi="Times New Roman"/>
          <w:color w:val="auto"/>
          <w:szCs w:val="24"/>
          <w:lang w:val="en-GB" w:eastAsia="en-US"/>
        </w:rPr>
        <w:t xml:space="preserve"> cohort</w:t>
      </w:r>
      <w:r w:rsidR="00AF75A2">
        <w:rPr>
          <w:rFonts w:ascii="Times New Roman" w:eastAsiaTheme="minorHAnsi" w:hAnsi="Times New Roman"/>
          <w:color w:val="auto"/>
          <w:szCs w:val="24"/>
          <w:lang w:val="en-GB" w:eastAsia="en-US"/>
        </w:rPr>
        <w:t>s</w:t>
      </w:r>
      <w:r w:rsidRPr="001B765D">
        <w:rPr>
          <w:rFonts w:ascii="Times New Roman" w:eastAsiaTheme="minorHAnsi" w:hAnsi="Times New Roman"/>
          <w:color w:val="auto"/>
          <w:szCs w:val="24"/>
          <w:lang w:val="en-GB" w:eastAsia="en-US"/>
        </w:rPr>
        <w:t xml:space="preserve"> would have been charged an annual undergraduate tuition fee of over £3,000, with 2009 alumni being the </w:t>
      </w:r>
      <w:proofErr w:type="gramStart"/>
      <w:r w:rsidRPr="001B765D">
        <w:rPr>
          <w:rFonts w:ascii="Times New Roman" w:eastAsiaTheme="minorHAnsi" w:hAnsi="Times New Roman"/>
          <w:color w:val="auto"/>
          <w:szCs w:val="24"/>
          <w:lang w:val="en-GB" w:eastAsia="en-US"/>
        </w:rPr>
        <w:t>first year</w:t>
      </w:r>
      <w:proofErr w:type="gramEnd"/>
      <w:r w:rsidRPr="001B765D">
        <w:rPr>
          <w:rFonts w:ascii="Times New Roman" w:eastAsiaTheme="minorHAnsi" w:hAnsi="Times New Roman"/>
          <w:color w:val="auto"/>
          <w:szCs w:val="24"/>
          <w:lang w:val="en-GB" w:eastAsia="en-US"/>
        </w:rPr>
        <w:t xml:space="preserve"> group </w:t>
      </w:r>
      <w:r w:rsidR="00BA35A5">
        <w:rPr>
          <w:rFonts w:ascii="Times New Roman" w:eastAsiaTheme="minorHAnsi" w:hAnsi="Times New Roman"/>
          <w:color w:val="auto"/>
          <w:szCs w:val="24"/>
          <w:lang w:val="en-GB" w:eastAsia="en-US"/>
        </w:rPr>
        <w:t xml:space="preserve">potentially </w:t>
      </w:r>
      <w:r w:rsidRPr="001B765D">
        <w:rPr>
          <w:rFonts w:ascii="Times New Roman" w:eastAsiaTheme="minorHAnsi" w:hAnsi="Times New Roman"/>
          <w:color w:val="auto"/>
          <w:szCs w:val="24"/>
          <w:lang w:val="en-GB" w:eastAsia="en-US"/>
        </w:rPr>
        <w:t xml:space="preserve">subject to this </w:t>
      </w:r>
      <w:r w:rsidR="00BA35A5">
        <w:rPr>
          <w:rFonts w:ascii="Times New Roman" w:eastAsiaTheme="minorHAnsi" w:hAnsi="Times New Roman"/>
          <w:color w:val="auto"/>
          <w:szCs w:val="24"/>
          <w:lang w:val="en-GB" w:eastAsia="en-US"/>
        </w:rPr>
        <w:t xml:space="preserve">fee </w:t>
      </w:r>
      <w:r w:rsidRPr="001B765D">
        <w:rPr>
          <w:rFonts w:ascii="Times New Roman" w:eastAsiaTheme="minorHAnsi" w:hAnsi="Times New Roman"/>
          <w:color w:val="auto"/>
          <w:szCs w:val="24"/>
          <w:lang w:val="en-GB" w:eastAsia="en-US"/>
        </w:rPr>
        <w:t xml:space="preserve">level. </w:t>
      </w:r>
      <w:r w:rsidR="00413608">
        <w:rPr>
          <w:rFonts w:ascii="Times New Roman" w:hAnsi="Times New Roman"/>
          <w:szCs w:val="24"/>
        </w:rPr>
        <w:t>Data collected included the</w:t>
      </w:r>
      <w:r w:rsidRPr="001B765D">
        <w:rPr>
          <w:rFonts w:ascii="Times New Roman" w:hAnsi="Times New Roman"/>
          <w:szCs w:val="24"/>
        </w:rPr>
        <w:t xml:space="preserve"> following: personal characteristics</w:t>
      </w:r>
      <w:r w:rsidR="00413608">
        <w:rPr>
          <w:rFonts w:ascii="Times New Roman" w:hAnsi="Times New Roman"/>
          <w:szCs w:val="24"/>
        </w:rPr>
        <w:t>;</w:t>
      </w:r>
      <w:r w:rsidRPr="001B765D">
        <w:rPr>
          <w:rFonts w:ascii="Times New Roman" w:hAnsi="Times New Roman"/>
          <w:szCs w:val="24"/>
        </w:rPr>
        <w:t xml:space="preserve"> academic background; graduating and present debt from undergraduate degree; activities since </w:t>
      </w:r>
      <w:proofErr w:type="gramStart"/>
      <w:r w:rsidRPr="001B765D">
        <w:rPr>
          <w:rFonts w:ascii="Times New Roman" w:hAnsi="Times New Roman"/>
          <w:szCs w:val="24"/>
        </w:rPr>
        <w:t xml:space="preserve">graduation  </w:t>
      </w:r>
      <w:r w:rsidR="00AF75A2">
        <w:rPr>
          <w:rFonts w:ascii="Times New Roman" w:hAnsi="Times New Roman"/>
          <w:szCs w:val="24"/>
        </w:rPr>
        <w:t>(</w:t>
      </w:r>
      <w:proofErr w:type="gramEnd"/>
      <w:r w:rsidRPr="001B765D">
        <w:rPr>
          <w:rFonts w:ascii="Times New Roman" w:hAnsi="Times New Roman"/>
          <w:szCs w:val="24"/>
        </w:rPr>
        <w:t>including applications to, offers for, and participation in, postgraduate study</w:t>
      </w:r>
      <w:r w:rsidR="00AF75A2">
        <w:rPr>
          <w:rFonts w:ascii="Times New Roman" w:hAnsi="Times New Roman"/>
          <w:szCs w:val="24"/>
        </w:rPr>
        <w:t>)</w:t>
      </w:r>
      <w:r w:rsidRPr="001B765D">
        <w:rPr>
          <w:rFonts w:ascii="Times New Roman" w:hAnsi="Times New Roman"/>
          <w:szCs w:val="24"/>
        </w:rPr>
        <w:t xml:space="preserve">; recent employment history; and, future plans. The survey therefore </w:t>
      </w:r>
      <w:r w:rsidRPr="001B765D">
        <w:rPr>
          <w:rFonts w:ascii="Times New Roman" w:hAnsi="Times New Roman"/>
          <w:szCs w:val="24"/>
        </w:rPr>
        <w:lastRenderedPageBreak/>
        <w:t>enabled explor</w:t>
      </w:r>
      <w:r w:rsidR="00AF75A2">
        <w:rPr>
          <w:rFonts w:ascii="Times New Roman" w:hAnsi="Times New Roman"/>
          <w:szCs w:val="24"/>
        </w:rPr>
        <w:t>ation of</w:t>
      </w:r>
      <w:r w:rsidRPr="001B765D">
        <w:rPr>
          <w:rFonts w:ascii="Times New Roman" w:hAnsi="Times New Roman"/>
          <w:szCs w:val="24"/>
        </w:rPr>
        <w:t xml:space="preserve"> associations between graduates’ background characteristics, debt levels, and post-graduation trajectories.</w:t>
      </w:r>
    </w:p>
    <w:p w14:paraId="4D5CEB52" w14:textId="2575AD67" w:rsidR="004766BA" w:rsidRPr="00084ABE" w:rsidRDefault="004766BA" w:rsidP="0073521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rPr>
          <w:rFonts w:ascii="Times New Roman" w:eastAsiaTheme="minorHAnsi" w:hAnsi="Times New Roman"/>
          <w:color w:val="auto"/>
          <w:szCs w:val="24"/>
          <w:lang w:val="en-GB" w:eastAsia="en-US"/>
        </w:rPr>
      </w:pPr>
      <w:r w:rsidRPr="001B765D">
        <w:rPr>
          <w:rFonts w:ascii="Times New Roman" w:eastAsiaTheme="minorHAnsi" w:hAnsi="Times New Roman"/>
          <w:color w:val="auto"/>
          <w:szCs w:val="24"/>
          <w:lang w:val="en-GB" w:eastAsia="en-US"/>
        </w:rPr>
        <w:tab/>
      </w:r>
      <w:r w:rsidR="00CE17C1" w:rsidRPr="00CE17C1">
        <w:rPr>
          <w:rFonts w:ascii="Times New Roman" w:eastAsiaTheme="minorHAnsi" w:hAnsi="Times New Roman"/>
          <w:color w:val="auto"/>
          <w:szCs w:val="24"/>
          <w:lang w:val="en-GB" w:eastAsia="en-US"/>
        </w:rPr>
        <w:t>Each</w:t>
      </w:r>
      <w:r w:rsidR="00CE17C1">
        <w:rPr>
          <w:rFonts w:ascii="Times New Roman" w:eastAsiaTheme="minorHAnsi" w:hAnsi="Times New Roman"/>
          <w:color w:val="auto"/>
          <w:szCs w:val="24"/>
          <w:lang w:val="en-GB" w:eastAsia="en-US"/>
        </w:rPr>
        <w:t xml:space="preserve"> </w:t>
      </w:r>
      <w:r w:rsidRPr="00CE17C1">
        <w:rPr>
          <w:rFonts w:ascii="Times New Roman" w:eastAsiaTheme="minorHAnsi" w:hAnsi="Times New Roman"/>
          <w:color w:val="auto"/>
          <w:szCs w:val="24"/>
          <w:lang w:val="en-GB" w:eastAsia="en-US"/>
        </w:rPr>
        <w:t xml:space="preserve">HEI contacted </w:t>
      </w:r>
      <w:r w:rsidR="00CE17C1" w:rsidRPr="00CE17C1">
        <w:rPr>
          <w:rFonts w:ascii="Times New Roman" w:eastAsiaTheme="minorHAnsi" w:hAnsi="Times New Roman"/>
          <w:color w:val="auto"/>
          <w:szCs w:val="24"/>
          <w:lang w:val="en-GB" w:eastAsia="en-US"/>
        </w:rPr>
        <w:t xml:space="preserve">their </w:t>
      </w:r>
      <w:r w:rsidR="00CE17C1">
        <w:rPr>
          <w:rFonts w:ascii="Times New Roman" w:eastAsiaTheme="minorHAnsi" w:hAnsi="Times New Roman"/>
          <w:color w:val="auto"/>
          <w:szCs w:val="24"/>
          <w:lang w:val="en-GB" w:eastAsia="en-US"/>
        </w:rPr>
        <w:t xml:space="preserve">UK-domiciled </w:t>
      </w:r>
      <w:r w:rsidR="00CE17C1" w:rsidRPr="00CE17C1">
        <w:rPr>
          <w:rFonts w:ascii="Times New Roman" w:eastAsiaTheme="minorHAnsi" w:hAnsi="Times New Roman"/>
          <w:color w:val="auto"/>
          <w:szCs w:val="24"/>
          <w:lang w:val="en-GB" w:eastAsia="en-US"/>
        </w:rPr>
        <w:t>2009 and 2012 first-degree graduates</w:t>
      </w:r>
      <w:r w:rsidRPr="00CE17C1">
        <w:rPr>
          <w:rFonts w:ascii="Times New Roman" w:eastAsiaTheme="minorHAnsi" w:hAnsi="Times New Roman"/>
          <w:color w:val="auto"/>
          <w:szCs w:val="24"/>
          <w:lang w:val="en-GB" w:eastAsia="en-US"/>
        </w:rPr>
        <w:t xml:space="preserve"> dir</w:t>
      </w:r>
      <w:r w:rsidR="00CE17C1" w:rsidRPr="00CE17C1">
        <w:rPr>
          <w:rFonts w:ascii="Times New Roman" w:eastAsiaTheme="minorHAnsi" w:hAnsi="Times New Roman"/>
          <w:color w:val="auto"/>
          <w:szCs w:val="24"/>
          <w:lang w:val="en-GB" w:eastAsia="en-US"/>
        </w:rPr>
        <w:t>ectly</w:t>
      </w:r>
      <w:r w:rsidR="00CE17C1">
        <w:rPr>
          <w:rFonts w:ascii="Times New Roman" w:eastAsiaTheme="minorHAnsi" w:hAnsi="Times New Roman"/>
          <w:color w:val="auto"/>
          <w:szCs w:val="24"/>
          <w:lang w:val="en-GB" w:eastAsia="en-US"/>
        </w:rPr>
        <w:t xml:space="preserve"> with an email invitation to participate in the research. </w:t>
      </w:r>
      <w:r w:rsidR="00CE17C1" w:rsidRPr="00CE17C1">
        <w:rPr>
          <w:rFonts w:ascii="Times New Roman" w:eastAsiaTheme="minorHAnsi" w:hAnsi="Times New Roman"/>
          <w:color w:val="auto"/>
          <w:szCs w:val="24"/>
          <w:lang w:val="en-GB" w:eastAsia="en-US"/>
        </w:rPr>
        <w:t xml:space="preserve">It is therefore acknowledged that </w:t>
      </w:r>
      <w:proofErr w:type="gramStart"/>
      <w:r w:rsidR="00CE17C1" w:rsidRPr="00CE17C1">
        <w:rPr>
          <w:rFonts w:ascii="Times New Roman" w:eastAsiaTheme="minorHAnsi" w:hAnsi="Times New Roman"/>
          <w:color w:val="auto"/>
          <w:szCs w:val="24"/>
          <w:lang w:val="en-GB" w:eastAsia="en-US"/>
        </w:rPr>
        <w:t>a number of</w:t>
      </w:r>
      <w:proofErr w:type="gramEnd"/>
      <w:r w:rsidR="00CE17C1" w:rsidRPr="00CE17C1">
        <w:rPr>
          <w:rFonts w:ascii="Times New Roman" w:eastAsiaTheme="minorHAnsi" w:hAnsi="Times New Roman"/>
          <w:color w:val="auto"/>
          <w:szCs w:val="24"/>
          <w:lang w:val="en-GB" w:eastAsia="en-US"/>
        </w:rPr>
        <w:t xml:space="preserve"> graduates within the sample frame may have been excluded </w:t>
      </w:r>
      <w:r w:rsidR="00CE17C1">
        <w:rPr>
          <w:rFonts w:ascii="Times New Roman" w:eastAsiaTheme="minorHAnsi" w:hAnsi="Times New Roman"/>
          <w:color w:val="auto"/>
          <w:szCs w:val="24"/>
          <w:lang w:val="en-GB" w:eastAsia="en-US"/>
        </w:rPr>
        <w:t>from the study</w:t>
      </w:r>
      <w:r w:rsidR="00CE17C1" w:rsidRPr="00CE17C1">
        <w:rPr>
          <w:rFonts w:ascii="Times New Roman" w:eastAsiaTheme="minorHAnsi" w:hAnsi="Times New Roman"/>
          <w:color w:val="auto"/>
          <w:szCs w:val="24"/>
          <w:lang w:val="en-GB" w:eastAsia="en-US"/>
        </w:rPr>
        <w:t>, owing to</w:t>
      </w:r>
      <w:r w:rsidR="00CE17C1" w:rsidRPr="00CE17C1">
        <w:rPr>
          <w:rFonts w:ascii="Times New Roman" w:hAnsi="Times New Roman"/>
          <w:szCs w:val="24"/>
        </w:rPr>
        <w:t xml:space="preserve"> incorrect contact details or having earlier opted out of communications from their HEI. </w:t>
      </w:r>
      <w:r w:rsidR="00CE17C1">
        <w:rPr>
          <w:rFonts w:ascii="Times New Roman" w:eastAsiaTheme="minorHAnsi" w:hAnsi="Times New Roman"/>
          <w:color w:val="auto"/>
          <w:szCs w:val="24"/>
          <w:lang w:val="en-GB" w:eastAsia="en-US"/>
        </w:rPr>
        <w:t>E</w:t>
      </w:r>
      <w:r w:rsidRPr="00CE17C1">
        <w:rPr>
          <w:rFonts w:ascii="Times New Roman" w:eastAsiaTheme="minorHAnsi" w:hAnsi="Times New Roman"/>
          <w:color w:val="auto"/>
          <w:szCs w:val="24"/>
          <w:lang w:val="en-GB" w:eastAsia="en-US"/>
        </w:rPr>
        <w:t>ach graduate received a URL with a unique identifier</w:t>
      </w:r>
      <w:r w:rsidR="002A7C4B" w:rsidRPr="00CE17C1">
        <w:rPr>
          <w:rFonts w:ascii="Times New Roman" w:eastAsiaTheme="minorHAnsi" w:hAnsi="Times New Roman"/>
          <w:color w:val="auto"/>
          <w:szCs w:val="24"/>
          <w:lang w:val="en-GB" w:eastAsia="en-US"/>
        </w:rPr>
        <w:t xml:space="preserve"> </w:t>
      </w:r>
      <w:r w:rsidR="00CE17C1" w:rsidRPr="00CE17C1">
        <w:rPr>
          <w:rFonts w:ascii="Times New Roman" w:eastAsiaTheme="minorHAnsi" w:hAnsi="Times New Roman"/>
          <w:color w:val="auto"/>
          <w:szCs w:val="24"/>
          <w:lang w:val="en-GB" w:eastAsia="en-US"/>
        </w:rPr>
        <w:t xml:space="preserve">that </w:t>
      </w:r>
      <w:r w:rsidRPr="00CE17C1">
        <w:rPr>
          <w:rFonts w:ascii="Times New Roman" w:eastAsiaTheme="minorHAnsi" w:hAnsi="Times New Roman"/>
          <w:color w:val="auto"/>
          <w:szCs w:val="24"/>
          <w:lang w:val="en-GB" w:eastAsia="en-US"/>
        </w:rPr>
        <w:t xml:space="preserve">enabled the research team to monitor duplicate responses and to </w:t>
      </w:r>
      <w:r w:rsidR="001405E1" w:rsidRPr="00CE17C1">
        <w:rPr>
          <w:rFonts w:ascii="Times New Roman" w:eastAsiaTheme="minorHAnsi" w:hAnsi="Times New Roman"/>
          <w:color w:val="auto"/>
          <w:szCs w:val="24"/>
          <w:lang w:val="en-GB" w:eastAsia="en-US"/>
        </w:rPr>
        <w:t>target</w:t>
      </w:r>
      <w:r w:rsidRPr="00CE17C1">
        <w:rPr>
          <w:rFonts w:ascii="Times New Roman" w:eastAsiaTheme="minorHAnsi" w:hAnsi="Times New Roman"/>
          <w:color w:val="auto"/>
          <w:szCs w:val="24"/>
          <w:lang w:val="en-GB" w:eastAsia="en-US"/>
        </w:rPr>
        <w:t xml:space="preserve"> </w:t>
      </w:r>
      <w:r w:rsidR="001405E1" w:rsidRPr="00CE17C1">
        <w:rPr>
          <w:rFonts w:ascii="Times New Roman" w:eastAsiaTheme="minorHAnsi" w:hAnsi="Times New Roman"/>
          <w:color w:val="auto"/>
          <w:szCs w:val="24"/>
          <w:lang w:val="en-GB" w:eastAsia="en-US"/>
        </w:rPr>
        <w:t>reminders</w:t>
      </w:r>
      <w:r w:rsidRPr="00CE17C1">
        <w:rPr>
          <w:rFonts w:ascii="Times New Roman" w:eastAsiaTheme="minorHAnsi" w:hAnsi="Times New Roman"/>
          <w:color w:val="auto"/>
          <w:szCs w:val="24"/>
          <w:lang w:val="en-GB" w:eastAsia="en-US"/>
        </w:rPr>
        <w:t xml:space="preserve"> at </w:t>
      </w:r>
      <w:r w:rsidR="002A7C4B" w:rsidRPr="00CE17C1">
        <w:rPr>
          <w:rFonts w:ascii="Times New Roman" w:eastAsiaTheme="minorHAnsi" w:hAnsi="Times New Roman"/>
          <w:color w:val="auto"/>
          <w:szCs w:val="24"/>
          <w:lang w:val="en-GB" w:eastAsia="en-US"/>
        </w:rPr>
        <w:t>non-respondents</w:t>
      </w:r>
      <w:r w:rsidRPr="00CE17C1">
        <w:rPr>
          <w:rFonts w:ascii="Times New Roman" w:eastAsiaTheme="minorHAnsi" w:hAnsi="Times New Roman"/>
          <w:color w:val="auto"/>
          <w:szCs w:val="24"/>
          <w:lang w:val="en-GB" w:eastAsia="en-US"/>
        </w:rPr>
        <w:t xml:space="preserve">. </w:t>
      </w:r>
      <w:r w:rsidRPr="00D25E9F">
        <w:rPr>
          <w:rFonts w:ascii="Times New Roman" w:eastAsiaTheme="minorHAnsi" w:hAnsi="Times New Roman"/>
          <w:color w:val="auto"/>
          <w:szCs w:val="24"/>
          <w:lang w:val="en-GB" w:eastAsia="en-US"/>
        </w:rPr>
        <w:t xml:space="preserve">An </w:t>
      </w:r>
      <w:r w:rsidRPr="00D25E9F">
        <w:rPr>
          <w:rFonts w:ascii="Times New Roman" w:hAnsi="Times New Roman"/>
          <w:color w:val="auto"/>
          <w:szCs w:val="24"/>
        </w:rPr>
        <w:t>incentive scheme and prize draw were offered to encourage</w:t>
      </w:r>
      <w:r w:rsidRPr="001B765D">
        <w:rPr>
          <w:rFonts w:ascii="Times New Roman" w:hAnsi="Times New Roman"/>
          <w:color w:val="auto"/>
          <w:szCs w:val="24"/>
        </w:rPr>
        <w:t xml:space="preserve"> participation. </w:t>
      </w:r>
      <w:r w:rsidRPr="001B765D">
        <w:rPr>
          <w:rFonts w:ascii="Times New Roman" w:eastAsiaTheme="minorHAnsi" w:hAnsi="Times New Roman"/>
          <w:color w:val="auto"/>
          <w:szCs w:val="24"/>
          <w:lang w:val="en-GB" w:eastAsia="en-US"/>
        </w:rPr>
        <w:t xml:space="preserve">The survey closed with </w:t>
      </w:r>
      <w:r w:rsidR="00D6514F">
        <w:rPr>
          <w:rFonts w:ascii="Times New Roman" w:eastAsiaTheme="minorHAnsi" w:hAnsi="Times New Roman"/>
          <w:color w:val="auto"/>
          <w:szCs w:val="24"/>
          <w:lang w:val="en-GB" w:eastAsia="en-US"/>
        </w:rPr>
        <w:t>a</w:t>
      </w:r>
      <w:r w:rsidRPr="001B765D">
        <w:rPr>
          <w:rFonts w:ascii="Times New Roman" w:eastAsiaTheme="minorHAnsi" w:hAnsi="Times New Roman"/>
          <w:color w:val="auto"/>
          <w:szCs w:val="24"/>
          <w:lang w:val="en-GB" w:eastAsia="en-US"/>
        </w:rPr>
        <w:t xml:space="preserve"> response rate of 8.4% (</w:t>
      </w:r>
      <w:r w:rsidRPr="002B3A98">
        <w:rPr>
          <w:rFonts w:ascii="Times New Roman" w:eastAsiaTheme="minorHAnsi" w:hAnsi="Times New Roman"/>
          <w:i/>
          <w:color w:val="auto"/>
          <w:szCs w:val="24"/>
          <w:lang w:val="en-GB" w:eastAsia="en-US"/>
        </w:rPr>
        <w:t>n</w:t>
      </w:r>
      <w:r w:rsidRPr="001B765D">
        <w:rPr>
          <w:rFonts w:ascii="Times New Roman" w:eastAsiaTheme="minorHAnsi" w:hAnsi="Times New Roman"/>
          <w:color w:val="auto"/>
          <w:szCs w:val="24"/>
          <w:lang w:val="en-GB" w:eastAsia="en-US"/>
        </w:rPr>
        <w:t>=2,8</w:t>
      </w:r>
      <w:r w:rsidR="00DC492F">
        <w:rPr>
          <w:rFonts w:ascii="Times New Roman" w:eastAsiaTheme="minorHAnsi" w:hAnsi="Times New Roman"/>
          <w:color w:val="auto"/>
          <w:szCs w:val="24"/>
          <w:lang w:val="en-GB" w:eastAsia="en-US"/>
        </w:rPr>
        <w:t>49</w:t>
      </w:r>
      <w:r w:rsidRPr="001B765D">
        <w:rPr>
          <w:rFonts w:ascii="Times New Roman" w:eastAsiaTheme="minorHAnsi" w:hAnsi="Times New Roman"/>
          <w:color w:val="auto"/>
          <w:szCs w:val="24"/>
          <w:lang w:val="en-GB" w:eastAsia="en-US"/>
        </w:rPr>
        <w:t>). Response rates for each institution varied, between 6.0</w:t>
      </w:r>
      <w:r w:rsidR="002A7C4B">
        <w:rPr>
          <w:rFonts w:ascii="Times New Roman" w:eastAsiaTheme="minorHAnsi" w:hAnsi="Times New Roman"/>
          <w:color w:val="auto"/>
          <w:szCs w:val="24"/>
          <w:lang w:val="en-GB" w:eastAsia="en-US"/>
        </w:rPr>
        <w:t>%</w:t>
      </w:r>
      <w:r w:rsidRPr="001B765D">
        <w:rPr>
          <w:rFonts w:ascii="Times New Roman" w:eastAsiaTheme="minorHAnsi" w:hAnsi="Times New Roman"/>
          <w:color w:val="auto"/>
          <w:szCs w:val="24"/>
          <w:lang w:val="en-GB" w:eastAsia="en-US"/>
        </w:rPr>
        <w:t xml:space="preserve"> and 11.4%. While the academic literature offers little consensus over what might constitute an ‘acceptable’ response rate, it is clear that </w:t>
      </w:r>
      <w:r w:rsidR="00D6514F">
        <w:rPr>
          <w:rFonts w:ascii="Times New Roman" w:eastAsiaTheme="minorHAnsi" w:hAnsi="Times New Roman"/>
          <w:color w:val="auto"/>
          <w:szCs w:val="24"/>
          <w:lang w:val="en-GB" w:eastAsia="en-US"/>
        </w:rPr>
        <w:t xml:space="preserve">responses to </w:t>
      </w:r>
      <w:r w:rsidRPr="001B765D">
        <w:rPr>
          <w:rFonts w:ascii="Times New Roman" w:eastAsiaTheme="minorHAnsi" w:hAnsi="Times New Roman"/>
          <w:color w:val="auto"/>
          <w:szCs w:val="24"/>
          <w:lang w:val="en-GB" w:eastAsia="en-US"/>
        </w:rPr>
        <w:t>student survey</w:t>
      </w:r>
      <w:r w:rsidR="00D6514F">
        <w:rPr>
          <w:rFonts w:ascii="Times New Roman" w:eastAsiaTheme="minorHAnsi" w:hAnsi="Times New Roman"/>
          <w:color w:val="auto"/>
          <w:szCs w:val="24"/>
          <w:lang w:val="en-GB" w:eastAsia="en-US"/>
        </w:rPr>
        <w:t>s</w:t>
      </w:r>
      <w:r w:rsidRPr="001B765D">
        <w:rPr>
          <w:rFonts w:ascii="Times New Roman" w:eastAsiaTheme="minorHAnsi" w:hAnsi="Times New Roman"/>
          <w:color w:val="auto"/>
          <w:szCs w:val="24"/>
          <w:lang w:val="en-GB" w:eastAsia="en-US"/>
        </w:rPr>
        <w:t xml:space="preserve"> have fallen internationally over the last decade (</w:t>
      </w:r>
      <w:r w:rsidRPr="00F61E81">
        <w:rPr>
          <w:rFonts w:ascii="Times New Roman" w:eastAsiaTheme="minorHAnsi" w:hAnsi="Times New Roman"/>
          <w:color w:val="auto"/>
          <w:szCs w:val="24"/>
          <w:lang w:val="en-GB" w:eastAsia="en-US"/>
        </w:rPr>
        <w:t xml:space="preserve">Sid Nair </w:t>
      </w:r>
      <w:r w:rsidRPr="00F61E81">
        <w:rPr>
          <w:rFonts w:ascii="Times New Roman" w:eastAsiaTheme="minorHAnsi" w:hAnsi="Times New Roman"/>
          <w:i/>
          <w:color w:val="auto"/>
          <w:szCs w:val="24"/>
          <w:lang w:val="en-GB" w:eastAsia="en-US"/>
        </w:rPr>
        <w:t>et al.</w:t>
      </w:r>
      <w:r w:rsidRPr="00F61E81">
        <w:rPr>
          <w:rFonts w:ascii="Times New Roman" w:eastAsiaTheme="minorHAnsi" w:hAnsi="Times New Roman"/>
          <w:color w:val="auto"/>
          <w:szCs w:val="24"/>
          <w:lang w:val="en-GB" w:eastAsia="en-US"/>
        </w:rPr>
        <w:t xml:space="preserve"> 2008</w:t>
      </w:r>
      <w:r w:rsidRPr="001B765D">
        <w:rPr>
          <w:rFonts w:ascii="Times New Roman" w:eastAsiaTheme="minorHAnsi" w:hAnsi="Times New Roman"/>
          <w:color w:val="auto"/>
          <w:szCs w:val="24"/>
          <w:lang w:val="en-GB" w:eastAsia="en-US"/>
        </w:rPr>
        <w:t xml:space="preserve">). </w:t>
      </w:r>
      <w:r w:rsidR="00D6514F">
        <w:rPr>
          <w:rFonts w:ascii="Times New Roman" w:eastAsiaTheme="minorHAnsi" w:hAnsi="Times New Roman"/>
          <w:color w:val="auto"/>
          <w:szCs w:val="24"/>
          <w:lang w:val="en-GB" w:eastAsia="en-US"/>
        </w:rPr>
        <w:t>A</w:t>
      </w:r>
      <w:r w:rsidRPr="001B765D">
        <w:rPr>
          <w:rFonts w:ascii="Times New Roman" w:eastAsiaTheme="minorHAnsi" w:hAnsi="Times New Roman"/>
          <w:color w:val="auto"/>
          <w:szCs w:val="24"/>
          <w:lang w:val="en-GB" w:eastAsia="en-US"/>
        </w:rPr>
        <w:t xml:space="preserve"> bias analysis </w:t>
      </w:r>
      <w:r w:rsidR="00D6514F">
        <w:rPr>
          <w:rFonts w:ascii="Times New Roman" w:eastAsiaTheme="minorHAnsi" w:hAnsi="Times New Roman"/>
          <w:color w:val="auto"/>
          <w:szCs w:val="24"/>
          <w:lang w:val="en-GB" w:eastAsia="en-US"/>
        </w:rPr>
        <w:t>was undertaken</w:t>
      </w:r>
      <w:r w:rsidR="00D6514F" w:rsidRPr="001B765D">
        <w:rPr>
          <w:rFonts w:ascii="Times New Roman" w:eastAsiaTheme="minorHAnsi" w:hAnsi="Times New Roman"/>
          <w:color w:val="auto"/>
          <w:szCs w:val="24"/>
          <w:lang w:val="en-GB" w:eastAsia="en-US"/>
        </w:rPr>
        <w:t xml:space="preserve"> </w:t>
      </w:r>
      <w:r w:rsidR="00D6514F">
        <w:rPr>
          <w:rFonts w:ascii="Times New Roman" w:eastAsiaTheme="minorHAnsi" w:hAnsi="Times New Roman"/>
          <w:color w:val="auto"/>
          <w:szCs w:val="24"/>
          <w:lang w:val="en-GB" w:eastAsia="en-US"/>
        </w:rPr>
        <w:t xml:space="preserve">to compare the sample with </w:t>
      </w:r>
      <w:r w:rsidR="00D6514F" w:rsidRPr="001B765D">
        <w:rPr>
          <w:rFonts w:ascii="Times New Roman" w:eastAsiaTheme="minorHAnsi" w:hAnsi="Times New Roman"/>
          <w:color w:val="auto"/>
          <w:szCs w:val="24"/>
          <w:lang w:val="en-GB" w:eastAsia="en-US"/>
        </w:rPr>
        <w:t xml:space="preserve">population data </w:t>
      </w:r>
      <w:r w:rsidR="00D6514F">
        <w:rPr>
          <w:rFonts w:ascii="Times New Roman" w:eastAsiaTheme="minorHAnsi" w:hAnsi="Times New Roman"/>
          <w:color w:val="auto"/>
          <w:szCs w:val="24"/>
          <w:lang w:val="en-GB" w:eastAsia="en-US"/>
        </w:rPr>
        <w:t xml:space="preserve">provided by each HEI in relation to </w:t>
      </w:r>
      <w:r w:rsidR="00580DB4">
        <w:rPr>
          <w:rFonts w:ascii="Times New Roman" w:eastAsiaTheme="minorHAnsi" w:hAnsi="Times New Roman"/>
          <w:color w:val="auto"/>
          <w:szCs w:val="24"/>
          <w:lang w:val="en-GB" w:eastAsia="en-US"/>
        </w:rPr>
        <w:t>key academic and personal variables</w:t>
      </w:r>
      <w:r w:rsidRPr="001B765D">
        <w:rPr>
          <w:rFonts w:ascii="Times New Roman" w:eastAsiaTheme="minorHAnsi" w:hAnsi="Times New Roman"/>
          <w:color w:val="auto"/>
          <w:szCs w:val="24"/>
          <w:lang w:val="en-GB" w:eastAsia="en-US"/>
        </w:rPr>
        <w:t xml:space="preserve"> </w:t>
      </w:r>
      <w:r w:rsidR="00580DB4">
        <w:rPr>
          <w:rFonts w:ascii="Times New Roman" w:eastAsiaTheme="minorHAnsi" w:hAnsi="Times New Roman"/>
          <w:color w:val="auto"/>
          <w:szCs w:val="24"/>
          <w:lang w:val="en-GB" w:eastAsia="en-US"/>
        </w:rPr>
        <w:t>with</w:t>
      </w:r>
      <w:r w:rsidRPr="001B765D">
        <w:rPr>
          <w:rFonts w:ascii="Times New Roman" w:eastAsiaTheme="minorHAnsi" w:hAnsi="Times New Roman"/>
          <w:color w:val="auto"/>
          <w:szCs w:val="24"/>
          <w:lang w:val="en-GB" w:eastAsia="en-US"/>
        </w:rPr>
        <w:t xml:space="preserve"> differences observed for undergraduate degree classification, gender and subject area. </w:t>
      </w:r>
      <w:r w:rsidR="001E267F" w:rsidRPr="001B765D">
        <w:rPr>
          <w:rFonts w:ascii="Times New Roman" w:eastAsiaTheme="minorHAnsi" w:hAnsi="Times New Roman"/>
          <w:color w:val="auto"/>
          <w:szCs w:val="24"/>
          <w:lang w:val="en-GB" w:eastAsia="en-US"/>
        </w:rPr>
        <w:t>To</w:t>
      </w:r>
      <w:r w:rsidRPr="001B765D">
        <w:rPr>
          <w:rFonts w:ascii="Times New Roman" w:eastAsiaTheme="minorHAnsi" w:hAnsi="Times New Roman"/>
          <w:color w:val="auto"/>
          <w:szCs w:val="24"/>
          <w:lang w:val="en-GB" w:eastAsia="en-US"/>
        </w:rPr>
        <w:t xml:space="preserve"> mitigate </w:t>
      </w:r>
      <w:proofErr w:type="gramStart"/>
      <w:r w:rsidRPr="001B765D">
        <w:rPr>
          <w:rFonts w:ascii="Times New Roman" w:eastAsiaTheme="minorHAnsi" w:hAnsi="Times New Roman"/>
          <w:color w:val="auto"/>
          <w:szCs w:val="24"/>
          <w:lang w:val="en-GB" w:eastAsia="en-US"/>
        </w:rPr>
        <w:t>this</w:t>
      </w:r>
      <w:proofErr w:type="gramEnd"/>
      <w:r w:rsidRPr="001B765D">
        <w:rPr>
          <w:rFonts w:ascii="Times New Roman" w:eastAsiaTheme="minorHAnsi" w:hAnsi="Times New Roman"/>
          <w:color w:val="auto"/>
          <w:szCs w:val="24"/>
          <w:lang w:val="en-GB" w:eastAsia="en-US"/>
        </w:rPr>
        <w:t xml:space="preserve"> bias, </w:t>
      </w:r>
      <w:r>
        <w:rPr>
          <w:rFonts w:ascii="Times New Roman" w:eastAsiaTheme="minorHAnsi" w:hAnsi="Times New Roman"/>
          <w:color w:val="auto"/>
          <w:szCs w:val="24"/>
          <w:lang w:val="en-GB" w:eastAsia="en-US"/>
        </w:rPr>
        <w:t xml:space="preserve">post-stratification </w:t>
      </w:r>
      <w:r w:rsidRPr="001B765D">
        <w:rPr>
          <w:rFonts w:ascii="Times New Roman" w:eastAsiaTheme="minorHAnsi" w:hAnsi="Times New Roman"/>
          <w:color w:val="auto"/>
          <w:szCs w:val="24"/>
          <w:lang w:val="en-GB" w:eastAsia="en-US"/>
        </w:rPr>
        <w:t>weight</w:t>
      </w:r>
      <w:r>
        <w:rPr>
          <w:rFonts w:ascii="Times New Roman" w:eastAsiaTheme="minorHAnsi" w:hAnsi="Times New Roman"/>
          <w:color w:val="auto"/>
          <w:szCs w:val="24"/>
          <w:lang w:val="en-GB" w:eastAsia="en-US"/>
        </w:rPr>
        <w:t>s were derived and applied to the data</w:t>
      </w:r>
      <w:r w:rsidRPr="001B765D">
        <w:rPr>
          <w:rFonts w:ascii="Times New Roman" w:eastAsiaTheme="minorHAnsi" w:hAnsi="Times New Roman"/>
          <w:color w:val="auto"/>
          <w:szCs w:val="24"/>
          <w:lang w:val="en-GB" w:eastAsia="en-US"/>
        </w:rPr>
        <w:t xml:space="preserve"> </w:t>
      </w:r>
      <w:r w:rsidR="00FE775F">
        <w:rPr>
          <w:rFonts w:ascii="Times New Roman" w:eastAsiaTheme="minorHAnsi" w:hAnsi="Times New Roman"/>
          <w:color w:val="auto"/>
          <w:szCs w:val="24"/>
          <w:lang w:val="en-GB" w:eastAsia="en-US"/>
        </w:rPr>
        <w:t>during</w:t>
      </w:r>
      <w:r w:rsidRPr="001B765D">
        <w:rPr>
          <w:rFonts w:ascii="Times New Roman" w:eastAsiaTheme="minorHAnsi" w:hAnsi="Times New Roman"/>
          <w:color w:val="auto"/>
          <w:szCs w:val="24"/>
          <w:lang w:val="en-GB" w:eastAsia="en-US"/>
        </w:rPr>
        <w:t xml:space="preserve"> analysis so that the sample better reflected the research population</w:t>
      </w:r>
      <w:r w:rsidRPr="001B765D">
        <w:rPr>
          <w:rFonts w:ascii="Times New Roman" w:eastAsiaTheme="minorHAnsi" w:hAnsi="Times New Roman"/>
          <w:color w:val="auto"/>
          <w:szCs w:val="24"/>
          <w:vertAlign w:val="superscript"/>
          <w:lang w:val="en-GB" w:eastAsia="en-US"/>
        </w:rPr>
        <w:endnoteReference w:id="2"/>
      </w:r>
      <w:r w:rsidRPr="001B765D">
        <w:rPr>
          <w:rFonts w:ascii="Times New Roman" w:eastAsiaTheme="minorHAnsi" w:hAnsi="Times New Roman"/>
          <w:color w:val="auto"/>
          <w:szCs w:val="24"/>
          <w:lang w:val="en-GB" w:eastAsia="en-US"/>
        </w:rPr>
        <w:t>.</w:t>
      </w:r>
    </w:p>
    <w:p w14:paraId="00BC773E" w14:textId="10FBB73B" w:rsidR="004766BA" w:rsidRDefault="004766BA" w:rsidP="0073521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rPr>
          <w:rFonts w:ascii="Times New Roman" w:hAnsi="Times New Roman"/>
          <w:b/>
          <w:color w:val="auto"/>
          <w:szCs w:val="24"/>
        </w:rPr>
      </w:pPr>
      <w:r w:rsidRPr="001B765D">
        <w:rPr>
          <w:rFonts w:ascii="Times New Roman" w:hAnsi="Times New Roman"/>
          <w:color w:val="auto"/>
          <w:szCs w:val="24"/>
        </w:rPr>
        <w:tab/>
      </w:r>
      <w:r w:rsidR="000E32A9">
        <w:rPr>
          <w:rFonts w:ascii="Times New Roman" w:hAnsi="Times New Roman"/>
          <w:color w:val="auto"/>
          <w:szCs w:val="24"/>
        </w:rPr>
        <w:t>UK</w:t>
      </w:r>
      <w:r w:rsidRPr="001B765D">
        <w:rPr>
          <w:rFonts w:ascii="Times New Roman" w:hAnsi="Times New Roman"/>
          <w:color w:val="auto"/>
          <w:szCs w:val="24"/>
        </w:rPr>
        <w:t xml:space="preserve"> HEIs form a diverse system, and it </w:t>
      </w:r>
      <w:proofErr w:type="gramStart"/>
      <w:r w:rsidRPr="001B765D">
        <w:rPr>
          <w:rFonts w:ascii="Times New Roman" w:hAnsi="Times New Roman"/>
          <w:color w:val="auto"/>
          <w:szCs w:val="24"/>
        </w:rPr>
        <w:t>is  note</w:t>
      </w:r>
      <w:r w:rsidR="00580DB4">
        <w:rPr>
          <w:rFonts w:ascii="Times New Roman" w:hAnsi="Times New Roman"/>
          <w:color w:val="auto"/>
          <w:szCs w:val="24"/>
        </w:rPr>
        <w:t>d</w:t>
      </w:r>
      <w:proofErr w:type="gramEnd"/>
      <w:r w:rsidRPr="001B765D">
        <w:rPr>
          <w:rFonts w:ascii="Times New Roman" w:hAnsi="Times New Roman"/>
          <w:color w:val="auto"/>
          <w:szCs w:val="24"/>
        </w:rPr>
        <w:t xml:space="preserve"> that the universities participating in this particular study </w:t>
      </w:r>
      <w:r w:rsidR="00280BA4">
        <w:rPr>
          <w:rFonts w:ascii="Times New Roman" w:hAnsi="Times New Roman"/>
          <w:color w:val="auto"/>
          <w:szCs w:val="24"/>
        </w:rPr>
        <w:t>constitute</w:t>
      </w:r>
      <w:r w:rsidR="004D7BEE">
        <w:rPr>
          <w:rFonts w:ascii="Times New Roman" w:hAnsi="Times New Roman"/>
          <w:color w:val="auto"/>
          <w:szCs w:val="24"/>
        </w:rPr>
        <w:t xml:space="preserve"> a particular cluster</w:t>
      </w:r>
      <w:r w:rsidRPr="001B765D">
        <w:rPr>
          <w:rFonts w:ascii="Times New Roman" w:hAnsi="Times New Roman"/>
          <w:color w:val="auto"/>
          <w:szCs w:val="24"/>
        </w:rPr>
        <w:t xml:space="preserve">. Nevertheless, many of the pressures facing UK HEIs, </w:t>
      </w:r>
      <w:r w:rsidR="00280BA4">
        <w:rPr>
          <w:rFonts w:ascii="Times New Roman" w:hAnsi="Times New Roman"/>
          <w:color w:val="auto"/>
          <w:szCs w:val="24"/>
        </w:rPr>
        <w:t>especially</w:t>
      </w:r>
      <w:r w:rsidRPr="001B765D">
        <w:rPr>
          <w:rFonts w:ascii="Times New Roman" w:hAnsi="Times New Roman"/>
          <w:color w:val="auto"/>
          <w:szCs w:val="24"/>
        </w:rPr>
        <w:t xml:space="preserve"> </w:t>
      </w:r>
      <w:r w:rsidR="00580DB4">
        <w:rPr>
          <w:rFonts w:ascii="Times New Roman" w:hAnsi="Times New Roman"/>
          <w:color w:val="auto"/>
          <w:szCs w:val="24"/>
        </w:rPr>
        <w:t>regarding</w:t>
      </w:r>
      <w:r w:rsidRPr="001B765D">
        <w:rPr>
          <w:rFonts w:ascii="Times New Roman" w:hAnsi="Times New Roman"/>
          <w:color w:val="auto"/>
          <w:szCs w:val="24"/>
        </w:rPr>
        <w:t xml:space="preserve"> postgraduate study, affect the </w:t>
      </w:r>
      <w:r w:rsidR="000D4FEC">
        <w:rPr>
          <w:rFonts w:ascii="Times New Roman" w:hAnsi="Times New Roman"/>
          <w:color w:val="auto"/>
          <w:szCs w:val="24"/>
        </w:rPr>
        <w:t xml:space="preserve">whole </w:t>
      </w:r>
      <w:r w:rsidRPr="001B765D">
        <w:rPr>
          <w:rFonts w:ascii="Times New Roman" w:hAnsi="Times New Roman"/>
          <w:color w:val="auto"/>
          <w:szCs w:val="24"/>
        </w:rPr>
        <w:t xml:space="preserve">sector. </w:t>
      </w:r>
      <w:r w:rsidR="00580DB4">
        <w:rPr>
          <w:rFonts w:ascii="Times New Roman" w:hAnsi="Times New Roman"/>
          <w:color w:val="auto"/>
          <w:szCs w:val="24"/>
        </w:rPr>
        <w:t>T</w:t>
      </w:r>
      <w:r w:rsidRPr="001B765D">
        <w:rPr>
          <w:rFonts w:ascii="Times New Roman" w:hAnsi="Times New Roman"/>
          <w:color w:val="auto"/>
          <w:szCs w:val="24"/>
        </w:rPr>
        <w:t xml:space="preserve">he recruitment and retention of UK-domiciled students and under-represented groups, and reform of </w:t>
      </w:r>
      <w:r w:rsidR="00580DB4">
        <w:rPr>
          <w:rFonts w:ascii="Times New Roman" w:hAnsi="Times New Roman"/>
          <w:color w:val="auto"/>
          <w:szCs w:val="24"/>
        </w:rPr>
        <w:t>student</w:t>
      </w:r>
      <w:r w:rsidRPr="001B765D">
        <w:rPr>
          <w:rFonts w:ascii="Times New Roman" w:hAnsi="Times New Roman"/>
          <w:color w:val="auto"/>
          <w:szCs w:val="24"/>
        </w:rPr>
        <w:t xml:space="preserve"> finance, are two significant examples. While it is therefore not possible to generalize these findings to other HEIs indiscriminately, it is likely that the results from this study will have resonance beyond its empirical base.</w:t>
      </w:r>
    </w:p>
    <w:p w14:paraId="5A992D15" w14:textId="77777777" w:rsidR="004766BA" w:rsidRPr="001B765D" w:rsidRDefault="004766BA" w:rsidP="0073521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rPr>
          <w:rFonts w:ascii="Times New Roman" w:hAnsi="Times New Roman"/>
          <w:b/>
          <w:color w:val="auto"/>
          <w:szCs w:val="24"/>
        </w:rPr>
      </w:pPr>
    </w:p>
    <w:p w14:paraId="1D81CB88" w14:textId="5578AF9A" w:rsidR="004766BA" w:rsidRPr="00FA1B4B" w:rsidRDefault="004766BA" w:rsidP="00FA1B4B">
      <w:pPr>
        <w:pStyle w:val="Heading3"/>
        <w:spacing w:line="480" w:lineRule="auto"/>
        <w:rPr>
          <w:rFonts w:ascii="Times New Roman" w:hAnsi="Times New Roman" w:cs="Times New Roman"/>
          <w:i/>
          <w:color w:val="auto"/>
        </w:rPr>
      </w:pPr>
      <w:r w:rsidRPr="001B765D">
        <w:rPr>
          <w:rFonts w:ascii="Times New Roman" w:hAnsi="Times New Roman" w:cs="Times New Roman"/>
          <w:i/>
          <w:color w:val="auto"/>
        </w:rPr>
        <w:lastRenderedPageBreak/>
        <w:t>Variables and Data Analysis</w:t>
      </w:r>
    </w:p>
    <w:p w14:paraId="7391C148" w14:textId="77777777" w:rsidR="004D7BEE" w:rsidRDefault="004D7BEE" w:rsidP="0073521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rPr>
          <w:rFonts w:ascii="Times New Roman" w:hAnsi="Times New Roman"/>
          <w:color w:val="auto"/>
          <w:szCs w:val="24"/>
        </w:rPr>
      </w:pPr>
    </w:p>
    <w:p w14:paraId="187CED06" w14:textId="6BE6B80A" w:rsidR="004766BA" w:rsidRPr="00344D1D" w:rsidRDefault="004766BA" w:rsidP="00344D1D">
      <w:pPr>
        <w:spacing w:after="0" w:line="480" w:lineRule="auto"/>
        <w:rPr>
          <w:rFonts w:ascii="Times New Roman" w:hAnsi="Times New Roman" w:cs="Times New Roman"/>
          <w:sz w:val="24"/>
          <w:szCs w:val="24"/>
        </w:rPr>
      </w:pPr>
      <w:r w:rsidRPr="00344D1D">
        <w:rPr>
          <w:rFonts w:ascii="Times New Roman" w:hAnsi="Times New Roman"/>
          <w:sz w:val="24"/>
          <w:szCs w:val="24"/>
        </w:rPr>
        <w:t xml:space="preserve">Data from the </w:t>
      </w:r>
      <w:proofErr w:type="spellStart"/>
      <w:r w:rsidRPr="00344D1D">
        <w:rPr>
          <w:rFonts w:ascii="Times New Roman" w:hAnsi="Times New Roman"/>
          <w:sz w:val="24"/>
          <w:szCs w:val="24"/>
        </w:rPr>
        <w:t>PbG</w:t>
      </w:r>
      <w:proofErr w:type="spellEnd"/>
      <w:r w:rsidRPr="00344D1D">
        <w:rPr>
          <w:rFonts w:ascii="Times New Roman" w:hAnsi="Times New Roman"/>
          <w:sz w:val="24"/>
          <w:szCs w:val="24"/>
        </w:rPr>
        <w:t xml:space="preserve"> survey were subjected to a process of cleaning and analysis. Ineligible participants were removed from the dataset</w:t>
      </w:r>
      <w:r w:rsidR="005A3D0B" w:rsidRPr="00344D1D">
        <w:rPr>
          <w:rFonts w:ascii="Times New Roman" w:hAnsi="Times New Roman"/>
          <w:sz w:val="24"/>
          <w:szCs w:val="24"/>
        </w:rPr>
        <w:t xml:space="preserve">. </w:t>
      </w:r>
      <w:r w:rsidR="00975371" w:rsidRPr="00344D1D">
        <w:rPr>
          <w:rFonts w:ascii="Times New Roman" w:hAnsi="Times New Roman" w:cs="Times New Roman"/>
          <w:sz w:val="24"/>
          <w:szCs w:val="24"/>
        </w:rPr>
        <w:t>The full list of JACS princip</w:t>
      </w:r>
      <w:r w:rsidR="00084ABE">
        <w:rPr>
          <w:rFonts w:ascii="Times New Roman" w:hAnsi="Times New Roman" w:cs="Times New Roman"/>
          <w:sz w:val="24"/>
          <w:szCs w:val="24"/>
        </w:rPr>
        <w:t>a</w:t>
      </w:r>
      <w:r w:rsidR="00975371" w:rsidRPr="00344D1D">
        <w:rPr>
          <w:rFonts w:ascii="Times New Roman" w:hAnsi="Times New Roman" w:cs="Times New Roman"/>
          <w:sz w:val="24"/>
          <w:szCs w:val="24"/>
        </w:rPr>
        <w:t>l subject codes included in the survey were re-categorised using a new classification developed by Purcell and colleagues (Ellison and Purcell, 2014). This classification derives from empirically</w:t>
      </w:r>
      <w:r w:rsidR="0025476E">
        <w:rPr>
          <w:rFonts w:ascii="Times New Roman" w:hAnsi="Times New Roman" w:cs="Times New Roman"/>
          <w:sz w:val="24"/>
          <w:szCs w:val="24"/>
        </w:rPr>
        <w:t>-</w:t>
      </w:r>
      <w:r w:rsidR="00975371" w:rsidRPr="00344D1D">
        <w:rPr>
          <w:rFonts w:ascii="Times New Roman" w:hAnsi="Times New Roman" w:cs="Times New Roman"/>
          <w:sz w:val="24"/>
          <w:szCs w:val="24"/>
        </w:rPr>
        <w:t xml:space="preserve">observed differences of graduates’ aspirations and outcomes across the following five areas: Science, Technology, Engineering, Mathematics (and Medicine); Law, Economics and Management; Non-STEM academically-focused degrees, (Non-STEM) Vocationally-focused degrees; and Combined Studies. </w:t>
      </w:r>
      <w:r w:rsidR="001E267F">
        <w:rPr>
          <w:rFonts w:ascii="Times New Roman" w:hAnsi="Times New Roman"/>
          <w:sz w:val="24"/>
          <w:szCs w:val="24"/>
        </w:rPr>
        <w:t xml:space="preserve">Undergraduate home </w:t>
      </w:r>
      <w:r w:rsidRPr="00344D1D">
        <w:rPr>
          <w:rFonts w:ascii="Times New Roman" w:hAnsi="Times New Roman"/>
          <w:sz w:val="24"/>
          <w:szCs w:val="24"/>
        </w:rPr>
        <w:t>postcode data were transformed into a POLAR3</w:t>
      </w:r>
      <w:r w:rsidR="004A0CF8" w:rsidRPr="00344D1D">
        <w:rPr>
          <w:rStyle w:val="EndnoteReference"/>
          <w:rFonts w:ascii="Times New Roman" w:hAnsi="Times New Roman"/>
          <w:sz w:val="24"/>
          <w:szCs w:val="24"/>
        </w:rPr>
        <w:endnoteReference w:id="3"/>
      </w:r>
      <w:r w:rsidRPr="00344D1D">
        <w:rPr>
          <w:rFonts w:ascii="Times New Roman" w:hAnsi="Times New Roman"/>
          <w:sz w:val="24"/>
          <w:szCs w:val="24"/>
        </w:rPr>
        <w:t xml:space="preserve"> value</w:t>
      </w:r>
      <w:r w:rsidR="00E752DC" w:rsidRPr="00344D1D">
        <w:rPr>
          <w:rFonts w:ascii="Times New Roman" w:hAnsi="Times New Roman"/>
          <w:sz w:val="24"/>
          <w:szCs w:val="24"/>
        </w:rPr>
        <w:t xml:space="preserve"> to classify neighbourhoods</w:t>
      </w:r>
      <w:r w:rsidRPr="00344D1D">
        <w:rPr>
          <w:rFonts w:ascii="Times New Roman" w:hAnsi="Times New Roman"/>
          <w:sz w:val="24"/>
          <w:szCs w:val="24"/>
        </w:rPr>
        <w:t xml:space="preserve">, and information on parental employment status and occupation were allocated </w:t>
      </w:r>
      <w:r w:rsidR="00E752DC" w:rsidRPr="00344D1D">
        <w:rPr>
          <w:rFonts w:ascii="Times New Roman" w:hAnsi="Times New Roman"/>
          <w:sz w:val="24"/>
          <w:szCs w:val="24"/>
        </w:rPr>
        <w:t>to a category within the National Statistics Socio-Economic Classification (NS-SEC)</w:t>
      </w:r>
      <w:r w:rsidRPr="00344D1D">
        <w:rPr>
          <w:rFonts w:ascii="Times New Roman" w:hAnsi="Times New Roman"/>
          <w:sz w:val="24"/>
          <w:szCs w:val="24"/>
        </w:rPr>
        <w:t>.</w:t>
      </w:r>
      <w:r w:rsidR="005556B6" w:rsidRPr="00344D1D">
        <w:rPr>
          <w:rFonts w:ascii="Times New Roman" w:hAnsi="Times New Roman"/>
          <w:sz w:val="24"/>
          <w:szCs w:val="24"/>
        </w:rPr>
        <w:t xml:space="preserve"> The 2,849 cases were then reduce</w:t>
      </w:r>
      <w:r w:rsidR="00C861D9" w:rsidRPr="00344D1D">
        <w:rPr>
          <w:rFonts w:ascii="Times New Roman" w:hAnsi="Times New Roman"/>
          <w:sz w:val="24"/>
          <w:szCs w:val="24"/>
        </w:rPr>
        <w:t>d</w:t>
      </w:r>
      <w:r w:rsidR="005556B6" w:rsidRPr="00344D1D">
        <w:rPr>
          <w:rFonts w:ascii="Times New Roman" w:hAnsi="Times New Roman"/>
          <w:sz w:val="24"/>
          <w:szCs w:val="24"/>
        </w:rPr>
        <w:t xml:space="preserve"> further through </w:t>
      </w:r>
      <w:proofErr w:type="spellStart"/>
      <w:r w:rsidR="005556B6" w:rsidRPr="00344D1D">
        <w:rPr>
          <w:rFonts w:ascii="Times New Roman" w:hAnsi="Times New Roman"/>
          <w:sz w:val="24"/>
          <w:szCs w:val="24"/>
        </w:rPr>
        <w:t>listwise</w:t>
      </w:r>
      <w:proofErr w:type="spellEnd"/>
      <w:r w:rsidR="005556B6" w:rsidRPr="00344D1D">
        <w:rPr>
          <w:rFonts w:ascii="Times New Roman" w:hAnsi="Times New Roman"/>
          <w:sz w:val="24"/>
          <w:szCs w:val="24"/>
        </w:rPr>
        <w:t xml:space="preserve"> deletion of cases </w:t>
      </w:r>
      <w:r w:rsidR="00C861D9" w:rsidRPr="00344D1D">
        <w:rPr>
          <w:rFonts w:ascii="Times New Roman" w:hAnsi="Times New Roman"/>
          <w:sz w:val="24"/>
          <w:szCs w:val="24"/>
        </w:rPr>
        <w:t>with</w:t>
      </w:r>
      <w:r w:rsidR="005556B6" w:rsidRPr="00344D1D">
        <w:rPr>
          <w:rFonts w:ascii="Times New Roman" w:hAnsi="Times New Roman"/>
          <w:sz w:val="24"/>
          <w:szCs w:val="24"/>
        </w:rPr>
        <w:t xml:space="preserve"> missing data for the dependent variable of progression to postgraduate study.</w:t>
      </w:r>
      <w:r w:rsidR="00123F49" w:rsidRPr="00344D1D">
        <w:rPr>
          <w:rFonts w:ascii="Times New Roman" w:hAnsi="Times New Roman"/>
          <w:sz w:val="24"/>
          <w:szCs w:val="24"/>
        </w:rPr>
        <w:t xml:space="preserve"> The final analytical sample was 2,567.</w:t>
      </w:r>
    </w:p>
    <w:p w14:paraId="49F3DAF6" w14:textId="525FB878" w:rsidR="004766BA" w:rsidRDefault="004766BA" w:rsidP="0073521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rPr>
          <w:rFonts w:ascii="Times New Roman" w:hAnsi="Times New Roman"/>
          <w:color w:val="auto"/>
          <w:szCs w:val="24"/>
        </w:rPr>
      </w:pPr>
      <w:r w:rsidRPr="001B765D">
        <w:rPr>
          <w:rFonts w:ascii="Times New Roman" w:hAnsi="Times New Roman"/>
          <w:color w:val="auto"/>
          <w:szCs w:val="24"/>
        </w:rPr>
        <w:tab/>
        <w:t xml:space="preserve">Progression to postgraduate study was </w:t>
      </w:r>
      <w:r w:rsidR="009764BB">
        <w:rPr>
          <w:rFonts w:ascii="Times New Roman" w:hAnsi="Times New Roman"/>
          <w:color w:val="auto"/>
          <w:szCs w:val="24"/>
        </w:rPr>
        <w:t>our</w:t>
      </w:r>
      <w:r w:rsidR="009764BB" w:rsidRPr="001B765D">
        <w:rPr>
          <w:rFonts w:ascii="Times New Roman" w:hAnsi="Times New Roman"/>
          <w:color w:val="auto"/>
          <w:szCs w:val="24"/>
        </w:rPr>
        <w:t xml:space="preserve"> </w:t>
      </w:r>
      <w:r w:rsidRPr="001B765D">
        <w:rPr>
          <w:rFonts w:ascii="Times New Roman" w:hAnsi="Times New Roman"/>
          <w:color w:val="auto"/>
          <w:szCs w:val="24"/>
        </w:rPr>
        <w:t xml:space="preserve">dependent </w:t>
      </w:r>
      <w:r>
        <w:rPr>
          <w:rFonts w:ascii="Times New Roman" w:hAnsi="Times New Roman"/>
          <w:color w:val="auto"/>
          <w:szCs w:val="24"/>
        </w:rPr>
        <w:t>variable</w:t>
      </w:r>
      <w:r w:rsidRPr="001B765D">
        <w:rPr>
          <w:rFonts w:ascii="Times New Roman" w:hAnsi="Times New Roman"/>
          <w:color w:val="auto"/>
          <w:szCs w:val="24"/>
        </w:rPr>
        <w:t>.</w:t>
      </w:r>
      <w:r w:rsidRPr="001B765D">
        <w:rPr>
          <w:rFonts w:ascii="Times New Roman" w:hAnsi="Times New Roman"/>
          <w:b/>
          <w:color w:val="auto"/>
          <w:szCs w:val="24"/>
        </w:rPr>
        <w:t xml:space="preserve"> </w:t>
      </w:r>
      <w:r w:rsidR="009764BB">
        <w:rPr>
          <w:rFonts w:ascii="Times New Roman" w:hAnsi="Times New Roman"/>
          <w:color w:val="auto"/>
          <w:szCs w:val="24"/>
        </w:rPr>
        <w:t>R</w:t>
      </w:r>
      <w:r w:rsidRPr="001B765D">
        <w:rPr>
          <w:rFonts w:ascii="Times New Roman" w:hAnsi="Times New Roman"/>
          <w:color w:val="auto"/>
          <w:szCs w:val="24"/>
        </w:rPr>
        <w:t xml:space="preserve">espondents </w:t>
      </w:r>
      <w:r w:rsidR="0025476E">
        <w:rPr>
          <w:rFonts w:ascii="Times New Roman" w:hAnsi="Times New Roman"/>
          <w:color w:val="auto"/>
          <w:szCs w:val="24"/>
        </w:rPr>
        <w:t>reported whether</w:t>
      </w:r>
      <w:r w:rsidRPr="001B765D">
        <w:rPr>
          <w:rFonts w:ascii="Times New Roman" w:hAnsi="Times New Roman"/>
          <w:color w:val="auto"/>
          <w:szCs w:val="24"/>
        </w:rPr>
        <w:t xml:space="preserve"> they were currently (in 2014) studying or had previously studied for a postgraduate degree.</w:t>
      </w:r>
      <w:r w:rsidR="00123F49">
        <w:rPr>
          <w:rFonts w:ascii="Times New Roman" w:hAnsi="Times New Roman"/>
          <w:color w:val="auto"/>
          <w:szCs w:val="24"/>
        </w:rPr>
        <w:t xml:space="preserve"> </w:t>
      </w:r>
      <w:r w:rsidRPr="001B765D">
        <w:rPr>
          <w:rFonts w:ascii="Times New Roman" w:hAnsi="Times New Roman"/>
          <w:color w:val="auto"/>
          <w:szCs w:val="24"/>
        </w:rPr>
        <w:t>Of the former undergraduate students who participated in this study across the six institutions, 39</w:t>
      </w:r>
      <w:r w:rsidR="00132FA1">
        <w:rPr>
          <w:rFonts w:ascii="Times New Roman" w:hAnsi="Times New Roman"/>
          <w:color w:val="auto"/>
          <w:szCs w:val="24"/>
        </w:rPr>
        <w:t>%</w:t>
      </w:r>
      <w:r w:rsidRPr="001B765D">
        <w:rPr>
          <w:rFonts w:ascii="Times New Roman" w:hAnsi="Times New Roman"/>
          <w:color w:val="auto"/>
          <w:szCs w:val="24"/>
        </w:rPr>
        <w:t xml:space="preserve"> had progressed onto postgraduate study (see Table 1). Student debt was our main independent variable of interest </w:t>
      </w:r>
      <w:r w:rsidR="009764BB">
        <w:rPr>
          <w:rFonts w:ascii="Times New Roman" w:hAnsi="Times New Roman"/>
          <w:color w:val="auto"/>
          <w:szCs w:val="24"/>
        </w:rPr>
        <w:t>as</w:t>
      </w:r>
      <w:r w:rsidRPr="001B765D">
        <w:rPr>
          <w:rFonts w:ascii="Times New Roman" w:hAnsi="Times New Roman"/>
          <w:color w:val="auto"/>
          <w:szCs w:val="24"/>
        </w:rPr>
        <w:t xml:space="preserve"> we wanted to explore whether undergraduate debt influenced postgraduate study progression.  </w:t>
      </w:r>
      <w:r w:rsidR="0025476E" w:rsidRPr="001B765D">
        <w:rPr>
          <w:rFonts w:ascii="Times New Roman" w:hAnsi="Times New Roman"/>
          <w:color w:val="auto"/>
          <w:szCs w:val="24"/>
        </w:rPr>
        <w:t>To</w:t>
      </w:r>
      <w:r w:rsidRPr="001B765D">
        <w:rPr>
          <w:rFonts w:ascii="Times New Roman" w:hAnsi="Times New Roman"/>
          <w:color w:val="auto"/>
          <w:szCs w:val="24"/>
        </w:rPr>
        <w:t xml:space="preserve"> collect this data, we asked participants to report how much debt they needed to repay at the point they had completed their undergraduate degree. They were asked only to include debt from undergraduate studies and not to include mortgages or debt that existed prior to their undergraduate studies. Given that some participants were either currently studying at the postgraduate level or had done so </w:t>
      </w:r>
      <w:r w:rsidRPr="001B765D">
        <w:rPr>
          <w:rFonts w:ascii="Times New Roman" w:hAnsi="Times New Roman"/>
          <w:color w:val="auto"/>
          <w:szCs w:val="24"/>
        </w:rPr>
        <w:lastRenderedPageBreak/>
        <w:t>previously, we specifically ask</w:t>
      </w:r>
      <w:r>
        <w:rPr>
          <w:rFonts w:ascii="Times New Roman" w:hAnsi="Times New Roman"/>
          <w:color w:val="auto"/>
          <w:szCs w:val="24"/>
        </w:rPr>
        <w:t>ed</w:t>
      </w:r>
      <w:r w:rsidRPr="001B765D">
        <w:rPr>
          <w:rFonts w:ascii="Times New Roman" w:hAnsi="Times New Roman"/>
          <w:color w:val="auto"/>
          <w:szCs w:val="24"/>
        </w:rPr>
        <w:t xml:space="preserve"> them not to include this debt in their response. The response categories available to them were: no debt; </w:t>
      </w:r>
      <w:r w:rsidR="00943DA7">
        <w:rPr>
          <w:rFonts w:ascii="Times New Roman" w:hAnsi="Times New Roman"/>
          <w:color w:val="auto"/>
          <w:szCs w:val="24"/>
        </w:rPr>
        <w:t>ordinal bands increasing in increments of £5,000 up to £29,999</w:t>
      </w:r>
      <w:r w:rsidRPr="001B765D">
        <w:rPr>
          <w:rFonts w:ascii="Times New Roman" w:hAnsi="Times New Roman"/>
          <w:color w:val="auto"/>
          <w:szCs w:val="24"/>
        </w:rPr>
        <w:t xml:space="preserve">; £30,000 and over; don’t know; and </w:t>
      </w:r>
      <w:r w:rsidR="00943DA7">
        <w:rPr>
          <w:rFonts w:ascii="Times New Roman" w:hAnsi="Times New Roman"/>
          <w:color w:val="auto"/>
          <w:szCs w:val="24"/>
        </w:rPr>
        <w:t>refused</w:t>
      </w:r>
      <w:r w:rsidRPr="001B765D">
        <w:rPr>
          <w:rFonts w:ascii="Times New Roman" w:hAnsi="Times New Roman"/>
          <w:color w:val="auto"/>
          <w:szCs w:val="24"/>
        </w:rPr>
        <w:t xml:space="preserve">. </w:t>
      </w:r>
      <w:r w:rsidR="00943DA7">
        <w:rPr>
          <w:rFonts w:ascii="Times New Roman" w:hAnsi="Times New Roman"/>
          <w:color w:val="auto"/>
          <w:szCs w:val="24"/>
        </w:rPr>
        <w:t>Additionally</w:t>
      </w:r>
      <w:r w:rsidRPr="001B765D">
        <w:rPr>
          <w:rFonts w:ascii="Times New Roman" w:hAnsi="Times New Roman"/>
          <w:color w:val="auto"/>
          <w:szCs w:val="24"/>
        </w:rPr>
        <w:t xml:space="preserve">, we also asked them to indicate using the same response categories, </w:t>
      </w:r>
      <w:r w:rsidR="00943DA7">
        <w:rPr>
          <w:rFonts w:ascii="Times New Roman" w:hAnsi="Times New Roman"/>
          <w:color w:val="auto"/>
          <w:szCs w:val="24"/>
        </w:rPr>
        <w:t>their outstanding</w:t>
      </w:r>
      <w:r w:rsidRPr="001B765D">
        <w:rPr>
          <w:rFonts w:ascii="Times New Roman" w:hAnsi="Times New Roman"/>
          <w:color w:val="auto"/>
          <w:szCs w:val="24"/>
        </w:rPr>
        <w:t xml:space="preserve"> undergraduate debt at the time of the survey (i.e., 2014</w:t>
      </w:r>
      <w:proofErr w:type="gramStart"/>
      <w:r w:rsidRPr="001B765D">
        <w:rPr>
          <w:rFonts w:ascii="Times New Roman" w:hAnsi="Times New Roman"/>
          <w:color w:val="auto"/>
          <w:szCs w:val="24"/>
        </w:rPr>
        <w:t>).</w:t>
      </w:r>
      <w:r w:rsidR="00206524" w:rsidRPr="00B34ED8">
        <w:rPr>
          <w:rFonts w:ascii="Times New Roman" w:hAnsi="Times New Roman"/>
          <w:color w:val="auto"/>
          <w:szCs w:val="24"/>
        </w:rPr>
        <w:t>.</w:t>
      </w:r>
      <w:proofErr w:type="gramEnd"/>
    </w:p>
    <w:p w14:paraId="2228504C" w14:textId="2320C296" w:rsidR="00FC6495" w:rsidRDefault="00FC6495" w:rsidP="0073521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rPr>
          <w:rFonts w:ascii="Times New Roman" w:hAnsi="Times New Roman"/>
          <w:color w:val="auto"/>
          <w:szCs w:val="24"/>
        </w:rPr>
      </w:pPr>
      <w:r>
        <w:rPr>
          <w:rFonts w:ascii="Times New Roman" w:hAnsi="Times New Roman"/>
          <w:color w:val="auto"/>
          <w:szCs w:val="24"/>
        </w:rPr>
        <w:tab/>
        <w:t xml:space="preserve">It is important to recognize the challenges in collecting accurate financial information </w:t>
      </w:r>
      <w:r w:rsidR="00A60AE3">
        <w:rPr>
          <w:rFonts w:ascii="Times New Roman" w:hAnsi="Times New Roman"/>
          <w:color w:val="auto"/>
          <w:szCs w:val="24"/>
        </w:rPr>
        <w:t>from</w:t>
      </w:r>
      <w:r>
        <w:rPr>
          <w:rFonts w:ascii="Times New Roman" w:hAnsi="Times New Roman"/>
          <w:color w:val="auto"/>
          <w:szCs w:val="24"/>
        </w:rPr>
        <w:t xml:space="preserve"> research participants. The nature of our study meant </w:t>
      </w:r>
      <w:r w:rsidR="00715FA7">
        <w:rPr>
          <w:rFonts w:ascii="Times New Roman" w:hAnsi="Times New Roman"/>
          <w:color w:val="auto"/>
          <w:szCs w:val="24"/>
        </w:rPr>
        <w:t>reliance on</w:t>
      </w:r>
      <w:r>
        <w:rPr>
          <w:rFonts w:ascii="Times New Roman" w:hAnsi="Times New Roman"/>
          <w:color w:val="auto"/>
          <w:szCs w:val="24"/>
        </w:rPr>
        <w:t xml:space="preserve"> self-reported </w:t>
      </w:r>
      <w:r w:rsidR="00F922E1">
        <w:rPr>
          <w:rFonts w:ascii="Times New Roman" w:hAnsi="Times New Roman"/>
          <w:color w:val="auto"/>
          <w:szCs w:val="24"/>
        </w:rPr>
        <w:t>data</w:t>
      </w:r>
      <w:r>
        <w:rPr>
          <w:rFonts w:ascii="Times New Roman" w:hAnsi="Times New Roman"/>
          <w:color w:val="auto"/>
          <w:szCs w:val="24"/>
        </w:rPr>
        <w:t>. Pinto and Mansfield (2006), in a study that examined student loan debt and debt repayment employed a similar method</w:t>
      </w:r>
      <w:r w:rsidR="00915E46">
        <w:rPr>
          <w:rFonts w:ascii="Times New Roman" w:hAnsi="Times New Roman"/>
          <w:color w:val="auto"/>
          <w:szCs w:val="24"/>
        </w:rPr>
        <w:t>,</w:t>
      </w:r>
      <w:r>
        <w:rPr>
          <w:rFonts w:ascii="Times New Roman" w:hAnsi="Times New Roman"/>
          <w:color w:val="auto"/>
          <w:szCs w:val="24"/>
        </w:rPr>
        <w:t xml:space="preserve"> </w:t>
      </w:r>
      <w:r w:rsidR="00915E46">
        <w:rPr>
          <w:rFonts w:ascii="Times New Roman" w:hAnsi="Times New Roman"/>
          <w:color w:val="auto"/>
          <w:szCs w:val="24"/>
        </w:rPr>
        <w:t xml:space="preserve">asking </w:t>
      </w:r>
      <w:r>
        <w:rPr>
          <w:rFonts w:ascii="Times New Roman" w:hAnsi="Times New Roman"/>
          <w:color w:val="auto"/>
          <w:szCs w:val="24"/>
        </w:rPr>
        <w:t xml:space="preserve">US college students to report their current level of debt and expected level of debt at graduation. </w:t>
      </w:r>
      <w:r w:rsidR="00715FA7">
        <w:rPr>
          <w:rFonts w:ascii="Times New Roman" w:hAnsi="Times New Roman"/>
          <w:color w:val="auto"/>
          <w:szCs w:val="24"/>
        </w:rPr>
        <w:t>Similarly</w:t>
      </w:r>
      <w:r w:rsidR="00BE31BC">
        <w:rPr>
          <w:rFonts w:ascii="Times New Roman" w:hAnsi="Times New Roman"/>
          <w:color w:val="auto"/>
          <w:szCs w:val="24"/>
        </w:rPr>
        <w:t xml:space="preserve">, </w:t>
      </w:r>
      <w:r>
        <w:rPr>
          <w:rFonts w:ascii="Times New Roman" w:hAnsi="Times New Roman"/>
          <w:color w:val="auto"/>
          <w:szCs w:val="24"/>
        </w:rPr>
        <w:t xml:space="preserve">Baum and O’Malley (2003) also used self-report debt data from the </w:t>
      </w:r>
      <w:r w:rsidR="00875480">
        <w:rPr>
          <w:rFonts w:ascii="Times New Roman" w:hAnsi="Times New Roman"/>
          <w:color w:val="auto"/>
          <w:szCs w:val="24"/>
        </w:rPr>
        <w:t xml:space="preserve">2002 </w:t>
      </w:r>
      <w:r>
        <w:rPr>
          <w:rFonts w:ascii="Times New Roman" w:hAnsi="Times New Roman"/>
          <w:color w:val="auto"/>
          <w:szCs w:val="24"/>
        </w:rPr>
        <w:t xml:space="preserve">fourth </w:t>
      </w:r>
      <w:r w:rsidRPr="00875480">
        <w:rPr>
          <w:rFonts w:ascii="Times New Roman" w:hAnsi="Times New Roman"/>
          <w:color w:val="auto"/>
          <w:szCs w:val="24"/>
        </w:rPr>
        <w:t>Nellie Mae National Student Loan Survey (NASLS) to explore</w:t>
      </w:r>
      <w:r w:rsidRPr="00FC6495">
        <w:rPr>
          <w:rFonts w:ascii="Times New Roman" w:hAnsi="Times New Roman"/>
          <w:color w:val="auto"/>
          <w:szCs w:val="24"/>
        </w:rPr>
        <w:t xml:space="preserve"> </w:t>
      </w:r>
      <w:r>
        <w:rPr>
          <w:rFonts w:ascii="Times New Roman" w:hAnsi="Times New Roman"/>
          <w:color w:val="auto"/>
          <w:szCs w:val="24"/>
        </w:rPr>
        <w:t>student debt and attitudes towards education debt.</w:t>
      </w:r>
      <w:r w:rsidR="00BE31BC">
        <w:rPr>
          <w:rFonts w:ascii="Times New Roman" w:hAnsi="Times New Roman"/>
          <w:color w:val="auto"/>
          <w:szCs w:val="24"/>
        </w:rPr>
        <w:t xml:space="preserve"> While not concerned with debt, many large-scale UK surveys rely on self-reported data for income, earnings, and benefits</w:t>
      </w:r>
      <w:r w:rsidR="00206524">
        <w:rPr>
          <w:rStyle w:val="EndnoteReference"/>
          <w:rFonts w:ascii="Times New Roman" w:hAnsi="Times New Roman"/>
          <w:color w:val="auto"/>
          <w:szCs w:val="24"/>
        </w:rPr>
        <w:endnoteReference w:id="4"/>
      </w:r>
      <w:r w:rsidR="00206524">
        <w:rPr>
          <w:rFonts w:ascii="Times New Roman" w:hAnsi="Times New Roman"/>
          <w:color w:val="auto"/>
          <w:szCs w:val="24"/>
        </w:rPr>
        <w:t>.</w:t>
      </w:r>
      <w:r w:rsidR="00BE31BC">
        <w:rPr>
          <w:rFonts w:ascii="Times New Roman" w:hAnsi="Times New Roman"/>
          <w:color w:val="auto"/>
          <w:szCs w:val="24"/>
        </w:rPr>
        <w:t xml:space="preserve"> </w:t>
      </w:r>
      <w:r w:rsidR="00984DDF">
        <w:rPr>
          <w:rFonts w:ascii="Times New Roman" w:hAnsi="Times New Roman"/>
          <w:color w:val="auto"/>
          <w:szCs w:val="24"/>
        </w:rPr>
        <w:t xml:space="preserve">While we recognize the limitations to self-reported financially related data and the </w:t>
      </w:r>
      <w:r w:rsidR="00875480">
        <w:rPr>
          <w:rFonts w:ascii="Times New Roman" w:hAnsi="Times New Roman"/>
          <w:color w:val="auto"/>
          <w:szCs w:val="24"/>
        </w:rPr>
        <w:t xml:space="preserve">potential </w:t>
      </w:r>
      <w:r w:rsidR="00984DDF">
        <w:rPr>
          <w:rFonts w:ascii="Times New Roman" w:hAnsi="Times New Roman"/>
          <w:color w:val="auto"/>
          <w:szCs w:val="24"/>
        </w:rPr>
        <w:t xml:space="preserve">for observation error to arise, we remain confident given the similarities of our aggregate data to that of the </w:t>
      </w:r>
      <w:r w:rsidR="003C67FB">
        <w:rPr>
          <w:rFonts w:ascii="Times New Roman" w:hAnsi="Times New Roman"/>
          <w:color w:val="auto"/>
          <w:szCs w:val="24"/>
        </w:rPr>
        <w:t>S</w:t>
      </w:r>
      <w:r w:rsidR="00984DDF">
        <w:rPr>
          <w:rFonts w:ascii="Times New Roman" w:hAnsi="Times New Roman"/>
          <w:color w:val="auto"/>
          <w:szCs w:val="24"/>
        </w:rPr>
        <w:t xml:space="preserve">tudent </w:t>
      </w:r>
      <w:r w:rsidR="003C67FB">
        <w:rPr>
          <w:rFonts w:ascii="Times New Roman" w:hAnsi="Times New Roman"/>
          <w:color w:val="auto"/>
          <w:szCs w:val="24"/>
        </w:rPr>
        <w:t>L</w:t>
      </w:r>
      <w:r w:rsidR="00984DDF">
        <w:rPr>
          <w:rFonts w:ascii="Times New Roman" w:hAnsi="Times New Roman"/>
          <w:color w:val="auto"/>
          <w:szCs w:val="24"/>
        </w:rPr>
        <w:t xml:space="preserve">oan </w:t>
      </w:r>
      <w:r w:rsidR="003C67FB">
        <w:rPr>
          <w:rFonts w:ascii="Times New Roman" w:hAnsi="Times New Roman"/>
          <w:color w:val="auto"/>
          <w:szCs w:val="24"/>
        </w:rPr>
        <w:t>C</w:t>
      </w:r>
      <w:r w:rsidR="00984DDF">
        <w:rPr>
          <w:rFonts w:ascii="Times New Roman" w:hAnsi="Times New Roman"/>
          <w:color w:val="auto"/>
          <w:szCs w:val="24"/>
        </w:rPr>
        <w:t>ompany data that we have captured fairly the participants</w:t>
      </w:r>
      <w:r w:rsidR="003C67FB">
        <w:rPr>
          <w:rFonts w:ascii="Times New Roman" w:hAnsi="Times New Roman"/>
          <w:color w:val="auto"/>
          <w:szCs w:val="24"/>
        </w:rPr>
        <w:t>’</w:t>
      </w:r>
      <w:r w:rsidR="00984DDF">
        <w:rPr>
          <w:rFonts w:ascii="Times New Roman" w:hAnsi="Times New Roman"/>
          <w:color w:val="auto"/>
          <w:szCs w:val="24"/>
        </w:rPr>
        <w:t xml:space="preserve"> levels of debt.</w:t>
      </w:r>
    </w:p>
    <w:p w14:paraId="5D78A6F5" w14:textId="21A43D08" w:rsidR="008349D6" w:rsidRDefault="004766BA" w:rsidP="00F922E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rPr>
          <w:rFonts w:ascii="Times New Roman" w:hAnsi="Times New Roman"/>
          <w:color w:val="auto"/>
          <w:szCs w:val="24"/>
        </w:rPr>
      </w:pPr>
      <w:r w:rsidRPr="001B765D">
        <w:rPr>
          <w:rFonts w:ascii="Times New Roman" w:hAnsi="Times New Roman"/>
          <w:color w:val="auto"/>
          <w:szCs w:val="24"/>
        </w:rPr>
        <w:tab/>
      </w:r>
      <w:r w:rsidR="0051398B">
        <w:rPr>
          <w:rFonts w:ascii="Times New Roman" w:hAnsi="Times New Roman"/>
          <w:color w:val="auto"/>
          <w:szCs w:val="24"/>
        </w:rPr>
        <w:t>P</w:t>
      </w:r>
      <w:r w:rsidRPr="001B765D">
        <w:rPr>
          <w:rFonts w:ascii="Times New Roman" w:hAnsi="Times New Roman"/>
          <w:color w:val="auto"/>
          <w:szCs w:val="24"/>
        </w:rPr>
        <w:t>articipants were asked to indicate which sources funded their undergraduate tuition fees and living costs (e.g., student loan, fee waiver, income). In addition to the debt and funding source variables, the multivariate analyses included a number of control covariates. These variables clustered into the three broad areas of the participants</w:t>
      </w:r>
      <w:r w:rsidR="003C67FB">
        <w:rPr>
          <w:rFonts w:ascii="Times New Roman" w:hAnsi="Times New Roman"/>
          <w:color w:val="auto"/>
          <w:szCs w:val="24"/>
        </w:rPr>
        <w:t>’</w:t>
      </w:r>
      <w:r w:rsidRPr="001B765D">
        <w:rPr>
          <w:rFonts w:ascii="Times New Roman" w:hAnsi="Times New Roman"/>
          <w:color w:val="auto"/>
          <w:szCs w:val="24"/>
        </w:rPr>
        <w:t xml:space="preserve"> undergraduate degree characteristics (e.g., degree type), school characteristics (e.g., school type), socio-economic characteristics (e.g., parent</w:t>
      </w:r>
      <w:r w:rsidR="00BA35A5">
        <w:rPr>
          <w:rFonts w:ascii="Times New Roman" w:hAnsi="Times New Roman"/>
          <w:color w:val="auto"/>
          <w:szCs w:val="24"/>
        </w:rPr>
        <w:t>al</w:t>
      </w:r>
      <w:r w:rsidRPr="001B765D">
        <w:rPr>
          <w:rFonts w:ascii="Times New Roman" w:hAnsi="Times New Roman"/>
          <w:color w:val="auto"/>
          <w:szCs w:val="24"/>
        </w:rPr>
        <w:t xml:space="preserve"> occupation</w:t>
      </w:r>
      <w:r w:rsidR="00BA35A5">
        <w:rPr>
          <w:rFonts w:ascii="Times New Roman" w:hAnsi="Times New Roman"/>
          <w:color w:val="auto"/>
          <w:szCs w:val="24"/>
        </w:rPr>
        <w:t>s</w:t>
      </w:r>
      <w:r w:rsidRPr="001B765D">
        <w:rPr>
          <w:rFonts w:ascii="Times New Roman" w:hAnsi="Times New Roman"/>
          <w:color w:val="auto"/>
          <w:szCs w:val="24"/>
        </w:rPr>
        <w:t>), and general background characteristics (e.g., gender).</w:t>
      </w:r>
    </w:p>
    <w:p w14:paraId="7172A26F" w14:textId="77777777" w:rsidR="00F922E1" w:rsidRPr="00F922E1" w:rsidRDefault="00F922E1" w:rsidP="00F922E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rPr>
          <w:rFonts w:ascii="Times New Roman" w:hAnsi="Times New Roman"/>
          <w:color w:val="auto"/>
          <w:szCs w:val="24"/>
        </w:rPr>
      </w:pPr>
    </w:p>
    <w:p w14:paraId="5446CF7D" w14:textId="28AD1776" w:rsidR="004766BA" w:rsidRPr="0025223E" w:rsidRDefault="004766BA" w:rsidP="0025223E">
      <w:pPr>
        <w:pStyle w:val="Heading2"/>
        <w:spacing w:line="480" w:lineRule="auto"/>
        <w:rPr>
          <w:rFonts w:ascii="Times New Roman" w:hAnsi="Times New Roman" w:cs="Times New Roman"/>
          <w:color w:val="auto"/>
          <w:sz w:val="28"/>
          <w:szCs w:val="24"/>
        </w:rPr>
      </w:pPr>
      <w:r w:rsidRPr="00B53A76">
        <w:rPr>
          <w:rFonts w:ascii="Times New Roman" w:hAnsi="Times New Roman" w:cs="Times New Roman"/>
          <w:color w:val="auto"/>
          <w:sz w:val="28"/>
          <w:szCs w:val="24"/>
        </w:rPr>
        <w:lastRenderedPageBreak/>
        <w:t>Results</w:t>
      </w:r>
    </w:p>
    <w:p w14:paraId="0F9DCABD" w14:textId="77777777" w:rsidR="00B53A76" w:rsidRDefault="00B53A76" w:rsidP="00F922E1">
      <w:pPr>
        <w:widowControl w:val="0"/>
        <w:autoSpaceDE w:val="0"/>
        <w:autoSpaceDN w:val="0"/>
        <w:adjustRightInd w:val="0"/>
        <w:spacing w:after="0" w:line="480" w:lineRule="auto"/>
        <w:rPr>
          <w:rFonts w:ascii="Times New Roman" w:hAnsi="Times New Roman" w:cs="Times New Roman"/>
          <w:sz w:val="24"/>
          <w:szCs w:val="24"/>
        </w:rPr>
      </w:pPr>
    </w:p>
    <w:p w14:paraId="5F34C809" w14:textId="29806011" w:rsidR="00F922E1" w:rsidRDefault="00F922E1" w:rsidP="00F922E1">
      <w:pPr>
        <w:widowControl w:val="0"/>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Our analysis proceeds in four stages</w:t>
      </w:r>
      <w:r w:rsidRPr="001B765D">
        <w:rPr>
          <w:rFonts w:ascii="Times New Roman" w:hAnsi="Times New Roman" w:cs="Times New Roman"/>
          <w:sz w:val="24"/>
          <w:szCs w:val="24"/>
        </w:rPr>
        <w:t xml:space="preserve">. </w:t>
      </w:r>
      <w:r>
        <w:rPr>
          <w:rFonts w:ascii="Times New Roman" w:hAnsi="Times New Roman" w:cs="Times New Roman"/>
          <w:sz w:val="24"/>
          <w:szCs w:val="24"/>
        </w:rPr>
        <w:t>We begin with</w:t>
      </w:r>
      <w:r w:rsidRPr="001B765D">
        <w:rPr>
          <w:rFonts w:ascii="Times New Roman" w:hAnsi="Times New Roman" w:cs="Times New Roman"/>
          <w:sz w:val="24"/>
          <w:szCs w:val="24"/>
        </w:rPr>
        <w:t xml:space="preserve"> univariate analyses to determine the</w:t>
      </w:r>
      <w:r w:rsidR="00225C9E">
        <w:rPr>
          <w:rFonts w:ascii="Times New Roman" w:hAnsi="Times New Roman" w:cs="Times New Roman"/>
          <w:sz w:val="24"/>
          <w:szCs w:val="24"/>
        </w:rPr>
        <w:t xml:space="preserve"> percentage</w:t>
      </w:r>
      <w:r w:rsidRPr="001B765D">
        <w:rPr>
          <w:rFonts w:ascii="Times New Roman" w:hAnsi="Times New Roman" w:cs="Times New Roman"/>
          <w:sz w:val="24"/>
          <w:szCs w:val="24"/>
        </w:rPr>
        <w:t xml:space="preserve"> of alumni who progressed or did not progress onto postgraduate</w:t>
      </w:r>
      <w:r w:rsidR="00132FA1">
        <w:rPr>
          <w:rFonts w:ascii="Times New Roman" w:hAnsi="Times New Roman" w:cs="Times New Roman"/>
          <w:sz w:val="24"/>
          <w:szCs w:val="24"/>
        </w:rPr>
        <w:t xml:space="preserve"> study</w:t>
      </w:r>
      <w:r w:rsidRPr="001B765D">
        <w:rPr>
          <w:rFonts w:ascii="Times New Roman" w:hAnsi="Times New Roman" w:cs="Times New Roman"/>
          <w:sz w:val="24"/>
          <w:szCs w:val="24"/>
        </w:rPr>
        <w:t xml:space="preserve">. </w:t>
      </w:r>
      <w:r>
        <w:rPr>
          <w:rFonts w:ascii="Times New Roman" w:hAnsi="Times New Roman" w:cs="Times New Roman"/>
          <w:sz w:val="24"/>
          <w:szCs w:val="24"/>
        </w:rPr>
        <w:t xml:space="preserve">Next, </w:t>
      </w:r>
      <w:r w:rsidRPr="001B765D">
        <w:rPr>
          <w:rFonts w:ascii="Times New Roman" w:hAnsi="Times New Roman" w:cs="Times New Roman"/>
          <w:sz w:val="24"/>
          <w:szCs w:val="24"/>
        </w:rPr>
        <w:t>we examine levels of student debt by progression status</w:t>
      </w:r>
      <w:r>
        <w:rPr>
          <w:rFonts w:ascii="Times New Roman" w:hAnsi="Times New Roman" w:cs="Times New Roman"/>
          <w:sz w:val="24"/>
          <w:szCs w:val="24"/>
        </w:rPr>
        <w:t xml:space="preserve"> and year of graduation before examining</w:t>
      </w:r>
      <w:r w:rsidRPr="001B765D">
        <w:rPr>
          <w:rFonts w:ascii="Times New Roman" w:hAnsi="Times New Roman" w:cs="Times New Roman"/>
          <w:sz w:val="24"/>
          <w:szCs w:val="24"/>
        </w:rPr>
        <w:t xml:space="preserve"> the financial sources for tuition fees and living costs for both undergraduate and postgraduate (where applicable) students by progression status</w:t>
      </w:r>
      <w:r>
        <w:rPr>
          <w:rFonts w:ascii="Times New Roman" w:hAnsi="Times New Roman" w:cs="Times New Roman"/>
          <w:sz w:val="24"/>
          <w:szCs w:val="24"/>
        </w:rPr>
        <w:t>.</w:t>
      </w:r>
      <w:r w:rsidRPr="001B765D">
        <w:rPr>
          <w:rFonts w:ascii="Times New Roman" w:hAnsi="Times New Roman" w:cs="Times New Roman"/>
          <w:sz w:val="24"/>
          <w:szCs w:val="24"/>
        </w:rPr>
        <w:t xml:space="preserve"> </w:t>
      </w:r>
      <w:r>
        <w:rPr>
          <w:rFonts w:ascii="Times New Roman" w:hAnsi="Times New Roman" w:cs="Times New Roman"/>
          <w:sz w:val="24"/>
          <w:szCs w:val="24"/>
        </w:rPr>
        <w:t>Finally</w:t>
      </w:r>
      <w:r w:rsidR="0025476E">
        <w:rPr>
          <w:rFonts w:ascii="Times New Roman" w:hAnsi="Times New Roman" w:cs="Times New Roman"/>
          <w:sz w:val="24"/>
          <w:szCs w:val="24"/>
        </w:rPr>
        <w:t>,</w:t>
      </w:r>
      <w:r w:rsidRPr="001B765D">
        <w:rPr>
          <w:rFonts w:ascii="Times New Roman" w:hAnsi="Times New Roman" w:cs="Times New Roman"/>
          <w:sz w:val="24"/>
          <w:szCs w:val="24"/>
        </w:rPr>
        <w:t xml:space="preserve"> </w:t>
      </w:r>
      <w:r>
        <w:rPr>
          <w:rFonts w:ascii="Times New Roman" w:hAnsi="Times New Roman" w:cs="Times New Roman"/>
          <w:sz w:val="24"/>
          <w:szCs w:val="24"/>
        </w:rPr>
        <w:t xml:space="preserve">we </w:t>
      </w:r>
      <w:r w:rsidRPr="001B765D">
        <w:rPr>
          <w:rFonts w:ascii="Times New Roman" w:hAnsi="Times New Roman" w:cs="Times New Roman"/>
          <w:sz w:val="24"/>
          <w:szCs w:val="24"/>
        </w:rPr>
        <w:t>specif</w:t>
      </w:r>
      <w:r>
        <w:rPr>
          <w:rFonts w:ascii="Times New Roman" w:hAnsi="Times New Roman" w:cs="Times New Roman"/>
          <w:sz w:val="24"/>
          <w:szCs w:val="24"/>
        </w:rPr>
        <w:t xml:space="preserve">y </w:t>
      </w:r>
      <w:r w:rsidRPr="001B765D">
        <w:rPr>
          <w:rFonts w:ascii="Times New Roman" w:hAnsi="Times New Roman" w:cs="Times New Roman"/>
          <w:sz w:val="24"/>
          <w:szCs w:val="24"/>
        </w:rPr>
        <w:t>a series of logistic regression models to determine the association between levels of undergraduate debt and the likelihood of postgraduate transition</w:t>
      </w:r>
      <w:r w:rsidR="00D2060D">
        <w:rPr>
          <w:rFonts w:ascii="Times New Roman" w:hAnsi="Times New Roman" w:cs="Times New Roman"/>
          <w:sz w:val="24"/>
          <w:szCs w:val="24"/>
        </w:rPr>
        <w:t>,</w:t>
      </w:r>
      <w:r w:rsidRPr="001B765D">
        <w:rPr>
          <w:rFonts w:ascii="Times New Roman" w:hAnsi="Times New Roman" w:cs="Times New Roman"/>
          <w:sz w:val="24"/>
          <w:szCs w:val="24"/>
        </w:rPr>
        <w:t xml:space="preserve"> while controlling for key characteristics</w:t>
      </w:r>
      <w:r>
        <w:rPr>
          <w:rFonts w:ascii="Times New Roman" w:hAnsi="Times New Roman" w:cs="Times New Roman"/>
          <w:sz w:val="24"/>
          <w:szCs w:val="24"/>
        </w:rPr>
        <w:t>.</w:t>
      </w:r>
    </w:p>
    <w:p w14:paraId="119AAF8D" w14:textId="34C624F6" w:rsidR="004766BA" w:rsidRPr="001B765D" w:rsidRDefault="004766BA" w:rsidP="00F922E1">
      <w:pPr>
        <w:spacing w:after="0" w:line="480" w:lineRule="auto"/>
        <w:ind w:firstLine="720"/>
        <w:rPr>
          <w:rFonts w:ascii="Times New Roman" w:hAnsi="Times New Roman" w:cs="Times New Roman"/>
          <w:sz w:val="24"/>
          <w:szCs w:val="24"/>
        </w:rPr>
      </w:pPr>
      <w:r w:rsidRPr="006B5144">
        <w:rPr>
          <w:rFonts w:ascii="Times New Roman" w:hAnsi="Times New Roman" w:cs="Times New Roman"/>
          <w:sz w:val="24"/>
          <w:szCs w:val="24"/>
        </w:rPr>
        <w:t>Table 1 shows progression to postgraduate study by year of undergraduate graduation.</w:t>
      </w:r>
      <w:r w:rsidRPr="001B765D">
        <w:rPr>
          <w:rFonts w:ascii="Times New Roman" w:hAnsi="Times New Roman" w:cs="Times New Roman"/>
          <w:sz w:val="24"/>
          <w:szCs w:val="24"/>
        </w:rPr>
        <w:t xml:space="preserve"> Of those undergraduates who graduated from the six institutions, 61</w:t>
      </w:r>
      <w:r w:rsidR="00132FA1">
        <w:rPr>
          <w:rFonts w:ascii="Times New Roman" w:hAnsi="Times New Roman" w:cs="Times New Roman"/>
          <w:sz w:val="24"/>
          <w:szCs w:val="24"/>
        </w:rPr>
        <w:t>%</w:t>
      </w:r>
      <w:r w:rsidRPr="001B765D">
        <w:rPr>
          <w:rFonts w:ascii="Times New Roman" w:hAnsi="Times New Roman" w:cs="Times New Roman"/>
          <w:sz w:val="24"/>
          <w:szCs w:val="24"/>
        </w:rPr>
        <w:t xml:space="preserve"> who responded to our survey had not, as of 2014, progressed to postgraduate study. In contrast, 39</w:t>
      </w:r>
      <w:r w:rsidR="00132FA1">
        <w:rPr>
          <w:rFonts w:ascii="Times New Roman" w:hAnsi="Times New Roman" w:cs="Times New Roman"/>
          <w:sz w:val="24"/>
          <w:szCs w:val="24"/>
        </w:rPr>
        <w:t>%</w:t>
      </w:r>
      <w:r w:rsidRPr="001B765D">
        <w:rPr>
          <w:rFonts w:ascii="Times New Roman" w:hAnsi="Times New Roman" w:cs="Times New Roman"/>
          <w:sz w:val="24"/>
          <w:szCs w:val="24"/>
        </w:rPr>
        <w:t xml:space="preserve"> had </w:t>
      </w:r>
      <w:r w:rsidR="00F3617C">
        <w:rPr>
          <w:rFonts w:ascii="Times New Roman" w:hAnsi="Times New Roman" w:cs="Times New Roman"/>
          <w:sz w:val="24"/>
          <w:szCs w:val="24"/>
        </w:rPr>
        <w:t>enrolled on</w:t>
      </w:r>
      <w:r w:rsidRPr="001B765D">
        <w:rPr>
          <w:rFonts w:ascii="Times New Roman" w:hAnsi="Times New Roman" w:cs="Times New Roman"/>
          <w:sz w:val="24"/>
          <w:szCs w:val="24"/>
        </w:rPr>
        <w:t xml:space="preserve"> a postgraduate degree. There were differences </w:t>
      </w:r>
      <w:r w:rsidR="00F3617C">
        <w:rPr>
          <w:rFonts w:ascii="Times New Roman" w:hAnsi="Times New Roman" w:cs="Times New Roman"/>
          <w:sz w:val="24"/>
          <w:szCs w:val="24"/>
        </w:rPr>
        <w:t>by graduating year,</w:t>
      </w:r>
      <w:r w:rsidRPr="001B765D">
        <w:rPr>
          <w:rFonts w:ascii="Times New Roman" w:hAnsi="Times New Roman" w:cs="Times New Roman"/>
          <w:sz w:val="24"/>
          <w:szCs w:val="24"/>
        </w:rPr>
        <w:t xml:space="preserve"> with 47</w:t>
      </w:r>
      <w:r w:rsidR="00132FA1">
        <w:rPr>
          <w:rFonts w:ascii="Times New Roman" w:hAnsi="Times New Roman" w:cs="Times New Roman"/>
          <w:sz w:val="24"/>
          <w:szCs w:val="24"/>
        </w:rPr>
        <w:t>%</w:t>
      </w:r>
      <w:r w:rsidRPr="001B765D">
        <w:rPr>
          <w:rFonts w:ascii="Times New Roman" w:hAnsi="Times New Roman" w:cs="Times New Roman"/>
          <w:sz w:val="24"/>
          <w:szCs w:val="24"/>
        </w:rPr>
        <w:t xml:space="preserve"> progressing from the 2009 cohort versus 35</w:t>
      </w:r>
      <w:r w:rsidR="00132FA1">
        <w:rPr>
          <w:rFonts w:ascii="Times New Roman" w:hAnsi="Times New Roman" w:cs="Times New Roman"/>
          <w:sz w:val="24"/>
          <w:szCs w:val="24"/>
        </w:rPr>
        <w:t>%</w:t>
      </w:r>
      <w:r w:rsidRPr="001B765D">
        <w:rPr>
          <w:rFonts w:ascii="Times New Roman" w:hAnsi="Times New Roman" w:cs="Times New Roman"/>
          <w:sz w:val="24"/>
          <w:szCs w:val="24"/>
        </w:rPr>
        <w:t xml:space="preserve"> from 2012. Not all undergraduates </w:t>
      </w:r>
      <w:r w:rsidR="00F3617C">
        <w:rPr>
          <w:rFonts w:ascii="Times New Roman" w:hAnsi="Times New Roman" w:cs="Times New Roman"/>
          <w:sz w:val="24"/>
          <w:szCs w:val="24"/>
        </w:rPr>
        <w:t>progress</w:t>
      </w:r>
      <w:r w:rsidRPr="001B765D">
        <w:rPr>
          <w:rFonts w:ascii="Times New Roman" w:hAnsi="Times New Roman" w:cs="Times New Roman"/>
          <w:sz w:val="24"/>
          <w:szCs w:val="24"/>
        </w:rPr>
        <w:t xml:space="preserve"> immediately to postgraduate study with some having a break, for various reasons, between degree courses (HEFCE, 2013</w:t>
      </w:r>
      <w:r>
        <w:rPr>
          <w:rFonts w:ascii="Times New Roman" w:hAnsi="Times New Roman" w:cs="Times New Roman"/>
          <w:sz w:val="24"/>
          <w:szCs w:val="24"/>
        </w:rPr>
        <w:t>a</w:t>
      </w:r>
      <w:r w:rsidRPr="001B765D">
        <w:rPr>
          <w:rFonts w:ascii="Times New Roman" w:hAnsi="Times New Roman" w:cs="Times New Roman"/>
          <w:sz w:val="24"/>
          <w:szCs w:val="24"/>
        </w:rPr>
        <w:t xml:space="preserve">). Therefore, the 2009 cohort had a longer time in which to re-enter their studies. </w:t>
      </w:r>
    </w:p>
    <w:p w14:paraId="74823DF2" w14:textId="2B8726EB" w:rsidR="00EF37DC" w:rsidRDefault="004766BA" w:rsidP="00B91DBC">
      <w:pPr>
        <w:spacing w:after="0" w:line="480" w:lineRule="auto"/>
        <w:ind w:firstLine="720"/>
        <w:rPr>
          <w:rFonts w:ascii="Times New Roman" w:hAnsi="Times New Roman" w:cs="Times New Roman"/>
          <w:sz w:val="24"/>
          <w:szCs w:val="24"/>
        </w:rPr>
      </w:pPr>
      <w:r w:rsidRPr="001B765D">
        <w:rPr>
          <w:rFonts w:ascii="Times New Roman" w:hAnsi="Times New Roman" w:cs="Times New Roman"/>
          <w:sz w:val="24"/>
          <w:szCs w:val="24"/>
        </w:rPr>
        <w:t xml:space="preserve">Of those who reported </w:t>
      </w:r>
      <w:r w:rsidR="006B5144">
        <w:rPr>
          <w:rFonts w:ascii="Times New Roman" w:hAnsi="Times New Roman" w:cs="Times New Roman"/>
          <w:sz w:val="24"/>
          <w:szCs w:val="24"/>
        </w:rPr>
        <w:t>entering</w:t>
      </w:r>
      <w:r w:rsidRPr="001B765D">
        <w:rPr>
          <w:rFonts w:ascii="Times New Roman" w:hAnsi="Times New Roman" w:cs="Times New Roman"/>
          <w:sz w:val="24"/>
          <w:szCs w:val="24"/>
        </w:rPr>
        <w:t xml:space="preserve"> postgraduate study, 34</w:t>
      </w:r>
      <w:r w:rsidR="00132FA1">
        <w:rPr>
          <w:rFonts w:ascii="Times New Roman" w:hAnsi="Times New Roman" w:cs="Times New Roman"/>
          <w:sz w:val="24"/>
          <w:szCs w:val="24"/>
        </w:rPr>
        <w:t>%</w:t>
      </w:r>
      <w:r w:rsidRPr="001B765D">
        <w:rPr>
          <w:rFonts w:ascii="Times New Roman" w:hAnsi="Times New Roman" w:cs="Times New Roman"/>
          <w:sz w:val="24"/>
          <w:szCs w:val="24"/>
        </w:rPr>
        <w:t xml:space="preserve"> were currently studying for their degree in 2013-2014 while 55</w:t>
      </w:r>
      <w:r w:rsidR="00132FA1">
        <w:rPr>
          <w:rFonts w:ascii="Times New Roman" w:hAnsi="Times New Roman" w:cs="Times New Roman"/>
          <w:sz w:val="24"/>
          <w:szCs w:val="24"/>
        </w:rPr>
        <w:t>%</w:t>
      </w:r>
      <w:r w:rsidRPr="001B765D">
        <w:rPr>
          <w:rFonts w:ascii="Times New Roman" w:hAnsi="Times New Roman" w:cs="Times New Roman"/>
          <w:sz w:val="24"/>
          <w:szCs w:val="24"/>
        </w:rPr>
        <w:t xml:space="preserve"> had already completed </w:t>
      </w:r>
      <w:r w:rsidR="006B5144">
        <w:rPr>
          <w:rFonts w:ascii="Times New Roman" w:hAnsi="Times New Roman" w:cs="Times New Roman"/>
          <w:sz w:val="24"/>
          <w:szCs w:val="24"/>
        </w:rPr>
        <w:t>postgraduate study</w:t>
      </w:r>
      <w:r w:rsidRPr="001B765D">
        <w:rPr>
          <w:rFonts w:ascii="Times New Roman" w:hAnsi="Times New Roman" w:cs="Times New Roman"/>
          <w:sz w:val="24"/>
          <w:szCs w:val="24"/>
        </w:rPr>
        <w:t xml:space="preserve">. </w:t>
      </w:r>
      <w:r w:rsidR="006B5144">
        <w:rPr>
          <w:rFonts w:ascii="Times New Roman" w:hAnsi="Times New Roman" w:cs="Times New Roman"/>
          <w:sz w:val="24"/>
          <w:szCs w:val="24"/>
        </w:rPr>
        <w:t>A few</w:t>
      </w:r>
      <w:r w:rsidRPr="001B765D">
        <w:rPr>
          <w:rFonts w:ascii="Times New Roman" w:hAnsi="Times New Roman" w:cs="Times New Roman"/>
          <w:sz w:val="24"/>
          <w:szCs w:val="24"/>
        </w:rPr>
        <w:t xml:space="preserve"> (6</w:t>
      </w:r>
      <w:r w:rsidR="00132FA1">
        <w:rPr>
          <w:rFonts w:ascii="Times New Roman" w:hAnsi="Times New Roman" w:cs="Times New Roman"/>
          <w:sz w:val="24"/>
          <w:szCs w:val="24"/>
        </w:rPr>
        <w:t>%</w:t>
      </w:r>
      <w:r w:rsidRPr="001B765D">
        <w:rPr>
          <w:rFonts w:ascii="Times New Roman" w:hAnsi="Times New Roman" w:cs="Times New Roman"/>
          <w:sz w:val="24"/>
          <w:szCs w:val="24"/>
        </w:rPr>
        <w:t xml:space="preserve">) had finished one postgraduate degree and were studying for a second.  </w:t>
      </w:r>
      <w:proofErr w:type="gramStart"/>
      <w:r w:rsidRPr="001B765D">
        <w:rPr>
          <w:rFonts w:ascii="Times New Roman" w:hAnsi="Times New Roman" w:cs="Times New Roman"/>
          <w:sz w:val="24"/>
          <w:szCs w:val="24"/>
        </w:rPr>
        <w:t>Typically</w:t>
      </w:r>
      <w:proofErr w:type="gramEnd"/>
      <w:r w:rsidRPr="001B765D">
        <w:rPr>
          <w:rFonts w:ascii="Times New Roman" w:hAnsi="Times New Roman" w:cs="Times New Roman"/>
          <w:sz w:val="24"/>
          <w:szCs w:val="24"/>
        </w:rPr>
        <w:t xml:space="preserve"> these students had completed a taught postgraduate degree </w:t>
      </w:r>
      <w:r w:rsidR="00EF37DC">
        <w:rPr>
          <w:rFonts w:ascii="Times New Roman" w:hAnsi="Times New Roman" w:cs="Times New Roman"/>
          <w:sz w:val="24"/>
          <w:szCs w:val="24"/>
        </w:rPr>
        <w:t>before continuing to</w:t>
      </w:r>
      <w:r w:rsidRPr="001B765D">
        <w:rPr>
          <w:rFonts w:ascii="Times New Roman" w:hAnsi="Times New Roman" w:cs="Times New Roman"/>
          <w:sz w:val="24"/>
          <w:szCs w:val="24"/>
        </w:rPr>
        <w:t xml:space="preserve"> a research degree (i.e., a PhD). These levels of progression are higher than for the UK sector as a whole, where about one in eight graduates entered a postgraduate degree as their ‘first destination’ in 2009/10 -2010/11. The difference </w:t>
      </w:r>
      <w:r w:rsidR="0025476E" w:rsidRPr="001B765D">
        <w:rPr>
          <w:rFonts w:ascii="Times New Roman" w:hAnsi="Times New Roman" w:cs="Times New Roman"/>
          <w:sz w:val="24"/>
          <w:szCs w:val="24"/>
        </w:rPr>
        <w:t>reflects</w:t>
      </w:r>
      <w:r w:rsidRPr="001B765D">
        <w:rPr>
          <w:rFonts w:ascii="Times New Roman" w:hAnsi="Times New Roman" w:cs="Times New Roman"/>
          <w:sz w:val="24"/>
          <w:szCs w:val="24"/>
        </w:rPr>
        <w:t xml:space="preserve"> the focussed nature of our sample, with </w:t>
      </w:r>
      <w:r w:rsidR="0025476E" w:rsidRPr="001B765D">
        <w:rPr>
          <w:rFonts w:ascii="Times New Roman" w:hAnsi="Times New Roman" w:cs="Times New Roman"/>
          <w:sz w:val="24"/>
          <w:szCs w:val="24"/>
        </w:rPr>
        <w:t>Russell Group</w:t>
      </w:r>
      <w:r w:rsidR="0025476E">
        <w:rPr>
          <w:rStyle w:val="EndnoteReference"/>
          <w:rFonts w:ascii="Times New Roman" w:hAnsi="Times New Roman" w:cs="Times New Roman"/>
          <w:sz w:val="24"/>
          <w:szCs w:val="24"/>
        </w:rPr>
        <w:endnoteReference w:id="5"/>
      </w:r>
      <w:r w:rsidR="0025476E" w:rsidRPr="001B765D">
        <w:rPr>
          <w:rFonts w:ascii="Times New Roman" w:hAnsi="Times New Roman" w:cs="Times New Roman"/>
          <w:sz w:val="24"/>
          <w:szCs w:val="24"/>
        </w:rPr>
        <w:t xml:space="preserve"> </w:t>
      </w:r>
      <w:r w:rsidRPr="001B765D">
        <w:rPr>
          <w:rFonts w:ascii="Times New Roman" w:hAnsi="Times New Roman" w:cs="Times New Roman"/>
          <w:sz w:val="24"/>
          <w:szCs w:val="24"/>
        </w:rPr>
        <w:t>graduates most likely to progress to postgraduate study (Wakeling and Hampden-</w:t>
      </w:r>
      <w:r w:rsidRPr="001B765D">
        <w:rPr>
          <w:rFonts w:ascii="Times New Roman" w:hAnsi="Times New Roman" w:cs="Times New Roman"/>
          <w:sz w:val="24"/>
          <w:szCs w:val="24"/>
        </w:rPr>
        <w:lastRenderedPageBreak/>
        <w:t>Thompson, 2013)</w:t>
      </w:r>
      <w:r w:rsidRPr="001B765D">
        <w:rPr>
          <w:rStyle w:val="EndnoteReference"/>
          <w:rFonts w:ascii="Times New Roman" w:hAnsi="Times New Roman" w:cs="Times New Roman"/>
          <w:sz w:val="24"/>
          <w:szCs w:val="24"/>
        </w:rPr>
        <w:endnoteReference w:id="6"/>
      </w:r>
      <w:r w:rsidRPr="001B765D">
        <w:rPr>
          <w:rFonts w:ascii="Times New Roman" w:hAnsi="Times New Roman" w:cs="Times New Roman"/>
          <w:sz w:val="24"/>
          <w:szCs w:val="24"/>
        </w:rPr>
        <w:t>.</w:t>
      </w:r>
      <w:r w:rsidR="00EF37DC" w:rsidRPr="00EF37DC">
        <w:rPr>
          <w:rFonts w:ascii="Times New Roman" w:hAnsi="Times New Roman" w:cs="Times New Roman"/>
          <w:sz w:val="24"/>
          <w:szCs w:val="24"/>
        </w:rPr>
        <w:t xml:space="preserve"> </w:t>
      </w:r>
      <w:r w:rsidR="00EF37DC">
        <w:rPr>
          <w:rFonts w:ascii="Times New Roman" w:hAnsi="Times New Roman" w:cs="Times New Roman"/>
          <w:sz w:val="24"/>
          <w:szCs w:val="24"/>
        </w:rPr>
        <w:t>In our sample, 21</w:t>
      </w:r>
      <w:r w:rsidR="00132FA1">
        <w:rPr>
          <w:rFonts w:ascii="Times New Roman" w:hAnsi="Times New Roman" w:cs="Times New Roman"/>
          <w:sz w:val="24"/>
          <w:szCs w:val="24"/>
        </w:rPr>
        <w:t>%</w:t>
      </w:r>
      <w:r w:rsidR="00EF37DC">
        <w:rPr>
          <w:rFonts w:ascii="Times New Roman" w:hAnsi="Times New Roman" w:cs="Times New Roman"/>
          <w:sz w:val="24"/>
          <w:szCs w:val="24"/>
        </w:rPr>
        <w:t xml:space="preserve"> studied for a </w:t>
      </w:r>
      <w:r w:rsidR="0025476E">
        <w:rPr>
          <w:rFonts w:ascii="Times New Roman" w:hAnsi="Times New Roman" w:cs="Times New Roman"/>
          <w:sz w:val="24"/>
          <w:szCs w:val="24"/>
        </w:rPr>
        <w:t>m</w:t>
      </w:r>
      <w:r w:rsidR="00EF37DC">
        <w:rPr>
          <w:rFonts w:ascii="Times New Roman" w:hAnsi="Times New Roman" w:cs="Times New Roman"/>
          <w:sz w:val="24"/>
          <w:szCs w:val="24"/>
        </w:rPr>
        <w:t>aster</w:t>
      </w:r>
      <w:r w:rsidR="0025476E">
        <w:rPr>
          <w:rFonts w:ascii="Times New Roman" w:hAnsi="Times New Roman" w:cs="Times New Roman"/>
          <w:sz w:val="24"/>
          <w:szCs w:val="24"/>
        </w:rPr>
        <w:t>’</w:t>
      </w:r>
      <w:r w:rsidR="00EF37DC">
        <w:rPr>
          <w:rFonts w:ascii="Times New Roman" w:hAnsi="Times New Roman" w:cs="Times New Roman"/>
          <w:sz w:val="24"/>
          <w:szCs w:val="24"/>
        </w:rPr>
        <w:t>s degree, 9</w:t>
      </w:r>
      <w:r w:rsidR="00132FA1">
        <w:rPr>
          <w:rFonts w:ascii="Times New Roman" w:hAnsi="Times New Roman" w:cs="Times New Roman"/>
          <w:sz w:val="24"/>
          <w:szCs w:val="24"/>
        </w:rPr>
        <w:t>%</w:t>
      </w:r>
      <w:r w:rsidR="00EF37DC">
        <w:rPr>
          <w:rFonts w:ascii="Times New Roman" w:hAnsi="Times New Roman" w:cs="Times New Roman"/>
          <w:sz w:val="24"/>
          <w:szCs w:val="24"/>
        </w:rPr>
        <w:t xml:space="preserve"> for a research degree, and 5</w:t>
      </w:r>
      <w:r w:rsidR="00132FA1">
        <w:rPr>
          <w:rFonts w:ascii="Times New Roman" w:hAnsi="Times New Roman" w:cs="Times New Roman"/>
          <w:sz w:val="24"/>
          <w:szCs w:val="24"/>
        </w:rPr>
        <w:t>%</w:t>
      </w:r>
      <w:r w:rsidR="00EF37DC">
        <w:rPr>
          <w:rFonts w:ascii="Times New Roman" w:hAnsi="Times New Roman" w:cs="Times New Roman"/>
          <w:sz w:val="24"/>
          <w:szCs w:val="24"/>
        </w:rPr>
        <w:t xml:space="preserve"> a Postgraduate Certificat</w:t>
      </w:r>
      <w:r w:rsidR="000C0E33">
        <w:rPr>
          <w:rFonts w:ascii="Times New Roman" w:hAnsi="Times New Roman" w:cs="Times New Roman"/>
          <w:sz w:val="24"/>
          <w:szCs w:val="24"/>
        </w:rPr>
        <w:t>e</w:t>
      </w:r>
      <w:r w:rsidR="00EF37DC">
        <w:rPr>
          <w:rFonts w:ascii="Times New Roman" w:hAnsi="Times New Roman" w:cs="Times New Roman"/>
          <w:sz w:val="24"/>
          <w:szCs w:val="24"/>
        </w:rPr>
        <w:t xml:space="preserve"> of Education (PGCE).</w:t>
      </w:r>
      <w:r w:rsidR="00EF37DC">
        <w:rPr>
          <w:rStyle w:val="EndnoteReference"/>
          <w:rFonts w:ascii="Times New Roman" w:hAnsi="Times New Roman" w:cs="Times New Roman"/>
          <w:sz w:val="24"/>
          <w:szCs w:val="24"/>
        </w:rPr>
        <w:endnoteReference w:id="7"/>
      </w:r>
    </w:p>
    <w:p w14:paraId="3C5AFE7B" w14:textId="77777777" w:rsidR="004766BA" w:rsidRDefault="004766BA" w:rsidP="0073521F">
      <w:pPr>
        <w:spacing w:after="0" w:line="480" w:lineRule="auto"/>
        <w:jc w:val="center"/>
        <w:rPr>
          <w:rFonts w:ascii="Times New Roman" w:hAnsi="Times New Roman" w:cs="Times New Roman"/>
          <w:sz w:val="24"/>
          <w:szCs w:val="24"/>
        </w:rPr>
      </w:pPr>
    </w:p>
    <w:p w14:paraId="31422F98" w14:textId="7D281920" w:rsidR="004766BA" w:rsidRDefault="004766BA" w:rsidP="0073521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[TABLE 1 ABOUT HERE]</w:t>
      </w:r>
    </w:p>
    <w:p w14:paraId="0658DC8F" w14:textId="77777777" w:rsidR="00EF37DC" w:rsidRPr="001B765D" w:rsidRDefault="00EF37DC" w:rsidP="0073521F">
      <w:pPr>
        <w:spacing w:after="0" w:line="480" w:lineRule="auto"/>
        <w:jc w:val="center"/>
        <w:rPr>
          <w:rFonts w:ascii="Times New Roman" w:hAnsi="Times New Roman" w:cs="Times New Roman"/>
          <w:sz w:val="24"/>
          <w:szCs w:val="24"/>
        </w:rPr>
      </w:pPr>
    </w:p>
    <w:p w14:paraId="5328975C" w14:textId="4811AD18" w:rsidR="004766BA" w:rsidRDefault="00EF37DC" w:rsidP="001B765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Our principal objective</w:t>
      </w:r>
      <w:r w:rsidR="004766BA" w:rsidRPr="001B765D">
        <w:rPr>
          <w:rFonts w:ascii="Times New Roman" w:hAnsi="Times New Roman" w:cs="Times New Roman"/>
          <w:sz w:val="24"/>
          <w:szCs w:val="24"/>
        </w:rPr>
        <w:t xml:space="preserve"> is to examine the </w:t>
      </w:r>
      <w:r w:rsidR="00622B41">
        <w:rPr>
          <w:rFonts w:ascii="Times New Roman" w:hAnsi="Times New Roman" w:cs="Times New Roman"/>
          <w:sz w:val="24"/>
          <w:szCs w:val="24"/>
        </w:rPr>
        <w:t>association of different levels of</w:t>
      </w:r>
      <w:r w:rsidR="004766BA" w:rsidRPr="001B765D">
        <w:rPr>
          <w:rFonts w:ascii="Times New Roman" w:hAnsi="Times New Roman" w:cs="Times New Roman"/>
          <w:sz w:val="24"/>
          <w:szCs w:val="24"/>
        </w:rPr>
        <w:t xml:space="preserve"> undergraduate student debt </w:t>
      </w:r>
      <w:r w:rsidR="00622B41">
        <w:rPr>
          <w:rFonts w:ascii="Times New Roman" w:hAnsi="Times New Roman" w:cs="Times New Roman"/>
          <w:sz w:val="24"/>
          <w:szCs w:val="24"/>
        </w:rPr>
        <w:t>with transition to</w:t>
      </w:r>
      <w:r w:rsidR="004766BA" w:rsidRPr="001B765D">
        <w:rPr>
          <w:rFonts w:ascii="Times New Roman" w:hAnsi="Times New Roman" w:cs="Times New Roman"/>
          <w:sz w:val="24"/>
          <w:szCs w:val="24"/>
        </w:rPr>
        <w:t xml:space="preserve"> postgraduate </w:t>
      </w:r>
      <w:r w:rsidR="00622B41">
        <w:rPr>
          <w:rFonts w:ascii="Times New Roman" w:hAnsi="Times New Roman" w:cs="Times New Roman"/>
          <w:sz w:val="24"/>
          <w:szCs w:val="24"/>
        </w:rPr>
        <w:t>study</w:t>
      </w:r>
      <w:r w:rsidR="004766BA" w:rsidRPr="001B765D">
        <w:rPr>
          <w:rFonts w:ascii="Times New Roman" w:hAnsi="Times New Roman" w:cs="Times New Roman"/>
          <w:sz w:val="24"/>
          <w:szCs w:val="24"/>
        </w:rPr>
        <w:t>. Table 2 show</w:t>
      </w:r>
      <w:r>
        <w:rPr>
          <w:rFonts w:ascii="Times New Roman" w:hAnsi="Times New Roman" w:cs="Times New Roman"/>
          <w:sz w:val="24"/>
          <w:szCs w:val="24"/>
        </w:rPr>
        <w:t>s</w:t>
      </w:r>
      <w:r w:rsidR="004766BA" w:rsidRPr="001B765D">
        <w:rPr>
          <w:rFonts w:ascii="Times New Roman" w:hAnsi="Times New Roman" w:cs="Times New Roman"/>
          <w:sz w:val="24"/>
          <w:szCs w:val="24"/>
        </w:rPr>
        <w:t xml:space="preserve"> </w:t>
      </w:r>
      <w:r w:rsidR="0025476E">
        <w:rPr>
          <w:rFonts w:ascii="Times New Roman" w:hAnsi="Times New Roman" w:cs="Times New Roman"/>
          <w:sz w:val="24"/>
          <w:szCs w:val="24"/>
        </w:rPr>
        <w:t xml:space="preserve">our participants’ reported debt </w:t>
      </w:r>
      <w:r w:rsidR="004766BA" w:rsidRPr="001B765D">
        <w:rPr>
          <w:rFonts w:ascii="Times New Roman" w:hAnsi="Times New Roman" w:cs="Times New Roman"/>
          <w:sz w:val="24"/>
          <w:szCs w:val="24"/>
        </w:rPr>
        <w:t xml:space="preserve">levels of debt. We were interested in both the amount of debt </w:t>
      </w:r>
      <w:r>
        <w:rPr>
          <w:rFonts w:ascii="Times New Roman" w:hAnsi="Times New Roman" w:cs="Times New Roman"/>
          <w:sz w:val="24"/>
          <w:szCs w:val="24"/>
        </w:rPr>
        <w:t>at graduation</w:t>
      </w:r>
      <w:r w:rsidR="004766BA" w:rsidRPr="001B765D">
        <w:rPr>
          <w:rFonts w:ascii="Times New Roman" w:hAnsi="Times New Roman" w:cs="Times New Roman"/>
          <w:sz w:val="24"/>
          <w:szCs w:val="24"/>
        </w:rPr>
        <w:t xml:space="preserve"> and the amount of debt at</w:t>
      </w:r>
      <w:r>
        <w:rPr>
          <w:rFonts w:ascii="Times New Roman" w:hAnsi="Times New Roman" w:cs="Times New Roman"/>
          <w:sz w:val="24"/>
          <w:szCs w:val="24"/>
        </w:rPr>
        <w:t xml:space="preserve"> the time of the survey in 2014, which </w:t>
      </w:r>
      <w:r w:rsidR="004766BA" w:rsidRPr="001B765D">
        <w:rPr>
          <w:rFonts w:ascii="Times New Roman" w:hAnsi="Times New Roman" w:cs="Times New Roman"/>
          <w:sz w:val="24"/>
          <w:szCs w:val="24"/>
        </w:rPr>
        <w:t>for the 2009 and 2012 cohorts was five and two years after graduation</w:t>
      </w:r>
      <w:r w:rsidR="00B17746">
        <w:rPr>
          <w:rFonts w:ascii="Times New Roman" w:hAnsi="Times New Roman" w:cs="Times New Roman"/>
          <w:sz w:val="24"/>
          <w:szCs w:val="24"/>
        </w:rPr>
        <w:t>,</w:t>
      </w:r>
      <w:r w:rsidR="004766BA" w:rsidRPr="001B765D">
        <w:rPr>
          <w:rFonts w:ascii="Times New Roman" w:hAnsi="Times New Roman" w:cs="Times New Roman"/>
          <w:sz w:val="24"/>
          <w:szCs w:val="24"/>
        </w:rPr>
        <w:t xml:space="preserve"> respectively. Our data also allows </w:t>
      </w:r>
      <w:r w:rsidR="00627BA7">
        <w:rPr>
          <w:rFonts w:ascii="Times New Roman" w:hAnsi="Times New Roman" w:cs="Times New Roman"/>
          <w:sz w:val="24"/>
          <w:szCs w:val="24"/>
        </w:rPr>
        <w:t>comparison of</w:t>
      </w:r>
      <w:r w:rsidR="004766BA" w:rsidRPr="001B765D">
        <w:rPr>
          <w:rFonts w:ascii="Times New Roman" w:hAnsi="Times New Roman" w:cs="Times New Roman"/>
          <w:sz w:val="24"/>
          <w:szCs w:val="24"/>
        </w:rPr>
        <w:t xml:space="preserve"> debt levels by postgraduate transition status.  For this reason, it is interesting to look at the overall</w:t>
      </w:r>
      <w:r w:rsidR="00225C9E">
        <w:rPr>
          <w:rFonts w:ascii="Times New Roman" w:hAnsi="Times New Roman" w:cs="Times New Roman"/>
          <w:sz w:val="24"/>
          <w:szCs w:val="24"/>
        </w:rPr>
        <w:t xml:space="preserve"> percentage</w:t>
      </w:r>
      <w:r w:rsidR="004766BA" w:rsidRPr="001B765D">
        <w:rPr>
          <w:rFonts w:ascii="Times New Roman" w:hAnsi="Times New Roman" w:cs="Times New Roman"/>
          <w:sz w:val="24"/>
          <w:szCs w:val="24"/>
        </w:rPr>
        <w:t xml:space="preserve"> distribution for a</w:t>
      </w:r>
      <w:r w:rsidR="00627BA7">
        <w:rPr>
          <w:rFonts w:ascii="Times New Roman" w:hAnsi="Times New Roman" w:cs="Times New Roman"/>
          <w:sz w:val="24"/>
          <w:szCs w:val="24"/>
        </w:rPr>
        <w:t>ll students (see first column, T</w:t>
      </w:r>
      <w:r w:rsidR="004766BA" w:rsidRPr="001B765D">
        <w:rPr>
          <w:rFonts w:ascii="Times New Roman" w:hAnsi="Times New Roman" w:cs="Times New Roman"/>
          <w:sz w:val="24"/>
          <w:szCs w:val="24"/>
        </w:rPr>
        <w:t xml:space="preserve">able 2). At time of graduation, </w:t>
      </w:r>
      <w:r w:rsidR="005556B6">
        <w:rPr>
          <w:rFonts w:ascii="Times New Roman" w:hAnsi="Times New Roman" w:cs="Times New Roman"/>
          <w:sz w:val="24"/>
          <w:szCs w:val="24"/>
        </w:rPr>
        <w:t>almost</w:t>
      </w:r>
      <w:r w:rsidR="005556B6" w:rsidRPr="001B765D">
        <w:rPr>
          <w:rFonts w:ascii="Times New Roman" w:hAnsi="Times New Roman" w:cs="Times New Roman"/>
          <w:sz w:val="24"/>
          <w:szCs w:val="24"/>
        </w:rPr>
        <w:t xml:space="preserve"> </w:t>
      </w:r>
      <w:r w:rsidR="004766BA" w:rsidRPr="001B765D">
        <w:rPr>
          <w:rFonts w:ascii="Times New Roman" w:hAnsi="Times New Roman" w:cs="Times New Roman"/>
          <w:sz w:val="24"/>
          <w:szCs w:val="24"/>
        </w:rPr>
        <w:t>half reported £20,000 or more undergraduate debt. Twenty</w:t>
      </w:r>
      <w:r w:rsidR="00DA7074">
        <w:rPr>
          <w:rFonts w:ascii="Times New Roman" w:hAnsi="Times New Roman" w:cs="Times New Roman"/>
          <w:sz w:val="24"/>
          <w:szCs w:val="24"/>
        </w:rPr>
        <w:t xml:space="preserve"> per cent</w:t>
      </w:r>
      <w:r w:rsidR="004766BA" w:rsidRPr="001B765D">
        <w:rPr>
          <w:rFonts w:ascii="Times New Roman" w:hAnsi="Times New Roman" w:cs="Times New Roman"/>
          <w:sz w:val="24"/>
          <w:szCs w:val="24"/>
        </w:rPr>
        <w:t xml:space="preserve"> reported </w:t>
      </w:r>
      <w:r w:rsidR="00DA7074">
        <w:rPr>
          <w:rFonts w:ascii="Times New Roman" w:hAnsi="Times New Roman" w:cs="Times New Roman"/>
          <w:sz w:val="24"/>
          <w:szCs w:val="24"/>
        </w:rPr>
        <w:t xml:space="preserve">debts </w:t>
      </w:r>
      <w:r w:rsidR="004766BA" w:rsidRPr="001B765D">
        <w:rPr>
          <w:rFonts w:ascii="Times New Roman" w:hAnsi="Times New Roman" w:cs="Times New Roman"/>
          <w:sz w:val="24"/>
          <w:szCs w:val="24"/>
        </w:rPr>
        <w:t xml:space="preserve">between £15,000 </w:t>
      </w:r>
      <w:r w:rsidR="00DA7074">
        <w:rPr>
          <w:rFonts w:ascii="Times New Roman" w:hAnsi="Times New Roman" w:cs="Times New Roman"/>
          <w:sz w:val="24"/>
          <w:szCs w:val="24"/>
        </w:rPr>
        <w:t>and</w:t>
      </w:r>
      <w:r w:rsidR="004766BA" w:rsidRPr="001B765D">
        <w:rPr>
          <w:rFonts w:ascii="Times New Roman" w:hAnsi="Times New Roman" w:cs="Times New Roman"/>
          <w:sz w:val="24"/>
          <w:szCs w:val="24"/>
        </w:rPr>
        <w:t xml:space="preserve"> £19,999, 10</w:t>
      </w:r>
      <w:r w:rsidR="00132FA1">
        <w:rPr>
          <w:rFonts w:ascii="Times New Roman" w:hAnsi="Times New Roman" w:cs="Times New Roman"/>
          <w:sz w:val="24"/>
          <w:szCs w:val="24"/>
        </w:rPr>
        <w:t>%</w:t>
      </w:r>
      <w:r w:rsidR="004766BA" w:rsidRPr="001B765D">
        <w:rPr>
          <w:rFonts w:ascii="Times New Roman" w:hAnsi="Times New Roman" w:cs="Times New Roman"/>
          <w:sz w:val="24"/>
          <w:szCs w:val="24"/>
        </w:rPr>
        <w:t xml:space="preserve"> between £10,000 and £14,999, 5</w:t>
      </w:r>
      <w:r w:rsidR="00132FA1">
        <w:rPr>
          <w:rFonts w:ascii="Times New Roman" w:hAnsi="Times New Roman" w:cs="Times New Roman"/>
          <w:sz w:val="24"/>
          <w:szCs w:val="24"/>
        </w:rPr>
        <w:t>%</w:t>
      </w:r>
      <w:r w:rsidR="004766BA" w:rsidRPr="001B765D">
        <w:rPr>
          <w:rFonts w:ascii="Times New Roman" w:hAnsi="Times New Roman" w:cs="Times New Roman"/>
          <w:sz w:val="24"/>
          <w:szCs w:val="24"/>
        </w:rPr>
        <w:t xml:space="preserve"> between £5,000 and £9,999, and 2</w:t>
      </w:r>
      <w:r w:rsidR="00132FA1">
        <w:rPr>
          <w:rFonts w:ascii="Times New Roman" w:hAnsi="Times New Roman" w:cs="Times New Roman"/>
          <w:sz w:val="24"/>
          <w:szCs w:val="24"/>
        </w:rPr>
        <w:t>%</w:t>
      </w:r>
      <w:r w:rsidR="004766BA" w:rsidRPr="001B765D">
        <w:rPr>
          <w:rFonts w:ascii="Times New Roman" w:hAnsi="Times New Roman" w:cs="Times New Roman"/>
          <w:sz w:val="24"/>
          <w:szCs w:val="24"/>
        </w:rPr>
        <w:t xml:space="preserve"> reported having some debt but less than £4,999. Across the two cohorts, </w:t>
      </w:r>
      <w:r w:rsidR="0015459C">
        <w:rPr>
          <w:rFonts w:ascii="Times New Roman" w:hAnsi="Times New Roman" w:cs="Times New Roman"/>
          <w:sz w:val="24"/>
          <w:szCs w:val="24"/>
        </w:rPr>
        <w:t>8</w:t>
      </w:r>
      <w:r w:rsidR="00132FA1">
        <w:rPr>
          <w:rFonts w:ascii="Times New Roman" w:hAnsi="Times New Roman" w:cs="Times New Roman"/>
          <w:sz w:val="24"/>
          <w:szCs w:val="24"/>
        </w:rPr>
        <w:t>%</w:t>
      </w:r>
      <w:r w:rsidR="004766BA" w:rsidRPr="001B765D">
        <w:rPr>
          <w:rFonts w:ascii="Times New Roman" w:hAnsi="Times New Roman" w:cs="Times New Roman"/>
          <w:sz w:val="24"/>
          <w:szCs w:val="24"/>
        </w:rPr>
        <w:t xml:space="preserve"> reported no undergraduate debt at all. </w:t>
      </w:r>
      <w:r w:rsidR="002A4698">
        <w:rPr>
          <w:rFonts w:ascii="Times New Roman" w:hAnsi="Times New Roman" w:cs="Times New Roman"/>
          <w:sz w:val="24"/>
          <w:szCs w:val="24"/>
        </w:rPr>
        <w:t>Unsurprisingly</w:t>
      </w:r>
      <w:r w:rsidR="004766BA" w:rsidRPr="001B765D">
        <w:rPr>
          <w:rFonts w:ascii="Times New Roman" w:hAnsi="Times New Roman" w:cs="Times New Roman"/>
          <w:sz w:val="24"/>
          <w:szCs w:val="24"/>
        </w:rPr>
        <w:t xml:space="preserve">, differences are apparent between the two cohorts: the 2012 cohort </w:t>
      </w:r>
      <w:r w:rsidR="0011094D">
        <w:rPr>
          <w:rFonts w:ascii="Times New Roman" w:hAnsi="Times New Roman" w:cs="Times New Roman"/>
          <w:sz w:val="24"/>
          <w:szCs w:val="24"/>
        </w:rPr>
        <w:t>report</w:t>
      </w:r>
      <w:r w:rsidR="0011094D" w:rsidRPr="001B765D">
        <w:rPr>
          <w:rFonts w:ascii="Times New Roman" w:hAnsi="Times New Roman" w:cs="Times New Roman"/>
          <w:sz w:val="24"/>
          <w:szCs w:val="24"/>
        </w:rPr>
        <w:t xml:space="preserve"> </w:t>
      </w:r>
      <w:r w:rsidR="004766BA" w:rsidRPr="001B765D">
        <w:rPr>
          <w:rFonts w:ascii="Times New Roman" w:hAnsi="Times New Roman" w:cs="Times New Roman"/>
          <w:sz w:val="24"/>
          <w:szCs w:val="24"/>
        </w:rPr>
        <w:t xml:space="preserve">greater levels of debt than the 2009 cohort. In terms of current debt, the 2009 cohort </w:t>
      </w:r>
      <w:r w:rsidR="0069717A">
        <w:rPr>
          <w:rFonts w:ascii="Times New Roman" w:hAnsi="Times New Roman" w:cs="Times New Roman"/>
          <w:sz w:val="24"/>
          <w:szCs w:val="24"/>
        </w:rPr>
        <w:t>appear</w:t>
      </w:r>
      <w:r w:rsidR="004766BA" w:rsidRPr="001B765D">
        <w:rPr>
          <w:rFonts w:ascii="Times New Roman" w:hAnsi="Times New Roman" w:cs="Times New Roman"/>
          <w:sz w:val="24"/>
          <w:szCs w:val="24"/>
        </w:rPr>
        <w:t xml:space="preserve"> to have lowered their debt</w:t>
      </w:r>
      <w:r w:rsidR="0069717A" w:rsidRPr="0069717A">
        <w:rPr>
          <w:rFonts w:ascii="Times New Roman" w:hAnsi="Times New Roman" w:cs="Times New Roman"/>
          <w:sz w:val="24"/>
          <w:szCs w:val="24"/>
        </w:rPr>
        <w:t xml:space="preserve"> </w:t>
      </w:r>
      <w:r w:rsidR="0069717A" w:rsidRPr="001B765D">
        <w:rPr>
          <w:rFonts w:ascii="Times New Roman" w:hAnsi="Times New Roman" w:cs="Times New Roman"/>
          <w:sz w:val="24"/>
          <w:szCs w:val="24"/>
        </w:rPr>
        <w:t>levels</w:t>
      </w:r>
      <w:r w:rsidR="0069717A">
        <w:rPr>
          <w:rFonts w:ascii="Times New Roman" w:hAnsi="Times New Roman" w:cs="Times New Roman"/>
          <w:sz w:val="24"/>
          <w:szCs w:val="24"/>
        </w:rPr>
        <w:t xml:space="preserve"> </w:t>
      </w:r>
      <w:r w:rsidR="004766BA" w:rsidRPr="001B765D">
        <w:rPr>
          <w:rFonts w:ascii="Times New Roman" w:hAnsi="Times New Roman" w:cs="Times New Roman"/>
          <w:sz w:val="24"/>
          <w:szCs w:val="24"/>
        </w:rPr>
        <w:t>in the five years since graduation</w:t>
      </w:r>
      <w:r w:rsidR="0069717A">
        <w:rPr>
          <w:rFonts w:ascii="Times New Roman" w:hAnsi="Times New Roman" w:cs="Times New Roman"/>
          <w:sz w:val="24"/>
          <w:szCs w:val="24"/>
        </w:rPr>
        <w:t>,</w:t>
      </w:r>
      <w:r w:rsidR="004766BA" w:rsidRPr="001B765D">
        <w:rPr>
          <w:rFonts w:ascii="Times New Roman" w:hAnsi="Times New Roman" w:cs="Times New Roman"/>
          <w:sz w:val="24"/>
          <w:szCs w:val="24"/>
        </w:rPr>
        <w:t xml:space="preserve"> with 2</w:t>
      </w:r>
      <w:r w:rsidR="00B5787C">
        <w:rPr>
          <w:rFonts w:ascii="Times New Roman" w:hAnsi="Times New Roman" w:cs="Times New Roman"/>
          <w:sz w:val="24"/>
          <w:szCs w:val="24"/>
        </w:rPr>
        <w:t>7</w:t>
      </w:r>
      <w:r w:rsidR="00132FA1">
        <w:rPr>
          <w:rFonts w:ascii="Times New Roman" w:hAnsi="Times New Roman" w:cs="Times New Roman"/>
          <w:sz w:val="24"/>
          <w:szCs w:val="24"/>
        </w:rPr>
        <w:t>%</w:t>
      </w:r>
      <w:r w:rsidR="004766BA" w:rsidRPr="001B765D">
        <w:rPr>
          <w:rFonts w:ascii="Times New Roman" w:hAnsi="Times New Roman" w:cs="Times New Roman"/>
          <w:sz w:val="24"/>
          <w:szCs w:val="24"/>
        </w:rPr>
        <w:t xml:space="preserve"> reporting £20,000 or mor</w:t>
      </w:r>
      <w:r w:rsidR="00B5787C">
        <w:rPr>
          <w:rFonts w:ascii="Times New Roman" w:hAnsi="Times New Roman" w:cs="Times New Roman"/>
          <w:sz w:val="24"/>
          <w:szCs w:val="24"/>
        </w:rPr>
        <w:t>e of current debt compared to 36</w:t>
      </w:r>
      <w:r w:rsidR="00132FA1">
        <w:rPr>
          <w:rFonts w:ascii="Times New Roman" w:hAnsi="Times New Roman" w:cs="Times New Roman"/>
          <w:sz w:val="24"/>
          <w:szCs w:val="24"/>
        </w:rPr>
        <w:t>%</w:t>
      </w:r>
      <w:r w:rsidR="004766BA" w:rsidRPr="001B765D">
        <w:rPr>
          <w:rFonts w:ascii="Times New Roman" w:hAnsi="Times New Roman" w:cs="Times New Roman"/>
          <w:sz w:val="24"/>
          <w:szCs w:val="24"/>
        </w:rPr>
        <w:t xml:space="preserve"> </w:t>
      </w:r>
      <w:r w:rsidR="00132FA1">
        <w:rPr>
          <w:rFonts w:ascii="Times New Roman" w:hAnsi="Times New Roman" w:cs="Times New Roman"/>
          <w:sz w:val="24"/>
          <w:szCs w:val="24"/>
        </w:rPr>
        <w:t>for</w:t>
      </w:r>
      <w:r w:rsidR="00132FA1" w:rsidRPr="001B765D">
        <w:rPr>
          <w:rFonts w:ascii="Times New Roman" w:hAnsi="Times New Roman" w:cs="Times New Roman"/>
          <w:sz w:val="24"/>
          <w:szCs w:val="24"/>
        </w:rPr>
        <w:t xml:space="preserve"> </w:t>
      </w:r>
      <w:r w:rsidR="004766BA" w:rsidRPr="001B765D">
        <w:rPr>
          <w:rFonts w:ascii="Times New Roman" w:hAnsi="Times New Roman" w:cs="Times New Roman"/>
          <w:sz w:val="24"/>
          <w:szCs w:val="24"/>
        </w:rPr>
        <w:t>original debt</w:t>
      </w:r>
      <w:r w:rsidR="004766BA">
        <w:rPr>
          <w:rFonts w:ascii="Times New Roman" w:hAnsi="Times New Roman" w:cs="Times New Roman"/>
          <w:sz w:val="24"/>
          <w:szCs w:val="24"/>
        </w:rPr>
        <w:t>.</w:t>
      </w:r>
      <w:r w:rsidR="00E81782">
        <w:rPr>
          <w:rStyle w:val="EndnoteReference"/>
          <w:rFonts w:ascii="Times New Roman" w:hAnsi="Times New Roman" w:cs="Times New Roman"/>
          <w:sz w:val="24"/>
          <w:szCs w:val="24"/>
        </w:rPr>
        <w:endnoteReference w:id="8"/>
      </w:r>
    </w:p>
    <w:p w14:paraId="441FE2EB" w14:textId="77777777" w:rsidR="004766BA" w:rsidRPr="001B765D" w:rsidRDefault="004766BA" w:rsidP="001B765D">
      <w:pPr>
        <w:spacing w:after="0" w:line="480" w:lineRule="auto"/>
        <w:ind w:firstLine="720"/>
        <w:rPr>
          <w:rFonts w:ascii="Times New Roman" w:hAnsi="Times New Roman" w:cs="Times New Roman"/>
          <w:sz w:val="24"/>
          <w:szCs w:val="24"/>
        </w:rPr>
      </w:pPr>
    </w:p>
    <w:p w14:paraId="700498D5" w14:textId="7C8F6BB3" w:rsidR="004766BA" w:rsidRDefault="004766BA" w:rsidP="0073521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w:t>
      </w:r>
      <w:r w:rsidR="006F1941">
        <w:rPr>
          <w:rFonts w:ascii="Times New Roman" w:hAnsi="Times New Roman" w:cs="Times New Roman"/>
          <w:sz w:val="24"/>
          <w:szCs w:val="24"/>
        </w:rPr>
        <w:t xml:space="preserve">INSERT </w:t>
      </w:r>
      <w:r w:rsidR="00E912F7">
        <w:rPr>
          <w:rFonts w:ascii="Times New Roman" w:hAnsi="Times New Roman" w:cs="Times New Roman"/>
          <w:sz w:val="24"/>
          <w:szCs w:val="24"/>
        </w:rPr>
        <w:t>TABLE 2 ABOUT HERE]</w:t>
      </w:r>
    </w:p>
    <w:p w14:paraId="2523AA70" w14:textId="77777777" w:rsidR="0029497D" w:rsidRPr="001B765D" w:rsidRDefault="0029497D" w:rsidP="0073521F">
      <w:pPr>
        <w:spacing w:after="0" w:line="480" w:lineRule="auto"/>
        <w:jc w:val="center"/>
        <w:rPr>
          <w:rFonts w:ascii="Times New Roman" w:hAnsi="Times New Roman" w:cs="Times New Roman"/>
          <w:sz w:val="24"/>
          <w:szCs w:val="24"/>
        </w:rPr>
      </w:pPr>
    </w:p>
    <w:p w14:paraId="574386A7" w14:textId="3ADF44F9" w:rsidR="004766BA" w:rsidRDefault="004766BA" w:rsidP="0073521F">
      <w:pPr>
        <w:spacing w:after="0" w:line="480" w:lineRule="auto"/>
        <w:ind w:firstLine="720"/>
        <w:rPr>
          <w:rFonts w:ascii="Times New Roman" w:hAnsi="Times New Roman" w:cs="Times New Roman"/>
          <w:sz w:val="24"/>
          <w:szCs w:val="24"/>
        </w:rPr>
      </w:pPr>
      <w:r w:rsidRPr="001B765D">
        <w:rPr>
          <w:rFonts w:ascii="Times New Roman" w:hAnsi="Times New Roman" w:cs="Times New Roman"/>
          <w:sz w:val="24"/>
          <w:szCs w:val="24"/>
        </w:rPr>
        <w:t xml:space="preserve">Turning our attention to whether </w:t>
      </w:r>
      <w:r w:rsidR="009314EA">
        <w:rPr>
          <w:rFonts w:ascii="Times New Roman" w:hAnsi="Times New Roman" w:cs="Times New Roman"/>
          <w:sz w:val="24"/>
          <w:szCs w:val="24"/>
        </w:rPr>
        <w:t>graduates</w:t>
      </w:r>
      <w:r w:rsidRPr="001B765D">
        <w:rPr>
          <w:rFonts w:ascii="Times New Roman" w:hAnsi="Times New Roman" w:cs="Times New Roman"/>
          <w:sz w:val="24"/>
          <w:szCs w:val="24"/>
        </w:rPr>
        <w:t xml:space="preserve"> went on to postgraduate</w:t>
      </w:r>
      <w:r w:rsidR="00B5787C">
        <w:rPr>
          <w:rFonts w:ascii="Times New Roman" w:hAnsi="Times New Roman" w:cs="Times New Roman"/>
          <w:sz w:val="24"/>
          <w:szCs w:val="24"/>
        </w:rPr>
        <w:t xml:space="preserve"> study</w:t>
      </w:r>
      <w:r w:rsidRPr="001B765D">
        <w:rPr>
          <w:rFonts w:ascii="Times New Roman" w:hAnsi="Times New Roman" w:cs="Times New Roman"/>
          <w:sz w:val="24"/>
          <w:szCs w:val="24"/>
        </w:rPr>
        <w:t xml:space="preserve"> or not highlights some small differences</w:t>
      </w:r>
      <w:r w:rsidR="00F33186">
        <w:rPr>
          <w:rFonts w:ascii="Times New Roman" w:hAnsi="Times New Roman" w:cs="Times New Roman"/>
          <w:sz w:val="24"/>
          <w:szCs w:val="24"/>
        </w:rPr>
        <w:t xml:space="preserve"> by debt level</w:t>
      </w:r>
      <w:r w:rsidRPr="001B765D">
        <w:rPr>
          <w:rFonts w:ascii="Times New Roman" w:hAnsi="Times New Roman" w:cs="Times New Roman"/>
          <w:sz w:val="24"/>
          <w:szCs w:val="24"/>
        </w:rPr>
        <w:t xml:space="preserve">.  </w:t>
      </w:r>
      <w:r w:rsidR="00131A2A">
        <w:rPr>
          <w:rFonts w:ascii="Times New Roman" w:hAnsi="Times New Roman" w:cs="Times New Roman"/>
          <w:sz w:val="24"/>
          <w:szCs w:val="24"/>
        </w:rPr>
        <w:t xml:space="preserve">Graduates who entered postgraduate study at </w:t>
      </w:r>
      <w:r w:rsidR="00131A2A">
        <w:rPr>
          <w:rFonts w:ascii="Times New Roman" w:hAnsi="Times New Roman" w:cs="Times New Roman"/>
          <w:sz w:val="24"/>
          <w:szCs w:val="24"/>
        </w:rPr>
        <w:lastRenderedPageBreak/>
        <w:t>some point were less likely to have original debts over £20,000 than those who had not made such transitions, although the difference between the two groups was not stark (45</w:t>
      </w:r>
      <w:r w:rsidR="00132FA1">
        <w:rPr>
          <w:rFonts w:ascii="Times New Roman" w:hAnsi="Times New Roman" w:cs="Times New Roman"/>
          <w:sz w:val="24"/>
          <w:szCs w:val="24"/>
        </w:rPr>
        <w:t>%</w:t>
      </w:r>
      <w:r w:rsidR="00131A2A">
        <w:rPr>
          <w:rFonts w:ascii="Times New Roman" w:hAnsi="Times New Roman" w:cs="Times New Roman"/>
          <w:sz w:val="24"/>
          <w:szCs w:val="24"/>
        </w:rPr>
        <w:t xml:space="preserve"> versus 51</w:t>
      </w:r>
      <w:r w:rsidR="00132FA1">
        <w:rPr>
          <w:rFonts w:ascii="Times New Roman" w:hAnsi="Times New Roman" w:cs="Times New Roman"/>
          <w:sz w:val="24"/>
          <w:szCs w:val="24"/>
        </w:rPr>
        <w:t>%</w:t>
      </w:r>
      <w:r w:rsidR="00131A2A">
        <w:rPr>
          <w:rFonts w:ascii="Times New Roman" w:hAnsi="Times New Roman" w:cs="Times New Roman"/>
          <w:sz w:val="24"/>
          <w:szCs w:val="24"/>
        </w:rPr>
        <w:t xml:space="preserve"> respectively). </w:t>
      </w:r>
      <w:r w:rsidRPr="001B765D">
        <w:rPr>
          <w:rFonts w:ascii="Times New Roman" w:hAnsi="Times New Roman" w:cs="Times New Roman"/>
          <w:sz w:val="24"/>
          <w:szCs w:val="24"/>
        </w:rPr>
        <w:t>Differences can be found between the two cohorts. For example, in terms of original debt for the 2009 undergraduates, 3</w:t>
      </w:r>
      <w:r w:rsidR="00B5787C">
        <w:rPr>
          <w:rFonts w:ascii="Times New Roman" w:hAnsi="Times New Roman" w:cs="Times New Roman"/>
          <w:sz w:val="24"/>
          <w:szCs w:val="24"/>
        </w:rPr>
        <w:t>2</w:t>
      </w:r>
      <w:r w:rsidR="00132FA1">
        <w:rPr>
          <w:rFonts w:ascii="Times New Roman" w:hAnsi="Times New Roman" w:cs="Times New Roman"/>
          <w:sz w:val="24"/>
          <w:szCs w:val="24"/>
        </w:rPr>
        <w:t>%</w:t>
      </w:r>
      <w:r w:rsidRPr="001B765D">
        <w:rPr>
          <w:rFonts w:ascii="Times New Roman" w:hAnsi="Times New Roman" w:cs="Times New Roman"/>
          <w:sz w:val="24"/>
          <w:szCs w:val="24"/>
        </w:rPr>
        <w:t xml:space="preserve"> of those who progressed to postgraduate study reported debt levels of £20,000 or more compared to </w:t>
      </w:r>
      <w:r w:rsidR="00212A77">
        <w:rPr>
          <w:rFonts w:ascii="Times New Roman" w:hAnsi="Times New Roman" w:cs="Times New Roman"/>
          <w:sz w:val="24"/>
          <w:szCs w:val="24"/>
        </w:rPr>
        <w:t>39</w:t>
      </w:r>
      <w:r w:rsidR="00132FA1">
        <w:rPr>
          <w:rFonts w:ascii="Times New Roman" w:hAnsi="Times New Roman" w:cs="Times New Roman"/>
          <w:sz w:val="24"/>
          <w:szCs w:val="24"/>
        </w:rPr>
        <w:t>%</w:t>
      </w:r>
      <w:r w:rsidR="00DF277B">
        <w:rPr>
          <w:rFonts w:ascii="Times New Roman" w:hAnsi="Times New Roman" w:cs="Times New Roman"/>
          <w:sz w:val="24"/>
          <w:szCs w:val="24"/>
        </w:rPr>
        <w:t xml:space="preserve"> of those who did not progress.</w:t>
      </w:r>
    </w:p>
    <w:p w14:paraId="489543A9" w14:textId="3EF38AB1" w:rsidR="00E912F7" w:rsidRDefault="00E912F7" w:rsidP="00E912F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Table 2 include</w:t>
      </w:r>
      <w:r w:rsidR="002A4698">
        <w:rPr>
          <w:rFonts w:ascii="Times New Roman" w:hAnsi="Times New Roman" w:cs="Times New Roman"/>
          <w:sz w:val="24"/>
          <w:szCs w:val="24"/>
        </w:rPr>
        <w:t>s</w:t>
      </w:r>
      <w:r>
        <w:rPr>
          <w:rFonts w:ascii="Times New Roman" w:hAnsi="Times New Roman" w:cs="Times New Roman"/>
          <w:sz w:val="24"/>
          <w:szCs w:val="24"/>
        </w:rPr>
        <w:t xml:space="preserve"> data indicat</w:t>
      </w:r>
      <w:r w:rsidR="00F33186">
        <w:rPr>
          <w:rFonts w:ascii="Times New Roman" w:hAnsi="Times New Roman" w:cs="Times New Roman"/>
          <w:sz w:val="24"/>
          <w:szCs w:val="24"/>
        </w:rPr>
        <w:t>ing</w:t>
      </w:r>
      <w:r>
        <w:rPr>
          <w:rFonts w:ascii="Times New Roman" w:hAnsi="Times New Roman" w:cs="Times New Roman"/>
          <w:sz w:val="24"/>
          <w:szCs w:val="24"/>
        </w:rPr>
        <w:t xml:space="preserve"> what</w:t>
      </w:r>
      <w:r w:rsidR="00225C9E">
        <w:rPr>
          <w:rFonts w:ascii="Times New Roman" w:hAnsi="Times New Roman" w:cs="Times New Roman"/>
          <w:sz w:val="24"/>
          <w:szCs w:val="24"/>
        </w:rPr>
        <w:t xml:space="preserve"> percent</w:t>
      </w:r>
      <w:r>
        <w:rPr>
          <w:rFonts w:ascii="Times New Roman" w:hAnsi="Times New Roman" w:cs="Times New Roman"/>
          <w:sz w:val="24"/>
          <w:szCs w:val="24"/>
        </w:rPr>
        <w:t xml:space="preserve">age of participants had paid </w:t>
      </w:r>
      <w:r w:rsidR="002A4698">
        <w:rPr>
          <w:rFonts w:ascii="Times New Roman" w:hAnsi="Times New Roman" w:cs="Times New Roman"/>
          <w:sz w:val="24"/>
          <w:szCs w:val="24"/>
        </w:rPr>
        <w:t>off some</w:t>
      </w:r>
      <w:r>
        <w:rPr>
          <w:rFonts w:ascii="Times New Roman" w:hAnsi="Times New Roman" w:cs="Times New Roman"/>
          <w:sz w:val="24"/>
          <w:szCs w:val="24"/>
        </w:rPr>
        <w:t xml:space="preserve"> debt</w:t>
      </w:r>
      <w:r w:rsidR="00E8236C">
        <w:rPr>
          <w:rStyle w:val="EndnoteReference"/>
          <w:rFonts w:ascii="Times New Roman" w:hAnsi="Times New Roman" w:cs="Times New Roman"/>
          <w:sz w:val="24"/>
          <w:szCs w:val="24"/>
        </w:rPr>
        <w:endnoteReference w:id="9"/>
      </w:r>
      <w:r w:rsidR="00E8236C">
        <w:rPr>
          <w:rFonts w:ascii="Times New Roman" w:hAnsi="Times New Roman" w:cs="Times New Roman"/>
          <w:sz w:val="24"/>
          <w:szCs w:val="24"/>
        </w:rPr>
        <w:t>.</w:t>
      </w:r>
      <w:r>
        <w:rPr>
          <w:rFonts w:ascii="Times New Roman" w:hAnsi="Times New Roman" w:cs="Times New Roman"/>
          <w:sz w:val="24"/>
          <w:szCs w:val="24"/>
        </w:rPr>
        <w:t xml:space="preserve"> We had anticipated that those </w:t>
      </w:r>
      <w:r w:rsidR="00131A2A">
        <w:rPr>
          <w:rFonts w:ascii="Times New Roman" w:hAnsi="Times New Roman" w:cs="Times New Roman"/>
          <w:sz w:val="24"/>
          <w:szCs w:val="24"/>
        </w:rPr>
        <w:t>graduating</w:t>
      </w:r>
      <w:r>
        <w:rPr>
          <w:rFonts w:ascii="Times New Roman" w:hAnsi="Times New Roman" w:cs="Times New Roman"/>
          <w:sz w:val="24"/>
          <w:szCs w:val="24"/>
        </w:rPr>
        <w:t xml:space="preserve"> in 2009 were more likely, due to time, to have reduced their debt burden. This was the case with nearly a third (33</w:t>
      </w:r>
      <w:r w:rsidR="00132FA1">
        <w:rPr>
          <w:rFonts w:ascii="Times New Roman" w:hAnsi="Times New Roman" w:cs="Times New Roman"/>
          <w:sz w:val="24"/>
          <w:szCs w:val="24"/>
        </w:rPr>
        <w:t>%</w:t>
      </w:r>
      <w:r>
        <w:rPr>
          <w:rFonts w:ascii="Times New Roman" w:hAnsi="Times New Roman" w:cs="Times New Roman"/>
          <w:sz w:val="24"/>
          <w:szCs w:val="24"/>
        </w:rPr>
        <w:t xml:space="preserve">) of 2009 graduates having reduced their </w:t>
      </w:r>
      <w:r w:rsidR="00F33186">
        <w:rPr>
          <w:rFonts w:ascii="Times New Roman" w:hAnsi="Times New Roman" w:cs="Times New Roman"/>
          <w:sz w:val="24"/>
          <w:szCs w:val="24"/>
        </w:rPr>
        <w:t>undergraduate</w:t>
      </w:r>
      <w:r>
        <w:rPr>
          <w:rFonts w:ascii="Times New Roman" w:hAnsi="Times New Roman" w:cs="Times New Roman"/>
          <w:sz w:val="24"/>
          <w:szCs w:val="24"/>
        </w:rPr>
        <w:t xml:space="preserve"> debt compared with only 10</w:t>
      </w:r>
      <w:r w:rsidR="00132FA1">
        <w:rPr>
          <w:rFonts w:ascii="Times New Roman" w:hAnsi="Times New Roman" w:cs="Times New Roman"/>
          <w:sz w:val="24"/>
          <w:szCs w:val="24"/>
        </w:rPr>
        <w:t>%</w:t>
      </w:r>
      <w:r>
        <w:rPr>
          <w:rFonts w:ascii="Times New Roman" w:hAnsi="Times New Roman" w:cs="Times New Roman"/>
          <w:sz w:val="24"/>
          <w:szCs w:val="24"/>
        </w:rPr>
        <w:t xml:space="preserve"> of the 2012 cohort. </w:t>
      </w:r>
      <w:r w:rsidR="00F74744">
        <w:rPr>
          <w:rFonts w:ascii="Times New Roman" w:hAnsi="Times New Roman" w:cs="Times New Roman"/>
          <w:sz w:val="24"/>
          <w:szCs w:val="24"/>
        </w:rPr>
        <w:t>C</w:t>
      </w:r>
      <w:r>
        <w:rPr>
          <w:rFonts w:ascii="Times New Roman" w:hAnsi="Times New Roman" w:cs="Times New Roman"/>
          <w:sz w:val="24"/>
          <w:szCs w:val="24"/>
        </w:rPr>
        <w:t>ompar</w:t>
      </w:r>
      <w:r w:rsidR="00F74744">
        <w:rPr>
          <w:rFonts w:ascii="Times New Roman" w:hAnsi="Times New Roman" w:cs="Times New Roman"/>
          <w:sz w:val="24"/>
          <w:szCs w:val="24"/>
        </w:rPr>
        <w:t>ing</w:t>
      </w:r>
      <w:r>
        <w:rPr>
          <w:rFonts w:ascii="Times New Roman" w:hAnsi="Times New Roman" w:cs="Times New Roman"/>
          <w:sz w:val="24"/>
          <w:szCs w:val="24"/>
        </w:rPr>
        <w:t xml:space="preserve"> the 2009 cohort by progression status we can see that 41</w:t>
      </w:r>
      <w:r w:rsidR="00132FA1">
        <w:rPr>
          <w:rFonts w:ascii="Times New Roman" w:hAnsi="Times New Roman" w:cs="Times New Roman"/>
          <w:sz w:val="24"/>
          <w:szCs w:val="24"/>
        </w:rPr>
        <w:t>%</w:t>
      </w:r>
      <w:r>
        <w:rPr>
          <w:rFonts w:ascii="Times New Roman" w:hAnsi="Times New Roman" w:cs="Times New Roman"/>
          <w:sz w:val="24"/>
          <w:szCs w:val="24"/>
        </w:rPr>
        <w:t xml:space="preserve"> of those that had not progressed had paid down </w:t>
      </w:r>
      <w:r w:rsidR="00F33186">
        <w:rPr>
          <w:rFonts w:ascii="Times New Roman" w:hAnsi="Times New Roman" w:cs="Times New Roman"/>
          <w:sz w:val="24"/>
          <w:szCs w:val="24"/>
        </w:rPr>
        <w:t>some</w:t>
      </w:r>
      <w:r>
        <w:rPr>
          <w:rFonts w:ascii="Times New Roman" w:hAnsi="Times New Roman" w:cs="Times New Roman"/>
          <w:sz w:val="24"/>
          <w:szCs w:val="24"/>
        </w:rPr>
        <w:t xml:space="preserve"> </w:t>
      </w:r>
      <w:r w:rsidR="00F33186">
        <w:rPr>
          <w:rFonts w:ascii="Times New Roman" w:hAnsi="Times New Roman" w:cs="Times New Roman"/>
          <w:sz w:val="24"/>
          <w:szCs w:val="24"/>
        </w:rPr>
        <w:t>undergraduate</w:t>
      </w:r>
      <w:r>
        <w:rPr>
          <w:rFonts w:ascii="Times New Roman" w:hAnsi="Times New Roman" w:cs="Times New Roman"/>
          <w:sz w:val="24"/>
          <w:szCs w:val="24"/>
        </w:rPr>
        <w:t xml:space="preserve"> debt as opposed to those that had to gone to study at this level (24</w:t>
      </w:r>
      <w:r w:rsidR="00132FA1">
        <w:rPr>
          <w:rFonts w:ascii="Times New Roman" w:hAnsi="Times New Roman" w:cs="Times New Roman"/>
          <w:sz w:val="24"/>
          <w:szCs w:val="24"/>
        </w:rPr>
        <w:t>%</w:t>
      </w:r>
      <w:r>
        <w:rPr>
          <w:rFonts w:ascii="Times New Roman" w:hAnsi="Times New Roman" w:cs="Times New Roman"/>
          <w:sz w:val="24"/>
          <w:szCs w:val="24"/>
        </w:rPr>
        <w:t>).</w:t>
      </w:r>
    </w:p>
    <w:p w14:paraId="1C8EB330" w14:textId="397D0122" w:rsidR="00E912F7" w:rsidRPr="001B765D" w:rsidRDefault="007C3CF3" w:rsidP="007C3CF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data not shown here, we examined the differences in debt levels by postgraduate degree studied </w:t>
      </w:r>
      <w:r w:rsidR="0011094D">
        <w:rPr>
          <w:rFonts w:ascii="Times New Roman" w:hAnsi="Times New Roman" w:cs="Times New Roman"/>
          <w:sz w:val="24"/>
          <w:szCs w:val="24"/>
        </w:rPr>
        <w:t xml:space="preserve">and </w:t>
      </w:r>
      <w:r>
        <w:rPr>
          <w:rFonts w:ascii="Times New Roman" w:hAnsi="Times New Roman" w:cs="Times New Roman"/>
          <w:sz w:val="24"/>
          <w:szCs w:val="24"/>
        </w:rPr>
        <w:t>found no discernible differences between those who studied for</w:t>
      </w:r>
      <w:r w:rsidR="00225C9E">
        <w:rPr>
          <w:rFonts w:ascii="Times New Roman" w:hAnsi="Times New Roman" w:cs="Times New Roman"/>
          <w:sz w:val="24"/>
          <w:szCs w:val="24"/>
        </w:rPr>
        <w:t xml:space="preserve"> a postgraduate taught degree (m</w:t>
      </w:r>
      <w:r>
        <w:rPr>
          <w:rFonts w:ascii="Times New Roman" w:hAnsi="Times New Roman" w:cs="Times New Roman"/>
          <w:sz w:val="24"/>
          <w:szCs w:val="24"/>
        </w:rPr>
        <w:t>aster</w:t>
      </w:r>
      <w:r w:rsidR="0025476E">
        <w:rPr>
          <w:rFonts w:ascii="Times New Roman" w:hAnsi="Times New Roman" w:cs="Times New Roman"/>
          <w:sz w:val="24"/>
          <w:szCs w:val="24"/>
        </w:rPr>
        <w:t>’</w:t>
      </w:r>
      <w:r>
        <w:rPr>
          <w:rFonts w:ascii="Times New Roman" w:hAnsi="Times New Roman" w:cs="Times New Roman"/>
          <w:sz w:val="24"/>
          <w:szCs w:val="24"/>
        </w:rPr>
        <w:t>s) versus those who studied for a postgraduate research degree.</w:t>
      </w:r>
      <w:r w:rsidR="003A2832">
        <w:rPr>
          <w:rFonts w:ascii="Times New Roman" w:hAnsi="Times New Roman" w:cs="Times New Roman"/>
          <w:sz w:val="24"/>
          <w:szCs w:val="24"/>
        </w:rPr>
        <w:t xml:space="preserve"> </w:t>
      </w:r>
      <w:r w:rsidR="00F74744">
        <w:rPr>
          <w:rFonts w:ascii="Times New Roman" w:hAnsi="Times New Roman" w:cs="Times New Roman"/>
          <w:sz w:val="24"/>
          <w:szCs w:val="24"/>
        </w:rPr>
        <w:t>T</w:t>
      </w:r>
      <w:r>
        <w:rPr>
          <w:rFonts w:ascii="Times New Roman" w:hAnsi="Times New Roman" w:cs="Times New Roman"/>
          <w:sz w:val="24"/>
          <w:szCs w:val="24"/>
        </w:rPr>
        <w:t>he</w:t>
      </w:r>
      <w:r w:rsidR="00225C9E">
        <w:rPr>
          <w:rFonts w:ascii="Times New Roman" w:hAnsi="Times New Roman" w:cs="Times New Roman"/>
          <w:sz w:val="24"/>
          <w:szCs w:val="24"/>
        </w:rPr>
        <w:t xml:space="preserve"> percentage</w:t>
      </w:r>
      <w:r>
        <w:rPr>
          <w:rFonts w:ascii="Times New Roman" w:hAnsi="Times New Roman" w:cs="Times New Roman"/>
          <w:sz w:val="24"/>
          <w:szCs w:val="24"/>
        </w:rPr>
        <w:t>s of postgraduate taught and postgraduate research reporting debt over £25,000 were both 14</w:t>
      </w:r>
      <w:r w:rsidR="00132FA1">
        <w:rPr>
          <w:rFonts w:ascii="Times New Roman" w:hAnsi="Times New Roman" w:cs="Times New Roman"/>
          <w:sz w:val="24"/>
          <w:szCs w:val="24"/>
        </w:rPr>
        <w:t>%</w:t>
      </w:r>
      <w:r>
        <w:rPr>
          <w:rFonts w:ascii="Times New Roman" w:hAnsi="Times New Roman" w:cs="Times New Roman"/>
          <w:sz w:val="24"/>
          <w:szCs w:val="24"/>
        </w:rPr>
        <w:t xml:space="preserve">. </w:t>
      </w:r>
    </w:p>
    <w:p w14:paraId="7CD3604A" w14:textId="3660F409" w:rsidR="004766BA" w:rsidRDefault="004766BA" w:rsidP="00EC2E65">
      <w:pPr>
        <w:spacing w:after="0" w:line="480" w:lineRule="auto"/>
        <w:ind w:firstLine="720"/>
        <w:rPr>
          <w:rFonts w:ascii="Times New Roman" w:hAnsi="Times New Roman" w:cs="Times New Roman"/>
          <w:sz w:val="24"/>
          <w:szCs w:val="24"/>
        </w:rPr>
      </w:pPr>
      <w:r w:rsidRPr="001B765D">
        <w:rPr>
          <w:rFonts w:ascii="Times New Roman" w:hAnsi="Times New Roman" w:cs="Times New Roman"/>
          <w:sz w:val="24"/>
          <w:szCs w:val="24"/>
        </w:rPr>
        <w:t xml:space="preserve">Understanding which sources these students drew </w:t>
      </w:r>
      <w:r w:rsidR="00212A77">
        <w:rPr>
          <w:rFonts w:ascii="Times New Roman" w:hAnsi="Times New Roman" w:cs="Times New Roman"/>
          <w:sz w:val="24"/>
          <w:szCs w:val="24"/>
        </w:rPr>
        <w:t>from</w:t>
      </w:r>
      <w:r w:rsidRPr="001B765D">
        <w:rPr>
          <w:rFonts w:ascii="Times New Roman" w:hAnsi="Times New Roman" w:cs="Times New Roman"/>
          <w:sz w:val="24"/>
          <w:szCs w:val="24"/>
        </w:rPr>
        <w:t xml:space="preserve"> to fund their undergraduate degrees </w:t>
      </w:r>
      <w:r w:rsidR="00F74744">
        <w:rPr>
          <w:rFonts w:ascii="Times New Roman" w:hAnsi="Times New Roman" w:cs="Times New Roman"/>
          <w:sz w:val="24"/>
          <w:szCs w:val="24"/>
        </w:rPr>
        <w:t>provides</w:t>
      </w:r>
      <w:r w:rsidRPr="001B765D">
        <w:rPr>
          <w:rFonts w:ascii="Times New Roman" w:hAnsi="Times New Roman" w:cs="Times New Roman"/>
          <w:sz w:val="24"/>
          <w:szCs w:val="24"/>
        </w:rPr>
        <w:t xml:space="preserve"> insight in to how their debt is structured. </w:t>
      </w:r>
      <w:r w:rsidR="00131A2A">
        <w:rPr>
          <w:rFonts w:ascii="Times New Roman" w:hAnsi="Times New Roman" w:cs="Times New Roman"/>
          <w:sz w:val="24"/>
          <w:szCs w:val="24"/>
        </w:rPr>
        <w:t>T</w:t>
      </w:r>
      <w:r w:rsidRPr="001B765D">
        <w:rPr>
          <w:rFonts w:ascii="Times New Roman" w:hAnsi="Times New Roman" w:cs="Times New Roman"/>
          <w:sz w:val="24"/>
          <w:szCs w:val="24"/>
        </w:rPr>
        <w:t>o explore this, we asked participants to indicate the various financial sources used to fund their tuition as well as living costs. It should be noted that they could indicate multiple choices</w:t>
      </w:r>
      <w:r w:rsidR="00131A2A">
        <w:rPr>
          <w:rFonts w:ascii="Times New Roman" w:hAnsi="Times New Roman" w:cs="Times New Roman"/>
          <w:sz w:val="24"/>
          <w:szCs w:val="24"/>
        </w:rPr>
        <w:t>,</w:t>
      </w:r>
      <w:r w:rsidRPr="001B765D">
        <w:rPr>
          <w:rFonts w:ascii="Times New Roman" w:hAnsi="Times New Roman" w:cs="Times New Roman"/>
          <w:sz w:val="24"/>
          <w:szCs w:val="24"/>
        </w:rPr>
        <w:t xml:space="preserve"> so the data represents</w:t>
      </w:r>
      <w:r w:rsidR="00225C9E">
        <w:rPr>
          <w:rFonts w:ascii="Times New Roman" w:hAnsi="Times New Roman" w:cs="Times New Roman"/>
          <w:sz w:val="24"/>
          <w:szCs w:val="24"/>
        </w:rPr>
        <w:t xml:space="preserve"> percentage</w:t>
      </w:r>
      <w:r w:rsidRPr="001B765D">
        <w:rPr>
          <w:rFonts w:ascii="Times New Roman" w:hAnsi="Times New Roman" w:cs="Times New Roman"/>
          <w:sz w:val="24"/>
          <w:szCs w:val="24"/>
        </w:rPr>
        <w:t>s and not a</w:t>
      </w:r>
      <w:r w:rsidR="00225C9E">
        <w:rPr>
          <w:rFonts w:ascii="Times New Roman" w:hAnsi="Times New Roman" w:cs="Times New Roman"/>
          <w:sz w:val="24"/>
          <w:szCs w:val="24"/>
        </w:rPr>
        <w:t xml:space="preserve"> percentage</w:t>
      </w:r>
      <w:r w:rsidRPr="001B765D">
        <w:rPr>
          <w:rFonts w:ascii="Times New Roman" w:hAnsi="Times New Roman" w:cs="Times New Roman"/>
          <w:sz w:val="24"/>
          <w:szCs w:val="24"/>
        </w:rPr>
        <w:t xml:space="preserve"> distribution. </w:t>
      </w:r>
      <w:r w:rsidR="006F1941">
        <w:rPr>
          <w:rFonts w:ascii="Times New Roman" w:hAnsi="Times New Roman" w:cs="Times New Roman"/>
          <w:sz w:val="24"/>
          <w:szCs w:val="24"/>
        </w:rPr>
        <w:t>In data not shown here</w:t>
      </w:r>
      <w:r w:rsidRPr="001B765D">
        <w:rPr>
          <w:rFonts w:ascii="Times New Roman" w:hAnsi="Times New Roman" w:cs="Times New Roman"/>
          <w:sz w:val="24"/>
          <w:szCs w:val="24"/>
        </w:rPr>
        <w:t xml:space="preserve">, </w:t>
      </w:r>
      <w:r w:rsidR="00590DF7">
        <w:rPr>
          <w:rFonts w:ascii="Times New Roman" w:hAnsi="Times New Roman" w:cs="Times New Roman"/>
          <w:sz w:val="24"/>
          <w:szCs w:val="24"/>
        </w:rPr>
        <w:t>most</w:t>
      </w:r>
      <w:r w:rsidR="00590DF7" w:rsidRPr="001B765D">
        <w:rPr>
          <w:rFonts w:ascii="Times New Roman" w:hAnsi="Times New Roman" w:cs="Times New Roman"/>
          <w:sz w:val="24"/>
          <w:szCs w:val="24"/>
        </w:rPr>
        <w:t xml:space="preserve"> </w:t>
      </w:r>
      <w:r w:rsidR="00590DF7">
        <w:rPr>
          <w:rFonts w:ascii="Times New Roman" w:hAnsi="Times New Roman" w:cs="Times New Roman"/>
          <w:sz w:val="24"/>
          <w:szCs w:val="24"/>
        </w:rPr>
        <w:t>(&gt;</w:t>
      </w:r>
      <w:r w:rsidRPr="001B765D">
        <w:rPr>
          <w:rFonts w:ascii="Times New Roman" w:hAnsi="Times New Roman" w:cs="Times New Roman"/>
          <w:sz w:val="24"/>
          <w:szCs w:val="24"/>
        </w:rPr>
        <w:t>80</w:t>
      </w:r>
      <w:r w:rsidR="00132FA1">
        <w:rPr>
          <w:rFonts w:ascii="Times New Roman" w:hAnsi="Times New Roman" w:cs="Times New Roman"/>
          <w:sz w:val="24"/>
          <w:szCs w:val="24"/>
        </w:rPr>
        <w:t>%</w:t>
      </w:r>
      <w:r w:rsidR="00590DF7">
        <w:rPr>
          <w:rFonts w:ascii="Times New Roman" w:hAnsi="Times New Roman" w:cs="Times New Roman"/>
          <w:sz w:val="24"/>
          <w:szCs w:val="24"/>
        </w:rPr>
        <w:t>)</w:t>
      </w:r>
      <w:r w:rsidRPr="001B765D">
        <w:rPr>
          <w:rFonts w:ascii="Times New Roman" w:hAnsi="Times New Roman" w:cs="Times New Roman"/>
          <w:sz w:val="24"/>
          <w:szCs w:val="24"/>
        </w:rPr>
        <w:t xml:space="preserve"> reported funding </w:t>
      </w:r>
      <w:r w:rsidR="00590DF7">
        <w:rPr>
          <w:rFonts w:ascii="Times New Roman" w:hAnsi="Times New Roman" w:cs="Times New Roman"/>
          <w:sz w:val="24"/>
          <w:szCs w:val="24"/>
        </w:rPr>
        <w:t>undergraduate</w:t>
      </w:r>
      <w:r w:rsidR="00590DF7" w:rsidRPr="001B765D">
        <w:rPr>
          <w:rFonts w:ascii="Times New Roman" w:hAnsi="Times New Roman" w:cs="Times New Roman"/>
          <w:sz w:val="24"/>
          <w:szCs w:val="24"/>
        </w:rPr>
        <w:t xml:space="preserve"> </w:t>
      </w:r>
      <w:r w:rsidRPr="001B765D">
        <w:rPr>
          <w:rFonts w:ascii="Times New Roman" w:hAnsi="Times New Roman" w:cs="Times New Roman"/>
          <w:sz w:val="24"/>
          <w:szCs w:val="24"/>
        </w:rPr>
        <w:t xml:space="preserve">tuition and living costs with a formal loan. </w:t>
      </w:r>
      <w:r w:rsidR="00CC6232">
        <w:rPr>
          <w:rFonts w:ascii="Times New Roman" w:hAnsi="Times New Roman" w:cs="Times New Roman"/>
          <w:sz w:val="24"/>
          <w:szCs w:val="24"/>
        </w:rPr>
        <w:t>U</w:t>
      </w:r>
      <w:r w:rsidRPr="001B765D">
        <w:rPr>
          <w:rFonts w:ascii="Times New Roman" w:hAnsi="Times New Roman" w:cs="Times New Roman"/>
          <w:sz w:val="24"/>
          <w:szCs w:val="24"/>
        </w:rPr>
        <w:t>ndergraduate living costs</w:t>
      </w:r>
      <w:r w:rsidR="00CC6232">
        <w:rPr>
          <w:rFonts w:ascii="Times New Roman" w:hAnsi="Times New Roman" w:cs="Times New Roman"/>
          <w:sz w:val="24"/>
          <w:szCs w:val="24"/>
        </w:rPr>
        <w:t xml:space="preserve"> were also mainly supported </w:t>
      </w:r>
      <w:proofErr w:type="gramStart"/>
      <w:r w:rsidR="00CC6232">
        <w:rPr>
          <w:rFonts w:ascii="Times New Roman" w:hAnsi="Times New Roman" w:cs="Times New Roman"/>
          <w:sz w:val="24"/>
          <w:szCs w:val="24"/>
        </w:rPr>
        <w:t xml:space="preserve">by </w:t>
      </w:r>
      <w:r w:rsidRPr="001B765D">
        <w:rPr>
          <w:rFonts w:ascii="Times New Roman" w:hAnsi="Times New Roman" w:cs="Times New Roman"/>
          <w:sz w:val="24"/>
          <w:szCs w:val="24"/>
        </w:rPr>
        <w:t xml:space="preserve"> formal</w:t>
      </w:r>
      <w:proofErr w:type="gramEnd"/>
      <w:r w:rsidRPr="001B765D">
        <w:rPr>
          <w:rFonts w:ascii="Times New Roman" w:hAnsi="Times New Roman" w:cs="Times New Roman"/>
          <w:sz w:val="24"/>
          <w:szCs w:val="24"/>
        </w:rPr>
        <w:t xml:space="preserve"> loans (82</w:t>
      </w:r>
      <w:r w:rsidR="00132FA1">
        <w:rPr>
          <w:rFonts w:ascii="Times New Roman" w:hAnsi="Times New Roman" w:cs="Times New Roman"/>
          <w:sz w:val="24"/>
          <w:szCs w:val="24"/>
        </w:rPr>
        <w:t>%</w:t>
      </w:r>
      <w:r w:rsidRPr="001B765D">
        <w:rPr>
          <w:rFonts w:ascii="Times New Roman" w:hAnsi="Times New Roman" w:cs="Times New Roman"/>
          <w:sz w:val="24"/>
          <w:szCs w:val="24"/>
        </w:rPr>
        <w:t xml:space="preserve">), </w:t>
      </w:r>
      <w:r w:rsidR="00CC6232">
        <w:rPr>
          <w:rFonts w:ascii="Times New Roman" w:hAnsi="Times New Roman" w:cs="Times New Roman"/>
          <w:sz w:val="24"/>
          <w:szCs w:val="24"/>
        </w:rPr>
        <w:lastRenderedPageBreak/>
        <w:t>supplemented in some cases (</w:t>
      </w:r>
      <w:r w:rsidRPr="001B765D">
        <w:rPr>
          <w:rFonts w:ascii="Times New Roman" w:hAnsi="Times New Roman" w:cs="Times New Roman"/>
          <w:sz w:val="24"/>
          <w:szCs w:val="24"/>
        </w:rPr>
        <w:t>41</w:t>
      </w:r>
      <w:r w:rsidR="00132FA1">
        <w:rPr>
          <w:rFonts w:ascii="Times New Roman" w:hAnsi="Times New Roman" w:cs="Times New Roman"/>
          <w:sz w:val="24"/>
          <w:szCs w:val="24"/>
        </w:rPr>
        <w:t>%</w:t>
      </w:r>
      <w:r w:rsidR="00CC6232">
        <w:rPr>
          <w:rFonts w:ascii="Times New Roman" w:hAnsi="Times New Roman" w:cs="Times New Roman"/>
          <w:sz w:val="24"/>
          <w:szCs w:val="24"/>
        </w:rPr>
        <w:t>)</w:t>
      </w:r>
      <w:r w:rsidRPr="001B765D">
        <w:rPr>
          <w:rFonts w:ascii="Times New Roman" w:hAnsi="Times New Roman" w:cs="Times New Roman"/>
          <w:sz w:val="24"/>
          <w:szCs w:val="24"/>
        </w:rPr>
        <w:t xml:space="preserve"> </w:t>
      </w:r>
      <w:r w:rsidR="00CC6232">
        <w:rPr>
          <w:rFonts w:ascii="Times New Roman" w:hAnsi="Times New Roman" w:cs="Times New Roman"/>
          <w:sz w:val="24"/>
          <w:szCs w:val="24"/>
        </w:rPr>
        <w:t>by</w:t>
      </w:r>
      <w:r w:rsidRPr="001B765D">
        <w:rPr>
          <w:rFonts w:ascii="Times New Roman" w:hAnsi="Times New Roman" w:cs="Times New Roman"/>
          <w:sz w:val="24"/>
          <w:szCs w:val="24"/>
        </w:rPr>
        <w:t xml:space="preserve"> </w:t>
      </w:r>
      <w:r w:rsidR="00212A77">
        <w:rPr>
          <w:rFonts w:ascii="Times New Roman" w:hAnsi="Times New Roman" w:cs="Times New Roman"/>
          <w:sz w:val="24"/>
          <w:szCs w:val="24"/>
        </w:rPr>
        <w:t>income from a job</w:t>
      </w:r>
      <w:r w:rsidRPr="001B765D">
        <w:rPr>
          <w:rFonts w:ascii="Times New Roman" w:hAnsi="Times New Roman" w:cs="Times New Roman"/>
          <w:sz w:val="24"/>
          <w:szCs w:val="24"/>
        </w:rPr>
        <w:t xml:space="preserve"> and</w:t>
      </w:r>
      <w:r w:rsidR="00CC6232">
        <w:rPr>
          <w:rFonts w:ascii="Times New Roman" w:hAnsi="Times New Roman" w:cs="Times New Roman"/>
          <w:sz w:val="24"/>
          <w:szCs w:val="24"/>
        </w:rPr>
        <w:t>/or</w:t>
      </w:r>
      <w:r w:rsidRPr="001B765D">
        <w:rPr>
          <w:rFonts w:ascii="Times New Roman" w:hAnsi="Times New Roman" w:cs="Times New Roman"/>
          <w:sz w:val="24"/>
          <w:szCs w:val="24"/>
        </w:rPr>
        <w:t xml:space="preserve"> a gift from a family member or acquaintance</w:t>
      </w:r>
      <w:r w:rsidR="00CC6232">
        <w:rPr>
          <w:rFonts w:ascii="Times New Roman" w:hAnsi="Times New Roman" w:cs="Times New Roman"/>
          <w:sz w:val="24"/>
          <w:szCs w:val="24"/>
        </w:rPr>
        <w:t xml:space="preserve"> (35%)</w:t>
      </w:r>
      <w:r w:rsidRPr="001B765D">
        <w:rPr>
          <w:rFonts w:ascii="Times New Roman" w:hAnsi="Times New Roman" w:cs="Times New Roman"/>
          <w:sz w:val="24"/>
          <w:szCs w:val="24"/>
        </w:rPr>
        <w:t xml:space="preserve">.  Differences between those who progressed </w:t>
      </w:r>
      <w:r w:rsidR="00CC6232">
        <w:rPr>
          <w:rFonts w:ascii="Times New Roman" w:hAnsi="Times New Roman" w:cs="Times New Roman"/>
          <w:sz w:val="24"/>
          <w:szCs w:val="24"/>
        </w:rPr>
        <w:t xml:space="preserve">or not </w:t>
      </w:r>
      <w:r w:rsidRPr="001B765D">
        <w:rPr>
          <w:rFonts w:ascii="Times New Roman" w:hAnsi="Times New Roman" w:cs="Times New Roman"/>
          <w:sz w:val="24"/>
          <w:szCs w:val="24"/>
        </w:rPr>
        <w:t>to postgraduate study and by year of graduation were negligible.</w:t>
      </w:r>
    </w:p>
    <w:p w14:paraId="5421EBB2" w14:textId="5DD575EB" w:rsidR="000A7301" w:rsidRDefault="004766BA" w:rsidP="001B765D">
      <w:pPr>
        <w:spacing w:after="0" w:line="480" w:lineRule="auto"/>
        <w:ind w:firstLine="720"/>
        <w:rPr>
          <w:rFonts w:ascii="Times New Roman" w:hAnsi="Times New Roman" w:cs="Times New Roman"/>
          <w:sz w:val="24"/>
          <w:szCs w:val="24"/>
        </w:rPr>
      </w:pPr>
      <w:r w:rsidRPr="001B765D">
        <w:rPr>
          <w:rFonts w:ascii="Times New Roman" w:hAnsi="Times New Roman" w:cs="Times New Roman"/>
          <w:sz w:val="24"/>
          <w:szCs w:val="24"/>
        </w:rPr>
        <w:t xml:space="preserve">For those who have progressed to postgraduate study, we wanted to know how they were </w:t>
      </w:r>
      <w:r w:rsidR="00AF34EE">
        <w:rPr>
          <w:rFonts w:ascii="Times New Roman" w:hAnsi="Times New Roman" w:cs="Times New Roman"/>
          <w:sz w:val="24"/>
          <w:szCs w:val="24"/>
        </w:rPr>
        <w:t xml:space="preserve">funding </w:t>
      </w:r>
      <w:r w:rsidRPr="001B765D">
        <w:rPr>
          <w:rFonts w:ascii="Times New Roman" w:hAnsi="Times New Roman" w:cs="Times New Roman"/>
          <w:sz w:val="24"/>
          <w:szCs w:val="24"/>
        </w:rPr>
        <w:t xml:space="preserve">or had funded their tuition fees (see </w:t>
      </w:r>
      <w:r w:rsidR="00212A77">
        <w:rPr>
          <w:rFonts w:ascii="Times New Roman" w:hAnsi="Times New Roman" w:cs="Times New Roman"/>
          <w:sz w:val="24"/>
          <w:szCs w:val="24"/>
        </w:rPr>
        <w:t>T</w:t>
      </w:r>
      <w:r w:rsidR="00EC2E65">
        <w:rPr>
          <w:rFonts w:ascii="Times New Roman" w:hAnsi="Times New Roman" w:cs="Times New Roman"/>
          <w:sz w:val="24"/>
          <w:szCs w:val="24"/>
        </w:rPr>
        <w:t>able 3</w:t>
      </w:r>
      <w:r w:rsidRPr="001B765D">
        <w:rPr>
          <w:rFonts w:ascii="Times New Roman" w:hAnsi="Times New Roman" w:cs="Times New Roman"/>
          <w:sz w:val="24"/>
          <w:szCs w:val="24"/>
        </w:rPr>
        <w:t xml:space="preserve">). </w:t>
      </w:r>
      <w:r w:rsidR="00212A77">
        <w:rPr>
          <w:rFonts w:ascii="Times New Roman" w:hAnsi="Times New Roman" w:cs="Times New Roman"/>
          <w:sz w:val="24"/>
          <w:szCs w:val="24"/>
        </w:rPr>
        <w:t xml:space="preserve">As might be predicted, </w:t>
      </w:r>
      <w:r w:rsidRPr="001B765D">
        <w:rPr>
          <w:rFonts w:ascii="Times New Roman" w:hAnsi="Times New Roman" w:cs="Times New Roman"/>
          <w:sz w:val="24"/>
          <w:szCs w:val="24"/>
        </w:rPr>
        <w:t xml:space="preserve">the profile </w:t>
      </w:r>
      <w:r w:rsidR="00212A77">
        <w:rPr>
          <w:rFonts w:ascii="Times New Roman" w:hAnsi="Times New Roman" w:cs="Times New Roman"/>
          <w:sz w:val="24"/>
          <w:szCs w:val="24"/>
        </w:rPr>
        <w:t>of funding</w:t>
      </w:r>
      <w:r w:rsidRPr="001B765D">
        <w:rPr>
          <w:rFonts w:ascii="Times New Roman" w:hAnsi="Times New Roman" w:cs="Times New Roman"/>
          <w:sz w:val="24"/>
          <w:szCs w:val="24"/>
        </w:rPr>
        <w:t xml:space="preserve"> sources </w:t>
      </w:r>
      <w:r w:rsidR="00AF34EE">
        <w:rPr>
          <w:rFonts w:ascii="Times New Roman" w:hAnsi="Times New Roman" w:cs="Times New Roman"/>
          <w:sz w:val="24"/>
          <w:szCs w:val="24"/>
        </w:rPr>
        <w:t>varies considerably from</w:t>
      </w:r>
      <w:r w:rsidRPr="001B765D">
        <w:rPr>
          <w:rFonts w:ascii="Times New Roman" w:hAnsi="Times New Roman" w:cs="Times New Roman"/>
          <w:sz w:val="24"/>
          <w:szCs w:val="24"/>
        </w:rPr>
        <w:t xml:space="preserve"> undergraduate </w:t>
      </w:r>
      <w:r w:rsidR="00212A77">
        <w:rPr>
          <w:rFonts w:ascii="Times New Roman" w:hAnsi="Times New Roman" w:cs="Times New Roman"/>
          <w:sz w:val="24"/>
          <w:szCs w:val="24"/>
        </w:rPr>
        <w:t>level</w:t>
      </w:r>
      <w:r w:rsidRPr="001B765D">
        <w:rPr>
          <w:rFonts w:ascii="Times New Roman" w:hAnsi="Times New Roman" w:cs="Times New Roman"/>
          <w:sz w:val="24"/>
          <w:szCs w:val="24"/>
        </w:rPr>
        <w:t xml:space="preserve">. </w:t>
      </w:r>
      <w:r w:rsidR="0011094D">
        <w:rPr>
          <w:rFonts w:ascii="Times New Roman" w:hAnsi="Times New Roman" w:cs="Times New Roman"/>
          <w:sz w:val="24"/>
          <w:szCs w:val="24"/>
        </w:rPr>
        <w:t>Since</w:t>
      </w:r>
      <w:r w:rsidRPr="001B765D">
        <w:rPr>
          <w:rFonts w:ascii="Times New Roman" w:hAnsi="Times New Roman" w:cs="Times New Roman"/>
          <w:sz w:val="24"/>
          <w:szCs w:val="24"/>
        </w:rPr>
        <w:t xml:space="preserve">, at the time of writing postgraduate loans </w:t>
      </w:r>
      <w:r w:rsidR="00AF34EE">
        <w:rPr>
          <w:rFonts w:ascii="Times New Roman" w:hAnsi="Times New Roman" w:cs="Times New Roman"/>
          <w:sz w:val="24"/>
          <w:szCs w:val="24"/>
        </w:rPr>
        <w:t>were</w:t>
      </w:r>
      <w:r w:rsidRPr="001B765D">
        <w:rPr>
          <w:rFonts w:ascii="Times New Roman" w:hAnsi="Times New Roman" w:cs="Times New Roman"/>
          <w:sz w:val="24"/>
          <w:szCs w:val="24"/>
        </w:rPr>
        <w:t xml:space="preserve"> not </w:t>
      </w:r>
      <w:r w:rsidR="00A342FC">
        <w:rPr>
          <w:rFonts w:ascii="Times New Roman" w:hAnsi="Times New Roman" w:cs="Times New Roman"/>
          <w:sz w:val="24"/>
          <w:szCs w:val="24"/>
        </w:rPr>
        <w:t xml:space="preserve">widely </w:t>
      </w:r>
      <w:r w:rsidRPr="001B765D">
        <w:rPr>
          <w:rFonts w:ascii="Times New Roman" w:hAnsi="Times New Roman" w:cs="Times New Roman"/>
          <w:sz w:val="24"/>
          <w:szCs w:val="24"/>
        </w:rPr>
        <w:t>available in England</w:t>
      </w:r>
      <w:r w:rsidR="0011094D">
        <w:rPr>
          <w:rFonts w:ascii="Times New Roman" w:hAnsi="Times New Roman" w:cs="Times New Roman"/>
          <w:sz w:val="24"/>
          <w:szCs w:val="24"/>
        </w:rPr>
        <w:t>,</w:t>
      </w:r>
      <w:r w:rsidR="000A7301" w:rsidRPr="001B765D">
        <w:rPr>
          <w:rFonts w:ascii="Times New Roman" w:hAnsi="Times New Roman" w:cs="Times New Roman"/>
          <w:sz w:val="24"/>
          <w:szCs w:val="24"/>
        </w:rPr>
        <w:t xml:space="preserve"> very few </w:t>
      </w:r>
      <w:r w:rsidR="0011094D" w:rsidRPr="001B765D">
        <w:rPr>
          <w:rFonts w:ascii="Times New Roman" w:hAnsi="Times New Roman" w:cs="Times New Roman"/>
          <w:sz w:val="24"/>
          <w:szCs w:val="24"/>
        </w:rPr>
        <w:t>could</w:t>
      </w:r>
      <w:r w:rsidR="000A7301" w:rsidRPr="001B765D">
        <w:rPr>
          <w:rFonts w:ascii="Times New Roman" w:hAnsi="Times New Roman" w:cs="Times New Roman"/>
          <w:sz w:val="24"/>
          <w:szCs w:val="24"/>
        </w:rPr>
        <w:t xml:space="preserve"> secure any type of loan to pay for their tuition fees (11</w:t>
      </w:r>
      <w:r w:rsidR="00132FA1">
        <w:rPr>
          <w:rFonts w:ascii="Times New Roman" w:hAnsi="Times New Roman" w:cs="Times New Roman"/>
          <w:sz w:val="24"/>
          <w:szCs w:val="24"/>
        </w:rPr>
        <w:t>%</w:t>
      </w:r>
      <w:r w:rsidR="000A7301" w:rsidRPr="001B765D">
        <w:rPr>
          <w:rFonts w:ascii="Times New Roman" w:hAnsi="Times New Roman" w:cs="Times New Roman"/>
          <w:sz w:val="24"/>
          <w:szCs w:val="24"/>
        </w:rPr>
        <w:t xml:space="preserve">).  Just under </w:t>
      </w:r>
      <w:r w:rsidR="00344EB2" w:rsidRPr="001B765D">
        <w:rPr>
          <w:rFonts w:ascii="Times New Roman" w:hAnsi="Times New Roman" w:cs="Times New Roman"/>
          <w:sz w:val="24"/>
          <w:szCs w:val="24"/>
        </w:rPr>
        <w:t xml:space="preserve">one </w:t>
      </w:r>
      <w:r w:rsidR="000A7301" w:rsidRPr="001B765D">
        <w:rPr>
          <w:rFonts w:ascii="Times New Roman" w:hAnsi="Times New Roman" w:cs="Times New Roman"/>
          <w:sz w:val="24"/>
          <w:szCs w:val="24"/>
        </w:rPr>
        <w:t>third (29</w:t>
      </w:r>
      <w:r w:rsidR="00132FA1">
        <w:rPr>
          <w:rFonts w:ascii="Times New Roman" w:hAnsi="Times New Roman" w:cs="Times New Roman"/>
          <w:sz w:val="24"/>
          <w:szCs w:val="24"/>
        </w:rPr>
        <w:t>%</w:t>
      </w:r>
      <w:r w:rsidR="000A7301" w:rsidRPr="001B765D">
        <w:rPr>
          <w:rFonts w:ascii="Times New Roman" w:hAnsi="Times New Roman" w:cs="Times New Roman"/>
          <w:sz w:val="24"/>
          <w:szCs w:val="24"/>
        </w:rPr>
        <w:t xml:space="preserve">) received a research studentship and around one-fifth reported funding their tuition either in whole or part </w:t>
      </w:r>
      <w:r w:rsidR="00212A77">
        <w:rPr>
          <w:rFonts w:ascii="Times New Roman" w:hAnsi="Times New Roman" w:cs="Times New Roman"/>
          <w:sz w:val="24"/>
          <w:szCs w:val="24"/>
        </w:rPr>
        <w:t>with sponsorship (21</w:t>
      </w:r>
      <w:r w:rsidR="00132FA1">
        <w:rPr>
          <w:rFonts w:ascii="Times New Roman" w:hAnsi="Times New Roman" w:cs="Times New Roman"/>
          <w:sz w:val="24"/>
          <w:szCs w:val="24"/>
        </w:rPr>
        <w:t>%</w:t>
      </w:r>
      <w:r w:rsidR="00212A77">
        <w:rPr>
          <w:rFonts w:ascii="Times New Roman" w:hAnsi="Times New Roman" w:cs="Times New Roman"/>
          <w:sz w:val="24"/>
          <w:szCs w:val="24"/>
        </w:rPr>
        <w:t>) or</w:t>
      </w:r>
      <w:r w:rsidR="000A7301" w:rsidRPr="001B765D">
        <w:rPr>
          <w:rFonts w:ascii="Times New Roman" w:hAnsi="Times New Roman" w:cs="Times New Roman"/>
          <w:sz w:val="24"/>
          <w:szCs w:val="24"/>
        </w:rPr>
        <w:t xml:space="preserve"> </w:t>
      </w:r>
      <w:r w:rsidR="001B765D">
        <w:rPr>
          <w:rFonts w:ascii="Times New Roman" w:hAnsi="Times New Roman" w:cs="Times New Roman"/>
          <w:sz w:val="24"/>
          <w:szCs w:val="24"/>
        </w:rPr>
        <w:t>personal savings (23</w:t>
      </w:r>
      <w:r w:rsidR="00132FA1">
        <w:rPr>
          <w:rFonts w:ascii="Times New Roman" w:hAnsi="Times New Roman" w:cs="Times New Roman"/>
          <w:sz w:val="24"/>
          <w:szCs w:val="24"/>
        </w:rPr>
        <w:t>%</w:t>
      </w:r>
      <w:r w:rsidR="001B765D">
        <w:rPr>
          <w:rFonts w:ascii="Times New Roman" w:hAnsi="Times New Roman" w:cs="Times New Roman"/>
          <w:sz w:val="24"/>
          <w:szCs w:val="24"/>
        </w:rPr>
        <w:t>).</w:t>
      </w:r>
    </w:p>
    <w:p w14:paraId="53210351" w14:textId="77777777" w:rsidR="00A02790" w:rsidRDefault="00A02790" w:rsidP="001B765D">
      <w:pPr>
        <w:spacing w:after="0" w:line="480" w:lineRule="auto"/>
        <w:ind w:firstLine="720"/>
        <w:rPr>
          <w:rFonts w:ascii="Times New Roman" w:hAnsi="Times New Roman" w:cs="Times New Roman"/>
          <w:sz w:val="24"/>
          <w:szCs w:val="24"/>
        </w:rPr>
      </w:pPr>
    </w:p>
    <w:p w14:paraId="4588CBA3" w14:textId="254556AF" w:rsidR="000A7301" w:rsidRPr="001B765D" w:rsidRDefault="001B765D" w:rsidP="0073521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w:t>
      </w:r>
      <w:r w:rsidR="006F1941">
        <w:rPr>
          <w:rFonts w:ascii="Times New Roman" w:hAnsi="Times New Roman" w:cs="Times New Roman"/>
          <w:sz w:val="24"/>
          <w:szCs w:val="24"/>
        </w:rPr>
        <w:t xml:space="preserve">INSERT </w:t>
      </w:r>
      <w:r w:rsidRPr="001B765D">
        <w:rPr>
          <w:rFonts w:ascii="Times New Roman" w:hAnsi="Times New Roman" w:cs="Times New Roman"/>
          <w:sz w:val="24"/>
          <w:szCs w:val="24"/>
        </w:rPr>
        <w:t>TABLE</w:t>
      </w:r>
      <w:r w:rsidR="00EC2E65">
        <w:rPr>
          <w:rFonts w:ascii="Times New Roman" w:hAnsi="Times New Roman" w:cs="Times New Roman"/>
          <w:sz w:val="24"/>
          <w:szCs w:val="24"/>
        </w:rPr>
        <w:t xml:space="preserve"> 3</w:t>
      </w:r>
      <w:r w:rsidRPr="001B765D">
        <w:rPr>
          <w:rFonts w:ascii="Times New Roman" w:hAnsi="Times New Roman" w:cs="Times New Roman"/>
          <w:sz w:val="24"/>
          <w:szCs w:val="24"/>
        </w:rPr>
        <w:t xml:space="preserve"> ABOUT HER</w:t>
      </w:r>
      <w:r>
        <w:rPr>
          <w:rFonts w:ascii="Times New Roman" w:hAnsi="Times New Roman" w:cs="Times New Roman"/>
          <w:sz w:val="24"/>
          <w:szCs w:val="24"/>
        </w:rPr>
        <w:t>E]</w:t>
      </w:r>
    </w:p>
    <w:p w14:paraId="09B30830" w14:textId="77777777" w:rsidR="00A02790" w:rsidRDefault="00A02790" w:rsidP="0073521F">
      <w:pPr>
        <w:spacing w:after="0" w:line="480" w:lineRule="auto"/>
        <w:ind w:firstLine="720"/>
        <w:rPr>
          <w:rFonts w:ascii="Times New Roman" w:hAnsi="Times New Roman" w:cs="Times New Roman"/>
          <w:sz w:val="24"/>
          <w:szCs w:val="24"/>
        </w:rPr>
      </w:pPr>
    </w:p>
    <w:p w14:paraId="61687A15" w14:textId="560D745E" w:rsidR="000A7301" w:rsidRDefault="000A7301" w:rsidP="0073521F">
      <w:pPr>
        <w:spacing w:after="0" w:line="480" w:lineRule="auto"/>
        <w:ind w:firstLine="720"/>
        <w:rPr>
          <w:rFonts w:ascii="Times New Roman" w:hAnsi="Times New Roman" w:cs="Times New Roman"/>
          <w:sz w:val="24"/>
          <w:szCs w:val="24"/>
        </w:rPr>
      </w:pPr>
      <w:r w:rsidRPr="001B765D">
        <w:rPr>
          <w:rFonts w:ascii="Times New Roman" w:hAnsi="Times New Roman" w:cs="Times New Roman"/>
          <w:sz w:val="24"/>
          <w:szCs w:val="24"/>
        </w:rPr>
        <w:t>Differences were observed between those studying for a postgraduate degree in 2013-14 versus those who had studied prior to that academic year. This was particularly noticeable when comparing the</w:t>
      </w:r>
      <w:r w:rsidR="00225C9E">
        <w:rPr>
          <w:rFonts w:ascii="Times New Roman" w:hAnsi="Times New Roman" w:cs="Times New Roman"/>
          <w:sz w:val="24"/>
          <w:szCs w:val="24"/>
        </w:rPr>
        <w:t xml:space="preserve"> percentage</w:t>
      </w:r>
      <w:r w:rsidRPr="001B765D">
        <w:rPr>
          <w:rFonts w:ascii="Times New Roman" w:hAnsi="Times New Roman" w:cs="Times New Roman"/>
          <w:sz w:val="24"/>
          <w:szCs w:val="24"/>
        </w:rPr>
        <w:t>s for research studentships (31</w:t>
      </w:r>
      <w:r w:rsidR="00A342FC">
        <w:rPr>
          <w:rFonts w:ascii="Times New Roman" w:hAnsi="Times New Roman" w:cs="Times New Roman"/>
          <w:sz w:val="24"/>
          <w:szCs w:val="24"/>
        </w:rPr>
        <w:t>%</w:t>
      </w:r>
      <w:r w:rsidRPr="001B765D">
        <w:rPr>
          <w:rFonts w:ascii="Times New Roman" w:hAnsi="Times New Roman" w:cs="Times New Roman"/>
          <w:sz w:val="24"/>
          <w:szCs w:val="24"/>
        </w:rPr>
        <w:t xml:space="preserve"> versus 11</w:t>
      </w:r>
      <w:r w:rsidR="00132FA1">
        <w:rPr>
          <w:rFonts w:ascii="Times New Roman" w:hAnsi="Times New Roman" w:cs="Times New Roman"/>
          <w:sz w:val="24"/>
          <w:szCs w:val="24"/>
        </w:rPr>
        <w:t>%</w:t>
      </w:r>
      <w:r w:rsidRPr="001B765D">
        <w:rPr>
          <w:rFonts w:ascii="Times New Roman" w:hAnsi="Times New Roman" w:cs="Times New Roman"/>
          <w:sz w:val="24"/>
          <w:szCs w:val="24"/>
        </w:rPr>
        <w:t>, respectively) and sponsorship (21</w:t>
      </w:r>
      <w:r w:rsidR="00A342FC">
        <w:rPr>
          <w:rFonts w:ascii="Times New Roman" w:hAnsi="Times New Roman" w:cs="Times New Roman"/>
          <w:sz w:val="24"/>
          <w:szCs w:val="24"/>
        </w:rPr>
        <w:t>%</w:t>
      </w:r>
      <w:r w:rsidRPr="001B765D">
        <w:rPr>
          <w:rFonts w:ascii="Times New Roman" w:hAnsi="Times New Roman" w:cs="Times New Roman"/>
          <w:sz w:val="24"/>
          <w:szCs w:val="24"/>
        </w:rPr>
        <w:t xml:space="preserve"> versus 11</w:t>
      </w:r>
      <w:r w:rsidR="00132FA1">
        <w:rPr>
          <w:rFonts w:ascii="Times New Roman" w:hAnsi="Times New Roman" w:cs="Times New Roman"/>
          <w:sz w:val="24"/>
          <w:szCs w:val="24"/>
        </w:rPr>
        <w:t>%</w:t>
      </w:r>
      <w:r w:rsidRPr="001B765D">
        <w:rPr>
          <w:rFonts w:ascii="Times New Roman" w:hAnsi="Times New Roman" w:cs="Times New Roman"/>
          <w:sz w:val="24"/>
          <w:szCs w:val="24"/>
        </w:rPr>
        <w:t>, respectively). A larger</w:t>
      </w:r>
      <w:r w:rsidR="00225C9E">
        <w:rPr>
          <w:rFonts w:ascii="Times New Roman" w:hAnsi="Times New Roman" w:cs="Times New Roman"/>
          <w:sz w:val="24"/>
          <w:szCs w:val="24"/>
        </w:rPr>
        <w:t xml:space="preserve"> percentage</w:t>
      </w:r>
      <w:r w:rsidRPr="001B765D">
        <w:rPr>
          <w:rFonts w:ascii="Times New Roman" w:hAnsi="Times New Roman" w:cs="Times New Roman"/>
          <w:sz w:val="24"/>
          <w:szCs w:val="24"/>
        </w:rPr>
        <w:t xml:space="preserve"> of current </w:t>
      </w:r>
      <w:r w:rsidR="008F37F7" w:rsidRPr="001B765D">
        <w:rPr>
          <w:rFonts w:ascii="Times New Roman" w:hAnsi="Times New Roman" w:cs="Times New Roman"/>
          <w:sz w:val="24"/>
          <w:szCs w:val="24"/>
        </w:rPr>
        <w:t xml:space="preserve">than former </w:t>
      </w:r>
      <w:r w:rsidRPr="001B765D">
        <w:rPr>
          <w:rFonts w:ascii="Times New Roman" w:hAnsi="Times New Roman" w:cs="Times New Roman"/>
          <w:sz w:val="24"/>
          <w:szCs w:val="24"/>
        </w:rPr>
        <w:t>postgraduates also reported relying on a family or acquaintance gift, in whole or part, to fund their tuition fees (25</w:t>
      </w:r>
      <w:r w:rsidR="00A342FC">
        <w:rPr>
          <w:rFonts w:ascii="Times New Roman" w:hAnsi="Times New Roman" w:cs="Times New Roman"/>
          <w:sz w:val="24"/>
          <w:szCs w:val="24"/>
        </w:rPr>
        <w:t>%</w:t>
      </w:r>
      <w:r w:rsidRPr="001B765D">
        <w:rPr>
          <w:rFonts w:ascii="Times New Roman" w:hAnsi="Times New Roman" w:cs="Times New Roman"/>
          <w:sz w:val="24"/>
          <w:szCs w:val="24"/>
        </w:rPr>
        <w:t xml:space="preserve"> vers</w:t>
      </w:r>
      <w:r w:rsidR="000F5063" w:rsidRPr="001B765D">
        <w:rPr>
          <w:rFonts w:ascii="Times New Roman" w:hAnsi="Times New Roman" w:cs="Times New Roman"/>
          <w:sz w:val="24"/>
          <w:szCs w:val="24"/>
        </w:rPr>
        <w:t>us 12</w:t>
      </w:r>
      <w:r w:rsidR="00132FA1">
        <w:rPr>
          <w:rFonts w:ascii="Times New Roman" w:hAnsi="Times New Roman" w:cs="Times New Roman"/>
          <w:sz w:val="24"/>
          <w:szCs w:val="24"/>
        </w:rPr>
        <w:t>%</w:t>
      </w:r>
      <w:r w:rsidR="000F5063" w:rsidRPr="001B765D">
        <w:rPr>
          <w:rFonts w:ascii="Times New Roman" w:hAnsi="Times New Roman" w:cs="Times New Roman"/>
          <w:sz w:val="24"/>
          <w:szCs w:val="24"/>
        </w:rPr>
        <w:t xml:space="preserve">, respectively).  </w:t>
      </w:r>
    </w:p>
    <w:p w14:paraId="25EE954E" w14:textId="6119A850" w:rsidR="0060117B" w:rsidRDefault="0060117B" w:rsidP="0073521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Given the differences in funding arrangements for postgraduate study, we considered </w:t>
      </w:r>
      <w:r w:rsidR="0018751C">
        <w:rPr>
          <w:rFonts w:ascii="Times New Roman" w:hAnsi="Times New Roman" w:cs="Times New Roman"/>
          <w:sz w:val="24"/>
          <w:szCs w:val="24"/>
        </w:rPr>
        <w:t>the sourc</w:t>
      </w:r>
      <w:r>
        <w:rPr>
          <w:rFonts w:ascii="Times New Roman" w:hAnsi="Times New Roman" w:cs="Times New Roman"/>
          <w:sz w:val="24"/>
          <w:szCs w:val="24"/>
        </w:rPr>
        <w:t>e of tuition funding by type of degree (Table 4).</w:t>
      </w:r>
      <w:r w:rsidR="0018751C">
        <w:rPr>
          <w:rFonts w:ascii="Times New Roman" w:hAnsi="Times New Roman" w:cs="Times New Roman"/>
          <w:sz w:val="24"/>
          <w:szCs w:val="24"/>
        </w:rPr>
        <w:t xml:space="preserve"> This analysis highlights the differences in funding sources between postgraduates on </w:t>
      </w:r>
      <w:r w:rsidR="00A342FC">
        <w:rPr>
          <w:rFonts w:ascii="Times New Roman" w:hAnsi="Times New Roman" w:cs="Times New Roman"/>
          <w:sz w:val="24"/>
          <w:szCs w:val="24"/>
        </w:rPr>
        <w:t>m</w:t>
      </w:r>
      <w:r w:rsidR="0018751C">
        <w:rPr>
          <w:rFonts w:ascii="Times New Roman" w:hAnsi="Times New Roman" w:cs="Times New Roman"/>
          <w:sz w:val="24"/>
          <w:szCs w:val="24"/>
        </w:rPr>
        <w:t>aster</w:t>
      </w:r>
      <w:r w:rsidR="0025476E">
        <w:rPr>
          <w:rFonts w:ascii="Times New Roman" w:hAnsi="Times New Roman" w:cs="Times New Roman"/>
          <w:sz w:val="24"/>
          <w:szCs w:val="24"/>
        </w:rPr>
        <w:t>’</w:t>
      </w:r>
      <w:r w:rsidR="0018751C">
        <w:rPr>
          <w:rFonts w:ascii="Times New Roman" w:hAnsi="Times New Roman" w:cs="Times New Roman"/>
          <w:sz w:val="24"/>
          <w:szCs w:val="24"/>
        </w:rPr>
        <w:t xml:space="preserve">s programmes versus those pursuing research degrees. </w:t>
      </w:r>
      <w:r>
        <w:rPr>
          <w:rFonts w:ascii="Times New Roman" w:hAnsi="Times New Roman" w:cs="Times New Roman"/>
          <w:sz w:val="24"/>
          <w:szCs w:val="24"/>
        </w:rPr>
        <w:t xml:space="preserve"> </w:t>
      </w:r>
      <w:r w:rsidR="0018751C">
        <w:rPr>
          <w:rFonts w:ascii="Times New Roman" w:hAnsi="Times New Roman" w:cs="Times New Roman"/>
          <w:sz w:val="24"/>
          <w:szCs w:val="24"/>
        </w:rPr>
        <w:t>Over two-thirds of research degree students (68</w:t>
      </w:r>
      <w:r w:rsidR="00132FA1">
        <w:rPr>
          <w:rFonts w:ascii="Times New Roman" w:hAnsi="Times New Roman" w:cs="Times New Roman"/>
          <w:sz w:val="24"/>
          <w:szCs w:val="24"/>
        </w:rPr>
        <w:t>%</w:t>
      </w:r>
      <w:r w:rsidR="0018751C">
        <w:rPr>
          <w:rFonts w:ascii="Times New Roman" w:hAnsi="Times New Roman" w:cs="Times New Roman"/>
          <w:sz w:val="24"/>
          <w:szCs w:val="24"/>
        </w:rPr>
        <w:t>) were funded through a research studentship compared with 11</w:t>
      </w:r>
      <w:r w:rsidR="00132FA1">
        <w:rPr>
          <w:rFonts w:ascii="Times New Roman" w:hAnsi="Times New Roman" w:cs="Times New Roman"/>
          <w:sz w:val="24"/>
          <w:szCs w:val="24"/>
        </w:rPr>
        <w:t>%</w:t>
      </w:r>
      <w:r w:rsidR="0018751C">
        <w:rPr>
          <w:rFonts w:ascii="Times New Roman" w:hAnsi="Times New Roman" w:cs="Times New Roman"/>
          <w:sz w:val="24"/>
          <w:szCs w:val="24"/>
        </w:rPr>
        <w:t xml:space="preserve"> of </w:t>
      </w:r>
      <w:r w:rsidR="00A342FC">
        <w:rPr>
          <w:rFonts w:ascii="Times New Roman" w:hAnsi="Times New Roman" w:cs="Times New Roman"/>
          <w:sz w:val="24"/>
          <w:szCs w:val="24"/>
        </w:rPr>
        <w:t>m</w:t>
      </w:r>
      <w:r w:rsidR="0018751C">
        <w:rPr>
          <w:rFonts w:ascii="Times New Roman" w:hAnsi="Times New Roman" w:cs="Times New Roman"/>
          <w:sz w:val="24"/>
          <w:szCs w:val="24"/>
        </w:rPr>
        <w:t>aster</w:t>
      </w:r>
      <w:r w:rsidR="0025476E">
        <w:rPr>
          <w:rFonts w:ascii="Times New Roman" w:hAnsi="Times New Roman" w:cs="Times New Roman"/>
          <w:sz w:val="24"/>
          <w:szCs w:val="24"/>
        </w:rPr>
        <w:t>’</w:t>
      </w:r>
      <w:r w:rsidR="0018751C">
        <w:rPr>
          <w:rFonts w:ascii="Times New Roman" w:hAnsi="Times New Roman" w:cs="Times New Roman"/>
          <w:sz w:val="24"/>
          <w:szCs w:val="24"/>
        </w:rPr>
        <w:t>s students. Master</w:t>
      </w:r>
      <w:r w:rsidR="0025476E">
        <w:rPr>
          <w:rFonts w:ascii="Times New Roman" w:hAnsi="Times New Roman" w:cs="Times New Roman"/>
          <w:sz w:val="24"/>
          <w:szCs w:val="24"/>
        </w:rPr>
        <w:t>’</w:t>
      </w:r>
      <w:r w:rsidR="0018751C">
        <w:rPr>
          <w:rFonts w:ascii="Times New Roman" w:hAnsi="Times New Roman" w:cs="Times New Roman"/>
          <w:sz w:val="24"/>
          <w:szCs w:val="24"/>
        </w:rPr>
        <w:t>s students when compare</w:t>
      </w:r>
      <w:r w:rsidR="00183FC5">
        <w:rPr>
          <w:rFonts w:ascii="Times New Roman" w:hAnsi="Times New Roman" w:cs="Times New Roman"/>
          <w:sz w:val="24"/>
          <w:szCs w:val="24"/>
        </w:rPr>
        <w:t>d</w:t>
      </w:r>
      <w:r w:rsidR="0018751C">
        <w:rPr>
          <w:rFonts w:ascii="Times New Roman" w:hAnsi="Times New Roman" w:cs="Times New Roman"/>
          <w:sz w:val="24"/>
          <w:szCs w:val="24"/>
        </w:rPr>
        <w:t xml:space="preserve"> to research students seem to draw from </w:t>
      </w:r>
      <w:r w:rsidR="0025476E">
        <w:rPr>
          <w:rFonts w:ascii="Times New Roman" w:hAnsi="Times New Roman" w:cs="Times New Roman"/>
          <w:sz w:val="24"/>
          <w:szCs w:val="24"/>
        </w:rPr>
        <w:t>several</w:t>
      </w:r>
      <w:r w:rsidR="0018751C">
        <w:rPr>
          <w:rFonts w:ascii="Times New Roman" w:hAnsi="Times New Roman" w:cs="Times New Roman"/>
          <w:sz w:val="24"/>
          <w:szCs w:val="24"/>
        </w:rPr>
        <w:t xml:space="preserve"> sources with a greater</w:t>
      </w:r>
      <w:r w:rsidR="00225C9E">
        <w:rPr>
          <w:rFonts w:ascii="Times New Roman" w:hAnsi="Times New Roman" w:cs="Times New Roman"/>
          <w:sz w:val="24"/>
          <w:szCs w:val="24"/>
        </w:rPr>
        <w:t xml:space="preserve"> </w:t>
      </w:r>
      <w:r w:rsidR="00225C9E">
        <w:rPr>
          <w:rFonts w:ascii="Times New Roman" w:hAnsi="Times New Roman" w:cs="Times New Roman"/>
          <w:sz w:val="24"/>
          <w:szCs w:val="24"/>
        </w:rPr>
        <w:lastRenderedPageBreak/>
        <w:t>percentage</w:t>
      </w:r>
      <w:r w:rsidR="0018751C">
        <w:rPr>
          <w:rFonts w:ascii="Times New Roman" w:hAnsi="Times New Roman" w:cs="Times New Roman"/>
          <w:sz w:val="24"/>
          <w:szCs w:val="24"/>
        </w:rPr>
        <w:t xml:space="preserve"> than research students relying on family loans, gifts, savings and income fr</w:t>
      </w:r>
      <w:r w:rsidR="00183FC5">
        <w:rPr>
          <w:rFonts w:ascii="Times New Roman" w:hAnsi="Times New Roman" w:cs="Times New Roman"/>
          <w:sz w:val="24"/>
          <w:szCs w:val="24"/>
        </w:rPr>
        <w:t>om a job to fund their tuition.</w:t>
      </w:r>
    </w:p>
    <w:p w14:paraId="017A2F58" w14:textId="77777777" w:rsidR="00183FC5" w:rsidRDefault="00183FC5" w:rsidP="0073521F">
      <w:pPr>
        <w:spacing w:after="0" w:line="480" w:lineRule="auto"/>
        <w:ind w:firstLine="720"/>
        <w:rPr>
          <w:rFonts w:ascii="Times New Roman" w:hAnsi="Times New Roman" w:cs="Times New Roman"/>
          <w:sz w:val="24"/>
          <w:szCs w:val="24"/>
        </w:rPr>
      </w:pPr>
    </w:p>
    <w:p w14:paraId="4CE28ACE" w14:textId="4441EA99" w:rsidR="0060117B" w:rsidRPr="001B765D" w:rsidRDefault="0018751C" w:rsidP="0018751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[INSERT </w:t>
      </w:r>
      <w:r w:rsidRPr="001B765D">
        <w:rPr>
          <w:rFonts w:ascii="Times New Roman" w:hAnsi="Times New Roman" w:cs="Times New Roman"/>
          <w:sz w:val="24"/>
          <w:szCs w:val="24"/>
        </w:rPr>
        <w:t>TABLE</w:t>
      </w:r>
      <w:r>
        <w:rPr>
          <w:rFonts w:ascii="Times New Roman" w:hAnsi="Times New Roman" w:cs="Times New Roman"/>
          <w:sz w:val="24"/>
          <w:szCs w:val="24"/>
        </w:rPr>
        <w:t xml:space="preserve"> 4</w:t>
      </w:r>
      <w:r w:rsidRPr="001B765D">
        <w:rPr>
          <w:rFonts w:ascii="Times New Roman" w:hAnsi="Times New Roman" w:cs="Times New Roman"/>
          <w:sz w:val="24"/>
          <w:szCs w:val="24"/>
        </w:rPr>
        <w:t xml:space="preserve"> ABOUT HER</w:t>
      </w:r>
      <w:r>
        <w:rPr>
          <w:rFonts w:ascii="Times New Roman" w:hAnsi="Times New Roman" w:cs="Times New Roman"/>
          <w:sz w:val="24"/>
          <w:szCs w:val="24"/>
        </w:rPr>
        <w:t>E]</w:t>
      </w:r>
    </w:p>
    <w:p w14:paraId="4776E55C" w14:textId="77777777" w:rsidR="00183FC5" w:rsidRDefault="00183FC5" w:rsidP="0073521F">
      <w:pPr>
        <w:spacing w:after="0" w:line="480" w:lineRule="auto"/>
        <w:ind w:firstLine="720"/>
        <w:rPr>
          <w:rFonts w:ascii="Times New Roman" w:hAnsi="Times New Roman" w:cs="Times New Roman"/>
          <w:sz w:val="24"/>
          <w:szCs w:val="24"/>
        </w:rPr>
      </w:pPr>
    </w:p>
    <w:p w14:paraId="7A35D6FB" w14:textId="452094A3" w:rsidR="00E040FF" w:rsidRDefault="000A7301" w:rsidP="0073521F">
      <w:pPr>
        <w:spacing w:after="0" w:line="480" w:lineRule="auto"/>
        <w:ind w:firstLine="720"/>
        <w:rPr>
          <w:rFonts w:ascii="Times New Roman" w:hAnsi="Times New Roman" w:cs="Times New Roman"/>
          <w:sz w:val="24"/>
          <w:szCs w:val="24"/>
        </w:rPr>
      </w:pPr>
      <w:r w:rsidRPr="002C328D">
        <w:rPr>
          <w:rFonts w:ascii="Times New Roman" w:hAnsi="Times New Roman" w:cs="Times New Roman"/>
          <w:sz w:val="24"/>
          <w:szCs w:val="24"/>
        </w:rPr>
        <w:t>In order to estimate the association between levels of undergraduate debt and</w:t>
      </w:r>
      <w:r w:rsidRPr="001B765D">
        <w:rPr>
          <w:rFonts w:ascii="Times New Roman" w:hAnsi="Times New Roman" w:cs="Times New Roman"/>
          <w:sz w:val="24"/>
          <w:szCs w:val="24"/>
        </w:rPr>
        <w:t xml:space="preserve"> postgraduate transitions, we conducted a series of logistic regressions.</w:t>
      </w:r>
      <w:r w:rsidR="00E040FF">
        <w:rPr>
          <w:rFonts w:ascii="Times New Roman" w:hAnsi="Times New Roman" w:cs="Times New Roman"/>
          <w:sz w:val="24"/>
          <w:szCs w:val="24"/>
        </w:rPr>
        <w:t xml:space="preserve"> Given the variability observed concerning type of postgraduate degree, </w:t>
      </w:r>
      <w:r w:rsidR="00A342FC">
        <w:rPr>
          <w:rFonts w:ascii="Times New Roman" w:hAnsi="Times New Roman" w:cs="Times New Roman"/>
          <w:sz w:val="24"/>
          <w:szCs w:val="24"/>
        </w:rPr>
        <w:t xml:space="preserve">and for reasons of space, </w:t>
      </w:r>
      <w:r w:rsidR="00E040FF">
        <w:rPr>
          <w:rFonts w:ascii="Times New Roman" w:hAnsi="Times New Roman" w:cs="Times New Roman"/>
          <w:sz w:val="24"/>
          <w:szCs w:val="24"/>
        </w:rPr>
        <w:t xml:space="preserve">we specify models for postgraduate taught </w:t>
      </w:r>
      <w:r w:rsidR="00A342FC">
        <w:rPr>
          <w:rFonts w:ascii="Times New Roman" w:hAnsi="Times New Roman" w:cs="Times New Roman"/>
          <w:sz w:val="24"/>
          <w:szCs w:val="24"/>
        </w:rPr>
        <w:t>transitions only</w:t>
      </w:r>
      <w:r w:rsidR="00E040FF">
        <w:rPr>
          <w:rFonts w:ascii="Times New Roman" w:hAnsi="Times New Roman" w:cs="Times New Roman"/>
          <w:sz w:val="24"/>
          <w:szCs w:val="24"/>
        </w:rPr>
        <w:t>. In our logistic regressions, w</w:t>
      </w:r>
      <w:r w:rsidRPr="001B765D">
        <w:rPr>
          <w:rFonts w:ascii="Times New Roman" w:hAnsi="Times New Roman" w:cs="Times New Roman"/>
          <w:sz w:val="24"/>
          <w:szCs w:val="24"/>
        </w:rPr>
        <w:t xml:space="preserve">e control for </w:t>
      </w:r>
      <w:r w:rsidR="002C328D">
        <w:rPr>
          <w:rFonts w:ascii="Times New Roman" w:hAnsi="Times New Roman" w:cs="Times New Roman"/>
          <w:sz w:val="24"/>
          <w:szCs w:val="24"/>
        </w:rPr>
        <w:t>several</w:t>
      </w:r>
      <w:r w:rsidRPr="001B765D">
        <w:rPr>
          <w:rFonts w:ascii="Times New Roman" w:hAnsi="Times New Roman" w:cs="Times New Roman"/>
          <w:sz w:val="24"/>
          <w:szCs w:val="24"/>
        </w:rPr>
        <w:t xml:space="preserve"> covariates </w:t>
      </w:r>
      <w:r w:rsidR="000F5063" w:rsidRPr="001B765D">
        <w:rPr>
          <w:rFonts w:ascii="Times New Roman" w:hAnsi="Times New Roman" w:cs="Times New Roman"/>
          <w:sz w:val="24"/>
          <w:szCs w:val="24"/>
        </w:rPr>
        <w:t xml:space="preserve">(see Table 5) </w:t>
      </w:r>
      <w:r w:rsidR="00A6087B">
        <w:rPr>
          <w:rFonts w:ascii="Times New Roman" w:hAnsi="Times New Roman" w:cs="Times New Roman"/>
          <w:sz w:val="24"/>
          <w:szCs w:val="24"/>
        </w:rPr>
        <w:t>which</w:t>
      </w:r>
      <w:r w:rsidR="00A6087B" w:rsidRPr="001B765D">
        <w:rPr>
          <w:rFonts w:ascii="Times New Roman" w:hAnsi="Times New Roman" w:cs="Times New Roman"/>
          <w:sz w:val="24"/>
          <w:szCs w:val="24"/>
        </w:rPr>
        <w:t xml:space="preserve"> </w:t>
      </w:r>
      <w:r w:rsidRPr="001B765D">
        <w:rPr>
          <w:rFonts w:ascii="Times New Roman" w:hAnsi="Times New Roman" w:cs="Times New Roman"/>
          <w:sz w:val="24"/>
          <w:szCs w:val="24"/>
        </w:rPr>
        <w:t>previous research indicate</w:t>
      </w:r>
      <w:r w:rsidR="00A6087B">
        <w:rPr>
          <w:rFonts w:ascii="Times New Roman" w:hAnsi="Times New Roman" w:cs="Times New Roman"/>
          <w:sz w:val="24"/>
          <w:szCs w:val="24"/>
        </w:rPr>
        <w:t>s</w:t>
      </w:r>
      <w:r w:rsidRPr="001B765D">
        <w:rPr>
          <w:rFonts w:ascii="Times New Roman" w:hAnsi="Times New Roman" w:cs="Times New Roman"/>
          <w:sz w:val="24"/>
          <w:szCs w:val="24"/>
        </w:rPr>
        <w:t xml:space="preserve"> are associated with </w:t>
      </w:r>
      <w:r w:rsidR="00212A77">
        <w:rPr>
          <w:rFonts w:ascii="Times New Roman" w:hAnsi="Times New Roman" w:cs="Times New Roman"/>
          <w:sz w:val="24"/>
          <w:szCs w:val="24"/>
        </w:rPr>
        <w:t>transition to</w:t>
      </w:r>
      <w:r w:rsidRPr="001B765D">
        <w:rPr>
          <w:rFonts w:ascii="Times New Roman" w:hAnsi="Times New Roman" w:cs="Times New Roman"/>
          <w:sz w:val="24"/>
          <w:szCs w:val="24"/>
        </w:rPr>
        <w:t xml:space="preserve"> postgraduate level. </w:t>
      </w:r>
    </w:p>
    <w:p w14:paraId="32778A89" w14:textId="4BFF1603" w:rsidR="00470CEF" w:rsidRDefault="004F7255" w:rsidP="00C44F23">
      <w:pPr>
        <w:spacing w:after="0" w:line="480" w:lineRule="auto"/>
        <w:ind w:firstLine="720"/>
        <w:rPr>
          <w:rFonts w:ascii="Times New Roman" w:hAnsi="Times New Roman" w:cs="Times New Roman"/>
          <w:sz w:val="24"/>
          <w:szCs w:val="24"/>
        </w:rPr>
      </w:pPr>
      <w:r w:rsidRPr="001B765D">
        <w:rPr>
          <w:rFonts w:ascii="Times New Roman" w:hAnsi="Times New Roman" w:cs="Times New Roman"/>
          <w:sz w:val="24"/>
          <w:szCs w:val="24"/>
        </w:rPr>
        <w:t>Tab</w:t>
      </w:r>
      <w:r w:rsidR="000D2A6E">
        <w:rPr>
          <w:rFonts w:ascii="Times New Roman" w:hAnsi="Times New Roman" w:cs="Times New Roman"/>
          <w:sz w:val="24"/>
          <w:szCs w:val="24"/>
        </w:rPr>
        <w:t>le 5</w:t>
      </w:r>
      <w:r w:rsidR="000F5063" w:rsidRPr="001B765D">
        <w:rPr>
          <w:rFonts w:ascii="Times New Roman" w:hAnsi="Times New Roman" w:cs="Times New Roman"/>
          <w:sz w:val="24"/>
          <w:szCs w:val="24"/>
        </w:rPr>
        <w:t xml:space="preserve"> </w:t>
      </w:r>
      <w:r w:rsidRPr="001B765D">
        <w:rPr>
          <w:rFonts w:ascii="Times New Roman" w:hAnsi="Times New Roman" w:cs="Times New Roman"/>
          <w:sz w:val="24"/>
          <w:szCs w:val="24"/>
        </w:rPr>
        <w:t>contains the logistic regression coefficients standard errors</w:t>
      </w:r>
      <w:r w:rsidR="00A6087B">
        <w:rPr>
          <w:rFonts w:ascii="Times New Roman" w:hAnsi="Times New Roman" w:cs="Times New Roman"/>
          <w:sz w:val="24"/>
          <w:szCs w:val="24"/>
        </w:rPr>
        <w:t xml:space="preserve"> and</w:t>
      </w:r>
      <w:r w:rsidRPr="001B765D">
        <w:rPr>
          <w:rFonts w:ascii="Times New Roman" w:hAnsi="Times New Roman" w:cs="Times New Roman"/>
          <w:sz w:val="24"/>
          <w:szCs w:val="24"/>
        </w:rPr>
        <w:t xml:space="preserve"> odds ratios</w:t>
      </w:r>
      <w:r w:rsidR="000D2A6E">
        <w:rPr>
          <w:rFonts w:ascii="Times New Roman" w:hAnsi="Times New Roman" w:cs="Times New Roman"/>
          <w:sz w:val="24"/>
          <w:szCs w:val="24"/>
        </w:rPr>
        <w:t xml:space="preserve"> for undergraduates who are currently </w:t>
      </w:r>
      <w:r w:rsidR="00EC7277">
        <w:rPr>
          <w:rFonts w:ascii="Times New Roman" w:hAnsi="Times New Roman" w:cs="Times New Roman"/>
          <w:sz w:val="24"/>
          <w:szCs w:val="24"/>
        </w:rPr>
        <w:t xml:space="preserve">studying </w:t>
      </w:r>
      <w:r w:rsidR="000D2A6E">
        <w:rPr>
          <w:rFonts w:ascii="Times New Roman" w:hAnsi="Times New Roman" w:cs="Times New Roman"/>
          <w:sz w:val="24"/>
          <w:szCs w:val="24"/>
        </w:rPr>
        <w:t>or previously studied for a postgraduate taught degree</w:t>
      </w:r>
      <w:r w:rsidRPr="001B765D">
        <w:rPr>
          <w:rFonts w:ascii="Times New Roman" w:hAnsi="Times New Roman" w:cs="Times New Roman"/>
          <w:sz w:val="24"/>
          <w:szCs w:val="24"/>
        </w:rPr>
        <w:t>. The odds ratios</w:t>
      </w:r>
      <w:r w:rsidR="00C0565B">
        <w:rPr>
          <w:rStyle w:val="EndnoteReference"/>
          <w:rFonts w:ascii="Times New Roman" w:hAnsi="Times New Roman" w:cs="Times New Roman"/>
          <w:sz w:val="24"/>
          <w:szCs w:val="24"/>
        </w:rPr>
        <w:endnoteReference w:id="10"/>
      </w:r>
      <w:r w:rsidRPr="001B765D">
        <w:rPr>
          <w:rFonts w:ascii="Times New Roman" w:hAnsi="Times New Roman" w:cs="Times New Roman"/>
          <w:sz w:val="24"/>
          <w:szCs w:val="24"/>
        </w:rPr>
        <w:t xml:space="preserve"> provide an indi</w:t>
      </w:r>
      <w:r w:rsidR="00E7322A" w:rsidRPr="001B765D">
        <w:rPr>
          <w:rFonts w:ascii="Times New Roman" w:hAnsi="Times New Roman" w:cs="Times New Roman"/>
          <w:sz w:val="24"/>
          <w:szCs w:val="24"/>
        </w:rPr>
        <w:t>cation of the likelihood that a</w:t>
      </w:r>
      <w:r w:rsidRPr="001B765D">
        <w:rPr>
          <w:rFonts w:ascii="Times New Roman" w:hAnsi="Times New Roman" w:cs="Times New Roman"/>
          <w:sz w:val="24"/>
          <w:szCs w:val="24"/>
        </w:rPr>
        <w:t xml:space="preserve"> </w:t>
      </w:r>
      <w:r w:rsidR="00BF5D00">
        <w:rPr>
          <w:rFonts w:ascii="Times New Roman" w:hAnsi="Times New Roman" w:cs="Times New Roman"/>
          <w:sz w:val="24"/>
          <w:szCs w:val="24"/>
        </w:rPr>
        <w:t>graduate</w:t>
      </w:r>
      <w:r w:rsidRPr="001B765D">
        <w:rPr>
          <w:rFonts w:ascii="Times New Roman" w:hAnsi="Times New Roman" w:cs="Times New Roman"/>
          <w:sz w:val="24"/>
          <w:szCs w:val="24"/>
        </w:rPr>
        <w:t>, with a certain level of student debt and other related background characteristics will continue on to postgraduate</w:t>
      </w:r>
      <w:r w:rsidR="000D2A6E">
        <w:rPr>
          <w:rFonts w:ascii="Times New Roman" w:hAnsi="Times New Roman" w:cs="Times New Roman"/>
          <w:sz w:val="24"/>
          <w:szCs w:val="24"/>
        </w:rPr>
        <w:t xml:space="preserve"> taught</w:t>
      </w:r>
      <w:r w:rsidRPr="001B765D">
        <w:rPr>
          <w:rFonts w:ascii="Times New Roman" w:hAnsi="Times New Roman" w:cs="Times New Roman"/>
          <w:sz w:val="24"/>
          <w:szCs w:val="24"/>
        </w:rPr>
        <w:t xml:space="preserve"> study. Model 1 is parsimonious with only levels of </w:t>
      </w:r>
      <w:r w:rsidR="00C44F23">
        <w:rPr>
          <w:rFonts w:ascii="Times New Roman" w:hAnsi="Times New Roman" w:cs="Times New Roman"/>
          <w:sz w:val="24"/>
          <w:szCs w:val="24"/>
        </w:rPr>
        <w:t>original undergraduate</w:t>
      </w:r>
      <w:r w:rsidRPr="001B765D">
        <w:rPr>
          <w:rFonts w:ascii="Times New Roman" w:hAnsi="Times New Roman" w:cs="Times New Roman"/>
          <w:sz w:val="24"/>
          <w:szCs w:val="24"/>
        </w:rPr>
        <w:t xml:space="preserve"> debt as the p</w:t>
      </w:r>
      <w:r w:rsidR="00FD480C" w:rsidRPr="001B765D">
        <w:rPr>
          <w:rFonts w:ascii="Times New Roman" w:hAnsi="Times New Roman" w:cs="Times New Roman"/>
          <w:sz w:val="24"/>
          <w:szCs w:val="24"/>
        </w:rPr>
        <w:t>redictor</w:t>
      </w:r>
      <w:r w:rsidRPr="001B765D">
        <w:rPr>
          <w:rFonts w:ascii="Times New Roman" w:hAnsi="Times New Roman" w:cs="Times New Roman"/>
          <w:sz w:val="24"/>
          <w:szCs w:val="24"/>
        </w:rPr>
        <w:t>.</w:t>
      </w:r>
      <w:r w:rsidR="00470CEF">
        <w:rPr>
          <w:rFonts w:ascii="Times New Roman" w:hAnsi="Times New Roman" w:cs="Times New Roman"/>
          <w:sz w:val="24"/>
          <w:szCs w:val="24"/>
        </w:rPr>
        <w:t xml:space="preserve"> </w:t>
      </w:r>
      <w:r w:rsidR="00C44F23">
        <w:rPr>
          <w:rFonts w:ascii="Times New Roman" w:hAnsi="Times New Roman" w:cs="Times New Roman"/>
          <w:sz w:val="24"/>
          <w:szCs w:val="24"/>
        </w:rPr>
        <w:t xml:space="preserve">With </w:t>
      </w:r>
      <w:r w:rsidR="00EC7277">
        <w:rPr>
          <w:rFonts w:ascii="Times New Roman" w:hAnsi="Times New Roman" w:cs="Times New Roman"/>
          <w:sz w:val="24"/>
          <w:szCs w:val="24"/>
        </w:rPr>
        <w:t xml:space="preserve">this single </w:t>
      </w:r>
      <w:r w:rsidR="00C44F23">
        <w:rPr>
          <w:rFonts w:ascii="Times New Roman" w:hAnsi="Times New Roman" w:cs="Times New Roman"/>
          <w:sz w:val="24"/>
          <w:szCs w:val="24"/>
        </w:rPr>
        <w:t>predictor, alum</w:t>
      </w:r>
      <w:r w:rsidR="00EC7277">
        <w:rPr>
          <w:rFonts w:ascii="Times New Roman" w:hAnsi="Times New Roman" w:cs="Times New Roman"/>
          <w:sz w:val="24"/>
          <w:szCs w:val="24"/>
        </w:rPr>
        <w:t xml:space="preserve">ni </w:t>
      </w:r>
      <w:r w:rsidR="00254EB3">
        <w:rPr>
          <w:rFonts w:ascii="Times New Roman" w:hAnsi="Times New Roman" w:cs="Times New Roman"/>
          <w:sz w:val="24"/>
          <w:szCs w:val="24"/>
        </w:rPr>
        <w:t xml:space="preserve">with very high debts (over £20,000) were most likely to proceed to postgraduate study, whereas those with lower debt levels were somewhat less likely than graduates with no debt to make that transition. </w:t>
      </w:r>
      <w:r w:rsidR="00C74CE4">
        <w:rPr>
          <w:rFonts w:ascii="Times New Roman" w:hAnsi="Times New Roman" w:cs="Times New Roman"/>
          <w:sz w:val="24"/>
          <w:szCs w:val="24"/>
        </w:rPr>
        <w:t>However,</w:t>
      </w:r>
      <w:r w:rsidR="00254EB3">
        <w:rPr>
          <w:rFonts w:ascii="Times New Roman" w:hAnsi="Times New Roman" w:cs="Times New Roman"/>
          <w:sz w:val="24"/>
          <w:szCs w:val="24"/>
        </w:rPr>
        <w:t xml:space="preserve"> none of these differences were statistically significant.</w:t>
      </w:r>
    </w:p>
    <w:p w14:paraId="6EDF6638" w14:textId="77777777" w:rsidR="00EC7277" w:rsidRDefault="00EC7277" w:rsidP="00C44F23">
      <w:pPr>
        <w:spacing w:after="0" w:line="480" w:lineRule="auto"/>
        <w:ind w:firstLine="720"/>
        <w:rPr>
          <w:rFonts w:ascii="Times New Roman" w:hAnsi="Times New Roman" w:cs="Times New Roman"/>
          <w:sz w:val="24"/>
          <w:szCs w:val="24"/>
        </w:rPr>
      </w:pPr>
    </w:p>
    <w:p w14:paraId="2F0A7539" w14:textId="13FC5054" w:rsidR="00470CEF" w:rsidRDefault="00C44F23" w:rsidP="00C44F23">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[INSERT </w:t>
      </w:r>
      <w:r w:rsidRPr="001B765D">
        <w:rPr>
          <w:rFonts w:ascii="Times New Roman" w:hAnsi="Times New Roman" w:cs="Times New Roman"/>
          <w:sz w:val="24"/>
          <w:szCs w:val="24"/>
        </w:rPr>
        <w:t>TABLE</w:t>
      </w:r>
      <w:r>
        <w:rPr>
          <w:rFonts w:ascii="Times New Roman" w:hAnsi="Times New Roman" w:cs="Times New Roman"/>
          <w:sz w:val="24"/>
          <w:szCs w:val="24"/>
        </w:rPr>
        <w:t xml:space="preserve"> 5</w:t>
      </w:r>
      <w:r w:rsidRPr="001B765D">
        <w:rPr>
          <w:rFonts w:ascii="Times New Roman" w:hAnsi="Times New Roman" w:cs="Times New Roman"/>
          <w:sz w:val="24"/>
          <w:szCs w:val="24"/>
        </w:rPr>
        <w:t xml:space="preserve"> ABOUT HER</w:t>
      </w:r>
      <w:r>
        <w:rPr>
          <w:rFonts w:ascii="Times New Roman" w:hAnsi="Times New Roman" w:cs="Times New Roman"/>
          <w:sz w:val="24"/>
          <w:szCs w:val="24"/>
        </w:rPr>
        <w:t>E]</w:t>
      </w:r>
    </w:p>
    <w:p w14:paraId="0B615600" w14:textId="77777777" w:rsidR="00EC7277" w:rsidRDefault="00EC7277" w:rsidP="000D2B70">
      <w:pPr>
        <w:spacing w:after="0" w:line="480" w:lineRule="auto"/>
        <w:ind w:firstLine="720"/>
        <w:rPr>
          <w:rFonts w:ascii="Times New Roman" w:hAnsi="Times New Roman" w:cs="Times New Roman"/>
          <w:sz w:val="24"/>
          <w:szCs w:val="24"/>
        </w:rPr>
      </w:pPr>
    </w:p>
    <w:p w14:paraId="44124A71" w14:textId="2527BBE1" w:rsidR="001B765D" w:rsidRDefault="00E7322A" w:rsidP="000D2B70">
      <w:pPr>
        <w:spacing w:after="0" w:line="480" w:lineRule="auto"/>
        <w:ind w:firstLine="720"/>
        <w:rPr>
          <w:rFonts w:ascii="Times New Roman" w:hAnsi="Times New Roman" w:cs="Times New Roman"/>
          <w:sz w:val="24"/>
          <w:szCs w:val="24"/>
        </w:rPr>
      </w:pPr>
      <w:r w:rsidRPr="001B765D">
        <w:rPr>
          <w:rFonts w:ascii="Times New Roman" w:hAnsi="Times New Roman" w:cs="Times New Roman"/>
          <w:sz w:val="24"/>
          <w:szCs w:val="24"/>
        </w:rPr>
        <w:t xml:space="preserve">In Model 2, we added covariates </w:t>
      </w:r>
      <w:r w:rsidR="00E14CAC">
        <w:rPr>
          <w:rFonts w:ascii="Times New Roman" w:hAnsi="Times New Roman" w:cs="Times New Roman"/>
          <w:sz w:val="24"/>
          <w:szCs w:val="24"/>
        </w:rPr>
        <w:t>covering</w:t>
      </w:r>
      <w:r w:rsidRPr="001B765D">
        <w:rPr>
          <w:rFonts w:ascii="Times New Roman" w:hAnsi="Times New Roman" w:cs="Times New Roman"/>
          <w:sz w:val="24"/>
          <w:szCs w:val="24"/>
        </w:rPr>
        <w:t xml:space="preserve"> undergraduate degree characteristics. </w:t>
      </w:r>
      <w:r w:rsidR="00EE566E">
        <w:rPr>
          <w:rFonts w:ascii="Times New Roman" w:hAnsi="Times New Roman" w:cs="Times New Roman"/>
          <w:sz w:val="24"/>
          <w:szCs w:val="24"/>
        </w:rPr>
        <w:t>T</w:t>
      </w:r>
      <w:r w:rsidRPr="00C44F23">
        <w:rPr>
          <w:rFonts w:ascii="Times New Roman" w:hAnsi="Times New Roman" w:cs="Times New Roman"/>
          <w:sz w:val="24"/>
          <w:szCs w:val="24"/>
        </w:rPr>
        <w:t xml:space="preserve">he introduction of these control variables </w:t>
      </w:r>
      <w:r w:rsidR="00EE566E">
        <w:rPr>
          <w:rFonts w:ascii="Times New Roman" w:hAnsi="Times New Roman" w:cs="Times New Roman"/>
          <w:sz w:val="24"/>
          <w:szCs w:val="24"/>
        </w:rPr>
        <w:t xml:space="preserve">did not substantially alter the odds of graduates with </w:t>
      </w:r>
      <w:r w:rsidR="00EE566E">
        <w:rPr>
          <w:rFonts w:ascii="Times New Roman" w:hAnsi="Times New Roman" w:cs="Times New Roman"/>
          <w:sz w:val="24"/>
          <w:szCs w:val="24"/>
        </w:rPr>
        <w:lastRenderedPageBreak/>
        <w:t xml:space="preserve">different debt levels proceeding to postgraduate study, and </w:t>
      </w:r>
      <w:r w:rsidR="005A0F91">
        <w:rPr>
          <w:rFonts w:ascii="Times New Roman" w:hAnsi="Times New Roman" w:cs="Times New Roman"/>
          <w:sz w:val="24"/>
          <w:szCs w:val="24"/>
        </w:rPr>
        <w:t>debt remained statistically insig</w:t>
      </w:r>
      <w:r w:rsidR="002C328D">
        <w:rPr>
          <w:rFonts w:ascii="Times New Roman" w:hAnsi="Times New Roman" w:cs="Times New Roman"/>
          <w:sz w:val="24"/>
          <w:szCs w:val="24"/>
        </w:rPr>
        <w:t>n</w:t>
      </w:r>
      <w:r w:rsidR="005A0F91">
        <w:rPr>
          <w:rFonts w:ascii="Times New Roman" w:hAnsi="Times New Roman" w:cs="Times New Roman"/>
          <w:sz w:val="24"/>
          <w:szCs w:val="24"/>
        </w:rPr>
        <w:t>ificant</w:t>
      </w:r>
      <w:r w:rsidRPr="00C44F23">
        <w:rPr>
          <w:rFonts w:ascii="Times New Roman" w:hAnsi="Times New Roman" w:cs="Times New Roman"/>
          <w:sz w:val="24"/>
          <w:szCs w:val="24"/>
        </w:rPr>
        <w:t>.</w:t>
      </w:r>
      <w:r w:rsidRPr="001B765D">
        <w:rPr>
          <w:rFonts w:ascii="Times New Roman" w:hAnsi="Times New Roman" w:cs="Times New Roman"/>
          <w:sz w:val="24"/>
          <w:szCs w:val="24"/>
        </w:rPr>
        <w:t xml:space="preserve"> As expected, 2012 </w:t>
      </w:r>
      <w:r w:rsidR="0011094D">
        <w:rPr>
          <w:rFonts w:ascii="Times New Roman" w:hAnsi="Times New Roman" w:cs="Times New Roman"/>
          <w:sz w:val="24"/>
          <w:szCs w:val="24"/>
        </w:rPr>
        <w:t xml:space="preserve">graduates </w:t>
      </w:r>
      <w:r w:rsidRPr="001B765D">
        <w:rPr>
          <w:rFonts w:ascii="Times New Roman" w:hAnsi="Times New Roman" w:cs="Times New Roman"/>
          <w:sz w:val="24"/>
          <w:szCs w:val="24"/>
        </w:rPr>
        <w:t>were less likely to have progressed to postgraduate study (</w:t>
      </w:r>
      <w:r w:rsidRPr="001B765D">
        <w:rPr>
          <w:rFonts w:ascii="Times New Roman" w:hAnsi="Times New Roman" w:cs="Times New Roman"/>
          <w:i/>
          <w:sz w:val="24"/>
          <w:szCs w:val="24"/>
        </w:rPr>
        <w:t>OR</w:t>
      </w:r>
      <w:r w:rsidR="00C44F23">
        <w:rPr>
          <w:rFonts w:ascii="Times New Roman" w:hAnsi="Times New Roman" w:cs="Times New Roman"/>
          <w:sz w:val="24"/>
          <w:szCs w:val="24"/>
        </w:rPr>
        <w:t xml:space="preserve"> = 0.</w:t>
      </w:r>
      <w:r w:rsidR="005A0F91">
        <w:rPr>
          <w:rFonts w:ascii="Times New Roman" w:hAnsi="Times New Roman" w:cs="Times New Roman"/>
          <w:sz w:val="24"/>
          <w:szCs w:val="24"/>
        </w:rPr>
        <w:t>55</w:t>
      </w:r>
      <w:r w:rsidRPr="001B765D">
        <w:rPr>
          <w:rFonts w:ascii="Times New Roman" w:hAnsi="Times New Roman" w:cs="Times New Roman"/>
          <w:sz w:val="24"/>
          <w:szCs w:val="24"/>
        </w:rPr>
        <w:t>) than those graduat</w:t>
      </w:r>
      <w:r w:rsidR="00BF5D00">
        <w:rPr>
          <w:rFonts w:ascii="Times New Roman" w:hAnsi="Times New Roman" w:cs="Times New Roman"/>
          <w:sz w:val="24"/>
          <w:szCs w:val="24"/>
        </w:rPr>
        <w:t>ing</w:t>
      </w:r>
      <w:r w:rsidRPr="001B765D">
        <w:rPr>
          <w:rFonts w:ascii="Times New Roman" w:hAnsi="Times New Roman" w:cs="Times New Roman"/>
          <w:sz w:val="24"/>
          <w:szCs w:val="24"/>
        </w:rPr>
        <w:t xml:space="preserve"> in 2009. Those who completed a STEM </w:t>
      </w:r>
      <w:r w:rsidR="00C44F23">
        <w:rPr>
          <w:rFonts w:ascii="Times New Roman" w:hAnsi="Times New Roman" w:cs="Times New Roman"/>
          <w:sz w:val="24"/>
          <w:szCs w:val="24"/>
        </w:rPr>
        <w:t xml:space="preserve">or </w:t>
      </w:r>
      <w:r w:rsidR="005A0F91" w:rsidRPr="001B765D">
        <w:rPr>
          <w:rFonts w:ascii="Times New Roman" w:hAnsi="Times New Roman" w:cs="Times New Roman"/>
          <w:sz w:val="24"/>
          <w:szCs w:val="24"/>
        </w:rPr>
        <w:t xml:space="preserve">academically-focused </w:t>
      </w:r>
      <w:r w:rsidR="005A0F91">
        <w:rPr>
          <w:rFonts w:ascii="Times New Roman" w:hAnsi="Times New Roman" w:cs="Times New Roman"/>
          <w:sz w:val="24"/>
          <w:szCs w:val="24"/>
        </w:rPr>
        <w:t>subject</w:t>
      </w:r>
      <w:r w:rsidR="005A0F91" w:rsidRPr="001B765D">
        <w:rPr>
          <w:rFonts w:ascii="Times New Roman" w:hAnsi="Times New Roman" w:cs="Times New Roman"/>
          <w:sz w:val="24"/>
          <w:szCs w:val="24"/>
        </w:rPr>
        <w:t xml:space="preserve"> </w:t>
      </w:r>
      <w:r w:rsidRPr="001B765D">
        <w:rPr>
          <w:rFonts w:ascii="Times New Roman" w:hAnsi="Times New Roman" w:cs="Times New Roman"/>
          <w:sz w:val="24"/>
          <w:szCs w:val="24"/>
        </w:rPr>
        <w:t xml:space="preserve">were </w:t>
      </w:r>
      <w:r w:rsidR="005A0F91">
        <w:rPr>
          <w:rFonts w:ascii="Times New Roman" w:hAnsi="Times New Roman" w:cs="Times New Roman"/>
          <w:sz w:val="24"/>
          <w:szCs w:val="24"/>
        </w:rPr>
        <w:t>more</w:t>
      </w:r>
      <w:r w:rsidR="005A0F91" w:rsidRPr="001B765D">
        <w:rPr>
          <w:rFonts w:ascii="Times New Roman" w:hAnsi="Times New Roman" w:cs="Times New Roman"/>
          <w:sz w:val="24"/>
          <w:szCs w:val="24"/>
        </w:rPr>
        <w:t xml:space="preserve"> </w:t>
      </w:r>
      <w:r w:rsidRPr="001B765D">
        <w:rPr>
          <w:rFonts w:ascii="Times New Roman" w:hAnsi="Times New Roman" w:cs="Times New Roman"/>
          <w:sz w:val="24"/>
          <w:szCs w:val="24"/>
        </w:rPr>
        <w:t>likely to progress</w:t>
      </w:r>
      <w:r w:rsidR="00C44F23">
        <w:rPr>
          <w:rFonts w:ascii="Times New Roman" w:hAnsi="Times New Roman" w:cs="Times New Roman"/>
          <w:sz w:val="24"/>
          <w:szCs w:val="24"/>
        </w:rPr>
        <w:t xml:space="preserve"> to a postgraduate taught degree</w:t>
      </w:r>
      <w:r w:rsidRPr="001B765D">
        <w:rPr>
          <w:rFonts w:ascii="Times New Roman" w:hAnsi="Times New Roman" w:cs="Times New Roman"/>
          <w:sz w:val="24"/>
          <w:szCs w:val="24"/>
        </w:rPr>
        <w:t xml:space="preserve"> than those who </w:t>
      </w:r>
      <w:r w:rsidR="00BF5D00">
        <w:rPr>
          <w:rFonts w:ascii="Times New Roman" w:hAnsi="Times New Roman" w:cs="Times New Roman"/>
          <w:sz w:val="24"/>
          <w:szCs w:val="24"/>
        </w:rPr>
        <w:t>studied</w:t>
      </w:r>
      <w:r w:rsidR="00BF5D00" w:rsidRPr="001B765D">
        <w:rPr>
          <w:rFonts w:ascii="Times New Roman" w:hAnsi="Times New Roman" w:cs="Times New Roman"/>
          <w:sz w:val="24"/>
          <w:szCs w:val="24"/>
        </w:rPr>
        <w:t xml:space="preserve"> </w:t>
      </w:r>
      <w:r w:rsidRPr="001B765D">
        <w:rPr>
          <w:rFonts w:ascii="Times New Roman" w:hAnsi="Times New Roman" w:cs="Times New Roman"/>
          <w:sz w:val="24"/>
          <w:szCs w:val="24"/>
        </w:rPr>
        <w:t>a</w:t>
      </w:r>
      <w:r w:rsidR="00E43650">
        <w:rPr>
          <w:rFonts w:ascii="Times New Roman" w:hAnsi="Times New Roman" w:cs="Times New Roman"/>
          <w:sz w:val="24"/>
          <w:szCs w:val="24"/>
        </w:rPr>
        <w:t xml:space="preserve"> </w:t>
      </w:r>
      <w:r w:rsidR="005A0F91">
        <w:rPr>
          <w:rFonts w:ascii="Times New Roman" w:hAnsi="Times New Roman" w:cs="Times New Roman"/>
          <w:sz w:val="24"/>
          <w:szCs w:val="24"/>
        </w:rPr>
        <w:t xml:space="preserve">Law, Economics or Management or </w:t>
      </w:r>
      <w:r w:rsidR="002C328D">
        <w:rPr>
          <w:rFonts w:ascii="Times New Roman" w:hAnsi="Times New Roman" w:cs="Times New Roman"/>
          <w:sz w:val="24"/>
          <w:szCs w:val="24"/>
        </w:rPr>
        <w:t xml:space="preserve">a </w:t>
      </w:r>
      <w:r w:rsidR="005A0F91">
        <w:rPr>
          <w:rFonts w:ascii="Times New Roman" w:hAnsi="Times New Roman" w:cs="Times New Roman"/>
          <w:sz w:val="24"/>
          <w:szCs w:val="24"/>
        </w:rPr>
        <w:t xml:space="preserve">vocationally-focussed </w:t>
      </w:r>
      <w:r w:rsidR="005A0F91" w:rsidRPr="001B765D">
        <w:rPr>
          <w:rFonts w:ascii="Times New Roman" w:hAnsi="Times New Roman" w:cs="Times New Roman"/>
          <w:sz w:val="24"/>
          <w:szCs w:val="24"/>
        </w:rPr>
        <w:t>degree</w:t>
      </w:r>
      <w:r w:rsidR="005A0F91">
        <w:rPr>
          <w:rFonts w:ascii="Times New Roman" w:hAnsi="Times New Roman" w:cs="Times New Roman"/>
          <w:sz w:val="24"/>
          <w:szCs w:val="24"/>
        </w:rPr>
        <w:t>.</w:t>
      </w:r>
      <w:r w:rsidR="00C44F23">
        <w:rPr>
          <w:rFonts w:ascii="Times New Roman" w:hAnsi="Times New Roman" w:cs="Times New Roman"/>
          <w:sz w:val="24"/>
          <w:szCs w:val="24"/>
        </w:rPr>
        <w:t xml:space="preserve"> In addition, t</w:t>
      </w:r>
      <w:r w:rsidRPr="001B765D">
        <w:rPr>
          <w:rFonts w:ascii="Times New Roman" w:hAnsi="Times New Roman" w:cs="Times New Roman"/>
          <w:sz w:val="24"/>
          <w:szCs w:val="24"/>
        </w:rPr>
        <w:t xml:space="preserve">hose with the </w:t>
      </w:r>
      <w:r w:rsidR="00261AF0" w:rsidRPr="001B765D">
        <w:rPr>
          <w:rFonts w:ascii="Times New Roman" w:hAnsi="Times New Roman" w:cs="Times New Roman"/>
          <w:sz w:val="24"/>
          <w:szCs w:val="24"/>
        </w:rPr>
        <w:t xml:space="preserve">‘good’ </w:t>
      </w:r>
      <w:r w:rsidRPr="001B765D">
        <w:rPr>
          <w:rFonts w:ascii="Times New Roman" w:hAnsi="Times New Roman" w:cs="Times New Roman"/>
          <w:sz w:val="24"/>
          <w:szCs w:val="24"/>
        </w:rPr>
        <w:t xml:space="preserve">degree classifications of first or upper second </w:t>
      </w:r>
      <w:r w:rsidR="00261AF0" w:rsidRPr="001B765D">
        <w:rPr>
          <w:rFonts w:ascii="Times New Roman" w:hAnsi="Times New Roman" w:cs="Times New Roman"/>
          <w:sz w:val="24"/>
          <w:szCs w:val="24"/>
        </w:rPr>
        <w:t>class honours</w:t>
      </w:r>
      <w:r w:rsidR="00C44F23">
        <w:rPr>
          <w:rFonts w:ascii="Times New Roman" w:hAnsi="Times New Roman" w:cs="Times New Roman"/>
          <w:sz w:val="24"/>
          <w:szCs w:val="24"/>
        </w:rPr>
        <w:t xml:space="preserve"> were more likely to progress</w:t>
      </w:r>
      <w:r w:rsidR="00261AF0" w:rsidRPr="001B765D">
        <w:rPr>
          <w:rFonts w:ascii="Times New Roman" w:hAnsi="Times New Roman" w:cs="Times New Roman"/>
          <w:sz w:val="24"/>
          <w:szCs w:val="24"/>
        </w:rPr>
        <w:t xml:space="preserve"> </w:t>
      </w:r>
      <w:r w:rsidR="00BE7128">
        <w:rPr>
          <w:rFonts w:ascii="Times New Roman" w:hAnsi="Times New Roman" w:cs="Times New Roman"/>
          <w:sz w:val="24"/>
          <w:szCs w:val="24"/>
        </w:rPr>
        <w:t xml:space="preserve">than those with lower classifications </w:t>
      </w:r>
      <w:r w:rsidRPr="001B765D">
        <w:rPr>
          <w:rFonts w:ascii="Times New Roman" w:hAnsi="Times New Roman" w:cs="Times New Roman"/>
          <w:sz w:val="24"/>
          <w:szCs w:val="24"/>
        </w:rPr>
        <w:t>(</w:t>
      </w:r>
      <w:r w:rsidRPr="001B765D">
        <w:rPr>
          <w:rFonts w:ascii="Times New Roman" w:hAnsi="Times New Roman" w:cs="Times New Roman"/>
          <w:i/>
          <w:sz w:val="24"/>
          <w:szCs w:val="24"/>
        </w:rPr>
        <w:t>OR</w:t>
      </w:r>
      <w:r w:rsidR="00C44F23">
        <w:rPr>
          <w:rFonts w:ascii="Times New Roman" w:hAnsi="Times New Roman" w:cs="Times New Roman"/>
          <w:sz w:val="24"/>
          <w:szCs w:val="24"/>
        </w:rPr>
        <w:t xml:space="preserve"> = </w:t>
      </w:r>
      <w:r w:rsidR="00BE7128">
        <w:rPr>
          <w:rFonts w:ascii="Times New Roman" w:hAnsi="Times New Roman" w:cs="Times New Roman"/>
          <w:sz w:val="24"/>
          <w:szCs w:val="24"/>
        </w:rPr>
        <w:t>2</w:t>
      </w:r>
      <w:r w:rsidR="00C44F23">
        <w:rPr>
          <w:rFonts w:ascii="Times New Roman" w:hAnsi="Times New Roman" w:cs="Times New Roman"/>
          <w:sz w:val="24"/>
          <w:szCs w:val="24"/>
        </w:rPr>
        <w:t>.</w:t>
      </w:r>
      <w:r w:rsidR="00BE7128">
        <w:rPr>
          <w:rFonts w:ascii="Times New Roman" w:hAnsi="Times New Roman" w:cs="Times New Roman"/>
          <w:sz w:val="24"/>
          <w:szCs w:val="24"/>
        </w:rPr>
        <w:t>8</w:t>
      </w:r>
      <w:r w:rsidR="00C44F23">
        <w:rPr>
          <w:rFonts w:ascii="Times New Roman" w:hAnsi="Times New Roman" w:cs="Times New Roman"/>
          <w:sz w:val="24"/>
          <w:szCs w:val="24"/>
        </w:rPr>
        <w:t>2</w:t>
      </w:r>
      <w:r w:rsidRPr="001B765D">
        <w:rPr>
          <w:rFonts w:ascii="Times New Roman" w:hAnsi="Times New Roman" w:cs="Times New Roman"/>
          <w:sz w:val="24"/>
          <w:szCs w:val="24"/>
        </w:rPr>
        <w:t xml:space="preserve"> and </w:t>
      </w:r>
      <w:r w:rsidRPr="001B765D">
        <w:rPr>
          <w:rFonts w:ascii="Times New Roman" w:hAnsi="Times New Roman" w:cs="Times New Roman"/>
          <w:i/>
          <w:sz w:val="24"/>
          <w:szCs w:val="24"/>
        </w:rPr>
        <w:t>OR</w:t>
      </w:r>
      <w:r w:rsidR="00C44F23">
        <w:rPr>
          <w:rFonts w:ascii="Times New Roman" w:hAnsi="Times New Roman" w:cs="Times New Roman"/>
          <w:sz w:val="24"/>
          <w:szCs w:val="24"/>
        </w:rPr>
        <w:t xml:space="preserve"> = 1.</w:t>
      </w:r>
      <w:r w:rsidR="00BE7128">
        <w:rPr>
          <w:rFonts w:ascii="Times New Roman" w:hAnsi="Times New Roman" w:cs="Times New Roman"/>
          <w:sz w:val="24"/>
          <w:szCs w:val="24"/>
        </w:rPr>
        <w:t>96</w:t>
      </w:r>
      <w:r w:rsidRPr="001B765D">
        <w:rPr>
          <w:rFonts w:ascii="Times New Roman" w:hAnsi="Times New Roman" w:cs="Times New Roman"/>
          <w:sz w:val="24"/>
          <w:szCs w:val="24"/>
        </w:rPr>
        <w:t>, respectively).</w:t>
      </w:r>
      <w:r w:rsidR="00FD480C" w:rsidRPr="001B765D">
        <w:rPr>
          <w:rFonts w:ascii="Times New Roman" w:hAnsi="Times New Roman" w:cs="Times New Roman"/>
          <w:sz w:val="24"/>
          <w:szCs w:val="24"/>
        </w:rPr>
        <w:t xml:space="preserve"> </w:t>
      </w:r>
      <w:r w:rsidR="0011094D">
        <w:rPr>
          <w:rFonts w:ascii="Times New Roman" w:hAnsi="Times New Roman" w:cs="Times New Roman"/>
          <w:sz w:val="24"/>
          <w:szCs w:val="24"/>
        </w:rPr>
        <w:t>This was</w:t>
      </w:r>
      <w:r w:rsidR="00FD480C" w:rsidRPr="001B765D">
        <w:rPr>
          <w:rFonts w:ascii="Times New Roman" w:hAnsi="Times New Roman" w:cs="Times New Roman"/>
          <w:sz w:val="24"/>
          <w:szCs w:val="24"/>
        </w:rPr>
        <w:t xml:space="preserve"> </w:t>
      </w:r>
      <w:r w:rsidR="00BE7128">
        <w:rPr>
          <w:rFonts w:ascii="Times New Roman" w:hAnsi="Times New Roman" w:cs="Times New Roman"/>
          <w:sz w:val="24"/>
          <w:szCs w:val="24"/>
        </w:rPr>
        <w:t>is unsurprising</w:t>
      </w:r>
      <w:r w:rsidR="00FD480C" w:rsidRPr="001B765D">
        <w:rPr>
          <w:rFonts w:ascii="Times New Roman" w:hAnsi="Times New Roman" w:cs="Times New Roman"/>
          <w:sz w:val="24"/>
          <w:szCs w:val="24"/>
        </w:rPr>
        <w:t xml:space="preserve"> </w:t>
      </w:r>
      <w:r w:rsidR="0011094D">
        <w:rPr>
          <w:rFonts w:ascii="Times New Roman" w:hAnsi="Times New Roman" w:cs="Times New Roman"/>
          <w:sz w:val="24"/>
          <w:szCs w:val="24"/>
        </w:rPr>
        <w:t>since many postgraduate courses require a good honours degree</w:t>
      </w:r>
      <w:r w:rsidR="001B765D">
        <w:rPr>
          <w:rFonts w:ascii="Times New Roman" w:hAnsi="Times New Roman" w:cs="Times New Roman"/>
          <w:sz w:val="24"/>
          <w:szCs w:val="24"/>
        </w:rPr>
        <w:t>.</w:t>
      </w:r>
    </w:p>
    <w:p w14:paraId="68B6CEA5" w14:textId="0DB5DFB7" w:rsidR="00EC7277" w:rsidRDefault="003753F5" w:rsidP="006E78F3">
      <w:pPr>
        <w:spacing w:after="0" w:line="480" w:lineRule="auto"/>
        <w:ind w:firstLine="720"/>
        <w:rPr>
          <w:rFonts w:ascii="Times New Roman" w:hAnsi="Times New Roman" w:cs="Times New Roman"/>
          <w:sz w:val="24"/>
          <w:szCs w:val="24"/>
        </w:rPr>
      </w:pPr>
      <w:r w:rsidRPr="000D2B70">
        <w:rPr>
          <w:rFonts w:ascii="Times New Roman" w:hAnsi="Times New Roman" w:cs="Times New Roman"/>
          <w:sz w:val="24"/>
          <w:szCs w:val="24"/>
        </w:rPr>
        <w:t xml:space="preserve">Model 3 </w:t>
      </w:r>
      <w:r w:rsidR="009F4DBD" w:rsidRPr="000D2B70">
        <w:rPr>
          <w:rFonts w:ascii="Times New Roman" w:hAnsi="Times New Roman" w:cs="Times New Roman"/>
          <w:sz w:val="24"/>
          <w:szCs w:val="24"/>
        </w:rPr>
        <w:t>repr</w:t>
      </w:r>
      <w:r w:rsidR="000D2B70" w:rsidRPr="000D2B70">
        <w:rPr>
          <w:rFonts w:ascii="Times New Roman" w:hAnsi="Times New Roman" w:cs="Times New Roman"/>
          <w:sz w:val="24"/>
          <w:szCs w:val="24"/>
        </w:rPr>
        <w:t>esents the fully</w:t>
      </w:r>
      <w:r w:rsidR="009F4DBD" w:rsidRPr="000D2B70">
        <w:rPr>
          <w:rFonts w:ascii="Times New Roman" w:hAnsi="Times New Roman" w:cs="Times New Roman"/>
          <w:sz w:val="24"/>
          <w:szCs w:val="24"/>
        </w:rPr>
        <w:t xml:space="preserve"> </w:t>
      </w:r>
      <w:r w:rsidR="000D2B70" w:rsidRPr="000D2B70">
        <w:rPr>
          <w:rFonts w:ascii="Times New Roman" w:hAnsi="Times New Roman" w:cs="Times New Roman"/>
          <w:sz w:val="24"/>
          <w:szCs w:val="24"/>
        </w:rPr>
        <w:t>specified model</w:t>
      </w:r>
      <w:r w:rsidR="009F4DBD" w:rsidRPr="000D2B70">
        <w:rPr>
          <w:rFonts w:ascii="Times New Roman" w:hAnsi="Times New Roman" w:cs="Times New Roman"/>
          <w:sz w:val="24"/>
          <w:szCs w:val="24"/>
        </w:rPr>
        <w:t xml:space="preserve"> with the inclusion of</w:t>
      </w:r>
      <w:r w:rsidR="000E4AB4" w:rsidRPr="000D2B70">
        <w:rPr>
          <w:rFonts w:ascii="Times New Roman" w:hAnsi="Times New Roman" w:cs="Times New Roman"/>
          <w:sz w:val="24"/>
          <w:szCs w:val="24"/>
        </w:rPr>
        <w:t xml:space="preserve"> school characteristics</w:t>
      </w:r>
      <w:r w:rsidR="009F4DBD" w:rsidRPr="000D2B70">
        <w:rPr>
          <w:rFonts w:ascii="Times New Roman" w:hAnsi="Times New Roman" w:cs="Times New Roman"/>
          <w:sz w:val="24"/>
          <w:szCs w:val="24"/>
        </w:rPr>
        <w:t>,</w:t>
      </w:r>
      <w:r w:rsidR="009F4DBD" w:rsidRPr="001B765D">
        <w:rPr>
          <w:rFonts w:ascii="Times New Roman" w:hAnsi="Times New Roman" w:cs="Times New Roman"/>
          <w:sz w:val="24"/>
          <w:szCs w:val="24"/>
        </w:rPr>
        <w:t xml:space="preserve"> socioeconomic and background characteristics</w:t>
      </w:r>
      <w:r w:rsidR="000D2B70">
        <w:rPr>
          <w:rFonts w:ascii="Times New Roman" w:hAnsi="Times New Roman" w:cs="Times New Roman"/>
          <w:sz w:val="24"/>
          <w:szCs w:val="24"/>
        </w:rPr>
        <w:t>. The association between level</w:t>
      </w:r>
      <w:r w:rsidR="009F4DBD" w:rsidRPr="001B765D">
        <w:rPr>
          <w:rFonts w:ascii="Times New Roman" w:hAnsi="Times New Roman" w:cs="Times New Roman"/>
          <w:sz w:val="24"/>
          <w:szCs w:val="24"/>
        </w:rPr>
        <w:t xml:space="preserve"> of debt and postgraduate progression </w:t>
      </w:r>
      <w:r w:rsidR="00002C07">
        <w:rPr>
          <w:rFonts w:ascii="Times New Roman" w:hAnsi="Times New Roman" w:cs="Times New Roman"/>
          <w:sz w:val="24"/>
          <w:szCs w:val="24"/>
        </w:rPr>
        <w:t>remains statistically</w:t>
      </w:r>
      <w:r w:rsidR="000D2B70">
        <w:rPr>
          <w:rFonts w:ascii="Times New Roman" w:hAnsi="Times New Roman" w:cs="Times New Roman"/>
          <w:sz w:val="24"/>
          <w:szCs w:val="24"/>
        </w:rPr>
        <w:t xml:space="preserve"> </w:t>
      </w:r>
      <w:r w:rsidR="00002C07">
        <w:rPr>
          <w:rFonts w:ascii="Times New Roman" w:hAnsi="Times New Roman" w:cs="Times New Roman"/>
          <w:sz w:val="24"/>
          <w:szCs w:val="24"/>
        </w:rPr>
        <w:t>in</w:t>
      </w:r>
      <w:r w:rsidR="000D2B70">
        <w:rPr>
          <w:rFonts w:ascii="Times New Roman" w:hAnsi="Times New Roman" w:cs="Times New Roman"/>
          <w:sz w:val="24"/>
          <w:szCs w:val="24"/>
        </w:rPr>
        <w:t xml:space="preserve">significant with </w:t>
      </w:r>
      <w:r w:rsidR="001536CF">
        <w:rPr>
          <w:rFonts w:ascii="Times New Roman" w:hAnsi="Times New Roman" w:cs="Times New Roman"/>
          <w:sz w:val="24"/>
          <w:szCs w:val="24"/>
        </w:rPr>
        <w:t xml:space="preserve">little </w:t>
      </w:r>
      <w:r w:rsidR="00E14CAC">
        <w:rPr>
          <w:rFonts w:ascii="Times New Roman" w:hAnsi="Times New Roman" w:cs="Times New Roman"/>
          <w:sz w:val="24"/>
          <w:szCs w:val="24"/>
        </w:rPr>
        <w:t>change</w:t>
      </w:r>
      <w:r w:rsidR="001536CF">
        <w:rPr>
          <w:rFonts w:ascii="Times New Roman" w:hAnsi="Times New Roman" w:cs="Times New Roman"/>
          <w:sz w:val="24"/>
          <w:szCs w:val="24"/>
        </w:rPr>
        <w:t xml:space="preserve"> in the coefficients compared to previous models</w:t>
      </w:r>
      <w:r w:rsidR="00904E57">
        <w:rPr>
          <w:rFonts w:ascii="Times New Roman" w:hAnsi="Times New Roman" w:cs="Times New Roman"/>
          <w:sz w:val="24"/>
          <w:szCs w:val="24"/>
        </w:rPr>
        <w:t xml:space="preserve">. </w:t>
      </w:r>
      <w:r w:rsidR="000E4AB4" w:rsidRPr="001B765D">
        <w:rPr>
          <w:rFonts w:ascii="Times New Roman" w:hAnsi="Times New Roman" w:cs="Times New Roman"/>
          <w:sz w:val="24"/>
          <w:szCs w:val="24"/>
        </w:rPr>
        <w:t xml:space="preserve">A series of socioeconomic variables were </w:t>
      </w:r>
      <w:r w:rsidRPr="001B765D">
        <w:rPr>
          <w:rFonts w:ascii="Times New Roman" w:hAnsi="Times New Roman" w:cs="Times New Roman"/>
          <w:sz w:val="24"/>
          <w:szCs w:val="24"/>
        </w:rPr>
        <w:t>also added in Model 3</w:t>
      </w:r>
      <w:r w:rsidR="000E4AB4" w:rsidRPr="001B765D">
        <w:rPr>
          <w:rFonts w:ascii="Times New Roman" w:hAnsi="Times New Roman" w:cs="Times New Roman"/>
          <w:sz w:val="24"/>
          <w:szCs w:val="24"/>
        </w:rPr>
        <w:t xml:space="preserve">. These included </w:t>
      </w:r>
      <w:r w:rsidR="00BC0E52" w:rsidRPr="001B765D">
        <w:rPr>
          <w:rFonts w:ascii="Times New Roman" w:hAnsi="Times New Roman" w:cs="Times New Roman"/>
          <w:sz w:val="24"/>
          <w:szCs w:val="24"/>
        </w:rPr>
        <w:t>parents</w:t>
      </w:r>
      <w:r w:rsidR="00930548">
        <w:rPr>
          <w:rFonts w:ascii="Times New Roman" w:hAnsi="Times New Roman" w:cs="Times New Roman"/>
          <w:sz w:val="24"/>
          <w:szCs w:val="24"/>
        </w:rPr>
        <w:t>’</w:t>
      </w:r>
      <w:r w:rsidR="000E4AB4" w:rsidRPr="001B765D">
        <w:rPr>
          <w:rFonts w:ascii="Times New Roman" w:hAnsi="Times New Roman" w:cs="Times New Roman"/>
          <w:sz w:val="24"/>
          <w:szCs w:val="24"/>
        </w:rPr>
        <w:t xml:space="preserve"> participation in higher education, parents</w:t>
      </w:r>
      <w:r w:rsidR="00930548">
        <w:rPr>
          <w:rFonts w:ascii="Times New Roman" w:hAnsi="Times New Roman" w:cs="Times New Roman"/>
          <w:sz w:val="24"/>
          <w:szCs w:val="24"/>
        </w:rPr>
        <w:t>’</w:t>
      </w:r>
      <w:r w:rsidR="000E4AB4" w:rsidRPr="001B765D">
        <w:rPr>
          <w:rFonts w:ascii="Times New Roman" w:hAnsi="Times New Roman" w:cs="Times New Roman"/>
          <w:sz w:val="24"/>
          <w:szCs w:val="24"/>
        </w:rPr>
        <w:t xml:space="preserve"> occupational level, widening participation activity, and neighbourhood participation in higher education</w:t>
      </w:r>
      <w:r w:rsidR="00E14CAC">
        <w:rPr>
          <w:rFonts w:ascii="Times New Roman" w:hAnsi="Times New Roman" w:cs="Times New Roman"/>
          <w:sz w:val="24"/>
          <w:szCs w:val="24"/>
        </w:rPr>
        <w:t xml:space="preserve"> (POLAR3)</w:t>
      </w:r>
      <w:r w:rsidR="000E4AB4" w:rsidRPr="001B765D">
        <w:rPr>
          <w:rFonts w:ascii="Times New Roman" w:hAnsi="Times New Roman" w:cs="Times New Roman"/>
          <w:sz w:val="24"/>
          <w:szCs w:val="24"/>
        </w:rPr>
        <w:t>. While prior research has shown these to be related to participation in undergraduate education (</w:t>
      </w:r>
      <w:r w:rsidR="00645A41">
        <w:rPr>
          <w:rFonts w:ascii="Times New Roman" w:hAnsi="Times New Roman" w:cs="Times New Roman"/>
          <w:sz w:val="24"/>
          <w:szCs w:val="24"/>
        </w:rPr>
        <w:t xml:space="preserve">Moore </w:t>
      </w:r>
      <w:r w:rsidR="00645A41">
        <w:rPr>
          <w:rFonts w:ascii="Times New Roman" w:hAnsi="Times New Roman" w:cs="Times New Roman"/>
          <w:i/>
          <w:sz w:val="24"/>
          <w:szCs w:val="24"/>
        </w:rPr>
        <w:t>et al.</w:t>
      </w:r>
      <w:r w:rsidR="00645A41">
        <w:rPr>
          <w:rFonts w:ascii="Times New Roman" w:hAnsi="Times New Roman" w:cs="Times New Roman"/>
          <w:sz w:val="24"/>
          <w:szCs w:val="24"/>
        </w:rPr>
        <w:t>, 2013</w:t>
      </w:r>
      <w:r w:rsidR="000E4AB4" w:rsidRPr="001B765D">
        <w:rPr>
          <w:rFonts w:ascii="Times New Roman" w:hAnsi="Times New Roman" w:cs="Times New Roman"/>
          <w:sz w:val="24"/>
          <w:szCs w:val="24"/>
        </w:rPr>
        <w:t xml:space="preserve">), </w:t>
      </w:r>
      <w:r w:rsidR="000E4AB4" w:rsidRPr="00F6234F">
        <w:rPr>
          <w:rFonts w:ascii="Times New Roman" w:hAnsi="Times New Roman" w:cs="Times New Roman"/>
          <w:sz w:val="24"/>
          <w:szCs w:val="24"/>
        </w:rPr>
        <w:t>only parent</w:t>
      </w:r>
      <w:r w:rsidR="00117196" w:rsidRPr="00F6234F">
        <w:rPr>
          <w:rFonts w:ascii="Times New Roman" w:hAnsi="Times New Roman" w:cs="Times New Roman"/>
          <w:sz w:val="24"/>
          <w:szCs w:val="24"/>
        </w:rPr>
        <w:t>al</w:t>
      </w:r>
      <w:r w:rsidR="000E4AB4" w:rsidRPr="00F6234F">
        <w:rPr>
          <w:rFonts w:ascii="Times New Roman" w:hAnsi="Times New Roman" w:cs="Times New Roman"/>
          <w:sz w:val="24"/>
          <w:szCs w:val="24"/>
        </w:rPr>
        <w:t xml:space="preserve"> higher education participation was associated</w:t>
      </w:r>
      <w:r w:rsidR="000E4AB4" w:rsidRPr="001B765D">
        <w:rPr>
          <w:rFonts w:ascii="Times New Roman" w:hAnsi="Times New Roman" w:cs="Times New Roman"/>
          <w:sz w:val="24"/>
          <w:szCs w:val="24"/>
        </w:rPr>
        <w:t xml:space="preserve"> with transition to postgraduate </w:t>
      </w:r>
      <w:r w:rsidR="006E78F3">
        <w:rPr>
          <w:rFonts w:ascii="Times New Roman" w:hAnsi="Times New Roman" w:cs="Times New Roman"/>
          <w:sz w:val="24"/>
          <w:szCs w:val="24"/>
        </w:rPr>
        <w:t xml:space="preserve">taught </w:t>
      </w:r>
      <w:r w:rsidR="000E4AB4" w:rsidRPr="001B765D">
        <w:rPr>
          <w:rFonts w:ascii="Times New Roman" w:hAnsi="Times New Roman" w:cs="Times New Roman"/>
          <w:sz w:val="24"/>
          <w:szCs w:val="24"/>
        </w:rPr>
        <w:t>study. Specifically, former undergraduate students w</w:t>
      </w:r>
      <w:r w:rsidR="00EC7277">
        <w:rPr>
          <w:rFonts w:ascii="Times New Roman" w:hAnsi="Times New Roman" w:cs="Times New Roman"/>
          <w:sz w:val="24"/>
          <w:szCs w:val="24"/>
        </w:rPr>
        <w:t>ith</w:t>
      </w:r>
      <w:r w:rsidR="000E4AB4" w:rsidRPr="001B765D">
        <w:rPr>
          <w:rFonts w:ascii="Times New Roman" w:hAnsi="Times New Roman" w:cs="Times New Roman"/>
          <w:sz w:val="24"/>
          <w:szCs w:val="24"/>
        </w:rPr>
        <w:t xml:space="preserve"> two parents </w:t>
      </w:r>
      <w:r w:rsidR="008F283D">
        <w:rPr>
          <w:rFonts w:ascii="Times New Roman" w:hAnsi="Times New Roman" w:cs="Times New Roman"/>
          <w:sz w:val="24"/>
          <w:szCs w:val="24"/>
        </w:rPr>
        <w:t>with</w:t>
      </w:r>
      <w:r w:rsidR="000E4AB4" w:rsidRPr="001B765D">
        <w:rPr>
          <w:rFonts w:ascii="Times New Roman" w:hAnsi="Times New Roman" w:cs="Times New Roman"/>
          <w:sz w:val="24"/>
          <w:szCs w:val="24"/>
        </w:rPr>
        <w:t xml:space="preserve"> higher education </w:t>
      </w:r>
      <w:r w:rsidR="00BC0E52" w:rsidRPr="001B765D">
        <w:rPr>
          <w:rFonts w:ascii="Times New Roman" w:hAnsi="Times New Roman" w:cs="Times New Roman"/>
          <w:sz w:val="24"/>
          <w:szCs w:val="24"/>
        </w:rPr>
        <w:t>(</w:t>
      </w:r>
      <w:r w:rsidR="00BC0E52" w:rsidRPr="001B765D">
        <w:rPr>
          <w:rFonts w:ascii="Times New Roman" w:hAnsi="Times New Roman" w:cs="Times New Roman"/>
          <w:i/>
          <w:sz w:val="24"/>
          <w:szCs w:val="24"/>
        </w:rPr>
        <w:t>OR</w:t>
      </w:r>
      <w:r w:rsidR="00BC0E52" w:rsidRPr="001B765D">
        <w:rPr>
          <w:rFonts w:ascii="Times New Roman" w:hAnsi="Times New Roman" w:cs="Times New Roman"/>
          <w:sz w:val="24"/>
          <w:szCs w:val="24"/>
        </w:rPr>
        <w:t xml:space="preserve"> = 1.</w:t>
      </w:r>
      <w:r w:rsidR="002C328D">
        <w:rPr>
          <w:rFonts w:ascii="Times New Roman" w:hAnsi="Times New Roman" w:cs="Times New Roman"/>
          <w:sz w:val="24"/>
          <w:szCs w:val="24"/>
        </w:rPr>
        <w:t>25</w:t>
      </w:r>
      <w:r w:rsidR="00BC0E52" w:rsidRPr="001B765D">
        <w:rPr>
          <w:rFonts w:ascii="Times New Roman" w:hAnsi="Times New Roman" w:cs="Times New Roman"/>
          <w:sz w:val="24"/>
          <w:szCs w:val="24"/>
        </w:rPr>
        <w:t xml:space="preserve">) </w:t>
      </w:r>
      <w:r w:rsidR="000E4AB4" w:rsidRPr="001B765D">
        <w:rPr>
          <w:rFonts w:ascii="Times New Roman" w:hAnsi="Times New Roman" w:cs="Times New Roman"/>
          <w:sz w:val="24"/>
          <w:szCs w:val="24"/>
        </w:rPr>
        <w:t>were more likely to progress to postgraduate education than those students whose parents had not been to university.</w:t>
      </w:r>
      <w:r w:rsidR="007C7C18">
        <w:rPr>
          <w:rFonts w:ascii="Times New Roman" w:hAnsi="Times New Roman" w:cs="Times New Roman"/>
          <w:sz w:val="24"/>
          <w:szCs w:val="24"/>
        </w:rPr>
        <w:t xml:space="preserve"> </w:t>
      </w:r>
      <w:r w:rsidR="00BC0E52" w:rsidRPr="001B765D">
        <w:rPr>
          <w:rFonts w:ascii="Times New Roman" w:hAnsi="Times New Roman" w:cs="Times New Roman"/>
          <w:sz w:val="24"/>
          <w:szCs w:val="24"/>
        </w:rPr>
        <w:t xml:space="preserve">It is interesting to note that two traditional predictors of </w:t>
      </w:r>
      <w:r w:rsidR="00814BB5" w:rsidRPr="001B765D">
        <w:rPr>
          <w:rFonts w:ascii="Times New Roman" w:hAnsi="Times New Roman" w:cs="Times New Roman"/>
          <w:sz w:val="24"/>
          <w:szCs w:val="24"/>
        </w:rPr>
        <w:t>access to higher education</w:t>
      </w:r>
      <w:r w:rsidRPr="001B765D">
        <w:rPr>
          <w:rFonts w:ascii="Times New Roman" w:hAnsi="Times New Roman" w:cs="Times New Roman"/>
          <w:sz w:val="24"/>
          <w:szCs w:val="24"/>
        </w:rPr>
        <w:t xml:space="preserve"> </w:t>
      </w:r>
      <w:r w:rsidR="00814BB5" w:rsidRPr="001B765D">
        <w:rPr>
          <w:rFonts w:ascii="Times New Roman" w:hAnsi="Times New Roman" w:cs="Times New Roman"/>
          <w:sz w:val="24"/>
          <w:szCs w:val="24"/>
        </w:rPr>
        <w:t xml:space="preserve">– parental occupational social class and micro-neighbourhood </w:t>
      </w:r>
      <w:r w:rsidR="00F6234F">
        <w:rPr>
          <w:rFonts w:ascii="Times New Roman" w:hAnsi="Times New Roman" w:cs="Times New Roman"/>
          <w:sz w:val="24"/>
          <w:szCs w:val="24"/>
        </w:rPr>
        <w:t xml:space="preserve">- </w:t>
      </w:r>
      <w:r w:rsidR="00BC0E52" w:rsidRPr="001B765D">
        <w:rPr>
          <w:rFonts w:ascii="Times New Roman" w:hAnsi="Times New Roman" w:cs="Times New Roman"/>
          <w:sz w:val="24"/>
          <w:szCs w:val="24"/>
        </w:rPr>
        <w:t>were not associated with progression to postgraduate education</w:t>
      </w:r>
      <w:r w:rsidR="00814BB5" w:rsidRPr="001B765D">
        <w:rPr>
          <w:rFonts w:ascii="Times New Roman" w:hAnsi="Times New Roman" w:cs="Times New Roman"/>
          <w:sz w:val="24"/>
          <w:szCs w:val="24"/>
        </w:rPr>
        <w:t xml:space="preserve"> for graduates of this set of institutions</w:t>
      </w:r>
      <w:r w:rsidR="00EC7277">
        <w:rPr>
          <w:rFonts w:ascii="Times New Roman" w:hAnsi="Times New Roman" w:cs="Times New Roman"/>
          <w:sz w:val="24"/>
          <w:szCs w:val="24"/>
        </w:rPr>
        <w:t>.</w:t>
      </w:r>
    </w:p>
    <w:p w14:paraId="012F071E" w14:textId="4F1DF209" w:rsidR="000E4AB4" w:rsidRDefault="003753F5" w:rsidP="006E78F3">
      <w:pPr>
        <w:spacing w:after="0" w:line="480" w:lineRule="auto"/>
        <w:ind w:firstLine="720"/>
        <w:rPr>
          <w:rFonts w:ascii="Times New Roman" w:hAnsi="Times New Roman" w:cs="Times New Roman"/>
          <w:sz w:val="24"/>
          <w:szCs w:val="24"/>
        </w:rPr>
      </w:pPr>
      <w:r w:rsidRPr="001B765D">
        <w:rPr>
          <w:rFonts w:ascii="Times New Roman" w:hAnsi="Times New Roman" w:cs="Times New Roman"/>
          <w:sz w:val="24"/>
          <w:szCs w:val="24"/>
        </w:rPr>
        <w:t xml:space="preserve">Finally, we turn our attention to the association between </w:t>
      </w:r>
      <w:r w:rsidR="00B13425" w:rsidRPr="001B765D">
        <w:rPr>
          <w:rFonts w:ascii="Times New Roman" w:hAnsi="Times New Roman" w:cs="Times New Roman"/>
          <w:sz w:val="24"/>
          <w:szCs w:val="24"/>
        </w:rPr>
        <w:t xml:space="preserve">student </w:t>
      </w:r>
      <w:r w:rsidRPr="001B765D">
        <w:rPr>
          <w:rFonts w:ascii="Times New Roman" w:hAnsi="Times New Roman" w:cs="Times New Roman"/>
          <w:sz w:val="24"/>
          <w:szCs w:val="24"/>
        </w:rPr>
        <w:t>gender, age, and ethnicity with postgraduate progression. No discernible association</w:t>
      </w:r>
      <w:r w:rsidR="00117196" w:rsidRPr="001B765D">
        <w:rPr>
          <w:rFonts w:ascii="Times New Roman" w:hAnsi="Times New Roman" w:cs="Times New Roman"/>
          <w:sz w:val="24"/>
          <w:szCs w:val="24"/>
        </w:rPr>
        <w:t>s</w:t>
      </w:r>
      <w:r w:rsidRPr="001B765D">
        <w:rPr>
          <w:rFonts w:ascii="Times New Roman" w:hAnsi="Times New Roman" w:cs="Times New Roman"/>
          <w:sz w:val="24"/>
          <w:szCs w:val="24"/>
        </w:rPr>
        <w:t xml:space="preserve"> were found by gender </w:t>
      </w:r>
      <w:r w:rsidRPr="001B765D">
        <w:rPr>
          <w:rFonts w:ascii="Times New Roman" w:hAnsi="Times New Roman" w:cs="Times New Roman"/>
          <w:sz w:val="24"/>
          <w:szCs w:val="24"/>
        </w:rPr>
        <w:lastRenderedPageBreak/>
        <w:t>and age but our results did indicate that mixed ethnic</w:t>
      </w:r>
      <w:r w:rsidR="00EC7277">
        <w:rPr>
          <w:rFonts w:ascii="Times New Roman" w:hAnsi="Times New Roman" w:cs="Times New Roman"/>
          <w:sz w:val="24"/>
          <w:szCs w:val="24"/>
        </w:rPr>
        <w:t>ity</w:t>
      </w:r>
      <w:r w:rsidRPr="001B765D">
        <w:rPr>
          <w:rFonts w:ascii="Times New Roman" w:hAnsi="Times New Roman" w:cs="Times New Roman"/>
          <w:sz w:val="24"/>
          <w:szCs w:val="24"/>
        </w:rPr>
        <w:t xml:space="preserve"> students were </w:t>
      </w:r>
      <w:r w:rsidR="002C328D">
        <w:rPr>
          <w:rFonts w:ascii="Times New Roman" w:hAnsi="Times New Roman" w:cs="Times New Roman"/>
          <w:sz w:val="24"/>
          <w:szCs w:val="24"/>
        </w:rPr>
        <w:t xml:space="preserve">significantly </w:t>
      </w:r>
      <w:r w:rsidRPr="001B765D">
        <w:rPr>
          <w:rFonts w:ascii="Times New Roman" w:hAnsi="Times New Roman" w:cs="Times New Roman"/>
          <w:sz w:val="24"/>
          <w:szCs w:val="24"/>
        </w:rPr>
        <w:t>more likely to progress to postgraduate studies than their white counterparts</w:t>
      </w:r>
      <w:r w:rsidR="006E78F3">
        <w:rPr>
          <w:rFonts w:ascii="Times New Roman" w:hAnsi="Times New Roman" w:cs="Times New Roman"/>
          <w:sz w:val="24"/>
          <w:szCs w:val="24"/>
        </w:rPr>
        <w:t xml:space="preserve"> </w:t>
      </w:r>
      <w:r w:rsidR="006E78F3" w:rsidRPr="001B765D">
        <w:rPr>
          <w:rFonts w:ascii="Times New Roman" w:hAnsi="Times New Roman" w:cs="Times New Roman"/>
          <w:sz w:val="24"/>
          <w:szCs w:val="24"/>
        </w:rPr>
        <w:t>(</w:t>
      </w:r>
      <w:r w:rsidR="006E78F3" w:rsidRPr="001B765D">
        <w:rPr>
          <w:rFonts w:ascii="Times New Roman" w:hAnsi="Times New Roman" w:cs="Times New Roman"/>
          <w:i/>
          <w:sz w:val="24"/>
          <w:szCs w:val="24"/>
        </w:rPr>
        <w:t>OR</w:t>
      </w:r>
      <w:r w:rsidR="006E78F3" w:rsidRPr="001B765D">
        <w:rPr>
          <w:rFonts w:ascii="Times New Roman" w:hAnsi="Times New Roman" w:cs="Times New Roman"/>
          <w:sz w:val="24"/>
          <w:szCs w:val="24"/>
        </w:rPr>
        <w:t xml:space="preserve"> = 1.</w:t>
      </w:r>
      <w:r w:rsidR="006E78F3">
        <w:rPr>
          <w:rFonts w:ascii="Times New Roman" w:hAnsi="Times New Roman" w:cs="Times New Roman"/>
          <w:sz w:val="24"/>
          <w:szCs w:val="24"/>
        </w:rPr>
        <w:t>83</w:t>
      </w:r>
      <w:r w:rsidR="006E78F3" w:rsidRPr="001B765D">
        <w:rPr>
          <w:rFonts w:ascii="Times New Roman" w:hAnsi="Times New Roman" w:cs="Times New Roman"/>
          <w:sz w:val="24"/>
          <w:szCs w:val="24"/>
        </w:rPr>
        <w:t>)</w:t>
      </w:r>
      <w:r w:rsidRPr="001B765D">
        <w:rPr>
          <w:rFonts w:ascii="Times New Roman" w:hAnsi="Times New Roman" w:cs="Times New Roman"/>
          <w:sz w:val="24"/>
          <w:szCs w:val="24"/>
        </w:rPr>
        <w:t>.</w:t>
      </w:r>
    </w:p>
    <w:p w14:paraId="69CC5A5B" w14:textId="1524D5D7" w:rsidR="006E356F" w:rsidRDefault="006E356F" w:rsidP="006E78F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is worth observing that the pseudo </w:t>
      </w:r>
      <w:r>
        <w:rPr>
          <w:rFonts w:ascii="Times New Roman" w:hAnsi="Times New Roman" w:cs="Times New Roman"/>
          <w:i/>
          <w:sz w:val="24"/>
          <w:szCs w:val="24"/>
        </w:rPr>
        <w:t>r</w:t>
      </w:r>
      <w:r w:rsidRPr="006E356F">
        <w:rPr>
          <w:rFonts w:ascii="Times New Roman" w:hAnsi="Times New Roman" w:cs="Times New Roman"/>
          <w:sz w:val="24"/>
          <w:szCs w:val="24"/>
          <w:vertAlign w:val="superscript"/>
        </w:rPr>
        <w:t>2</w:t>
      </w:r>
      <w:r>
        <w:rPr>
          <w:rFonts w:ascii="Times New Roman" w:hAnsi="Times New Roman" w:cs="Times New Roman"/>
          <w:sz w:val="24"/>
          <w:szCs w:val="24"/>
        </w:rPr>
        <w:t xml:space="preserve"> values for the models are low. While low values are not unusual for logistic regression, it is surprising </w:t>
      </w:r>
      <w:r w:rsidR="0031754A">
        <w:rPr>
          <w:rFonts w:ascii="Times New Roman" w:hAnsi="Times New Roman" w:cs="Times New Roman"/>
          <w:sz w:val="24"/>
          <w:szCs w:val="24"/>
        </w:rPr>
        <w:t>given</w:t>
      </w:r>
      <w:r>
        <w:rPr>
          <w:rFonts w:ascii="Times New Roman" w:hAnsi="Times New Roman" w:cs="Times New Roman"/>
          <w:sz w:val="24"/>
          <w:szCs w:val="24"/>
        </w:rPr>
        <w:t xml:space="preserve"> our dataset incorporates the principal academic and demographic variables utilised in this field. It may mean there are important, perhaps individual factors which are not observed. It is possible that, through their selection into this set of universities, our graduates are alike in ways we could not measure.</w:t>
      </w:r>
      <w:r w:rsidR="0031754A">
        <w:rPr>
          <w:rFonts w:ascii="Times New Roman" w:hAnsi="Times New Roman" w:cs="Times New Roman"/>
          <w:sz w:val="24"/>
          <w:szCs w:val="24"/>
        </w:rPr>
        <w:t xml:space="preserve"> This certainly fits with the known stratification of postgraduate transitions by institution type (Wakeling and Hampden-Thompson, 2013).</w:t>
      </w:r>
    </w:p>
    <w:p w14:paraId="412C6036" w14:textId="77777777" w:rsidR="006A5DBE" w:rsidRPr="006E356F" w:rsidRDefault="006A5DBE" w:rsidP="006E78F3">
      <w:pPr>
        <w:spacing w:after="0" w:line="480" w:lineRule="auto"/>
        <w:ind w:firstLine="720"/>
        <w:rPr>
          <w:rFonts w:ascii="Times New Roman" w:hAnsi="Times New Roman" w:cs="Times New Roman"/>
          <w:sz w:val="24"/>
          <w:szCs w:val="24"/>
        </w:rPr>
      </w:pPr>
    </w:p>
    <w:p w14:paraId="5D061BBC" w14:textId="53A1963B" w:rsidR="00872399" w:rsidRPr="001B765D" w:rsidRDefault="004C14A7" w:rsidP="0073521F">
      <w:pPr>
        <w:spacing w:after="0" w:line="480" w:lineRule="auto"/>
        <w:rPr>
          <w:rFonts w:ascii="Times New Roman" w:eastAsiaTheme="majorEastAsia" w:hAnsi="Times New Roman" w:cs="Times New Roman"/>
          <w:b/>
          <w:bCs/>
          <w:sz w:val="28"/>
          <w:szCs w:val="24"/>
        </w:rPr>
      </w:pPr>
      <w:r>
        <w:rPr>
          <w:rFonts w:ascii="Times New Roman" w:eastAsiaTheme="majorEastAsia" w:hAnsi="Times New Roman" w:cs="Times New Roman"/>
          <w:b/>
          <w:bCs/>
          <w:sz w:val="28"/>
          <w:szCs w:val="24"/>
        </w:rPr>
        <w:t>Conclusion</w:t>
      </w:r>
    </w:p>
    <w:p w14:paraId="4031E89A" w14:textId="77777777" w:rsidR="001F0EB7" w:rsidRDefault="001F0EB7" w:rsidP="001F0EB7">
      <w:pPr>
        <w:spacing w:after="0" w:line="480" w:lineRule="auto"/>
        <w:rPr>
          <w:rFonts w:ascii="Times New Roman" w:hAnsi="Times New Roman" w:cs="Times New Roman"/>
          <w:sz w:val="24"/>
          <w:szCs w:val="24"/>
        </w:rPr>
      </w:pPr>
    </w:p>
    <w:p w14:paraId="4842666D" w14:textId="40177586" w:rsidR="001F0EB7" w:rsidRDefault="001F0EB7" w:rsidP="001F0EB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Among this group of respondents – 2009 and 2012 UK-domiciled first-degree graduates from six Russell Group universities – we saw </w:t>
      </w:r>
      <w:r w:rsidR="002C328D">
        <w:rPr>
          <w:rFonts w:ascii="Times New Roman" w:hAnsi="Times New Roman" w:cs="Times New Roman"/>
          <w:sz w:val="24"/>
          <w:szCs w:val="24"/>
        </w:rPr>
        <w:t xml:space="preserve">limited </w:t>
      </w:r>
      <w:r>
        <w:rPr>
          <w:rFonts w:ascii="Times New Roman" w:hAnsi="Times New Roman" w:cs="Times New Roman"/>
          <w:sz w:val="24"/>
          <w:szCs w:val="24"/>
        </w:rPr>
        <w:t xml:space="preserve">association of debt levels with progression to postgraduate study. Those with above-average levels of student debt were </w:t>
      </w:r>
      <w:r w:rsidR="002C328D">
        <w:rPr>
          <w:rFonts w:ascii="Times New Roman" w:hAnsi="Times New Roman" w:cs="Times New Roman"/>
          <w:sz w:val="24"/>
          <w:szCs w:val="24"/>
        </w:rPr>
        <w:t xml:space="preserve">slightly </w:t>
      </w:r>
      <w:r w:rsidR="002C328D" w:rsidRPr="00C0565B">
        <w:rPr>
          <w:rFonts w:ascii="Times New Roman" w:hAnsi="Times New Roman" w:cs="Times New Roman"/>
          <w:i/>
          <w:sz w:val="24"/>
          <w:szCs w:val="24"/>
        </w:rPr>
        <w:t>more</w:t>
      </w:r>
      <w:r w:rsidR="002C328D">
        <w:rPr>
          <w:rFonts w:ascii="Times New Roman" w:hAnsi="Times New Roman" w:cs="Times New Roman"/>
          <w:sz w:val="24"/>
          <w:szCs w:val="24"/>
        </w:rPr>
        <w:t xml:space="preserve"> </w:t>
      </w:r>
      <w:r>
        <w:rPr>
          <w:rFonts w:ascii="Times New Roman" w:hAnsi="Times New Roman" w:cs="Times New Roman"/>
          <w:sz w:val="24"/>
          <w:szCs w:val="24"/>
        </w:rPr>
        <w:t xml:space="preserve">likely to enrol as postgraduates. </w:t>
      </w:r>
      <w:proofErr w:type="gramStart"/>
      <w:r w:rsidR="003D2153">
        <w:rPr>
          <w:rFonts w:ascii="Times New Roman" w:hAnsi="Times New Roman" w:cs="Times New Roman"/>
          <w:sz w:val="24"/>
          <w:szCs w:val="24"/>
        </w:rPr>
        <w:t>Thus</w:t>
      </w:r>
      <w:proofErr w:type="gramEnd"/>
      <w:r w:rsidR="003D2153">
        <w:rPr>
          <w:rFonts w:ascii="Times New Roman" w:hAnsi="Times New Roman" w:cs="Times New Roman"/>
          <w:sz w:val="24"/>
          <w:szCs w:val="24"/>
        </w:rPr>
        <w:t xml:space="preserve"> the widely-held assumption that higher undergraduate debts will be associated with lower postgraduate e</w:t>
      </w:r>
      <w:r w:rsidR="00F664E1">
        <w:rPr>
          <w:rFonts w:ascii="Times New Roman" w:hAnsi="Times New Roman" w:cs="Times New Roman"/>
          <w:sz w:val="24"/>
          <w:szCs w:val="24"/>
        </w:rPr>
        <w:t>nrolment does not bear scrutiny</w:t>
      </w:r>
      <w:r w:rsidR="003D2153">
        <w:rPr>
          <w:rFonts w:ascii="Times New Roman" w:hAnsi="Times New Roman" w:cs="Times New Roman"/>
          <w:sz w:val="24"/>
          <w:szCs w:val="24"/>
        </w:rPr>
        <w:t>.</w:t>
      </w:r>
      <w:r w:rsidR="008B6886">
        <w:rPr>
          <w:rFonts w:ascii="Times New Roman" w:hAnsi="Times New Roman" w:cs="Times New Roman"/>
          <w:sz w:val="24"/>
          <w:szCs w:val="24"/>
        </w:rPr>
        <w:t xml:space="preserve"> There is however limited support for </w:t>
      </w:r>
      <w:r w:rsidR="008B6886" w:rsidRPr="008B6886">
        <w:rPr>
          <w:rFonts w:ascii="Times New Roman" w:hAnsi="Times New Roman" w:cs="Times New Roman"/>
          <w:sz w:val="24"/>
          <w:szCs w:val="24"/>
        </w:rPr>
        <w:t xml:space="preserve">our second </w:t>
      </w:r>
      <w:r w:rsidR="008B6886">
        <w:rPr>
          <w:rFonts w:ascii="Times New Roman" w:hAnsi="Times New Roman" w:cs="Times New Roman"/>
          <w:sz w:val="24"/>
          <w:szCs w:val="24"/>
        </w:rPr>
        <w:t>prediction</w:t>
      </w:r>
      <w:r w:rsidR="0025226E">
        <w:rPr>
          <w:rFonts w:ascii="Times New Roman" w:hAnsi="Times New Roman" w:cs="Times New Roman"/>
          <w:sz w:val="24"/>
          <w:szCs w:val="24"/>
        </w:rPr>
        <w:t xml:space="preserve">. Graduates from vocational disciplines and from law, economics and management are less likely than those from academically-focussed disciplines and STEM subjects to have entered a taught postgraduate degree. </w:t>
      </w:r>
      <w:proofErr w:type="gramStart"/>
      <w:r w:rsidR="0025226E">
        <w:rPr>
          <w:rFonts w:ascii="Times New Roman" w:hAnsi="Times New Roman" w:cs="Times New Roman"/>
          <w:sz w:val="24"/>
          <w:szCs w:val="24"/>
        </w:rPr>
        <w:t>However</w:t>
      </w:r>
      <w:proofErr w:type="gramEnd"/>
      <w:r w:rsidR="0025226E">
        <w:rPr>
          <w:rFonts w:ascii="Times New Roman" w:hAnsi="Times New Roman" w:cs="Times New Roman"/>
          <w:sz w:val="24"/>
          <w:szCs w:val="24"/>
        </w:rPr>
        <w:t xml:space="preserve"> STEM graduates – who we would expect </w:t>
      </w:r>
      <w:r w:rsidR="00C7557D">
        <w:rPr>
          <w:rFonts w:ascii="Times New Roman" w:hAnsi="Times New Roman" w:cs="Times New Roman"/>
          <w:sz w:val="24"/>
          <w:szCs w:val="24"/>
        </w:rPr>
        <w:t xml:space="preserve">to </w:t>
      </w:r>
      <w:r w:rsidR="0025226E">
        <w:rPr>
          <w:rFonts w:ascii="Times New Roman" w:hAnsi="Times New Roman" w:cs="Times New Roman"/>
          <w:sz w:val="24"/>
          <w:szCs w:val="24"/>
        </w:rPr>
        <w:t xml:space="preserve">find a favourable graduate labour market – were significantly more likely than </w:t>
      </w:r>
      <w:r w:rsidR="00A61397">
        <w:rPr>
          <w:rFonts w:ascii="Times New Roman" w:hAnsi="Times New Roman" w:cs="Times New Roman"/>
          <w:sz w:val="24"/>
          <w:szCs w:val="24"/>
        </w:rPr>
        <w:t>those from academically-focused degrees to have stayed on.</w:t>
      </w:r>
    </w:p>
    <w:p w14:paraId="36603C50" w14:textId="68BD094A" w:rsidR="001F0EB7" w:rsidRPr="009C1DA5" w:rsidRDefault="001F0EB7" w:rsidP="001F0EB7">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We </w:t>
      </w:r>
      <w:r w:rsidR="00F664E1">
        <w:rPr>
          <w:rFonts w:ascii="Times New Roman" w:hAnsi="Times New Roman" w:cs="Times New Roman"/>
          <w:sz w:val="24"/>
          <w:szCs w:val="24"/>
        </w:rPr>
        <w:t>deduce</w:t>
      </w:r>
      <w:r>
        <w:rPr>
          <w:rFonts w:ascii="Times New Roman" w:hAnsi="Times New Roman" w:cs="Times New Roman"/>
          <w:sz w:val="24"/>
          <w:szCs w:val="24"/>
        </w:rPr>
        <w:t xml:space="preserve"> that debt </w:t>
      </w:r>
      <w:r>
        <w:rPr>
          <w:rFonts w:ascii="Times New Roman" w:hAnsi="Times New Roman" w:cs="Times New Roman"/>
          <w:i/>
          <w:sz w:val="24"/>
          <w:szCs w:val="24"/>
        </w:rPr>
        <w:t>per se</w:t>
      </w:r>
      <w:r>
        <w:rPr>
          <w:rFonts w:ascii="Times New Roman" w:hAnsi="Times New Roman" w:cs="Times New Roman"/>
          <w:sz w:val="24"/>
          <w:szCs w:val="24"/>
        </w:rPr>
        <w:t xml:space="preserve"> is not the salient factor in postgraduate enrolment for </w:t>
      </w:r>
      <w:r w:rsidR="00C7557D">
        <w:rPr>
          <w:rFonts w:ascii="Times New Roman" w:hAnsi="Times New Roman" w:cs="Times New Roman"/>
          <w:sz w:val="24"/>
          <w:szCs w:val="24"/>
        </w:rPr>
        <w:t xml:space="preserve">our </w:t>
      </w:r>
      <w:r w:rsidR="004C2928">
        <w:rPr>
          <w:rFonts w:ascii="Times New Roman" w:hAnsi="Times New Roman" w:cs="Times New Roman"/>
          <w:sz w:val="24"/>
          <w:szCs w:val="24"/>
        </w:rPr>
        <w:t>graduates</w:t>
      </w:r>
      <w:r>
        <w:rPr>
          <w:rFonts w:ascii="Times New Roman" w:hAnsi="Times New Roman" w:cs="Times New Roman"/>
          <w:sz w:val="24"/>
          <w:szCs w:val="24"/>
        </w:rPr>
        <w:t xml:space="preserve">. While it will undoubtedly be significant for particular individuals, we do not see substantial systematic differences </w:t>
      </w:r>
      <w:r w:rsidR="004C2928">
        <w:rPr>
          <w:rFonts w:ascii="Times New Roman" w:hAnsi="Times New Roman" w:cs="Times New Roman"/>
          <w:sz w:val="24"/>
          <w:szCs w:val="24"/>
        </w:rPr>
        <w:t xml:space="preserve">in progression </w:t>
      </w:r>
      <w:r>
        <w:rPr>
          <w:rFonts w:ascii="Times New Roman" w:hAnsi="Times New Roman" w:cs="Times New Roman"/>
          <w:sz w:val="24"/>
          <w:szCs w:val="24"/>
        </w:rPr>
        <w:t xml:space="preserve">by levels of debt. Rather we postulate that </w:t>
      </w:r>
      <w:r w:rsidRPr="00F11564">
        <w:rPr>
          <w:rFonts w:ascii="Times New Roman" w:hAnsi="Times New Roman" w:cs="Times New Roman"/>
          <w:i/>
          <w:sz w:val="24"/>
          <w:szCs w:val="24"/>
        </w:rPr>
        <w:lastRenderedPageBreak/>
        <w:t>underlying financial resources</w:t>
      </w:r>
      <w:r>
        <w:rPr>
          <w:rFonts w:ascii="Times New Roman" w:hAnsi="Times New Roman" w:cs="Times New Roman"/>
          <w:sz w:val="24"/>
          <w:szCs w:val="24"/>
        </w:rPr>
        <w:t xml:space="preserve">, unobserved in our data, more strongly influence postgraduate enrolment. As funding for undergraduate study in England </w:t>
      </w:r>
      <w:r w:rsidR="002C328D">
        <w:rPr>
          <w:rFonts w:ascii="Times New Roman" w:hAnsi="Times New Roman" w:cs="Times New Roman"/>
          <w:sz w:val="24"/>
          <w:szCs w:val="24"/>
        </w:rPr>
        <w:t xml:space="preserve">has </w:t>
      </w:r>
      <w:r>
        <w:rPr>
          <w:rFonts w:ascii="Times New Roman" w:hAnsi="Times New Roman" w:cs="Times New Roman"/>
          <w:sz w:val="24"/>
          <w:szCs w:val="24"/>
        </w:rPr>
        <w:t>shift</w:t>
      </w:r>
      <w:r w:rsidR="002C328D">
        <w:rPr>
          <w:rFonts w:ascii="Times New Roman" w:hAnsi="Times New Roman" w:cs="Times New Roman"/>
          <w:sz w:val="24"/>
          <w:szCs w:val="24"/>
        </w:rPr>
        <w:t>ed</w:t>
      </w:r>
      <w:r>
        <w:rPr>
          <w:rFonts w:ascii="Times New Roman" w:hAnsi="Times New Roman" w:cs="Times New Roman"/>
          <w:sz w:val="24"/>
          <w:szCs w:val="24"/>
        </w:rPr>
        <w:t xml:space="preserve"> to loans, there is likely to be less variation in debt levels among undergraduates, who will nearly all be obliged to </w:t>
      </w:r>
      <w:r w:rsidR="00B17893">
        <w:rPr>
          <w:rFonts w:ascii="Times New Roman" w:hAnsi="Times New Roman" w:cs="Times New Roman"/>
          <w:sz w:val="24"/>
          <w:szCs w:val="24"/>
        </w:rPr>
        <w:t xml:space="preserve">(and be inured to) </w:t>
      </w:r>
      <w:r>
        <w:rPr>
          <w:rFonts w:ascii="Times New Roman" w:hAnsi="Times New Roman" w:cs="Times New Roman"/>
          <w:sz w:val="24"/>
          <w:szCs w:val="24"/>
        </w:rPr>
        <w:t>borrow to cover tuition fees and living costs. In the absence of systematic funding for taught postgraduate programmes</w:t>
      </w:r>
      <w:r w:rsidR="004C2928">
        <w:rPr>
          <w:rFonts w:ascii="Times New Roman" w:hAnsi="Times New Roman" w:cs="Times New Roman"/>
          <w:sz w:val="24"/>
          <w:szCs w:val="24"/>
        </w:rPr>
        <w:t>,</w:t>
      </w:r>
      <w:r>
        <w:rPr>
          <w:rFonts w:ascii="Times New Roman" w:hAnsi="Times New Roman" w:cs="Times New Roman"/>
          <w:sz w:val="24"/>
          <w:szCs w:val="24"/>
        </w:rPr>
        <w:t xml:space="preserve"> </w:t>
      </w:r>
      <w:r w:rsidR="00F664E1">
        <w:rPr>
          <w:rFonts w:ascii="Times New Roman" w:hAnsi="Times New Roman" w:cs="Times New Roman"/>
          <w:sz w:val="24"/>
          <w:szCs w:val="24"/>
        </w:rPr>
        <w:t>graduates</w:t>
      </w:r>
      <w:r>
        <w:rPr>
          <w:rFonts w:ascii="Times New Roman" w:hAnsi="Times New Roman" w:cs="Times New Roman"/>
          <w:sz w:val="24"/>
          <w:szCs w:val="24"/>
        </w:rPr>
        <w:t xml:space="preserve"> need independent financial means to pay tuition fees and cover their living costs. This is </w:t>
      </w:r>
      <w:r w:rsidR="00C7557D">
        <w:rPr>
          <w:rFonts w:ascii="Times New Roman" w:hAnsi="Times New Roman" w:cs="Times New Roman"/>
          <w:sz w:val="24"/>
          <w:szCs w:val="24"/>
        </w:rPr>
        <w:t xml:space="preserve">especially </w:t>
      </w:r>
      <w:r>
        <w:rPr>
          <w:rFonts w:ascii="Times New Roman" w:hAnsi="Times New Roman" w:cs="Times New Roman"/>
          <w:sz w:val="24"/>
          <w:szCs w:val="24"/>
        </w:rPr>
        <w:t xml:space="preserve">true for early-career graduates who are less likely to be able to call on employer support. </w:t>
      </w:r>
      <w:r w:rsidR="00F664E1">
        <w:rPr>
          <w:rFonts w:ascii="Times New Roman" w:hAnsi="Times New Roman" w:cs="Times New Roman"/>
          <w:sz w:val="24"/>
          <w:szCs w:val="24"/>
        </w:rPr>
        <w:t xml:space="preserve">There are </w:t>
      </w:r>
      <w:r>
        <w:rPr>
          <w:rFonts w:ascii="Times New Roman" w:hAnsi="Times New Roman" w:cs="Times New Roman"/>
          <w:sz w:val="24"/>
          <w:szCs w:val="24"/>
        </w:rPr>
        <w:t xml:space="preserve">clear differences in the financial support parents </w:t>
      </w:r>
      <w:r w:rsidR="00576B07">
        <w:rPr>
          <w:rFonts w:ascii="Times New Roman" w:hAnsi="Times New Roman" w:cs="Times New Roman"/>
          <w:sz w:val="24"/>
          <w:szCs w:val="24"/>
        </w:rPr>
        <w:t>can</w:t>
      </w:r>
      <w:r>
        <w:rPr>
          <w:rFonts w:ascii="Times New Roman" w:hAnsi="Times New Roman" w:cs="Times New Roman"/>
          <w:sz w:val="24"/>
          <w:szCs w:val="24"/>
        </w:rPr>
        <w:t xml:space="preserve"> provide to undergraduate children, with many affluent families extending this support into </w:t>
      </w:r>
      <w:r w:rsidR="00E43650">
        <w:rPr>
          <w:rFonts w:ascii="Times New Roman" w:hAnsi="Times New Roman" w:cs="Times New Roman"/>
          <w:sz w:val="24"/>
          <w:szCs w:val="24"/>
        </w:rPr>
        <w:t xml:space="preserve">later </w:t>
      </w:r>
      <w:r>
        <w:rPr>
          <w:rFonts w:ascii="Times New Roman" w:hAnsi="Times New Roman" w:cs="Times New Roman"/>
          <w:sz w:val="24"/>
          <w:szCs w:val="24"/>
        </w:rPr>
        <w:t>adulthood</w:t>
      </w:r>
      <w:r w:rsidR="00F664E1">
        <w:rPr>
          <w:rFonts w:ascii="Times New Roman" w:hAnsi="Times New Roman" w:cs="Times New Roman"/>
          <w:sz w:val="24"/>
          <w:szCs w:val="24"/>
        </w:rPr>
        <w:t xml:space="preserve"> (Houle, 2013; West </w:t>
      </w:r>
      <w:r w:rsidR="00F664E1">
        <w:rPr>
          <w:rFonts w:ascii="Times New Roman" w:hAnsi="Times New Roman" w:cs="Times New Roman"/>
          <w:i/>
          <w:sz w:val="24"/>
          <w:szCs w:val="24"/>
        </w:rPr>
        <w:t>et al</w:t>
      </w:r>
      <w:r w:rsidR="00F664E1">
        <w:rPr>
          <w:rFonts w:ascii="Times New Roman" w:hAnsi="Times New Roman" w:cs="Times New Roman"/>
          <w:sz w:val="24"/>
          <w:szCs w:val="24"/>
        </w:rPr>
        <w:t>., 2015)</w:t>
      </w:r>
      <w:r>
        <w:rPr>
          <w:rFonts w:ascii="Times New Roman" w:hAnsi="Times New Roman" w:cs="Times New Roman"/>
          <w:sz w:val="24"/>
          <w:szCs w:val="24"/>
        </w:rPr>
        <w:t>.</w:t>
      </w:r>
    </w:p>
    <w:p w14:paraId="24F6A54D" w14:textId="066BAAC6" w:rsidR="001F0EB7" w:rsidRDefault="001F0EB7" w:rsidP="001F0EB7">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While the new postgraduate loans on offer in the UK from 2016 will help somewhat, </w:t>
      </w:r>
      <w:r w:rsidR="004C14A7">
        <w:rPr>
          <w:rFonts w:ascii="Times New Roman" w:hAnsi="Times New Roman" w:cs="Times New Roman"/>
          <w:sz w:val="24"/>
          <w:szCs w:val="24"/>
        </w:rPr>
        <w:t xml:space="preserve">it is unlikely that the amount available </w:t>
      </w:r>
      <w:r>
        <w:rPr>
          <w:rFonts w:ascii="Times New Roman" w:hAnsi="Times New Roman" w:cs="Times New Roman"/>
          <w:sz w:val="24"/>
          <w:szCs w:val="24"/>
        </w:rPr>
        <w:t>will cover the full costs of postgraduate study. Moreover</w:t>
      </w:r>
      <w:r w:rsidR="00C7557D">
        <w:rPr>
          <w:rFonts w:ascii="Times New Roman" w:hAnsi="Times New Roman" w:cs="Times New Roman"/>
          <w:sz w:val="24"/>
          <w:szCs w:val="24"/>
        </w:rPr>
        <w:t>,</w:t>
      </w:r>
      <w:r>
        <w:rPr>
          <w:rFonts w:ascii="Times New Roman" w:hAnsi="Times New Roman" w:cs="Times New Roman"/>
          <w:sz w:val="24"/>
          <w:szCs w:val="24"/>
        </w:rPr>
        <w:t xml:space="preserve"> </w:t>
      </w:r>
      <w:r w:rsidR="004C14A7">
        <w:rPr>
          <w:rFonts w:ascii="Times New Roman" w:hAnsi="Times New Roman" w:cs="Times New Roman"/>
          <w:sz w:val="24"/>
          <w:szCs w:val="24"/>
        </w:rPr>
        <w:t>the loans</w:t>
      </w:r>
      <w:r>
        <w:rPr>
          <w:rFonts w:ascii="Times New Roman" w:hAnsi="Times New Roman" w:cs="Times New Roman"/>
          <w:sz w:val="24"/>
          <w:szCs w:val="24"/>
        </w:rPr>
        <w:t xml:space="preserve"> may actively worsen the situation since the financially advantaged will be best-placed to take them up and a substantial increase in master</w:t>
      </w:r>
      <w:r w:rsidR="0025476E">
        <w:rPr>
          <w:rFonts w:ascii="Times New Roman" w:hAnsi="Times New Roman" w:cs="Times New Roman"/>
          <w:sz w:val="24"/>
          <w:szCs w:val="24"/>
        </w:rPr>
        <w:t>’</w:t>
      </w:r>
      <w:r>
        <w:rPr>
          <w:rFonts w:ascii="Times New Roman" w:hAnsi="Times New Roman" w:cs="Times New Roman"/>
          <w:sz w:val="24"/>
          <w:szCs w:val="24"/>
        </w:rPr>
        <w:t xml:space="preserve">s enrolments </w:t>
      </w:r>
      <w:r w:rsidR="004C14A7">
        <w:rPr>
          <w:rFonts w:ascii="Times New Roman" w:hAnsi="Times New Roman" w:cs="Times New Roman"/>
          <w:sz w:val="24"/>
          <w:szCs w:val="24"/>
        </w:rPr>
        <w:t>could</w:t>
      </w:r>
      <w:r>
        <w:rPr>
          <w:rFonts w:ascii="Times New Roman" w:hAnsi="Times New Roman" w:cs="Times New Roman"/>
          <w:sz w:val="24"/>
          <w:szCs w:val="24"/>
        </w:rPr>
        <w:t xml:space="preserve"> deflate the value of a bachelor</w:t>
      </w:r>
      <w:r w:rsidR="00576B07">
        <w:rPr>
          <w:rFonts w:ascii="Times New Roman" w:hAnsi="Times New Roman" w:cs="Times New Roman"/>
          <w:sz w:val="24"/>
          <w:szCs w:val="24"/>
        </w:rPr>
        <w:t>’</w:t>
      </w:r>
      <w:r>
        <w:rPr>
          <w:rFonts w:ascii="Times New Roman" w:hAnsi="Times New Roman" w:cs="Times New Roman"/>
          <w:sz w:val="24"/>
          <w:szCs w:val="24"/>
        </w:rPr>
        <w:t xml:space="preserve">s degree. We also cannot be sure of the effect of considerably higher undergraduate debts </w:t>
      </w:r>
      <w:r w:rsidR="00576B07">
        <w:rPr>
          <w:rFonts w:ascii="Times New Roman" w:hAnsi="Times New Roman" w:cs="Times New Roman"/>
          <w:sz w:val="24"/>
          <w:szCs w:val="24"/>
        </w:rPr>
        <w:t xml:space="preserve">(from 2015) </w:t>
      </w:r>
      <w:r>
        <w:rPr>
          <w:rFonts w:ascii="Times New Roman" w:hAnsi="Times New Roman" w:cs="Times New Roman"/>
          <w:sz w:val="24"/>
          <w:szCs w:val="24"/>
        </w:rPr>
        <w:t>on postgraduate enrolment. There are no direct indications in our findings to suggest a deterrent effect</w:t>
      </w:r>
      <w:r w:rsidR="004C14A7">
        <w:rPr>
          <w:rFonts w:ascii="Times New Roman" w:hAnsi="Times New Roman" w:cs="Times New Roman"/>
          <w:sz w:val="24"/>
          <w:szCs w:val="24"/>
        </w:rPr>
        <w:t xml:space="preserve"> from vastly increased undergraduate tuition fees (and debt)</w:t>
      </w:r>
      <w:r>
        <w:rPr>
          <w:rFonts w:ascii="Times New Roman" w:hAnsi="Times New Roman" w:cs="Times New Roman"/>
          <w:sz w:val="24"/>
          <w:szCs w:val="24"/>
        </w:rPr>
        <w:t>, but this remains an open empirical question.</w:t>
      </w:r>
    </w:p>
    <w:p w14:paraId="25304574" w14:textId="4FC25A03" w:rsidR="001F0EB7" w:rsidRDefault="004945C1" w:rsidP="001F0EB7">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S</w:t>
      </w:r>
      <w:r w:rsidR="004C2928">
        <w:rPr>
          <w:rFonts w:ascii="Times New Roman" w:hAnsi="Times New Roman" w:cs="Times New Roman"/>
          <w:sz w:val="24"/>
          <w:szCs w:val="24"/>
        </w:rPr>
        <w:t xml:space="preserve">upport for relative risk aversion theory is limited in our dataset: children of graduate parents are more likely to transition to postgraduate study, but occupational and neighbourhood measures show weak associations with postgraduate enrolment which are statistically significant. </w:t>
      </w:r>
      <w:r w:rsidR="000A343D">
        <w:rPr>
          <w:rFonts w:ascii="Times New Roman" w:hAnsi="Times New Roman" w:cs="Times New Roman"/>
          <w:sz w:val="24"/>
          <w:szCs w:val="24"/>
        </w:rPr>
        <w:t>Within this set of universities, degree-level attainment appears more prominent in postgraduate transition than socio-economic background. We need to recall that there is a known</w:t>
      </w:r>
      <w:r w:rsidR="001F0EB7">
        <w:rPr>
          <w:rFonts w:ascii="Times New Roman" w:hAnsi="Times New Roman" w:cs="Times New Roman"/>
          <w:sz w:val="24"/>
          <w:szCs w:val="24"/>
        </w:rPr>
        <w:t xml:space="preserve"> link between type of university attended for the first degree and progression to postgraduate study (Wakeling and Hampden-Thompson, 2013). Graduates from lower socio-economic class backgrounds are underrepresented in those universities </w:t>
      </w:r>
      <w:r w:rsidR="000A343D">
        <w:rPr>
          <w:rFonts w:ascii="Times New Roman" w:hAnsi="Times New Roman" w:cs="Times New Roman"/>
          <w:sz w:val="24"/>
          <w:szCs w:val="24"/>
        </w:rPr>
        <w:t>with</w:t>
      </w:r>
      <w:r w:rsidR="001F0EB7">
        <w:rPr>
          <w:rFonts w:ascii="Times New Roman" w:hAnsi="Times New Roman" w:cs="Times New Roman"/>
          <w:sz w:val="24"/>
          <w:szCs w:val="24"/>
        </w:rPr>
        <w:t xml:space="preserve"> the highest </w:t>
      </w:r>
      <w:r w:rsidR="001F0EB7">
        <w:rPr>
          <w:rFonts w:ascii="Times New Roman" w:hAnsi="Times New Roman" w:cs="Times New Roman"/>
          <w:sz w:val="24"/>
          <w:szCs w:val="24"/>
        </w:rPr>
        <w:lastRenderedPageBreak/>
        <w:t xml:space="preserve">rates of transition to postgraduate study. Conditional on entering such universities however, their subsequent odds of postgraduate enrolment </w:t>
      </w:r>
      <w:r w:rsidR="000A343D">
        <w:rPr>
          <w:rFonts w:ascii="Times New Roman" w:hAnsi="Times New Roman" w:cs="Times New Roman"/>
          <w:sz w:val="24"/>
          <w:szCs w:val="24"/>
        </w:rPr>
        <w:t xml:space="preserve">does </w:t>
      </w:r>
      <w:r w:rsidR="001F0EB7">
        <w:rPr>
          <w:rFonts w:ascii="Times New Roman" w:hAnsi="Times New Roman" w:cs="Times New Roman"/>
          <w:sz w:val="24"/>
          <w:szCs w:val="24"/>
        </w:rPr>
        <w:t xml:space="preserve">not differ significantly from their more advantaged peers. Accordingly, research-intensive universities seeking to widen participation at postgraduate level </w:t>
      </w:r>
      <w:r w:rsidR="000A343D">
        <w:rPr>
          <w:rFonts w:ascii="Times New Roman" w:hAnsi="Times New Roman" w:cs="Times New Roman"/>
          <w:sz w:val="24"/>
          <w:szCs w:val="24"/>
        </w:rPr>
        <w:t xml:space="preserve">should not limit their </w:t>
      </w:r>
      <w:r>
        <w:rPr>
          <w:rFonts w:ascii="Times New Roman" w:hAnsi="Times New Roman" w:cs="Times New Roman"/>
          <w:sz w:val="24"/>
          <w:szCs w:val="24"/>
        </w:rPr>
        <w:t>attention to</w:t>
      </w:r>
      <w:r w:rsidR="000A343D">
        <w:rPr>
          <w:rFonts w:ascii="Times New Roman" w:hAnsi="Times New Roman" w:cs="Times New Roman"/>
          <w:sz w:val="24"/>
          <w:szCs w:val="24"/>
        </w:rPr>
        <w:t xml:space="preserve"> student finance. They would benefit from</w:t>
      </w:r>
      <w:r w:rsidR="001F0EB7">
        <w:rPr>
          <w:rFonts w:ascii="Times New Roman" w:hAnsi="Times New Roman" w:cs="Times New Roman"/>
          <w:sz w:val="24"/>
          <w:szCs w:val="24"/>
        </w:rPr>
        <w:t xml:space="preserve"> broadening their first-degree entry to expand the pool of potential recruits, as well as looking beyond their own graduates to diversify their intake. Widening postgraduate participation more generally will </w:t>
      </w:r>
      <w:r w:rsidR="000A343D">
        <w:rPr>
          <w:rFonts w:ascii="Times New Roman" w:hAnsi="Times New Roman" w:cs="Times New Roman"/>
          <w:sz w:val="24"/>
          <w:szCs w:val="24"/>
        </w:rPr>
        <w:t>mean a central role for</w:t>
      </w:r>
      <w:r w:rsidR="001F0EB7">
        <w:rPr>
          <w:rFonts w:ascii="Times New Roman" w:hAnsi="Times New Roman" w:cs="Times New Roman"/>
          <w:sz w:val="24"/>
          <w:szCs w:val="24"/>
        </w:rPr>
        <w:t xml:space="preserve"> those institutions which have a stronger track record of widening participation at undergraduate level.</w:t>
      </w:r>
    </w:p>
    <w:p w14:paraId="47E53BBF" w14:textId="77777777" w:rsidR="001F0EB7" w:rsidRPr="00D64AA7" w:rsidRDefault="001F0EB7" w:rsidP="001F0EB7">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Finally, we hope that our study helps to stimulate research into the longer-term implications of hugely increased student debts for graduates. Very little is known about the effect of large student debts on British graduates’ subsequent fortunes, including household formation, lifestyle, fertility, well-being, occupational and geographical mobility. Research on US students with excessive debts suggests they suffer material, personal and emotional consequences (</w:t>
      </w:r>
      <w:proofErr w:type="spellStart"/>
      <w:r>
        <w:rPr>
          <w:rFonts w:ascii="Times New Roman" w:hAnsi="Times New Roman" w:cs="Times New Roman"/>
          <w:sz w:val="24"/>
          <w:szCs w:val="24"/>
        </w:rPr>
        <w:t>Kantrowitz</w:t>
      </w:r>
      <w:proofErr w:type="spellEnd"/>
      <w:r>
        <w:rPr>
          <w:rFonts w:ascii="Times New Roman" w:hAnsi="Times New Roman" w:cs="Times New Roman"/>
          <w:sz w:val="24"/>
          <w:szCs w:val="24"/>
        </w:rPr>
        <w:t>, 2015). While we do not detect – yet – a clear debt-based deterrent to postgraduate enrolment, that does not mean that spiralling student debts are inconsequential.</w:t>
      </w:r>
    </w:p>
    <w:p w14:paraId="3CC9093E" w14:textId="77777777" w:rsidR="0031754A" w:rsidRDefault="0031754A" w:rsidP="0073521F">
      <w:pPr>
        <w:spacing w:after="0" w:line="480" w:lineRule="auto"/>
        <w:rPr>
          <w:rFonts w:ascii="Times New Roman" w:hAnsi="Times New Roman" w:cs="Times New Roman"/>
          <w:sz w:val="24"/>
          <w:szCs w:val="24"/>
        </w:rPr>
      </w:pPr>
    </w:p>
    <w:p w14:paraId="078D4D9F" w14:textId="11E86B94" w:rsidR="00492885" w:rsidRPr="00492885" w:rsidRDefault="00B91DBC" w:rsidP="0073521F">
      <w:pPr>
        <w:spacing w:after="0" w:line="480" w:lineRule="auto"/>
        <w:rPr>
          <w:rFonts w:ascii="Times New Roman" w:hAnsi="Times New Roman" w:cs="Times New Roman"/>
          <w:b/>
          <w:sz w:val="28"/>
          <w:szCs w:val="24"/>
        </w:rPr>
        <w:sectPr w:rsidR="00492885" w:rsidRPr="00492885" w:rsidSect="0083528C">
          <w:footerReference w:type="default" r:id="rId8"/>
          <w:endnotePr>
            <w:numFmt w:val="decimal"/>
          </w:endnotePr>
          <w:pgSz w:w="11906" w:h="16838"/>
          <w:pgMar w:top="1440" w:right="1440" w:bottom="1440" w:left="1440" w:header="708" w:footer="708" w:gutter="0"/>
          <w:cols w:space="708"/>
          <w:docGrid w:linePitch="360"/>
        </w:sectPr>
      </w:pPr>
      <w:r>
        <w:rPr>
          <w:rFonts w:ascii="Times New Roman" w:hAnsi="Times New Roman" w:cs="Times New Roman"/>
          <w:b/>
          <w:sz w:val="28"/>
          <w:szCs w:val="24"/>
        </w:rPr>
        <w:t>Note</w:t>
      </w:r>
      <w:r w:rsidR="00A3388C">
        <w:rPr>
          <w:rFonts w:ascii="Times New Roman" w:hAnsi="Times New Roman" w:cs="Times New Roman"/>
          <w:b/>
          <w:sz w:val="28"/>
          <w:szCs w:val="24"/>
        </w:rPr>
        <w:t>s</w:t>
      </w:r>
    </w:p>
    <w:p w14:paraId="650188B0" w14:textId="06E5C1B3" w:rsidR="00207811" w:rsidRDefault="00207811" w:rsidP="0073521F">
      <w:pPr>
        <w:spacing w:after="0" w:line="480" w:lineRule="auto"/>
        <w:rPr>
          <w:rFonts w:ascii="Times New Roman" w:hAnsi="Times New Roman" w:cs="Times New Roman"/>
          <w:sz w:val="28"/>
          <w:szCs w:val="24"/>
        </w:rPr>
      </w:pPr>
      <w:r>
        <w:rPr>
          <w:rFonts w:ascii="Times New Roman" w:hAnsi="Times New Roman" w:cs="Times New Roman"/>
          <w:b/>
          <w:sz w:val="28"/>
          <w:szCs w:val="24"/>
        </w:rPr>
        <w:lastRenderedPageBreak/>
        <w:t>Acknowledgements</w:t>
      </w:r>
    </w:p>
    <w:p w14:paraId="3744A9DF" w14:textId="36ABDC67" w:rsidR="00207811" w:rsidRDefault="00622B41" w:rsidP="0073521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research was funded under </w:t>
      </w:r>
      <w:r w:rsidR="00627BA7">
        <w:rPr>
          <w:rFonts w:ascii="Times New Roman" w:hAnsi="Times New Roman" w:cs="Times New Roman"/>
          <w:sz w:val="24"/>
          <w:szCs w:val="24"/>
        </w:rPr>
        <w:t>HEFCE’s</w:t>
      </w:r>
      <w:r>
        <w:rPr>
          <w:rFonts w:ascii="Times New Roman" w:hAnsi="Times New Roman" w:cs="Times New Roman"/>
          <w:sz w:val="24"/>
          <w:szCs w:val="24"/>
        </w:rPr>
        <w:t xml:space="preserve"> Postgraduate Support Scheme 2014-15 (ref. G0166). We are grateful to colleagues</w:t>
      </w:r>
      <w:r w:rsidR="00310849">
        <w:rPr>
          <w:rFonts w:ascii="Times New Roman" w:hAnsi="Times New Roman" w:cs="Times New Roman"/>
          <w:sz w:val="24"/>
          <w:szCs w:val="24"/>
        </w:rPr>
        <w:t xml:space="preserve"> at participating institutions </w:t>
      </w:r>
      <w:r>
        <w:rPr>
          <w:rFonts w:ascii="Times New Roman" w:hAnsi="Times New Roman" w:cs="Times New Roman"/>
          <w:sz w:val="24"/>
          <w:szCs w:val="24"/>
        </w:rPr>
        <w:t>for support across the research</w:t>
      </w:r>
      <w:r w:rsidR="00E22E42">
        <w:rPr>
          <w:rFonts w:ascii="Times New Roman" w:hAnsi="Times New Roman" w:cs="Times New Roman"/>
          <w:sz w:val="24"/>
          <w:szCs w:val="24"/>
        </w:rPr>
        <w:t xml:space="preserve"> and to our</w:t>
      </w:r>
      <w:r>
        <w:rPr>
          <w:rFonts w:ascii="Times New Roman" w:hAnsi="Times New Roman" w:cs="Times New Roman"/>
          <w:sz w:val="24"/>
          <w:szCs w:val="24"/>
        </w:rPr>
        <w:t xml:space="preserve"> respondents for their time and interest.</w:t>
      </w:r>
      <w:r w:rsidR="00F473A1">
        <w:rPr>
          <w:rFonts w:ascii="Times New Roman" w:hAnsi="Times New Roman" w:cs="Times New Roman"/>
          <w:sz w:val="24"/>
          <w:szCs w:val="24"/>
        </w:rPr>
        <w:t xml:space="preserve"> We thank Stacey Bielick </w:t>
      </w:r>
      <w:r w:rsidR="00AB5F37">
        <w:rPr>
          <w:rFonts w:ascii="Times New Roman" w:hAnsi="Times New Roman" w:cs="Times New Roman"/>
          <w:sz w:val="24"/>
          <w:szCs w:val="24"/>
        </w:rPr>
        <w:t>and Kate Purcell for suggestions on the survey</w:t>
      </w:r>
      <w:r w:rsidR="000A31BE">
        <w:rPr>
          <w:rFonts w:ascii="Times New Roman" w:hAnsi="Times New Roman" w:cs="Times New Roman"/>
          <w:sz w:val="24"/>
          <w:szCs w:val="24"/>
        </w:rPr>
        <w:t xml:space="preserve">; Neil Harrison </w:t>
      </w:r>
      <w:r w:rsidR="00FD3CF7">
        <w:rPr>
          <w:rFonts w:ascii="Times New Roman" w:hAnsi="Times New Roman" w:cs="Times New Roman"/>
          <w:sz w:val="24"/>
          <w:szCs w:val="24"/>
        </w:rPr>
        <w:t xml:space="preserve">and two anonymous reviewers </w:t>
      </w:r>
      <w:r w:rsidR="000A31BE">
        <w:rPr>
          <w:rFonts w:ascii="Times New Roman" w:hAnsi="Times New Roman" w:cs="Times New Roman"/>
          <w:sz w:val="24"/>
          <w:szCs w:val="24"/>
        </w:rPr>
        <w:t>for comments on an earlier draft</w:t>
      </w:r>
      <w:r w:rsidR="00F82208">
        <w:rPr>
          <w:rFonts w:ascii="Times New Roman" w:hAnsi="Times New Roman" w:cs="Times New Roman"/>
          <w:sz w:val="24"/>
          <w:szCs w:val="24"/>
        </w:rPr>
        <w:t>; and Andy Field for statistical advice</w:t>
      </w:r>
      <w:r w:rsidR="00B91DBC">
        <w:rPr>
          <w:rFonts w:ascii="Times New Roman" w:hAnsi="Times New Roman" w:cs="Times New Roman"/>
          <w:sz w:val="24"/>
          <w:szCs w:val="24"/>
        </w:rPr>
        <w:t>.</w:t>
      </w:r>
    </w:p>
    <w:p w14:paraId="71EAD65A" w14:textId="752FFDCC" w:rsidR="00207811" w:rsidRDefault="00207811" w:rsidP="0073521F">
      <w:pPr>
        <w:spacing w:after="0" w:line="480" w:lineRule="auto"/>
        <w:rPr>
          <w:rFonts w:ascii="Times New Roman" w:hAnsi="Times New Roman" w:cs="Times New Roman"/>
          <w:sz w:val="24"/>
          <w:szCs w:val="24"/>
        </w:rPr>
      </w:pPr>
    </w:p>
    <w:p w14:paraId="4D287218" w14:textId="77777777" w:rsidR="00B91DBC" w:rsidRPr="00207811" w:rsidRDefault="00B91DBC" w:rsidP="0073521F">
      <w:pPr>
        <w:spacing w:after="0" w:line="480" w:lineRule="auto"/>
        <w:rPr>
          <w:rFonts w:ascii="Times New Roman" w:hAnsi="Times New Roman" w:cs="Times New Roman"/>
          <w:sz w:val="24"/>
          <w:szCs w:val="24"/>
        </w:rPr>
      </w:pPr>
    </w:p>
    <w:p w14:paraId="62E2E31C" w14:textId="565C1D6D" w:rsidR="00FB1E14" w:rsidRPr="00171635" w:rsidRDefault="00BC6261" w:rsidP="0073521F">
      <w:pPr>
        <w:spacing w:after="0" w:line="480" w:lineRule="auto"/>
        <w:rPr>
          <w:rFonts w:ascii="Times New Roman" w:hAnsi="Times New Roman" w:cs="Times New Roman"/>
          <w:b/>
          <w:sz w:val="28"/>
          <w:szCs w:val="24"/>
        </w:rPr>
      </w:pPr>
      <w:r w:rsidRPr="00171635">
        <w:rPr>
          <w:rFonts w:ascii="Times New Roman" w:hAnsi="Times New Roman" w:cs="Times New Roman"/>
          <w:b/>
          <w:sz w:val="28"/>
          <w:szCs w:val="24"/>
        </w:rPr>
        <w:t>References</w:t>
      </w:r>
    </w:p>
    <w:p w14:paraId="3080CEE6" w14:textId="77777777" w:rsidR="00F81C51" w:rsidRDefault="00F81C51" w:rsidP="00F61E81">
      <w:pPr>
        <w:spacing w:after="0" w:line="480" w:lineRule="auto"/>
        <w:rPr>
          <w:rFonts w:ascii="Times New Roman" w:hAnsi="Times New Roman" w:cs="Times New Roman"/>
          <w:sz w:val="24"/>
          <w:szCs w:val="24"/>
        </w:rPr>
      </w:pPr>
    </w:p>
    <w:p w14:paraId="7900AD98" w14:textId="77777777" w:rsidR="00F61E81" w:rsidRPr="006602CE" w:rsidRDefault="00F61E81" w:rsidP="00F61E81">
      <w:pPr>
        <w:spacing w:after="0" w:line="480" w:lineRule="auto"/>
        <w:rPr>
          <w:rFonts w:ascii="Times New Roman" w:hAnsi="Times New Roman" w:cs="Times New Roman"/>
          <w:sz w:val="24"/>
          <w:szCs w:val="24"/>
        </w:rPr>
      </w:pPr>
      <w:proofErr w:type="spellStart"/>
      <w:r w:rsidRPr="006602CE">
        <w:rPr>
          <w:rFonts w:ascii="Times New Roman" w:hAnsi="Times New Roman" w:cs="Times New Roman"/>
          <w:sz w:val="24"/>
          <w:szCs w:val="24"/>
        </w:rPr>
        <w:t>Bachan</w:t>
      </w:r>
      <w:proofErr w:type="spellEnd"/>
      <w:r w:rsidRPr="006602CE">
        <w:rPr>
          <w:rFonts w:ascii="Times New Roman" w:hAnsi="Times New Roman" w:cs="Times New Roman"/>
          <w:sz w:val="24"/>
          <w:szCs w:val="24"/>
        </w:rPr>
        <w:t xml:space="preserve">, R. </w:t>
      </w:r>
      <w:r>
        <w:rPr>
          <w:rFonts w:ascii="Times New Roman" w:hAnsi="Times New Roman" w:cs="Times New Roman"/>
          <w:sz w:val="24"/>
          <w:szCs w:val="24"/>
        </w:rPr>
        <w:t>(</w:t>
      </w:r>
      <w:r w:rsidRPr="006602CE">
        <w:rPr>
          <w:rFonts w:ascii="Times New Roman" w:hAnsi="Times New Roman" w:cs="Times New Roman"/>
          <w:sz w:val="24"/>
          <w:szCs w:val="24"/>
        </w:rPr>
        <w:t>2013</w:t>
      </w:r>
      <w:r>
        <w:rPr>
          <w:rFonts w:ascii="Times New Roman" w:hAnsi="Times New Roman" w:cs="Times New Roman"/>
          <w:sz w:val="24"/>
          <w:szCs w:val="24"/>
        </w:rPr>
        <w:t>)</w:t>
      </w:r>
      <w:r w:rsidRPr="006602CE">
        <w:rPr>
          <w:rFonts w:ascii="Times New Roman" w:hAnsi="Times New Roman" w:cs="Times New Roman"/>
          <w:sz w:val="24"/>
          <w:szCs w:val="24"/>
        </w:rPr>
        <w:t xml:space="preserve"> Students’ expectations of debt in UK higher education. </w:t>
      </w:r>
      <w:r w:rsidRPr="006602CE">
        <w:rPr>
          <w:rFonts w:ascii="Times New Roman" w:hAnsi="Times New Roman" w:cs="Times New Roman"/>
          <w:i/>
          <w:sz w:val="24"/>
          <w:szCs w:val="24"/>
        </w:rPr>
        <w:t>Studies in Higher Education</w:t>
      </w:r>
      <w:r w:rsidRPr="006602CE">
        <w:rPr>
          <w:rFonts w:ascii="Times New Roman" w:hAnsi="Times New Roman" w:cs="Times New Roman"/>
          <w:sz w:val="24"/>
          <w:szCs w:val="24"/>
        </w:rPr>
        <w:t>, 39</w:t>
      </w:r>
      <w:r>
        <w:rPr>
          <w:rFonts w:ascii="Times New Roman" w:hAnsi="Times New Roman" w:cs="Times New Roman"/>
          <w:sz w:val="24"/>
          <w:szCs w:val="24"/>
        </w:rPr>
        <w:t>,</w:t>
      </w:r>
      <w:r w:rsidRPr="006602CE">
        <w:rPr>
          <w:rFonts w:ascii="Times New Roman" w:hAnsi="Times New Roman" w:cs="Times New Roman"/>
          <w:sz w:val="24"/>
          <w:szCs w:val="24"/>
        </w:rPr>
        <w:t xml:space="preserve"> 5</w:t>
      </w:r>
      <w:r>
        <w:rPr>
          <w:rFonts w:ascii="Times New Roman" w:hAnsi="Times New Roman" w:cs="Times New Roman"/>
          <w:sz w:val="24"/>
          <w:szCs w:val="24"/>
        </w:rPr>
        <w:t>,</w:t>
      </w:r>
      <w:r w:rsidRPr="006602CE">
        <w:rPr>
          <w:rFonts w:ascii="Times New Roman" w:hAnsi="Times New Roman" w:cs="Times New Roman"/>
          <w:sz w:val="24"/>
          <w:szCs w:val="24"/>
        </w:rPr>
        <w:t xml:space="preserve"> 848 – 873.</w:t>
      </w:r>
    </w:p>
    <w:p w14:paraId="2A1092B6" w14:textId="77777777" w:rsidR="00F61E81" w:rsidRPr="006602CE" w:rsidRDefault="00F61E81" w:rsidP="00F61E81">
      <w:pPr>
        <w:spacing w:after="0" w:line="480" w:lineRule="auto"/>
        <w:rPr>
          <w:rFonts w:ascii="Times New Roman" w:hAnsi="Times New Roman" w:cs="Times New Roman"/>
          <w:sz w:val="24"/>
          <w:szCs w:val="24"/>
        </w:rPr>
      </w:pPr>
    </w:p>
    <w:p w14:paraId="13D5129A" w14:textId="1F0463E5" w:rsidR="00E875BF" w:rsidRDefault="00E875BF" w:rsidP="00E875BF">
      <w:pPr>
        <w:spacing w:after="0" w:line="480" w:lineRule="auto"/>
        <w:rPr>
          <w:rFonts w:ascii="Times New Roman" w:hAnsi="Times New Roman" w:cs="Times New Roman"/>
          <w:sz w:val="24"/>
          <w:szCs w:val="24"/>
        </w:rPr>
      </w:pPr>
      <w:r w:rsidRPr="00CA173C">
        <w:rPr>
          <w:rFonts w:ascii="Times New Roman" w:hAnsi="Times New Roman" w:cs="Times New Roman"/>
          <w:sz w:val="24"/>
          <w:szCs w:val="24"/>
        </w:rPr>
        <w:t xml:space="preserve">Baum, S. </w:t>
      </w:r>
      <w:r>
        <w:rPr>
          <w:rFonts w:ascii="Times New Roman" w:hAnsi="Times New Roman" w:cs="Times New Roman"/>
          <w:sz w:val="24"/>
          <w:szCs w:val="24"/>
        </w:rPr>
        <w:t>and</w:t>
      </w:r>
      <w:r w:rsidRPr="00CA173C">
        <w:rPr>
          <w:rFonts w:ascii="Times New Roman" w:hAnsi="Times New Roman" w:cs="Times New Roman"/>
          <w:sz w:val="24"/>
          <w:szCs w:val="24"/>
        </w:rPr>
        <w:t xml:space="preserve"> O’Malley, M. (2003). </w:t>
      </w:r>
      <w:r w:rsidRPr="00CA173C">
        <w:rPr>
          <w:rFonts w:ascii="Times New Roman" w:hAnsi="Times New Roman" w:cs="Times New Roman"/>
          <w:i/>
          <w:sz w:val="24"/>
          <w:szCs w:val="24"/>
        </w:rPr>
        <w:t>College on credit: How borrowers perceive their education debt. Results of the 2002 National Loan Survey (Final Report).</w:t>
      </w:r>
      <w:r w:rsidRPr="00CA173C">
        <w:rPr>
          <w:rFonts w:ascii="Times New Roman" w:hAnsi="Times New Roman" w:cs="Times New Roman"/>
          <w:sz w:val="24"/>
          <w:szCs w:val="24"/>
        </w:rPr>
        <w:t xml:space="preserve"> Braintree, MA: Nellie Mae.</w:t>
      </w:r>
    </w:p>
    <w:p w14:paraId="06790F9A" w14:textId="77777777" w:rsidR="00E875BF" w:rsidRPr="00CA173C" w:rsidRDefault="00E875BF" w:rsidP="00E875BF">
      <w:pPr>
        <w:spacing w:after="0" w:line="480" w:lineRule="auto"/>
        <w:rPr>
          <w:rFonts w:ascii="Times New Roman" w:hAnsi="Times New Roman" w:cs="Times New Roman"/>
          <w:sz w:val="24"/>
          <w:szCs w:val="24"/>
        </w:rPr>
      </w:pPr>
    </w:p>
    <w:p w14:paraId="58D91892" w14:textId="77777777" w:rsidR="00F61E81" w:rsidRPr="00DA47E9" w:rsidRDefault="00F61E81" w:rsidP="00F61E8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Belasco, A. S., </w:t>
      </w:r>
      <w:proofErr w:type="spellStart"/>
      <w:r>
        <w:rPr>
          <w:rFonts w:ascii="Times New Roman" w:hAnsi="Times New Roman" w:cs="Times New Roman"/>
          <w:sz w:val="24"/>
          <w:szCs w:val="24"/>
        </w:rPr>
        <w:t>Trivette</w:t>
      </w:r>
      <w:proofErr w:type="spellEnd"/>
      <w:r>
        <w:rPr>
          <w:rFonts w:ascii="Times New Roman" w:hAnsi="Times New Roman" w:cs="Times New Roman"/>
          <w:sz w:val="24"/>
          <w:szCs w:val="24"/>
        </w:rPr>
        <w:t>, M. J. and Webber, K. L.  (2015) A</w:t>
      </w:r>
      <w:r w:rsidRPr="00DA47E9">
        <w:rPr>
          <w:rFonts w:ascii="Times New Roman" w:hAnsi="Times New Roman" w:cs="Times New Roman"/>
          <w:sz w:val="24"/>
          <w:szCs w:val="24"/>
        </w:rPr>
        <w:t xml:space="preserve">dvanced degrees of debt: </w:t>
      </w:r>
      <w:proofErr w:type="spellStart"/>
      <w:r w:rsidRPr="00DA47E9">
        <w:rPr>
          <w:rFonts w:ascii="Times New Roman" w:hAnsi="Times New Roman" w:cs="Times New Roman"/>
          <w:sz w:val="24"/>
          <w:szCs w:val="24"/>
        </w:rPr>
        <w:t>analyzing</w:t>
      </w:r>
      <w:proofErr w:type="spellEnd"/>
      <w:r w:rsidRPr="00DA47E9">
        <w:rPr>
          <w:rFonts w:ascii="Times New Roman" w:hAnsi="Times New Roman" w:cs="Times New Roman"/>
          <w:sz w:val="24"/>
          <w:szCs w:val="24"/>
        </w:rPr>
        <w:t xml:space="preserve"> the patterns and determinants of graduate student borrowing</w:t>
      </w:r>
      <w:r>
        <w:rPr>
          <w:rFonts w:ascii="Times New Roman" w:hAnsi="Times New Roman" w:cs="Times New Roman"/>
          <w:sz w:val="24"/>
          <w:szCs w:val="24"/>
        </w:rPr>
        <w:t xml:space="preserve">. </w:t>
      </w:r>
      <w:r>
        <w:rPr>
          <w:rFonts w:ascii="Times New Roman" w:hAnsi="Times New Roman" w:cs="Times New Roman"/>
          <w:i/>
          <w:sz w:val="24"/>
          <w:szCs w:val="24"/>
        </w:rPr>
        <w:t>Review of Higher Education</w:t>
      </w:r>
      <w:r>
        <w:rPr>
          <w:rFonts w:ascii="Times New Roman" w:hAnsi="Times New Roman" w:cs="Times New Roman"/>
          <w:sz w:val="24"/>
          <w:szCs w:val="24"/>
        </w:rPr>
        <w:t>, 37, 4, 469 – 497.</w:t>
      </w:r>
    </w:p>
    <w:p w14:paraId="1B908BAF" w14:textId="77777777" w:rsidR="00F61E81" w:rsidRDefault="00F61E81" w:rsidP="00F61E81">
      <w:pPr>
        <w:spacing w:after="0" w:line="480" w:lineRule="auto"/>
        <w:rPr>
          <w:rFonts w:ascii="Times New Roman" w:hAnsi="Times New Roman" w:cs="Times New Roman"/>
          <w:sz w:val="24"/>
          <w:szCs w:val="24"/>
        </w:rPr>
      </w:pPr>
    </w:p>
    <w:p w14:paraId="134B689B" w14:textId="77777777" w:rsidR="00F61E81" w:rsidRDefault="00F61E81" w:rsidP="00F61E81">
      <w:pPr>
        <w:spacing w:after="0" w:line="480" w:lineRule="auto"/>
        <w:rPr>
          <w:rFonts w:ascii="Times New Roman" w:hAnsi="Times New Roman" w:cs="Times New Roman"/>
          <w:sz w:val="24"/>
          <w:szCs w:val="24"/>
        </w:rPr>
      </w:pPr>
      <w:r w:rsidRPr="00217014">
        <w:rPr>
          <w:rFonts w:ascii="Times New Roman" w:hAnsi="Times New Roman" w:cs="Times New Roman"/>
          <w:sz w:val="24"/>
          <w:szCs w:val="24"/>
        </w:rPr>
        <w:t xml:space="preserve">BIS (Department for Business, Innovation and Skills) </w:t>
      </w:r>
      <w:r>
        <w:rPr>
          <w:rFonts w:ascii="Times New Roman" w:hAnsi="Times New Roman" w:cs="Times New Roman"/>
          <w:sz w:val="24"/>
          <w:szCs w:val="24"/>
        </w:rPr>
        <w:t>(</w:t>
      </w:r>
      <w:r w:rsidRPr="00217014">
        <w:rPr>
          <w:rFonts w:ascii="Times New Roman" w:hAnsi="Times New Roman" w:cs="Times New Roman"/>
          <w:sz w:val="24"/>
          <w:szCs w:val="24"/>
        </w:rPr>
        <w:t>2015</w:t>
      </w:r>
      <w:r>
        <w:rPr>
          <w:rFonts w:ascii="Times New Roman" w:hAnsi="Times New Roman" w:cs="Times New Roman"/>
          <w:sz w:val="24"/>
          <w:szCs w:val="24"/>
        </w:rPr>
        <w:t>)</w:t>
      </w:r>
      <w:r w:rsidRPr="00217014">
        <w:rPr>
          <w:rFonts w:ascii="Times New Roman" w:hAnsi="Times New Roman" w:cs="Times New Roman"/>
          <w:sz w:val="24"/>
          <w:szCs w:val="24"/>
        </w:rPr>
        <w:t xml:space="preserve">. </w:t>
      </w:r>
      <w:r w:rsidRPr="00217014">
        <w:rPr>
          <w:rFonts w:ascii="Times New Roman" w:hAnsi="Times New Roman" w:cs="Times New Roman"/>
          <w:i/>
          <w:sz w:val="24"/>
          <w:szCs w:val="24"/>
        </w:rPr>
        <w:t>Consultation on Support for Postgraduate Study</w:t>
      </w:r>
      <w:r w:rsidRPr="00217014">
        <w:rPr>
          <w:rFonts w:ascii="Times New Roman" w:hAnsi="Times New Roman" w:cs="Times New Roman"/>
          <w:sz w:val="24"/>
          <w:szCs w:val="24"/>
        </w:rPr>
        <w:t>. London: BIS.</w:t>
      </w:r>
    </w:p>
    <w:p w14:paraId="38DDF51C" w14:textId="77777777" w:rsidR="00F61E81" w:rsidRDefault="00F61E81" w:rsidP="00F61E8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Bolton, P. (2015) </w:t>
      </w:r>
      <w:r>
        <w:rPr>
          <w:rFonts w:ascii="Times New Roman" w:hAnsi="Times New Roman" w:cs="Times New Roman"/>
          <w:i/>
          <w:sz w:val="24"/>
          <w:szCs w:val="24"/>
        </w:rPr>
        <w:t>Tuition Fee Statistics (Briefing Paper Number 917)</w:t>
      </w:r>
      <w:r>
        <w:rPr>
          <w:rFonts w:ascii="Times New Roman" w:hAnsi="Times New Roman" w:cs="Times New Roman"/>
          <w:sz w:val="24"/>
          <w:szCs w:val="24"/>
        </w:rPr>
        <w:t xml:space="preserve"> (London, House of Commons Library).</w:t>
      </w:r>
    </w:p>
    <w:p w14:paraId="58FE8358" w14:textId="7A3319C1" w:rsidR="00F61E81" w:rsidRDefault="00E875BF" w:rsidP="00F61E81">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Breen, R. and Goldthorpe, J. H. (1997) </w:t>
      </w:r>
      <w:r w:rsidRPr="00E875BF">
        <w:rPr>
          <w:rFonts w:ascii="Times New Roman" w:hAnsi="Times New Roman" w:cs="Times New Roman"/>
          <w:sz w:val="24"/>
          <w:szCs w:val="24"/>
        </w:rPr>
        <w:t xml:space="preserve">Explaining educational credentials: towards a formal rational action theory. </w:t>
      </w:r>
      <w:r w:rsidRPr="002014D4">
        <w:rPr>
          <w:rFonts w:ascii="Times New Roman" w:hAnsi="Times New Roman" w:cs="Times New Roman"/>
          <w:i/>
          <w:sz w:val="24"/>
          <w:szCs w:val="24"/>
        </w:rPr>
        <w:t>Rationality and Society</w:t>
      </w:r>
      <w:r w:rsidRPr="00E875BF">
        <w:rPr>
          <w:rFonts w:ascii="Times New Roman" w:hAnsi="Times New Roman" w:cs="Times New Roman"/>
          <w:sz w:val="24"/>
          <w:szCs w:val="24"/>
        </w:rPr>
        <w:t>, 9</w:t>
      </w:r>
      <w:r>
        <w:rPr>
          <w:rFonts w:ascii="Times New Roman" w:hAnsi="Times New Roman" w:cs="Times New Roman"/>
          <w:sz w:val="24"/>
          <w:szCs w:val="24"/>
        </w:rPr>
        <w:t>,</w:t>
      </w:r>
      <w:r w:rsidRPr="00E875BF">
        <w:rPr>
          <w:rFonts w:ascii="Times New Roman" w:hAnsi="Times New Roman" w:cs="Times New Roman"/>
          <w:sz w:val="24"/>
          <w:szCs w:val="24"/>
        </w:rPr>
        <w:t xml:space="preserve"> 3, 275 – 305. </w:t>
      </w:r>
    </w:p>
    <w:p w14:paraId="137D302E" w14:textId="77777777" w:rsidR="004A3130" w:rsidRDefault="004A3130" w:rsidP="00F61E81">
      <w:pPr>
        <w:spacing w:after="0" w:line="480" w:lineRule="auto"/>
        <w:rPr>
          <w:rFonts w:ascii="Times New Roman" w:hAnsi="Times New Roman" w:cs="Times New Roman"/>
          <w:sz w:val="24"/>
          <w:szCs w:val="24"/>
        </w:rPr>
      </w:pPr>
    </w:p>
    <w:p w14:paraId="1779F8F6" w14:textId="0DEB35D7" w:rsidR="00E875BF" w:rsidRDefault="0083001F" w:rsidP="00F61E81">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Buis</w:t>
      </w:r>
      <w:proofErr w:type="spellEnd"/>
      <w:r>
        <w:rPr>
          <w:rFonts w:ascii="Times New Roman" w:hAnsi="Times New Roman" w:cs="Times New Roman"/>
          <w:sz w:val="24"/>
          <w:szCs w:val="24"/>
        </w:rPr>
        <w:t xml:space="preserve">, M. (2016) </w:t>
      </w:r>
      <w:r w:rsidRPr="0083001F">
        <w:rPr>
          <w:rFonts w:ascii="Times New Roman" w:hAnsi="Times New Roman" w:cs="Times New Roman"/>
          <w:sz w:val="24"/>
          <w:szCs w:val="24"/>
        </w:rPr>
        <w:t>Logistic regression: When can we do what we think we can do?</w:t>
      </w:r>
      <w:r>
        <w:rPr>
          <w:rFonts w:ascii="Times New Roman" w:hAnsi="Times New Roman" w:cs="Times New Roman"/>
          <w:sz w:val="24"/>
          <w:szCs w:val="24"/>
        </w:rPr>
        <w:t xml:space="preserve"> Unpublished working paper, available at: </w:t>
      </w:r>
      <w:hyperlink r:id="rId9" w:history="1">
        <w:r w:rsidRPr="00EA23F0">
          <w:rPr>
            <w:rStyle w:val="Hyperlink"/>
            <w:rFonts w:ascii="Times New Roman" w:hAnsi="Times New Roman" w:cs="Times New Roman"/>
            <w:sz w:val="24"/>
            <w:szCs w:val="24"/>
          </w:rPr>
          <w:t>http://www.maartenbuis.nl/wp/odds_ratio_2.3.pdf</w:t>
        </w:r>
      </w:hyperlink>
      <w:r>
        <w:rPr>
          <w:rFonts w:ascii="Times New Roman" w:hAnsi="Times New Roman" w:cs="Times New Roman"/>
          <w:sz w:val="24"/>
          <w:szCs w:val="24"/>
        </w:rPr>
        <w:t xml:space="preserve"> (accessed </w:t>
      </w:r>
      <w:r w:rsidR="0007635E">
        <w:rPr>
          <w:rFonts w:ascii="Times New Roman" w:hAnsi="Times New Roman" w:cs="Times New Roman"/>
          <w:sz w:val="24"/>
          <w:szCs w:val="24"/>
        </w:rPr>
        <w:t>2 May 2017).</w:t>
      </w:r>
    </w:p>
    <w:p w14:paraId="108F1C81" w14:textId="77777777" w:rsidR="0083001F" w:rsidRDefault="0083001F" w:rsidP="00F61E81">
      <w:pPr>
        <w:spacing w:after="0" w:line="480" w:lineRule="auto"/>
        <w:rPr>
          <w:rFonts w:ascii="Times New Roman" w:hAnsi="Times New Roman" w:cs="Times New Roman"/>
          <w:sz w:val="24"/>
          <w:szCs w:val="24"/>
        </w:rPr>
      </w:pPr>
    </w:p>
    <w:p w14:paraId="767865E6" w14:textId="695AFD78" w:rsidR="00F61E81" w:rsidRDefault="00D83FF7" w:rsidP="00F61E81">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D</w:t>
      </w:r>
      <w:r w:rsidR="00F61E81">
        <w:rPr>
          <w:rFonts w:ascii="Times New Roman" w:hAnsi="Times New Roman" w:cs="Times New Roman"/>
          <w:sz w:val="24"/>
          <w:szCs w:val="24"/>
        </w:rPr>
        <w:t>’Aguiar</w:t>
      </w:r>
      <w:proofErr w:type="spellEnd"/>
      <w:r w:rsidR="00F61E81">
        <w:rPr>
          <w:rFonts w:ascii="Times New Roman" w:hAnsi="Times New Roman" w:cs="Times New Roman"/>
          <w:sz w:val="24"/>
          <w:szCs w:val="24"/>
        </w:rPr>
        <w:t xml:space="preserve">, S. and Harrison, N. (2015) </w:t>
      </w:r>
      <w:r w:rsidR="00F61E81" w:rsidRPr="00853F95">
        <w:rPr>
          <w:rFonts w:ascii="Times New Roman" w:hAnsi="Times New Roman" w:cs="Times New Roman"/>
          <w:sz w:val="24"/>
          <w:szCs w:val="24"/>
        </w:rPr>
        <w:t>Returning from earning: UK graduates returning to postgraduate study, with particular respect to STEM subjects, gender and ethnicity</w:t>
      </w:r>
      <w:r w:rsidR="00F61E81">
        <w:rPr>
          <w:rFonts w:ascii="Times New Roman" w:hAnsi="Times New Roman" w:cs="Times New Roman"/>
          <w:sz w:val="24"/>
          <w:szCs w:val="24"/>
        </w:rPr>
        <w:t xml:space="preserve">. </w:t>
      </w:r>
      <w:r w:rsidR="00F61E81">
        <w:rPr>
          <w:rFonts w:ascii="Times New Roman" w:hAnsi="Times New Roman" w:cs="Times New Roman"/>
          <w:i/>
          <w:sz w:val="24"/>
          <w:szCs w:val="24"/>
        </w:rPr>
        <w:t>Journal of Education and Work</w:t>
      </w:r>
      <w:r w:rsidR="00F61E81">
        <w:rPr>
          <w:rFonts w:ascii="Times New Roman" w:hAnsi="Times New Roman" w:cs="Times New Roman"/>
          <w:sz w:val="24"/>
          <w:szCs w:val="24"/>
        </w:rPr>
        <w:t xml:space="preserve">. DOI: </w:t>
      </w:r>
      <w:r w:rsidR="00F61E81" w:rsidRPr="00853F95">
        <w:rPr>
          <w:rFonts w:ascii="Times New Roman" w:hAnsi="Times New Roman" w:cs="Times New Roman"/>
          <w:sz w:val="24"/>
          <w:szCs w:val="24"/>
        </w:rPr>
        <w:t>10.1080/13639080.2014.1001332</w:t>
      </w:r>
      <w:r w:rsidR="00F61E81">
        <w:rPr>
          <w:rFonts w:ascii="Times New Roman" w:hAnsi="Times New Roman" w:cs="Times New Roman"/>
          <w:sz w:val="24"/>
          <w:szCs w:val="24"/>
        </w:rPr>
        <w:t>.</w:t>
      </w:r>
    </w:p>
    <w:p w14:paraId="0A28B603" w14:textId="77777777" w:rsidR="00344D1D" w:rsidRDefault="00344D1D" w:rsidP="00F61E81">
      <w:pPr>
        <w:spacing w:after="0" w:line="480" w:lineRule="auto"/>
        <w:rPr>
          <w:rFonts w:ascii="Times New Roman" w:hAnsi="Times New Roman" w:cs="Times New Roman"/>
          <w:sz w:val="24"/>
          <w:szCs w:val="24"/>
        </w:rPr>
      </w:pPr>
    </w:p>
    <w:p w14:paraId="56DB39ED" w14:textId="44A7554A" w:rsidR="00344D1D" w:rsidRDefault="00344D1D" w:rsidP="00F61E8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Ellison, R. and Purcell, K. (2014). </w:t>
      </w:r>
      <w:r w:rsidRPr="00344D1D">
        <w:rPr>
          <w:rFonts w:ascii="Times New Roman" w:hAnsi="Times New Roman" w:cs="Times New Roman"/>
          <w:i/>
          <w:sz w:val="24"/>
          <w:szCs w:val="24"/>
        </w:rPr>
        <w:t xml:space="preserve">Addressing the research questions via </w:t>
      </w:r>
      <w:proofErr w:type="spellStart"/>
      <w:r w:rsidRPr="00344D1D">
        <w:rPr>
          <w:rFonts w:ascii="Times New Roman" w:hAnsi="Times New Roman" w:cs="Times New Roman"/>
          <w:i/>
          <w:sz w:val="24"/>
          <w:szCs w:val="24"/>
        </w:rPr>
        <w:t>Futuretrack</w:t>
      </w:r>
      <w:proofErr w:type="spellEnd"/>
      <w:r w:rsidRPr="00344D1D">
        <w:rPr>
          <w:rFonts w:ascii="Times New Roman" w:hAnsi="Times New Roman" w:cs="Times New Roman"/>
          <w:i/>
          <w:sz w:val="24"/>
          <w:szCs w:val="24"/>
        </w:rPr>
        <w:t xml:space="preserve"> data analysis: Final Report.</w:t>
      </w:r>
      <w:r w:rsidRPr="00344D1D">
        <w:rPr>
          <w:rFonts w:ascii="Times New Roman" w:hAnsi="Times New Roman" w:cs="Times New Roman"/>
          <w:sz w:val="24"/>
          <w:szCs w:val="24"/>
        </w:rPr>
        <w:t xml:space="preserve"> Coventry: Institute for Employment Research, University of Warwick.</w:t>
      </w:r>
    </w:p>
    <w:p w14:paraId="0A3CA1DA" w14:textId="77777777" w:rsidR="00F61E81" w:rsidRDefault="00F61E81" w:rsidP="00F61E81">
      <w:pPr>
        <w:spacing w:after="0" w:line="480" w:lineRule="auto"/>
        <w:rPr>
          <w:rFonts w:ascii="Times New Roman" w:hAnsi="Times New Roman" w:cs="Times New Roman"/>
          <w:sz w:val="24"/>
          <w:szCs w:val="24"/>
        </w:rPr>
      </w:pPr>
    </w:p>
    <w:p w14:paraId="5319D514" w14:textId="31D3AD0A" w:rsidR="00F61E81" w:rsidRDefault="00F61E81" w:rsidP="00F61E8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English, D. and </w:t>
      </w:r>
      <w:proofErr w:type="spellStart"/>
      <w:r>
        <w:rPr>
          <w:rFonts w:ascii="Times New Roman" w:hAnsi="Times New Roman" w:cs="Times New Roman"/>
          <w:sz w:val="24"/>
          <w:szCs w:val="24"/>
        </w:rPr>
        <w:t>Umbach</w:t>
      </w:r>
      <w:proofErr w:type="spellEnd"/>
      <w:r>
        <w:rPr>
          <w:rFonts w:ascii="Times New Roman" w:hAnsi="Times New Roman" w:cs="Times New Roman"/>
          <w:sz w:val="24"/>
          <w:szCs w:val="24"/>
        </w:rPr>
        <w:t>, P. D. (2016) G</w:t>
      </w:r>
      <w:r w:rsidRPr="00AA684E">
        <w:rPr>
          <w:rFonts w:ascii="Times New Roman" w:hAnsi="Times New Roman" w:cs="Times New Roman"/>
          <w:sz w:val="24"/>
          <w:szCs w:val="24"/>
        </w:rPr>
        <w:t>raduate school choice: an examination of individual and institutional effects</w:t>
      </w:r>
      <w:r>
        <w:rPr>
          <w:rFonts w:ascii="Times New Roman" w:hAnsi="Times New Roman" w:cs="Times New Roman"/>
          <w:sz w:val="24"/>
          <w:szCs w:val="24"/>
        </w:rPr>
        <w:t xml:space="preserve">. </w:t>
      </w:r>
      <w:r>
        <w:rPr>
          <w:rFonts w:ascii="Times New Roman" w:hAnsi="Times New Roman" w:cs="Times New Roman"/>
          <w:i/>
          <w:sz w:val="24"/>
          <w:szCs w:val="24"/>
        </w:rPr>
        <w:t>The Review of Higher Education</w:t>
      </w:r>
      <w:r>
        <w:rPr>
          <w:rFonts w:ascii="Times New Roman" w:hAnsi="Times New Roman" w:cs="Times New Roman"/>
          <w:sz w:val="24"/>
          <w:szCs w:val="24"/>
        </w:rPr>
        <w:t>, 39, 2, 173 – 211.</w:t>
      </w:r>
    </w:p>
    <w:p w14:paraId="20A225E3" w14:textId="77777777" w:rsidR="00C6437E" w:rsidRPr="00AA684E" w:rsidRDefault="00C6437E" w:rsidP="00F61E81">
      <w:pPr>
        <w:spacing w:after="0" w:line="480" w:lineRule="auto"/>
        <w:rPr>
          <w:rFonts w:ascii="Times New Roman" w:hAnsi="Times New Roman" w:cs="Times New Roman"/>
          <w:sz w:val="24"/>
          <w:szCs w:val="24"/>
        </w:rPr>
      </w:pPr>
    </w:p>
    <w:p w14:paraId="056F9C8C" w14:textId="77777777" w:rsidR="00F61E81" w:rsidRPr="00547051" w:rsidRDefault="00F61E81" w:rsidP="00F61E81">
      <w:pPr>
        <w:spacing w:after="0" w:line="480" w:lineRule="auto"/>
        <w:rPr>
          <w:rFonts w:ascii="Times New Roman" w:hAnsi="Times New Roman" w:cs="Times New Roman"/>
          <w:sz w:val="24"/>
          <w:szCs w:val="24"/>
        </w:rPr>
      </w:pPr>
      <w:proofErr w:type="spellStart"/>
      <w:r w:rsidRPr="00547051">
        <w:rPr>
          <w:rFonts w:ascii="Times New Roman" w:hAnsi="Times New Roman" w:cs="Times New Roman"/>
          <w:sz w:val="24"/>
          <w:szCs w:val="24"/>
        </w:rPr>
        <w:t>Esson</w:t>
      </w:r>
      <w:proofErr w:type="spellEnd"/>
      <w:r w:rsidRPr="00547051">
        <w:rPr>
          <w:rFonts w:ascii="Times New Roman" w:hAnsi="Times New Roman" w:cs="Times New Roman"/>
          <w:sz w:val="24"/>
          <w:szCs w:val="24"/>
        </w:rPr>
        <w:t xml:space="preserve">, J. and </w:t>
      </w:r>
      <w:proofErr w:type="spellStart"/>
      <w:r w:rsidRPr="00547051">
        <w:rPr>
          <w:rFonts w:ascii="Times New Roman" w:hAnsi="Times New Roman" w:cs="Times New Roman"/>
          <w:sz w:val="24"/>
          <w:szCs w:val="24"/>
        </w:rPr>
        <w:t>Ertl</w:t>
      </w:r>
      <w:proofErr w:type="spellEnd"/>
      <w:r w:rsidRPr="00547051">
        <w:rPr>
          <w:rFonts w:ascii="Times New Roman" w:hAnsi="Times New Roman" w:cs="Times New Roman"/>
          <w:sz w:val="24"/>
          <w:szCs w:val="24"/>
        </w:rPr>
        <w:t xml:space="preserve">, H. </w:t>
      </w:r>
      <w:r>
        <w:rPr>
          <w:rFonts w:ascii="Times New Roman" w:hAnsi="Times New Roman" w:cs="Times New Roman"/>
          <w:sz w:val="24"/>
          <w:szCs w:val="24"/>
        </w:rPr>
        <w:t>(</w:t>
      </w:r>
      <w:r w:rsidRPr="00547051">
        <w:rPr>
          <w:rFonts w:ascii="Times New Roman" w:hAnsi="Times New Roman" w:cs="Times New Roman"/>
          <w:sz w:val="24"/>
          <w:szCs w:val="24"/>
        </w:rPr>
        <w:t>2014</w:t>
      </w:r>
      <w:r>
        <w:rPr>
          <w:rFonts w:ascii="Times New Roman" w:hAnsi="Times New Roman" w:cs="Times New Roman"/>
          <w:sz w:val="24"/>
          <w:szCs w:val="24"/>
        </w:rPr>
        <w:t>)</w:t>
      </w:r>
      <w:r w:rsidRPr="00547051">
        <w:rPr>
          <w:rFonts w:ascii="Times New Roman" w:hAnsi="Times New Roman" w:cs="Times New Roman"/>
          <w:sz w:val="24"/>
          <w:szCs w:val="24"/>
        </w:rPr>
        <w:t xml:space="preserve"> No point worrying? Potential undergraduates, study-related debt, and the financial allure of higher education. </w:t>
      </w:r>
      <w:r w:rsidRPr="00547051">
        <w:rPr>
          <w:rFonts w:ascii="Times New Roman" w:hAnsi="Times New Roman" w:cs="Times New Roman"/>
          <w:i/>
          <w:sz w:val="24"/>
          <w:szCs w:val="24"/>
        </w:rPr>
        <w:t>Studies in Higher Education</w:t>
      </w:r>
      <w:r w:rsidRPr="00547051">
        <w:rPr>
          <w:rFonts w:ascii="Times New Roman" w:hAnsi="Times New Roman" w:cs="Times New Roman"/>
          <w:sz w:val="24"/>
          <w:szCs w:val="24"/>
        </w:rPr>
        <w:t>. DOI: 10.1080/03075079.2014.968542.</w:t>
      </w:r>
    </w:p>
    <w:p w14:paraId="25D5541E" w14:textId="77777777" w:rsidR="00F61E81" w:rsidRDefault="00F61E81" w:rsidP="00F61E81">
      <w:pPr>
        <w:spacing w:after="0" w:line="480" w:lineRule="auto"/>
        <w:rPr>
          <w:rFonts w:ascii="Times New Roman" w:hAnsi="Times New Roman" w:cs="Times New Roman"/>
          <w:sz w:val="24"/>
          <w:szCs w:val="24"/>
        </w:rPr>
      </w:pPr>
    </w:p>
    <w:p w14:paraId="0408D1A7" w14:textId="4FC23509" w:rsidR="00F61E81" w:rsidRDefault="00F61E81" w:rsidP="00F61E81">
      <w:pPr>
        <w:spacing w:after="0" w:line="480" w:lineRule="auto"/>
        <w:rPr>
          <w:rFonts w:ascii="Times New Roman" w:hAnsi="Times New Roman" w:cs="Times New Roman"/>
          <w:sz w:val="24"/>
          <w:szCs w:val="24"/>
        </w:rPr>
      </w:pPr>
      <w:r w:rsidRPr="00E47A93">
        <w:rPr>
          <w:rFonts w:ascii="Times New Roman" w:hAnsi="Times New Roman" w:cs="Times New Roman"/>
          <w:sz w:val="24"/>
          <w:szCs w:val="24"/>
        </w:rPr>
        <w:t>Hancock</w:t>
      </w:r>
      <w:r w:rsidR="00B91DBC">
        <w:rPr>
          <w:rFonts w:ascii="Times New Roman" w:hAnsi="Times New Roman" w:cs="Times New Roman"/>
          <w:sz w:val="24"/>
          <w:szCs w:val="24"/>
        </w:rPr>
        <w:t>, S., Wakeling, P. and Hampden-Thompson, G.</w:t>
      </w:r>
      <w:r w:rsidRPr="00E47A93">
        <w:rPr>
          <w:rFonts w:ascii="Times New Roman" w:hAnsi="Times New Roman" w:cs="Times New Roman"/>
          <w:sz w:val="24"/>
          <w:szCs w:val="24"/>
        </w:rPr>
        <w:t xml:space="preserve"> (2015) </w:t>
      </w:r>
      <w:r w:rsidRPr="00E47A93">
        <w:rPr>
          <w:rFonts w:ascii="Times New Roman" w:hAnsi="Times New Roman" w:cs="Times New Roman"/>
          <w:i/>
          <w:sz w:val="24"/>
          <w:szCs w:val="24"/>
        </w:rPr>
        <w:t xml:space="preserve">Technical Supplement to the </w:t>
      </w:r>
      <w:r w:rsidRPr="00E47A93">
        <w:rPr>
          <w:rFonts w:ascii="Times New Roman" w:hAnsi="Times New Roman" w:cs="Times New Roman"/>
          <w:sz w:val="24"/>
          <w:szCs w:val="24"/>
        </w:rPr>
        <w:t>Understanding the Student</w:t>
      </w:r>
      <w:r w:rsidRPr="00E47A93">
        <w:rPr>
          <w:rFonts w:ascii="Times New Roman" w:hAnsi="Times New Roman" w:cs="Times New Roman"/>
          <w:i/>
          <w:sz w:val="24"/>
          <w:szCs w:val="24"/>
        </w:rPr>
        <w:t xml:space="preserve"> Strand Report</w:t>
      </w:r>
      <w:r>
        <w:rPr>
          <w:rFonts w:ascii="Times New Roman" w:hAnsi="Times New Roman" w:cs="Times New Roman"/>
          <w:sz w:val="24"/>
          <w:szCs w:val="24"/>
        </w:rPr>
        <w:t xml:space="preserve"> (Sheffield: University of Sheffield).</w:t>
      </w:r>
    </w:p>
    <w:p w14:paraId="02788AC3" w14:textId="77777777" w:rsidR="00380CEA" w:rsidRDefault="00380CEA" w:rsidP="00F61E81">
      <w:pPr>
        <w:spacing w:after="0" w:line="480" w:lineRule="auto"/>
        <w:rPr>
          <w:rFonts w:ascii="Times New Roman" w:hAnsi="Times New Roman" w:cs="Times New Roman"/>
          <w:sz w:val="24"/>
          <w:szCs w:val="24"/>
        </w:rPr>
      </w:pPr>
    </w:p>
    <w:p w14:paraId="615FA378" w14:textId="0A7B1E4C" w:rsidR="00F61E81" w:rsidRDefault="00380CEA" w:rsidP="00F61E81">
      <w:pPr>
        <w:spacing w:after="0" w:line="480" w:lineRule="auto"/>
        <w:rPr>
          <w:rFonts w:ascii="Times New Roman" w:hAnsi="Times New Roman" w:cs="Times New Roman"/>
          <w:sz w:val="24"/>
          <w:szCs w:val="24"/>
        </w:rPr>
      </w:pPr>
      <w:r w:rsidRPr="00380CEA">
        <w:rPr>
          <w:rFonts w:ascii="Times New Roman" w:hAnsi="Times New Roman" w:cs="Times New Roman"/>
          <w:sz w:val="24"/>
          <w:szCs w:val="24"/>
        </w:rPr>
        <w:lastRenderedPageBreak/>
        <w:t>Ha</w:t>
      </w:r>
      <w:r w:rsidR="00CA173C">
        <w:rPr>
          <w:rFonts w:ascii="Times New Roman" w:hAnsi="Times New Roman" w:cs="Times New Roman"/>
          <w:sz w:val="24"/>
          <w:szCs w:val="24"/>
        </w:rPr>
        <w:t xml:space="preserve">nsen, K. and </w:t>
      </w:r>
      <w:proofErr w:type="spellStart"/>
      <w:r w:rsidR="00CA173C">
        <w:rPr>
          <w:rFonts w:ascii="Times New Roman" w:hAnsi="Times New Roman" w:cs="Times New Roman"/>
          <w:sz w:val="24"/>
          <w:szCs w:val="24"/>
        </w:rPr>
        <w:t>Kneale</w:t>
      </w:r>
      <w:proofErr w:type="spellEnd"/>
      <w:r w:rsidR="00CA173C">
        <w:rPr>
          <w:rFonts w:ascii="Times New Roman" w:hAnsi="Times New Roman" w:cs="Times New Roman"/>
          <w:sz w:val="24"/>
          <w:szCs w:val="24"/>
        </w:rPr>
        <w:t xml:space="preserve">, D. (2011). </w:t>
      </w:r>
      <w:hyperlink r:id="rId10" w:history="1">
        <w:r w:rsidRPr="00380CEA">
          <w:rPr>
            <w:rFonts w:ascii="Times New Roman" w:hAnsi="Times New Roman" w:cs="Times New Roman"/>
            <w:sz w:val="24"/>
            <w:szCs w:val="24"/>
          </w:rPr>
          <w:t>Does how you measure income make a difference to measuring poverty?</w:t>
        </w:r>
      </w:hyperlink>
      <w:r w:rsidR="00CA173C">
        <w:rPr>
          <w:rFonts w:ascii="Times New Roman" w:hAnsi="Times New Roman" w:cs="Times New Roman"/>
          <w:sz w:val="24"/>
          <w:szCs w:val="24"/>
        </w:rPr>
        <w:t xml:space="preserve"> </w:t>
      </w:r>
      <w:r w:rsidRPr="00380CEA">
        <w:rPr>
          <w:rFonts w:ascii="Times New Roman" w:hAnsi="Times New Roman" w:cs="Times New Roman"/>
          <w:sz w:val="24"/>
          <w:szCs w:val="24"/>
        </w:rPr>
        <w:t>CLS Working Paper 2011/1. London: Centre for Longitudinal Studies.</w:t>
      </w:r>
    </w:p>
    <w:p w14:paraId="656FFCEE" w14:textId="77777777" w:rsidR="00380CEA" w:rsidRDefault="00380CEA" w:rsidP="00F61E81">
      <w:pPr>
        <w:spacing w:after="0" w:line="480" w:lineRule="auto"/>
        <w:rPr>
          <w:rFonts w:ascii="Times New Roman" w:hAnsi="Times New Roman" w:cs="Times New Roman"/>
          <w:sz w:val="24"/>
          <w:szCs w:val="24"/>
        </w:rPr>
      </w:pPr>
    </w:p>
    <w:p w14:paraId="2D0F2E74" w14:textId="77777777" w:rsidR="00F61E81" w:rsidRDefault="00F61E81" w:rsidP="00F61E8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Harrison, N., Agnew, S. and </w:t>
      </w:r>
      <w:proofErr w:type="spellStart"/>
      <w:r>
        <w:rPr>
          <w:rFonts w:ascii="Times New Roman" w:hAnsi="Times New Roman" w:cs="Times New Roman"/>
          <w:sz w:val="24"/>
          <w:szCs w:val="24"/>
        </w:rPr>
        <w:t>Serido</w:t>
      </w:r>
      <w:proofErr w:type="spellEnd"/>
      <w:r>
        <w:rPr>
          <w:rFonts w:ascii="Times New Roman" w:hAnsi="Times New Roman" w:cs="Times New Roman"/>
          <w:sz w:val="24"/>
          <w:szCs w:val="24"/>
        </w:rPr>
        <w:t xml:space="preserve">, J. (2015) </w:t>
      </w:r>
      <w:r w:rsidRPr="00A3720D">
        <w:rPr>
          <w:rFonts w:ascii="Times New Roman" w:hAnsi="Times New Roman" w:cs="Times New Roman"/>
          <w:sz w:val="24"/>
          <w:szCs w:val="24"/>
        </w:rPr>
        <w:t>Attitudes to debt among indebted undergraduates: a cross-national exploratory factor analysis</w:t>
      </w:r>
      <w:r>
        <w:rPr>
          <w:rFonts w:ascii="Times New Roman" w:hAnsi="Times New Roman" w:cs="Times New Roman"/>
          <w:sz w:val="24"/>
          <w:szCs w:val="24"/>
        </w:rPr>
        <w:t xml:space="preserve">. </w:t>
      </w:r>
      <w:r>
        <w:rPr>
          <w:rFonts w:ascii="Times New Roman" w:hAnsi="Times New Roman" w:cs="Times New Roman"/>
          <w:i/>
          <w:sz w:val="24"/>
          <w:szCs w:val="24"/>
        </w:rPr>
        <w:t>Journal of Economic Psychology</w:t>
      </w:r>
      <w:r>
        <w:rPr>
          <w:rFonts w:ascii="Times New Roman" w:hAnsi="Times New Roman" w:cs="Times New Roman"/>
          <w:sz w:val="24"/>
          <w:szCs w:val="24"/>
        </w:rPr>
        <w:t>. DOI:</w:t>
      </w:r>
      <w:r w:rsidRPr="00A3720D">
        <w:rPr>
          <w:rFonts w:ascii="Times New Roman" w:hAnsi="Times New Roman" w:cs="Times New Roman"/>
          <w:sz w:val="24"/>
          <w:szCs w:val="24"/>
        </w:rPr>
        <w:t>10.1016/j.joep.2014.11.005</w:t>
      </w:r>
      <w:r>
        <w:rPr>
          <w:rFonts w:ascii="Times New Roman" w:hAnsi="Times New Roman" w:cs="Times New Roman"/>
          <w:sz w:val="24"/>
          <w:szCs w:val="24"/>
        </w:rPr>
        <w:t>.</w:t>
      </w:r>
    </w:p>
    <w:p w14:paraId="3A75D548" w14:textId="77777777" w:rsidR="00F61E81" w:rsidRPr="00A3720D" w:rsidRDefault="00F61E81" w:rsidP="00F61E81">
      <w:pPr>
        <w:spacing w:after="0" w:line="480" w:lineRule="auto"/>
        <w:rPr>
          <w:rFonts w:ascii="Times New Roman" w:hAnsi="Times New Roman" w:cs="Times New Roman"/>
          <w:sz w:val="24"/>
          <w:szCs w:val="24"/>
        </w:rPr>
      </w:pPr>
    </w:p>
    <w:p w14:paraId="55840D63" w14:textId="77777777" w:rsidR="00F61E81" w:rsidRPr="00881C86" w:rsidRDefault="00F61E81" w:rsidP="00F61E8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Harrison, N. and </w:t>
      </w:r>
      <w:proofErr w:type="spellStart"/>
      <w:r>
        <w:rPr>
          <w:rFonts w:ascii="Times New Roman" w:hAnsi="Times New Roman" w:cs="Times New Roman"/>
          <w:sz w:val="24"/>
          <w:szCs w:val="24"/>
        </w:rPr>
        <w:t>Chudry</w:t>
      </w:r>
      <w:proofErr w:type="spellEnd"/>
      <w:r>
        <w:rPr>
          <w:rFonts w:ascii="Times New Roman" w:hAnsi="Times New Roman" w:cs="Times New Roman"/>
          <w:sz w:val="24"/>
          <w:szCs w:val="24"/>
        </w:rPr>
        <w:t xml:space="preserve">, F. (2011) </w:t>
      </w:r>
      <w:r w:rsidRPr="00881C86">
        <w:rPr>
          <w:rFonts w:ascii="Times New Roman" w:hAnsi="Times New Roman" w:cs="Times New Roman"/>
          <w:sz w:val="24"/>
          <w:szCs w:val="24"/>
        </w:rPr>
        <w:t>Overactive, overwrought or overdrawn? The role of personality in undergraduate financial knowledge, decision</w:t>
      </w:r>
      <w:r w:rsidRPr="00881C86">
        <w:rPr>
          <w:rFonts w:ascii="Cambria Math" w:hAnsi="Cambria Math" w:cs="Cambria Math"/>
          <w:sz w:val="24"/>
          <w:szCs w:val="24"/>
        </w:rPr>
        <w:t>‐</w:t>
      </w:r>
      <w:r w:rsidRPr="00881C86">
        <w:rPr>
          <w:rFonts w:ascii="Times New Roman" w:hAnsi="Times New Roman" w:cs="Times New Roman"/>
          <w:sz w:val="24"/>
          <w:szCs w:val="24"/>
        </w:rPr>
        <w:t>making and debt</w:t>
      </w:r>
      <w:r>
        <w:rPr>
          <w:rFonts w:ascii="Times New Roman" w:hAnsi="Times New Roman" w:cs="Times New Roman"/>
          <w:sz w:val="24"/>
          <w:szCs w:val="24"/>
        </w:rPr>
        <w:t xml:space="preserve">. </w:t>
      </w:r>
      <w:r>
        <w:rPr>
          <w:rFonts w:ascii="Times New Roman" w:hAnsi="Times New Roman" w:cs="Times New Roman"/>
          <w:i/>
          <w:sz w:val="24"/>
          <w:szCs w:val="24"/>
        </w:rPr>
        <w:t>Journal of Further and Higher Education</w:t>
      </w:r>
      <w:r>
        <w:rPr>
          <w:rFonts w:ascii="Times New Roman" w:hAnsi="Times New Roman" w:cs="Times New Roman"/>
          <w:sz w:val="24"/>
          <w:szCs w:val="24"/>
        </w:rPr>
        <w:t>, 35, 2, 149 – 182.</w:t>
      </w:r>
    </w:p>
    <w:p w14:paraId="46026DD3" w14:textId="77777777" w:rsidR="00F61E81" w:rsidRPr="001B765D" w:rsidRDefault="00F61E81" w:rsidP="00F61E81">
      <w:pPr>
        <w:spacing w:after="0" w:line="480" w:lineRule="auto"/>
        <w:rPr>
          <w:rFonts w:ascii="Times New Roman" w:hAnsi="Times New Roman" w:cs="Times New Roman"/>
          <w:sz w:val="24"/>
          <w:szCs w:val="24"/>
        </w:rPr>
      </w:pPr>
    </w:p>
    <w:p w14:paraId="663C0FD7" w14:textId="77777777" w:rsidR="00F61E81" w:rsidRPr="00547051" w:rsidRDefault="00F61E81" w:rsidP="00F61E81">
      <w:pPr>
        <w:spacing w:after="0" w:line="480" w:lineRule="auto"/>
        <w:rPr>
          <w:rFonts w:ascii="Times New Roman" w:hAnsi="Times New Roman" w:cs="Times New Roman"/>
          <w:bCs/>
          <w:sz w:val="24"/>
          <w:szCs w:val="24"/>
        </w:rPr>
      </w:pPr>
      <w:r w:rsidRPr="00547051">
        <w:rPr>
          <w:rFonts w:ascii="Times New Roman" w:hAnsi="Times New Roman" w:cs="Times New Roman"/>
          <w:bCs/>
          <w:sz w:val="24"/>
          <w:szCs w:val="24"/>
        </w:rPr>
        <w:t xml:space="preserve">Harrison, N., </w:t>
      </w:r>
      <w:proofErr w:type="spellStart"/>
      <w:r w:rsidRPr="00547051">
        <w:rPr>
          <w:rFonts w:ascii="Times New Roman" w:hAnsi="Times New Roman" w:cs="Times New Roman"/>
          <w:bCs/>
          <w:sz w:val="24"/>
          <w:szCs w:val="24"/>
        </w:rPr>
        <w:t>Chudry</w:t>
      </w:r>
      <w:proofErr w:type="spellEnd"/>
      <w:r w:rsidRPr="00547051">
        <w:rPr>
          <w:rFonts w:ascii="Times New Roman" w:hAnsi="Times New Roman" w:cs="Times New Roman"/>
          <w:bCs/>
          <w:sz w:val="24"/>
          <w:szCs w:val="24"/>
        </w:rPr>
        <w:t xml:space="preserve">, F., Waller, R. and </w:t>
      </w:r>
      <w:proofErr w:type="spellStart"/>
      <w:r w:rsidRPr="00547051">
        <w:rPr>
          <w:rFonts w:ascii="Times New Roman" w:hAnsi="Times New Roman" w:cs="Times New Roman"/>
          <w:bCs/>
          <w:sz w:val="24"/>
          <w:szCs w:val="24"/>
        </w:rPr>
        <w:t>Hatt</w:t>
      </w:r>
      <w:proofErr w:type="spellEnd"/>
      <w:r w:rsidRPr="00547051">
        <w:rPr>
          <w:rFonts w:ascii="Times New Roman" w:hAnsi="Times New Roman" w:cs="Times New Roman"/>
          <w:bCs/>
          <w:sz w:val="24"/>
          <w:szCs w:val="24"/>
        </w:rPr>
        <w:t xml:space="preserve">, S. </w:t>
      </w:r>
      <w:r>
        <w:rPr>
          <w:rFonts w:ascii="Times New Roman" w:hAnsi="Times New Roman" w:cs="Times New Roman"/>
          <w:bCs/>
          <w:sz w:val="24"/>
          <w:szCs w:val="24"/>
        </w:rPr>
        <w:t>(</w:t>
      </w:r>
      <w:r w:rsidRPr="00547051">
        <w:rPr>
          <w:rFonts w:ascii="Times New Roman" w:hAnsi="Times New Roman" w:cs="Times New Roman"/>
          <w:bCs/>
          <w:sz w:val="24"/>
          <w:szCs w:val="24"/>
        </w:rPr>
        <w:t>2015</w:t>
      </w:r>
      <w:r>
        <w:rPr>
          <w:rFonts w:ascii="Times New Roman" w:hAnsi="Times New Roman" w:cs="Times New Roman"/>
          <w:bCs/>
          <w:sz w:val="24"/>
          <w:szCs w:val="24"/>
        </w:rPr>
        <w:t>)</w:t>
      </w:r>
      <w:r w:rsidRPr="00547051">
        <w:rPr>
          <w:rFonts w:ascii="Times New Roman" w:hAnsi="Times New Roman" w:cs="Times New Roman"/>
          <w:bCs/>
          <w:sz w:val="24"/>
          <w:szCs w:val="24"/>
        </w:rPr>
        <w:t xml:space="preserve"> Towards a typology of debt attitudes among contemporary young UK undergraduates. </w:t>
      </w:r>
      <w:r w:rsidRPr="00547051">
        <w:rPr>
          <w:rFonts w:ascii="Times New Roman" w:hAnsi="Times New Roman" w:cs="Times New Roman"/>
          <w:bCs/>
          <w:i/>
          <w:sz w:val="24"/>
          <w:szCs w:val="24"/>
        </w:rPr>
        <w:t>Journal of Further and Higher Education</w:t>
      </w:r>
      <w:r w:rsidRPr="00547051">
        <w:rPr>
          <w:rFonts w:ascii="Times New Roman" w:hAnsi="Times New Roman" w:cs="Times New Roman"/>
          <w:bCs/>
          <w:sz w:val="24"/>
          <w:szCs w:val="24"/>
        </w:rPr>
        <w:t>, 39</w:t>
      </w:r>
      <w:r>
        <w:rPr>
          <w:rFonts w:ascii="Times New Roman" w:hAnsi="Times New Roman" w:cs="Times New Roman"/>
          <w:bCs/>
          <w:sz w:val="24"/>
          <w:szCs w:val="24"/>
        </w:rPr>
        <w:t>,</w:t>
      </w:r>
      <w:r w:rsidRPr="00547051">
        <w:rPr>
          <w:rFonts w:ascii="Times New Roman" w:hAnsi="Times New Roman" w:cs="Times New Roman"/>
          <w:bCs/>
          <w:sz w:val="24"/>
          <w:szCs w:val="24"/>
        </w:rPr>
        <w:t xml:space="preserve"> 1</w:t>
      </w:r>
      <w:r>
        <w:rPr>
          <w:rFonts w:ascii="Times New Roman" w:hAnsi="Times New Roman" w:cs="Times New Roman"/>
          <w:bCs/>
          <w:sz w:val="24"/>
          <w:szCs w:val="24"/>
        </w:rPr>
        <w:t>,</w:t>
      </w:r>
      <w:r w:rsidRPr="00547051">
        <w:rPr>
          <w:rFonts w:ascii="Times New Roman" w:hAnsi="Times New Roman" w:cs="Times New Roman"/>
          <w:bCs/>
          <w:sz w:val="24"/>
          <w:szCs w:val="24"/>
        </w:rPr>
        <w:t xml:space="preserve"> 85 - 107.</w:t>
      </w:r>
    </w:p>
    <w:p w14:paraId="2938A34B" w14:textId="77777777" w:rsidR="00F61E81" w:rsidRDefault="00F61E81" w:rsidP="00F61E81">
      <w:pPr>
        <w:spacing w:after="0" w:line="480" w:lineRule="auto"/>
        <w:rPr>
          <w:rFonts w:ascii="Times New Roman" w:hAnsi="Times New Roman" w:cs="Times New Roman"/>
          <w:bCs/>
          <w:sz w:val="24"/>
          <w:szCs w:val="24"/>
        </w:rPr>
      </w:pPr>
    </w:p>
    <w:p w14:paraId="29708677" w14:textId="68F8A5E6" w:rsidR="00E372F2" w:rsidRPr="00E372F2" w:rsidRDefault="00E372F2" w:rsidP="00F61E81">
      <w:pPr>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HM Treasury (2016) </w:t>
      </w:r>
      <w:r>
        <w:rPr>
          <w:rFonts w:ascii="Times New Roman" w:hAnsi="Times New Roman" w:cs="Times New Roman"/>
          <w:bCs/>
          <w:i/>
          <w:sz w:val="24"/>
          <w:szCs w:val="24"/>
        </w:rPr>
        <w:t>Budget 2016</w:t>
      </w:r>
      <w:r>
        <w:rPr>
          <w:rFonts w:ascii="Times New Roman" w:hAnsi="Times New Roman" w:cs="Times New Roman"/>
          <w:bCs/>
          <w:sz w:val="24"/>
          <w:szCs w:val="24"/>
        </w:rPr>
        <w:t xml:space="preserve"> (HC 901).</w:t>
      </w:r>
    </w:p>
    <w:p w14:paraId="13D68F23" w14:textId="77777777" w:rsidR="000753CB" w:rsidRDefault="000753CB" w:rsidP="00F61E81">
      <w:pPr>
        <w:spacing w:after="0" w:line="480" w:lineRule="auto"/>
        <w:rPr>
          <w:rFonts w:ascii="Times New Roman" w:hAnsi="Times New Roman" w:cs="Times New Roman"/>
          <w:bCs/>
          <w:sz w:val="24"/>
          <w:szCs w:val="24"/>
        </w:rPr>
      </w:pPr>
    </w:p>
    <w:p w14:paraId="28B02153" w14:textId="16B09D49" w:rsidR="00E372F2" w:rsidRDefault="00E372F2" w:rsidP="00E372F2">
      <w:pPr>
        <w:spacing w:after="0" w:line="480" w:lineRule="auto"/>
        <w:rPr>
          <w:rFonts w:ascii="Times New Roman" w:hAnsi="Times New Roman" w:cs="Times New Roman"/>
          <w:bCs/>
          <w:sz w:val="24"/>
          <w:szCs w:val="24"/>
        </w:rPr>
      </w:pPr>
      <w:r w:rsidRPr="001B765D">
        <w:rPr>
          <w:rFonts w:ascii="Times New Roman" w:hAnsi="Times New Roman" w:cs="Times New Roman"/>
          <w:bCs/>
          <w:sz w:val="24"/>
          <w:szCs w:val="24"/>
        </w:rPr>
        <w:t>H</w:t>
      </w:r>
      <w:r>
        <w:rPr>
          <w:rFonts w:ascii="Times New Roman" w:hAnsi="Times New Roman" w:cs="Times New Roman"/>
          <w:bCs/>
          <w:sz w:val="24"/>
          <w:szCs w:val="24"/>
        </w:rPr>
        <w:t xml:space="preserve">igher Education Funding Council for England (HEFCE) (2013a) </w:t>
      </w:r>
      <w:r w:rsidRPr="00E61A53">
        <w:rPr>
          <w:rFonts w:ascii="Times New Roman" w:hAnsi="Times New Roman" w:cs="Times New Roman"/>
          <w:bCs/>
          <w:i/>
          <w:sz w:val="24"/>
          <w:szCs w:val="24"/>
        </w:rPr>
        <w:t xml:space="preserve">Postgraduate education in England and Northern Ireland: Overview report 2013 </w:t>
      </w:r>
      <w:r>
        <w:rPr>
          <w:rFonts w:ascii="Times New Roman" w:hAnsi="Times New Roman" w:cs="Times New Roman"/>
          <w:bCs/>
          <w:sz w:val="24"/>
          <w:szCs w:val="24"/>
        </w:rPr>
        <w:t>(</w:t>
      </w:r>
      <w:r w:rsidRPr="001B765D">
        <w:rPr>
          <w:rFonts w:ascii="Times New Roman" w:hAnsi="Times New Roman" w:cs="Times New Roman"/>
          <w:bCs/>
          <w:sz w:val="24"/>
          <w:szCs w:val="24"/>
        </w:rPr>
        <w:t>Bristol</w:t>
      </w:r>
      <w:r>
        <w:rPr>
          <w:rFonts w:ascii="Times New Roman" w:hAnsi="Times New Roman" w:cs="Times New Roman"/>
          <w:bCs/>
          <w:sz w:val="24"/>
          <w:szCs w:val="24"/>
        </w:rPr>
        <w:t>,</w:t>
      </w:r>
      <w:r w:rsidRPr="001B765D">
        <w:rPr>
          <w:rFonts w:ascii="Times New Roman" w:hAnsi="Times New Roman" w:cs="Times New Roman"/>
          <w:bCs/>
          <w:sz w:val="24"/>
          <w:szCs w:val="24"/>
        </w:rPr>
        <w:t xml:space="preserve"> HEFCE</w:t>
      </w:r>
      <w:r>
        <w:rPr>
          <w:rFonts w:ascii="Times New Roman" w:hAnsi="Times New Roman" w:cs="Times New Roman"/>
          <w:bCs/>
          <w:sz w:val="24"/>
          <w:szCs w:val="24"/>
        </w:rPr>
        <w:t>)</w:t>
      </w:r>
      <w:r w:rsidRPr="001B765D">
        <w:rPr>
          <w:rFonts w:ascii="Times New Roman" w:hAnsi="Times New Roman" w:cs="Times New Roman"/>
          <w:bCs/>
          <w:sz w:val="24"/>
          <w:szCs w:val="24"/>
        </w:rPr>
        <w:t>.</w:t>
      </w:r>
    </w:p>
    <w:p w14:paraId="07FB2AF9" w14:textId="77777777" w:rsidR="00E372F2" w:rsidRDefault="00E372F2" w:rsidP="00E372F2">
      <w:pPr>
        <w:spacing w:after="0" w:line="480" w:lineRule="auto"/>
        <w:rPr>
          <w:rFonts w:ascii="Times New Roman" w:hAnsi="Times New Roman" w:cs="Times New Roman"/>
          <w:bCs/>
          <w:sz w:val="24"/>
          <w:szCs w:val="24"/>
        </w:rPr>
      </w:pPr>
    </w:p>
    <w:p w14:paraId="49AC4050" w14:textId="4F772919" w:rsidR="00E372F2" w:rsidRDefault="00E372F2" w:rsidP="00E372F2">
      <w:pPr>
        <w:spacing w:after="0" w:line="480" w:lineRule="auto"/>
        <w:rPr>
          <w:rFonts w:ascii="Times New Roman" w:hAnsi="Times New Roman" w:cs="Times New Roman"/>
          <w:bCs/>
          <w:sz w:val="24"/>
          <w:szCs w:val="24"/>
        </w:rPr>
      </w:pPr>
      <w:r w:rsidRPr="001B765D">
        <w:rPr>
          <w:rFonts w:ascii="Times New Roman" w:hAnsi="Times New Roman" w:cs="Times New Roman"/>
          <w:bCs/>
          <w:sz w:val="24"/>
          <w:szCs w:val="24"/>
        </w:rPr>
        <w:t>H</w:t>
      </w:r>
      <w:r>
        <w:rPr>
          <w:rFonts w:ascii="Times New Roman" w:hAnsi="Times New Roman" w:cs="Times New Roman"/>
          <w:bCs/>
          <w:sz w:val="24"/>
          <w:szCs w:val="24"/>
        </w:rPr>
        <w:t xml:space="preserve">igher Education Funding Council for England (HEFCE) </w:t>
      </w:r>
      <w:r w:rsidRPr="001B765D">
        <w:rPr>
          <w:rFonts w:ascii="Times New Roman" w:hAnsi="Times New Roman" w:cs="Times New Roman"/>
          <w:bCs/>
          <w:sz w:val="24"/>
          <w:szCs w:val="24"/>
        </w:rPr>
        <w:t>(2013</w:t>
      </w:r>
      <w:r>
        <w:rPr>
          <w:rFonts w:ascii="Times New Roman" w:hAnsi="Times New Roman" w:cs="Times New Roman"/>
          <w:bCs/>
          <w:sz w:val="24"/>
          <w:szCs w:val="24"/>
        </w:rPr>
        <w:t>b</w:t>
      </w:r>
      <w:r w:rsidRPr="001B765D">
        <w:rPr>
          <w:rFonts w:ascii="Times New Roman" w:hAnsi="Times New Roman" w:cs="Times New Roman"/>
          <w:bCs/>
          <w:sz w:val="24"/>
          <w:szCs w:val="24"/>
        </w:rPr>
        <w:t xml:space="preserve">) </w:t>
      </w:r>
      <w:r w:rsidRPr="001B765D">
        <w:rPr>
          <w:rFonts w:ascii="Times New Roman" w:hAnsi="Times New Roman" w:cs="Times New Roman"/>
          <w:bCs/>
          <w:i/>
          <w:sz w:val="24"/>
          <w:szCs w:val="24"/>
        </w:rPr>
        <w:t>Trends in transition from first degree to postgraduate study: qualifiers between 2002-03 and 2010-11</w:t>
      </w:r>
      <w:r w:rsidRPr="001B765D">
        <w:rPr>
          <w:rFonts w:ascii="Times New Roman" w:hAnsi="Times New Roman" w:cs="Times New Roman"/>
          <w:bCs/>
          <w:sz w:val="24"/>
          <w:szCs w:val="24"/>
        </w:rPr>
        <w:t xml:space="preserve"> </w:t>
      </w:r>
      <w:r>
        <w:rPr>
          <w:rFonts w:ascii="Times New Roman" w:hAnsi="Times New Roman" w:cs="Times New Roman"/>
          <w:bCs/>
          <w:sz w:val="24"/>
          <w:szCs w:val="24"/>
        </w:rPr>
        <w:t>(</w:t>
      </w:r>
      <w:r w:rsidRPr="001B765D">
        <w:rPr>
          <w:rFonts w:ascii="Times New Roman" w:hAnsi="Times New Roman" w:cs="Times New Roman"/>
          <w:bCs/>
          <w:sz w:val="24"/>
          <w:szCs w:val="24"/>
        </w:rPr>
        <w:t>Bristol</w:t>
      </w:r>
      <w:r>
        <w:rPr>
          <w:rFonts w:ascii="Times New Roman" w:hAnsi="Times New Roman" w:cs="Times New Roman"/>
          <w:bCs/>
          <w:sz w:val="24"/>
          <w:szCs w:val="24"/>
        </w:rPr>
        <w:t>,</w:t>
      </w:r>
      <w:r w:rsidRPr="001B765D">
        <w:rPr>
          <w:rFonts w:ascii="Times New Roman" w:hAnsi="Times New Roman" w:cs="Times New Roman"/>
          <w:bCs/>
          <w:sz w:val="24"/>
          <w:szCs w:val="24"/>
        </w:rPr>
        <w:t xml:space="preserve"> HEFCE</w:t>
      </w:r>
      <w:r>
        <w:rPr>
          <w:rFonts w:ascii="Times New Roman" w:hAnsi="Times New Roman" w:cs="Times New Roman"/>
          <w:bCs/>
          <w:sz w:val="24"/>
          <w:szCs w:val="24"/>
        </w:rPr>
        <w:t>)</w:t>
      </w:r>
      <w:r w:rsidRPr="001B765D">
        <w:rPr>
          <w:rFonts w:ascii="Times New Roman" w:hAnsi="Times New Roman" w:cs="Times New Roman"/>
          <w:bCs/>
          <w:sz w:val="24"/>
          <w:szCs w:val="24"/>
        </w:rPr>
        <w:t>.</w:t>
      </w:r>
    </w:p>
    <w:p w14:paraId="702C1D31" w14:textId="77777777" w:rsidR="00E372F2" w:rsidRDefault="00E372F2" w:rsidP="00E372F2">
      <w:pPr>
        <w:spacing w:after="0" w:line="480" w:lineRule="auto"/>
        <w:rPr>
          <w:rFonts w:ascii="Times New Roman" w:hAnsi="Times New Roman" w:cs="Times New Roman"/>
          <w:bCs/>
          <w:sz w:val="24"/>
          <w:szCs w:val="24"/>
        </w:rPr>
      </w:pPr>
    </w:p>
    <w:p w14:paraId="60949A27" w14:textId="77777777" w:rsidR="00F61E81" w:rsidRPr="008F5456" w:rsidRDefault="00F61E81" w:rsidP="00F61E81">
      <w:pPr>
        <w:spacing w:after="0" w:line="480" w:lineRule="auto"/>
        <w:rPr>
          <w:rFonts w:ascii="Times New Roman" w:hAnsi="Times New Roman" w:cs="Times New Roman"/>
          <w:bCs/>
          <w:sz w:val="24"/>
          <w:szCs w:val="24"/>
        </w:rPr>
      </w:pPr>
      <w:r w:rsidRPr="008F5456">
        <w:rPr>
          <w:rFonts w:ascii="Times New Roman" w:hAnsi="Times New Roman" w:cs="Times New Roman"/>
          <w:bCs/>
          <w:sz w:val="24"/>
          <w:szCs w:val="24"/>
        </w:rPr>
        <w:lastRenderedPageBreak/>
        <w:t xml:space="preserve">Houle, J. N. </w:t>
      </w:r>
      <w:r>
        <w:rPr>
          <w:rFonts w:ascii="Times New Roman" w:hAnsi="Times New Roman" w:cs="Times New Roman"/>
          <w:bCs/>
          <w:sz w:val="24"/>
          <w:szCs w:val="24"/>
        </w:rPr>
        <w:t>(</w:t>
      </w:r>
      <w:r w:rsidRPr="008F5456">
        <w:rPr>
          <w:rFonts w:ascii="Times New Roman" w:hAnsi="Times New Roman" w:cs="Times New Roman"/>
          <w:bCs/>
          <w:sz w:val="24"/>
          <w:szCs w:val="24"/>
        </w:rPr>
        <w:t>2013</w:t>
      </w:r>
      <w:r>
        <w:rPr>
          <w:rFonts w:ascii="Times New Roman" w:hAnsi="Times New Roman" w:cs="Times New Roman"/>
          <w:bCs/>
          <w:sz w:val="24"/>
          <w:szCs w:val="24"/>
        </w:rPr>
        <w:t>)</w:t>
      </w:r>
      <w:r w:rsidRPr="008F5456">
        <w:rPr>
          <w:rFonts w:ascii="Times New Roman" w:hAnsi="Times New Roman" w:cs="Times New Roman"/>
          <w:bCs/>
          <w:sz w:val="24"/>
          <w:szCs w:val="24"/>
        </w:rPr>
        <w:t xml:space="preserve"> Disparities in debt: parents’ socioeconomic resources and young adult student loan debt. </w:t>
      </w:r>
      <w:r w:rsidRPr="008F5456">
        <w:rPr>
          <w:rFonts w:ascii="Times New Roman" w:hAnsi="Times New Roman" w:cs="Times New Roman"/>
          <w:bCs/>
          <w:i/>
          <w:sz w:val="24"/>
          <w:szCs w:val="24"/>
        </w:rPr>
        <w:t>Sociology of Education</w:t>
      </w:r>
      <w:r w:rsidRPr="008F5456">
        <w:rPr>
          <w:rFonts w:ascii="Times New Roman" w:hAnsi="Times New Roman" w:cs="Times New Roman"/>
          <w:bCs/>
          <w:sz w:val="24"/>
          <w:szCs w:val="24"/>
        </w:rPr>
        <w:t>, 87</w:t>
      </w:r>
      <w:r>
        <w:rPr>
          <w:rFonts w:ascii="Times New Roman" w:hAnsi="Times New Roman" w:cs="Times New Roman"/>
          <w:bCs/>
          <w:sz w:val="24"/>
          <w:szCs w:val="24"/>
        </w:rPr>
        <w:t>,</w:t>
      </w:r>
      <w:r w:rsidRPr="008F5456">
        <w:rPr>
          <w:rFonts w:ascii="Times New Roman" w:hAnsi="Times New Roman" w:cs="Times New Roman"/>
          <w:bCs/>
          <w:sz w:val="24"/>
          <w:szCs w:val="24"/>
        </w:rPr>
        <w:t xml:space="preserve"> 1</w:t>
      </w:r>
      <w:r>
        <w:rPr>
          <w:rFonts w:ascii="Times New Roman" w:hAnsi="Times New Roman" w:cs="Times New Roman"/>
          <w:bCs/>
          <w:sz w:val="24"/>
          <w:szCs w:val="24"/>
        </w:rPr>
        <w:t>,</w:t>
      </w:r>
      <w:r w:rsidRPr="008F5456">
        <w:rPr>
          <w:rFonts w:ascii="Times New Roman" w:hAnsi="Times New Roman" w:cs="Times New Roman"/>
          <w:bCs/>
          <w:sz w:val="24"/>
          <w:szCs w:val="24"/>
        </w:rPr>
        <w:t xml:space="preserve"> 53 – 69.</w:t>
      </w:r>
    </w:p>
    <w:p w14:paraId="3FEAA26F" w14:textId="77777777" w:rsidR="00F61E81" w:rsidRDefault="00F61E81" w:rsidP="00F61E81">
      <w:pPr>
        <w:spacing w:after="0" w:line="480" w:lineRule="auto"/>
        <w:rPr>
          <w:rFonts w:ascii="Times New Roman" w:hAnsi="Times New Roman" w:cs="Times New Roman"/>
          <w:bCs/>
          <w:sz w:val="24"/>
          <w:szCs w:val="24"/>
        </w:rPr>
      </w:pPr>
    </w:p>
    <w:p w14:paraId="2766551E" w14:textId="77777777" w:rsidR="00F61E81" w:rsidRPr="008F5456" w:rsidRDefault="00F61E81" w:rsidP="00F61E81">
      <w:pPr>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Jones, S. (2015) </w:t>
      </w:r>
      <w:r w:rsidRPr="008F5456">
        <w:rPr>
          <w:rFonts w:ascii="Times New Roman" w:hAnsi="Times New Roman" w:cs="Times New Roman"/>
          <w:bCs/>
          <w:sz w:val="24"/>
          <w:szCs w:val="24"/>
        </w:rPr>
        <w:t>Expressions of student debt aversion and tolerance among academically able young people in low-participation English schools</w:t>
      </w:r>
      <w:r>
        <w:rPr>
          <w:rFonts w:ascii="Times New Roman" w:hAnsi="Times New Roman" w:cs="Times New Roman"/>
          <w:bCs/>
          <w:sz w:val="24"/>
          <w:szCs w:val="24"/>
        </w:rPr>
        <w:t xml:space="preserve">. </w:t>
      </w:r>
      <w:r>
        <w:rPr>
          <w:rFonts w:ascii="Times New Roman" w:hAnsi="Times New Roman" w:cs="Times New Roman"/>
          <w:bCs/>
          <w:i/>
          <w:sz w:val="24"/>
          <w:szCs w:val="24"/>
        </w:rPr>
        <w:t>British Educational Research Journal</w:t>
      </w:r>
      <w:r>
        <w:rPr>
          <w:rFonts w:ascii="Times New Roman" w:hAnsi="Times New Roman" w:cs="Times New Roman"/>
          <w:bCs/>
          <w:sz w:val="24"/>
          <w:szCs w:val="24"/>
        </w:rPr>
        <w:t xml:space="preserve">. DOI: </w:t>
      </w:r>
      <w:r w:rsidRPr="008F5456">
        <w:rPr>
          <w:rFonts w:ascii="Times New Roman" w:hAnsi="Times New Roman" w:cs="Times New Roman"/>
          <w:bCs/>
          <w:sz w:val="24"/>
          <w:szCs w:val="24"/>
        </w:rPr>
        <w:t>10.1002/berj.3209</w:t>
      </w:r>
      <w:r>
        <w:rPr>
          <w:rFonts w:ascii="Times New Roman" w:hAnsi="Times New Roman" w:cs="Times New Roman"/>
          <w:bCs/>
          <w:sz w:val="24"/>
          <w:szCs w:val="24"/>
        </w:rPr>
        <w:t>.</w:t>
      </w:r>
    </w:p>
    <w:p w14:paraId="1BDC1CBE" w14:textId="77777777" w:rsidR="00F61E81" w:rsidRDefault="00F61E81" w:rsidP="00F61E81">
      <w:pPr>
        <w:spacing w:after="0" w:line="480" w:lineRule="auto"/>
        <w:rPr>
          <w:rFonts w:ascii="Times New Roman" w:hAnsi="Times New Roman" w:cs="Times New Roman"/>
          <w:bCs/>
          <w:sz w:val="24"/>
          <w:szCs w:val="24"/>
        </w:rPr>
      </w:pPr>
    </w:p>
    <w:p w14:paraId="5F9DCEF4" w14:textId="7357CEF6" w:rsidR="00715FA7" w:rsidRPr="00715FA7" w:rsidRDefault="00715FA7" w:rsidP="00F61E81">
      <w:pPr>
        <w:spacing w:after="0" w:line="480" w:lineRule="auto"/>
        <w:rPr>
          <w:rFonts w:ascii="Times New Roman" w:hAnsi="Times New Roman" w:cs="Times New Roman"/>
          <w:bCs/>
          <w:sz w:val="24"/>
          <w:szCs w:val="24"/>
        </w:rPr>
      </w:pPr>
      <w:proofErr w:type="spellStart"/>
      <w:r>
        <w:rPr>
          <w:rFonts w:ascii="Times New Roman" w:hAnsi="Times New Roman" w:cs="Times New Roman"/>
          <w:bCs/>
          <w:sz w:val="24"/>
          <w:szCs w:val="24"/>
        </w:rPr>
        <w:t>Kantrowitz</w:t>
      </w:r>
      <w:proofErr w:type="spellEnd"/>
      <w:r>
        <w:rPr>
          <w:rFonts w:ascii="Times New Roman" w:hAnsi="Times New Roman" w:cs="Times New Roman"/>
          <w:bCs/>
          <w:sz w:val="24"/>
          <w:szCs w:val="24"/>
        </w:rPr>
        <w:t xml:space="preserve">, M. (2015) </w:t>
      </w:r>
      <w:r>
        <w:rPr>
          <w:rFonts w:ascii="Times New Roman" w:hAnsi="Times New Roman" w:cs="Times New Roman"/>
          <w:bCs/>
          <w:i/>
          <w:sz w:val="24"/>
          <w:szCs w:val="24"/>
        </w:rPr>
        <w:t>Who Graduates with Excessive Student Loan Debt?</w:t>
      </w:r>
      <w:r>
        <w:rPr>
          <w:rFonts w:ascii="Times New Roman" w:hAnsi="Times New Roman" w:cs="Times New Roman"/>
          <w:bCs/>
          <w:sz w:val="24"/>
          <w:szCs w:val="24"/>
        </w:rPr>
        <w:t xml:space="preserve"> Available at </w:t>
      </w:r>
      <w:hyperlink r:id="rId11" w:history="1">
        <w:r w:rsidRPr="00C36DDC">
          <w:rPr>
            <w:rStyle w:val="Hyperlink"/>
            <w:rFonts w:ascii="Times New Roman" w:hAnsi="Times New Roman" w:cs="Times New Roman"/>
            <w:bCs/>
            <w:sz w:val="24"/>
            <w:szCs w:val="24"/>
          </w:rPr>
          <w:t>http://www.studentaidpolicy.com/excessive-debt/</w:t>
        </w:r>
      </w:hyperlink>
      <w:r>
        <w:rPr>
          <w:rFonts w:ascii="Times New Roman" w:hAnsi="Times New Roman" w:cs="Times New Roman"/>
          <w:bCs/>
          <w:sz w:val="24"/>
          <w:szCs w:val="24"/>
        </w:rPr>
        <w:t xml:space="preserve"> (accessed 4 July 2016).</w:t>
      </w:r>
    </w:p>
    <w:p w14:paraId="7B9E8943" w14:textId="77777777" w:rsidR="00F81C51" w:rsidRDefault="00F81C51" w:rsidP="00F61E81">
      <w:pPr>
        <w:spacing w:after="0" w:line="480" w:lineRule="auto"/>
        <w:rPr>
          <w:rFonts w:ascii="Times New Roman" w:hAnsi="Times New Roman" w:cs="Times New Roman"/>
          <w:bCs/>
          <w:sz w:val="24"/>
          <w:szCs w:val="24"/>
        </w:rPr>
      </w:pPr>
    </w:p>
    <w:p w14:paraId="64FFC5D2" w14:textId="77777777" w:rsidR="00F61E81" w:rsidRPr="003B5702" w:rsidRDefault="00F61E81" w:rsidP="00F61E81">
      <w:pPr>
        <w:spacing w:after="0" w:line="480" w:lineRule="auto"/>
        <w:rPr>
          <w:rFonts w:ascii="Times New Roman" w:hAnsi="Times New Roman" w:cs="Times New Roman"/>
          <w:bCs/>
          <w:sz w:val="24"/>
          <w:szCs w:val="24"/>
        </w:rPr>
      </w:pPr>
      <w:r w:rsidRPr="003B5702">
        <w:rPr>
          <w:rFonts w:ascii="Times New Roman" w:hAnsi="Times New Roman" w:cs="Times New Roman"/>
          <w:bCs/>
          <w:sz w:val="24"/>
          <w:szCs w:val="24"/>
        </w:rPr>
        <w:t xml:space="preserve">Malcolm, L. E. and Dowd, A. C. </w:t>
      </w:r>
      <w:r>
        <w:rPr>
          <w:rFonts w:ascii="Times New Roman" w:hAnsi="Times New Roman" w:cs="Times New Roman"/>
          <w:bCs/>
          <w:sz w:val="24"/>
          <w:szCs w:val="24"/>
        </w:rPr>
        <w:t>(</w:t>
      </w:r>
      <w:r w:rsidRPr="003B5702">
        <w:rPr>
          <w:rFonts w:ascii="Times New Roman" w:hAnsi="Times New Roman" w:cs="Times New Roman"/>
          <w:bCs/>
          <w:sz w:val="24"/>
          <w:szCs w:val="24"/>
        </w:rPr>
        <w:t>2011</w:t>
      </w:r>
      <w:r>
        <w:rPr>
          <w:rFonts w:ascii="Times New Roman" w:hAnsi="Times New Roman" w:cs="Times New Roman"/>
          <w:bCs/>
          <w:sz w:val="24"/>
          <w:szCs w:val="24"/>
        </w:rPr>
        <w:t>)</w:t>
      </w:r>
      <w:r w:rsidRPr="003B5702">
        <w:rPr>
          <w:rFonts w:ascii="Times New Roman" w:hAnsi="Times New Roman" w:cs="Times New Roman"/>
          <w:bCs/>
          <w:sz w:val="24"/>
          <w:szCs w:val="24"/>
        </w:rPr>
        <w:t xml:space="preserve"> The impact of undergraduate debt on the graduate school </w:t>
      </w:r>
      <w:proofErr w:type="spellStart"/>
      <w:r w:rsidRPr="003B5702">
        <w:rPr>
          <w:rFonts w:ascii="Times New Roman" w:hAnsi="Times New Roman" w:cs="Times New Roman"/>
          <w:bCs/>
          <w:sz w:val="24"/>
          <w:szCs w:val="24"/>
        </w:rPr>
        <w:t>enrollment</w:t>
      </w:r>
      <w:proofErr w:type="spellEnd"/>
      <w:r w:rsidRPr="003B5702">
        <w:rPr>
          <w:rFonts w:ascii="Times New Roman" w:hAnsi="Times New Roman" w:cs="Times New Roman"/>
          <w:bCs/>
          <w:sz w:val="24"/>
          <w:szCs w:val="24"/>
        </w:rPr>
        <w:t xml:space="preserve"> of STEM baccalaureates. </w:t>
      </w:r>
      <w:r w:rsidRPr="003B5702">
        <w:rPr>
          <w:rFonts w:ascii="Times New Roman" w:hAnsi="Times New Roman" w:cs="Times New Roman"/>
          <w:bCs/>
          <w:i/>
          <w:sz w:val="24"/>
          <w:szCs w:val="24"/>
        </w:rPr>
        <w:t>The Review of Higher Education</w:t>
      </w:r>
      <w:r w:rsidRPr="003B5702">
        <w:rPr>
          <w:rFonts w:ascii="Times New Roman" w:hAnsi="Times New Roman" w:cs="Times New Roman"/>
          <w:bCs/>
          <w:sz w:val="24"/>
          <w:szCs w:val="24"/>
        </w:rPr>
        <w:t>, 35</w:t>
      </w:r>
      <w:r>
        <w:rPr>
          <w:rFonts w:ascii="Times New Roman" w:hAnsi="Times New Roman" w:cs="Times New Roman"/>
          <w:bCs/>
          <w:sz w:val="24"/>
          <w:szCs w:val="24"/>
        </w:rPr>
        <w:t xml:space="preserve">, </w:t>
      </w:r>
      <w:r w:rsidRPr="003B5702">
        <w:rPr>
          <w:rFonts w:ascii="Times New Roman" w:hAnsi="Times New Roman" w:cs="Times New Roman"/>
          <w:bCs/>
          <w:sz w:val="24"/>
          <w:szCs w:val="24"/>
        </w:rPr>
        <w:t>2</w:t>
      </w:r>
      <w:r>
        <w:rPr>
          <w:rFonts w:ascii="Times New Roman" w:hAnsi="Times New Roman" w:cs="Times New Roman"/>
          <w:bCs/>
          <w:sz w:val="24"/>
          <w:szCs w:val="24"/>
        </w:rPr>
        <w:t>,</w:t>
      </w:r>
      <w:r w:rsidRPr="003B5702">
        <w:rPr>
          <w:rFonts w:ascii="Times New Roman" w:hAnsi="Times New Roman" w:cs="Times New Roman"/>
          <w:bCs/>
          <w:sz w:val="24"/>
          <w:szCs w:val="24"/>
        </w:rPr>
        <w:t xml:space="preserve"> 265 – 305.</w:t>
      </w:r>
    </w:p>
    <w:p w14:paraId="4354E933" w14:textId="77777777" w:rsidR="00F61E81" w:rsidRDefault="00F61E81" w:rsidP="00F61E81">
      <w:pPr>
        <w:spacing w:after="0" w:line="480" w:lineRule="auto"/>
        <w:rPr>
          <w:rFonts w:ascii="Times New Roman" w:hAnsi="Times New Roman" w:cs="Times New Roman"/>
          <w:bCs/>
          <w:sz w:val="24"/>
          <w:szCs w:val="24"/>
        </w:rPr>
      </w:pPr>
    </w:p>
    <w:p w14:paraId="2B831030" w14:textId="77777777" w:rsidR="00F61E81" w:rsidRPr="00644A35" w:rsidRDefault="00F61E81" w:rsidP="00F61E81">
      <w:pPr>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Mangan, J., Hughes, A. and Slack, K. (2010) Student finance, information and decision making. </w:t>
      </w:r>
      <w:r>
        <w:rPr>
          <w:rFonts w:ascii="Times New Roman" w:hAnsi="Times New Roman" w:cs="Times New Roman"/>
          <w:bCs/>
          <w:i/>
          <w:sz w:val="24"/>
          <w:szCs w:val="24"/>
        </w:rPr>
        <w:t>Higher Education</w:t>
      </w:r>
      <w:r>
        <w:rPr>
          <w:rFonts w:ascii="Times New Roman" w:hAnsi="Times New Roman" w:cs="Times New Roman"/>
          <w:bCs/>
          <w:sz w:val="24"/>
          <w:szCs w:val="24"/>
        </w:rPr>
        <w:t>, 60, 5, 459 – 472.</w:t>
      </w:r>
    </w:p>
    <w:p w14:paraId="5E10BFED" w14:textId="77777777" w:rsidR="00F61E81" w:rsidRDefault="00F61E81" w:rsidP="00F61E81">
      <w:pPr>
        <w:spacing w:after="0" w:line="480" w:lineRule="auto"/>
        <w:rPr>
          <w:rFonts w:ascii="Times New Roman" w:hAnsi="Times New Roman" w:cs="Times New Roman"/>
          <w:bCs/>
          <w:sz w:val="24"/>
          <w:szCs w:val="24"/>
        </w:rPr>
      </w:pPr>
    </w:p>
    <w:p w14:paraId="2D6F5444" w14:textId="27E0A20B" w:rsidR="00610709" w:rsidRDefault="00610709" w:rsidP="00F61E81">
      <w:pPr>
        <w:spacing w:after="0" w:line="480" w:lineRule="auto"/>
        <w:rPr>
          <w:rFonts w:ascii="Times New Roman" w:hAnsi="Times New Roman" w:cs="Times New Roman"/>
          <w:bCs/>
          <w:sz w:val="24"/>
          <w:szCs w:val="24"/>
        </w:rPr>
      </w:pPr>
      <w:proofErr w:type="spellStart"/>
      <w:r>
        <w:rPr>
          <w:rFonts w:ascii="Times New Roman" w:hAnsi="Times New Roman" w:cs="Times New Roman"/>
          <w:bCs/>
          <w:sz w:val="24"/>
          <w:szCs w:val="24"/>
        </w:rPr>
        <w:t>Marginson</w:t>
      </w:r>
      <w:proofErr w:type="spellEnd"/>
      <w:r>
        <w:rPr>
          <w:rFonts w:ascii="Times New Roman" w:hAnsi="Times New Roman" w:cs="Times New Roman"/>
          <w:bCs/>
          <w:sz w:val="24"/>
          <w:szCs w:val="24"/>
        </w:rPr>
        <w:t xml:space="preserve">, S. (2015) </w:t>
      </w:r>
      <w:r>
        <w:rPr>
          <w:rFonts w:ascii="Times New Roman" w:hAnsi="Times New Roman" w:cs="Times New Roman"/>
          <w:bCs/>
          <w:i/>
          <w:iCs/>
          <w:sz w:val="24"/>
          <w:szCs w:val="24"/>
          <w:lang w:val="en"/>
        </w:rPr>
        <w:t>Ed</w:t>
      </w:r>
      <w:r w:rsidRPr="00610709">
        <w:rPr>
          <w:rFonts w:ascii="Times New Roman" w:hAnsi="Times New Roman" w:cs="Times New Roman"/>
          <w:bCs/>
          <w:i/>
          <w:iCs/>
          <w:sz w:val="24"/>
          <w:szCs w:val="24"/>
          <w:lang w:val="en"/>
        </w:rPr>
        <w:t>ucation, work and ‘employability’ foundational problems of human capital theory</w:t>
      </w:r>
      <w:r w:rsidRPr="00610709">
        <w:rPr>
          <w:rFonts w:ascii="Times New Roman" w:hAnsi="Times New Roman" w:cs="Times New Roman"/>
          <w:bCs/>
          <w:sz w:val="24"/>
          <w:szCs w:val="24"/>
          <w:lang w:val="en"/>
        </w:rPr>
        <w:t>. SRHE Conference, Newport, Wales</w:t>
      </w:r>
      <w:r>
        <w:rPr>
          <w:rFonts w:ascii="Times New Roman" w:hAnsi="Times New Roman" w:cs="Times New Roman"/>
          <w:bCs/>
          <w:sz w:val="24"/>
          <w:szCs w:val="24"/>
          <w:lang w:val="en"/>
        </w:rPr>
        <w:t>, 9 December</w:t>
      </w:r>
      <w:r w:rsidRPr="00610709">
        <w:rPr>
          <w:rFonts w:ascii="Times New Roman" w:hAnsi="Times New Roman" w:cs="Times New Roman"/>
          <w:bCs/>
          <w:sz w:val="24"/>
          <w:szCs w:val="24"/>
          <w:lang w:val="en"/>
        </w:rPr>
        <w:t>.</w:t>
      </w:r>
    </w:p>
    <w:p w14:paraId="652E7561" w14:textId="77777777" w:rsidR="00610709" w:rsidRDefault="00610709" w:rsidP="00F61E81">
      <w:pPr>
        <w:spacing w:after="0" w:line="480" w:lineRule="auto"/>
        <w:rPr>
          <w:rFonts w:ascii="Times New Roman" w:hAnsi="Times New Roman" w:cs="Times New Roman"/>
          <w:bCs/>
          <w:sz w:val="24"/>
          <w:szCs w:val="24"/>
        </w:rPr>
      </w:pPr>
    </w:p>
    <w:p w14:paraId="3387A1FA" w14:textId="42D7A053" w:rsidR="00F61E81" w:rsidRPr="00644A35" w:rsidRDefault="00F61E81" w:rsidP="00F61E81">
      <w:pPr>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Mellors-Bourne, R. (2015) </w:t>
      </w:r>
      <w:r w:rsidRPr="00644A35">
        <w:rPr>
          <w:rFonts w:ascii="Times New Roman" w:hAnsi="Times New Roman" w:cs="Times New Roman"/>
          <w:bCs/>
          <w:i/>
          <w:sz w:val="24"/>
          <w:szCs w:val="24"/>
        </w:rPr>
        <w:t xml:space="preserve">Recent </w:t>
      </w:r>
      <w:r>
        <w:rPr>
          <w:rFonts w:ascii="Times New Roman" w:hAnsi="Times New Roman" w:cs="Times New Roman"/>
          <w:bCs/>
          <w:i/>
          <w:sz w:val="24"/>
          <w:szCs w:val="24"/>
        </w:rPr>
        <w:t>Graduates’ Perspectives o</w:t>
      </w:r>
      <w:r w:rsidRPr="00644A35">
        <w:rPr>
          <w:rFonts w:ascii="Times New Roman" w:hAnsi="Times New Roman" w:cs="Times New Roman"/>
          <w:bCs/>
          <w:i/>
          <w:sz w:val="24"/>
          <w:szCs w:val="24"/>
        </w:rPr>
        <w:t xml:space="preserve">n Access </w:t>
      </w:r>
      <w:r>
        <w:rPr>
          <w:rFonts w:ascii="Times New Roman" w:hAnsi="Times New Roman" w:cs="Times New Roman"/>
          <w:bCs/>
          <w:i/>
          <w:sz w:val="24"/>
          <w:szCs w:val="24"/>
        </w:rPr>
        <w:t>a</w:t>
      </w:r>
      <w:r w:rsidRPr="00644A35">
        <w:rPr>
          <w:rFonts w:ascii="Times New Roman" w:hAnsi="Times New Roman" w:cs="Times New Roman"/>
          <w:bCs/>
          <w:i/>
          <w:sz w:val="24"/>
          <w:szCs w:val="24"/>
        </w:rPr>
        <w:t xml:space="preserve">nd Progression </w:t>
      </w:r>
      <w:r>
        <w:rPr>
          <w:rFonts w:ascii="Times New Roman" w:hAnsi="Times New Roman" w:cs="Times New Roman"/>
          <w:bCs/>
          <w:i/>
          <w:sz w:val="24"/>
          <w:szCs w:val="24"/>
        </w:rPr>
        <w:t>t</w:t>
      </w:r>
      <w:r w:rsidRPr="00644A35">
        <w:rPr>
          <w:rFonts w:ascii="Times New Roman" w:hAnsi="Times New Roman" w:cs="Times New Roman"/>
          <w:bCs/>
          <w:i/>
          <w:sz w:val="24"/>
          <w:szCs w:val="24"/>
        </w:rPr>
        <w:t>o Taught Postgraduate Study</w:t>
      </w:r>
      <w:r>
        <w:rPr>
          <w:rFonts w:ascii="Times New Roman" w:hAnsi="Times New Roman" w:cs="Times New Roman"/>
          <w:bCs/>
          <w:sz w:val="24"/>
          <w:szCs w:val="24"/>
        </w:rPr>
        <w:t xml:space="preserve"> (Cambridge: CRAC).</w:t>
      </w:r>
    </w:p>
    <w:p w14:paraId="755DD2FA" w14:textId="77777777" w:rsidR="00F61E81" w:rsidRDefault="00F61E81" w:rsidP="00F61E81">
      <w:pPr>
        <w:spacing w:after="0" w:line="480" w:lineRule="auto"/>
        <w:rPr>
          <w:rFonts w:ascii="Times New Roman" w:hAnsi="Times New Roman" w:cs="Times New Roman"/>
          <w:bCs/>
          <w:sz w:val="24"/>
          <w:szCs w:val="24"/>
        </w:rPr>
      </w:pPr>
    </w:p>
    <w:p w14:paraId="2B73B4E3" w14:textId="77777777" w:rsidR="00F61E81" w:rsidRPr="003B5702" w:rsidRDefault="00F61E81" w:rsidP="00F61E81">
      <w:pPr>
        <w:spacing w:after="0" w:line="480" w:lineRule="auto"/>
        <w:rPr>
          <w:rFonts w:ascii="Times New Roman" w:hAnsi="Times New Roman" w:cs="Times New Roman"/>
          <w:bCs/>
          <w:sz w:val="24"/>
          <w:szCs w:val="24"/>
        </w:rPr>
      </w:pPr>
      <w:r w:rsidRPr="003B5702">
        <w:rPr>
          <w:rFonts w:ascii="Times New Roman" w:hAnsi="Times New Roman" w:cs="Times New Roman"/>
          <w:bCs/>
          <w:sz w:val="24"/>
          <w:szCs w:val="24"/>
        </w:rPr>
        <w:t xml:space="preserve">Millett, C. M. </w:t>
      </w:r>
      <w:r>
        <w:rPr>
          <w:rFonts w:ascii="Times New Roman" w:hAnsi="Times New Roman" w:cs="Times New Roman"/>
          <w:bCs/>
          <w:sz w:val="24"/>
          <w:szCs w:val="24"/>
        </w:rPr>
        <w:t>(</w:t>
      </w:r>
      <w:r w:rsidRPr="003B5702">
        <w:rPr>
          <w:rFonts w:ascii="Times New Roman" w:hAnsi="Times New Roman" w:cs="Times New Roman"/>
          <w:bCs/>
          <w:sz w:val="24"/>
          <w:szCs w:val="24"/>
        </w:rPr>
        <w:t>2003</w:t>
      </w:r>
      <w:r>
        <w:rPr>
          <w:rFonts w:ascii="Times New Roman" w:hAnsi="Times New Roman" w:cs="Times New Roman"/>
          <w:bCs/>
          <w:sz w:val="24"/>
          <w:szCs w:val="24"/>
        </w:rPr>
        <w:t>)</w:t>
      </w:r>
      <w:r w:rsidRPr="003B5702">
        <w:rPr>
          <w:rFonts w:ascii="Times New Roman" w:hAnsi="Times New Roman" w:cs="Times New Roman"/>
          <w:bCs/>
          <w:sz w:val="24"/>
          <w:szCs w:val="24"/>
        </w:rPr>
        <w:t xml:space="preserve"> How undergraduate loan debt affects application and </w:t>
      </w:r>
      <w:proofErr w:type="spellStart"/>
      <w:r w:rsidRPr="003B5702">
        <w:rPr>
          <w:rFonts w:ascii="Times New Roman" w:hAnsi="Times New Roman" w:cs="Times New Roman"/>
          <w:bCs/>
          <w:sz w:val="24"/>
          <w:szCs w:val="24"/>
        </w:rPr>
        <w:t>enrollment</w:t>
      </w:r>
      <w:proofErr w:type="spellEnd"/>
      <w:r w:rsidRPr="003B5702">
        <w:rPr>
          <w:rFonts w:ascii="Times New Roman" w:hAnsi="Times New Roman" w:cs="Times New Roman"/>
          <w:bCs/>
          <w:sz w:val="24"/>
          <w:szCs w:val="24"/>
        </w:rPr>
        <w:t xml:space="preserve"> in graduate or first professional school. </w:t>
      </w:r>
      <w:r w:rsidRPr="003B5702">
        <w:rPr>
          <w:rFonts w:ascii="Times New Roman" w:hAnsi="Times New Roman" w:cs="Times New Roman"/>
          <w:bCs/>
          <w:i/>
          <w:iCs/>
          <w:sz w:val="24"/>
          <w:szCs w:val="24"/>
        </w:rPr>
        <w:t>The Journal of Higher Education</w:t>
      </w:r>
      <w:r w:rsidRPr="003B5702">
        <w:rPr>
          <w:rFonts w:ascii="Times New Roman" w:hAnsi="Times New Roman" w:cs="Times New Roman"/>
          <w:bCs/>
          <w:sz w:val="24"/>
          <w:szCs w:val="24"/>
        </w:rPr>
        <w:t>, 74</w:t>
      </w:r>
      <w:r>
        <w:rPr>
          <w:rFonts w:ascii="Times New Roman" w:hAnsi="Times New Roman" w:cs="Times New Roman"/>
          <w:bCs/>
          <w:sz w:val="24"/>
          <w:szCs w:val="24"/>
        </w:rPr>
        <w:t>,</w:t>
      </w:r>
      <w:r w:rsidRPr="003B5702">
        <w:rPr>
          <w:rFonts w:ascii="Times New Roman" w:hAnsi="Times New Roman" w:cs="Times New Roman"/>
          <w:bCs/>
          <w:sz w:val="24"/>
          <w:szCs w:val="24"/>
        </w:rPr>
        <w:t xml:space="preserve"> 4</w:t>
      </w:r>
      <w:r>
        <w:rPr>
          <w:rFonts w:ascii="Times New Roman" w:hAnsi="Times New Roman" w:cs="Times New Roman"/>
          <w:bCs/>
          <w:sz w:val="24"/>
          <w:szCs w:val="24"/>
        </w:rPr>
        <w:t>,</w:t>
      </w:r>
      <w:r w:rsidRPr="003B5702">
        <w:rPr>
          <w:rFonts w:ascii="Times New Roman" w:hAnsi="Times New Roman" w:cs="Times New Roman"/>
          <w:bCs/>
          <w:sz w:val="24"/>
          <w:szCs w:val="24"/>
        </w:rPr>
        <w:t xml:space="preserve"> 386 – 427.</w:t>
      </w:r>
    </w:p>
    <w:p w14:paraId="0C04D58A" w14:textId="03B9D215" w:rsidR="00F81C51" w:rsidRDefault="00F81C51" w:rsidP="00F61E81">
      <w:pPr>
        <w:spacing w:after="0" w:line="480" w:lineRule="auto"/>
        <w:rPr>
          <w:rFonts w:ascii="Times New Roman" w:hAnsi="Times New Roman" w:cs="Times New Roman"/>
          <w:bCs/>
          <w:sz w:val="24"/>
          <w:szCs w:val="24"/>
        </w:rPr>
      </w:pPr>
    </w:p>
    <w:p w14:paraId="0ABD0F67" w14:textId="6FB6C886" w:rsidR="0083001F" w:rsidRPr="0083001F" w:rsidRDefault="0083001F" w:rsidP="00F61E81">
      <w:pPr>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Mood, C. (2010) </w:t>
      </w:r>
      <w:r w:rsidRPr="0083001F">
        <w:rPr>
          <w:rFonts w:ascii="Times New Roman" w:hAnsi="Times New Roman" w:cs="Times New Roman"/>
          <w:bCs/>
          <w:sz w:val="24"/>
          <w:szCs w:val="24"/>
        </w:rPr>
        <w:t>Logistic Regression: Why We Cannot Do What We Think We Can Do, and What We Can Do About It</w:t>
      </w:r>
      <w:r>
        <w:rPr>
          <w:rFonts w:ascii="Times New Roman" w:hAnsi="Times New Roman" w:cs="Times New Roman"/>
          <w:bCs/>
          <w:sz w:val="24"/>
          <w:szCs w:val="24"/>
        </w:rPr>
        <w:t xml:space="preserve">. </w:t>
      </w:r>
      <w:r>
        <w:rPr>
          <w:rFonts w:ascii="Times New Roman" w:hAnsi="Times New Roman" w:cs="Times New Roman"/>
          <w:bCs/>
          <w:i/>
          <w:sz w:val="24"/>
          <w:szCs w:val="24"/>
        </w:rPr>
        <w:t>European Sociological Review</w:t>
      </w:r>
      <w:r>
        <w:rPr>
          <w:rFonts w:ascii="Times New Roman" w:hAnsi="Times New Roman" w:cs="Times New Roman"/>
          <w:bCs/>
          <w:sz w:val="24"/>
          <w:szCs w:val="24"/>
        </w:rPr>
        <w:t>, 26, 1, 67 – 82.</w:t>
      </w:r>
    </w:p>
    <w:p w14:paraId="48BAAFBA" w14:textId="77777777" w:rsidR="0083001F" w:rsidRDefault="0083001F" w:rsidP="00F61E81">
      <w:pPr>
        <w:spacing w:after="0" w:line="480" w:lineRule="auto"/>
        <w:rPr>
          <w:rFonts w:ascii="Times New Roman" w:hAnsi="Times New Roman" w:cs="Times New Roman"/>
          <w:bCs/>
          <w:sz w:val="24"/>
          <w:szCs w:val="24"/>
        </w:rPr>
      </w:pPr>
    </w:p>
    <w:p w14:paraId="296D822E" w14:textId="708EBEED" w:rsidR="00EF2B8D" w:rsidRPr="00EF2B8D" w:rsidRDefault="00EF2B8D" w:rsidP="00F61E81">
      <w:pPr>
        <w:spacing w:after="0" w:line="480" w:lineRule="auto"/>
        <w:rPr>
          <w:rFonts w:ascii="Times New Roman" w:hAnsi="Times New Roman" w:cs="Times New Roman"/>
          <w:bCs/>
          <w:i/>
          <w:sz w:val="24"/>
          <w:szCs w:val="24"/>
        </w:rPr>
      </w:pPr>
      <w:r>
        <w:rPr>
          <w:rFonts w:ascii="Times New Roman" w:hAnsi="Times New Roman" w:cs="Times New Roman"/>
          <w:bCs/>
          <w:sz w:val="24"/>
          <w:szCs w:val="24"/>
        </w:rPr>
        <w:t xml:space="preserve">Moore, J., Sanders, J. and Higham, L. (2013) </w:t>
      </w:r>
      <w:r w:rsidRPr="00EF2B8D">
        <w:rPr>
          <w:rFonts w:ascii="Times New Roman" w:hAnsi="Times New Roman" w:cs="Times New Roman"/>
          <w:bCs/>
          <w:i/>
          <w:sz w:val="24"/>
          <w:szCs w:val="24"/>
        </w:rPr>
        <w:t>Literature Review of Research into Widening Participation to Higher Education: Report to HEFCE and OFFA by ARC Network</w:t>
      </w:r>
      <w:r>
        <w:rPr>
          <w:rFonts w:ascii="Times New Roman" w:hAnsi="Times New Roman" w:cs="Times New Roman"/>
          <w:bCs/>
          <w:sz w:val="24"/>
          <w:szCs w:val="24"/>
        </w:rPr>
        <w:t xml:space="preserve"> (Bristol, HEFCE).</w:t>
      </w:r>
    </w:p>
    <w:p w14:paraId="2467CEA0" w14:textId="77777777" w:rsidR="00C5450C" w:rsidRDefault="00C5450C" w:rsidP="00F61E81">
      <w:pPr>
        <w:spacing w:after="0" w:line="480" w:lineRule="auto"/>
        <w:rPr>
          <w:rFonts w:ascii="Times New Roman" w:hAnsi="Times New Roman" w:cs="Times New Roman"/>
          <w:bCs/>
          <w:sz w:val="24"/>
          <w:szCs w:val="24"/>
        </w:rPr>
      </w:pPr>
    </w:p>
    <w:p w14:paraId="287DD16D" w14:textId="7134BE30" w:rsidR="000753CB" w:rsidRDefault="000753CB" w:rsidP="00F61E81">
      <w:pPr>
        <w:spacing w:after="0" w:line="480" w:lineRule="auto"/>
        <w:rPr>
          <w:rFonts w:ascii="Times New Roman" w:hAnsi="Times New Roman" w:cs="Times New Roman"/>
          <w:bCs/>
          <w:sz w:val="24"/>
          <w:szCs w:val="24"/>
        </w:rPr>
      </w:pPr>
      <w:r w:rsidRPr="000753CB">
        <w:rPr>
          <w:rFonts w:ascii="Times New Roman" w:hAnsi="Times New Roman" w:cs="Times New Roman"/>
          <w:bCs/>
          <w:sz w:val="24"/>
          <w:szCs w:val="24"/>
        </w:rPr>
        <w:t xml:space="preserve">National Union of Students (2012) </w:t>
      </w:r>
      <w:r w:rsidRPr="00F904C8">
        <w:rPr>
          <w:rFonts w:ascii="Times New Roman" w:hAnsi="Times New Roman" w:cs="Times New Roman"/>
          <w:bCs/>
          <w:i/>
          <w:sz w:val="24"/>
          <w:szCs w:val="24"/>
        </w:rPr>
        <w:t>Steps Towards a Fairer System of Postgraduate Funding in England</w:t>
      </w:r>
      <w:r w:rsidRPr="000753CB">
        <w:rPr>
          <w:rFonts w:ascii="Times New Roman" w:hAnsi="Times New Roman" w:cs="Times New Roman"/>
          <w:bCs/>
          <w:sz w:val="24"/>
          <w:szCs w:val="24"/>
        </w:rPr>
        <w:t xml:space="preserve"> </w:t>
      </w:r>
      <w:r>
        <w:rPr>
          <w:rFonts w:ascii="Times New Roman" w:hAnsi="Times New Roman" w:cs="Times New Roman"/>
          <w:bCs/>
          <w:sz w:val="24"/>
          <w:szCs w:val="24"/>
        </w:rPr>
        <w:t>(</w:t>
      </w:r>
      <w:r w:rsidRPr="000753CB">
        <w:rPr>
          <w:rFonts w:ascii="Times New Roman" w:hAnsi="Times New Roman" w:cs="Times New Roman"/>
          <w:bCs/>
          <w:sz w:val="24"/>
          <w:szCs w:val="24"/>
        </w:rPr>
        <w:t>London</w:t>
      </w:r>
      <w:r>
        <w:rPr>
          <w:rFonts w:ascii="Times New Roman" w:hAnsi="Times New Roman" w:cs="Times New Roman"/>
          <w:bCs/>
          <w:sz w:val="24"/>
          <w:szCs w:val="24"/>
        </w:rPr>
        <w:t>,</w:t>
      </w:r>
      <w:r w:rsidRPr="000753CB">
        <w:rPr>
          <w:rFonts w:ascii="Times New Roman" w:hAnsi="Times New Roman" w:cs="Times New Roman"/>
          <w:bCs/>
          <w:sz w:val="24"/>
          <w:szCs w:val="24"/>
        </w:rPr>
        <w:t xml:space="preserve"> NUS.</w:t>
      </w:r>
      <w:r>
        <w:rPr>
          <w:rFonts w:ascii="Times New Roman" w:hAnsi="Times New Roman" w:cs="Times New Roman"/>
          <w:bCs/>
          <w:sz w:val="24"/>
          <w:szCs w:val="24"/>
        </w:rPr>
        <w:t>).</w:t>
      </w:r>
    </w:p>
    <w:p w14:paraId="0942612D" w14:textId="77777777" w:rsidR="000753CB" w:rsidRDefault="000753CB" w:rsidP="00F61E81">
      <w:pPr>
        <w:spacing w:after="0" w:line="480" w:lineRule="auto"/>
        <w:rPr>
          <w:rFonts w:ascii="Times New Roman" w:hAnsi="Times New Roman" w:cs="Times New Roman"/>
          <w:bCs/>
          <w:sz w:val="24"/>
          <w:szCs w:val="24"/>
        </w:rPr>
      </w:pPr>
    </w:p>
    <w:p w14:paraId="31C25506" w14:textId="44597A41" w:rsidR="00F61E81" w:rsidRDefault="00F61E81" w:rsidP="00F61E81">
      <w:pPr>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Organisation for Economic Co-operation and Development (2015) </w:t>
      </w:r>
      <w:r>
        <w:rPr>
          <w:rFonts w:ascii="Times New Roman" w:hAnsi="Times New Roman" w:cs="Times New Roman"/>
          <w:bCs/>
          <w:i/>
          <w:sz w:val="24"/>
          <w:szCs w:val="24"/>
        </w:rPr>
        <w:t>Education at a Glance 2015</w:t>
      </w:r>
      <w:r>
        <w:rPr>
          <w:rFonts w:ascii="Times New Roman" w:hAnsi="Times New Roman" w:cs="Times New Roman"/>
          <w:bCs/>
          <w:sz w:val="24"/>
          <w:szCs w:val="24"/>
        </w:rPr>
        <w:t xml:space="preserve"> (Paris, OECD).</w:t>
      </w:r>
    </w:p>
    <w:p w14:paraId="12B77B5E" w14:textId="77777777" w:rsidR="0041480B" w:rsidRDefault="0041480B" w:rsidP="0041480B">
      <w:pPr>
        <w:spacing w:after="0" w:line="480" w:lineRule="auto"/>
        <w:rPr>
          <w:rFonts w:ascii="Times New Roman" w:hAnsi="Times New Roman" w:cs="Times New Roman"/>
          <w:bCs/>
          <w:sz w:val="24"/>
          <w:szCs w:val="24"/>
        </w:rPr>
      </w:pPr>
    </w:p>
    <w:p w14:paraId="5B5B0276" w14:textId="34913AD6" w:rsidR="0041480B" w:rsidRPr="0041480B" w:rsidRDefault="0041480B" w:rsidP="0041480B">
      <w:pPr>
        <w:spacing w:after="0" w:line="480" w:lineRule="auto"/>
        <w:rPr>
          <w:rFonts w:ascii="Times New Roman" w:hAnsi="Times New Roman" w:cs="Times New Roman"/>
          <w:bCs/>
          <w:sz w:val="24"/>
          <w:szCs w:val="24"/>
        </w:rPr>
      </w:pPr>
      <w:r w:rsidRPr="0041480B">
        <w:rPr>
          <w:rFonts w:ascii="Times New Roman" w:hAnsi="Times New Roman" w:cs="Times New Roman"/>
          <w:bCs/>
          <w:sz w:val="24"/>
          <w:szCs w:val="24"/>
        </w:rPr>
        <w:t xml:space="preserve">Pinto, </w:t>
      </w:r>
      <w:r>
        <w:rPr>
          <w:rFonts w:ascii="Times New Roman" w:hAnsi="Times New Roman" w:cs="Times New Roman"/>
          <w:bCs/>
          <w:sz w:val="24"/>
          <w:szCs w:val="24"/>
        </w:rPr>
        <w:t>M. B. and Mansfield, P.</w:t>
      </w:r>
      <w:r w:rsidRPr="0041480B">
        <w:rPr>
          <w:rFonts w:ascii="Times New Roman" w:hAnsi="Times New Roman" w:cs="Times New Roman"/>
          <w:bCs/>
          <w:sz w:val="24"/>
          <w:szCs w:val="24"/>
        </w:rPr>
        <w:t xml:space="preserve"> M. (2006) Financially At-Risk College Students: An Exploratory Investigation of Student Loan Debt and Prioritization of Debt Repayment</w:t>
      </w:r>
      <w:r>
        <w:rPr>
          <w:rFonts w:ascii="Times New Roman" w:hAnsi="Times New Roman" w:cs="Times New Roman"/>
          <w:bCs/>
          <w:sz w:val="24"/>
          <w:szCs w:val="24"/>
        </w:rPr>
        <w:t xml:space="preserve">. </w:t>
      </w:r>
      <w:r w:rsidRPr="0041480B">
        <w:rPr>
          <w:rFonts w:ascii="Times New Roman" w:hAnsi="Times New Roman" w:cs="Times New Roman"/>
          <w:bCs/>
          <w:i/>
          <w:sz w:val="24"/>
          <w:szCs w:val="24"/>
        </w:rPr>
        <w:t>Journal of Student Financial Aid</w:t>
      </w:r>
      <w:r>
        <w:rPr>
          <w:rFonts w:ascii="Times New Roman" w:hAnsi="Times New Roman" w:cs="Times New Roman"/>
          <w:bCs/>
          <w:sz w:val="24"/>
          <w:szCs w:val="24"/>
        </w:rPr>
        <w:t xml:space="preserve">, </w:t>
      </w:r>
      <w:r w:rsidRPr="0041480B">
        <w:rPr>
          <w:rFonts w:ascii="Times New Roman" w:hAnsi="Times New Roman" w:cs="Times New Roman"/>
          <w:bCs/>
          <w:sz w:val="24"/>
          <w:szCs w:val="24"/>
        </w:rPr>
        <w:t xml:space="preserve">36 </w:t>
      </w:r>
      <w:r>
        <w:rPr>
          <w:rFonts w:ascii="Times New Roman" w:hAnsi="Times New Roman" w:cs="Times New Roman"/>
          <w:bCs/>
          <w:sz w:val="24"/>
          <w:szCs w:val="24"/>
        </w:rPr>
        <w:t>(</w:t>
      </w:r>
      <w:r w:rsidRPr="0041480B">
        <w:rPr>
          <w:rFonts w:ascii="Times New Roman" w:hAnsi="Times New Roman" w:cs="Times New Roman"/>
          <w:bCs/>
          <w:sz w:val="24"/>
          <w:szCs w:val="24"/>
        </w:rPr>
        <w:t>2</w:t>
      </w:r>
      <w:r>
        <w:rPr>
          <w:rFonts w:ascii="Times New Roman" w:hAnsi="Times New Roman" w:cs="Times New Roman"/>
          <w:bCs/>
          <w:sz w:val="24"/>
          <w:szCs w:val="24"/>
        </w:rPr>
        <w:t>), 22 – 32.</w:t>
      </w:r>
    </w:p>
    <w:p w14:paraId="66A2E852" w14:textId="77777777" w:rsidR="0041480B" w:rsidRDefault="0041480B" w:rsidP="00F61E81">
      <w:pPr>
        <w:spacing w:after="0" w:line="480" w:lineRule="auto"/>
        <w:rPr>
          <w:rFonts w:ascii="Times New Roman" w:hAnsi="Times New Roman" w:cs="Times New Roman"/>
          <w:bCs/>
          <w:sz w:val="24"/>
          <w:szCs w:val="24"/>
        </w:rPr>
      </w:pPr>
    </w:p>
    <w:p w14:paraId="6C586BB7" w14:textId="77777777" w:rsidR="00F61E81" w:rsidRDefault="00F61E81" w:rsidP="00F61E81">
      <w:pPr>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Reed, M. and Cochrane, D. (2014) </w:t>
      </w:r>
      <w:r>
        <w:rPr>
          <w:rFonts w:ascii="Times New Roman" w:hAnsi="Times New Roman" w:cs="Times New Roman"/>
          <w:bCs/>
          <w:i/>
          <w:sz w:val="24"/>
          <w:szCs w:val="24"/>
        </w:rPr>
        <w:t>Student Debt and the Class of 2013</w:t>
      </w:r>
      <w:r>
        <w:rPr>
          <w:rFonts w:ascii="Times New Roman" w:hAnsi="Times New Roman" w:cs="Times New Roman"/>
          <w:bCs/>
          <w:sz w:val="24"/>
          <w:szCs w:val="24"/>
        </w:rPr>
        <w:t xml:space="preserve"> (Washington DC, the Institute for College Access and Success).</w:t>
      </w:r>
    </w:p>
    <w:p w14:paraId="17292F83" w14:textId="77777777" w:rsidR="00F61E81" w:rsidRDefault="00F61E81" w:rsidP="00F61E81">
      <w:pPr>
        <w:spacing w:after="0" w:line="480" w:lineRule="auto"/>
        <w:rPr>
          <w:rFonts w:ascii="Times New Roman" w:hAnsi="Times New Roman" w:cs="Times New Roman"/>
          <w:bCs/>
          <w:sz w:val="24"/>
          <w:szCs w:val="24"/>
        </w:rPr>
      </w:pPr>
    </w:p>
    <w:p w14:paraId="2B2A9DD8" w14:textId="5588CABA" w:rsidR="00EF7254" w:rsidRDefault="00EF7254" w:rsidP="00F81C51">
      <w:pPr>
        <w:spacing w:after="0" w:line="480" w:lineRule="auto"/>
        <w:rPr>
          <w:rFonts w:ascii="Times New Roman" w:hAnsi="Times New Roman"/>
          <w:sz w:val="24"/>
          <w:szCs w:val="24"/>
        </w:rPr>
      </w:pPr>
      <w:r w:rsidRPr="006D0833">
        <w:rPr>
          <w:rFonts w:ascii="Times New Roman" w:hAnsi="Times New Roman"/>
          <w:sz w:val="24"/>
          <w:szCs w:val="24"/>
        </w:rPr>
        <w:t xml:space="preserve">Sid Nair, C., P. Adams and P. </w:t>
      </w:r>
      <w:proofErr w:type="spellStart"/>
      <w:r w:rsidRPr="006D0833">
        <w:rPr>
          <w:rFonts w:ascii="Times New Roman" w:hAnsi="Times New Roman"/>
          <w:sz w:val="24"/>
          <w:szCs w:val="24"/>
        </w:rPr>
        <w:t>Mertova</w:t>
      </w:r>
      <w:proofErr w:type="spellEnd"/>
      <w:r w:rsidRPr="006D0833">
        <w:rPr>
          <w:rFonts w:ascii="Times New Roman" w:hAnsi="Times New Roman"/>
          <w:sz w:val="24"/>
          <w:szCs w:val="24"/>
        </w:rPr>
        <w:t xml:space="preserve">. </w:t>
      </w:r>
      <w:r>
        <w:rPr>
          <w:rFonts w:ascii="Times New Roman" w:hAnsi="Times New Roman"/>
          <w:sz w:val="24"/>
          <w:szCs w:val="24"/>
        </w:rPr>
        <w:t>(</w:t>
      </w:r>
      <w:r w:rsidRPr="006D0833">
        <w:rPr>
          <w:rFonts w:ascii="Times New Roman" w:hAnsi="Times New Roman"/>
          <w:sz w:val="24"/>
          <w:szCs w:val="24"/>
        </w:rPr>
        <w:t>2008</w:t>
      </w:r>
      <w:r>
        <w:rPr>
          <w:rFonts w:ascii="Times New Roman" w:hAnsi="Times New Roman"/>
          <w:sz w:val="24"/>
          <w:szCs w:val="24"/>
        </w:rPr>
        <w:t>)</w:t>
      </w:r>
      <w:r w:rsidRPr="006D0833">
        <w:rPr>
          <w:rFonts w:ascii="Times New Roman" w:hAnsi="Times New Roman"/>
          <w:sz w:val="24"/>
          <w:szCs w:val="24"/>
        </w:rPr>
        <w:t xml:space="preserve"> Student Engagement: The Key to Improving Survey Response Rates. </w:t>
      </w:r>
      <w:r w:rsidRPr="006D0833">
        <w:rPr>
          <w:rFonts w:ascii="Times New Roman" w:hAnsi="Times New Roman"/>
          <w:i/>
          <w:sz w:val="24"/>
          <w:szCs w:val="24"/>
        </w:rPr>
        <w:t>Quality in Higher Education</w:t>
      </w:r>
      <w:r w:rsidRPr="00E869DA">
        <w:rPr>
          <w:rFonts w:ascii="Times New Roman" w:hAnsi="Times New Roman"/>
          <w:sz w:val="24"/>
          <w:szCs w:val="24"/>
        </w:rPr>
        <w:t>,</w:t>
      </w:r>
      <w:r w:rsidRPr="006D0833">
        <w:rPr>
          <w:rFonts w:ascii="Times New Roman" w:hAnsi="Times New Roman"/>
          <w:i/>
          <w:sz w:val="24"/>
          <w:szCs w:val="24"/>
        </w:rPr>
        <w:t xml:space="preserve"> </w:t>
      </w:r>
      <w:r w:rsidRPr="006D0833">
        <w:rPr>
          <w:rFonts w:ascii="Times New Roman" w:hAnsi="Times New Roman"/>
          <w:sz w:val="24"/>
          <w:szCs w:val="24"/>
        </w:rPr>
        <w:t>14</w:t>
      </w:r>
      <w:r>
        <w:rPr>
          <w:rFonts w:ascii="Times New Roman" w:hAnsi="Times New Roman"/>
          <w:sz w:val="24"/>
          <w:szCs w:val="24"/>
        </w:rPr>
        <w:t xml:space="preserve">, 3, 225 </w:t>
      </w:r>
      <w:r w:rsidRPr="00853F95">
        <w:rPr>
          <w:rFonts w:ascii="Times New Roman" w:hAnsi="Times New Roman" w:cs="Times New Roman"/>
          <w:bCs/>
          <w:sz w:val="24"/>
          <w:szCs w:val="24"/>
        </w:rPr>
        <w:t>–</w:t>
      </w:r>
      <w:r>
        <w:rPr>
          <w:rFonts w:ascii="Times New Roman" w:hAnsi="Times New Roman"/>
          <w:sz w:val="24"/>
          <w:szCs w:val="24"/>
        </w:rPr>
        <w:t xml:space="preserve"> </w:t>
      </w:r>
      <w:r w:rsidRPr="006D0833">
        <w:rPr>
          <w:rFonts w:ascii="Times New Roman" w:hAnsi="Times New Roman"/>
          <w:sz w:val="24"/>
          <w:szCs w:val="24"/>
        </w:rPr>
        <w:t xml:space="preserve">232. </w:t>
      </w:r>
    </w:p>
    <w:p w14:paraId="7BD635DB" w14:textId="694A8975" w:rsidR="00D64CC7" w:rsidRDefault="00D64CC7" w:rsidP="00F81C51">
      <w:pPr>
        <w:spacing w:after="0" w:line="480" w:lineRule="auto"/>
        <w:rPr>
          <w:rFonts w:ascii="Times New Roman" w:hAnsi="Times New Roman"/>
          <w:sz w:val="24"/>
          <w:szCs w:val="24"/>
        </w:rPr>
      </w:pPr>
    </w:p>
    <w:p w14:paraId="6B8849E2" w14:textId="2C6A93B8" w:rsidR="00D64CC7" w:rsidRPr="008531D6" w:rsidRDefault="008531D6" w:rsidP="00F81C51">
      <w:pPr>
        <w:spacing w:after="0" w:line="480" w:lineRule="auto"/>
        <w:rPr>
          <w:rFonts w:ascii="Times New Roman" w:hAnsi="Times New Roman"/>
          <w:sz w:val="24"/>
          <w:szCs w:val="24"/>
        </w:rPr>
      </w:pPr>
      <w:r>
        <w:rPr>
          <w:rFonts w:ascii="Times New Roman" w:hAnsi="Times New Roman"/>
          <w:sz w:val="24"/>
          <w:szCs w:val="24"/>
        </w:rPr>
        <w:lastRenderedPageBreak/>
        <w:t xml:space="preserve">Social Mobility and Child Poverty Commission. (2013). </w:t>
      </w:r>
      <w:r>
        <w:rPr>
          <w:rFonts w:ascii="Times New Roman" w:hAnsi="Times New Roman"/>
          <w:i/>
          <w:sz w:val="24"/>
          <w:szCs w:val="24"/>
        </w:rPr>
        <w:t>Higher Education: the Fair Access Challenge</w:t>
      </w:r>
      <w:r>
        <w:rPr>
          <w:rFonts w:ascii="Times New Roman" w:hAnsi="Times New Roman"/>
          <w:sz w:val="24"/>
          <w:szCs w:val="24"/>
        </w:rPr>
        <w:t xml:space="preserve"> (London, Social Mobility and Child Poverty Commission).</w:t>
      </w:r>
    </w:p>
    <w:p w14:paraId="68AA32A9" w14:textId="77777777" w:rsidR="00D64CC7" w:rsidRPr="006D0833" w:rsidRDefault="00D64CC7" w:rsidP="00EF7254">
      <w:pPr>
        <w:rPr>
          <w:rFonts w:ascii="Times New Roman" w:hAnsi="Times New Roman"/>
          <w:sz w:val="24"/>
          <w:szCs w:val="24"/>
        </w:rPr>
      </w:pPr>
    </w:p>
    <w:p w14:paraId="22107AF3" w14:textId="77777777" w:rsidR="00F61E81" w:rsidRPr="00E47A93" w:rsidRDefault="00F61E81" w:rsidP="00F61E81">
      <w:pPr>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Strike, T. and Toyne, J. (2015) Our approach, in: T. Strike and J. </w:t>
      </w:r>
      <w:proofErr w:type="spellStart"/>
      <w:r>
        <w:rPr>
          <w:rFonts w:ascii="Times New Roman" w:hAnsi="Times New Roman" w:cs="Times New Roman"/>
          <w:bCs/>
          <w:sz w:val="24"/>
          <w:szCs w:val="24"/>
        </w:rPr>
        <w:t>Toyne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Eds</w:t>
      </w:r>
      <w:proofErr w:type="spellEnd"/>
      <w:r>
        <w:rPr>
          <w:rFonts w:ascii="Times New Roman" w:hAnsi="Times New Roman" w:cs="Times New Roman"/>
          <w:bCs/>
          <w:sz w:val="24"/>
          <w:szCs w:val="24"/>
        </w:rPr>
        <w:t xml:space="preserve">) </w:t>
      </w:r>
      <w:r w:rsidRPr="00E47A93">
        <w:rPr>
          <w:rFonts w:ascii="Times New Roman" w:hAnsi="Times New Roman" w:cs="Times New Roman"/>
          <w:bCs/>
          <w:i/>
          <w:sz w:val="24"/>
          <w:szCs w:val="24"/>
        </w:rPr>
        <w:t>Postgraduate Support Scheme: Widening Access to Postgraduate Study and Fair Access to the Professions</w:t>
      </w:r>
      <w:r>
        <w:rPr>
          <w:rFonts w:ascii="Times New Roman" w:hAnsi="Times New Roman" w:cs="Times New Roman"/>
          <w:bCs/>
          <w:i/>
          <w:sz w:val="24"/>
          <w:szCs w:val="24"/>
        </w:rPr>
        <w:t xml:space="preserve"> </w:t>
      </w:r>
      <w:r>
        <w:rPr>
          <w:rFonts w:ascii="Times New Roman" w:hAnsi="Times New Roman" w:cs="Times New Roman"/>
          <w:bCs/>
          <w:sz w:val="24"/>
          <w:szCs w:val="24"/>
        </w:rPr>
        <w:t>(Sheffield, University of Sheffield).</w:t>
      </w:r>
    </w:p>
    <w:p w14:paraId="6D498541" w14:textId="77777777" w:rsidR="00F61E81" w:rsidRDefault="00F61E81" w:rsidP="00F61E81">
      <w:pPr>
        <w:spacing w:after="0" w:line="480" w:lineRule="auto"/>
        <w:rPr>
          <w:rFonts w:ascii="Times New Roman" w:hAnsi="Times New Roman" w:cs="Times New Roman"/>
          <w:bCs/>
          <w:sz w:val="24"/>
          <w:szCs w:val="24"/>
        </w:rPr>
      </w:pPr>
    </w:p>
    <w:p w14:paraId="388A0BAB" w14:textId="77777777" w:rsidR="00F61E81" w:rsidRPr="00AA684E" w:rsidRDefault="00F61E81" w:rsidP="00F61E81">
      <w:pPr>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Stuart, M., Lido, C., Morgan, M., Solomon, L. and </w:t>
      </w:r>
      <w:proofErr w:type="spellStart"/>
      <w:r>
        <w:rPr>
          <w:rFonts w:ascii="Times New Roman" w:hAnsi="Times New Roman" w:cs="Times New Roman"/>
          <w:bCs/>
          <w:sz w:val="24"/>
          <w:szCs w:val="24"/>
        </w:rPr>
        <w:t>Akroyd</w:t>
      </w:r>
      <w:proofErr w:type="spellEnd"/>
      <w:r>
        <w:rPr>
          <w:rFonts w:ascii="Times New Roman" w:hAnsi="Times New Roman" w:cs="Times New Roman"/>
          <w:bCs/>
          <w:sz w:val="24"/>
          <w:szCs w:val="24"/>
        </w:rPr>
        <w:t xml:space="preserve">, K. (2008) </w:t>
      </w:r>
      <w:r w:rsidRPr="00AA684E">
        <w:rPr>
          <w:rFonts w:ascii="Times New Roman" w:hAnsi="Times New Roman" w:cs="Times New Roman"/>
          <w:bCs/>
          <w:i/>
          <w:sz w:val="24"/>
          <w:szCs w:val="24"/>
        </w:rPr>
        <w:t xml:space="preserve">Widening Participation </w:t>
      </w:r>
      <w:r>
        <w:rPr>
          <w:rFonts w:ascii="Times New Roman" w:hAnsi="Times New Roman" w:cs="Times New Roman"/>
          <w:bCs/>
          <w:i/>
          <w:sz w:val="24"/>
          <w:szCs w:val="24"/>
        </w:rPr>
        <w:t>t</w:t>
      </w:r>
      <w:r w:rsidRPr="00AA684E">
        <w:rPr>
          <w:rFonts w:ascii="Times New Roman" w:hAnsi="Times New Roman" w:cs="Times New Roman"/>
          <w:bCs/>
          <w:i/>
          <w:sz w:val="24"/>
          <w:szCs w:val="24"/>
        </w:rPr>
        <w:t>o Postgraduate Study</w:t>
      </w:r>
      <w:r>
        <w:rPr>
          <w:rFonts w:ascii="Times New Roman" w:hAnsi="Times New Roman" w:cs="Times New Roman"/>
          <w:bCs/>
          <w:i/>
          <w:sz w:val="24"/>
          <w:szCs w:val="24"/>
        </w:rPr>
        <w:t>: Decisions, Deterrents a</w:t>
      </w:r>
      <w:r w:rsidRPr="00AA684E">
        <w:rPr>
          <w:rFonts w:ascii="Times New Roman" w:hAnsi="Times New Roman" w:cs="Times New Roman"/>
          <w:bCs/>
          <w:i/>
          <w:sz w:val="24"/>
          <w:szCs w:val="24"/>
        </w:rPr>
        <w:t>nd Creating Success</w:t>
      </w:r>
      <w:r>
        <w:rPr>
          <w:rFonts w:ascii="Times New Roman" w:hAnsi="Times New Roman" w:cs="Times New Roman"/>
          <w:bCs/>
          <w:sz w:val="24"/>
          <w:szCs w:val="24"/>
        </w:rPr>
        <w:t xml:space="preserve"> (York, Higher Education Academy).</w:t>
      </w:r>
    </w:p>
    <w:p w14:paraId="22EE7F1B" w14:textId="77777777" w:rsidR="00F61E81" w:rsidRDefault="00F61E81" w:rsidP="00F61E81">
      <w:pPr>
        <w:spacing w:after="0" w:line="480" w:lineRule="auto"/>
        <w:rPr>
          <w:rFonts w:ascii="Times New Roman" w:hAnsi="Times New Roman" w:cs="Times New Roman"/>
          <w:bCs/>
          <w:sz w:val="24"/>
          <w:szCs w:val="24"/>
        </w:rPr>
      </w:pPr>
    </w:p>
    <w:p w14:paraId="32EC0713" w14:textId="77777777" w:rsidR="00F61E81" w:rsidRPr="00853F95" w:rsidRDefault="00F61E81" w:rsidP="00F61E81">
      <w:pPr>
        <w:spacing w:after="0" w:line="480" w:lineRule="auto"/>
        <w:rPr>
          <w:rFonts w:ascii="Times New Roman" w:hAnsi="Times New Roman" w:cs="Times New Roman"/>
          <w:sz w:val="24"/>
          <w:szCs w:val="24"/>
        </w:rPr>
      </w:pPr>
      <w:r w:rsidRPr="00853F95">
        <w:rPr>
          <w:rFonts w:ascii="Times New Roman" w:hAnsi="Times New Roman" w:cs="Times New Roman"/>
          <w:sz w:val="24"/>
          <w:szCs w:val="24"/>
        </w:rPr>
        <w:t xml:space="preserve">Wakeling, P. and Hampden-Thompson, G. (2013) </w:t>
      </w:r>
      <w:r w:rsidRPr="00853F95">
        <w:rPr>
          <w:rFonts w:ascii="Times New Roman" w:hAnsi="Times New Roman" w:cs="Times New Roman"/>
          <w:i/>
          <w:iCs/>
          <w:sz w:val="24"/>
          <w:szCs w:val="24"/>
        </w:rPr>
        <w:t xml:space="preserve">Transition to Higher Degrees Across the UK: </w:t>
      </w:r>
      <w:proofErr w:type="gramStart"/>
      <w:r w:rsidRPr="00853F95">
        <w:rPr>
          <w:rFonts w:ascii="Times New Roman" w:hAnsi="Times New Roman" w:cs="Times New Roman"/>
          <w:i/>
          <w:iCs/>
          <w:sz w:val="24"/>
          <w:szCs w:val="24"/>
        </w:rPr>
        <w:t>an</w:t>
      </w:r>
      <w:proofErr w:type="gramEnd"/>
      <w:r w:rsidRPr="00853F95">
        <w:rPr>
          <w:rFonts w:ascii="Times New Roman" w:hAnsi="Times New Roman" w:cs="Times New Roman"/>
          <w:i/>
          <w:iCs/>
          <w:sz w:val="24"/>
          <w:szCs w:val="24"/>
        </w:rPr>
        <w:t xml:space="preserve"> Analysis of National, Institutional and Individual Differences</w:t>
      </w:r>
      <w:r w:rsidRPr="00853F95">
        <w:rPr>
          <w:rFonts w:ascii="Times New Roman" w:hAnsi="Times New Roman" w:cs="Times New Roman"/>
          <w:sz w:val="24"/>
          <w:szCs w:val="24"/>
        </w:rPr>
        <w:t xml:space="preserve"> </w:t>
      </w:r>
      <w:r>
        <w:rPr>
          <w:rFonts w:ascii="Times New Roman" w:hAnsi="Times New Roman" w:cs="Times New Roman"/>
          <w:sz w:val="24"/>
          <w:szCs w:val="24"/>
        </w:rPr>
        <w:t>(</w:t>
      </w:r>
      <w:r w:rsidRPr="00853F95">
        <w:rPr>
          <w:rFonts w:ascii="Times New Roman" w:hAnsi="Times New Roman" w:cs="Times New Roman"/>
          <w:sz w:val="24"/>
          <w:szCs w:val="24"/>
        </w:rPr>
        <w:t>York</w:t>
      </w:r>
      <w:r>
        <w:rPr>
          <w:rFonts w:ascii="Times New Roman" w:hAnsi="Times New Roman" w:cs="Times New Roman"/>
          <w:sz w:val="24"/>
          <w:szCs w:val="24"/>
        </w:rPr>
        <w:t>, Higher Education Academy).</w:t>
      </w:r>
    </w:p>
    <w:p w14:paraId="47C6EC3D" w14:textId="77777777" w:rsidR="00F61E81" w:rsidRDefault="00F61E81" w:rsidP="00F61E81">
      <w:pPr>
        <w:spacing w:after="0" w:line="480" w:lineRule="auto"/>
        <w:rPr>
          <w:rFonts w:ascii="Times New Roman" w:hAnsi="Times New Roman" w:cs="Times New Roman"/>
          <w:sz w:val="24"/>
          <w:szCs w:val="24"/>
        </w:rPr>
      </w:pPr>
    </w:p>
    <w:p w14:paraId="7C0E30E7" w14:textId="77777777" w:rsidR="00F61E81" w:rsidRPr="00E61A53" w:rsidRDefault="00F61E81" w:rsidP="00F61E81">
      <w:pPr>
        <w:spacing w:after="0" w:line="480" w:lineRule="auto"/>
        <w:rPr>
          <w:rFonts w:ascii="Times New Roman" w:hAnsi="Times New Roman" w:cs="Times New Roman"/>
          <w:sz w:val="24"/>
          <w:szCs w:val="24"/>
        </w:rPr>
      </w:pPr>
      <w:r w:rsidRPr="00E61A53">
        <w:rPr>
          <w:rFonts w:ascii="Times New Roman" w:hAnsi="Times New Roman" w:cs="Times New Roman"/>
          <w:sz w:val="24"/>
          <w:szCs w:val="24"/>
        </w:rPr>
        <w:t xml:space="preserve">Walker, I. and Zhu, Y. (2013) </w:t>
      </w:r>
      <w:r w:rsidRPr="00E61A53">
        <w:rPr>
          <w:rFonts w:ascii="Times New Roman" w:hAnsi="Times New Roman" w:cs="Times New Roman"/>
          <w:i/>
          <w:sz w:val="24"/>
          <w:szCs w:val="24"/>
        </w:rPr>
        <w:t>The Impact of University Degrees on the Lifecycle of Earnings: Some Further Analysis</w:t>
      </w:r>
      <w:r w:rsidRPr="00E61A53">
        <w:rPr>
          <w:rFonts w:ascii="Times New Roman" w:hAnsi="Times New Roman" w:cs="Times New Roman"/>
          <w:sz w:val="24"/>
          <w:szCs w:val="24"/>
        </w:rPr>
        <w:t xml:space="preserve"> </w:t>
      </w:r>
      <w:r>
        <w:rPr>
          <w:rFonts w:ascii="Times New Roman" w:hAnsi="Times New Roman" w:cs="Times New Roman"/>
          <w:sz w:val="24"/>
          <w:szCs w:val="24"/>
        </w:rPr>
        <w:t>(</w:t>
      </w:r>
      <w:r w:rsidRPr="00E61A53">
        <w:rPr>
          <w:rFonts w:ascii="Times New Roman" w:hAnsi="Times New Roman" w:cs="Times New Roman"/>
          <w:sz w:val="24"/>
          <w:szCs w:val="24"/>
        </w:rPr>
        <w:t>London</w:t>
      </w:r>
      <w:r>
        <w:rPr>
          <w:rFonts w:ascii="Times New Roman" w:hAnsi="Times New Roman" w:cs="Times New Roman"/>
          <w:sz w:val="24"/>
          <w:szCs w:val="24"/>
        </w:rPr>
        <w:t>,</w:t>
      </w:r>
      <w:r w:rsidRPr="00E61A53">
        <w:rPr>
          <w:rFonts w:ascii="Times New Roman" w:hAnsi="Times New Roman" w:cs="Times New Roman"/>
          <w:sz w:val="24"/>
          <w:szCs w:val="24"/>
        </w:rPr>
        <w:t xml:space="preserve"> Department for </w:t>
      </w:r>
      <w:r>
        <w:rPr>
          <w:rFonts w:ascii="Times New Roman" w:hAnsi="Times New Roman" w:cs="Times New Roman"/>
          <w:sz w:val="24"/>
          <w:szCs w:val="24"/>
        </w:rPr>
        <w:t>Business, Innovation and Skills).</w:t>
      </w:r>
    </w:p>
    <w:p w14:paraId="2E67DB3C" w14:textId="77777777" w:rsidR="00F81C51" w:rsidRDefault="00F81C51" w:rsidP="00F61E81">
      <w:pPr>
        <w:spacing w:after="0" w:line="480" w:lineRule="auto"/>
        <w:rPr>
          <w:rFonts w:ascii="Times New Roman" w:hAnsi="Times New Roman" w:cs="Times New Roman"/>
          <w:sz w:val="24"/>
          <w:szCs w:val="24"/>
        </w:rPr>
      </w:pPr>
    </w:p>
    <w:p w14:paraId="587A4023" w14:textId="178FC5F7" w:rsidR="000473C9" w:rsidRPr="000473C9" w:rsidRDefault="000473C9" w:rsidP="00F61E8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West, A., Roberts, J., Lewis, J. and </w:t>
      </w:r>
      <w:proofErr w:type="spellStart"/>
      <w:r>
        <w:rPr>
          <w:rFonts w:ascii="Times New Roman" w:hAnsi="Times New Roman" w:cs="Times New Roman"/>
          <w:sz w:val="24"/>
          <w:szCs w:val="24"/>
        </w:rPr>
        <w:t>Noden</w:t>
      </w:r>
      <w:proofErr w:type="spellEnd"/>
      <w:r>
        <w:rPr>
          <w:rFonts w:ascii="Times New Roman" w:hAnsi="Times New Roman" w:cs="Times New Roman"/>
          <w:sz w:val="24"/>
          <w:szCs w:val="24"/>
        </w:rPr>
        <w:t xml:space="preserve">, P. (2015) Paying for higher education in England: funding policy and families. </w:t>
      </w:r>
      <w:r>
        <w:rPr>
          <w:rFonts w:ascii="Times New Roman" w:hAnsi="Times New Roman" w:cs="Times New Roman"/>
          <w:i/>
          <w:sz w:val="24"/>
          <w:szCs w:val="24"/>
        </w:rPr>
        <w:t>British Journal of Educational Studies</w:t>
      </w:r>
      <w:r>
        <w:rPr>
          <w:rFonts w:ascii="Times New Roman" w:hAnsi="Times New Roman" w:cs="Times New Roman"/>
          <w:sz w:val="24"/>
          <w:szCs w:val="24"/>
        </w:rPr>
        <w:t>, 63, 1, 23-45.</w:t>
      </w:r>
    </w:p>
    <w:p w14:paraId="64FB667D" w14:textId="77777777" w:rsidR="000473C9" w:rsidRDefault="000473C9" w:rsidP="00F61E81">
      <w:pPr>
        <w:spacing w:after="0" w:line="480" w:lineRule="auto"/>
        <w:rPr>
          <w:rFonts w:ascii="Times New Roman" w:hAnsi="Times New Roman" w:cs="Times New Roman"/>
          <w:sz w:val="24"/>
          <w:szCs w:val="24"/>
        </w:rPr>
      </w:pPr>
    </w:p>
    <w:p w14:paraId="3DF831E1" w14:textId="77777777" w:rsidR="00F61E81" w:rsidRDefault="00F61E81" w:rsidP="00F61E81">
      <w:pPr>
        <w:spacing w:after="0" w:line="480" w:lineRule="auto"/>
        <w:rPr>
          <w:rFonts w:ascii="Times New Roman" w:hAnsi="Times New Roman" w:cs="Times New Roman"/>
          <w:sz w:val="24"/>
          <w:szCs w:val="24"/>
        </w:rPr>
      </w:pPr>
      <w:r w:rsidRPr="004F261E">
        <w:rPr>
          <w:rFonts w:ascii="Times New Roman" w:hAnsi="Times New Roman" w:cs="Times New Roman"/>
          <w:sz w:val="24"/>
          <w:szCs w:val="24"/>
        </w:rPr>
        <w:t xml:space="preserve">Wilkins, S., Shams, F. and Huisman, J. </w:t>
      </w:r>
      <w:r>
        <w:rPr>
          <w:rFonts w:ascii="Times New Roman" w:hAnsi="Times New Roman" w:cs="Times New Roman"/>
          <w:sz w:val="24"/>
          <w:szCs w:val="24"/>
        </w:rPr>
        <w:t>(</w:t>
      </w:r>
      <w:r w:rsidRPr="004F261E">
        <w:rPr>
          <w:rFonts w:ascii="Times New Roman" w:hAnsi="Times New Roman" w:cs="Times New Roman"/>
          <w:sz w:val="24"/>
          <w:szCs w:val="24"/>
        </w:rPr>
        <w:t>2013</w:t>
      </w:r>
      <w:r>
        <w:rPr>
          <w:rFonts w:ascii="Times New Roman" w:hAnsi="Times New Roman" w:cs="Times New Roman"/>
          <w:sz w:val="24"/>
          <w:szCs w:val="24"/>
        </w:rPr>
        <w:t>)</w:t>
      </w:r>
      <w:r w:rsidRPr="004F261E">
        <w:rPr>
          <w:rFonts w:ascii="Times New Roman" w:hAnsi="Times New Roman" w:cs="Times New Roman"/>
          <w:sz w:val="24"/>
          <w:szCs w:val="24"/>
        </w:rPr>
        <w:t xml:space="preserve"> The decision-making and changing behavioural dynamics of potential higher education students: the impacts of increasing tuition fees in England. </w:t>
      </w:r>
      <w:r w:rsidRPr="004F261E">
        <w:rPr>
          <w:rFonts w:ascii="Times New Roman" w:hAnsi="Times New Roman" w:cs="Times New Roman"/>
          <w:i/>
          <w:sz w:val="24"/>
          <w:szCs w:val="24"/>
        </w:rPr>
        <w:t>Educational Studies</w:t>
      </w:r>
      <w:r w:rsidRPr="004F261E">
        <w:rPr>
          <w:rFonts w:ascii="Times New Roman" w:hAnsi="Times New Roman" w:cs="Times New Roman"/>
          <w:sz w:val="24"/>
          <w:szCs w:val="24"/>
        </w:rPr>
        <w:t>, 39</w:t>
      </w:r>
      <w:r>
        <w:rPr>
          <w:rFonts w:ascii="Times New Roman" w:hAnsi="Times New Roman" w:cs="Times New Roman"/>
          <w:sz w:val="24"/>
          <w:szCs w:val="24"/>
        </w:rPr>
        <w:t>,</w:t>
      </w:r>
      <w:r w:rsidRPr="004F261E">
        <w:rPr>
          <w:rFonts w:ascii="Times New Roman" w:hAnsi="Times New Roman" w:cs="Times New Roman"/>
          <w:sz w:val="24"/>
          <w:szCs w:val="24"/>
        </w:rPr>
        <w:t xml:space="preserve"> 3</w:t>
      </w:r>
      <w:r>
        <w:rPr>
          <w:rFonts w:ascii="Times New Roman" w:hAnsi="Times New Roman" w:cs="Times New Roman"/>
          <w:sz w:val="24"/>
          <w:szCs w:val="24"/>
        </w:rPr>
        <w:t>,</w:t>
      </w:r>
      <w:r w:rsidRPr="004F261E">
        <w:rPr>
          <w:rFonts w:ascii="Times New Roman" w:hAnsi="Times New Roman" w:cs="Times New Roman"/>
          <w:sz w:val="24"/>
          <w:szCs w:val="24"/>
        </w:rPr>
        <w:t xml:space="preserve"> 125 – 141.</w:t>
      </w:r>
    </w:p>
    <w:p w14:paraId="7A9D8A03" w14:textId="77777777" w:rsidR="00666AB4" w:rsidRPr="004F261E" w:rsidRDefault="00666AB4" w:rsidP="00F61E81">
      <w:pPr>
        <w:spacing w:after="0" w:line="480" w:lineRule="auto"/>
        <w:rPr>
          <w:rFonts w:ascii="Times New Roman" w:hAnsi="Times New Roman" w:cs="Times New Roman"/>
          <w:sz w:val="24"/>
          <w:szCs w:val="24"/>
        </w:rPr>
      </w:pPr>
    </w:p>
    <w:p w14:paraId="1AFF5D76" w14:textId="6A19C1D1" w:rsidR="002E0B7F" w:rsidRDefault="00F61E81" w:rsidP="00CC31F3">
      <w:pPr>
        <w:spacing w:after="0" w:line="480" w:lineRule="auto"/>
        <w:rPr>
          <w:rFonts w:ascii="Times New Roman" w:hAnsi="Times New Roman" w:cs="Times New Roman"/>
          <w:sz w:val="24"/>
          <w:szCs w:val="24"/>
        </w:rPr>
      </w:pPr>
      <w:r w:rsidRPr="003B5702">
        <w:rPr>
          <w:rFonts w:ascii="Times New Roman" w:hAnsi="Times New Roman" w:cs="Times New Roman"/>
          <w:sz w:val="24"/>
          <w:szCs w:val="24"/>
        </w:rPr>
        <w:lastRenderedPageBreak/>
        <w:t>Zhang, L</w:t>
      </w:r>
      <w:r>
        <w:rPr>
          <w:rFonts w:ascii="Times New Roman" w:hAnsi="Times New Roman" w:cs="Times New Roman"/>
          <w:sz w:val="24"/>
          <w:szCs w:val="24"/>
        </w:rPr>
        <w:t>.</w:t>
      </w:r>
      <w:r w:rsidRPr="003B5702">
        <w:rPr>
          <w:rFonts w:ascii="Times New Roman" w:hAnsi="Times New Roman" w:cs="Times New Roman"/>
          <w:sz w:val="24"/>
          <w:szCs w:val="24"/>
        </w:rPr>
        <w:t xml:space="preserve"> </w:t>
      </w:r>
      <w:r>
        <w:rPr>
          <w:rFonts w:ascii="Times New Roman" w:hAnsi="Times New Roman" w:cs="Times New Roman"/>
          <w:sz w:val="24"/>
          <w:szCs w:val="24"/>
        </w:rPr>
        <w:t>(</w:t>
      </w:r>
      <w:r w:rsidRPr="003B5702">
        <w:rPr>
          <w:rFonts w:ascii="Times New Roman" w:hAnsi="Times New Roman" w:cs="Times New Roman"/>
          <w:sz w:val="24"/>
          <w:szCs w:val="24"/>
        </w:rPr>
        <w:t>2013</w:t>
      </w:r>
      <w:r>
        <w:rPr>
          <w:rFonts w:ascii="Times New Roman" w:hAnsi="Times New Roman" w:cs="Times New Roman"/>
          <w:sz w:val="24"/>
          <w:szCs w:val="24"/>
        </w:rPr>
        <w:t>)</w:t>
      </w:r>
      <w:r w:rsidRPr="003B5702">
        <w:rPr>
          <w:rFonts w:ascii="Times New Roman" w:hAnsi="Times New Roman" w:cs="Times New Roman"/>
          <w:sz w:val="24"/>
          <w:szCs w:val="24"/>
        </w:rPr>
        <w:t xml:space="preserve"> Effects of college educational debt on graduate school attendance and early career and lifestyle choices. </w:t>
      </w:r>
      <w:r w:rsidRPr="003B5702">
        <w:rPr>
          <w:rFonts w:ascii="Times New Roman" w:hAnsi="Times New Roman" w:cs="Times New Roman"/>
          <w:i/>
          <w:sz w:val="24"/>
          <w:szCs w:val="24"/>
        </w:rPr>
        <w:t>Education Economics</w:t>
      </w:r>
      <w:r w:rsidRPr="003B5702">
        <w:rPr>
          <w:rFonts w:ascii="Times New Roman" w:hAnsi="Times New Roman" w:cs="Times New Roman"/>
          <w:sz w:val="24"/>
          <w:szCs w:val="24"/>
        </w:rPr>
        <w:t>, 21</w:t>
      </w:r>
      <w:r>
        <w:rPr>
          <w:rFonts w:ascii="Times New Roman" w:hAnsi="Times New Roman" w:cs="Times New Roman"/>
          <w:sz w:val="24"/>
          <w:szCs w:val="24"/>
        </w:rPr>
        <w:t>,</w:t>
      </w:r>
      <w:r w:rsidRPr="003B5702">
        <w:rPr>
          <w:rFonts w:ascii="Times New Roman" w:hAnsi="Times New Roman" w:cs="Times New Roman"/>
          <w:sz w:val="24"/>
          <w:szCs w:val="24"/>
        </w:rPr>
        <w:t xml:space="preserve"> 2</w:t>
      </w:r>
      <w:r>
        <w:rPr>
          <w:rFonts w:ascii="Times New Roman" w:hAnsi="Times New Roman" w:cs="Times New Roman"/>
          <w:sz w:val="24"/>
          <w:szCs w:val="24"/>
        </w:rPr>
        <w:t>,</w:t>
      </w:r>
      <w:r w:rsidRPr="003B5702">
        <w:rPr>
          <w:rFonts w:ascii="Times New Roman" w:hAnsi="Times New Roman" w:cs="Times New Roman"/>
          <w:sz w:val="24"/>
          <w:szCs w:val="24"/>
        </w:rPr>
        <w:t xml:space="preserve"> 154 – 175.</w:t>
      </w:r>
    </w:p>
    <w:p w14:paraId="792D5C9E" w14:textId="26229A41" w:rsidR="004A3130" w:rsidRDefault="004A3130" w:rsidP="00CC31F3">
      <w:pPr>
        <w:spacing w:after="0" w:line="480" w:lineRule="auto"/>
        <w:rPr>
          <w:rFonts w:ascii="Times New Roman" w:hAnsi="Times New Roman" w:cs="Times New Roman"/>
          <w:sz w:val="24"/>
          <w:szCs w:val="24"/>
        </w:rPr>
      </w:pPr>
    </w:p>
    <w:p w14:paraId="1A89D4FC" w14:textId="77777777" w:rsidR="00A0488F" w:rsidRDefault="00A0488F" w:rsidP="00CC31F3">
      <w:pPr>
        <w:spacing w:after="0" w:line="480" w:lineRule="auto"/>
        <w:rPr>
          <w:rFonts w:ascii="Times New Roman" w:hAnsi="Times New Roman" w:cs="Times New Roman"/>
          <w:sz w:val="24"/>
          <w:szCs w:val="24"/>
        </w:rPr>
        <w:sectPr w:rsidR="00A0488F" w:rsidSect="00CC31F3">
          <w:pgSz w:w="11906" w:h="16838"/>
          <w:pgMar w:top="1440" w:right="1440" w:bottom="1440" w:left="1440" w:header="708" w:footer="708" w:gutter="0"/>
          <w:cols w:space="708"/>
          <w:docGrid w:linePitch="360"/>
        </w:sectPr>
      </w:pPr>
    </w:p>
    <w:tbl>
      <w:tblPr>
        <w:tblW w:w="14005" w:type="dxa"/>
        <w:tblLook w:val="04A0" w:firstRow="1" w:lastRow="0" w:firstColumn="1" w:lastColumn="0" w:noHBand="0" w:noVBand="1"/>
      </w:tblPr>
      <w:tblGrid>
        <w:gridCol w:w="6096"/>
        <w:gridCol w:w="1282"/>
        <w:gridCol w:w="1219"/>
        <w:gridCol w:w="271"/>
        <w:gridCol w:w="1261"/>
        <w:gridCol w:w="1172"/>
        <w:gridCol w:w="271"/>
        <w:gridCol w:w="1261"/>
        <w:gridCol w:w="1172"/>
      </w:tblGrid>
      <w:tr w:rsidR="00F92A14" w:rsidRPr="00730C0E" w14:paraId="06824A34" w14:textId="77777777" w:rsidTr="00F92A14">
        <w:trPr>
          <w:trHeight w:val="288"/>
        </w:trPr>
        <w:tc>
          <w:tcPr>
            <w:tcW w:w="14005" w:type="dxa"/>
            <w:gridSpan w:val="9"/>
            <w:tcBorders>
              <w:top w:val="nil"/>
              <w:left w:val="nil"/>
              <w:bottom w:val="single" w:sz="4" w:space="0" w:color="auto"/>
              <w:right w:val="nil"/>
            </w:tcBorders>
            <w:shd w:val="clear" w:color="auto" w:fill="auto"/>
            <w:noWrap/>
            <w:vAlign w:val="center"/>
            <w:hideMark/>
          </w:tcPr>
          <w:p w14:paraId="2250881B" w14:textId="77777777" w:rsidR="00F92A14" w:rsidRPr="00730C0E" w:rsidRDefault="00F92A14" w:rsidP="00F92A14">
            <w:pPr>
              <w:spacing w:after="0" w:line="240" w:lineRule="auto"/>
              <w:rPr>
                <w:rFonts w:ascii="Times New Roman" w:eastAsia="Times New Roman" w:hAnsi="Times New Roman" w:cs="Times New Roman"/>
                <w:b/>
                <w:bCs/>
                <w:color w:val="000000"/>
                <w:lang w:eastAsia="en-GB"/>
              </w:rPr>
            </w:pPr>
            <w:r w:rsidRPr="00730C0E">
              <w:rPr>
                <w:rFonts w:ascii="Times New Roman" w:eastAsia="Times New Roman" w:hAnsi="Times New Roman" w:cs="Times New Roman"/>
                <w:b/>
                <w:bCs/>
                <w:color w:val="000000"/>
                <w:lang w:eastAsia="en-GB"/>
              </w:rPr>
              <w:lastRenderedPageBreak/>
              <w:t xml:space="preserve">Table 1. </w:t>
            </w:r>
            <w:r>
              <w:rPr>
                <w:rFonts w:ascii="Times New Roman" w:eastAsia="Times New Roman" w:hAnsi="Times New Roman" w:cs="Times New Roman"/>
                <w:b/>
                <w:bCs/>
                <w:color w:val="000000"/>
                <w:lang w:eastAsia="en-GB"/>
              </w:rPr>
              <w:t>Percentage</w:t>
            </w:r>
            <w:r w:rsidRPr="00730C0E">
              <w:rPr>
                <w:rFonts w:ascii="Times New Roman" w:eastAsia="Times New Roman" w:hAnsi="Times New Roman" w:cs="Times New Roman"/>
                <w:b/>
                <w:bCs/>
                <w:color w:val="000000"/>
                <w:lang w:eastAsia="en-GB"/>
              </w:rPr>
              <w:t xml:space="preserve"> and frequency of progression to postgraduate study and progression status by year of undergraduate graduation.</w:t>
            </w:r>
          </w:p>
        </w:tc>
      </w:tr>
      <w:tr w:rsidR="00F92A14" w:rsidRPr="00730C0E" w14:paraId="4967D0C3" w14:textId="77777777" w:rsidTr="00F92A14">
        <w:trPr>
          <w:trHeight w:val="288"/>
        </w:trPr>
        <w:tc>
          <w:tcPr>
            <w:tcW w:w="6096" w:type="dxa"/>
            <w:tcBorders>
              <w:top w:val="nil"/>
              <w:left w:val="nil"/>
              <w:bottom w:val="nil"/>
              <w:right w:val="nil"/>
            </w:tcBorders>
            <w:shd w:val="clear" w:color="auto" w:fill="auto"/>
            <w:noWrap/>
            <w:vAlign w:val="center"/>
            <w:hideMark/>
          </w:tcPr>
          <w:p w14:paraId="4F6570ED" w14:textId="77777777" w:rsidR="00F92A14" w:rsidRPr="00730C0E" w:rsidRDefault="00F92A14" w:rsidP="00F92A14">
            <w:pPr>
              <w:spacing w:after="0" w:line="240" w:lineRule="auto"/>
              <w:rPr>
                <w:rFonts w:ascii="Times New Roman" w:eastAsia="Times New Roman" w:hAnsi="Times New Roman" w:cs="Times New Roman"/>
                <w:b/>
                <w:bCs/>
                <w:color w:val="000000"/>
                <w:lang w:eastAsia="en-GB"/>
              </w:rPr>
            </w:pPr>
          </w:p>
        </w:tc>
        <w:tc>
          <w:tcPr>
            <w:tcW w:w="2501" w:type="dxa"/>
            <w:gridSpan w:val="2"/>
            <w:tcBorders>
              <w:top w:val="nil"/>
              <w:left w:val="nil"/>
              <w:bottom w:val="single" w:sz="4" w:space="0" w:color="auto"/>
              <w:right w:val="nil"/>
            </w:tcBorders>
            <w:shd w:val="clear" w:color="auto" w:fill="auto"/>
            <w:noWrap/>
            <w:vAlign w:val="center"/>
            <w:hideMark/>
          </w:tcPr>
          <w:p w14:paraId="01AA0B3E" w14:textId="77777777" w:rsidR="00F92A14" w:rsidRPr="00730C0E" w:rsidRDefault="00F92A14" w:rsidP="00F92A14">
            <w:pPr>
              <w:spacing w:after="0" w:line="240" w:lineRule="auto"/>
              <w:jc w:val="center"/>
              <w:rPr>
                <w:rFonts w:ascii="Times New Roman" w:eastAsia="Times New Roman" w:hAnsi="Times New Roman" w:cs="Times New Roman"/>
                <w:b/>
                <w:bCs/>
                <w:color w:val="000000"/>
                <w:lang w:eastAsia="en-GB"/>
              </w:rPr>
            </w:pPr>
            <w:r w:rsidRPr="00730C0E">
              <w:rPr>
                <w:rFonts w:ascii="Times New Roman" w:eastAsia="Times New Roman" w:hAnsi="Times New Roman" w:cs="Times New Roman"/>
                <w:b/>
                <w:bCs/>
                <w:color w:val="000000"/>
                <w:lang w:eastAsia="en-GB"/>
              </w:rPr>
              <w:t>Total</w:t>
            </w:r>
          </w:p>
        </w:tc>
        <w:tc>
          <w:tcPr>
            <w:tcW w:w="271" w:type="dxa"/>
            <w:tcBorders>
              <w:top w:val="nil"/>
              <w:left w:val="nil"/>
              <w:bottom w:val="nil"/>
              <w:right w:val="nil"/>
            </w:tcBorders>
            <w:shd w:val="clear" w:color="auto" w:fill="auto"/>
            <w:noWrap/>
            <w:vAlign w:val="center"/>
            <w:hideMark/>
          </w:tcPr>
          <w:p w14:paraId="737E0683" w14:textId="77777777" w:rsidR="00F92A14" w:rsidRPr="00730C0E" w:rsidRDefault="00F92A14" w:rsidP="00F92A14">
            <w:pPr>
              <w:spacing w:after="0" w:line="240" w:lineRule="auto"/>
              <w:jc w:val="center"/>
              <w:rPr>
                <w:rFonts w:ascii="Times New Roman" w:eastAsia="Times New Roman" w:hAnsi="Times New Roman" w:cs="Times New Roman"/>
                <w:b/>
                <w:bCs/>
                <w:color w:val="000000"/>
                <w:lang w:eastAsia="en-GB"/>
              </w:rPr>
            </w:pPr>
          </w:p>
        </w:tc>
        <w:tc>
          <w:tcPr>
            <w:tcW w:w="2433" w:type="dxa"/>
            <w:gridSpan w:val="2"/>
            <w:tcBorders>
              <w:top w:val="nil"/>
              <w:left w:val="nil"/>
              <w:bottom w:val="single" w:sz="4" w:space="0" w:color="auto"/>
              <w:right w:val="nil"/>
            </w:tcBorders>
            <w:shd w:val="clear" w:color="auto" w:fill="auto"/>
            <w:noWrap/>
            <w:vAlign w:val="center"/>
            <w:hideMark/>
          </w:tcPr>
          <w:p w14:paraId="44CCCA40" w14:textId="77777777" w:rsidR="00F92A14" w:rsidRPr="00730C0E" w:rsidRDefault="00F92A14" w:rsidP="00F92A14">
            <w:pPr>
              <w:spacing w:after="0" w:line="240" w:lineRule="auto"/>
              <w:jc w:val="center"/>
              <w:rPr>
                <w:rFonts w:ascii="Times New Roman" w:eastAsia="Times New Roman" w:hAnsi="Times New Roman" w:cs="Times New Roman"/>
                <w:color w:val="000000"/>
                <w:lang w:eastAsia="en-GB"/>
              </w:rPr>
            </w:pPr>
            <w:r w:rsidRPr="00730C0E">
              <w:rPr>
                <w:rFonts w:ascii="Times New Roman" w:eastAsia="Times New Roman" w:hAnsi="Times New Roman" w:cs="Times New Roman"/>
                <w:color w:val="000000"/>
                <w:lang w:eastAsia="en-GB"/>
              </w:rPr>
              <w:t>2009</w:t>
            </w:r>
          </w:p>
        </w:tc>
        <w:tc>
          <w:tcPr>
            <w:tcW w:w="271" w:type="dxa"/>
            <w:tcBorders>
              <w:top w:val="nil"/>
              <w:left w:val="nil"/>
              <w:bottom w:val="nil"/>
              <w:right w:val="nil"/>
            </w:tcBorders>
            <w:shd w:val="clear" w:color="auto" w:fill="auto"/>
            <w:noWrap/>
            <w:vAlign w:val="center"/>
            <w:hideMark/>
          </w:tcPr>
          <w:p w14:paraId="7F77C599" w14:textId="77777777" w:rsidR="00F92A14" w:rsidRPr="00730C0E" w:rsidRDefault="00F92A14" w:rsidP="00F92A14">
            <w:pPr>
              <w:spacing w:after="0" w:line="240" w:lineRule="auto"/>
              <w:jc w:val="center"/>
              <w:rPr>
                <w:rFonts w:ascii="Times New Roman" w:eastAsia="Times New Roman" w:hAnsi="Times New Roman" w:cs="Times New Roman"/>
                <w:color w:val="000000"/>
                <w:lang w:eastAsia="en-GB"/>
              </w:rPr>
            </w:pPr>
          </w:p>
        </w:tc>
        <w:tc>
          <w:tcPr>
            <w:tcW w:w="2433" w:type="dxa"/>
            <w:gridSpan w:val="2"/>
            <w:tcBorders>
              <w:top w:val="nil"/>
              <w:left w:val="nil"/>
              <w:bottom w:val="single" w:sz="4" w:space="0" w:color="auto"/>
              <w:right w:val="nil"/>
            </w:tcBorders>
            <w:shd w:val="clear" w:color="auto" w:fill="auto"/>
            <w:noWrap/>
            <w:vAlign w:val="center"/>
            <w:hideMark/>
          </w:tcPr>
          <w:p w14:paraId="30E4824F" w14:textId="77777777" w:rsidR="00F92A14" w:rsidRPr="00730C0E" w:rsidRDefault="00F92A14" w:rsidP="00F92A14">
            <w:pPr>
              <w:spacing w:after="0" w:line="240" w:lineRule="auto"/>
              <w:jc w:val="center"/>
              <w:rPr>
                <w:rFonts w:ascii="Times New Roman" w:eastAsia="Times New Roman" w:hAnsi="Times New Roman" w:cs="Times New Roman"/>
                <w:color w:val="000000"/>
                <w:lang w:eastAsia="en-GB"/>
              </w:rPr>
            </w:pPr>
            <w:r w:rsidRPr="00730C0E">
              <w:rPr>
                <w:rFonts w:ascii="Times New Roman" w:eastAsia="Times New Roman" w:hAnsi="Times New Roman" w:cs="Times New Roman"/>
                <w:color w:val="000000"/>
                <w:lang w:eastAsia="en-GB"/>
              </w:rPr>
              <w:t>2012</w:t>
            </w:r>
          </w:p>
        </w:tc>
      </w:tr>
      <w:tr w:rsidR="00F92A14" w:rsidRPr="00730C0E" w14:paraId="64186FEF" w14:textId="77777777" w:rsidTr="00F92A14">
        <w:trPr>
          <w:trHeight w:val="288"/>
        </w:trPr>
        <w:tc>
          <w:tcPr>
            <w:tcW w:w="6096" w:type="dxa"/>
            <w:tcBorders>
              <w:top w:val="nil"/>
              <w:left w:val="nil"/>
              <w:bottom w:val="single" w:sz="4" w:space="0" w:color="auto"/>
              <w:right w:val="nil"/>
            </w:tcBorders>
            <w:shd w:val="clear" w:color="auto" w:fill="auto"/>
            <w:noWrap/>
            <w:vAlign w:val="center"/>
            <w:hideMark/>
          </w:tcPr>
          <w:p w14:paraId="2EC0AE4B" w14:textId="77777777" w:rsidR="00F92A14" w:rsidRPr="00730C0E" w:rsidRDefault="00F92A14" w:rsidP="00F92A14">
            <w:pPr>
              <w:spacing w:after="0" w:line="240" w:lineRule="auto"/>
              <w:rPr>
                <w:rFonts w:ascii="Times New Roman" w:eastAsia="Times New Roman" w:hAnsi="Times New Roman" w:cs="Times New Roman"/>
                <w:b/>
                <w:bCs/>
                <w:color w:val="000000"/>
                <w:lang w:eastAsia="en-GB"/>
              </w:rPr>
            </w:pPr>
            <w:r w:rsidRPr="00730C0E">
              <w:rPr>
                <w:rFonts w:ascii="Times New Roman" w:eastAsia="Times New Roman" w:hAnsi="Times New Roman" w:cs="Times New Roman"/>
                <w:b/>
                <w:bCs/>
                <w:color w:val="000000"/>
                <w:lang w:eastAsia="en-GB"/>
              </w:rPr>
              <w:t>Progression to postgraduate study</w:t>
            </w:r>
          </w:p>
        </w:tc>
        <w:tc>
          <w:tcPr>
            <w:tcW w:w="1282" w:type="dxa"/>
            <w:tcBorders>
              <w:top w:val="nil"/>
              <w:left w:val="nil"/>
              <w:bottom w:val="single" w:sz="4" w:space="0" w:color="auto"/>
              <w:right w:val="nil"/>
            </w:tcBorders>
            <w:shd w:val="clear" w:color="auto" w:fill="auto"/>
            <w:noWrap/>
            <w:vAlign w:val="center"/>
            <w:hideMark/>
          </w:tcPr>
          <w:p w14:paraId="30EB4AD7" w14:textId="77777777" w:rsidR="00F92A14" w:rsidRPr="00730C0E" w:rsidRDefault="00F92A14" w:rsidP="00F92A14">
            <w:pPr>
              <w:spacing w:after="0" w:line="240" w:lineRule="auto"/>
              <w:jc w:val="center"/>
              <w:rPr>
                <w:rFonts w:ascii="Times New Roman" w:eastAsia="Times New Roman" w:hAnsi="Times New Roman" w:cs="Times New Roman"/>
                <w:b/>
                <w:bCs/>
                <w:color w:val="000000"/>
                <w:lang w:eastAsia="en-GB"/>
              </w:rPr>
            </w:pPr>
            <w:r w:rsidRPr="00730C0E">
              <w:rPr>
                <w:rFonts w:ascii="Times New Roman" w:eastAsia="Times New Roman" w:hAnsi="Times New Roman" w:cs="Times New Roman"/>
                <w:b/>
                <w:bCs/>
                <w:color w:val="000000"/>
                <w:lang w:eastAsia="en-GB"/>
              </w:rPr>
              <w:t xml:space="preserve">Percentage </w:t>
            </w:r>
          </w:p>
        </w:tc>
        <w:tc>
          <w:tcPr>
            <w:tcW w:w="1219" w:type="dxa"/>
            <w:tcBorders>
              <w:top w:val="nil"/>
              <w:left w:val="nil"/>
              <w:bottom w:val="single" w:sz="4" w:space="0" w:color="auto"/>
              <w:right w:val="nil"/>
            </w:tcBorders>
            <w:shd w:val="clear" w:color="auto" w:fill="auto"/>
            <w:noWrap/>
            <w:vAlign w:val="center"/>
            <w:hideMark/>
          </w:tcPr>
          <w:p w14:paraId="4DA2DA8B" w14:textId="77777777" w:rsidR="00F92A14" w:rsidRPr="00730C0E" w:rsidRDefault="00F92A14" w:rsidP="00F92A14">
            <w:pPr>
              <w:spacing w:after="0" w:line="240" w:lineRule="auto"/>
              <w:jc w:val="center"/>
              <w:rPr>
                <w:rFonts w:ascii="Times New Roman" w:eastAsia="Times New Roman" w:hAnsi="Times New Roman" w:cs="Times New Roman"/>
                <w:b/>
                <w:bCs/>
                <w:color w:val="000000"/>
                <w:lang w:eastAsia="en-GB"/>
              </w:rPr>
            </w:pPr>
            <w:r w:rsidRPr="00730C0E">
              <w:rPr>
                <w:rFonts w:ascii="Times New Roman" w:eastAsia="Times New Roman" w:hAnsi="Times New Roman" w:cs="Times New Roman"/>
                <w:b/>
                <w:bCs/>
                <w:color w:val="000000"/>
                <w:lang w:eastAsia="en-GB"/>
              </w:rPr>
              <w:t>Frequency</w:t>
            </w:r>
          </w:p>
        </w:tc>
        <w:tc>
          <w:tcPr>
            <w:tcW w:w="271" w:type="dxa"/>
            <w:tcBorders>
              <w:top w:val="nil"/>
              <w:left w:val="nil"/>
              <w:bottom w:val="single" w:sz="4" w:space="0" w:color="auto"/>
              <w:right w:val="nil"/>
            </w:tcBorders>
            <w:shd w:val="clear" w:color="auto" w:fill="auto"/>
            <w:noWrap/>
            <w:vAlign w:val="center"/>
            <w:hideMark/>
          </w:tcPr>
          <w:p w14:paraId="7BA6E86D" w14:textId="77777777" w:rsidR="00F92A14" w:rsidRPr="00730C0E" w:rsidRDefault="00F92A14" w:rsidP="00F92A14">
            <w:pPr>
              <w:spacing w:after="0" w:line="240" w:lineRule="auto"/>
              <w:jc w:val="center"/>
              <w:rPr>
                <w:rFonts w:ascii="Times New Roman" w:eastAsia="Times New Roman" w:hAnsi="Times New Roman" w:cs="Times New Roman"/>
                <w:b/>
                <w:bCs/>
                <w:color w:val="000000"/>
                <w:lang w:eastAsia="en-GB"/>
              </w:rPr>
            </w:pPr>
            <w:r w:rsidRPr="00730C0E">
              <w:rPr>
                <w:rFonts w:ascii="Times New Roman" w:eastAsia="Times New Roman" w:hAnsi="Times New Roman" w:cs="Times New Roman"/>
                <w:b/>
                <w:bCs/>
                <w:color w:val="000000"/>
                <w:lang w:eastAsia="en-GB"/>
              </w:rPr>
              <w:t> </w:t>
            </w:r>
          </w:p>
        </w:tc>
        <w:tc>
          <w:tcPr>
            <w:tcW w:w="1261" w:type="dxa"/>
            <w:tcBorders>
              <w:top w:val="nil"/>
              <w:left w:val="nil"/>
              <w:bottom w:val="single" w:sz="4" w:space="0" w:color="auto"/>
              <w:right w:val="nil"/>
            </w:tcBorders>
            <w:shd w:val="clear" w:color="auto" w:fill="auto"/>
            <w:noWrap/>
            <w:vAlign w:val="center"/>
            <w:hideMark/>
          </w:tcPr>
          <w:p w14:paraId="4D2F86F2" w14:textId="77777777" w:rsidR="00F92A14" w:rsidRPr="00730C0E" w:rsidRDefault="00F92A14" w:rsidP="00F92A14">
            <w:pPr>
              <w:spacing w:after="0" w:line="240" w:lineRule="auto"/>
              <w:jc w:val="center"/>
              <w:rPr>
                <w:rFonts w:ascii="Times New Roman" w:eastAsia="Times New Roman" w:hAnsi="Times New Roman" w:cs="Times New Roman"/>
                <w:color w:val="000000"/>
                <w:lang w:eastAsia="en-GB"/>
              </w:rPr>
            </w:pPr>
            <w:r w:rsidRPr="00730C0E">
              <w:rPr>
                <w:rFonts w:ascii="Times New Roman" w:eastAsia="Times New Roman" w:hAnsi="Times New Roman" w:cs="Times New Roman"/>
                <w:color w:val="000000"/>
                <w:lang w:eastAsia="en-GB"/>
              </w:rPr>
              <w:t xml:space="preserve">Percentage </w:t>
            </w:r>
          </w:p>
        </w:tc>
        <w:tc>
          <w:tcPr>
            <w:tcW w:w="1172" w:type="dxa"/>
            <w:tcBorders>
              <w:top w:val="nil"/>
              <w:left w:val="nil"/>
              <w:bottom w:val="single" w:sz="4" w:space="0" w:color="auto"/>
              <w:right w:val="nil"/>
            </w:tcBorders>
            <w:shd w:val="clear" w:color="auto" w:fill="auto"/>
            <w:noWrap/>
            <w:vAlign w:val="center"/>
            <w:hideMark/>
          </w:tcPr>
          <w:p w14:paraId="3358DABD" w14:textId="77777777" w:rsidR="00F92A14" w:rsidRPr="00730C0E" w:rsidRDefault="00F92A14" w:rsidP="00F92A14">
            <w:pPr>
              <w:spacing w:after="0" w:line="240" w:lineRule="auto"/>
              <w:jc w:val="center"/>
              <w:rPr>
                <w:rFonts w:ascii="Times New Roman" w:eastAsia="Times New Roman" w:hAnsi="Times New Roman" w:cs="Times New Roman"/>
                <w:color w:val="000000"/>
                <w:lang w:eastAsia="en-GB"/>
              </w:rPr>
            </w:pPr>
            <w:r w:rsidRPr="00730C0E">
              <w:rPr>
                <w:rFonts w:ascii="Times New Roman" w:eastAsia="Times New Roman" w:hAnsi="Times New Roman" w:cs="Times New Roman"/>
                <w:color w:val="000000"/>
                <w:lang w:eastAsia="en-GB"/>
              </w:rPr>
              <w:t>Frequency</w:t>
            </w:r>
          </w:p>
        </w:tc>
        <w:tc>
          <w:tcPr>
            <w:tcW w:w="271" w:type="dxa"/>
            <w:tcBorders>
              <w:top w:val="nil"/>
              <w:left w:val="nil"/>
              <w:bottom w:val="single" w:sz="4" w:space="0" w:color="auto"/>
              <w:right w:val="nil"/>
            </w:tcBorders>
            <w:shd w:val="clear" w:color="auto" w:fill="auto"/>
            <w:noWrap/>
            <w:vAlign w:val="center"/>
            <w:hideMark/>
          </w:tcPr>
          <w:p w14:paraId="72CC62EB" w14:textId="77777777" w:rsidR="00F92A14" w:rsidRPr="00730C0E" w:rsidRDefault="00F92A14" w:rsidP="00F92A14">
            <w:pPr>
              <w:spacing w:after="0" w:line="240" w:lineRule="auto"/>
              <w:jc w:val="center"/>
              <w:rPr>
                <w:rFonts w:ascii="Times New Roman" w:eastAsia="Times New Roman" w:hAnsi="Times New Roman" w:cs="Times New Roman"/>
                <w:color w:val="000000"/>
                <w:lang w:eastAsia="en-GB"/>
              </w:rPr>
            </w:pPr>
            <w:r w:rsidRPr="00730C0E">
              <w:rPr>
                <w:rFonts w:ascii="Times New Roman" w:eastAsia="Times New Roman" w:hAnsi="Times New Roman" w:cs="Times New Roman"/>
                <w:color w:val="000000"/>
                <w:lang w:eastAsia="en-GB"/>
              </w:rPr>
              <w:t> </w:t>
            </w:r>
          </w:p>
        </w:tc>
        <w:tc>
          <w:tcPr>
            <w:tcW w:w="1261" w:type="dxa"/>
            <w:tcBorders>
              <w:top w:val="nil"/>
              <w:left w:val="nil"/>
              <w:bottom w:val="single" w:sz="4" w:space="0" w:color="auto"/>
              <w:right w:val="nil"/>
            </w:tcBorders>
            <w:shd w:val="clear" w:color="auto" w:fill="auto"/>
            <w:noWrap/>
            <w:vAlign w:val="center"/>
            <w:hideMark/>
          </w:tcPr>
          <w:p w14:paraId="25FBBE8B" w14:textId="77777777" w:rsidR="00F92A14" w:rsidRPr="00730C0E" w:rsidRDefault="00F92A14" w:rsidP="00F92A14">
            <w:pPr>
              <w:spacing w:after="0" w:line="240" w:lineRule="auto"/>
              <w:jc w:val="center"/>
              <w:rPr>
                <w:rFonts w:ascii="Times New Roman" w:eastAsia="Times New Roman" w:hAnsi="Times New Roman" w:cs="Times New Roman"/>
                <w:color w:val="000000"/>
                <w:lang w:eastAsia="en-GB"/>
              </w:rPr>
            </w:pPr>
            <w:r w:rsidRPr="00730C0E">
              <w:rPr>
                <w:rFonts w:ascii="Times New Roman" w:eastAsia="Times New Roman" w:hAnsi="Times New Roman" w:cs="Times New Roman"/>
                <w:color w:val="000000"/>
                <w:lang w:eastAsia="en-GB"/>
              </w:rPr>
              <w:t xml:space="preserve">Percentage </w:t>
            </w:r>
          </w:p>
        </w:tc>
        <w:tc>
          <w:tcPr>
            <w:tcW w:w="1172" w:type="dxa"/>
            <w:tcBorders>
              <w:top w:val="nil"/>
              <w:left w:val="nil"/>
              <w:bottom w:val="single" w:sz="4" w:space="0" w:color="auto"/>
              <w:right w:val="nil"/>
            </w:tcBorders>
            <w:shd w:val="clear" w:color="auto" w:fill="auto"/>
            <w:noWrap/>
            <w:vAlign w:val="center"/>
            <w:hideMark/>
          </w:tcPr>
          <w:p w14:paraId="45C9A6FF" w14:textId="77777777" w:rsidR="00F92A14" w:rsidRPr="00730C0E" w:rsidRDefault="00F92A14" w:rsidP="00F92A14">
            <w:pPr>
              <w:spacing w:after="0" w:line="240" w:lineRule="auto"/>
              <w:jc w:val="center"/>
              <w:rPr>
                <w:rFonts w:ascii="Times New Roman" w:eastAsia="Times New Roman" w:hAnsi="Times New Roman" w:cs="Times New Roman"/>
                <w:color w:val="000000"/>
                <w:lang w:eastAsia="en-GB"/>
              </w:rPr>
            </w:pPr>
            <w:r w:rsidRPr="00730C0E">
              <w:rPr>
                <w:rFonts w:ascii="Times New Roman" w:eastAsia="Times New Roman" w:hAnsi="Times New Roman" w:cs="Times New Roman"/>
                <w:color w:val="000000"/>
                <w:lang w:eastAsia="en-GB"/>
              </w:rPr>
              <w:t>Frequency</w:t>
            </w:r>
          </w:p>
        </w:tc>
      </w:tr>
      <w:tr w:rsidR="00F92A14" w:rsidRPr="00730C0E" w14:paraId="46ECD7BD" w14:textId="77777777" w:rsidTr="00F92A14">
        <w:trPr>
          <w:trHeight w:val="288"/>
        </w:trPr>
        <w:tc>
          <w:tcPr>
            <w:tcW w:w="6096" w:type="dxa"/>
            <w:tcBorders>
              <w:top w:val="nil"/>
              <w:left w:val="nil"/>
              <w:bottom w:val="nil"/>
              <w:right w:val="nil"/>
            </w:tcBorders>
            <w:shd w:val="clear" w:color="auto" w:fill="auto"/>
            <w:noWrap/>
            <w:vAlign w:val="center"/>
            <w:hideMark/>
          </w:tcPr>
          <w:p w14:paraId="188B01DD" w14:textId="77777777" w:rsidR="00F92A14" w:rsidRPr="00730C0E" w:rsidRDefault="00F92A14" w:rsidP="00F92A14">
            <w:pPr>
              <w:spacing w:after="0" w:line="240" w:lineRule="auto"/>
              <w:rPr>
                <w:rFonts w:ascii="Times New Roman" w:eastAsia="Times New Roman" w:hAnsi="Times New Roman" w:cs="Times New Roman"/>
                <w:color w:val="000000"/>
                <w:lang w:eastAsia="en-GB"/>
              </w:rPr>
            </w:pPr>
            <w:r w:rsidRPr="00730C0E">
              <w:rPr>
                <w:rFonts w:ascii="Times New Roman" w:eastAsia="Times New Roman" w:hAnsi="Times New Roman" w:cs="Times New Roman"/>
                <w:color w:val="000000"/>
                <w:lang w:eastAsia="en-GB"/>
              </w:rPr>
              <w:t>Not progressed to postgraduate study</w:t>
            </w:r>
          </w:p>
        </w:tc>
        <w:tc>
          <w:tcPr>
            <w:tcW w:w="1282" w:type="dxa"/>
            <w:tcBorders>
              <w:top w:val="nil"/>
              <w:left w:val="nil"/>
              <w:bottom w:val="nil"/>
              <w:right w:val="nil"/>
            </w:tcBorders>
            <w:shd w:val="clear" w:color="auto" w:fill="auto"/>
            <w:noWrap/>
            <w:vAlign w:val="bottom"/>
            <w:hideMark/>
          </w:tcPr>
          <w:p w14:paraId="27D32D30" w14:textId="77777777" w:rsidR="00F92A14" w:rsidRPr="00730C0E"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730C0E">
              <w:rPr>
                <w:rFonts w:ascii="Times New Roman" w:eastAsia="Times New Roman" w:hAnsi="Times New Roman" w:cs="Times New Roman"/>
                <w:color w:val="000000"/>
                <w:sz w:val="20"/>
                <w:szCs w:val="20"/>
                <w:lang w:eastAsia="en-GB"/>
              </w:rPr>
              <w:t>61.0</w:t>
            </w:r>
          </w:p>
        </w:tc>
        <w:tc>
          <w:tcPr>
            <w:tcW w:w="1219" w:type="dxa"/>
            <w:tcBorders>
              <w:top w:val="nil"/>
              <w:left w:val="nil"/>
              <w:bottom w:val="nil"/>
              <w:right w:val="nil"/>
            </w:tcBorders>
            <w:shd w:val="clear" w:color="auto" w:fill="auto"/>
            <w:noWrap/>
            <w:vAlign w:val="bottom"/>
            <w:hideMark/>
          </w:tcPr>
          <w:p w14:paraId="6B79633A" w14:textId="77777777" w:rsidR="00F92A14" w:rsidRPr="00730C0E"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730C0E">
              <w:rPr>
                <w:rFonts w:ascii="Times New Roman" w:eastAsia="Times New Roman" w:hAnsi="Times New Roman" w:cs="Times New Roman"/>
                <w:color w:val="000000"/>
                <w:sz w:val="20"/>
                <w:szCs w:val="20"/>
                <w:lang w:eastAsia="en-GB"/>
              </w:rPr>
              <w:t>1,526</w:t>
            </w:r>
          </w:p>
        </w:tc>
        <w:tc>
          <w:tcPr>
            <w:tcW w:w="271" w:type="dxa"/>
            <w:tcBorders>
              <w:top w:val="nil"/>
              <w:left w:val="nil"/>
              <w:bottom w:val="nil"/>
              <w:right w:val="nil"/>
            </w:tcBorders>
            <w:shd w:val="clear" w:color="auto" w:fill="auto"/>
            <w:noWrap/>
            <w:vAlign w:val="bottom"/>
            <w:hideMark/>
          </w:tcPr>
          <w:p w14:paraId="2AE08B47" w14:textId="77777777" w:rsidR="00F92A14" w:rsidRPr="00730C0E"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1261" w:type="dxa"/>
            <w:tcBorders>
              <w:top w:val="nil"/>
              <w:left w:val="nil"/>
              <w:bottom w:val="nil"/>
              <w:right w:val="nil"/>
            </w:tcBorders>
            <w:shd w:val="clear" w:color="auto" w:fill="auto"/>
            <w:noWrap/>
            <w:vAlign w:val="bottom"/>
            <w:hideMark/>
          </w:tcPr>
          <w:p w14:paraId="034BE928" w14:textId="77777777" w:rsidR="00F92A14" w:rsidRPr="00730C0E"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730C0E">
              <w:rPr>
                <w:rFonts w:ascii="Times New Roman" w:eastAsia="Times New Roman" w:hAnsi="Times New Roman" w:cs="Times New Roman"/>
                <w:color w:val="000000"/>
                <w:sz w:val="20"/>
                <w:szCs w:val="20"/>
                <w:lang w:eastAsia="en-GB"/>
              </w:rPr>
              <w:t>53.3</w:t>
            </w:r>
          </w:p>
        </w:tc>
        <w:tc>
          <w:tcPr>
            <w:tcW w:w="1172" w:type="dxa"/>
            <w:tcBorders>
              <w:top w:val="nil"/>
              <w:left w:val="nil"/>
              <w:bottom w:val="nil"/>
              <w:right w:val="nil"/>
            </w:tcBorders>
            <w:shd w:val="clear" w:color="auto" w:fill="auto"/>
            <w:noWrap/>
            <w:vAlign w:val="bottom"/>
            <w:hideMark/>
          </w:tcPr>
          <w:p w14:paraId="123C4627" w14:textId="77777777" w:rsidR="00F92A14" w:rsidRPr="00730C0E"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730C0E">
              <w:rPr>
                <w:rFonts w:ascii="Times New Roman" w:eastAsia="Times New Roman" w:hAnsi="Times New Roman" w:cs="Times New Roman"/>
                <w:color w:val="000000"/>
                <w:sz w:val="20"/>
                <w:szCs w:val="20"/>
                <w:lang w:eastAsia="en-GB"/>
              </w:rPr>
              <w:t>488</w:t>
            </w:r>
          </w:p>
        </w:tc>
        <w:tc>
          <w:tcPr>
            <w:tcW w:w="271" w:type="dxa"/>
            <w:tcBorders>
              <w:top w:val="nil"/>
              <w:left w:val="nil"/>
              <w:bottom w:val="nil"/>
              <w:right w:val="nil"/>
            </w:tcBorders>
            <w:shd w:val="clear" w:color="auto" w:fill="auto"/>
            <w:noWrap/>
            <w:vAlign w:val="bottom"/>
            <w:hideMark/>
          </w:tcPr>
          <w:p w14:paraId="2D5BF680" w14:textId="77777777" w:rsidR="00F92A14" w:rsidRPr="00730C0E"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1261" w:type="dxa"/>
            <w:tcBorders>
              <w:top w:val="nil"/>
              <w:left w:val="nil"/>
              <w:bottom w:val="nil"/>
              <w:right w:val="nil"/>
            </w:tcBorders>
            <w:shd w:val="clear" w:color="auto" w:fill="auto"/>
            <w:noWrap/>
            <w:vAlign w:val="bottom"/>
            <w:hideMark/>
          </w:tcPr>
          <w:p w14:paraId="3C0C5D0C" w14:textId="77777777" w:rsidR="00F92A14" w:rsidRPr="00730C0E"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730C0E">
              <w:rPr>
                <w:rFonts w:ascii="Times New Roman" w:eastAsia="Times New Roman" w:hAnsi="Times New Roman" w:cs="Times New Roman"/>
                <w:color w:val="000000"/>
                <w:sz w:val="20"/>
                <w:szCs w:val="20"/>
                <w:lang w:eastAsia="en-GB"/>
              </w:rPr>
              <w:t>65.3</w:t>
            </w:r>
          </w:p>
        </w:tc>
        <w:tc>
          <w:tcPr>
            <w:tcW w:w="1172" w:type="dxa"/>
            <w:tcBorders>
              <w:top w:val="nil"/>
              <w:left w:val="nil"/>
              <w:bottom w:val="nil"/>
              <w:right w:val="nil"/>
            </w:tcBorders>
            <w:shd w:val="clear" w:color="auto" w:fill="auto"/>
            <w:noWrap/>
            <w:vAlign w:val="bottom"/>
            <w:hideMark/>
          </w:tcPr>
          <w:p w14:paraId="415A7950" w14:textId="77777777" w:rsidR="00F92A14" w:rsidRPr="00730C0E"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730C0E">
              <w:rPr>
                <w:rFonts w:ascii="Times New Roman" w:eastAsia="Times New Roman" w:hAnsi="Times New Roman" w:cs="Times New Roman"/>
                <w:color w:val="000000"/>
                <w:sz w:val="20"/>
                <w:szCs w:val="20"/>
                <w:lang w:eastAsia="en-GB"/>
              </w:rPr>
              <w:t>1,038</w:t>
            </w:r>
          </w:p>
        </w:tc>
      </w:tr>
      <w:tr w:rsidR="00F92A14" w:rsidRPr="00730C0E" w14:paraId="79B4F455" w14:textId="77777777" w:rsidTr="00F92A14">
        <w:trPr>
          <w:trHeight w:val="288"/>
        </w:trPr>
        <w:tc>
          <w:tcPr>
            <w:tcW w:w="6096" w:type="dxa"/>
            <w:tcBorders>
              <w:top w:val="nil"/>
              <w:left w:val="nil"/>
              <w:bottom w:val="nil"/>
              <w:right w:val="nil"/>
            </w:tcBorders>
            <w:shd w:val="clear" w:color="auto" w:fill="auto"/>
            <w:noWrap/>
            <w:vAlign w:val="center"/>
            <w:hideMark/>
          </w:tcPr>
          <w:p w14:paraId="071D5A29" w14:textId="77777777" w:rsidR="00F92A14" w:rsidRPr="00730C0E" w:rsidRDefault="00F92A14" w:rsidP="00F92A14">
            <w:pPr>
              <w:spacing w:after="0" w:line="240" w:lineRule="auto"/>
              <w:rPr>
                <w:rFonts w:ascii="Times New Roman" w:eastAsia="Times New Roman" w:hAnsi="Times New Roman" w:cs="Times New Roman"/>
                <w:color w:val="000000"/>
                <w:lang w:eastAsia="en-GB"/>
              </w:rPr>
            </w:pPr>
            <w:r w:rsidRPr="00730C0E">
              <w:rPr>
                <w:rFonts w:ascii="Times New Roman" w:eastAsia="Times New Roman" w:hAnsi="Times New Roman" w:cs="Times New Roman"/>
                <w:color w:val="000000"/>
                <w:lang w:eastAsia="en-GB"/>
              </w:rPr>
              <w:t>Progressed to postgraduate study</w:t>
            </w:r>
          </w:p>
        </w:tc>
        <w:tc>
          <w:tcPr>
            <w:tcW w:w="1282" w:type="dxa"/>
            <w:tcBorders>
              <w:top w:val="nil"/>
              <w:left w:val="nil"/>
              <w:bottom w:val="nil"/>
              <w:right w:val="nil"/>
            </w:tcBorders>
            <w:shd w:val="clear" w:color="auto" w:fill="auto"/>
            <w:noWrap/>
            <w:vAlign w:val="bottom"/>
            <w:hideMark/>
          </w:tcPr>
          <w:p w14:paraId="0C188AF9" w14:textId="77777777" w:rsidR="00F92A14" w:rsidRPr="00730C0E"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730C0E">
              <w:rPr>
                <w:rFonts w:ascii="Times New Roman" w:eastAsia="Times New Roman" w:hAnsi="Times New Roman" w:cs="Times New Roman"/>
                <w:color w:val="000000"/>
                <w:sz w:val="20"/>
                <w:szCs w:val="20"/>
                <w:lang w:eastAsia="en-GB"/>
              </w:rPr>
              <w:t>39.1</w:t>
            </w:r>
          </w:p>
        </w:tc>
        <w:tc>
          <w:tcPr>
            <w:tcW w:w="1219" w:type="dxa"/>
            <w:tcBorders>
              <w:top w:val="nil"/>
              <w:left w:val="nil"/>
              <w:bottom w:val="nil"/>
              <w:right w:val="nil"/>
            </w:tcBorders>
            <w:shd w:val="clear" w:color="auto" w:fill="auto"/>
            <w:noWrap/>
            <w:vAlign w:val="bottom"/>
            <w:hideMark/>
          </w:tcPr>
          <w:p w14:paraId="24982F27" w14:textId="77777777" w:rsidR="00F92A14" w:rsidRPr="00730C0E"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730C0E">
              <w:rPr>
                <w:rFonts w:ascii="Times New Roman" w:eastAsia="Times New Roman" w:hAnsi="Times New Roman" w:cs="Times New Roman"/>
                <w:color w:val="000000"/>
                <w:sz w:val="20"/>
                <w:szCs w:val="20"/>
                <w:lang w:eastAsia="en-GB"/>
              </w:rPr>
              <w:t>1,041</w:t>
            </w:r>
          </w:p>
        </w:tc>
        <w:tc>
          <w:tcPr>
            <w:tcW w:w="271" w:type="dxa"/>
            <w:tcBorders>
              <w:top w:val="nil"/>
              <w:left w:val="nil"/>
              <w:bottom w:val="nil"/>
              <w:right w:val="nil"/>
            </w:tcBorders>
            <w:shd w:val="clear" w:color="auto" w:fill="auto"/>
            <w:noWrap/>
            <w:vAlign w:val="bottom"/>
            <w:hideMark/>
          </w:tcPr>
          <w:p w14:paraId="7D55A396" w14:textId="77777777" w:rsidR="00F92A14" w:rsidRPr="00730C0E"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1261" w:type="dxa"/>
            <w:tcBorders>
              <w:top w:val="nil"/>
              <w:left w:val="nil"/>
              <w:bottom w:val="nil"/>
              <w:right w:val="nil"/>
            </w:tcBorders>
            <w:shd w:val="clear" w:color="auto" w:fill="auto"/>
            <w:noWrap/>
            <w:vAlign w:val="bottom"/>
            <w:hideMark/>
          </w:tcPr>
          <w:p w14:paraId="5971A914" w14:textId="77777777" w:rsidR="00F92A14" w:rsidRPr="00730C0E"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730C0E">
              <w:rPr>
                <w:rFonts w:ascii="Times New Roman" w:eastAsia="Times New Roman" w:hAnsi="Times New Roman" w:cs="Times New Roman"/>
                <w:color w:val="000000"/>
                <w:sz w:val="20"/>
                <w:szCs w:val="20"/>
                <w:lang w:eastAsia="en-GB"/>
              </w:rPr>
              <w:t>46.7</w:t>
            </w:r>
          </w:p>
        </w:tc>
        <w:tc>
          <w:tcPr>
            <w:tcW w:w="1172" w:type="dxa"/>
            <w:tcBorders>
              <w:top w:val="nil"/>
              <w:left w:val="nil"/>
              <w:bottom w:val="nil"/>
              <w:right w:val="nil"/>
            </w:tcBorders>
            <w:shd w:val="clear" w:color="auto" w:fill="auto"/>
            <w:noWrap/>
            <w:vAlign w:val="bottom"/>
            <w:hideMark/>
          </w:tcPr>
          <w:p w14:paraId="78703A35" w14:textId="77777777" w:rsidR="00F92A14" w:rsidRPr="00730C0E"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730C0E">
              <w:rPr>
                <w:rFonts w:ascii="Times New Roman" w:eastAsia="Times New Roman" w:hAnsi="Times New Roman" w:cs="Times New Roman"/>
                <w:color w:val="000000"/>
                <w:sz w:val="20"/>
                <w:szCs w:val="20"/>
                <w:lang w:eastAsia="en-GB"/>
              </w:rPr>
              <w:t>447</w:t>
            </w:r>
          </w:p>
        </w:tc>
        <w:tc>
          <w:tcPr>
            <w:tcW w:w="271" w:type="dxa"/>
            <w:tcBorders>
              <w:top w:val="nil"/>
              <w:left w:val="nil"/>
              <w:bottom w:val="nil"/>
              <w:right w:val="nil"/>
            </w:tcBorders>
            <w:shd w:val="clear" w:color="auto" w:fill="auto"/>
            <w:noWrap/>
            <w:vAlign w:val="bottom"/>
            <w:hideMark/>
          </w:tcPr>
          <w:p w14:paraId="0475EA36" w14:textId="77777777" w:rsidR="00F92A14" w:rsidRPr="00730C0E"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1261" w:type="dxa"/>
            <w:tcBorders>
              <w:top w:val="nil"/>
              <w:left w:val="nil"/>
              <w:bottom w:val="nil"/>
              <w:right w:val="nil"/>
            </w:tcBorders>
            <w:shd w:val="clear" w:color="auto" w:fill="auto"/>
            <w:noWrap/>
            <w:vAlign w:val="bottom"/>
            <w:hideMark/>
          </w:tcPr>
          <w:p w14:paraId="3AA6BCE9" w14:textId="77777777" w:rsidR="00F92A14" w:rsidRPr="00730C0E"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730C0E">
              <w:rPr>
                <w:rFonts w:ascii="Times New Roman" w:eastAsia="Times New Roman" w:hAnsi="Times New Roman" w:cs="Times New Roman"/>
                <w:color w:val="000000"/>
                <w:sz w:val="20"/>
                <w:szCs w:val="20"/>
                <w:lang w:eastAsia="en-GB"/>
              </w:rPr>
              <w:t>34.7</w:t>
            </w:r>
          </w:p>
        </w:tc>
        <w:tc>
          <w:tcPr>
            <w:tcW w:w="1172" w:type="dxa"/>
            <w:tcBorders>
              <w:top w:val="nil"/>
              <w:left w:val="nil"/>
              <w:bottom w:val="nil"/>
              <w:right w:val="nil"/>
            </w:tcBorders>
            <w:shd w:val="clear" w:color="auto" w:fill="auto"/>
            <w:noWrap/>
            <w:vAlign w:val="bottom"/>
            <w:hideMark/>
          </w:tcPr>
          <w:p w14:paraId="29A9FF54" w14:textId="77777777" w:rsidR="00F92A14" w:rsidRPr="00730C0E"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730C0E">
              <w:rPr>
                <w:rFonts w:ascii="Times New Roman" w:eastAsia="Times New Roman" w:hAnsi="Times New Roman" w:cs="Times New Roman"/>
                <w:color w:val="000000"/>
                <w:sz w:val="20"/>
                <w:szCs w:val="20"/>
                <w:lang w:eastAsia="en-GB"/>
              </w:rPr>
              <w:t>594</w:t>
            </w:r>
          </w:p>
        </w:tc>
      </w:tr>
      <w:tr w:rsidR="00F92A14" w:rsidRPr="00730C0E" w14:paraId="456F2BED" w14:textId="77777777" w:rsidTr="00F92A14">
        <w:trPr>
          <w:trHeight w:val="288"/>
        </w:trPr>
        <w:tc>
          <w:tcPr>
            <w:tcW w:w="6096" w:type="dxa"/>
            <w:tcBorders>
              <w:top w:val="nil"/>
              <w:left w:val="nil"/>
              <w:bottom w:val="nil"/>
              <w:right w:val="nil"/>
            </w:tcBorders>
            <w:shd w:val="clear" w:color="auto" w:fill="auto"/>
            <w:noWrap/>
            <w:vAlign w:val="center"/>
            <w:hideMark/>
          </w:tcPr>
          <w:p w14:paraId="2E0E5146" w14:textId="77777777" w:rsidR="00F92A14" w:rsidRPr="00730C0E" w:rsidRDefault="00F92A14" w:rsidP="00F92A14">
            <w:pPr>
              <w:spacing w:after="0" w:line="240" w:lineRule="auto"/>
              <w:ind w:left="176" w:hanging="176"/>
              <w:rPr>
                <w:rFonts w:ascii="Times New Roman" w:eastAsia="Times New Roman" w:hAnsi="Times New Roman" w:cs="Times New Roman"/>
                <w:color w:val="000000"/>
                <w:lang w:eastAsia="en-GB"/>
              </w:rPr>
            </w:pPr>
            <w:r w:rsidRPr="00730C0E">
              <w:rPr>
                <w:rFonts w:ascii="Times New Roman" w:eastAsia="Times New Roman" w:hAnsi="Times New Roman" w:cs="Times New Roman"/>
                <w:color w:val="000000"/>
                <w:lang w:eastAsia="en-GB"/>
              </w:rPr>
              <w:t>Progression status</w:t>
            </w:r>
          </w:p>
        </w:tc>
        <w:tc>
          <w:tcPr>
            <w:tcW w:w="1282" w:type="dxa"/>
            <w:tcBorders>
              <w:top w:val="nil"/>
              <w:left w:val="nil"/>
              <w:bottom w:val="nil"/>
              <w:right w:val="nil"/>
            </w:tcBorders>
            <w:shd w:val="clear" w:color="auto" w:fill="auto"/>
            <w:noWrap/>
            <w:vAlign w:val="bottom"/>
            <w:hideMark/>
          </w:tcPr>
          <w:p w14:paraId="7650AF96" w14:textId="77777777" w:rsidR="00F92A14" w:rsidRPr="00730C0E" w:rsidRDefault="00F92A14" w:rsidP="00F92A14">
            <w:pPr>
              <w:spacing w:after="0" w:line="240" w:lineRule="auto"/>
              <w:ind w:firstLineChars="200" w:firstLine="223"/>
              <w:rPr>
                <w:rFonts w:ascii="Times New Roman" w:eastAsia="Times New Roman" w:hAnsi="Times New Roman" w:cs="Times New Roman"/>
                <w:color w:val="000000"/>
                <w:lang w:eastAsia="en-GB"/>
              </w:rPr>
            </w:pPr>
          </w:p>
        </w:tc>
        <w:tc>
          <w:tcPr>
            <w:tcW w:w="1219" w:type="dxa"/>
            <w:tcBorders>
              <w:top w:val="nil"/>
              <w:left w:val="nil"/>
              <w:bottom w:val="nil"/>
              <w:right w:val="nil"/>
            </w:tcBorders>
            <w:shd w:val="clear" w:color="auto" w:fill="auto"/>
            <w:noWrap/>
            <w:vAlign w:val="bottom"/>
            <w:hideMark/>
          </w:tcPr>
          <w:p w14:paraId="106D006F" w14:textId="77777777" w:rsidR="00F92A14" w:rsidRPr="00730C0E" w:rsidRDefault="00F92A14" w:rsidP="00F92A14">
            <w:pPr>
              <w:spacing w:after="0" w:line="240" w:lineRule="auto"/>
              <w:rPr>
                <w:rFonts w:ascii="Times New Roman" w:eastAsia="Times New Roman" w:hAnsi="Times New Roman" w:cs="Times New Roman"/>
                <w:sz w:val="20"/>
                <w:szCs w:val="20"/>
                <w:lang w:eastAsia="en-GB"/>
              </w:rPr>
            </w:pPr>
          </w:p>
        </w:tc>
        <w:tc>
          <w:tcPr>
            <w:tcW w:w="271" w:type="dxa"/>
            <w:tcBorders>
              <w:top w:val="nil"/>
              <w:left w:val="nil"/>
              <w:bottom w:val="nil"/>
              <w:right w:val="nil"/>
            </w:tcBorders>
            <w:shd w:val="clear" w:color="auto" w:fill="auto"/>
            <w:noWrap/>
            <w:vAlign w:val="bottom"/>
            <w:hideMark/>
          </w:tcPr>
          <w:p w14:paraId="40B66E60" w14:textId="77777777" w:rsidR="00F92A14" w:rsidRPr="00730C0E" w:rsidRDefault="00F92A14" w:rsidP="00F92A14">
            <w:pPr>
              <w:spacing w:after="0" w:line="240" w:lineRule="auto"/>
              <w:rPr>
                <w:rFonts w:ascii="Times New Roman" w:eastAsia="Times New Roman" w:hAnsi="Times New Roman" w:cs="Times New Roman"/>
                <w:sz w:val="20"/>
                <w:szCs w:val="20"/>
                <w:lang w:eastAsia="en-GB"/>
              </w:rPr>
            </w:pPr>
          </w:p>
        </w:tc>
        <w:tc>
          <w:tcPr>
            <w:tcW w:w="1261" w:type="dxa"/>
            <w:tcBorders>
              <w:top w:val="nil"/>
              <w:left w:val="nil"/>
              <w:bottom w:val="nil"/>
              <w:right w:val="nil"/>
            </w:tcBorders>
            <w:shd w:val="clear" w:color="auto" w:fill="auto"/>
            <w:noWrap/>
            <w:vAlign w:val="bottom"/>
            <w:hideMark/>
          </w:tcPr>
          <w:p w14:paraId="31B540BA" w14:textId="77777777" w:rsidR="00F92A14" w:rsidRPr="00730C0E" w:rsidRDefault="00F92A14" w:rsidP="00F92A14">
            <w:pPr>
              <w:spacing w:after="0" w:line="240" w:lineRule="auto"/>
              <w:rPr>
                <w:rFonts w:ascii="Times New Roman" w:eastAsia="Times New Roman" w:hAnsi="Times New Roman" w:cs="Times New Roman"/>
                <w:sz w:val="20"/>
                <w:szCs w:val="20"/>
                <w:lang w:eastAsia="en-GB"/>
              </w:rPr>
            </w:pPr>
          </w:p>
        </w:tc>
        <w:tc>
          <w:tcPr>
            <w:tcW w:w="1172" w:type="dxa"/>
            <w:tcBorders>
              <w:top w:val="nil"/>
              <w:left w:val="nil"/>
              <w:bottom w:val="nil"/>
              <w:right w:val="nil"/>
            </w:tcBorders>
            <w:shd w:val="clear" w:color="auto" w:fill="auto"/>
            <w:noWrap/>
            <w:vAlign w:val="bottom"/>
            <w:hideMark/>
          </w:tcPr>
          <w:p w14:paraId="1180EFF9" w14:textId="77777777" w:rsidR="00F92A14" w:rsidRPr="00730C0E" w:rsidRDefault="00F92A14" w:rsidP="00F92A14">
            <w:pPr>
              <w:spacing w:after="0" w:line="240" w:lineRule="auto"/>
              <w:rPr>
                <w:rFonts w:ascii="Times New Roman" w:eastAsia="Times New Roman" w:hAnsi="Times New Roman" w:cs="Times New Roman"/>
                <w:sz w:val="20"/>
                <w:szCs w:val="20"/>
                <w:lang w:eastAsia="en-GB"/>
              </w:rPr>
            </w:pPr>
          </w:p>
        </w:tc>
        <w:tc>
          <w:tcPr>
            <w:tcW w:w="271" w:type="dxa"/>
            <w:tcBorders>
              <w:top w:val="nil"/>
              <w:left w:val="nil"/>
              <w:bottom w:val="nil"/>
              <w:right w:val="nil"/>
            </w:tcBorders>
            <w:shd w:val="clear" w:color="auto" w:fill="auto"/>
            <w:noWrap/>
            <w:vAlign w:val="bottom"/>
            <w:hideMark/>
          </w:tcPr>
          <w:p w14:paraId="1A82D31D" w14:textId="77777777" w:rsidR="00F92A14" w:rsidRPr="00730C0E" w:rsidRDefault="00F92A14" w:rsidP="00F92A14">
            <w:pPr>
              <w:spacing w:after="0" w:line="240" w:lineRule="auto"/>
              <w:rPr>
                <w:rFonts w:ascii="Times New Roman" w:eastAsia="Times New Roman" w:hAnsi="Times New Roman" w:cs="Times New Roman"/>
                <w:sz w:val="20"/>
                <w:szCs w:val="20"/>
                <w:lang w:eastAsia="en-GB"/>
              </w:rPr>
            </w:pPr>
          </w:p>
        </w:tc>
        <w:tc>
          <w:tcPr>
            <w:tcW w:w="1261" w:type="dxa"/>
            <w:tcBorders>
              <w:top w:val="nil"/>
              <w:left w:val="nil"/>
              <w:bottom w:val="nil"/>
              <w:right w:val="nil"/>
            </w:tcBorders>
            <w:shd w:val="clear" w:color="auto" w:fill="auto"/>
            <w:noWrap/>
            <w:vAlign w:val="bottom"/>
            <w:hideMark/>
          </w:tcPr>
          <w:p w14:paraId="27E9C718" w14:textId="77777777" w:rsidR="00F92A14" w:rsidRPr="00730C0E" w:rsidRDefault="00F92A14" w:rsidP="00F92A14">
            <w:pPr>
              <w:spacing w:after="0" w:line="240" w:lineRule="auto"/>
              <w:rPr>
                <w:rFonts w:ascii="Times New Roman" w:eastAsia="Times New Roman" w:hAnsi="Times New Roman" w:cs="Times New Roman"/>
                <w:sz w:val="20"/>
                <w:szCs w:val="20"/>
                <w:lang w:eastAsia="en-GB"/>
              </w:rPr>
            </w:pPr>
          </w:p>
        </w:tc>
        <w:tc>
          <w:tcPr>
            <w:tcW w:w="1172" w:type="dxa"/>
            <w:tcBorders>
              <w:top w:val="nil"/>
              <w:left w:val="nil"/>
              <w:bottom w:val="nil"/>
              <w:right w:val="nil"/>
            </w:tcBorders>
            <w:shd w:val="clear" w:color="auto" w:fill="auto"/>
            <w:noWrap/>
            <w:vAlign w:val="bottom"/>
            <w:hideMark/>
          </w:tcPr>
          <w:p w14:paraId="4E87A91A" w14:textId="77777777" w:rsidR="00F92A14" w:rsidRPr="00730C0E" w:rsidRDefault="00F92A14" w:rsidP="00F92A14">
            <w:pPr>
              <w:spacing w:after="0" w:line="240" w:lineRule="auto"/>
              <w:rPr>
                <w:rFonts w:ascii="Times New Roman" w:eastAsia="Times New Roman" w:hAnsi="Times New Roman" w:cs="Times New Roman"/>
                <w:sz w:val="20"/>
                <w:szCs w:val="20"/>
                <w:lang w:eastAsia="en-GB"/>
              </w:rPr>
            </w:pPr>
          </w:p>
        </w:tc>
      </w:tr>
      <w:tr w:rsidR="00F92A14" w:rsidRPr="00730C0E" w14:paraId="2F77EE68" w14:textId="77777777" w:rsidTr="00F92A14">
        <w:trPr>
          <w:trHeight w:val="288"/>
        </w:trPr>
        <w:tc>
          <w:tcPr>
            <w:tcW w:w="6096" w:type="dxa"/>
            <w:tcBorders>
              <w:top w:val="nil"/>
              <w:left w:val="nil"/>
              <w:bottom w:val="nil"/>
              <w:right w:val="nil"/>
            </w:tcBorders>
            <w:shd w:val="clear" w:color="auto" w:fill="auto"/>
            <w:noWrap/>
            <w:vAlign w:val="center"/>
            <w:hideMark/>
          </w:tcPr>
          <w:p w14:paraId="54F50900" w14:textId="77777777" w:rsidR="00F92A14" w:rsidRPr="00730C0E" w:rsidRDefault="00F92A14" w:rsidP="00F92A14">
            <w:pPr>
              <w:spacing w:after="0" w:line="240" w:lineRule="auto"/>
              <w:ind w:firstLineChars="80" w:firstLine="89"/>
              <w:rPr>
                <w:rFonts w:ascii="Times New Roman" w:eastAsia="Times New Roman" w:hAnsi="Times New Roman" w:cs="Times New Roman"/>
                <w:color w:val="000000"/>
                <w:lang w:eastAsia="en-GB"/>
              </w:rPr>
            </w:pPr>
            <w:r w:rsidRPr="00730C0E">
              <w:rPr>
                <w:rFonts w:ascii="Times New Roman" w:eastAsia="Times New Roman" w:hAnsi="Times New Roman" w:cs="Times New Roman"/>
                <w:color w:val="000000"/>
                <w:lang w:eastAsia="en-GB"/>
              </w:rPr>
              <w:t>Currently undertaking PG study</w:t>
            </w:r>
          </w:p>
        </w:tc>
        <w:tc>
          <w:tcPr>
            <w:tcW w:w="1282" w:type="dxa"/>
            <w:tcBorders>
              <w:top w:val="nil"/>
              <w:left w:val="nil"/>
              <w:bottom w:val="nil"/>
              <w:right w:val="nil"/>
            </w:tcBorders>
            <w:shd w:val="clear" w:color="auto" w:fill="auto"/>
            <w:noWrap/>
            <w:vAlign w:val="bottom"/>
            <w:hideMark/>
          </w:tcPr>
          <w:p w14:paraId="57672009" w14:textId="77777777" w:rsidR="00F92A14" w:rsidRPr="00730C0E"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730C0E">
              <w:rPr>
                <w:rFonts w:ascii="Times New Roman" w:eastAsia="Times New Roman" w:hAnsi="Times New Roman" w:cs="Times New Roman"/>
                <w:color w:val="000000"/>
                <w:sz w:val="20"/>
                <w:szCs w:val="20"/>
                <w:lang w:eastAsia="en-GB"/>
              </w:rPr>
              <w:t>33.8</w:t>
            </w:r>
          </w:p>
        </w:tc>
        <w:tc>
          <w:tcPr>
            <w:tcW w:w="1219" w:type="dxa"/>
            <w:tcBorders>
              <w:top w:val="nil"/>
              <w:left w:val="nil"/>
              <w:bottom w:val="nil"/>
              <w:right w:val="nil"/>
            </w:tcBorders>
            <w:shd w:val="clear" w:color="auto" w:fill="auto"/>
            <w:noWrap/>
            <w:vAlign w:val="bottom"/>
            <w:hideMark/>
          </w:tcPr>
          <w:p w14:paraId="2A44EDB6" w14:textId="77777777" w:rsidR="00F92A14" w:rsidRPr="00730C0E"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730C0E">
              <w:rPr>
                <w:rFonts w:ascii="Times New Roman" w:eastAsia="Times New Roman" w:hAnsi="Times New Roman" w:cs="Times New Roman"/>
                <w:color w:val="000000"/>
                <w:sz w:val="20"/>
                <w:szCs w:val="20"/>
                <w:lang w:eastAsia="en-GB"/>
              </w:rPr>
              <w:t>362</w:t>
            </w:r>
          </w:p>
        </w:tc>
        <w:tc>
          <w:tcPr>
            <w:tcW w:w="271" w:type="dxa"/>
            <w:tcBorders>
              <w:top w:val="nil"/>
              <w:left w:val="nil"/>
              <w:bottom w:val="nil"/>
              <w:right w:val="nil"/>
            </w:tcBorders>
            <w:shd w:val="clear" w:color="auto" w:fill="auto"/>
            <w:noWrap/>
            <w:vAlign w:val="bottom"/>
            <w:hideMark/>
          </w:tcPr>
          <w:p w14:paraId="31601CEF" w14:textId="77777777" w:rsidR="00F92A14" w:rsidRPr="00730C0E"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1261" w:type="dxa"/>
            <w:tcBorders>
              <w:top w:val="nil"/>
              <w:left w:val="nil"/>
              <w:bottom w:val="nil"/>
              <w:right w:val="nil"/>
            </w:tcBorders>
            <w:shd w:val="clear" w:color="auto" w:fill="auto"/>
            <w:noWrap/>
            <w:vAlign w:val="bottom"/>
            <w:hideMark/>
          </w:tcPr>
          <w:p w14:paraId="4F42D10B" w14:textId="77777777" w:rsidR="00F92A14" w:rsidRPr="00730C0E"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730C0E">
              <w:rPr>
                <w:rFonts w:ascii="Times New Roman" w:eastAsia="Times New Roman" w:hAnsi="Times New Roman" w:cs="Times New Roman"/>
                <w:color w:val="000000"/>
                <w:sz w:val="20"/>
                <w:szCs w:val="20"/>
                <w:lang w:eastAsia="en-GB"/>
              </w:rPr>
              <w:t>18.6</w:t>
            </w:r>
          </w:p>
        </w:tc>
        <w:tc>
          <w:tcPr>
            <w:tcW w:w="1172" w:type="dxa"/>
            <w:tcBorders>
              <w:top w:val="nil"/>
              <w:left w:val="nil"/>
              <w:bottom w:val="nil"/>
              <w:right w:val="nil"/>
            </w:tcBorders>
            <w:shd w:val="clear" w:color="auto" w:fill="auto"/>
            <w:noWrap/>
            <w:vAlign w:val="bottom"/>
            <w:hideMark/>
          </w:tcPr>
          <w:p w14:paraId="515A7321" w14:textId="77777777" w:rsidR="00F92A14" w:rsidRPr="00730C0E"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730C0E">
              <w:rPr>
                <w:rFonts w:ascii="Times New Roman" w:eastAsia="Times New Roman" w:hAnsi="Times New Roman" w:cs="Times New Roman"/>
                <w:color w:val="000000"/>
                <w:sz w:val="20"/>
                <w:szCs w:val="20"/>
                <w:lang w:eastAsia="en-GB"/>
              </w:rPr>
              <w:t>83</w:t>
            </w:r>
          </w:p>
        </w:tc>
        <w:tc>
          <w:tcPr>
            <w:tcW w:w="271" w:type="dxa"/>
            <w:tcBorders>
              <w:top w:val="nil"/>
              <w:left w:val="nil"/>
              <w:bottom w:val="nil"/>
              <w:right w:val="nil"/>
            </w:tcBorders>
            <w:shd w:val="clear" w:color="auto" w:fill="auto"/>
            <w:noWrap/>
            <w:vAlign w:val="bottom"/>
            <w:hideMark/>
          </w:tcPr>
          <w:p w14:paraId="15FF948E" w14:textId="77777777" w:rsidR="00F92A14" w:rsidRPr="00730C0E"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1261" w:type="dxa"/>
            <w:tcBorders>
              <w:top w:val="nil"/>
              <w:left w:val="nil"/>
              <w:bottom w:val="nil"/>
              <w:right w:val="nil"/>
            </w:tcBorders>
            <w:shd w:val="clear" w:color="auto" w:fill="auto"/>
            <w:noWrap/>
            <w:vAlign w:val="bottom"/>
            <w:hideMark/>
          </w:tcPr>
          <w:p w14:paraId="08F2BDB7" w14:textId="77777777" w:rsidR="00F92A14" w:rsidRPr="00730C0E"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730C0E">
              <w:rPr>
                <w:rFonts w:ascii="Times New Roman" w:eastAsia="Times New Roman" w:hAnsi="Times New Roman" w:cs="Times New Roman"/>
                <w:color w:val="000000"/>
                <w:sz w:val="20"/>
                <w:szCs w:val="20"/>
                <w:lang w:eastAsia="en-GB"/>
              </w:rPr>
              <w:t>45.6</w:t>
            </w:r>
          </w:p>
        </w:tc>
        <w:tc>
          <w:tcPr>
            <w:tcW w:w="1172" w:type="dxa"/>
            <w:tcBorders>
              <w:top w:val="nil"/>
              <w:left w:val="nil"/>
              <w:bottom w:val="nil"/>
              <w:right w:val="nil"/>
            </w:tcBorders>
            <w:shd w:val="clear" w:color="auto" w:fill="auto"/>
            <w:noWrap/>
            <w:vAlign w:val="bottom"/>
            <w:hideMark/>
          </w:tcPr>
          <w:p w14:paraId="6364DCCF" w14:textId="77777777" w:rsidR="00F92A14" w:rsidRPr="00730C0E"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730C0E">
              <w:rPr>
                <w:rFonts w:ascii="Times New Roman" w:eastAsia="Times New Roman" w:hAnsi="Times New Roman" w:cs="Times New Roman"/>
                <w:color w:val="000000"/>
                <w:sz w:val="20"/>
                <w:szCs w:val="20"/>
                <w:lang w:eastAsia="en-GB"/>
              </w:rPr>
              <w:t>279</w:t>
            </w:r>
          </w:p>
        </w:tc>
      </w:tr>
      <w:tr w:rsidR="00F92A14" w:rsidRPr="00730C0E" w14:paraId="051C2AD7" w14:textId="77777777" w:rsidTr="00F92A14">
        <w:trPr>
          <w:trHeight w:val="227"/>
        </w:trPr>
        <w:tc>
          <w:tcPr>
            <w:tcW w:w="6096" w:type="dxa"/>
            <w:tcBorders>
              <w:top w:val="nil"/>
              <w:left w:val="nil"/>
              <w:bottom w:val="nil"/>
              <w:right w:val="nil"/>
            </w:tcBorders>
            <w:shd w:val="clear" w:color="auto" w:fill="auto"/>
            <w:vAlign w:val="center"/>
            <w:hideMark/>
          </w:tcPr>
          <w:p w14:paraId="2701D344" w14:textId="77777777" w:rsidR="00F92A14" w:rsidRPr="00730C0E" w:rsidRDefault="00F92A14" w:rsidP="00F92A14">
            <w:pPr>
              <w:spacing w:after="0" w:line="240" w:lineRule="auto"/>
              <w:ind w:left="176"/>
              <w:rPr>
                <w:rFonts w:ascii="Times New Roman" w:eastAsia="Times New Roman" w:hAnsi="Times New Roman" w:cs="Times New Roman"/>
                <w:color w:val="000000"/>
                <w:lang w:eastAsia="en-GB"/>
              </w:rPr>
            </w:pPr>
            <w:r w:rsidRPr="00730C0E">
              <w:rPr>
                <w:rFonts w:ascii="Times New Roman" w:eastAsia="Times New Roman" w:hAnsi="Times New Roman" w:cs="Times New Roman"/>
                <w:color w:val="000000"/>
                <w:lang w:eastAsia="en-GB"/>
              </w:rPr>
              <w:t xml:space="preserve">Currently undertaking PG study and previously studied at level     </w:t>
            </w:r>
          </w:p>
        </w:tc>
        <w:tc>
          <w:tcPr>
            <w:tcW w:w="1282" w:type="dxa"/>
            <w:tcBorders>
              <w:top w:val="nil"/>
              <w:left w:val="nil"/>
              <w:bottom w:val="nil"/>
              <w:right w:val="nil"/>
            </w:tcBorders>
            <w:shd w:val="clear" w:color="auto" w:fill="auto"/>
            <w:noWrap/>
            <w:vAlign w:val="bottom"/>
            <w:hideMark/>
          </w:tcPr>
          <w:p w14:paraId="0C12961F" w14:textId="77777777" w:rsidR="00F92A14" w:rsidRPr="00730C0E"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730C0E">
              <w:rPr>
                <w:rFonts w:ascii="Times New Roman" w:eastAsia="Times New Roman" w:hAnsi="Times New Roman" w:cs="Times New Roman"/>
                <w:color w:val="000000"/>
                <w:sz w:val="20"/>
                <w:szCs w:val="20"/>
                <w:lang w:eastAsia="en-GB"/>
              </w:rPr>
              <w:t>6.5</w:t>
            </w:r>
          </w:p>
        </w:tc>
        <w:tc>
          <w:tcPr>
            <w:tcW w:w="1219" w:type="dxa"/>
            <w:tcBorders>
              <w:top w:val="nil"/>
              <w:left w:val="nil"/>
              <w:bottom w:val="nil"/>
              <w:right w:val="nil"/>
            </w:tcBorders>
            <w:shd w:val="clear" w:color="auto" w:fill="auto"/>
            <w:noWrap/>
            <w:vAlign w:val="bottom"/>
            <w:hideMark/>
          </w:tcPr>
          <w:p w14:paraId="4015E280" w14:textId="77777777" w:rsidR="00F92A14" w:rsidRPr="00730C0E"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730C0E">
              <w:rPr>
                <w:rFonts w:ascii="Times New Roman" w:eastAsia="Times New Roman" w:hAnsi="Times New Roman" w:cs="Times New Roman"/>
                <w:color w:val="000000"/>
                <w:sz w:val="20"/>
                <w:szCs w:val="20"/>
                <w:lang w:eastAsia="en-GB"/>
              </w:rPr>
              <w:t>69</w:t>
            </w:r>
          </w:p>
        </w:tc>
        <w:tc>
          <w:tcPr>
            <w:tcW w:w="271" w:type="dxa"/>
            <w:tcBorders>
              <w:top w:val="nil"/>
              <w:left w:val="nil"/>
              <w:bottom w:val="nil"/>
              <w:right w:val="nil"/>
            </w:tcBorders>
            <w:shd w:val="clear" w:color="auto" w:fill="auto"/>
            <w:noWrap/>
            <w:vAlign w:val="bottom"/>
            <w:hideMark/>
          </w:tcPr>
          <w:p w14:paraId="229F2E08" w14:textId="77777777" w:rsidR="00F92A14" w:rsidRPr="00730C0E"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1261" w:type="dxa"/>
            <w:tcBorders>
              <w:top w:val="nil"/>
              <w:left w:val="nil"/>
              <w:bottom w:val="nil"/>
              <w:right w:val="nil"/>
            </w:tcBorders>
            <w:shd w:val="clear" w:color="auto" w:fill="auto"/>
            <w:noWrap/>
            <w:vAlign w:val="bottom"/>
            <w:hideMark/>
          </w:tcPr>
          <w:p w14:paraId="4FB5A11A" w14:textId="77777777" w:rsidR="00F92A14" w:rsidRPr="00730C0E"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730C0E">
              <w:rPr>
                <w:rFonts w:ascii="Times New Roman" w:eastAsia="Times New Roman" w:hAnsi="Times New Roman" w:cs="Times New Roman"/>
                <w:color w:val="000000"/>
                <w:sz w:val="20"/>
                <w:szCs w:val="20"/>
                <w:lang w:eastAsia="en-GB"/>
              </w:rPr>
              <w:t>10.0</w:t>
            </w:r>
          </w:p>
        </w:tc>
        <w:tc>
          <w:tcPr>
            <w:tcW w:w="1172" w:type="dxa"/>
            <w:tcBorders>
              <w:top w:val="nil"/>
              <w:left w:val="nil"/>
              <w:bottom w:val="nil"/>
              <w:right w:val="nil"/>
            </w:tcBorders>
            <w:shd w:val="clear" w:color="auto" w:fill="auto"/>
            <w:noWrap/>
            <w:vAlign w:val="bottom"/>
            <w:hideMark/>
          </w:tcPr>
          <w:p w14:paraId="05F24521" w14:textId="77777777" w:rsidR="00F92A14" w:rsidRPr="00730C0E"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730C0E">
              <w:rPr>
                <w:rFonts w:ascii="Times New Roman" w:eastAsia="Times New Roman" w:hAnsi="Times New Roman" w:cs="Times New Roman"/>
                <w:color w:val="000000"/>
                <w:sz w:val="20"/>
                <w:szCs w:val="20"/>
                <w:lang w:eastAsia="en-GB"/>
              </w:rPr>
              <w:t>45</w:t>
            </w:r>
          </w:p>
        </w:tc>
        <w:tc>
          <w:tcPr>
            <w:tcW w:w="271" w:type="dxa"/>
            <w:tcBorders>
              <w:top w:val="nil"/>
              <w:left w:val="nil"/>
              <w:bottom w:val="nil"/>
              <w:right w:val="nil"/>
            </w:tcBorders>
            <w:shd w:val="clear" w:color="auto" w:fill="auto"/>
            <w:noWrap/>
            <w:vAlign w:val="bottom"/>
            <w:hideMark/>
          </w:tcPr>
          <w:p w14:paraId="3A52BEEE" w14:textId="77777777" w:rsidR="00F92A14" w:rsidRPr="00730C0E"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1261" w:type="dxa"/>
            <w:tcBorders>
              <w:top w:val="nil"/>
              <w:left w:val="nil"/>
              <w:bottom w:val="nil"/>
              <w:right w:val="nil"/>
            </w:tcBorders>
            <w:shd w:val="clear" w:color="auto" w:fill="auto"/>
            <w:noWrap/>
            <w:vAlign w:val="bottom"/>
            <w:hideMark/>
          </w:tcPr>
          <w:p w14:paraId="1373964B" w14:textId="77777777" w:rsidR="00F92A14" w:rsidRPr="00730C0E"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730C0E">
              <w:rPr>
                <w:rFonts w:ascii="Times New Roman" w:eastAsia="Times New Roman" w:hAnsi="Times New Roman" w:cs="Times New Roman"/>
                <w:color w:val="000000"/>
                <w:sz w:val="20"/>
                <w:szCs w:val="20"/>
                <w:lang w:eastAsia="en-GB"/>
              </w:rPr>
              <w:t>3.8</w:t>
            </w:r>
          </w:p>
        </w:tc>
        <w:tc>
          <w:tcPr>
            <w:tcW w:w="1172" w:type="dxa"/>
            <w:tcBorders>
              <w:top w:val="nil"/>
              <w:left w:val="nil"/>
              <w:bottom w:val="nil"/>
              <w:right w:val="nil"/>
            </w:tcBorders>
            <w:shd w:val="clear" w:color="auto" w:fill="auto"/>
            <w:noWrap/>
            <w:vAlign w:val="bottom"/>
            <w:hideMark/>
          </w:tcPr>
          <w:p w14:paraId="545968F4" w14:textId="77777777" w:rsidR="00F92A14" w:rsidRPr="00730C0E"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730C0E">
              <w:rPr>
                <w:rFonts w:ascii="Times New Roman" w:eastAsia="Times New Roman" w:hAnsi="Times New Roman" w:cs="Times New Roman"/>
                <w:color w:val="000000"/>
                <w:sz w:val="20"/>
                <w:szCs w:val="20"/>
                <w:lang w:eastAsia="en-GB"/>
              </w:rPr>
              <w:t>24</w:t>
            </w:r>
          </w:p>
        </w:tc>
      </w:tr>
      <w:tr w:rsidR="00F92A14" w:rsidRPr="00730C0E" w14:paraId="03FDA55E" w14:textId="77777777" w:rsidTr="00F92A14">
        <w:trPr>
          <w:trHeight w:val="288"/>
        </w:trPr>
        <w:tc>
          <w:tcPr>
            <w:tcW w:w="6096" w:type="dxa"/>
            <w:tcBorders>
              <w:top w:val="nil"/>
              <w:left w:val="nil"/>
              <w:bottom w:val="nil"/>
              <w:right w:val="nil"/>
            </w:tcBorders>
            <w:shd w:val="clear" w:color="auto" w:fill="auto"/>
            <w:noWrap/>
            <w:vAlign w:val="center"/>
            <w:hideMark/>
          </w:tcPr>
          <w:p w14:paraId="24A4378C" w14:textId="77777777" w:rsidR="00F92A14" w:rsidRPr="00730C0E" w:rsidRDefault="00F92A14" w:rsidP="00F92A14">
            <w:pPr>
              <w:spacing w:after="0" w:line="240" w:lineRule="auto"/>
              <w:ind w:firstLine="176"/>
              <w:rPr>
                <w:rFonts w:ascii="Times New Roman" w:eastAsia="Times New Roman" w:hAnsi="Times New Roman" w:cs="Times New Roman"/>
                <w:color w:val="000000"/>
                <w:lang w:eastAsia="en-GB"/>
              </w:rPr>
            </w:pPr>
            <w:r w:rsidRPr="00730C0E">
              <w:rPr>
                <w:rFonts w:ascii="Times New Roman" w:eastAsia="Times New Roman" w:hAnsi="Times New Roman" w:cs="Times New Roman"/>
                <w:color w:val="000000"/>
                <w:lang w:eastAsia="en-GB"/>
              </w:rPr>
              <w:t>Previously undertaken PG study</w:t>
            </w:r>
          </w:p>
        </w:tc>
        <w:tc>
          <w:tcPr>
            <w:tcW w:w="1282" w:type="dxa"/>
            <w:tcBorders>
              <w:top w:val="nil"/>
              <w:left w:val="nil"/>
              <w:bottom w:val="nil"/>
              <w:right w:val="nil"/>
            </w:tcBorders>
            <w:shd w:val="clear" w:color="auto" w:fill="auto"/>
            <w:noWrap/>
            <w:vAlign w:val="bottom"/>
            <w:hideMark/>
          </w:tcPr>
          <w:p w14:paraId="4AF3CD9A" w14:textId="77777777" w:rsidR="00F92A14" w:rsidRPr="00730C0E"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730C0E">
              <w:rPr>
                <w:rFonts w:ascii="Times New Roman" w:eastAsia="Times New Roman" w:hAnsi="Times New Roman" w:cs="Times New Roman"/>
                <w:color w:val="000000"/>
                <w:sz w:val="20"/>
                <w:szCs w:val="20"/>
                <w:lang w:eastAsia="en-GB"/>
              </w:rPr>
              <w:t>55.4</w:t>
            </w:r>
          </w:p>
        </w:tc>
        <w:tc>
          <w:tcPr>
            <w:tcW w:w="1219" w:type="dxa"/>
            <w:tcBorders>
              <w:top w:val="nil"/>
              <w:left w:val="nil"/>
              <w:bottom w:val="nil"/>
              <w:right w:val="nil"/>
            </w:tcBorders>
            <w:shd w:val="clear" w:color="auto" w:fill="auto"/>
            <w:noWrap/>
            <w:vAlign w:val="bottom"/>
            <w:hideMark/>
          </w:tcPr>
          <w:p w14:paraId="06235B53" w14:textId="77777777" w:rsidR="00F92A14" w:rsidRPr="00730C0E"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730C0E">
              <w:rPr>
                <w:rFonts w:ascii="Times New Roman" w:eastAsia="Times New Roman" w:hAnsi="Times New Roman" w:cs="Times New Roman"/>
                <w:color w:val="000000"/>
                <w:sz w:val="20"/>
                <w:szCs w:val="20"/>
                <w:lang w:eastAsia="en-GB"/>
              </w:rPr>
              <w:t>571</w:t>
            </w:r>
          </w:p>
        </w:tc>
        <w:tc>
          <w:tcPr>
            <w:tcW w:w="271" w:type="dxa"/>
            <w:tcBorders>
              <w:top w:val="nil"/>
              <w:left w:val="nil"/>
              <w:bottom w:val="nil"/>
              <w:right w:val="nil"/>
            </w:tcBorders>
            <w:shd w:val="clear" w:color="auto" w:fill="auto"/>
            <w:noWrap/>
            <w:vAlign w:val="bottom"/>
            <w:hideMark/>
          </w:tcPr>
          <w:p w14:paraId="1573327B" w14:textId="77777777" w:rsidR="00F92A14" w:rsidRPr="00730C0E"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1261" w:type="dxa"/>
            <w:tcBorders>
              <w:top w:val="nil"/>
              <w:left w:val="nil"/>
              <w:bottom w:val="nil"/>
              <w:right w:val="nil"/>
            </w:tcBorders>
            <w:shd w:val="clear" w:color="auto" w:fill="auto"/>
            <w:noWrap/>
            <w:vAlign w:val="bottom"/>
            <w:hideMark/>
          </w:tcPr>
          <w:p w14:paraId="7F645C6A" w14:textId="77777777" w:rsidR="00F92A14" w:rsidRPr="00730C0E"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730C0E">
              <w:rPr>
                <w:rFonts w:ascii="Times New Roman" w:eastAsia="Times New Roman" w:hAnsi="Times New Roman" w:cs="Times New Roman"/>
                <w:color w:val="000000"/>
                <w:sz w:val="20"/>
                <w:szCs w:val="20"/>
                <w:lang w:eastAsia="en-GB"/>
              </w:rPr>
              <w:t>69.2</w:t>
            </w:r>
          </w:p>
        </w:tc>
        <w:tc>
          <w:tcPr>
            <w:tcW w:w="1172" w:type="dxa"/>
            <w:tcBorders>
              <w:top w:val="nil"/>
              <w:left w:val="nil"/>
              <w:bottom w:val="nil"/>
              <w:right w:val="nil"/>
            </w:tcBorders>
            <w:shd w:val="clear" w:color="auto" w:fill="auto"/>
            <w:noWrap/>
            <w:vAlign w:val="bottom"/>
            <w:hideMark/>
          </w:tcPr>
          <w:p w14:paraId="483A5681" w14:textId="77777777" w:rsidR="00F92A14" w:rsidRPr="00730C0E"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730C0E">
              <w:rPr>
                <w:rFonts w:ascii="Times New Roman" w:eastAsia="Times New Roman" w:hAnsi="Times New Roman" w:cs="Times New Roman"/>
                <w:color w:val="000000"/>
                <w:sz w:val="20"/>
                <w:szCs w:val="20"/>
                <w:lang w:eastAsia="en-GB"/>
              </w:rPr>
              <w:t>309</w:t>
            </w:r>
          </w:p>
        </w:tc>
        <w:tc>
          <w:tcPr>
            <w:tcW w:w="271" w:type="dxa"/>
            <w:tcBorders>
              <w:top w:val="nil"/>
              <w:left w:val="nil"/>
              <w:bottom w:val="nil"/>
              <w:right w:val="nil"/>
            </w:tcBorders>
            <w:shd w:val="clear" w:color="auto" w:fill="auto"/>
            <w:noWrap/>
            <w:vAlign w:val="bottom"/>
            <w:hideMark/>
          </w:tcPr>
          <w:p w14:paraId="0115606B" w14:textId="77777777" w:rsidR="00F92A14" w:rsidRPr="00730C0E"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1261" w:type="dxa"/>
            <w:tcBorders>
              <w:top w:val="nil"/>
              <w:left w:val="nil"/>
              <w:bottom w:val="nil"/>
              <w:right w:val="nil"/>
            </w:tcBorders>
            <w:shd w:val="clear" w:color="auto" w:fill="auto"/>
            <w:noWrap/>
            <w:vAlign w:val="bottom"/>
            <w:hideMark/>
          </w:tcPr>
          <w:p w14:paraId="2C209C46" w14:textId="77777777" w:rsidR="00F92A14" w:rsidRPr="00730C0E"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730C0E">
              <w:rPr>
                <w:rFonts w:ascii="Times New Roman" w:eastAsia="Times New Roman" w:hAnsi="Times New Roman" w:cs="Times New Roman"/>
                <w:color w:val="000000"/>
                <w:sz w:val="20"/>
                <w:szCs w:val="20"/>
                <w:lang w:eastAsia="en-GB"/>
              </w:rPr>
              <w:t>44.7</w:t>
            </w:r>
          </w:p>
        </w:tc>
        <w:tc>
          <w:tcPr>
            <w:tcW w:w="1172" w:type="dxa"/>
            <w:tcBorders>
              <w:top w:val="nil"/>
              <w:left w:val="nil"/>
              <w:bottom w:val="nil"/>
              <w:right w:val="nil"/>
            </w:tcBorders>
            <w:shd w:val="clear" w:color="auto" w:fill="auto"/>
            <w:noWrap/>
            <w:vAlign w:val="bottom"/>
            <w:hideMark/>
          </w:tcPr>
          <w:p w14:paraId="7A17F422" w14:textId="77777777" w:rsidR="00F92A14" w:rsidRPr="00730C0E"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730C0E">
              <w:rPr>
                <w:rFonts w:ascii="Times New Roman" w:eastAsia="Times New Roman" w:hAnsi="Times New Roman" w:cs="Times New Roman"/>
                <w:color w:val="000000"/>
                <w:sz w:val="20"/>
                <w:szCs w:val="20"/>
                <w:lang w:eastAsia="en-GB"/>
              </w:rPr>
              <w:t>262</w:t>
            </w:r>
          </w:p>
        </w:tc>
      </w:tr>
      <w:tr w:rsidR="00F92A14" w:rsidRPr="00730C0E" w14:paraId="386EF612" w14:textId="77777777" w:rsidTr="00F92A14">
        <w:trPr>
          <w:trHeight w:val="288"/>
        </w:trPr>
        <w:tc>
          <w:tcPr>
            <w:tcW w:w="6096" w:type="dxa"/>
            <w:tcBorders>
              <w:top w:val="nil"/>
              <w:left w:val="nil"/>
              <w:bottom w:val="single" w:sz="4" w:space="0" w:color="auto"/>
              <w:right w:val="nil"/>
            </w:tcBorders>
            <w:shd w:val="clear" w:color="auto" w:fill="auto"/>
            <w:noWrap/>
            <w:vAlign w:val="center"/>
            <w:hideMark/>
          </w:tcPr>
          <w:p w14:paraId="34BDBD53" w14:textId="77777777" w:rsidR="00F92A14" w:rsidRPr="00730C0E" w:rsidRDefault="00F92A14" w:rsidP="00F92A14">
            <w:pPr>
              <w:spacing w:after="0" w:line="240" w:lineRule="auto"/>
              <w:ind w:firstLine="176"/>
              <w:rPr>
                <w:rFonts w:ascii="Times New Roman" w:eastAsia="Times New Roman" w:hAnsi="Times New Roman" w:cs="Times New Roman"/>
                <w:color w:val="000000"/>
                <w:lang w:eastAsia="en-GB"/>
              </w:rPr>
            </w:pPr>
            <w:r w:rsidRPr="00730C0E">
              <w:rPr>
                <w:rFonts w:ascii="Times New Roman" w:eastAsia="Times New Roman" w:hAnsi="Times New Roman" w:cs="Times New Roman"/>
                <w:color w:val="000000"/>
                <w:lang w:eastAsia="en-GB"/>
              </w:rPr>
              <w:t>Other</w:t>
            </w:r>
          </w:p>
        </w:tc>
        <w:tc>
          <w:tcPr>
            <w:tcW w:w="1282" w:type="dxa"/>
            <w:tcBorders>
              <w:top w:val="nil"/>
              <w:left w:val="nil"/>
              <w:bottom w:val="single" w:sz="4" w:space="0" w:color="auto"/>
              <w:right w:val="nil"/>
            </w:tcBorders>
            <w:shd w:val="clear" w:color="auto" w:fill="auto"/>
            <w:noWrap/>
            <w:vAlign w:val="bottom"/>
            <w:hideMark/>
          </w:tcPr>
          <w:p w14:paraId="6E14D923" w14:textId="77777777" w:rsidR="00F92A14" w:rsidRPr="00730C0E"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730C0E">
              <w:rPr>
                <w:rFonts w:ascii="Times New Roman" w:eastAsia="Times New Roman" w:hAnsi="Times New Roman" w:cs="Times New Roman"/>
                <w:color w:val="000000"/>
                <w:sz w:val="20"/>
                <w:szCs w:val="20"/>
                <w:lang w:eastAsia="en-GB"/>
              </w:rPr>
              <w:t>4.4</w:t>
            </w:r>
          </w:p>
        </w:tc>
        <w:tc>
          <w:tcPr>
            <w:tcW w:w="1219" w:type="dxa"/>
            <w:tcBorders>
              <w:top w:val="nil"/>
              <w:left w:val="nil"/>
              <w:bottom w:val="single" w:sz="4" w:space="0" w:color="auto"/>
              <w:right w:val="nil"/>
            </w:tcBorders>
            <w:shd w:val="clear" w:color="auto" w:fill="auto"/>
            <w:noWrap/>
            <w:vAlign w:val="bottom"/>
            <w:hideMark/>
          </w:tcPr>
          <w:p w14:paraId="30DB1890" w14:textId="77777777" w:rsidR="00F92A14" w:rsidRPr="00730C0E"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730C0E">
              <w:rPr>
                <w:rFonts w:ascii="Times New Roman" w:eastAsia="Times New Roman" w:hAnsi="Times New Roman" w:cs="Times New Roman"/>
                <w:color w:val="000000"/>
                <w:sz w:val="20"/>
                <w:szCs w:val="20"/>
                <w:lang w:eastAsia="en-GB"/>
              </w:rPr>
              <w:t>39</w:t>
            </w:r>
          </w:p>
        </w:tc>
        <w:tc>
          <w:tcPr>
            <w:tcW w:w="271" w:type="dxa"/>
            <w:tcBorders>
              <w:top w:val="nil"/>
              <w:left w:val="nil"/>
              <w:bottom w:val="single" w:sz="4" w:space="0" w:color="auto"/>
              <w:right w:val="nil"/>
            </w:tcBorders>
            <w:shd w:val="clear" w:color="auto" w:fill="auto"/>
            <w:noWrap/>
            <w:vAlign w:val="bottom"/>
            <w:hideMark/>
          </w:tcPr>
          <w:p w14:paraId="604A2819" w14:textId="77777777" w:rsidR="00F92A14" w:rsidRPr="00730C0E" w:rsidRDefault="00F92A14" w:rsidP="00F92A14">
            <w:pPr>
              <w:spacing w:after="0" w:line="240" w:lineRule="auto"/>
              <w:rPr>
                <w:rFonts w:ascii="Times New Roman" w:eastAsia="Times New Roman" w:hAnsi="Times New Roman" w:cs="Times New Roman"/>
                <w:color w:val="000000"/>
                <w:sz w:val="20"/>
                <w:szCs w:val="20"/>
                <w:lang w:eastAsia="en-GB"/>
              </w:rPr>
            </w:pPr>
            <w:r w:rsidRPr="00730C0E">
              <w:rPr>
                <w:rFonts w:ascii="Times New Roman" w:eastAsia="Times New Roman" w:hAnsi="Times New Roman" w:cs="Times New Roman"/>
                <w:color w:val="000000"/>
                <w:sz w:val="20"/>
                <w:szCs w:val="20"/>
                <w:lang w:eastAsia="en-GB"/>
              </w:rPr>
              <w:t> </w:t>
            </w:r>
          </w:p>
        </w:tc>
        <w:tc>
          <w:tcPr>
            <w:tcW w:w="1261" w:type="dxa"/>
            <w:tcBorders>
              <w:top w:val="nil"/>
              <w:left w:val="nil"/>
              <w:bottom w:val="single" w:sz="4" w:space="0" w:color="auto"/>
              <w:right w:val="nil"/>
            </w:tcBorders>
            <w:shd w:val="clear" w:color="auto" w:fill="auto"/>
            <w:noWrap/>
            <w:vAlign w:val="bottom"/>
            <w:hideMark/>
          </w:tcPr>
          <w:p w14:paraId="17F1347B" w14:textId="77777777" w:rsidR="00F92A14" w:rsidRPr="00730C0E"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730C0E">
              <w:rPr>
                <w:rFonts w:ascii="Times New Roman" w:eastAsia="Times New Roman" w:hAnsi="Times New Roman" w:cs="Times New Roman"/>
                <w:color w:val="000000"/>
                <w:sz w:val="20"/>
                <w:szCs w:val="20"/>
                <w:lang w:eastAsia="en-GB"/>
              </w:rPr>
              <w:t>2.3</w:t>
            </w:r>
          </w:p>
        </w:tc>
        <w:tc>
          <w:tcPr>
            <w:tcW w:w="1172" w:type="dxa"/>
            <w:tcBorders>
              <w:top w:val="nil"/>
              <w:left w:val="nil"/>
              <w:bottom w:val="single" w:sz="4" w:space="0" w:color="auto"/>
              <w:right w:val="nil"/>
            </w:tcBorders>
            <w:shd w:val="clear" w:color="auto" w:fill="auto"/>
            <w:noWrap/>
            <w:vAlign w:val="bottom"/>
            <w:hideMark/>
          </w:tcPr>
          <w:p w14:paraId="1B770DA8" w14:textId="77777777" w:rsidR="00F92A14" w:rsidRPr="00730C0E"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730C0E">
              <w:rPr>
                <w:rFonts w:ascii="Times New Roman" w:eastAsia="Times New Roman" w:hAnsi="Times New Roman" w:cs="Times New Roman"/>
                <w:color w:val="000000"/>
                <w:sz w:val="20"/>
                <w:szCs w:val="20"/>
                <w:lang w:eastAsia="en-GB"/>
              </w:rPr>
              <w:t>10</w:t>
            </w:r>
          </w:p>
        </w:tc>
        <w:tc>
          <w:tcPr>
            <w:tcW w:w="271" w:type="dxa"/>
            <w:tcBorders>
              <w:top w:val="nil"/>
              <w:left w:val="nil"/>
              <w:bottom w:val="single" w:sz="4" w:space="0" w:color="auto"/>
              <w:right w:val="nil"/>
            </w:tcBorders>
            <w:shd w:val="clear" w:color="auto" w:fill="auto"/>
            <w:noWrap/>
            <w:vAlign w:val="bottom"/>
            <w:hideMark/>
          </w:tcPr>
          <w:p w14:paraId="415397A2" w14:textId="77777777" w:rsidR="00F92A14" w:rsidRPr="00730C0E" w:rsidRDefault="00F92A14" w:rsidP="00F92A14">
            <w:pPr>
              <w:spacing w:after="0" w:line="240" w:lineRule="auto"/>
              <w:rPr>
                <w:rFonts w:ascii="Times New Roman" w:eastAsia="Times New Roman" w:hAnsi="Times New Roman" w:cs="Times New Roman"/>
                <w:color w:val="000000"/>
                <w:sz w:val="20"/>
                <w:szCs w:val="20"/>
                <w:lang w:eastAsia="en-GB"/>
              </w:rPr>
            </w:pPr>
            <w:r w:rsidRPr="00730C0E">
              <w:rPr>
                <w:rFonts w:ascii="Times New Roman" w:eastAsia="Times New Roman" w:hAnsi="Times New Roman" w:cs="Times New Roman"/>
                <w:color w:val="000000"/>
                <w:sz w:val="20"/>
                <w:szCs w:val="20"/>
                <w:lang w:eastAsia="en-GB"/>
              </w:rPr>
              <w:t> </w:t>
            </w:r>
          </w:p>
        </w:tc>
        <w:tc>
          <w:tcPr>
            <w:tcW w:w="1261" w:type="dxa"/>
            <w:tcBorders>
              <w:top w:val="nil"/>
              <w:left w:val="nil"/>
              <w:bottom w:val="single" w:sz="4" w:space="0" w:color="auto"/>
              <w:right w:val="nil"/>
            </w:tcBorders>
            <w:shd w:val="clear" w:color="auto" w:fill="auto"/>
            <w:noWrap/>
            <w:vAlign w:val="bottom"/>
            <w:hideMark/>
          </w:tcPr>
          <w:p w14:paraId="3EED0522" w14:textId="77777777" w:rsidR="00F92A14" w:rsidRPr="00730C0E"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730C0E">
              <w:rPr>
                <w:rFonts w:ascii="Times New Roman" w:eastAsia="Times New Roman" w:hAnsi="Times New Roman" w:cs="Times New Roman"/>
                <w:color w:val="000000"/>
                <w:sz w:val="20"/>
                <w:szCs w:val="20"/>
                <w:lang w:eastAsia="en-GB"/>
              </w:rPr>
              <w:t>6.0</w:t>
            </w:r>
          </w:p>
        </w:tc>
        <w:tc>
          <w:tcPr>
            <w:tcW w:w="1172" w:type="dxa"/>
            <w:tcBorders>
              <w:top w:val="nil"/>
              <w:left w:val="nil"/>
              <w:bottom w:val="single" w:sz="4" w:space="0" w:color="auto"/>
              <w:right w:val="nil"/>
            </w:tcBorders>
            <w:shd w:val="clear" w:color="auto" w:fill="auto"/>
            <w:noWrap/>
            <w:vAlign w:val="bottom"/>
            <w:hideMark/>
          </w:tcPr>
          <w:p w14:paraId="25EAB6AE" w14:textId="77777777" w:rsidR="00F92A14" w:rsidRPr="00730C0E"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730C0E">
              <w:rPr>
                <w:rFonts w:ascii="Times New Roman" w:eastAsia="Times New Roman" w:hAnsi="Times New Roman" w:cs="Times New Roman"/>
                <w:color w:val="000000"/>
                <w:sz w:val="20"/>
                <w:szCs w:val="20"/>
                <w:lang w:eastAsia="en-GB"/>
              </w:rPr>
              <w:t>29</w:t>
            </w:r>
          </w:p>
        </w:tc>
      </w:tr>
    </w:tbl>
    <w:p w14:paraId="13E2E79C" w14:textId="77777777" w:rsidR="00F92A14" w:rsidRPr="007762CE" w:rsidRDefault="00F92A14" w:rsidP="00F92A14">
      <w:pPr>
        <w:spacing w:after="0" w:line="240" w:lineRule="auto"/>
        <w:rPr>
          <w:rFonts w:ascii="Times New Roman" w:hAnsi="Times New Roman"/>
          <w:sz w:val="20"/>
        </w:rPr>
      </w:pPr>
      <w:r w:rsidRPr="007762CE">
        <w:rPr>
          <w:rFonts w:ascii="Times New Roman" w:hAnsi="Times New Roman"/>
          <w:sz w:val="20"/>
        </w:rPr>
        <w:t>Note: Weighted percentages.</w:t>
      </w:r>
    </w:p>
    <w:p w14:paraId="02DC01B3" w14:textId="5B268F7A" w:rsidR="00F92A14" w:rsidRDefault="00F92A14" w:rsidP="00F92A14">
      <w:pPr>
        <w:spacing w:after="0" w:line="240" w:lineRule="auto"/>
        <w:rPr>
          <w:rFonts w:ascii="Times New Roman" w:hAnsi="Times New Roman"/>
          <w:sz w:val="20"/>
        </w:rPr>
      </w:pPr>
      <w:r w:rsidRPr="007762CE">
        <w:rPr>
          <w:rFonts w:ascii="Times New Roman" w:hAnsi="Times New Roman"/>
          <w:sz w:val="20"/>
        </w:rPr>
        <w:t>N=2,567</w:t>
      </w:r>
    </w:p>
    <w:p w14:paraId="715B280A" w14:textId="77777777" w:rsidR="00F92A14" w:rsidRDefault="00F92A14">
      <w:pPr>
        <w:rPr>
          <w:rFonts w:ascii="Times New Roman" w:hAnsi="Times New Roman"/>
          <w:sz w:val="20"/>
        </w:rPr>
      </w:pPr>
      <w:r>
        <w:rPr>
          <w:rFonts w:ascii="Times New Roman" w:hAnsi="Times New Roman"/>
          <w:sz w:val="20"/>
        </w:rPr>
        <w:br w:type="page"/>
      </w:r>
    </w:p>
    <w:tbl>
      <w:tblPr>
        <w:tblW w:w="11574" w:type="dxa"/>
        <w:tblLook w:val="04A0" w:firstRow="1" w:lastRow="0" w:firstColumn="1" w:lastColumn="0" w:noHBand="0" w:noVBand="1"/>
      </w:tblPr>
      <w:tblGrid>
        <w:gridCol w:w="4770"/>
        <w:gridCol w:w="890"/>
        <w:gridCol w:w="656"/>
        <w:gridCol w:w="656"/>
        <w:gridCol w:w="271"/>
        <w:gridCol w:w="718"/>
        <w:gridCol w:w="656"/>
        <w:gridCol w:w="656"/>
        <w:gridCol w:w="271"/>
        <w:gridCol w:w="718"/>
        <w:gridCol w:w="656"/>
        <w:gridCol w:w="656"/>
      </w:tblGrid>
      <w:tr w:rsidR="00F92A14" w:rsidRPr="00666AB4" w14:paraId="7ACD70F9" w14:textId="77777777" w:rsidTr="00F92A14">
        <w:trPr>
          <w:trHeight w:val="630"/>
        </w:trPr>
        <w:tc>
          <w:tcPr>
            <w:tcW w:w="11574" w:type="dxa"/>
            <w:gridSpan w:val="12"/>
            <w:tcBorders>
              <w:top w:val="nil"/>
              <w:left w:val="nil"/>
              <w:bottom w:val="single" w:sz="4" w:space="0" w:color="auto"/>
              <w:right w:val="nil"/>
            </w:tcBorders>
            <w:shd w:val="clear" w:color="auto" w:fill="auto"/>
            <w:vAlign w:val="center"/>
            <w:hideMark/>
          </w:tcPr>
          <w:p w14:paraId="34D2171D" w14:textId="77777777" w:rsidR="00F92A14" w:rsidRPr="00666AB4" w:rsidRDefault="00F92A14" w:rsidP="00F92A14">
            <w:pPr>
              <w:spacing w:after="0" w:line="240" w:lineRule="auto"/>
              <w:rPr>
                <w:rFonts w:ascii="Times New Roman" w:eastAsia="Times New Roman" w:hAnsi="Times New Roman" w:cs="Times New Roman"/>
                <w:b/>
                <w:bCs/>
                <w:color w:val="000000"/>
                <w:lang w:eastAsia="en-GB"/>
              </w:rPr>
            </w:pPr>
            <w:r w:rsidRPr="00666AB4">
              <w:rPr>
                <w:rFonts w:ascii="Times New Roman" w:eastAsia="Times New Roman" w:hAnsi="Times New Roman" w:cs="Times New Roman"/>
                <w:b/>
                <w:bCs/>
                <w:color w:val="000000"/>
                <w:lang w:eastAsia="en-GB"/>
              </w:rPr>
              <w:lastRenderedPageBreak/>
              <w:t xml:space="preserve">Table 2. </w:t>
            </w:r>
            <w:r>
              <w:rPr>
                <w:rFonts w:ascii="Times New Roman" w:eastAsia="Times New Roman" w:hAnsi="Times New Roman" w:cs="Times New Roman"/>
                <w:b/>
                <w:bCs/>
                <w:color w:val="000000"/>
                <w:lang w:eastAsia="en-GB"/>
              </w:rPr>
              <w:t>Percentage</w:t>
            </w:r>
            <w:r w:rsidRPr="00666AB4">
              <w:rPr>
                <w:rFonts w:ascii="Times New Roman" w:eastAsia="Times New Roman" w:hAnsi="Times New Roman" w:cs="Times New Roman"/>
                <w:b/>
                <w:bCs/>
                <w:color w:val="000000"/>
                <w:lang w:eastAsia="en-GB"/>
              </w:rPr>
              <w:t xml:space="preserve"> distribution of original and current undergraduate debt and change in debt by postgraduate degree status and year of undergraduate graduation.</w:t>
            </w:r>
          </w:p>
        </w:tc>
      </w:tr>
      <w:tr w:rsidR="00F92A14" w:rsidRPr="00666AB4" w14:paraId="01E5113A" w14:textId="77777777" w:rsidTr="00F92A14">
        <w:trPr>
          <w:trHeight w:val="1215"/>
        </w:trPr>
        <w:tc>
          <w:tcPr>
            <w:tcW w:w="4770" w:type="dxa"/>
            <w:tcBorders>
              <w:top w:val="nil"/>
              <w:left w:val="nil"/>
              <w:bottom w:val="single" w:sz="4" w:space="0" w:color="auto"/>
              <w:right w:val="nil"/>
            </w:tcBorders>
            <w:shd w:val="clear" w:color="auto" w:fill="auto"/>
            <w:vAlign w:val="bottom"/>
            <w:hideMark/>
          </w:tcPr>
          <w:p w14:paraId="3673FE90" w14:textId="77777777" w:rsidR="00F92A14" w:rsidRPr="00666AB4" w:rsidRDefault="00F92A14" w:rsidP="00F92A14">
            <w:pPr>
              <w:spacing w:after="0" w:line="240" w:lineRule="auto"/>
              <w:rPr>
                <w:rFonts w:ascii="Times New Roman" w:eastAsia="Times New Roman" w:hAnsi="Times New Roman" w:cs="Times New Roman"/>
                <w:b/>
                <w:bCs/>
                <w:color w:val="000000"/>
                <w:lang w:eastAsia="en-GB"/>
              </w:rPr>
            </w:pPr>
            <w:r w:rsidRPr="00666AB4">
              <w:rPr>
                <w:rFonts w:ascii="Times New Roman" w:eastAsia="Times New Roman" w:hAnsi="Times New Roman" w:cs="Times New Roman"/>
                <w:b/>
                <w:bCs/>
                <w:color w:val="000000"/>
                <w:lang w:eastAsia="en-GB"/>
              </w:rPr>
              <w:t>Undergraduate debt</w:t>
            </w:r>
          </w:p>
        </w:tc>
        <w:tc>
          <w:tcPr>
            <w:tcW w:w="2202" w:type="dxa"/>
            <w:gridSpan w:val="3"/>
            <w:tcBorders>
              <w:top w:val="nil"/>
              <w:left w:val="nil"/>
              <w:bottom w:val="single" w:sz="4" w:space="0" w:color="auto"/>
              <w:right w:val="nil"/>
            </w:tcBorders>
            <w:shd w:val="clear" w:color="auto" w:fill="auto"/>
            <w:vAlign w:val="bottom"/>
            <w:hideMark/>
          </w:tcPr>
          <w:p w14:paraId="1AF9A8C4" w14:textId="77777777" w:rsidR="00F92A14" w:rsidRPr="00666AB4" w:rsidRDefault="00F92A14" w:rsidP="00F92A14">
            <w:pPr>
              <w:spacing w:after="0" w:line="240" w:lineRule="auto"/>
              <w:jc w:val="center"/>
              <w:rPr>
                <w:rFonts w:ascii="Times New Roman" w:eastAsia="Times New Roman" w:hAnsi="Times New Roman" w:cs="Times New Roman"/>
                <w:b/>
                <w:bCs/>
                <w:color w:val="000000"/>
                <w:lang w:eastAsia="en-GB"/>
              </w:rPr>
            </w:pPr>
            <w:r w:rsidRPr="00666AB4">
              <w:rPr>
                <w:rFonts w:ascii="Times New Roman" w:eastAsia="Times New Roman" w:hAnsi="Times New Roman" w:cs="Times New Roman"/>
                <w:b/>
                <w:bCs/>
                <w:color w:val="000000"/>
                <w:lang w:eastAsia="en-GB"/>
              </w:rPr>
              <w:t>All</w:t>
            </w:r>
          </w:p>
        </w:tc>
        <w:tc>
          <w:tcPr>
            <w:tcW w:w="271" w:type="dxa"/>
            <w:tcBorders>
              <w:top w:val="nil"/>
              <w:left w:val="nil"/>
              <w:bottom w:val="single" w:sz="4" w:space="0" w:color="auto"/>
              <w:right w:val="nil"/>
            </w:tcBorders>
            <w:shd w:val="clear" w:color="auto" w:fill="auto"/>
            <w:vAlign w:val="bottom"/>
            <w:hideMark/>
          </w:tcPr>
          <w:p w14:paraId="76CC217F" w14:textId="77777777" w:rsidR="00F92A14" w:rsidRPr="00666AB4" w:rsidRDefault="00F92A14" w:rsidP="00F92A14">
            <w:pPr>
              <w:spacing w:after="0" w:line="240" w:lineRule="auto"/>
              <w:jc w:val="center"/>
              <w:rPr>
                <w:rFonts w:ascii="Times New Roman" w:eastAsia="Times New Roman" w:hAnsi="Times New Roman" w:cs="Times New Roman"/>
                <w:b/>
                <w:bCs/>
                <w:color w:val="000000"/>
                <w:lang w:eastAsia="en-GB"/>
              </w:rPr>
            </w:pPr>
            <w:r w:rsidRPr="00666AB4">
              <w:rPr>
                <w:rFonts w:ascii="Times New Roman" w:eastAsia="Times New Roman" w:hAnsi="Times New Roman" w:cs="Times New Roman"/>
                <w:b/>
                <w:bCs/>
                <w:color w:val="000000"/>
                <w:lang w:eastAsia="en-GB"/>
              </w:rPr>
              <w:t> </w:t>
            </w:r>
          </w:p>
        </w:tc>
        <w:tc>
          <w:tcPr>
            <w:tcW w:w="2030" w:type="dxa"/>
            <w:gridSpan w:val="3"/>
            <w:tcBorders>
              <w:top w:val="nil"/>
              <w:left w:val="nil"/>
              <w:bottom w:val="single" w:sz="4" w:space="0" w:color="auto"/>
              <w:right w:val="nil"/>
            </w:tcBorders>
            <w:shd w:val="clear" w:color="auto" w:fill="auto"/>
            <w:vAlign w:val="center"/>
            <w:hideMark/>
          </w:tcPr>
          <w:p w14:paraId="102DEB1E" w14:textId="77777777" w:rsidR="00F92A14" w:rsidRPr="00666AB4" w:rsidRDefault="00F92A14" w:rsidP="00F92A14">
            <w:pPr>
              <w:spacing w:after="0" w:line="240" w:lineRule="auto"/>
              <w:jc w:val="center"/>
              <w:rPr>
                <w:rFonts w:ascii="Times New Roman" w:eastAsia="Times New Roman" w:hAnsi="Times New Roman" w:cs="Times New Roman"/>
                <w:b/>
                <w:bCs/>
                <w:color w:val="000000"/>
                <w:lang w:eastAsia="en-GB"/>
              </w:rPr>
            </w:pPr>
            <w:r w:rsidRPr="00666AB4">
              <w:rPr>
                <w:rFonts w:ascii="Times New Roman" w:eastAsia="Times New Roman" w:hAnsi="Times New Roman" w:cs="Times New Roman"/>
                <w:b/>
                <w:bCs/>
                <w:color w:val="000000"/>
                <w:lang w:eastAsia="en-GB"/>
              </w:rPr>
              <w:t>Currently or previously studied for a postgraduate degree</w:t>
            </w:r>
          </w:p>
        </w:tc>
        <w:tc>
          <w:tcPr>
            <w:tcW w:w="271" w:type="dxa"/>
            <w:tcBorders>
              <w:top w:val="nil"/>
              <w:left w:val="nil"/>
              <w:bottom w:val="single" w:sz="4" w:space="0" w:color="auto"/>
              <w:right w:val="nil"/>
            </w:tcBorders>
            <w:shd w:val="clear" w:color="auto" w:fill="auto"/>
            <w:vAlign w:val="center"/>
            <w:hideMark/>
          </w:tcPr>
          <w:p w14:paraId="4CA1999E" w14:textId="77777777" w:rsidR="00F92A14" w:rsidRPr="00666AB4" w:rsidRDefault="00F92A14" w:rsidP="00F92A14">
            <w:pPr>
              <w:spacing w:after="0" w:line="240" w:lineRule="auto"/>
              <w:jc w:val="center"/>
              <w:rPr>
                <w:rFonts w:ascii="Times New Roman" w:eastAsia="Times New Roman" w:hAnsi="Times New Roman" w:cs="Times New Roman"/>
                <w:b/>
                <w:bCs/>
                <w:color w:val="000000"/>
                <w:lang w:eastAsia="en-GB"/>
              </w:rPr>
            </w:pPr>
            <w:r w:rsidRPr="00666AB4">
              <w:rPr>
                <w:rFonts w:ascii="Times New Roman" w:eastAsia="Times New Roman" w:hAnsi="Times New Roman" w:cs="Times New Roman"/>
                <w:b/>
                <w:bCs/>
                <w:color w:val="000000"/>
                <w:lang w:eastAsia="en-GB"/>
              </w:rPr>
              <w:t> </w:t>
            </w:r>
          </w:p>
        </w:tc>
        <w:tc>
          <w:tcPr>
            <w:tcW w:w="2030" w:type="dxa"/>
            <w:gridSpan w:val="3"/>
            <w:tcBorders>
              <w:top w:val="nil"/>
              <w:left w:val="nil"/>
              <w:bottom w:val="single" w:sz="4" w:space="0" w:color="auto"/>
              <w:right w:val="nil"/>
            </w:tcBorders>
            <w:shd w:val="clear" w:color="auto" w:fill="auto"/>
            <w:vAlign w:val="center"/>
            <w:hideMark/>
          </w:tcPr>
          <w:p w14:paraId="6E8F1352" w14:textId="77777777" w:rsidR="00F92A14" w:rsidRPr="00666AB4" w:rsidRDefault="00F92A14" w:rsidP="00F92A14">
            <w:pPr>
              <w:spacing w:after="0" w:line="240" w:lineRule="auto"/>
              <w:jc w:val="center"/>
              <w:rPr>
                <w:rFonts w:ascii="Times New Roman" w:eastAsia="Times New Roman" w:hAnsi="Times New Roman" w:cs="Times New Roman"/>
                <w:b/>
                <w:bCs/>
                <w:color w:val="000000"/>
                <w:lang w:eastAsia="en-GB"/>
              </w:rPr>
            </w:pPr>
            <w:r w:rsidRPr="00666AB4">
              <w:rPr>
                <w:rFonts w:ascii="Times New Roman" w:eastAsia="Times New Roman" w:hAnsi="Times New Roman" w:cs="Times New Roman"/>
                <w:b/>
                <w:bCs/>
                <w:color w:val="000000"/>
                <w:lang w:eastAsia="en-GB"/>
              </w:rPr>
              <w:t>Neither studying or previously studied for a postgraduate degree</w:t>
            </w:r>
          </w:p>
        </w:tc>
      </w:tr>
      <w:tr w:rsidR="00F92A14" w:rsidRPr="00666AB4" w14:paraId="721540F9" w14:textId="77777777" w:rsidTr="00F92A14">
        <w:trPr>
          <w:trHeight w:val="288"/>
        </w:trPr>
        <w:tc>
          <w:tcPr>
            <w:tcW w:w="4770" w:type="dxa"/>
            <w:tcBorders>
              <w:top w:val="nil"/>
              <w:left w:val="nil"/>
              <w:bottom w:val="nil"/>
              <w:right w:val="nil"/>
            </w:tcBorders>
            <w:shd w:val="clear" w:color="auto" w:fill="auto"/>
            <w:vAlign w:val="bottom"/>
            <w:hideMark/>
          </w:tcPr>
          <w:p w14:paraId="4BD288DB" w14:textId="77777777" w:rsidR="00F92A14" w:rsidRPr="00666AB4" w:rsidRDefault="00F92A14" w:rsidP="00F92A14">
            <w:pPr>
              <w:spacing w:after="0" w:line="240" w:lineRule="auto"/>
              <w:jc w:val="center"/>
              <w:rPr>
                <w:rFonts w:ascii="Times New Roman" w:eastAsia="Times New Roman" w:hAnsi="Times New Roman" w:cs="Times New Roman"/>
                <w:b/>
                <w:bCs/>
                <w:color w:val="000000"/>
                <w:lang w:eastAsia="en-GB"/>
              </w:rPr>
            </w:pPr>
          </w:p>
        </w:tc>
        <w:tc>
          <w:tcPr>
            <w:tcW w:w="890" w:type="dxa"/>
            <w:tcBorders>
              <w:top w:val="nil"/>
              <w:left w:val="nil"/>
              <w:bottom w:val="nil"/>
              <w:right w:val="nil"/>
            </w:tcBorders>
            <w:shd w:val="clear" w:color="auto" w:fill="auto"/>
            <w:vAlign w:val="center"/>
            <w:hideMark/>
          </w:tcPr>
          <w:p w14:paraId="66D90889" w14:textId="77777777" w:rsidR="00F92A14" w:rsidRPr="002E25C8" w:rsidRDefault="00F92A14" w:rsidP="00F92A14">
            <w:pPr>
              <w:spacing w:after="0" w:line="240" w:lineRule="auto"/>
              <w:jc w:val="center"/>
              <w:rPr>
                <w:rFonts w:ascii="Times New Roman" w:eastAsia="Times New Roman" w:hAnsi="Times New Roman" w:cs="Times New Roman"/>
                <w:b/>
                <w:bCs/>
                <w:color w:val="000000"/>
                <w:lang w:eastAsia="en-GB"/>
              </w:rPr>
            </w:pPr>
            <w:r w:rsidRPr="002E25C8">
              <w:rPr>
                <w:rFonts w:ascii="Times New Roman" w:eastAsia="Times New Roman" w:hAnsi="Times New Roman" w:cs="Times New Roman"/>
                <w:b/>
                <w:bCs/>
                <w:color w:val="000000"/>
                <w:lang w:eastAsia="en-GB"/>
              </w:rPr>
              <w:t>Total</w:t>
            </w:r>
          </w:p>
        </w:tc>
        <w:tc>
          <w:tcPr>
            <w:tcW w:w="656" w:type="dxa"/>
            <w:tcBorders>
              <w:top w:val="nil"/>
              <w:left w:val="nil"/>
              <w:bottom w:val="nil"/>
              <w:right w:val="nil"/>
            </w:tcBorders>
            <w:shd w:val="clear" w:color="auto" w:fill="auto"/>
            <w:noWrap/>
            <w:vAlign w:val="center"/>
            <w:hideMark/>
          </w:tcPr>
          <w:p w14:paraId="2F294B7C" w14:textId="77777777" w:rsidR="00F92A14" w:rsidRPr="002E25C8" w:rsidRDefault="00F92A14" w:rsidP="00F92A14">
            <w:pPr>
              <w:spacing w:after="0" w:line="240" w:lineRule="auto"/>
              <w:jc w:val="center"/>
              <w:rPr>
                <w:rFonts w:ascii="Times New Roman" w:eastAsia="Times New Roman" w:hAnsi="Times New Roman" w:cs="Times New Roman"/>
                <w:b/>
                <w:color w:val="000000"/>
                <w:lang w:eastAsia="en-GB"/>
              </w:rPr>
            </w:pPr>
            <w:r w:rsidRPr="002E25C8">
              <w:rPr>
                <w:rFonts w:ascii="Times New Roman" w:eastAsia="Times New Roman" w:hAnsi="Times New Roman" w:cs="Times New Roman"/>
                <w:b/>
                <w:color w:val="000000"/>
                <w:lang w:eastAsia="en-GB"/>
              </w:rPr>
              <w:t>2009</w:t>
            </w:r>
          </w:p>
        </w:tc>
        <w:tc>
          <w:tcPr>
            <w:tcW w:w="656" w:type="dxa"/>
            <w:tcBorders>
              <w:top w:val="nil"/>
              <w:left w:val="nil"/>
              <w:bottom w:val="nil"/>
              <w:right w:val="nil"/>
            </w:tcBorders>
            <w:shd w:val="clear" w:color="auto" w:fill="auto"/>
            <w:noWrap/>
            <w:vAlign w:val="center"/>
            <w:hideMark/>
          </w:tcPr>
          <w:p w14:paraId="5E41941C" w14:textId="77777777" w:rsidR="00F92A14" w:rsidRPr="002E25C8" w:rsidRDefault="00F92A14" w:rsidP="00F92A14">
            <w:pPr>
              <w:spacing w:after="0" w:line="240" w:lineRule="auto"/>
              <w:jc w:val="center"/>
              <w:rPr>
                <w:rFonts w:ascii="Times New Roman" w:eastAsia="Times New Roman" w:hAnsi="Times New Roman" w:cs="Times New Roman"/>
                <w:b/>
                <w:color w:val="000000"/>
                <w:lang w:eastAsia="en-GB"/>
              </w:rPr>
            </w:pPr>
            <w:r w:rsidRPr="002E25C8">
              <w:rPr>
                <w:rFonts w:ascii="Times New Roman" w:eastAsia="Times New Roman" w:hAnsi="Times New Roman" w:cs="Times New Roman"/>
                <w:b/>
                <w:color w:val="000000"/>
                <w:lang w:eastAsia="en-GB"/>
              </w:rPr>
              <w:t>2012</w:t>
            </w:r>
          </w:p>
        </w:tc>
        <w:tc>
          <w:tcPr>
            <w:tcW w:w="271" w:type="dxa"/>
            <w:tcBorders>
              <w:top w:val="nil"/>
              <w:left w:val="nil"/>
              <w:bottom w:val="nil"/>
              <w:right w:val="nil"/>
            </w:tcBorders>
            <w:shd w:val="clear" w:color="auto" w:fill="auto"/>
            <w:noWrap/>
            <w:vAlign w:val="center"/>
            <w:hideMark/>
          </w:tcPr>
          <w:p w14:paraId="14DBDBA1" w14:textId="77777777" w:rsidR="00F92A14" w:rsidRPr="002E25C8" w:rsidRDefault="00F92A14" w:rsidP="00F92A14">
            <w:pPr>
              <w:spacing w:after="0" w:line="240" w:lineRule="auto"/>
              <w:jc w:val="center"/>
              <w:rPr>
                <w:rFonts w:ascii="Times New Roman" w:eastAsia="Times New Roman" w:hAnsi="Times New Roman" w:cs="Times New Roman"/>
                <w:b/>
                <w:color w:val="000000"/>
                <w:lang w:eastAsia="en-GB"/>
              </w:rPr>
            </w:pPr>
          </w:p>
        </w:tc>
        <w:tc>
          <w:tcPr>
            <w:tcW w:w="718" w:type="dxa"/>
            <w:tcBorders>
              <w:top w:val="nil"/>
              <w:left w:val="nil"/>
              <w:bottom w:val="nil"/>
              <w:right w:val="nil"/>
            </w:tcBorders>
            <w:shd w:val="clear" w:color="auto" w:fill="auto"/>
            <w:noWrap/>
            <w:vAlign w:val="center"/>
            <w:hideMark/>
          </w:tcPr>
          <w:p w14:paraId="518560B7" w14:textId="77777777" w:rsidR="00F92A14" w:rsidRPr="002E25C8" w:rsidRDefault="00F92A14" w:rsidP="00F92A14">
            <w:pPr>
              <w:spacing w:after="0" w:line="240" w:lineRule="auto"/>
              <w:jc w:val="center"/>
              <w:rPr>
                <w:rFonts w:ascii="Times New Roman" w:eastAsia="Times New Roman" w:hAnsi="Times New Roman" w:cs="Times New Roman"/>
                <w:b/>
                <w:color w:val="000000"/>
                <w:lang w:eastAsia="en-GB"/>
              </w:rPr>
            </w:pPr>
            <w:r w:rsidRPr="002E25C8">
              <w:rPr>
                <w:rFonts w:ascii="Times New Roman" w:eastAsia="Times New Roman" w:hAnsi="Times New Roman" w:cs="Times New Roman"/>
                <w:b/>
                <w:color w:val="000000"/>
                <w:lang w:eastAsia="en-GB"/>
              </w:rPr>
              <w:t>Total</w:t>
            </w:r>
          </w:p>
        </w:tc>
        <w:tc>
          <w:tcPr>
            <w:tcW w:w="656" w:type="dxa"/>
            <w:tcBorders>
              <w:top w:val="nil"/>
              <w:left w:val="nil"/>
              <w:bottom w:val="nil"/>
              <w:right w:val="nil"/>
            </w:tcBorders>
            <w:shd w:val="clear" w:color="auto" w:fill="auto"/>
            <w:noWrap/>
            <w:vAlign w:val="center"/>
            <w:hideMark/>
          </w:tcPr>
          <w:p w14:paraId="04DC3349" w14:textId="77777777" w:rsidR="00F92A14" w:rsidRPr="002E25C8" w:rsidRDefault="00F92A14" w:rsidP="00F92A14">
            <w:pPr>
              <w:spacing w:after="0" w:line="240" w:lineRule="auto"/>
              <w:jc w:val="center"/>
              <w:rPr>
                <w:rFonts w:ascii="Times New Roman" w:eastAsia="Times New Roman" w:hAnsi="Times New Roman" w:cs="Times New Roman"/>
                <w:b/>
                <w:color w:val="000000"/>
                <w:lang w:eastAsia="en-GB"/>
              </w:rPr>
            </w:pPr>
            <w:r w:rsidRPr="002E25C8">
              <w:rPr>
                <w:rFonts w:ascii="Times New Roman" w:eastAsia="Times New Roman" w:hAnsi="Times New Roman" w:cs="Times New Roman"/>
                <w:b/>
                <w:color w:val="000000"/>
                <w:lang w:eastAsia="en-GB"/>
              </w:rPr>
              <w:t>2009</w:t>
            </w:r>
          </w:p>
        </w:tc>
        <w:tc>
          <w:tcPr>
            <w:tcW w:w="656" w:type="dxa"/>
            <w:tcBorders>
              <w:top w:val="nil"/>
              <w:left w:val="nil"/>
              <w:bottom w:val="nil"/>
              <w:right w:val="nil"/>
            </w:tcBorders>
            <w:shd w:val="clear" w:color="auto" w:fill="auto"/>
            <w:noWrap/>
            <w:vAlign w:val="center"/>
            <w:hideMark/>
          </w:tcPr>
          <w:p w14:paraId="0EA83317" w14:textId="77777777" w:rsidR="00F92A14" w:rsidRPr="002E25C8" w:rsidRDefault="00F92A14" w:rsidP="00F92A14">
            <w:pPr>
              <w:spacing w:after="0" w:line="240" w:lineRule="auto"/>
              <w:jc w:val="center"/>
              <w:rPr>
                <w:rFonts w:ascii="Times New Roman" w:eastAsia="Times New Roman" w:hAnsi="Times New Roman" w:cs="Times New Roman"/>
                <w:b/>
                <w:color w:val="000000"/>
                <w:lang w:eastAsia="en-GB"/>
              </w:rPr>
            </w:pPr>
            <w:r w:rsidRPr="002E25C8">
              <w:rPr>
                <w:rFonts w:ascii="Times New Roman" w:eastAsia="Times New Roman" w:hAnsi="Times New Roman" w:cs="Times New Roman"/>
                <w:b/>
                <w:color w:val="000000"/>
                <w:lang w:eastAsia="en-GB"/>
              </w:rPr>
              <w:t>2012</w:t>
            </w:r>
          </w:p>
        </w:tc>
        <w:tc>
          <w:tcPr>
            <w:tcW w:w="271" w:type="dxa"/>
            <w:tcBorders>
              <w:top w:val="nil"/>
              <w:left w:val="nil"/>
              <w:bottom w:val="nil"/>
              <w:right w:val="nil"/>
            </w:tcBorders>
            <w:shd w:val="clear" w:color="auto" w:fill="auto"/>
            <w:noWrap/>
            <w:vAlign w:val="center"/>
            <w:hideMark/>
          </w:tcPr>
          <w:p w14:paraId="65BCBC57" w14:textId="77777777" w:rsidR="00F92A14" w:rsidRPr="002E25C8" w:rsidRDefault="00F92A14" w:rsidP="00F92A14">
            <w:pPr>
              <w:spacing w:after="0" w:line="240" w:lineRule="auto"/>
              <w:jc w:val="center"/>
              <w:rPr>
                <w:rFonts w:ascii="Times New Roman" w:eastAsia="Times New Roman" w:hAnsi="Times New Roman" w:cs="Times New Roman"/>
                <w:b/>
                <w:color w:val="000000"/>
                <w:lang w:eastAsia="en-GB"/>
              </w:rPr>
            </w:pPr>
          </w:p>
        </w:tc>
        <w:tc>
          <w:tcPr>
            <w:tcW w:w="718" w:type="dxa"/>
            <w:tcBorders>
              <w:top w:val="nil"/>
              <w:left w:val="nil"/>
              <w:bottom w:val="nil"/>
              <w:right w:val="nil"/>
            </w:tcBorders>
            <w:shd w:val="clear" w:color="auto" w:fill="auto"/>
            <w:noWrap/>
            <w:vAlign w:val="center"/>
            <w:hideMark/>
          </w:tcPr>
          <w:p w14:paraId="14923E49" w14:textId="77777777" w:rsidR="00F92A14" w:rsidRPr="002E25C8" w:rsidRDefault="00F92A14" w:rsidP="00F92A14">
            <w:pPr>
              <w:spacing w:after="0" w:line="240" w:lineRule="auto"/>
              <w:jc w:val="center"/>
              <w:rPr>
                <w:rFonts w:ascii="Times New Roman" w:eastAsia="Times New Roman" w:hAnsi="Times New Roman" w:cs="Times New Roman"/>
                <w:b/>
                <w:color w:val="000000"/>
                <w:lang w:eastAsia="en-GB"/>
              </w:rPr>
            </w:pPr>
            <w:r w:rsidRPr="002E25C8">
              <w:rPr>
                <w:rFonts w:ascii="Times New Roman" w:eastAsia="Times New Roman" w:hAnsi="Times New Roman" w:cs="Times New Roman"/>
                <w:b/>
                <w:color w:val="000000"/>
                <w:lang w:eastAsia="en-GB"/>
              </w:rPr>
              <w:t>Total</w:t>
            </w:r>
          </w:p>
        </w:tc>
        <w:tc>
          <w:tcPr>
            <w:tcW w:w="656" w:type="dxa"/>
            <w:tcBorders>
              <w:top w:val="nil"/>
              <w:left w:val="nil"/>
              <w:bottom w:val="nil"/>
              <w:right w:val="nil"/>
            </w:tcBorders>
            <w:shd w:val="clear" w:color="auto" w:fill="auto"/>
            <w:noWrap/>
            <w:vAlign w:val="center"/>
            <w:hideMark/>
          </w:tcPr>
          <w:p w14:paraId="496C207B" w14:textId="77777777" w:rsidR="00F92A14" w:rsidRPr="002E25C8" w:rsidRDefault="00F92A14" w:rsidP="00F92A14">
            <w:pPr>
              <w:spacing w:after="0" w:line="240" w:lineRule="auto"/>
              <w:jc w:val="center"/>
              <w:rPr>
                <w:rFonts w:ascii="Times New Roman" w:eastAsia="Times New Roman" w:hAnsi="Times New Roman" w:cs="Times New Roman"/>
                <w:b/>
                <w:color w:val="000000"/>
                <w:lang w:eastAsia="en-GB"/>
              </w:rPr>
            </w:pPr>
            <w:r w:rsidRPr="002E25C8">
              <w:rPr>
                <w:rFonts w:ascii="Times New Roman" w:eastAsia="Times New Roman" w:hAnsi="Times New Roman" w:cs="Times New Roman"/>
                <w:b/>
                <w:color w:val="000000"/>
                <w:lang w:eastAsia="en-GB"/>
              </w:rPr>
              <w:t>2009</w:t>
            </w:r>
          </w:p>
        </w:tc>
        <w:tc>
          <w:tcPr>
            <w:tcW w:w="656" w:type="dxa"/>
            <w:tcBorders>
              <w:top w:val="nil"/>
              <w:left w:val="nil"/>
              <w:bottom w:val="nil"/>
              <w:right w:val="nil"/>
            </w:tcBorders>
            <w:shd w:val="clear" w:color="auto" w:fill="auto"/>
            <w:noWrap/>
            <w:vAlign w:val="center"/>
            <w:hideMark/>
          </w:tcPr>
          <w:p w14:paraId="5426DDBB" w14:textId="77777777" w:rsidR="00F92A14" w:rsidRPr="002E25C8" w:rsidRDefault="00F92A14" w:rsidP="00F92A14">
            <w:pPr>
              <w:spacing w:after="0" w:line="240" w:lineRule="auto"/>
              <w:jc w:val="center"/>
              <w:rPr>
                <w:rFonts w:ascii="Times New Roman" w:eastAsia="Times New Roman" w:hAnsi="Times New Roman" w:cs="Times New Roman"/>
                <w:b/>
                <w:color w:val="000000"/>
                <w:lang w:eastAsia="en-GB"/>
              </w:rPr>
            </w:pPr>
            <w:r w:rsidRPr="002E25C8">
              <w:rPr>
                <w:rFonts w:ascii="Times New Roman" w:eastAsia="Times New Roman" w:hAnsi="Times New Roman" w:cs="Times New Roman"/>
                <w:b/>
                <w:color w:val="000000"/>
                <w:lang w:eastAsia="en-GB"/>
              </w:rPr>
              <w:t>2012</w:t>
            </w:r>
          </w:p>
        </w:tc>
      </w:tr>
      <w:tr w:rsidR="00F92A14" w:rsidRPr="00666AB4" w14:paraId="6DB9CA97" w14:textId="77777777" w:rsidTr="00F92A14">
        <w:trPr>
          <w:trHeight w:val="288"/>
        </w:trPr>
        <w:tc>
          <w:tcPr>
            <w:tcW w:w="4770" w:type="dxa"/>
            <w:tcBorders>
              <w:top w:val="nil"/>
              <w:left w:val="nil"/>
              <w:bottom w:val="nil"/>
              <w:right w:val="nil"/>
            </w:tcBorders>
            <w:shd w:val="clear" w:color="auto" w:fill="auto"/>
            <w:noWrap/>
            <w:vAlign w:val="center"/>
            <w:hideMark/>
          </w:tcPr>
          <w:p w14:paraId="346A7BD5" w14:textId="77777777" w:rsidR="00F92A14" w:rsidRPr="00666AB4" w:rsidRDefault="00F92A14" w:rsidP="00F92A14">
            <w:pPr>
              <w:spacing w:after="0" w:line="240" w:lineRule="auto"/>
              <w:rPr>
                <w:rFonts w:ascii="Times New Roman" w:eastAsia="Times New Roman" w:hAnsi="Times New Roman" w:cs="Times New Roman"/>
                <w:b/>
                <w:bCs/>
                <w:color w:val="000000"/>
                <w:lang w:eastAsia="en-GB"/>
              </w:rPr>
            </w:pPr>
            <w:r w:rsidRPr="00666AB4">
              <w:rPr>
                <w:rFonts w:ascii="Times New Roman" w:eastAsia="Times New Roman" w:hAnsi="Times New Roman" w:cs="Times New Roman"/>
                <w:b/>
                <w:bCs/>
                <w:color w:val="000000"/>
                <w:lang w:eastAsia="en-GB"/>
              </w:rPr>
              <w:t>Original debt at time of graduation</w:t>
            </w:r>
          </w:p>
        </w:tc>
        <w:tc>
          <w:tcPr>
            <w:tcW w:w="890" w:type="dxa"/>
            <w:tcBorders>
              <w:top w:val="nil"/>
              <w:left w:val="nil"/>
              <w:bottom w:val="nil"/>
              <w:right w:val="nil"/>
            </w:tcBorders>
            <w:shd w:val="clear" w:color="auto" w:fill="auto"/>
            <w:noWrap/>
            <w:vAlign w:val="center"/>
            <w:hideMark/>
          </w:tcPr>
          <w:p w14:paraId="741D5917" w14:textId="77777777" w:rsidR="00F92A14" w:rsidRPr="00666AB4" w:rsidRDefault="00F92A14" w:rsidP="00F92A14">
            <w:pPr>
              <w:spacing w:after="0" w:line="240" w:lineRule="auto"/>
              <w:rPr>
                <w:rFonts w:ascii="Times New Roman" w:eastAsia="Times New Roman" w:hAnsi="Times New Roman" w:cs="Times New Roman"/>
                <w:b/>
                <w:bCs/>
                <w:color w:val="000000"/>
                <w:lang w:eastAsia="en-GB"/>
              </w:rPr>
            </w:pPr>
          </w:p>
        </w:tc>
        <w:tc>
          <w:tcPr>
            <w:tcW w:w="656" w:type="dxa"/>
            <w:tcBorders>
              <w:top w:val="nil"/>
              <w:left w:val="nil"/>
              <w:bottom w:val="nil"/>
              <w:right w:val="nil"/>
            </w:tcBorders>
            <w:shd w:val="clear" w:color="auto" w:fill="auto"/>
            <w:noWrap/>
            <w:vAlign w:val="center"/>
            <w:hideMark/>
          </w:tcPr>
          <w:p w14:paraId="24EFC8D5" w14:textId="77777777" w:rsidR="00F92A14" w:rsidRPr="00666AB4" w:rsidRDefault="00F92A14" w:rsidP="00F92A14">
            <w:pPr>
              <w:spacing w:after="0" w:line="240" w:lineRule="auto"/>
              <w:rPr>
                <w:rFonts w:ascii="Times New Roman" w:eastAsia="Times New Roman" w:hAnsi="Times New Roman" w:cs="Times New Roman"/>
                <w:sz w:val="20"/>
                <w:szCs w:val="20"/>
                <w:lang w:eastAsia="en-GB"/>
              </w:rPr>
            </w:pPr>
          </w:p>
        </w:tc>
        <w:tc>
          <w:tcPr>
            <w:tcW w:w="656" w:type="dxa"/>
            <w:tcBorders>
              <w:top w:val="nil"/>
              <w:left w:val="nil"/>
              <w:bottom w:val="nil"/>
              <w:right w:val="nil"/>
            </w:tcBorders>
            <w:shd w:val="clear" w:color="auto" w:fill="auto"/>
            <w:noWrap/>
            <w:vAlign w:val="center"/>
            <w:hideMark/>
          </w:tcPr>
          <w:p w14:paraId="1DF8686D" w14:textId="77777777" w:rsidR="00F92A14" w:rsidRPr="00666AB4" w:rsidRDefault="00F92A14" w:rsidP="00F92A14">
            <w:pPr>
              <w:spacing w:after="0" w:line="240" w:lineRule="auto"/>
              <w:rPr>
                <w:rFonts w:ascii="Times New Roman" w:eastAsia="Times New Roman" w:hAnsi="Times New Roman" w:cs="Times New Roman"/>
                <w:sz w:val="20"/>
                <w:szCs w:val="20"/>
                <w:lang w:eastAsia="en-GB"/>
              </w:rPr>
            </w:pPr>
          </w:p>
        </w:tc>
        <w:tc>
          <w:tcPr>
            <w:tcW w:w="271" w:type="dxa"/>
            <w:tcBorders>
              <w:top w:val="nil"/>
              <w:left w:val="nil"/>
              <w:bottom w:val="nil"/>
              <w:right w:val="nil"/>
            </w:tcBorders>
            <w:shd w:val="clear" w:color="auto" w:fill="auto"/>
            <w:noWrap/>
            <w:vAlign w:val="center"/>
            <w:hideMark/>
          </w:tcPr>
          <w:p w14:paraId="5DCAD74A" w14:textId="77777777" w:rsidR="00F92A14" w:rsidRPr="00666AB4" w:rsidRDefault="00F92A14" w:rsidP="00F92A14">
            <w:pPr>
              <w:spacing w:after="0" w:line="240" w:lineRule="auto"/>
              <w:rPr>
                <w:rFonts w:ascii="Times New Roman" w:eastAsia="Times New Roman" w:hAnsi="Times New Roman" w:cs="Times New Roman"/>
                <w:sz w:val="20"/>
                <w:szCs w:val="20"/>
                <w:lang w:eastAsia="en-GB"/>
              </w:rPr>
            </w:pPr>
          </w:p>
        </w:tc>
        <w:tc>
          <w:tcPr>
            <w:tcW w:w="718" w:type="dxa"/>
            <w:tcBorders>
              <w:top w:val="nil"/>
              <w:left w:val="nil"/>
              <w:bottom w:val="nil"/>
              <w:right w:val="nil"/>
            </w:tcBorders>
            <w:shd w:val="clear" w:color="auto" w:fill="auto"/>
            <w:noWrap/>
            <w:vAlign w:val="bottom"/>
            <w:hideMark/>
          </w:tcPr>
          <w:p w14:paraId="49B22CD7" w14:textId="77777777" w:rsidR="00F92A14" w:rsidRPr="00666AB4" w:rsidRDefault="00F92A14" w:rsidP="00F92A14">
            <w:pPr>
              <w:spacing w:after="0" w:line="240" w:lineRule="auto"/>
              <w:rPr>
                <w:rFonts w:ascii="Times New Roman" w:eastAsia="Times New Roman" w:hAnsi="Times New Roman" w:cs="Times New Roman"/>
                <w:sz w:val="20"/>
                <w:szCs w:val="20"/>
                <w:lang w:eastAsia="en-GB"/>
              </w:rPr>
            </w:pPr>
          </w:p>
        </w:tc>
        <w:tc>
          <w:tcPr>
            <w:tcW w:w="656" w:type="dxa"/>
            <w:tcBorders>
              <w:top w:val="nil"/>
              <w:left w:val="nil"/>
              <w:bottom w:val="nil"/>
              <w:right w:val="nil"/>
            </w:tcBorders>
            <w:shd w:val="clear" w:color="auto" w:fill="auto"/>
            <w:noWrap/>
            <w:vAlign w:val="bottom"/>
            <w:hideMark/>
          </w:tcPr>
          <w:p w14:paraId="536F10B7" w14:textId="77777777" w:rsidR="00F92A14" w:rsidRPr="00666AB4" w:rsidRDefault="00F92A14" w:rsidP="00F92A14">
            <w:pPr>
              <w:spacing w:after="0" w:line="240" w:lineRule="auto"/>
              <w:rPr>
                <w:rFonts w:ascii="Times New Roman" w:eastAsia="Times New Roman" w:hAnsi="Times New Roman" w:cs="Times New Roman"/>
                <w:sz w:val="20"/>
                <w:szCs w:val="20"/>
                <w:lang w:eastAsia="en-GB"/>
              </w:rPr>
            </w:pPr>
          </w:p>
        </w:tc>
        <w:tc>
          <w:tcPr>
            <w:tcW w:w="656" w:type="dxa"/>
            <w:tcBorders>
              <w:top w:val="nil"/>
              <w:left w:val="nil"/>
              <w:bottom w:val="nil"/>
              <w:right w:val="nil"/>
            </w:tcBorders>
            <w:shd w:val="clear" w:color="auto" w:fill="auto"/>
            <w:noWrap/>
            <w:vAlign w:val="bottom"/>
            <w:hideMark/>
          </w:tcPr>
          <w:p w14:paraId="66E129CC" w14:textId="77777777" w:rsidR="00F92A14" w:rsidRPr="00666AB4" w:rsidRDefault="00F92A14" w:rsidP="00F92A14">
            <w:pPr>
              <w:spacing w:after="0" w:line="240" w:lineRule="auto"/>
              <w:rPr>
                <w:rFonts w:ascii="Times New Roman" w:eastAsia="Times New Roman" w:hAnsi="Times New Roman" w:cs="Times New Roman"/>
                <w:sz w:val="20"/>
                <w:szCs w:val="20"/>
                <w:lang w:eastAsia="en-GB"/>
              </w:rPr>
            </w:pPr>
          </w:p>
        </w:tc>
        <w:tc>
          <w:tcPr>
            <w:tcW w:w="271" w:type="dxa"/>
            <w:tcBorders>
              <w:top w:val="nil"/>
              <w:left w:val="nil"/>
              <w:bottom w:val="nil"/>
              <w:right w:val="nil"/>
            </w:tcBorders>
            <w:shd w:val="clear" w:color="auto" w:fill="auto"/>
            <w:noWrap/>
            <w:vAlign w:val="bottom"/>
            <w:hideMark/>
          </w:tcPr>
          <w:p w14:paraId="670D77D6" w14:textId="77777777" w:rsidR="00F92A14" w:rsidRPr="00666AB4" w:rsidRDefault="00F92A14" w:rsidP="00F92A14">
            <w:pPr>
              <w:spacing w:after="0" w:line="240" w:lineRule="auto"/>
              <w:rPr>
                <w:rFonts w:ascii="Times New Roman" w:eastAsia="Times New Roman" w:hAnsi="Times New Roman" w:cs="Times New Roman"/>
                <w:sz w:val="20"/>
                <w:szCs w:val="20"/>
                <w:lang w:eastAsia="en-GB"/>
              </w:rPr>
            </w:pPr>
          </w:p>
        </w:tc>
        <w:tc>
          <w:tcPr>
            <w:tcW w:w="718" w:type="dxa"/>
            <w:tcBorders>
              <w:top w:val="nil"/>
              <w:left w:val="nil"/>
              <w:bottom w:val="nil"/>
              <w:right w:val="nil"/>
            </w:tcBorders>
            <w:shd w:val="clear" w:color="auto" w:fill="auto"/>
            <w:noWrap/>
            <w:vAlign w:val="bottom"/>
            <w:hideMark/>
          </w:tcPr>
          <w:p w14:paraId="0ABB28D5" w14:textId="77777777" w:rsidR="00F92A14" w:rsidRPr="00666AB4" w:rsidRDefault="00F92A14" w:rsidP="00F92A14">
            <w:pPr>
              <w:spacing w:after="0" w:line="240" w:lineRule="auto"/>
              <w:rPr>
                <w:rFonts w:ascii="Times New Roman" w:eastAsia="Times New Roman" w:hAnsi="Times New Roman" w:cs="Times New Roman"/>
                <w:sz w:val="20"/>
                <w:szCs w:val="20"/>
                <w:lang w:eastAsia="en-GB"/>
              </w:rPr>
            </w:pPr>
          </w:p>
        </w:tc>
        <w:tc>
          <w:tcPr>
            <w:tcW w:w="656" w:type="dxa"/>
            <w:tcBorders>
              <w:top w:val="nil"/>
              <w:left w:val="nil"/>
              <w:bottom w:val="nil"/>
              <w:right w:val="nil"/>
            </w:tcBorders>
            <w:shd w:val="clear" w:color="auto" w:fill="auto"/>
            <w:noWrap/>
            <w:vAlign w:val="bottom"/>
            <w:hideMark/>
          </w:tcPr>
          <w:p w14:paraId="491A2FEC" w14:textId="77777777" w:rsidR="00F92A14" w:rsidRPr="00666AB4" w:rsidRDefault="00F92A14" w:rsidP="00F92A14">
            <w:pPr>
              <w:spacing w:after="0" w:line="240" w:lineRule="auto"/>
              <w:rPr>
                <w:rFonts w:ascii="Times New Roman" w:eastAsia="Times New Roman" w:hAnsi="Times New Roman" w:cs="Times New Roman"/>
                <w:sz w:val="20"/>
                <w:szCs w:val="20"/>
                <w:lang w:eastAsia="en-GB"/>
              </w:rPr>
            </w:pPr>
          </w:p>
        </w:tc>
        <w:tc>
          <w:tcPr>
            <w:tcW w:w="656" w:type="dxa"/>
            <w:tcBorders>
              <w:top w:val="nil"/>
              <w:left w:val="nil"/>
              <w:bottom w:val="nil"/>
              <w:right w:val="nil"/>
            </w:tcBorders>
            <w:shd w:val="clear" w:color="auto" w:fill="auto"/>
            <w:noWrap/>
            <w:vAlign w:val="bottom"/>
            <w:hideMark/>
          </w:tcPr>
          <w:p w14:paraId="0CAD4196" w14:textId="77777777" w:rsidR="00F92A14" w:rsidRPr="00666AB4" w:rsidRDefault="00F92A14" w:rsidP="00F92A14">
            <w:pPr>
              <w:spacing w:after="0" w:line="240" w:lineRule="auto"/>
              <w:rPr>
                <w:rFonts w:ascii="Times New Roman" w:eastAsia="Times New Roman" w:hAnsi="Times New Roman" w:cs="Times New Roman"/>
                <w:sz w:val="20"/>
                <w:szCs w:val="20"/>
                <w:lang w:eastAsia="en-GB"/>
              </w:rPr>
            </w:pPr>
          </w:p>
        </w:tc>
      </w:tr>
      <w:tr w:rsidR="00F92A14" w:rsidRPr="00666AB4" w14:paraId="531BBC3B" w14:textId="77777777" w:rsidTr="00F92A14">
        <w:trPr>
          <w:trHeight w:val="288"/>
        </w:trPr>
        <w:tc>
          <w:tcPr>
            <w:tcW w:w="4770" w:type="dxa"/>
            <w:tcBorders>
              <w:top w:val="nil"/>
              <w:left w:val="nil"/>
              <w:bottom w:val="nil"/>
              <w:right w:val="nil"/>
            </w:tcBorders>
            <w:shd w:val="clear" w:color="auto" w:fill="auto"/>
            <w:noWrap/>
            <w:vAlign w:val="center"/>
            <w:hideMark/>
          </w:tcPr>
          <w:p w14:paraId="0B9DFE6A" w14:textId="77777777" w:rsidR="00F92A14" w:rsidRPr="00666AB4" w:rsidRDefault="00F92A14" w:rsidP="00F92A14">
            <w:pPr>
              <w:spacing w:after="0" w:line="240" w:lineRule="auto"/>
              <w:ind w:firstLineChars="100" w:firstLine="112"/>
              <w:rPr>
                <w:rFonts w:ascii="Times New Roman" w:eastAsia="Times New Roman" w:hAnsi="Times New Roman" w:cs="Times New Roman"/>
                <w:color w:val="000000"/>
                <w:lang w:eastAsia="en-GB"/>
              </w:rPr>
            </w:pPr>
            <w:r w:rsidRPr="00666AB4">
              <w:rPr>
                <w:rFonts w:ascii="Times New Roman" w:eastAsia="Times New Roman" w:hAnsi="Times New Roman" w:cs="Times New Roman"/>
                <w:color w:val="000000"/>
                <w:lang w:eastAsia="en-GB"/>
              </w:rPr>
              <w:t>No debt</w:t>
            </w:r>
          </w:p>
        </w:tc>
        <w:tc>
          <w:tcPr>
            <w:tcW w:w="890" w:type="dxa"/>
            <w:tcBorders>
              <w:top w:val="nil"/>
              <w:left w:val="nil"/>
              <w:bottom w:val="nil"/>
              <w:right w:val="nil"/>
            </w:tcBorders>
            <w:shd w:val="clear" w:color="auto" w:fill="auto"/>
            <w:noWrap/>
            <w:vAlign w:val="bottom"/>
            <w:hideMark/>
          </w:tcPr>
          <w:p w14:paraId="4735F037"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7.9</w:t>
            </w:r>
          </w:p>
        </w:tc>
        <w:tc>
          <w:tcPr>
            <w:tcW w:w="656" w:type="dxa"/>
            <w:tcBorders>
              <w:top w:val="nil"/>
              <w:left w:val="nil"/>
              <w:bottom w:val="nil"/>
              <w:right w:val="nil"/>
            </w:tcBorders>
            <w:shd w:val="clear" w:color="auto" w:fill="auto"/>
            <w:noWrap/>
            <w:vAlign w:val="bottom"/>
            <w:hideMark/>
          </w:tcPr>
          <w:p w14:paraId="7B4D414C"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6.8</w:t>
            </w:r>
          </w:p>
        </w:tc>
        <w:tc>
          <w:tcPr>
            <w:tcW w:w="656" w:type="dxa"/>
            <w:tcBorders>
              <w:top w:val="nil"/>
              <w:left w:val="nil"/>
              <w:bottom w:val="nil"/>
              <w:right w:val="nil"/>
            </w:tcBorders>
            <w:shd w:val="clear" w:color="auto" w:fill="auto"/>
            <w:noWrap/>
            <w:vAlign w:val="bottom"/>
            <w:hideMark/>
          </w:tcPr>
          <w:p w14:paraId="5DCF0036"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8.5</w:t>
            </w:r>
          </w:p>
        </w:tc>
        <w:tc>
          <w:tcPr>
            <w:tcW w:w="271" w:type="dxa"/>
            <w:tcBorders>
              <w:top w:val="nil"/>
              <w:left w:val="nil"/>
              <w:bottom w:val="nil"/>
              <w:right w:val="nil"/>
            </w:tcBorders>
            <w:shd w:val="clear" w:color="auto" w:fill="auto"/>
            <w:noWrap/>
            <w:vAlign w:val="bottom"/>
            <w:hideMark/>
          </w:tcPr>
          <w:p w14:paraId="6947FE57"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718" w:type="dxa"/>
            <w:tcBorders>
              <w:top w:val="nil"/>
              <w:left w:val="nil"/>
              <w:bottom w:val="nil"/>
              <w:right w:val="nil"/>
            </w:tcBorders>
            <w:shd w:val="clear" w:color="auto" w:fill="auto"/>
            <w:noWrap/>
            <w:vAlign w:val="bottom"/>
            <w:hideMark/>
          </w:tcPr>
          <w:p w14:paraId="09F550EF"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8.4</w:t>
            </w:r>
          </w:p>
        </w:tc>
        <w:tc>
          <w:tcPr>
            <w:tcW w:w="656" w:type="dxa"/>
            <w:tcBorders>
              <w:top w:val="nil"/>
              <w:left w:val="nil"/>
              <w:bottom w:val="nil"/>
              <w:right w:val="nil"/>
            </w:tcBorders>
            <w:shd w:val="clear" w:color="auto" w:fill="auto"/>
            <w:noWrap/>
            <w:vAlign w:val="bottom"/>
            <w:hideMark/>
          </w:tcPr>
          <w:p w14:paraId="232EA7EF"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7.1</w:t>
            </w:r>
          </w:p>
        </w:tc>
        <w:tc>
          <w:tcPr>
            <w:tcW w:w="656" w:type="dxa"/>
            <w:tcBorders>
              <w:top w:val="nil"/>
              <w:left w:val="nil"/>
              <w:bottom w:val="nil"/>
              <w:right w:val="nil"/>
            </w:tcBorders>
            <w:shd w:val="clear" w:color="auto" w:fill="auto"/>
            <w:noWrap/>
            <w:vAlign w:val="bottom"/>
            <w:hideMark/>
          </w:tcPr>
          <w:p w14:paraId="4FED3DC3"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9.5</w:t>
            </w:r>
          </w:p>
        </w:tc>
        <w:tc>
          <w:tcPr>
            <w:tcW w:w="271" w:type="dxa"/>
            <w:tcBorders>
              <w:top w:val="nil"/>
              <w:left w:val="nil"/>
              <w:bottom w:val="nil"/>
              <w:right w:val="nil"/>
            </w:tcBorders>
            <w:shd w:val="clear" w:color="auto" w:fill="auto"/>
            <w:noWrap/>
            <w:vAlign w:val="bottom"/>
            <w:hideMark/>
          </w:tcPr>
          <w:p w14:paraId="5B6735AF"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718" w:type="dxa"/>
            <w:tcBorders>
              <w:top w:val="nil"/>
              <w:left w:val="nil"/>
              <w:bottom w:val="nil"/>
              <w:right w:val="nil"/>
            </w:tcBorders>
            <w:shd w:val="clear" w:color="auto" w:fill="auto"/>
            <w:noWrap/>
            <w:vAlign w:val="bottom"/>
            <w:hideMark/>
          </w:tcPr>
          <w:p w14:paraId="21835E3B"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7.6</w:t>
            </w:r>
          </w:p>
        </w:tc>
        <w:tc>
          <w:tcPr>
            <w:tcW w:w="656" w:type="dxa"/>
            <w:tcBorders>
              <w:top w:val="nil"/>
              <w:left w:val="nil"/>
              <w:bottom w:val="nil"/>
              <w:right w:val="nil"/>
            </w:tcBorders>
            <w:shd w:val="clear" w:color="auto" w:fill="auto"/>
            <w:noWrap/>
            <w:vAlign w:val="bottom"/>
            <w:hideMark/>
          </w:tcPr>
          <w:p w14:paraId="47C2C73D"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6.6</w:t>
            </w:r>
          </w:p>
        </w:tc>
        <w:tc>
          <w:tcPr>
            <w:tcW w:w="656" w:type="dxa"/>
            <w:tcBorders>
              <w:top w:val="nil"/>
              <w:left w:val="nil"/>
              <w:bottom w:val="nil"/>
              <w:right w:val="nil"/>
            </w:tcBorders>
            <w:shd w:val="clear" w:color="auto" w:fill="auto"/>
            <w:noWrap/>
            <w:vAlign w:val="bottom"/>
            <w:hideMark/>
          </w:tcPr>
          <w:p w14:paraId="166245C8"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8.0</w:t>
            </w:r>
          </w:p>
        </w:tc>
      </w:tr>
      <w:tr w:rsidR="00F92A14" w:rsidRPr="00666AB4" w14:paraId="7EE3F078" w14:textId="77777777" w:rsidTr="00F92A14">
        <w:trPr>
          <w:trHeight w:val="288"/>
        </w:trPr>
        <w:tc>
          <w:tcPr>
            <w:tcW w:w="4770" w:type="dxa"/>
            <w:tcBorders>
              <w:top w:val="nil"/>
              <w:left w:val="nil"/>
              <w:bottom w:val="nil"/>
              <w:right w:val="nil"/>
            </w:tcBorders>
            <w:shd w:val="clear" w:color="auto" w:fill="auto"/>
            <w:noWrap/>
            <w:vAlign w:val="center"/>
            <w:hideMark/>
          </w:tcPr>
          <w:p w14:paraId="6A111493" w14:textId="77777777" w:rsidR="00F92A14" w:rsidRPr="00666AB4" w:rsidRDefault="00F92A14" w:rsidP="00F92A14">
            <w:pPr>
              <w:spacing w:after="0" w:line="240" w:lineRule="auto"/>
              <w:ind w:firstLineChars="100" w:firstLine="112"/>
              <w:rPr>
                <w:rFonts w:ascii="Times New Roman" w:eastAsia="Times New Roman" w:hAnsi="Times New Roman" w:cs="Times New Roman"/>
                <w:color w:val="000000"/>
                <w:lang w:eastAsia="en-GB"/>
              </w:rPr>
            </w:pPr>
            <w:r w:rsidRPr="00666AB4">
              <w:rPr>
                <w:rFonts w:ascii="Times New Roman" w:eastAsia="Times New Roman" w:hAnsi="Times New Roman" w:cs="Times New Roman"/>
                <w:color w:val="000000"/>
                <w:lang w:eastAsia="en-GB"/>
              </w:rPr>
              <w:t>£1 - £4,999</w:t>
            </w:r>
          </w:p>
        </w:tc>
        <w:tc>
          <w:tcPr>
            <w:tcW w:w="890" w:type="dxa"/>
            <w:tcBorders>
              <w:top w:val="nil"/>
              <w:left w:val="nil"/>
              <w:bottom w:val="nil"/>
              <w:right w:val="nil"/>
            </w:tcBorders>
            <w:shd w:val="clear" w:color="auto" w:fill="auto"/>
            <w:noWrap/>
            <w:vAlign w:val="bottom"/>
            <w:hideMark/>
          </w:tcPr>
          <w:p w14:paraId="2C4F2FE2"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1.8</w:t>
            </w:r>
          </w:p>
        </w:tc>
        <w:tc>
          <w:tcPr>
            <w:tcW w:w="656" w:type="dxa"/>
            <w:tcBorders>
              <w:top w:val="nil"/>
              <w:left w:val="nil"/>
              <w:bottom w:val="nil"/>
              <w:right w:val="nil"/>
            </w:tcBorders>
            <w:shd w:val="clear" w:color="auto" w:fill="auto"/>
            <w:noWrap/>
            <w:vAlign w:val="bottom"/>
            <w:hideMark/>
          </w:tcPr>
          <w:p w14:paraId="74ECBAD4"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1.4</w:t>
            </w:r>
          </w:p>
        </w:tc>
        <w:tc>
          <w:tcPr>
            <w:tcW w:w="656" w:type="dxa"/>
            <w:tcBorders>
              <w:top w:val="nil"/>
              <w:left w:val="nil"/>
              <w:bottom w:val="nil"/>
              <w:right w:val="nil"/>
            </w:tcBorders>
            <w:shd w:val="clear" w:color="auto" w:fill="auto"/>
            <w:noWrap/>
            <w:vAlign w:val="bottom"/>
            <w:hideMark/>
          </w:tcPr>
          <w:p w14:paraId="38C84D07"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2.0</w:t>
            </w:r>
          </w:p>
        </w:tc>
        <w:tc>
          <w:tcPr>
            <w:tcW w:w="271" w:type="dxa"/>
            <w:tcBorders>
              <w:top w:val="nil"/>
              <w:left w:val="nil"/>
              <w:bottom w:val="nil"/>
              <w:right w:val="nil"/>
            </w:tcBorders>
            <w:shd w:val="clear" w:color="auto" w:fill="auto"/>
            <w:noWrap/>
            <w:vAlign w:val="bottom"/>
            <w:hideMark/>
          </w:tcPr>
          <w:p w14:paraId="773FE2AD"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718" w:type="dxa"/>
            <w:tcBorders>
              <w:top w:val="nil"/>
              <w:left w:val="nil"/>
              <w:bottom w:val="nil"/>
              <w:right w:val="nil"/>
            </w:tcBorders>
            <w:shd w:val="clear" w:color="auto" w:fill="auto"/>
            <w:noWrap/>
            <w:vAlign w:val="bottom"/>
            <w:hideMark/>
          </w:tcPr>
          <w:p w14:paraId="68E7FE95"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1.3</w:t>
            </w:r>
          </w:p>
        </w:tc>
        <w:tc>
          <w:tcPr>
            <w:tcW w:w="656" w:type="dxa"/>
            <w:tcBorders>
              <w:top w:val="nil"/>
              <w:left w:val="nil"/>
              <w:bottom w:val="nil"/>
              <w:right w:val="nil"/>
            </w:tcBorders>
            <w:shd w:val="clear" w:color="auto" w:fill="auto"/>
            <w:noWrap/>
            <w:vAlign w:val="bottom"/>
            <w:hideMark/>
          </w:tcPr>
          <w:p w14:paraId="271E7E29"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1.4</w:t>
            </w:r>
          </w:p>
        </w:tc>
        <w:tc>
          <w:tcPr>
            <w:tcW w:w="656" w:type="dxa"/>
            <w:tcBorders>
              <w:top w:val="nil"/>
              <w:left w:val="nil"/>
              <w:bottom w:val="nil"/>
              <w:right w:val="nil"/>
            </w:tcBorders>
            <w:shd w:val="clear" w:color="auto" w:fill="auto"/>
            <w:noWrap/>
            <w:vAlign w:val="bottom"/>
            <w:hideMark/>
          </w:tcPr>
          <w:p w14:paraId="57DAB12D"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1.2</w:t>
            </w:r>
          </w:p>
        </w:tc>
        <w:tc>
          <w:tcPr>
            <w:tcW w:w="271" w:type="dxa"/>
            <w:tcBorders>
              <w:top w:val="nil"/>
              <w:left w:val="nil"/>
              <w:bottom w:val="nil"/>
              <w:right w:val="nil"/>
            </w:tcBorders>
            <w:shd w:val="clear" w:color="auto" w:fill="auto"/>
            <w:noWrap/>
            <w:vAlign w:val="bottom"/>
            <w:hideMark/>
          </w:tcPr>
          <w:p w14:paraId="7BCBF3B8"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718" w:type="dxa"/>
            <w:tcBorders>
              <w:top w:val="nil"/>
              <w:left w:val="nil"/>
              <w:bottom w:val="nil"/>
              <w:right w:val="nil"/>
            </w:tcBorders>
            <w:shd w:val="clear" w:color="auto" w:fill="auto"/>
            <w:noWrap/>
            <w:vAlign w:val="bottom"/>
            <w:hideMark/>
          </w:tcPr>
          <w:p w14:paraId="5A51DB05"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2.1</w:t>
            </w:r>
          </w:p>
        </w:tc>
        <w:tc>
          <w:tcPr>
            <w:tcW w:w="656" w:type="dxa"/>
            <w:tcBorders>
              <w:top w:val="nil"/>
              <w:left w:val="nil"/>
              <w:bottom w:val="nil"/>
              <w:right w:val="nil"/>
            </w:tcBorders>
            <w:shd w:val="clear" w:color="auto" w:fill="auto"/>
            <w:noWrap/>
            <w:vAlign w:val="bottom"/>
            <w:hideMark/>
          </w:tcPr>
          <w:p w14:paraId="114C2E5A"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1.5</w:t>
            </w:r>
          </w:p>
        </w:tc>
        <w:tc>
          <w:tcPr>
            <w:tcW w:w="656" w:type="dxa"/>
            <w:tcBorders>
              <w:top w:val="nil"/>
              <w:left w:val="nil"/>
              <w:bottom w:val="nil"/>
              <w:right w:val="nil"/>
            </w:tcBorders>
            <w:shd w:val="clear" w:color="auto" w:fill="auto"/>
            <w:noWrap/>
            <w:vAlign w:val="bottom"/>
            <w:hideMark/>
          </w:tcPr>
          <w:p w14:paraId="329AFCE0"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2.3</w:t>
            </w:r>
          </w:p>
        </w:tc>
      </w:tr>
      <w:tr w:rsidR="00F92A14" w:rsidRPr="00666AB4" w14:paraId="166639B2" w14:textId="77777777" w:rsidTr="00F92A14">
        <w:trPr>
          <w:trHeight w:val="288"/>
        </w:trPr>
        <w:tc>
          <w:tcPr>
            <w:tcW w:w="4770" w:type="dxa"/>
            <w:tcBorders>
              <w:top w:val="nil"/>
              <w:left w:val="nil"/>
              <w:bottom w:val="nil"/>
              <w:right w:val="nil"/>
            </w:tcBorders>
            <w:shd w:val="clear" w:color="auto" w:fill="auto"/>
            <w:noWrap/>
            <w:vAlign w:val="center"/>
            <w:hideMark/>
          </w:tcPr>
          <w:p w14:paraId="098D164C" w14:textId="77777777" w:rsidR="00F92A14" w:rsidRPr="00666AB4" w:rsidRDefault="00F92A14" w:rsidP="00F92A14">
            <w:pPr>
              <w:spacing w:after="0" w:line="240" w:lineRule="auto"/>
              <w:ind w:firstLineChars="100" w:firstLine="112"/>
              <w:rPr>
                <w:rFonts w:ascii="Times New Roman" w:eastAsia="Times New Roman" w:hAnsi="Times New Roman" w:cs="Times New Roman"/>
                <w:color w:val="000000"/>
                <w:lang w:eastAsia="en-GB"/>
              </w:rPr>
            </w:pPr>
            <w:r w:rsidRPr="00666AB4">
              <w:rPr>
                <w:rFonts w:ascii="Times New Roman" w:eastAsia="Times New Roman" w:hAnsi="Times New Roman" w:cs="Times New Roman"/>
                <w:color w:val="000000"/>
                <w:lang w:eastAsia="en-GB"/>
              </w:rPr>
              <w:t>£5,000 - £9,999</w:t>
            </w:r>
          </w:p>
        </w:tc>
        <w:tc>
          <w:tcPr>
            <w:tcW w:w="890" w:type="dxa"/>
            <w:tcBorders>
              <w:top w:val="nil"/>
              <w:left w:val="nil"/>
              <w:bottom w:val="nil"/>
              <w:right w:val="nil"/>
            </w:tcBorders>
            <w:shd w:val="clear" w:color="auto" w:fill="auto"/>
            <w:noWrap/>
            <w:vAlign w:val="bottom"/>
            <w:hideMark/>
          </w:tcPr>
          <w:p w14:paraId="049D07E7"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4.7</w:t>
            </w:r>
          </w:p>
        </w:tc>
        <w:tc>
          <w:tcPr>
            <w:tcW w:w="656" w:type="dxa"/>
            <w:tcBorders>
              <w:top w:val="nil"/>
              <w:left w:val="nil"/>
              <w:bottom w:val="nil"/>
              <w:right w:val="nil"/>
            </w:tcBorders>
            <w:shd w:val="clear" w:color="auto" w:fill="auto"/>
            <w:noWrap/>
            <w:vAlign w:val="bottom"/>
            <w:hideMark/>
          </w:tcPr>
          <w:p w14:paraId="1744D56E"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5.2</w:t>
            </w:r>
          </w:p>
        </w:tc>
        <w:tc>
          <w:tcPr>
            <w:tcW w:w="656" w:type="dxa"/>
            <w:tcBorders>
              <w:top w:val="nil"/>
              <w:left w:val="nil"/>
              <w:bottom w:val="nil"/>
              <w:right w:val="nil"/>
            </w:tcBorders>
            <w:shd w:val="clear" w:color="auto" w:fill="auto"/>
            <w:noWrap/>
            <w:vAlign w:val="bottom"/>
            <w:hideMark/>
          </w:tcPr>
          <w:p w14:paraId="46BC8C64"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4.5</w:t>
            </w:r>
          </w:p>
        </w:tc>
        <w:tc>
          <w:tcPr>
            <w:tcW w:w="271" w:type="dxa"/>
            <w:tcBorders>
              <w:top w:val="nil"/>
              <w:left w:val="nil"/>
              <w:bottom w:val="nil"/>
              <w:right w:val="nil"/>
            </w:tcBorders>
            <w:shd w:val="clear" w:color="auto" w:fill="auto"/>
            <w:noWrap/>
            <w:vAlign w:val="bottom"/>
            <w:hideMark/>
          </w:tcPr>
          <w:p w14:paraId="4A62B158"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718" w:type="dxa"/>
            <w:tcBorders>
              <w:top w:val="nil"/>
              <w:left w:val="nil"/>
              <w:bottom w:val="nil"/>
              <w:right w:val="nil"/>
            </w:tcBorders>
            <w:shd w:val="clear" w:color="auto" w:fill="auto"/>
            <w:noWrap/>
            <w:vAlign w:val="bottom"/>
            <w:hideMark/>
          </w:tcPr>
          <w:p w14:paraId="473A4EB7"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4.5</w:t>
            </w:r>
          </w:p>
        </w:tc>
        <w:tc>
          <w:tcPr>
            <w:tcW w:w="656" w:type="dxa"/>
            <w:tcBorders>
              <w:top w:val="nil"/>
              <w:left w:val="nil"/>
              <w:bottom w:val="nil"/>
              <w:right w:val="nil"/>
            </w:tcBorders>
            <w:shd w:val="clear" w:color="auto" w:fill="auto"/>
            <w:noWrap/>
            <w:vAlign w:val="bottom"/>
            <w:hideMark/>
          </w:tcPr>
          <w:p w14:paraId="22EAA2D7"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5.8</w:t>
            </w:r>
          </w:p>
        </w:tc>
        <w:tc>
          <w:tcPr>
            <w:tcW w:w="656" w:type="dxa"/>
            <w:tcBorders>
              <w:top w:val="nil"/>
              <w:left w:val="nil"/>
              <w:bottom w:val="nil"/>
              <w:right w:val="nil"/>
            </w:tcBorders>
            <w:shd w:val="clear" w:color="auto" w:fill="auto"/>
            <w:noWrap/>
            <w:vAlign w:val="bottom"/>
            <w:hideMark/>
          </w:tcPr>
          <w:p w14:paraId="1E75DC36"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3.5</w:t>
            </w:r>
          </w:p>
        </w:tc>
        <w:tc>
          <w:tcPr>
            <w:tcW w:w="271" w:type="dxa"/>
            <w:tcBorders>
              <w:top w:val="nil"/>
              <w:left w:val="nil"/>
              <w:bottom w:val="nil"/>
              <w:right w:val="nil"/>
            </w:tcBorders>
            <w:shd w:val="clear" w:color="auto" w:fill="auto"/>
            <w:noWrap/>
            <w:vAlign w:val="bottom"/>
            <w:hideMark/>
          </w:tcPr>
          <w:p w14:paraId="2A8DCFBF"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718" w:type="dxa"/>
            <w:tcBorders>
              <w:top w:val="nil"/>
              <w:left w:val="nil"/>
              <w:bottom w:val="nil"/>
              <w:right w:val="nil"/>
            </w:tcBorders>
            <w:shd w:val="clear" w:color="auto" w:fill="auto"/>
            <w:noWrap/>
            <w:vAlign w:val="bottom"/>
            <w:hideMark/>
          </w:tcPr>
          <w:p w14:paraId="1D679AD8"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4.9</w:t>
            </w:r>
          </w:p>
        </w:tc>
        <w:tc>
          <w:tcPr>
            <w:tcW w:w="656" w:type="dxa"/>
            <w:tcBorders>
              <w:top w:val="nil"/>
              <w:left w:val="nil"/>
              <w:bottom w:val="nil"/>
              <w:right w:val="nil"/>
            </w:tcBorders>
            <w:shd w:val="clear" w:color="auto" w:fill="auto"/>
            <w:noWrap/>
            <w:vAlign w:val="bottom"/>
            <w:hideMark/>
          </w:tcPr>
          <w:p w14:paraId="2AAC1CBF"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4.6</w:t>
            </w:r>
          </w:p>
        </w:tc>
        <w:tc>
          <w:tcPr>
            <w:tcW w:w="656" w:type="dxa"/>
            <w:tcBorders>
              <w:top w:val="nil"/>
              <w:left w:val="nil"/>
              <w:bottom w:val="nil"/>
              <w:right w:val="nil"/>
            </w:tcBorders>
            <w:shd w:val="clear" w:color="auto" w:fill="auto"/>
            <w:noWrap/>
            <w:vAlign w:val="bottom"/>
            <w:hideMark/>
          </w:tcPr>
          <w:p w14:paraId="27D7A1C8"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5.0</w:t>
            </w:r>
          </w:p>
        </w:tc>
      </w:tr>
      <w:tr w:rsidR="00F92A14" w:rsidRPr="00666AB4" w14:paraId="474F6561" w14:textId="77777777" w:rsidTr="00F92A14">
        <w:trPr>
          <w:trHeight w:val="288"/>
        </w:trPr>
        <w:tc>
          <w:tcPr>
            <w:tcW w:w="4770" w:type="dxa"/>
            <w:tcBorders>
              <w:top w:val="nil"/>
              <w:left w:val="nil"/>
              <w:bottom w:val="nil"/>
              <w:right w:val="nil"/>
            </w:tcBorders>
            <w:shd w:val="clear" w:color="auto" w:fill="auto"/>
            <w:noWrap/>
            <w:vAlign w:val="center"/>
            <w:hideMark/>
          </w:tcPr>
          <w:p w14:paraId="6AC01271" w14:textId="77777777" w:rsidR="00F92A14" w:rsidRPr="00666AB4" w:rsidRDefault="00F92A14" w:rsidP="00F92A14">
            <w:pPr>
              <w:spacing w:after="0" w:line="240" w:lineRule="auto"/>
              <w:ind w:firstLineChars="100" w:firstLine="112"/>
              <w:rPr>
                <w:rFonts w:ascii="Times New Roman" w:eastAsia="Times New Roman" w:hAnsi="Times New Roman" w:cs="Times New Roman"/>
                <w:color w:val="000000"/>
                <w:lang w:eastAsia="en-GB"/>
              </w:rPr>
            </w:pPr>
            <w:r w:rsidRPr="00666AB4">
              <w:rPr>
                <w:rFonts w:ascii="Times New Roman" w:eastAsia="Times New Roman" w:hAnsi="Times New Roman" w:cs="Times New Roman"/>
                <w:color w:val="000000"/>
                <w:lang w:eastAsia="en-GB"/>
              </w:rPr>
              <w:t>£10,000 - £14,999</w:t>
            </w:r>
          </w:p>
        </w:tc>
        <w:tc>
          <w:tcPr>
            <w:tcW w:w="890" w:type="dxa"/>
            <w:tcBorders>
              <w:top w:val="nil"/>
              <w:left w:val="nil"/>
              <w:bottom w:val="nil"/>
              <w:right w:val="nil"/>
            </w:tcBorders>
            <w:shd w:val="clear" w:color="auto" w:fill="auto"/>
            <w:noWrap/>
            <w:vAlign w:val="bottom"/>
            <w:hideMark/>
          </w:tcPr>
          <w:p w14:paraId="65905C67"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9.1</w:t>
            </w:r>
          </w:p>
        </w:tc>
        <w:tc>
          <w:tcPr>
            <w:tcW w:w="656" w:type="dxa"/>
            <w:tcBorders>
              <w:top w:val="nil"/>
              <w:left w:val="nil"/>
              <w:bottom w:val="nil"/>
              <w:right w:val="nil"/>
            </w:tcBorders>
            <w:shd w:val="clear" w:color="auto" w:fill="auto"/>
            <w:noWrap/>
            <w:vAlign w:val="bottom"/>
            <w:hideMark/>
          </w:tcPr>
          <w:p w14:paraId="6E35D613"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13.5</w:t>
            </w:r>
          </w:p>
        </w:tc>
        <w:tc>
          <w:tcPr>
            <w:tcW w:w="656" w:type="dxa"/>
            <w:tcBorders>
              <w:top w:val="nil"/>
              <w:left w:val="nil"/>
              <w:bottom w:val="nil"/>
              <w:right w:val="nil"/>
            </w:tcBorders>
            <w:shd w:val="clear" w:color="auto" w:fill="auto"/>
            <w:noWrap/>
            <w:vAlign w:val="bottom"/>
            <w:hideMark/>
          </w:tcPr>
          <w:p w14:paraId="22627E01"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6.6</w:t>
            </w:r>
          </w:p>
        </w:tc>
        <w:tc>
          <w:tcPr>
            <w:tcW w:w="271" w:type="dxa"/>
            <w:tcBorders>
              <w:top w:val="nil"/>
              <w:left w:val="nil"/>
              <w:bottom w:val="nil"/>
              <w:right w:val="nil"/>
            </w:tcBorders>
            <w:shd w:val="clear" w:color="auto" w:fill="auto"/>
            <w:noWrap/>
            <w:vAlign w:val="bottom"/>
            <w:hideMark/>
          </w:tcPr>
          <w:p w14:paraId="3788C3CE"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718" w:type="dxa"/>
            <w:tcBorders>
              <w:top w:val="nil"/>
              <w:left w:val="nil"/>
              <w:bottom w:val="nil"/>
              <w:right w:val="nil"/>
            </w:tcBorders>
            <w:shd w:val="clear" w:color="auto" w:fill="auto"/>
            <w:noWrap/>
            <w:vAlign w:val="bottom"/>
            <w:hideMark/>
          </w:tcPr>
          <w:p w14:paraId="14CC8EB4"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10.0</w:t>
            </w:r>
          </w:p>
        </w:tc>
        <w:tc>
          <w:tcPr>
            <w:tcW w:w="656" w:type="dxa"/>
            <w:tcBorders>
              <w:top w:val="nil"/>
              <w:left w:val="nil"/>
              <w:bottom w:val="nil"/>
              <w:right w:val="nil"/>
            </w:tcBorders>
            <w:shd w:val="clear" w:color="auto" w:fill="auto"/>
            <w:noWrap/>
            <w:vAlign w:val="bottom"/>
            <w:hideMark/>
          </w:tcPr>
          <w:p w14:paraId="068B5334"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14.6</w:t>
            </w:r>
          </w:p>
        </w:tc>
        <w:tc>
          <w:tcPr>
            <w:tcW w:w="656" w:type="dxa"/>
            <w:tcBorders>
              <w:top w:val="nil"/>
              <w:left w:val="nil"/>
              <w:bottom w:val="nil"/>
              <w:right w:val="nil"/>
            </w:tcBorders>
            <w:shd w:val="clear" w:color="auto" w:fill="auto"/>
            <w:noWrap/>
            <w:vAlign w:val="bottom"/>
            <w:hideMark/>
          </w:tcPr>
          <w:p w14:paraId="2A03B421"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6.4</w:t>
            </w:r>
          </w:p>
        </w:tc>
        <w:tc>
          <w:tcPr>
            <w:tcW w:w="271" w:type="dxa"/>
            <w:tcBorders>
              <w:top w:val="nil"/>
              <w:left w:val="nil"/>
              <w:bottom w:val="nil"/>
              <w:right w:val="nil"/>
            </w:tcBorders>
            <w:shd w:val="clear" w:color="auto" w:fill="auto"/>
            <w:noWrap/>
            <w:vAlign w:val="bottom"/>
            <w:hideMark/>
          </w:tcPr>
          <w:p w14:paraId="6B221F57"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718" w:type="dxa"/>
            <w:tcBorders>
              <w:top w:val="nil"/>
              <w:left w:val="nil"/>
              <w:bottom w:val="nil"/>
              <w:right w:val="nil"/>
            </w:tcBorders>
            <w:shd w:val="clear" w:color="auto" w:fill="auto"/>
            <w:noWrap/>
            <w:vAlign w:val="bottom"/>
            <w:hideMark/>
          </w:tcPr>
          <w:p w14:paraId="17194624"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8.6</w:t>
            </w:r>
          </w:p>
        </w:tc>
        <w:tc>
          <w:tcPr>
            <w:tcW w:w="656" w:type="dxa"/>
            <w:tcBorders>
              <w:top w:val="nil"/>
              <w:left w:val="nil"/>
              <w:bottom w:val="nil"/>
              <w:right w:val="nil"/>
            </w:tcBorders>
            <w:shd w:val="clear" w:color="auto" w:fill="auto"/>
            <w:noWrap/>
            <w:vAlign w:val="bottom"/>
            <w:hideMark/>
          </w:tcPr>
          <w:p w14:paraId="3FA49E88"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12.5</w:t>
            </w:r>
          </w:p>
        </w:tc>
        <w:tc>
          <w:tcPr>
            <w:tcW w:w="656" w:type="dxa"/>
            <w:tcBorders>
              <w:top w:val="nil"/>
              <w:left w:val="nil"/>
              <w:bottom w:val="nil"/>
              <w:right w:val="nil"/>
            </w:tcBorders>
            <w:shd w:val="clear" w:color="auto" w:fill="auto"/>
            <w:noWrap/>
            <w:vAlign w:val="bottom"/>
            <w:hideMark/>
          </w:tcPr>
          <w:p w14:paraId="29629DE0"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6.7</w:t>
            </w:r>
          </w:p>
        </w:tc>
      </w:tr>
      <w:tr w:rsidR="00F92A14" w:rsidRPr="00666AB4" w14:paraId="674CBD1F" w14:textId="77777777" w:rsidTr="00F92A14">
        <w:trPr>
          <w:trHeight w:val="288"/>
        </w:trPr>
        <w:tc>
          <w:tcPr>
            <w:tcW w:w="4770" w:type="dxa"/>
            <w:tcBorders>
              <w:top w:val="nil"/>
              <w:left w:val="nil"/>
              <w:bottom w:val="nil"/>
              <w:right w:val="nil"/>
            </w:tcBorders>
            <w:shd w:val="clear" w:color="auto" w:fill="auto"/>
            <w:noWrap/>
            <w:vAlign w:val="center"/>
            <w:hideMark/>
          </w:tcPr>
          <w:p w14:paraId="4BF10D42" w14:textId="77777777" w:rsidR="00F92A14" w:rsidRPr="00666AB4" w:rsidRDefault="00F92A14" w:rsidP="00F92A14">
            <w:pPr>
              <w:spacing w:after="0" w:line="240" w:lineRule="auto"/>
              <w:ind w:firstLineChars="100" w:firstLine="112"/>
              <w:rPr>
                <w:rFonts w:ascii="Times New Roman" w:eastAsia="Times New Roman" w:hAnsi="Times New Roman" w:cs="Times New Roman"/>
                <w:color w:val="000000"/>
                <w:lang w:eastAsia="en-GB"/>
              </w:rPr>
            </w:pPr>
            <w:r w:rsidRPr="00666AB4">
              <w:rPr>
                <w:rFonts w:ascii="Times New Roman" w:eastAsia="Times New Roman" w:hAnsi="Times New Roman" w:cs="Times New Roman"/>
                <w:color w:val="000000"/>
                <w:lang w:eastAsia="en-GB"/>
              </w:rPr>
              <w:t>£15,000 - £19,999</w:t>
            </w:r>
          </w:p>
        </w:tc>
        <w:tc>
          <w:tcPr>
            <w:tcW w:w="890" w:type="dxa"/>
            <w:tcBorders>
              <w:top w:val="nil"/>
              <w:left w:val="nil"/>
              <w:bottom w:val="nil"/>
              <w:right w:val="nil"/>
            </w:tcBorders>
            <w:shd w:val="clear" w:color="auto" w:fill="auto"/>
            <w:noWrap/>
            <w:vAlign w:val="bottom"/>
            <w:hideMark/>
          </w:tcPr>
          <w:p w14:paraId="799680B4"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21.1</w:t>
            </w:r>
          </w:p>
        </w:tc>
        <w:tc>
          <w:tcPr>
            <w:tcW w:w="656" w:type="dxa"/>
            <w:tcBorders>
              <w:top w:val="nil"/>
              <w:left w:val="nil"/>
              <w:bottom w:val="nil"/>
              <w:right w:val="nil"/>
            </w:tcBorders>
            <w:shd w:val="clear" w:color="auto" w:fill="auto"/>
            <w:noWrap/>
            <w:vAlign w:val="bottom"/>
            <w:hideMark/>
          </w:tcPr>
          <w:p w14:paraId="1DD47087"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32.5</w:t>
            </w:r>
          </w:p>
        </w:tc>
        <w:tc>
          <w:tcPr>
            <w:tcW w:w="656" w:type="dxa"/>
            <w:tcBorders>
              <w:top w:val="nil"/>
              <w:left w:val="nil"/>
              <w:bottom w:val="nil"/>
              <w:right w:val="nil"/>
            </w:tcBorders>
            <w:shd w:val="clear" w:color="auto" w:fill="auto"/>
            <w:noWrap/>
            <w:vAlign w:val="bottom"/>
            <w:hideMark/>
          </w:tcPr>
          <w:p w14:paraId="79EDBDB0"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14.6</w:t>
            </w:r>
          </w:p>
        </w:tc>
        <w:tc>
          <w:tcPr>
            <w:tcW w:w="271" w:type="dxa"/>
            <w:tcBorders>
              <w:top w:val="nil"/>
              <w:left w:val="nil"/>
              <w:bottom w:val="nil"/>
              <w:right w:val="nil"/>
            </w:tcBorders>
            <w:shd w:val="clear" w:color="auto" w:fill="auto"/>
            <w:noWrap/>
            <w:vAlign w:val="bottom"/>
            <w:hideMark/>
          </w:tcPr>
          <w:p w14:paraId="3092F031"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718" w:type="dxa"/>
            <w:tcBorders>
              <w:top w:val="nil"/>
              <w:left w:val="nil"/>
              <w:bottom w:val="nil"/>
              <w:right w:val="nil"/>
            </w:tcBorders>
            <w:shd w:val="clear" w:color="auto" w:fill="auto"/>
            <w:noWrap/>
            <w:vAlign w:val="bottom"/>
            <w:hideMark/>
          </w:tcPr>
          <w:p w14:paraId="101546F8"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24.6</w:t>
            </w:r>
          </w:p>
        </w:tc>
        <w:tc>
          <w:tcPr>
            <w:tcW w:w="656" w:type="dxa"/>
            <w:tcBorders>
              <w:top w:val="nil"/>
              <w:left w:val="nil"/>
              <w:bottom w:val="nil"/>
              <w:right w:val="nil"/>
            </w:tcBorders>
            <w:shd w:val="clear" w:color="auto" w:fill="auto"/>
            <w:noWrap/>
            <w:vAlign w:val="bottom"/>
            <w:hideMark/>
          </w:tcPr>
          <w:p w14:paraId="1B50504B"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33.7</w:t>
            </w:r>
          </w:p>
        </w:tc>
        <w:tc>
          <w:tcPr>
            <w:tcW w:w="656" w:type="dxa"/>
            <w:tcBorders>
              <w:top w:val="nil"/>
              <w:left w:val="nil"/>
              <w:bottom w:val="nil"/>
              <w:right w:val="nil"/>
            </w:tcBorders>
            <w:shd w:val="clear" w:color="auto" w:fill="auto"/>
            <w:noWrap/>
            <w:vAlign w:val="bottom"/>
            <w:hideMark/>
          </w:tcPr>
          <w:p w14:paraId="73250990"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17.5</w:t>
            </w:r>
          </w:p>
        </w:tc>
        <w:tc>
          <w:tcPr>
            <w:tcW w:w="271" w:type="dxa"/>
            <w:tcBorders>
              <w:top w:val="nil"/>
              <w:left w:val="nil"/>
              <w:bottom w:val="nil"/>
              <w:right w:val="nil"/>
            </w:tcBorders>
            <w:shd w:val="clear" w:color="auto" w:fill="auto"/>
            <w:noWrap/>
            <w:vAlign w:val="bottom"/>
            <w:hideMark/>
          </w:tcPr>
          <w:p w14:paraId="6EECBB9E"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718" w:type="dxa"/>
            <w:tcBorders>
              <w:top w:val="nil"/>
              <w:left w:val="nil"/>
              <w:bottom w:val="nil"/>
              <w:right w:val="nil"/>
            </w:tcBorders>
            <w:shd w:val="clear" w:color="auto" w:fill="auto"/>
            <w:noWrap/>
            <w:vAlign w:val="bottom"/>
            <w:hideMark/>
          </w:tcPr>
          <w:p w14:paraId="0AE6823B"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18.9</w:t>
            </w:r>
          </w:p>
        </w:tc>
        <w:tc>
          <w:tcPr>
            <w:tcW w:w="656" w:type="dxa"/>
            <w:tcBorders>
              <w:top w:val="nil"/>
              <w:left w:val="nil"/>
              <w:bottom w:val="nil"/>
              <w:right w:val="nil"/>
            </w:tcBorders>
            <w:shd w:val="clear" w:color="auto" w:fill="auto"/>
            <w:noWrap/>
            <w:vAlign w:val="bottom"/>
            <w:hideMark/>
          </w:tcPr>
          <w:p w14:paraId="481EBF37"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31.5</w:t>
            </w:r>
          </w:p>
        </w:tc>
        <w:tc>
          <w:tcPr>
            <w:tcW w:w="656" w:type="dxa"/>
            <w:tcBorders>
              <w:top w:val="nil"/>
              <w:left w:val="nil"/>
              <w:bottom w:val="nil"/>
              <w:right w:val="nil"/>
            </w:tcBorders>
            <w:shd w:val="clear" w:color="auto" w:fill="auto"/>
            <w:noWrap/>
            <w:vAlign w:val="bottom"/>
            <w:hideMark/>
          </w:tcPr>
          <w:p w14:paraId="5E9A7A25"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13.0</w:t>
            </w:r>
          </w:p>
        </w:tc>
      </w:tr>
      <w:tr w:rsidR="00F92A14" w:rsidRPr="00666AB4" w14:paraId="637CD2BA" w14:textId="77777777" w:rsidTr="00F92A14">
        <w:trPr>
          <w:trHeight w:val="288"/>
        </w:trPr>
        <w:tc>
          <w:tcPr>
            <w:tcW w:w="4770" w:type="dxa"/>
            <w:tcBorders>
              <w:top w:val="nil"/>
              <w:left w:val="nil"/>
              <w:bottom w:val="nil"/>
              <w:right w:val="nil"/>
            </w:tcBorders>
            <w:shd w:val="clear" w:color="auto" w:fill="auto"/>
            <w:noWrap/>
            <w:vAlign w:val="center"/>
            <w:hideMark/>
          </w:tcPr>
          <w:p w14:paraId="06004CBF" w14:textId="77777777" w:rsidR="00F92A14" w:rsidRPr="00666AB4" w:rsidRDefault="00F92A14" w:rsidP="00F92A14">
            <w:pPr>
              <w:spacing w:after="0" w:line="240" w:lineRule="auto"/>
              <w:ind w:firstLineChars="100" w:firstLine="112"/>
              <w:rPr>
                <w:rFonts w:ascii="Times New Roman" w:eastAsia="Times New Roman" w:hAnsi="Times New Roman" w:cs="Times New Roman"/>
                <w:color w:val="000000"/>
                <w:lang w:eastAsia="en-GB"/>
              </w:rPr>
            </w:pPr>
            <w:r w:rsidRPr="00666AB4">
              <w:rPr>
                <w:rFonts w:ascii="Times New Roman" w:eastAsia="Times New Roman" w:hAnsi="Times New Roman" w:cs="Times New Roman"/>
                <w:color w:val="000000"/>
                <w:lang w:eastAsia="en-GB"/>
              </w:rPr>
              <w:t>£20,000 - £24,999</w:t>
            </w:r>
          </w:p>
        </w:tc>
        <w:tc>
          <w:tcPr>
            <w:tcW w:w="890" w:type="dxa"/>
            <w:tcBorders>
              <w:top w:val="nil"/>
              <w:left w:val="nil"/>
              <w:bottom w:val="nil"/>
              <w:right w:val="nil"/>
            </w:tcBorders>
            <w:shd w:val="clear" w:color="auto" w:fill="auto"/>
            <w:noWrap/>
            <w:vAlign w:val="bottom"/>
            <w:hideMark/>
          </w:tcPr>
          <w:p w14:paraId="548CDFE0"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31.6</w:t>
            </w:r>
          </w:p>
        </w:tc>
        <w:tc>
          <w:tcPr>
            <w:tcW w:w="656" w:type="dxa"/>
            <w:tcBorders>
              <w:top w:val="nil"/>
              <w:left w:val="nil"/>
              <w:bottom w:val="nil"/>
              <w:right w:val="nil"/>
            </w:tcBorders>
            <w:shd w:val="clear" w:color="auto" w:fill="auto"/>
            <w:noWrap/>
            <w:vAlign w:val="bottom"/>
            <w:hideMark/>
          </w:tcPr>
          <w:p w14:paraId="3B757FD3"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27.9</w:t>
            </w:r>
          </w:p>
        </w:tc>
        <w:tc>
          <w:tcPr>
            <w:tcW w:w="656" w:type="dxa"/>
            <w:tcBorders>
              <w:top w:val="nil"/>
              <w:left w:val="nil"/>
              <w:bottom w:val="nil"/>
              <w:right w:val="nil"/>
            </w:tcBorders>
            <w:shd w:val="clear" w:color="auto" w:fill="auto"/>
            <w:noWrap/>
            <w:vAlign w:val="bottom"/>
            <w:hideMark/>
          </w:tcPr>
          <w:p w14:paraId="25B58743"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33.7</w:t>
            </w:r>
          </w:p>
        </w:tc>
        <w:tc>
          <w:tcPr>
            <w:tcW w:w="271" w:type="dxa"/>
            <w:tcBorders>
              <w:top w:val="nil"/>
              <w:left w:val="nil"/>
              <w:bottom w:val="nil"/>
              <w:right w:val="nil"/>
            </w:tcBorders>
            <w:shd w:val="clear" w:color="auto" w:fill="auto"/>
            <w:noWrap/>
            <w:vAlign w:val="bottom"/>
            <w:hideMark/>
          </w:tcPr>
          <w:p w14:paraId="4012E55D"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718" w:type="dxa"/>
            <w:tcBorders>
              <w:top w:val="nil"/>
              <w:left w:val="nil"/>
              <w:bottom w:val="nil"/>
              <w:right w:val="nil"/>
            </w:tcBorders>
            <w:shd w:val="clear" w:color="auto" w:fill="auto"/>
            <w:noWrap/>
            <w:vAlign w:val="bottom"/>
            <w:hideMark/>
          </w:tcPr>
          <w:p w14:paraId="2FF5FA53"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28.9</w:t>
            </w:r>
          </w:p>
        </w:tc>
        <w:tc>
          <w:tcPr>
            <w:tcW w:w="656" w:type="dxa"/>
            <w:tcBorders>
              <w:top w:val="nil"/>
              <w:left w:val="nil"/>
              <w:bottom w:val="nil"/>
              <w:right w:val="nil"/>
            </w:tcBorders>
            <w:shd w:val="clear" w:color="auto" w:fill="auto"/>
            <w:noWrap/>
            <w:vAlign w:val="bottom"/>
            <w:hideMark/>
          </w:tcPr>
          <w:p w14:paraId="0A911E51"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24.0</w:t>
            </w:r>
          </w:p>
        </w:tc>
        <w:tc>
          <w:tcPr>
            <w:tcW w:w="656" w:type="dxa"/>
            <w:tcBorders>
              <w:top w:val="nil"/>
              <w:left w:val="nil"/>
              <w:bottom w:val="nil"/>
              <w:right w:val="nil"/>
            </w:tcBorders>
            <w:shd w:val="clear" w:color="auto" w:fill="auto"/>
            <w:noWrap/>
            <w:vAlign w:val="bottom"/>
            <w:hideMark/>
          </w:tcPr>
          <w:p w14:paraId="7C44CCEF"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32.8</w:t>
            </w:r>
          </w:p>
        </w:tc>
        <w:tc>
          <w:tcPr>
            <w:tcW w:w="271" w:type="dxa"/>
            <w:tcBorders>
              <w:top w:val="nil"/>
              <w:left w:val="nil"/>
              <w:bottom w:val="nil"/>
              <w:right w:val="nil"/>
            </w:tcBorders>
            <w:shd w:val="clear" w:color="auto" w:fill="auto"/>
            <w:noWrap/>
            <w:vAlign w:val="bottom"/>
            <w:hideMark/>
          </w:tcPr>
          <w:p w14:paraId="7676DFE9"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718" w:type="dxa"/>
            <w:tcBorders>
              <w:top w:val="nil"/>
              <w:left w:val="nil"/>
              <w:bottom w:val="nil"/>
              <w:right w:val="nil"/>
            </w:tcBorders>
            <w:shd w:val="clear" w:color="auto" w:fill="auto"/>
            <w:noWrap/>
            <w:vAlign w:val="bottom"/>
            <w:hideMark/>
          </w:tcPr>
          <w:p w14:paraId="4978EDD9"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33.3</w:t>
            </w:r>
          </w:p>
        </w:tc>
        <w:tc>
          <w:tcPr>
            <w:tcW w:w="656" w:type="dxa"/>
            <w:tcBorders>
              <w:top w:val="nil"/>
              <w:left w:val="nil"/>
              <w:bottom w:val="nil"/>
              <w:right w:val="nil"/>
            </w:tcBorders>
            <w:shd w:val="clear" w:color="auto" w:fill="auto"/>
            <w:noWrap/>
            <w:vAlign w:val="bottom"/>
            <w:hideMark/>
          </w:tcPr>
          <w:p w14:paraId="3F496F94"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31.4</w:t>
            </w:r>
          </w:p>
        </w:tc>
        <w:tc>
          <w:tcPr>
            <w:tcW w:w="656" w:type="dxa"/>
            <w:tcBorders>
              <w:top w:val="nil"/>
              <w:left w:val="nil"/>
              <w:bottom w:val="nil"/>
              <w:right w:val="nil"/>
            </w:tcBorders>
            <w:shd w:val="clear" w:color="auto" w:fill="auto"/>
            <w:noWrap/>
            <w:vAlign w:val="bottom"/>
            <w:hideMark/>
          </w:tcPr>
          <w:p w14:paraId="7F4A611F"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34.2</w:t>
            </w:r>
          </w:p>
        </w:tc>
      </w:tr>
      <w:tr w:rsidR="00F92A14" w:rsidRPr="00666AB4" w14:paraId="6EE20B67" w14:textId="77777777" w:rsidTr="00F92A14">
        <w:trPr>
          <w:trHeight w:val="288"/>
        </w:trPr>
        <w:tc>
          <w:tcPr>
            <w:tcW w:w="4770" w:type="dxa"/>
            <w:tcBorders>
              <w:top w:val="nil"/>
              <w:left w:val="nil"/>
              <w:bottom w:val="nil"/>
              <w:right w:val="nil"/>
            </w:tcBorders>
            <w:shd w:val="clear" w:color="auto" w:fill="auto"/>
            <w:noWrap/>
            <w:vAlign w:val="center"/>
            <w:hideMark/>
          </w:tcPr>
          <w:p w14:paraId="46AD1C23" w14:textId="77777777" w:rsidR="00F92A14" w:rsidRPr="00666AB4" w:rsidRDefault="00F92A14" w:rsidP="00F92A14">
            <w:pPr>
              <w:spacing w:after="0" w:line="240" w:lineRule="auto"/>
              <w:ind w:firstLineChars="100" w:firstLine="112"/>
              <w:rPr>
                <w:rFonts w:ascii="Times New Roman" w:eastAsia="Times New Roman" w:hAnsi="Times New Roman" w:cs="Times New Roman"/>
                <w:color w:val="000000"/>
                <w:lang w:eastAsia="en-GB"/>
              </w:rPr>
            </w:pPr>
            <w:r w:rsidRPr="00666AB4">
              <w:rPr>
                <w:rFonts w:ascii="Times New Roman" w:eastAsia="Times New Roman" w:hAnsi="Times New Roman" w:cs="Times New Roman"/>
                <w:color w:val="000000"/>
                <w:lang w:eastAsia="en-GB"/>
              </w:rPr>
              <w:t xml:space="preserve">over £25,000 </w:t>
            </w:r>
          </w:p>
        </w:tc>
        <w:tc>
          <w:tcPr>
            <w:tcW w:w="890" w:type="dxa"/>
            <w:tcBorders>
              <w:top w:val="nil"/>
              <w:left w:val="nil"/>
              <w:bottom w:val="nil"/>
              <w:right w:val="nil"/>
            </w:tcBorders>
            <w:shd w:val="clear" w:color="auto" w:fill="auto"/>
            <w:noWrap/>
            <w:vAlign w:val="bottom"/>
            <w:hideMark/>
          </w:tcPr>
          <w:p w14:paraId="7A1D3A23"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17.1</w:t>
            </w:r>
          </w:p>
        </w:tc>
        <w:tc>
          <w:tcPr>
            <w:tcW w:w="656" w:type="dxa"/>
            <w:tcBorders>
              <w:top w:val="nil"/>
              <w:left w:val="nil"/>
              <w:bottom w:val="nil"/>
              <w:right w:val="nil"/>
            </w:tcBorders>
            <w:shd w:val="clear" w:color="auto" w:fill="auto"/>
            <w:noWrap/>
            <w:vAlign w:val="bottom"/>
            <w:hideMark/>
          </w:tcPr>
          <w:p w14:paraId="4E4C3F3C"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7.8</w:t>
            </w:r>
          </w:p>
        </w:tc>
        <w:tc>
          <w:tcPr>
            <w:tcW w:w="656" w:type="dxa"/>
            <w:tcBorders>
              <w:top w:val="nil"/>
              <w:left w:val="nil"/>
              <w:bottom w:val="nil"/>
              <w:right w:val="nil"/>
            </w:tcBorders>
            <w:shd w:val="clear" w:color="auto" w:fill="auto"/>
            <w:noWrap/>
            <w:vAlign w:val="bottom"/>
            <w:hideMark/>
          </w:tcPr>
          <w:p w14:paraId="5E22B7A3"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22.5</w:t>
            </w:r>
          </w:p>
        </w:tc>
        <w:tc>
          <w:tcPr>
            <w:tcW w:w="271" w:type="dxa"/>
            <w:tcBorders>
              <w:top w:val="nil"/>
              <w:left w:val="nil"/>
              <w:bottom w:val="nil"/>
              <w:right w:val="nil"/>
            </w:tcBorders>
            <w:shd w:val="clear" w:color="auto" w:fill="auto"/>
            <w:noWrap/>
            <w:vAlign w:val="bottom"/>
            <w:hideMark/>
          </w:tcPr>
          <w:p w14:paraId="74EBD60F"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718" w:type="dxa"/>
            <w:tcBorders>
              <w:top w:val="nil"/>
              <w:left w:val="nil"/>
              <w:bottom w:val="nil"/>
              <w:right w:val="nil"/>
            </w:tcBorders>
            <w:shd w:val="clear" w:color="auto" w:fill="auto"/>
            <w:noWrap/>
            <w:vAlign w:val="bottom"/>
            <w:hideMark/>
          </w:tcPr>
          <w:p w14:paraId="167FE23B"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15.6</w:t>
            </w:r>
          </w:p>
        </w:tc>
        <w:tc>
          <w:tcPr>
            <w:tcW w:w="656" w:type="dxa"/>
            <w:tcBorders>
              <w:top w:val="nil"/>
              <w:left w:val="nil"/>
              <w:bottom w:val="nil"/>
              <w:right w:val="nil"/>
            </w:tcBorders>
            <w:shd w:val="clear" w:color="auto" w:fill="auto"/>
            <w:noWrap/>
            <w:vAlign w:val="bottom"/>
            <w:hideMark/>
          </w:tcPr>
          <w:p w14:paraId="4316B0C0"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8.1</w:t>
            </w:r>
          </w:p>
        </w:tc>
        <w:tc>
          <w:tcPr>
            <w:tcW w:w="656" w:type="dxa"/>
            <w:tcBorders>
              <w:top w:val="nil"/>
              <w:left w:val="nil"/>
              <w:bottom w:val="nil"/>
              <w:right w:val="nil"/>
            </w:tcBorders>
            <w:shd w:val="clear" w:color="auto" w:fill="auto"/>
            <w:noWrap/>
            <w:vAlign w:val="bottom"/>
            <w:hideMark/>
          </w:tcPr>
          <w:p w14:paraId="58877BE2"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21.5</w:t>
            </w:r>
          </w:p>
        </w:tc>
        <w:tc>
          <w:tcPr>
            <w:tcW w:w="271" w:type="dxa"/>
            <w:tcBorders>
              <w:top w:val="nil"/>
              <w:left w:val="nil"/>
              <w:bottom w:val="nil"/>
              <w:right w:val="nil"/>
            </w:tcBorders>
            <w:shd w:val="clear" w:color="auto" w:fill="auto"/>
            <w:noWrap/>
            <w:vAlign w:val="bottom"/>
            <w:hideMark/>
          </w:tcPr>
          <w:p w14:paraId="60A8678A"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718" w:type="dxa"/>
            <w:tcBorders>
              <w:top w:val="nil"/>
              <w:left w:val="nil"/>
              <w:bottom w:val="nil"/>
              <w:right w:val="nil"/>
            </w:tcBorders>
            <w:shd w:val="clear" w:color="auto" w:fill="auto"/>
            <w:noWrap/>
            <w:vAlign w:val="bottom"/>
            <w:hideMark/>
          </w:tcPr>
          <w:p w14:paraId="3798FC30"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18.1</w:t>
            </w:r>
          </w:p>
        </w:tc>
        <w:tc>
          <w:tcPr>
            <w:tcW w:w="656" w:type="dxa"/>
            <w:tcBorders>
              <w:top w:val="nil"/>
              <w:left w:val="nil"/>
              <w:bottom w:val="nil"/>
              <w:right w:val="nil"/>
            </w:tcBorders>
            <w:shd w:val="clear" w:color="auto" w:fill="auto"/>
            <w:noWrap/>
            <w:vAlign w:val="bottom"/>
            <w:hideMark/>
          </w:tcPr>
          <w:p w14:paraId="030F9C3A"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7.5</w:t>
            </w:r>
          </w:p>
        </w:tc>
        <w:tc>
          <w:tcPr>
            <w:tcW w:w="656" w:type="dxa"/>
            <w:tcBorders>
              <w:top w:val="nil"/>
              <w:left w:val="nil"/>
              <w:bottom w:val="nil"/>
              <w:right w:val="nil"/>
            </w:tcBorders>
            <w:shd w:val="clear" w:color="auto" w:fill="auto"/>
            <w:noWrap/>
            <w:vAlign w:val="bottom"/>
            <w:hideMark/>
          </w:tcPr>
          <w:p w14:paraId="08E907EF"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23.1</w:t>
            </w:r>
          </w:p>
        </w:tc>
      </w:tr>
      <w:tr w:rsidR="00F92A14" w:rsidRPr="00666AB4" w14:paraId="502CEBC7" w14:textId="77777777" w:rsidTr="00F92A14">
        <w:trPr>
          <w:trHeight w:val="288"/>
        </w:trPr>
        <w:tc>
          <w:tcPr>
            <w:tcW w:w="4770" w:type="dxa"/>
            <w:tcBorders>
              <w:top w:val="nil"/>
              <w:left w:val="nil"/>
              <w:bottom w:val="nil"/>
              <w:right w:val="nil"/>
            </w:tcBorders>
            <w:shd w:val="clear" w:color="auto" w:fill="auto"/>
            <w:noWrap/>
            <w:vAlign w:val="center"/>
            <w:hideMark/>
          </w:tcPr>
          <w:p w14:paraId="70DC6C5C" w14:textId="77777777" w:rsidR="00F92A14" w:rsidRPr="00666AB4" w:rsidRDefault="00F92A14" w:rsidP="00F92A14">
            <w:pPr>
              <w:spacing w:after="0" w:line="240" w:lineRule="auto"/>
              <w:ind w:firstLineChars="100" w:firstLine="112"/>
              <w:rPr>
                <w:rFonts w:ascii="Times New Roman" w:eastAsia="Times New Roman" w:hAnsi="Times New Roman" w:cs="Times New Roman"/>
                <w:color w:val="000000"/>
                <w:lang w:eastAsia="en-GB"/>
              </w:rPr>
            </w:pPr>
            <w:r w:rsidRPr="00666AB4">
              <w:rPr>
                <w:rFonts w:ascii="Times New Roman" w:eastAsia="Times New Roman" w:hAnsi="Times New Roman" w:cs="Times New Roman"/>
                <w:color w:val="000000"/>
                <w:lang w:eastAsia="en-GB"/>
              </w:rPr>
              <w:t>Don’t know/Prefer not to say</w:t>
            </w:r>
          </w:p>
        </w:tc>
        <w:tc>
          <w:tcPr>
            <w:tcW w:w="890" w:type="dxa"/>
            <w:tcBorders>
              <w:top w:val="nil"/>
              <w:left w:val="nil"/>
              <w:bottom w:val="nil"/>
              <w:right w:val="nil"/>
            </w:tcBorders>
            <w:shd w:val="clear" w:color="auto" w:fill="auto"/>
            <w:noWrap/>
            <w:vAlign w:val="bottom"/>
            <w:hideMark/>
          </w:tcPr>
          <w:p w14:paraId="53360360"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6.6</w:t>
            </w:r>
          </w:p>
        </w:tc>
        <w:tc>
          <w:tcPr>
            <w:tcW w:w="656" w:type="dxa"/>
            <w:tcBorders>
              <w:top w:val="nil"/>
              <w:left w:val="nil"/>
              <w:bottom w:val="nil"/>
              <w:right w:val="nil"/>
            </w:tcBorders>
            <w:shd w:val="clear" w:color="auto" w:fill="auto"/>
            <w:noWrap/>
            <w:vAlign w:val="bottom"/>
            <w:hideMark/>
          </w:tcPr>
          <w:p w14:paraId="5A2C60C0"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4.9</w:t>
            </w:r>
          </w:p>
        </w:tc>
        <w:tc>
          <w:tcPr>
            <w:tcW w:w="656" w:type="dxa"/>
            <w:tcBorders>
              <w:top w:val="nil"/>
              <w:left w:val="nil"/>
              <w:bottom w:val="nil"/>
              <w:right w:val="nil"/>
            </w:tcBorders>
            <w:shd w:val="clear" w:color="auto" w:fill="auto"/>
            <w:noWrap/>
            <w:vAlign w:val="bottom"/>
            <w:hideMark/>
          </w:tcPr>
          <w:p w14:paraId="73888EA6"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7.6</w:t>
            </w:r>
          </w:p>
        </w:tc>
        <w:tc>
          <w:tcPr>
            <w:tcW w:w="271" w:type="dxa"/>
            <w:tcBorders>
              <w:top w:val="nil"/>
              <w:left w:val="nil"/>
              <w:bottom w:val="nil"/>
              <w:right w:val="nil"/>
            </w:tcBorders>
            <w:shd w:val="clear" w:color="auto" w:fill="auto"/>
            <w:noWrap/>
            <w:vAlign w:val="bottom"/>
            <w:hideMark/>
          </w:tcPr>
          <w:p w14:paraId="58D55B88"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718" w:type="dxa"/>
            <w:tcBorders>
              <w:top w:val="nil"/>
              <w:left w:val="nil"/>
              <w:bottom w:val="nil"/>
              <w:right w:val="nil"/>
            </w:tcBorders>
            <w:shd w:val="clear" w:color="auto" w:fill="auto"/>
            <w:noWrap/>
            <w:vAlign w:val="bottom"/>
            <w:hideMark/>
          </w:tcPr>
          <w:p w14:paraId="0C255989"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6.6</w:t>
            </w:r>
          </w:p>
        </w:tc>
        <w:tc>
          <w:tcPr>
            <w:tcW w:w="656" w:type="dxa"/>
            <w:tcBorders>
              <w:top w:val="nil"/>
              <w:left w:val="nil"/>
              <w:bottom w:val="nil"/>
              <w:right w:val="nil"/>
            </w:tcBorders>
            <w:shd w:val="clear" w:color="auto" w:fill="auto"/>
            <w:noWrap/>
            <w:vAlign w:val="bottom"/>
            <w:hideMark/>
          </w:tcPr>
          <w:p w14:paraId="0FE88A2E"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5.3</w:t>
            </w:r>
          </w:p>
        </w:tc>
        <w:tc>
          <w:tcPr>
            <w:tcW w:w="656" w:type="dxa"/>
            <w:tcBorders>
              <w:top w:val="nil"/>
              <w:left w:val="nil"/>
              <w:bottom w:val="nil"/>
              <w:right w:val="nil"/>
            </w:tcBorders>
            <w:shd w:val="clear" w:color="auto" w:fill="auto"/>
            <w:noWrap/>
            <w:vAlign w:val="bottom"/>
            <w:hideMark/>
          </w:tcPr>
          <w:p w14:paraId="6709BD08"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7.5</w:t>
            </w:r>
          </w:p>
        </w:tc>
        <w:tc>
          <w:tcPr>
            <w:tcW w:w="271" w:type="dxa"/>
            <w:tcBorders>
              <w:top w:val="nil"/>
              <w:left w:val="nil"/>
              <w:bottom w:val="nil"/>
              <w:right w:val="nil"/>
            </w:tcBorders>
            <w:shd w:val="clear" w:color="auto" w:fill="auto"/>
            <w:noWrap/>
            <w:vAlign w:val="bottom"/>
            <w:hideMark/>
          </w:tcPr>
          <w:p w14:paraId="7BA5D031"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718" w:type="dxa"/>
            <w:tcBorders>
              <w:top w:val="nil"/>
              <w:left w:val="nil"/>
              <w:bottom w:val="nil"/>
              <w:right w:val="nil"/>
            </w:tcBorders>
            <w:shd w:val="clear" w:color="auto" w:fill="auto"/>
            <w:noWrap/>
            <w:vAlign w:val="bottom"/>
            <w:hideMark/>
          </w:tcPr>
          <w:p w14:paraId="2330E469"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6.6</w:t>
            </w:r>
          </w:p>
        </w:tc>
        <w:tc>
          <w:tcPr>
            <w:tcW w:w="656" w:type="dxa"/>
            <w:tcBorders>
              <w:top w:val="nil"/>
              <w:left w:val="nil"/>
              <w:bottom w:val="nil"/>
              <w:right w:val="nil"/>
            </w:tcBorders>
            <w:shd w:val="clear" w:color="auto" w:fill="auto"/>
            <w:noWrap/>
            <w:vAlign w:val="bottom"/>
            <w:hideMark/>
          </w:tcPr>
          <w:p w14:paraId="25B74652"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4.5</w:t>
            </w:r>
          </w:p>
        </w:tc>
        <w:tc>
          <w:tcPr>
            <w:tcW w:w="656" w:type="dxa"/>
            <w:tcBorders>
              <w:top w:val="nil"/>
              <w:left w:val="nil"/>
              <w:bottom w:val="nil"/>
              <w:right w:val="nil"/>
            </w:tcBorders>
            <w:shd w:val="clear" w:color="auto" w:fill="auto"/>
            <w:noWrap/>
            <w:vAlign w:val="bottom"/>
            <w:hideMark/>
          </w:tcPr>
          <w:p w14:paraId="031177C8"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7.7</w:t>
            </w:r>
          </w:p>
        </w:tc>
      </w:tr>
      <w:tr w:rsidR="00F92A14" w:rsidRPr="00666AB4" w14:paraId="285ED592" w14:textId="77777777" w:rsidTr="00F92A14">
        <w:trPr>
          <w:trHeight w:val="288"/>
        </w:trPr>
        <w:tc>
          <w:tcPr>
            <w:tcW w:w="4770" w:type="dxa"/>
            <w:tcBorders>
              <w:top w:val="nil"/>
              <w:left w:val="nil"/>
              <w:bottom w:val="nil"/>
              <w:right w:val="nil"/>
            </w:tcBorders>
            <w:shd w:val="clear" w:color="auto" w:fill="auto"/>
            <w:noWrap/>
            <w:vAlign w:val="bottom"/>
            <w:hideMark/>
          </w:tcPr>
          <w:p w14:paraId="665E0D01"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890" w:type="dxa"/>
            <w:tcBorders>
              <w:top w:val="nil"/>
              <w:left w:val="nil"/>
              <w:bottom w:val="nil"/>
              <w:right w:val="nil"/>
            </w:tcBorders>
            <w:shd w:val="clear" w:color="auto" w:fill="auto"/>
            <w:noWrap/>
            <w:vAlign w:val="bottom"/>
            <w:hideMark/>
          </w:tcPr>
          <w:p w14:paraId="4125DCCB"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656" w:type="dxa"/>
            <w:tcBorders>
              <w:top w:val="nil"/>
              <w:left w:val="nil"/>
              <w:bottom w:val="nil"/>
              <w:right w:val="nil"/>
            </w:tcBorders>
            <w:shd w:val="clear" w:color="auto" w:fill="auto"/>
            <w:noWrap/>
            <w:vAlign w:val="bottom"/>
            <w:hideMark/>
          </w:tcPr>
          <w:p w14:paraId="64943421"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656" w:type="dxa"/>
            <w:tcBorders>
              <w:top w:val="nil"/>
              <w:left w:val="nil"/>
              <w:bottom w:val="nil"/>
              <w:right w:val="nil"/>
            </w:tcBorders>
            <w:shd w:val="clear" w:color="auto" w:fill="auto"/>
            <w:noWrap/>
            <w:vAlign w:val="bottom"/>
            <w:hideMark/>
          </w:tcPr>
          <w:p w14:paraId="24A0D4C5" w14:textId="77777777" w:rsidR="00F92A14" w:rsidRPr="00666AB4" w:rsidRDefault="00F92A14" w:rsidP="00F92A14">
            <w:pPr>
              <w:spacing w:after="0" w:line="240" w:lineRule="auto"/>
              <w:rPr>
                <w:rFonts w:ascii="Times New Roman" w:eastAsia="Times New Roman" w:hAnsi="Times New Roman" w:cs="Times New Roman"/>
                <w:sz w:val="20"/>
                <w:szCs w:val="20"/>
                <w:lang w:eastAsia="en-GB"/>
              </w:rPr>
            </w:pPr>
          </w:p>
        </w:tc>
        <w:tc>
          <w:tcPr>
            <w:tcW w:w="271" w:type="dxa"/>
            <w:tcBorders>
              <w:top w:val="nil"/>
              <w:left w:val="nil"/>
              <w:bottom w:val="nil"/>
              <w:right w:val="nil"/>
            </w:tcBorders>
            <w:shd w:val="clear" w:color="auto" w:fill="auto"/>
            <w:noWrap/>
            <w:vAlign w:val="bottom"/>
            <w:hideMark/>
          </w:tcPr>
          <w:p w14:paraId="490F49EE" w14:textId="77777777" w:rsidR="00F92A14" w:rsidRPr="00666AB4" w:rsidRDefault="00F92A14" w:rsidP="00F92A14">
            <w:pPr>
              <w:spacing w:after="0" w:line="240" w:lineRule="auto"/>
              <w:rPr>
                <w:rFonts w:ascii="Times New Roman" w:eastAsia="Times New Roman" w:hAnsi="Times New Roman" w:cs="Times New Roman"/>
                <w:sz w:val="20"/>
                <w:szCs w:val="20"/>
                <w:lang w:eastAsia="en-GB"/>
              </w:rPr>
            </w:pPr>
          </w:p>
        </w:tc>
        <w:tc>
          <w:tcPr>
            <w:tcW w:w="718" w:type="dxa"/>
            <w:tcBorders>
              <w:top w:val="nil"/>
              <w:left w:val="nil"/>
              <w:bottom w:val="nil"/>
              <w:right w:val="nil"/>
            </w:tcBorders>
            <w:shd w:val="clear" w:color="auto" w:fill="auto"/>
            <w:noWrap/>
            <w:vAlign w:val="bottom"/>
            <w:hideMark/>
          </w:tcPr>
          <w:p w14:paraId="6A940A6C" w14:textId="77777777" w:rsidR="00F92A14" w:rsidRPr="00666AB4" w:rsidRDefault="00F92A14" w:rsidP="00F92A14">
            <w:pPr>
              <w:spacing w:after="0" w:line="240" w:lineRule="auto"/>
              <w:rPr>
                <w:rFonts w:ascii="Times New Roman" w:eastAsia="Times New Roman" w:hAnsi="Times New Roman" w:cs="Times New Roman"/>
                <w:sz w:val="20"/>
                <w:szCs w:val="20"/>
                <w:lang w:eastAsia="en-GB"/>
              </w:rPr>
            </w:pPr>
          </w:p>
        </w:tc>
        <w:tc>
          <w:tcPr>
            <w:tcW w:w="656" w:type="dxa"/>
            <w:tcBorders>
              <w:top w:val="nil"/>
              <w:left w:val="nil"/>
              <w:bottom w:val="nil"/>
              <w:right w:val="nil"/>
            </w:tcBorders>
            <w:shd w:val="clear" w:color="auto" w:fill="auto"/>
            <w:noWrap/>
            <w:vAlign w:val="bottom"/>
            <w:hideMark/>
          </w:tcPr>
          <w:p w14:paraId="4C60BEB4" w14:textId="77777777" w:rsidR="00F92A14" w:rsidRPr="00666AB4" w:rsidRDefault="00F92A14" w:rsidP="00F92A14">
            <w:pPr>
              <w:spacing w:after="0" w:line="240" w:lineRule="auto"/>
              <w:rPr>
                <w:rFonts w:ascii="Times New Roman" w:eastAsia="Times New Roman" w:hAnsi="Times New Roman" w:cs="Times New Roman"/>
                <w:sz w:val="20"/>
                <w:szCs w:val="20"/>
                <w:lang w:eastAsia="en-GB"/>
              </w:rPr>
            </w:pPr>
          </w:p>
        </w:tc>
        <w:tc>
          <w:tcPr>
            <w:tcW w:w="656" w:type="dxa"/>
            <w:tcBorders>
              <w:top w:val="nil"/>
              <w:left w:val="nil"/>
              <w:bottom w:val="nil"/>
              <w:right w:val="nil"/>
            </w:tcBorders>
            <w:shd w:val="clear" w:color="auto" w:fill="auto"/>
            <w:noWrap/>
            <w:vAlign w:val="bottom"/>
            <w:hideMark/>
          </w:tcPr>
          <w:p w14:paraId="3680E7B1" w14:textId="77777777" w:rsidR="00F92A14" w:rsidRPr="00666AB4" w:rsidRDefault="00F92A14" w:rsidP="00F92A14">
            <w:pPr>
              <w:spacing w:after="0" w:line="240" w:lineRule="auto"/>
              <w:rPr>
                <w:rFonts w:ascii="Times New Roman" w:eastAsia="Times New Roman" w:hAnsi="Times New Roman" w:cs="Times New Roman"/>
                <w:sz w:val="20"/>
                <w:szCs w:val="20"/>
                <w:lang w:eastAsia="en-GB"/>
              </w:rPr>
            </w:pPr>
          </w:p>
        </w:tc>
        <w:tc>
          <w:tcPr>
            <w:tcW w:w="271" w:type="dxa"/>
            <w:tcBorders>
              <w:top w:val="nil"/>
              <w:left w:val="nil"/>
              <w:bottom w:val="nil"/>
              <w:right w:val="nil"/>
            </w:tcBorders>
            <w:shd w:val="clear" w:color="auto" w:fill="auto"/>
            <w:noWrap/>
            <w:vAlign w:val="bottom"/>
            <w:hideMark/>
          </w:tcPr>
          <w:p w14:paraId="0A454526" w14:textId="77777777" w:rsidR="00F92A14" w:rsidRPr="00666AB4" w:rsidRDefault="00F92A14" w:rsidP="00F92A14">
            <w:pPr>
              <w:spacing w:after="0" w:line="240" w:lineRule="auto"/>
              <w:rPr>
                <w:rFonts w:ascii="Times New Roman" w:eastAsia="Times New Roman" w:hAnsi="Times New Roman" w:cs="Times New Roman"/>
                <w:sz w:val="20"/>
                <w:szCs w:val="20"/>
                <w:lang w:eastAsia="en-GB"/>
              </w:rPr>
            </w:pPr>
          </w:p>
        </w:tc>
        <w:tc>
          <w:tcPr>
            <w:tcW w:w="718" w:type="dxa"/>
            <w:tcBorders>
              <w:top w:val="nil"/>
              <w:left w:val="nil"/>
              <w:bottom w:val="nil"/>
              <w:right w:val="nil"/>
            </w:tcBorders>
            <w:shd w:val="clear" w:color="auto" w:fill="auto"/>
            <w:noWrap/>
            <w:vAlign w:val="bottom"/>
            <w:hideMark/>
          </w:tcPr>
          <w:p w14:paraId="1E7A8019" w14:textId="77777777" w:rsidR="00F92A14" w:rsidRPr="00666AB4" w:rsidRDefault="00F92A14" w:rsidP="00F92A14">
            <w:pPr>
              <w:spacing w:after="0" w:line="240" w:lineRule="auto"/>
              <w:rPr>
                <w:rFonts w:ascii="Times New Roman" w:eastAsia="Times New Roman" w:hAnsi="Times New Roman" w:cs="Times New Roman"/>
                <w:sz w:val="20"/>
                <w:szCs w:val="20"/>
                <w:lang w:eastAsia="en-GB"/>
              </w:rPr>
            </w:pPr>
          </w:p>
        </w:tc>
        <w:tc>
          <w:tcPr>
            <w:tcW w:w="656" w:type="dxa"/>
            <w:tcBorders>
              <w:top w:val="nil"/>
              <w:left w:val="nil"/>
              <w:bottom w:val="nil"/>
              <w:right w:val="nil"/>
            </w:tcBorders>
            <w:shd w:val="clear" w:color="auto" w:fill="auto"/>
            <w:noWrap/>
            <w:vAlign w:val="bottom"/>
            <w:hideMark/>
          </w:tcPr>
          <w:p w14:paraId="5C9108E3" w14:textId="77777777" w:rsidR="00F92A14" w:rsidRPr="00666AB4" w:rsidRDefault="00F92A14" w:rsidP="00F92A14">
            <w:pPr>
              <w:spacing w:after="0" w:line="240" w:lineRule="auto"/>
              <w:rPr>
                <w:rFonts w:ascii="Times New Roman" w:eastAsia="Times New Roman" w:hAnsi="Times New Roman" w:cs="Times New Roman"/>
                <w:sz w:val="20"/>
                <w:szCs w:val="20"/>
                <w:lang w:eastAsia="en-GB"/>
              </w:rPr>
            </w:pPr>
          </w:p>
        </w:tc>
        <w:tc>
          <w:tcPr>
            <w:tcW w:w="656" w:type="dxa"/>
            <w:tcBorders>
              <w:top w:val="nil"/>
              <w:left w:val="nil"/>
              <w:bottom w:val="nil"/>
              <w:right w:val="nil"/>
            </w:tcBorders>
            <w:shd w:val="clear" w:color="auto" w:fill="auto"/>
            <w:noWrap/>
            <w:vAlign w:val="bottom"/>
            <w:hideMark/>
          </w:tcPr>
          <w:p w14:paraId="430EC315" w14:textId="77777777" w:rsidR="00F92A14" w:rsidRPr="00666AB4" w:rsidRDefault="00F92A14" w:rsidP="00F92A14">
            <w:pPr>
              <w:spacing w:after="0" w:line="240" w:lineRule="auto"/>
              <w:rPr>
                <w:rFonts w:ascii="Times New Roman" w:eastAsia="Times New Roman" w:hAnsi="Times New Roman" w:cs="Times New Roman"/>
                <w:sz w:val="20"/>
                <w:szCs w:val="20"/>
                <w:lang w:eastAsia="en-GB"/>
              </w:rPr>
            </w:pPr>
          </w:p>
        </w:tc>
      </w:tr>
      <w:tr w:rsidR="00F92A14" w:rsidRPr="00666AB4" w14:paraId="42E9422D" w14:textId="77777777" w:rsidTr="00F92A14">
        <w:trPr>
          <w:trHeight w:val="288"/>
        </w:trPr>
        <w:tc>
          <w:tcPr>
            <w:tcW w:w="4770" w:type="dxa"/>
            <w:tcBorders>
              <w:top w:val="nil"/>
              <w:left w:val="nil"/>
              <w:bottom w:val="nil"/>
              <w:right w:val="nil"/>
            </w:tcBorders>
            <w:shd w:val="clear" w:color="auto" w:fill="auto"/>
            <w:noWrap/>
            <w:vAlign w:val="center"/>
            <w:hideMark/>
          </w:tcPr>
          <w:p w14:paraId="59340CD1" w14:textId="77777777" w:rsidR="00F92A14" w:rsidRPr="00666AB4" w:rsidRDefault="00F92A14" w:rsidP="00F92A14">
            <w:pPr>
              <w:spacing w:after="0" w:line="240" w:lineRule="auto"/>
              <w:rPr>
                <w:rFonts w:ascii="Times New Roman" w:eastAsia="Times New Roman" w:hAnsi="Times New Roman" w:cs="Times New Roman"/>
                <w:b/>
                <w:bCs/>
                <w:color w:val="000000"/>
                <w:lang w:eastAsia="en-GB"/>
              </w:rPr>
            </w:pPr>
            <w:r w:rsidRPr="00666AB4">
              <w:rPr>
                <w:rFonts w:ascii="Times New Roman" w:eastAsia="Times New Roman" w:hAnsi="Times New Roman" w:cs="Times New Roman"/>
                <w:b/>
                <w:bCs/>
                <w:color w:val="000000"/>
                <w:lang w:eastAsia="en-GB"/>
              </w:rPr>
              <w:t>Current debt as of 2014</w:t>
            </w:r>
          </w:p>
        </w:tc>
        <w:tc>
          <w:tcPr>
            <w:tcW w:w="890" w:type="dxa"/>
            <w:tcBorders>
              <w:top w:val="nil"/>
              <w:left w:val="nil"/>
              <w:bottom w:val="nil"/>
              <w:right w:val="nil"/>
            </w:tcBorders>
            <w:shd w:val="clear" w:color="auto" w:fill="auto"/>
            <w:noWrap/>
            <w:vAlign w:val="bottom"/>
            <w:hideMark/>
          </w:tcPr>
          <w:p w14:paraId="3CDC9268" w14:textId="77777777" w:rsidR="00F92A14" w:rsidRPr="00666AB4" w:rsidRDefault="00F92A14" w:rsidP="00F92A14">
            <w:pPr>
              <w:spacing w:after="0" w:line="240" w:lineRule="auto"/>
              <w:rPr>
                <w:rFonts w:ascii="Times New Roman" w:eastAsia="Times New Roman" w:hAnsi="Times New Roman" w:cs="Times New Roman"/>
                <w:b/>
                <w:bCs/>
                <w:color w:val="000000"/>
                <w:lang w:eastAsia="en-GB"/>
              </w:rPr>
            </w:pPr>
          </w:p>
        </w:tc>
        <w:tc>
          <w:tcPr>
            <w:tcW w:w="656" w:type="dxa"/>
            <w:tcBorders>
              <w:top w:val="nil"/>
              <w:left w:val="nil"/>
              <w:bottom w:val="nil"/>
              <w:right w:val="nil"/>
            </w:tcBorders>
            <w:shd w:val="clear" w:color="auto" w:fill="auto"/>
            <w:noWrap/>
            <w:vAlign w:val="bottom"/>
            <w:hideMark/>
          </w:tcPr>
          <w:p w14:paraId="74E96982" w14:textId="77777777" w:rsidR="00F92A14" w:rsidRPr="00666AB4" w:rsidRDefault="00F92A14" w:rsidP="00F92A14">
            <w:pPr>
              <w:spacing w:after="0" w:line="240" w:lineRule="auto"/>
              <w:rPr>
                <w:rFonts w:ascii="Times New Roman" w:eastAsia="Times New Roman" w:hAnsi="Times New Roman" w:cs="Times New Roman"/>
                <w:sz w:val="20"/>
                <w:szCs w:val="20"/>
                <w:lang w:eastAsia="en-GB"/>
              </w:rPr>
            </w:pPr>
          </w:p>
        </w:tc>
        <w:tc>
          <w:tcPr>
            <w:tcW w:w="656" w:type="dxa"/>
            <w:tcBorders>
              <w:top w:val="nil"/>
              <w:left w:val="nil"/>
              <w:bottom w:val="nil"/>
              <w:right w:val="nil"/>
            </w:tcBorders>
            <w:shd w:val="clear" w:color="auto" w:fill="auto"/>
            <w:noWrap/>
            <w:vAlign w:val="bottom"/>
            <w:hideMark/>
          </w:tcPr>
          <w:p w14:paraId="3981963D" w14:textId="77777777" w:rsidR="00F92A14" w:rsidRPr="00666AB4" w:rsidRDefault="00F92A14" w:rsidP="00F92A14">
            <w:pPr>
              <w:spacing w:after="0" w:line="240" w:lineRule="auto"/>
              <w:rPr>
                <w:rFonts w:ascii="Times New Roman" w:eastAsia="Times New Roman" w:hAnsi="Times New Roman" w:cs="Times New Roman"/>
                <w:sz w:val="20"/>
                <w:szCs w:val="20"/>
                <w:lang w:eastAsia="en-GB"/>
              </w:rPr>
            </w:pPr>
          </w:p>
        </w:tc>
        <w:tc>
          <w:tcPr>
            <w:tcW w:w="271" w:type="dxa"/>
            <w:tcBorders>
              <w:top w:val="nil"/>
              <w:left w:val="nil"/>
              <w:bottom w:val="nil"/>
              <w:right w:val="nil"/>
            </w:tcBorders>
            <w:shd w:val="clear" w:color="auto" w:fill="auto"/>
            <w:noWrap/>
            <w:vAlign w:val="bottom"/>
            <w:hideMark/>
          </w:tcPr>
          <w:p w14:paraId="3B6D7F4C" w14:textId="77777777" w:rsidR="00F92A14" w:rsidRPr="00666AB4" w:rsidRDefault="00F92A14" w:rsidP="00F92A14">
            <w:pPr>
              <w:spacing w:after="0" w:line="240" w:lineRule="auto"/>
              <w:rPr>
                <w:rFonts w:ascii="Times New Roman" w:eastAsia="Times New Roman" w:hAnsi="Times New Roman" w:cs="Times New Roman"/>
                <w:sz w:val="20"/>
                <w:szCs w:val="20"/>
                <w:lang w:eastAsia="en-GB"/>
              </w:rPr>
            </w:pPr>
          </w:p>
        </w:tc>
        <w:tc>
          <w:tcPr>
            <w:tcW w:w="718" w:type="dxa"/>
            <w:tcBorders>
              <w:top w:val="nil"/>
              <w:left w:val="nil"/>
              <w:bottom w:val="nil"/>
              <w:right w:val="nil"/>
            </w:tcBorders>
            <w:shd w:val="clear" w:color="auto" w:fill="auto"/>
            <w:noWrap/>
            <w:vAlign w:val="bottom"/>
            <w:hideMark/>
          </w:tcPr>
          <w:p w14:paraId="72B957FB" w14:textId="77777777" w:rsidR="00F92A14" w:rsidRPr="00666AB4" w:rsidRDefault="00F92A14" w:rsidP="00F92A14">
            <w:pPr>
              <w:spacing w:after="0" w:line="240" w:lineRule="auto"/>
              <w:rPr>
                <w:rFonts w:ascii="Times New Roman" w:eastAsia="Times New Roman" w:hAnsi="Times New Roman" w:cs="Times New Roman"/>
                <w:sz w:val="20"/>
                <w:szCs w:val="20"/>
                <w:lang w:eastAsia="en-GB"/>
              </w:rPr>
            </w:pPr>
          </w:p>
        </w:tc>
        <w:tc>
          <w:tcPr>
            <w:tcW w:w="656" w:type="dxa"/>
            <w:tcBorders>
              <w:top w:val="nil"/>
              <w:left w:val="nil"/>
              <w:bottom w:val="nil"/>
              <w:right w:val="nil"/>
            </w:tcBorders>
            <w:shd w:val="clear" w:color="auto" w:fill="auto"/>
            <w:noWrap/>
            <w:vAlign w:val="bottom"/>
            <w:hideMark/>
          </w:tcPr>
          <w:p w14:paraId="4B711C10" w14:textId="77777777" w:rsidR="00F92A14" w:rsidRPr="00666AB4" w:rsidRDefault="00F92A14" w:rsidP="00F92A14">
            <w:pPr>
              <w:spacing w:after="0" w:line="240" w:lineRule="auto"/>
              <w:rPr>
                <w:rFonts w:ascii="Times New Roman" w:eastAsia="Times New Roman" w:hAnsi="Times New Roman" w:cs="Times New Roman"/>
                <w:sz w:val="20"/>
                <w:szCs w:val="20"/>
                <w:lang w:eastAsia="en-GB"/>
              </w:rPr>
            </w:pPr>
          </w:p>
        </w:tc>
        <w:tc>
          <w:tcPr>
            <w:tcW w:w="656" w:type="dxa"/>
            <w:tcBorders>
              <w:top w:val="nil"/>
              <w:left w:val="nil"/>
              <w:bottom w:val="nil"/>
              <w:right w:val="nil"/>
            </w:tcBorders>
            <w:shd w:val="clear" w:color="auto" w:fill="auto"/>
            <w:noWrap/>
            <w:vAlign w:val="bottom"/>
            <w:hideMark/>
          </w:tcPr>
          <w:p w14:paraId="4D4E7099" w14:textId="77777777" w:rsidR="00F92A14" w:rsidRPr="00666AB4" w:rsidRDefault="00F92A14" w:rsidP="00F92A14">
            <w:pPr>
              <w:spacing w:after="0" w:line="240" w:lineRule="auto"/>
              <w:rPr>
                <w:rFonts w:ascii="Times New Roman" w:eastAsia="Times New Roman" w:hAnsi="Times New Roman" w:cs="Times New Roman"/>
                <w:sz w:val="20"/>
                <w:szCs w:val="20"/>
                <w:lang w:eastAsia="en-GB"/>
              </w:rPr>
            </w:pPr>
          </w:p>
        </w:tc>
        <w:tc>
          <w:tcPr>
            <w:tcW w:w="271" w:type="dxa"/>
            <w:tcBorders>
              <w:top w:val="nil"/>
              <w:left w:val="nil"/>
              <w:bottom w:val="nil"/>
              <w:right w:val="nil"/>
            </w:tcBorders>
            <w:shd w:val="clear" w:color="auto" w:fill="auto"/>
            <w:noWrap/>
            <w:vAlign w:val="bottom"/>
            <w:hideMark/>
          </w:tcPr>
          <w:p w14:paraId="55426ECE" w14:textId="77777777" w:rsidR="00F92A14" w:rsidRPr="00666AB4" w:rsidRDefault="00F92A14" w:rsidP="00F92A14">
            <w:pPr>
              <w:spacing w:after="0" w:line="240" w:lineRule="auto"/>
              <w:rPr>
                <w:rFonts w:ascii="Times New Roman" w:eastAsia="Times New Roman" w:hAnsi="Times New Roman" w:cs="Times New Roman"/>
                <w:sz w:val="20"/>
                <w:szCs w:val="20"/>
                <w:lang w:eastAsia="en-GB"/>
              </w:rPr>
            </w:pPr>
          </w:p>
        </w:tc>
        <w:tc>
          <w:tcPr>
            <w:tcW w:w="718" w:type="dxa"/>
            <w:tcBorders>
              <w:top w:val="nil"/>
              <w:left w:val="nil"/>
              <w:bottom w:val="nil"/>
              <w:right w:val="nil"/>
            </w:tcBorders>
            <w:shd w:val="clear" w:color="auto" w:fill="auto"/>
            <w:noWrap/>
            <w:vAlign w:val="bottom"/>
            <w:hideMark/>
          </w:tcPr>
          <w:p w14:paraId="70A1AAC7" w14:textId="77777777" w:rsidR="00F92A14" w:rsidRPr="00666AB4" w:rsidRDefault="00F92A14" w:rsidP="00F92A14">
            <w:pPr>
              <w:spacing w:after="0" w:line="240" w:lineRule="auto"/>
              <w:rPr>
                <w:rFonts w:ascii="Times New Roman" w:eastAsia="Times New Roman" w:hAnsi="Times New Roman" w:cs="Times New Roman"/>
                <w:sz w:val="20"/>
                <w:szCs w:val="20"/>
                <w:lang w:eastAsia="en-GB"/>
              </w:rPr>
            </w:pPr>
          </w:p>
        </w:tc>
        <w:tc>
          <w:tcPr>
            <w:tcW w:w="656" w:type="dxa"/>
            <w:tcBorders>
              <w:top w:val="nil"/>
              <w:left w:val="nil"/>
              <w:bottom w:val="nil"/>
              <w:right w:val="nil"/>
            </w:tcBorders>
            <w:shd w:val="clear" w:color="auto" w:fill="auto"/>
            <w:noWrap/>
            <w:vAlign w:val="bottom"/>
            <w:hideMark/>
          </w:tcPr>
          <w:p w14:paraId="05217B40" w14:textId="77777777" w:rsidR="00F92A14" w:rsidRPr="00666AB4" w:rsidRDefault="00F92A14" w:rsidP="00F92A14">
            <w:pPr>
              <w:spacing w:after="0" w:line="240" w:lineRule="auto"/>
              <w:rPr>
                <w:rFonts w:ascii="Times New Roman" w:eastAsia="Times New Roman" w:hAnsi="Times New Roman" w:cs="Times New Roman"/>
                <w:sz w:val="20"/>
                <w:szCs w:val="20"/>
                <w:lang w:eastAsia="en-GB"/>
              </w:rPr>
            </w:pPr>
          </w:p>
        </w:tc>
        <w:tc>
          <w:tcPr>
            <w:tcW w:w="656" w:type="dxa"/>
            <w:tcBorders>
              <w:top w:val="nil"/>
              <w:left w:val="nil"/>
              <w:bottom w:val="nil"/>
              <w:right w:val="nil"/>
            </w:tcBorders>
            <w:shd w:val="clear" w:color="auto" w:fill="auto"/>
            <w:noWrap/>
            <w:vAlign w:val="bottom"/>
            <w:hideMark/>
          </w:tcPr>
          <w:p w14:paraId="7081E98A" w14:textId="77777777" w:rsidR="00F92A14" w:rsidRPr="00666AB4" w:rsidRDefault="00F92A14" w:rsidP="00F92A14">
            <w:pPr>
              <w:spacing w:after="0" w:line="240" w:lineRule="auto"/>
              <w:rPr>
                <w:rFonts w:ascii="Times New Roman" w:eastAsia="Times New Roman" w:hAnsi="Times New Roman" w:cs="Times New Roman"/>
                <w:sz w:val="20"/>
                <w:szCs w:val="20"/>
                <w:lang w:eastAsia="en-GB"/>
              </w:rPr>
            </w:pPr>
          </w:p>
        </w:tc>
      </w:tr>
      <w:tr w:rsidR="00F92A14" w:rsidRPr="00666AB4" w14:paraId="6F66F57A" w14:textId="77777777" w:rsidTr="00F92A14">
        <w:trPr>
          <w:trHeight w:val="288"/>
        </w:trPr>
        <w:tc>
          <w:tcPr>
            <w:tcW w:w="4770" w:type="dxa"/>
            <w:tcBorders>
              <w:top w:val="nil"/>
              <w:left w:val="nil"/>
              <w:bottom w:val="nil"/>
              <w:right w:val="nil"/>
            </w:tcBorders>
            <w:shd w:val="clear" w:color="auto" w:fill="auto"/>
            <w:noWrap/>
            <w:vAlign w:val="center"/>
            <w:hideMark/>
          </w:tcPr>
          <w:p w14:paraId="099C99AF" w14:textId="77777777" w:rsidR="00F92A14" w:rsidRPr="00666AB4" w:rsidRDefault="00F92A14" w:rsidP="00F92A14">
            <w:pPr>
              <w:spacing w:after="0" w:line="240" w:lineRule="auto"/>
              <w:ind w:firstLineChars="100" w:firstLine="112"/>
              <w:rPr>
                <w:rFonts w:ascii="Times New Roman" w:eastAsia="Times New Roman" w:hAnsi="Times New Roman" w:cs="Times New Roman"/>
                <w:color w:val="000000"/>
                <w:lang w:eastAsia="en-GB"/>
              </w:rPr>
            </w:pPr>
            <w:r w:rsidRPr="00666AB4">
              <w:rPr>
                <w:rFonts w:ascii="Times New Roman" w:eastAsia="Times New Roman" w:hAnsi="Times New Roman" w:cs="Times New Roman"/>
                <w:color w:val="000000"/>
                <w:lang w:eastAsia="en-GB"/>
              </w:rPr>
              <w:t>No debt</w:t>
            </w:r>
          </w:p>
        </w:tc>
        <w:tc>
          <w:tcPr>
            <w:tcW w:w="890" w:type="dxa"/>
            <w:tcBorders>
              <w:top w:val="nil"/>
              <w:left w:val="nil"/>
              <w:bottom w:val="nil"/>
              <w:right w:val="nil"/>
            </w:tcBorders>
            <w:shd w:val="clear" w:color="auto" w:fill="auto"/>
            <w:noWrap/>
            <w:vAlign w:val="bottom"/>
            <w:hideMark/>
          </w:tcPr>
          <w:p w14:paraId="57C0802D"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11.6</w:t>
            </w:r>
          </w:p>
        </w:tc>
        <w:tc>
          <w:tcPr>
            <w:tcW w:w="656" w:type="dxa"/>
            <w:tcBorders>
              <w:top w:val="nil"/>
              <w:left w:val="nil"/>
              <w:bottom w:val="nil"/>
              <w:right w:val="nil"/>
            </w:tcBorders>
            <w:shd w:val="clear" w:color="auto" w:fill="auto"/>
            <w:noWrap/>
            <w:vAlign w:val="bottom"/>
            <w:hideMark/>
          </w:tcPr>
          <w:p w14:paraId="0F0221A2"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13.9</w:t>
            </w:r>
          </w:p>
        </w:tc>
        <w:tc>
          <w:tcPr>
            <w:tcW w:w="656" w:type="dxa"/>
            <w:tcBorders>
              <w:top w:val="nil"/>
              <w:left w:val="nil"/>
              <w:bottom w:val="nil"/>
              <w:right w:val="nil"/>
            </w:tcBorders>
            <w:shd w:val="clear" w:color="auto" w:fill="auto"/>
            <w:noWrap/>
            <w:vAlign w:val="bottom"/>
            <w:hideMark/>
          </w:tcPr>
          <w:p w14:paraId="5FD0EAD0"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10.3</w:t>
            </w:r>
          </w:p>
        </w:tc>
        <w:tc>
          <w:tcPr>
            <w:tcW w:w="271" w:type="dxa"/>
            <w:tcBorders>
              <w:top w:val="nil"/>
              <w:left w:val="nil"/>
              <w:bottom w:val="nil"/>
              <w:right w:val="nil"/>
            </w:tcBorders>
            <w:shd w:val="clear" w:color="auto" w:fill="auto"/>
            <w:noWrap/>
            <w:vAlign w:val="bottom"/>
            <w:hideMark/>
          </w:tcPr>
          <w:p w14:paraId="6CCD18C8"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718" w:type="dxa"/>
            <w:tcBorders>
              <w:top w:val="nil"/>
              <w:left w:val="nil"/>
              <w:bottom w:val="nil"/>
              <w:right w:val="nil"/>
            </w:tcBorders>
            <w:shd w:val="clear" w:color="auto" w:fill="auto"/>
            <w:noWrap/>
            <w:vAlign w:val="bottom"/>
            <w:hideMark/>
          </w:tcPr>
          <w:p w14:paraId="133CAE17"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12.1</w:t>
            </w:r>
          </w:p>
        </w:tc>
        <w:tc>
          <w:tcPr>
            <w:tcW w:w="656" w:type="dxa"/>
            <w:tcBorders>
              <w:top w:val="nil"/>
              <w:left w:val="nil"/>
              <w:bottom w:val="nil"/>
              <w:right w:val="nil"/>
            </w:tcBorders>
            <w:shd w:val="clear" w:color="auto" w:fill="auto"/>
            <w:noWrap/>
            <w:vAlign w:val="bottom"/>
            <w:hideMark/>
          </w:tcPr>
          <w:p w14:paraId="19EF5E88"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12.2</w:t>
            </w:r>
          </w:p>
        </w:tc>
        <w:tc>
          <w:tcPr>
            <w:tcW w:w="656" w:type="dxa"/>
            <w:tcBorders>
              <w:top w:val="nil"/>
              <w:left w:val="nil"/>
              <w:bottom w:val="nil"/>
              <w:right w:val="nil"/>
            </w:tcBorders>
            <w:shd w:val="clear" w:color="auto" w:fill="auto"/>
            <w:noWrap/>
            <w:vAlign w:val="bottom"/>
            <w:hideMark/>
          </w:tcPr>
          <w:p w14:paraId="0F0A4766"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12.0</w:t>
            </w:r>
          </w:p>
        </w:tc>
        <w:tc>
          <w:tcPr>
            <w:tcW w:w="271" w:type="dxa"/>
            <w:tcBorders>
              <w:top w:val="nil"/>
              <w:left w:val="nil"/>
              <w:bottom w:val="nil"/>
              <w:right w:val="nil"/>
            </w:tcBorders>
            <w:shd w:val="clear" w:color="auto" w:fill="auto"/>
            <w:noWrap/>
            <w:vAlign w:val="bottom"/>
            <w:hideMark/>
          </w:tcPr>
          <w:p w14:paraId="1861CC2E"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718" w:type="dxa"/>
            <w:tcBorders>
              <w:top w:val="nil"/>
              <w:left w:val="nil"/>
              <w:bottom w:val="nil"/>
              <w:right w:val="nil"/>
            </w:tcBorders>
            <w:shd w:val="clear" w:color="auto" w:fill="auto"/>
            <w:noWrap/>
            <w:vAlign w:val="bottom"/>
            <w:hideMark/>
          </w:tcPr>
          <w:p w14:paraId="7AE2B60E"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11.3</w:t>
            </w:r>
          </w:p>
        </w:tc>
        <w:tc>
          <w:tcPr>
            <w:tcW w:w="656" w:type="dxa"/>
            <w:tcBorders>
              <w:top w:val="nil"/>
              <w:left w:val="nil"/>
              <w:bottom w:val="nil"/>
              <w:right w:val="nil"/>
            </w:tcBorders>
            <w:shd w:val="clear" w:color="auto" w:fill="auto"/>
            <w:noWrap/>
            <w:vAlign w:val="bottom"/>
            <w:hideMark/>
          </w:tcPr>
          <w:p w14:paraId="666F43E0"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15.4</w:t>
            </w:r>
          </w:p>
        </w:tc>
        <w:tc>
          <w:tcPr>
            <w:tcW w:w="656" w:type="dxa"/>
            <w:tcBorders>
              <w:top w:val="nil"/>
              <w:left w:val="nil"/>
              <w:bottom w:val="nil"/>
              <w:right w:val="nil"/>
            </w:tcBorders>
            <w:shd w:val="clear" w:color="auto" w:fill="auto"/>
            <w:noWrap/>
            <w:vAlign w:val="bottom"/>
            <w:hideMark/>
          </w:tcPr>
          <w:p w14:paraId="558BCDE7"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9.4</w:t>
            </w:r>
          </w:p>
        </w:tc>
      </w:tr>
      <w:tr w:rsidR="00F92A14" w:rsidRPr="00666AB4" w14:paraId="39C9A1E5" w14:textId="77777777" w:rsidTr="00F92A14">
        <w:trPr>
          <w:trHeight w:val="288"/>
        </w:trPr>
        <w:tc>
          <w:tcPr>
            <w:tcW w:w="4770" w:type="dxa"/>
            <w:tcBorders>
              <w:top w:val="nil"/>
              <w:left w:val="nil"/>
              <w:bottom w:val="nil"/>
              <w:right w:val="nil"/>
            </w:tcBorders>
            <w:shd w:val="clear" w:color="auto" w:fill="auto"/>
            <w:noWrap/>
            <w:vAlign w:val="center"/>
            <w:hideMark/>
          </w:tcPr>
          <w:p w14:paraId="5BE42C00" w14:textId="77777777" w:rsidR="00F92A14" w:rsidRPr="00666AB4" w:rsidRDefault="00F92A14" w:rsidP="00F92A14">
            <w:pPr>
              <w:spacing w:after="0" w:line="240" w:lineRule="auto"/>
              <w:ind w:firstLineChars="100" w:firstLine="112"/>
              <w:rPr>
                <w:rFonts w:ascii="Times New Roman" w:eastAsia="Times New Roman" w:hAnsi="Times New Roman" w:cs="Times New Roman"/>
                <w:color w:val="000000"/>
                <w:lang w:eastAsia="en-GB"/>
              </w:rPr>
            </w:pPr>
            <w:r w:rsidRPr="00666AB4">
              <w:rPr>
                <w:rFonts w:ascii="Times New Roman" w:eastAsia="Times New Roman" w:hAnsi="Times New Roman" w:cs="Times New Roman"/>
                <w:color w:val="000000"/>
                <w:lang w:eastAsia="en-GB"/>
              </w:rPr>
              <w:t>£1 - £4,999</w:t>
            </w:r>
          </w:p>
        </w:tc>
        <w:tc>
          <w:tcPr>
            <w:tcW w:w="890" w:type="dxa"/>
            <w:tcBorders>
              <w:top w:val="nil"/>
              <w:left w:val="nil"/>
              <w:bottom w:val="nil"/>
              <w:right w:val="nil"/>
            </w:tcBorders>
            <w:shd w:val="clear" w:color="auto" w:fill="auto"/>
            <w:noWrap/>
            <w:vAlign w:val="bottom"/>
            <w:hideMark/>
          </w:tcPr>
          <w:p w14:paraId="5B78DE61"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2.0</w:t>
            </w:r>
          </w:p>
        </w:tc>
        <w:tc>
          <w:tcPr>
            <w:tcW w:w="656" w:type="dxa"/>
            <w:tcBorders>
              <w:top w:val="nil"/>
              <w:left w:val="nil"/>
              <w:bottom w:val="nil"/>
              <w:right w:val="nil"/>
            </w:tcBorders>
            <w:shd w:val="clear" w:color="auto" w:fill="auto"/>
            <w:noWrap/>
            <w:vAlign w:val="bottom"/>
            <w:hideMark/>
          </w:tcPr>
          <w:p w14:paraId="46F81C09"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1.9</w:t>
            </w:r>
          </w:p>
        </w:tc>
        <w:tc>
          <w:tcPr>
            <w:tcW w:w="656" w:type="dxa"/>
            <w:tcBorders>
              <w:top w:val="nil"/>
              <w:left w:val="nil"/>
              <w:bottom w:val="nil"/>
              <w:right w:val="nil"/>
            </w:tcBorders>
            <w:shd w:val="clear" w:color="auto" w:fill="auto"/>
            <w:noWrap/>
            <w:vAlign w:val="bottom"/>
            <w:hideMark/>
          </w:tcPr>
          <w:p w14:paraId="37585538"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2.0</w:t>
            </w:r>
          </w:p>
        </w:tc>
        <w:tc>
          <w:tcPr>
            <w:tcW w:w="271" w:type="dxa"/>
            <w:tcBorders>
              <w:top w:val="nil"/>
              <w:left w:val="nil"/>
              <w:bottom w:val="nil"/>
              <w:right w:val="nil"/>
            </w:tcBorders>
            <w:shd w:val="clear" w:color="auto" w:fill="auto"/>
            <w:noWrap/>
            <w:vAlign w:val="bottom"/>
            <w:hideMark/>
          </w:tcPr>
          <w:p w14:paraId="52CA17EA"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718" w:type="dxa"/>
            <w:tcBorders>
              <w:top w:val="nil"/>
              <w:left w:val="nil"/>
              <w:bottom w:val="nil"/>
              <w:right w:val="nil"/>
            </w:tcBorders>
            <w:shd w:val="clear" w:color="auto" w:fill="auto"/>
            <w:noWrap/>
            <w:vAlign w:val="bottom"/>
            <w:hideMark/>
          </w:tcPr>
          <w:p w14:paraId="2E044C4B"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1.5</w:t>
            </w:r>
          </w:p>
        </w:tc>
        <w:tc>
          <w:tcPr>
            <w:tcW w:w="656" w:type="dxa"/>
            <w:tcBorders>
              <w:top w:val="nil"/>
              <w:left w:val="nil"/>
              <w:bottom w:val="nil"/>
              <w:right w:val="nil"/>
            </w:tcBorders>
            <w:shd w:val="clear" w:color="auto" w:fill="auto"/>
            <w:noWrap/>
            <w:vAlign w:val="bottom"/>
            <w:hideMark/>
          </w:tcPr>
          <w:p w14:paraId="75EF9C61"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2.3</w:t>
            </w:r>
          </w:p>
        </w:tc>
        <w:tc>
          <w:tcPr>
            <w:tcW w:w="656" w:type="dxa"/>
            <w:tcBorders>
              <w:top w:val="nil"/>
              <w:left w:val="nil"/>
              <w:bottom w:val="nil"/>
              <w:right w:val="nil"/>
            </w:tcBorders>
            <w:shd w:val="clear" w:color="auto" w:fill="auto"/>
            <w:noWrap/>
            <w:vAlign w:val="bottom"/>
            <w:hideMark/>
          </w:tcPr>
          <w:p w14:paraId="044F2BDB"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1.0</w:t>
            </w:r>
          </w:p>
        </w:tc>
        <w:tc>
          <w:tcPr>
            <w:tcW w:w="271" w:type="dxa"/>
            <w:tcBorders>
              <w:top w:val="nil"/>
              <w:left w:val="nil"/>
              <w:bottom w:val="nil"/>
              <w:right w:val="nil"/>
            </w:tcBorders>
            <w:shd w:val="clear" w:color="auto" w:fill="auto"/>
            <w:noWrap/>
            <w:vAlign w:val="bottom"/>
            <w:hideMark/>
          </w:tcPr>
          <w:p w14:paraId="6C521259"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718" w:type="dxa"/>
            <w:tcBorders>
              <w:top w:val="nil"/>
              <w:left w:val="nil"/>
              <w:bottom w:val="nil"/>
              <w:right w:val="nil"/>
            </w:tcBorders>
            <w:shd w:val="clear" w:color="auto" w:fill="auto"/>
            <w:noWrap/>
            <w:vAlign w:val="bottom"/>
            <w:hideMark/>
          </w:tcPr>
          <w:p w14:paraId="2396DD77"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2.3</w:t>
            </w:r>
          </w:p>
        </w:tc>
        <w:tc>
          <w:tcPr>
            <w:tcW w:w="656" w:type="dxa"/>
            <w:tcBorders>
              <w:top w:val="nil"/>
              <w:left w:val="nil"/>
              <w:bottom w:val="nil"/>
              <w:right w:val="nil"/>
            </w:tcBorders>
            <w:shd w:val="clear" w:color="auto" w:fill="auto"/>
            <w:noWrap/>
            <w:vAlign w:val="bottom"/>
            <w:hideMark/>
          </w:tcPr>
          <w:p w14:paraId="6DBADEE4"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1.7</w:t>
            </w:r>
          </w:p>
        </w:tc>
        <w:tc>
          <w:tcPr>
            <w:tcW w:w="656" w:type="dxa"/>
            <w:tcBorders>
              <w:top w:val="nil"/>
              <w:left w:val="nil"/>
              <w:bottom w:val="nil"/>
              <w:right w:val="nil"/>
            </w:tcBorders>
            <w:shd w:val="clear" w:color="auto" w:fill="auto"/>
            <w:noWrap/>
            <w:vAlign w:val="bottom"/>
            <w:hideMark/>
          </w:tcPr>
          <w:p w14:paraId="3505C7AA"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2.6</w:t>
            </w:r>
          </w:p>
        </w:tc>
      </w:tr>
      <w:tr w:rsidR="00F92A14" w:rsidRPr="00666AB4" w14:paraId="0F2C64C4" w14:textId="77777777" w:rsidTr="00F92A14">
        <w:trPr>
          <w:trHeight w:val="288"/>
        </w:trPr>
        <w:tc>
          <w:tcPr>
            <w:tcW w:w="4770" w:type="dxa"/>
            <w:tcBorders>
              <w:top w:val="nil"/>
              <w:left w:val="nil"/>
              <w:bottom w:val="nil"/>
              <w:right w:val="nil"/>
            </w:tcBorders>
            <w:shd w:val="clear" w:color="auto" w:fill="auto"/>
            <w:noWrap/>
            <w:vAlign w:val="center"/>
            <w:hideMark/>
          </w:tcPr>
          <w:p w14:paraId="07549F91" w14:textId="77777777" w:rsidR="00F92A14" w:rsidRPr="00666AB4" w:rsidRDefault="00F92A14" w:rsidP="00F92A14">
            <w:pPr>
              <w:spacing w:after="0" w:line="240" w:lineRule="auto"/>
              <w:ind w:firstLineChars="100" w:firstLine="112"/>
              <w:rPr>
                <w:rFonts w:ascii="Times New Roman" w:eastAsia="Times New Roman" w:hAnsi="Times New Roman" w:cs="Times New Roman"/>
                <w:color w:val="000000"/>
                <w:lang w:eastAsia="en-GB"/>
              </w:rPr>
            </w:pPr>
            <w:r w:rsidRPr="00666AB4">
              <w:rPr>
                <w:rFonts w:ascii="Times New Roman" w:eastAsia="Times New Roman" w:hAnsi="Times New Roman" w:cs="Times New Roman"/>
                <w:color w:val="000000"/>
                <w:lang w:eastAsia="en-GB"/>
              </w:rPr>
              <w:t>£5,000 - £9,999</w:t>
            </w:r>
          </w:p>
        </w:tc>
        <w:tc>
          <w:tcPr>
            <w:tcW w:w="890" w:type="dxa"/>
            <w:tcBorders>
              <w:top w:val="nil"/>
              <w:left w:val="nil"/>
              <w:bottom w:val="nil"/>
              <w:right w:val="nil"/>
            </w:tcBorders>
            <w:shd w:val="clear" w:color="auto" w:fill="auto"/>
            <w:noWrap/>
            <w:vAlign w:val="bottom"/>
            <w:hideMark/>
          </w:tcPr>
          <w:p w14:paraId="547A3B31"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5.3</w:t>
            </w:r>
          </w:p>
        </w:tc>
        <w:tc>
          <w:tcPr>
            <w:tcW w:w="656" w:type="dxa"/>
            <w:tcBorders>
              <w:top w:val="nil"/>
              <w:left w:val="nil"/>
              <w:bottom w:val="nil"/>
              <w:right w:val="nil"/>
            </w:tcBorders>
            <w:shd w:val="clear" w:color="auto" w:fill="auto"/>
            <w:noWrap/>
            <w:vAlign w:val="bottom"/>
            <w:hideMark/>
          </w:tcPr>
          <w:p w14:paraId="703DA582"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7.1</w:t>
            </w:r>
          </w:p>
        </w:tc>
        <w:tc>
          <w:tcPr>
            <w:tcW w:w="656" w:type="dxa"/>
            <w:tcBorders>
              <w:top w:val="nil"/>
              <w:left w:val="nil"/>
              <w:bottom w:val="nil"/>
              <w:right w:val="nil"/>
            </w:tcBorders>
            <w:shd w:val="clear" w:color="auto" w:fill="auto"/>
            <w:noWrap/>
            <w:vAlign w:val="bottom"/>
            <w:hideMark/>
          </w:tcPr>
          <w:p w14:paraId="08035CD9"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4.3</w:t>
            </w:r>
          </w:p>
        </w:tc>
        <w:tc>
          <w:tcPr>
            <w:tcW w:w="271" w:type="dxa"/>
            <w:tcBorders>
              <w:top w:val="nil"/>
              <w:left w:val="nil"/>
              <w:bottom w:val="nil"/>
              <w:right w:val="nil"/>
            </w:tcBorders>
            <w:shd w:val="clear" w:color="auto" w:fill="auto"/>
            <w:noWrap/>
            <w:vAlign w:val="bottom"/>
            <w:hideMark/>
          </w:tcPr>
          <w:p w14:paraId="040DA49D"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718" w:type="dxa"/>
            <w:tcBorders>
              <w:top w:val="nil"/>
              <w:left w:val="nil"/>
              <w:bottom w:val="nil"/>
              <w:right w:val="nil"/>
            </w:tcBorders>
            <w:shd w:val="clear" w:color="auto" w:fill="auto"/>
            <w:noWrap/>
            <w:vAlign w:val="bottom"/>
            <w:hideMark/>
          </w:tcPr>
          <w:p w14:paraId="1A70BBDB"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4.9</w:t>
            </w:r>
          </w:p>
        </w:tc>
        <w:tc>
          <w:tcPr>
            <w:tcW w:w="656" w:type="dxa"/>
            <w:tcBorders>
              <w:top w:val="nil"/>
              <w:left w:val="nil"/>
              <w:bottom w:val="nil"/>
              <w:right w:val="nil"/>
            </w:tcBorders>
            <w:shd w:val="clear" w:color="auto" w:fill="auto"/>
            <w:noWrap/>
            <w:vAlign w:val="bottom"/>
            <w:hideMark/>
          </w:tcPr>
          <w:p w14:paraId="71E38976"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6.7</w:t>
            </w:r>
          </w:p>
        </w:tc>
        <w:tc>
          <w:tcPr>
            <w:tcW w:w="656" w:type="dxa"/>
            <w:tcBorders>
              <w:top w:val="nil"/>
              <w:left w:val="nil"/>
              <w:bottom w:val="nil"/>
              <w:right w:val="nil"/>
            </w:tcBorders>
            <w:shd w:val="clear" w:color="auto" w:fill="auto"/>
            <w:noWrap/>
            <w:vAlign w:val="bottom"/>
            <w:hideMark/>
          </w:tcPr>
          <w:p w14:paraId="411D69F4"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3.5</w:t>
            </w:r>
          </w:p>
        </w:tc>
        <w:tc>
          <w:tcPr>
            <w:tcW w:w="271" w:type="dxa"/>
            <w:tcBorders>
              <w:top w:val="nil"/>
              <w:left w:val="nil"/>
              <w:bottom w:val="nil"/>
              <w:right w:val="nil"/>
            </w:tcBorders>
            <w:shd w:val="clear" w:color="auto" w:fill="auto"/>
            <w:noWrap/>
            <w:vAlign w:val="bottom"/>
            <w:hideMark/>
          </w:tcPr>
          <w:p w14:paraId="207699AC"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718" w:type="dxa"/>
            <w:tcBorders>
              <w:top w:val="nil"/>
              <w:left w:val="nil"/>
              <w:bottom w:val="nil"/>
              <w:right w:val="nil"/>
            </w:tcBorders>
            <w:shd w:val="clear" w:color="auto" w:fill="auto"/>
            <w:noWrap/>
            <w:vAlign w:val="bottom"/>
            <w:hideMark/>
          </w:tcPr>
          <w:p w14:paraId="00F221C5"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5.5</w:t>
            </w:r>
          </w:p>
        </w:tc>
        <w:tc>
          <w:tcPr>
            <w:tcW w:w="656" w:type="dxa"/>
            <w:tcBorders>
              <w:top w:val="nil"/>
              <w:left w:val="nil"/>
              <w:bottom w:val="nil"/>
              <w:right w:val="nil"/>
            </w:tcBorders>
            <w:shd w:val="clear" w:color="auto" w:fill="auto"/>
            <w:noWrap/>
            <w:vAlign w:val="bottom"/>
            <w:hideMark/>
          </w:tcPr>
          <w:p w14:paraId="64064494"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7.3</w:t>
            </w:r>
          </w:p>
        </w:tc>
        <w:tc>
          <w:tcPr>
            <w:tcW w:w="656" w:type="dxa"/>
            <w:tcBorders>
              <w:top w:val="nil"/>
              <w:left w:val="nil"/>
              <w:bottom w:val="nil"/>
              <w:right w:val="nil"/>
            </w:tcBorders>
            <w:shd w:val="clear" w:color="auto" w:fill="auto"/>
            <w:noWrap/>
            <w:vAlign w:val="bottom"/>
            <w:hideMark/>
          </w:tcPr>
          <w:p w14:paraId="5F81BC94"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4.7</w:t>
            </w:r>
          </w:p>
        </w:tc>
      </w:tr>
      <w:tr w:rsidR="00F92A14" w:rsidRPr="00666AB4" w14:paraId="1087BBE3" w14:textId="77777777" w:rsidTr="00F92A14">
        <w:trPr>
          <w:trHeight w:val="288"/>
        </w:trPr>
        <w:tc>
          <w:tcPr>
            <w:tcW w:w="4770" w:type="dxa"/>
            <w:tcBorders>
              <w:top w:val="nil"/>
              <w:left w:val="nil"/>
              <w:bottom w:val="nil"/>
              <w:right w:val="nil"/>
            </w:tcBorders>
            <w:shd w:val="clear" w:color="auto" w:fill="auto"/>
            <w:noWrap/>
            <w:vAlign w:val="center"/>
            <w:hideMark/>
          </w:tcPr>
          <w:p w14:paraId="3522755E" w14:textId="77777777" w:rsidR="00F92A14" w:rsidRPr="00666AB4" w:rsidRDefault="00F92A14" w:rsidP="00F92A14">
            <w:pPr>
              <w:spacing w:after="0" w:line="240" w:lineRule="auto"/>
              <w:ind w:firstLineChars="100" w:firstLine="112"/>
              <w:rPr>
                <w:rFonts w:ascii="Times New Roman" w:eastAsia="Times New Roman" w:hAnsi="Times New Roman" w:cs="Times New Roman"/>
                <w:color w:val="000000"/>
                <w:lang w:eastAsia="en-GB"/>
              </w:rPr>
            </w:pPr>
            <w:r w:rsidRPr="00666AB4">
              <w:rPr>
                <w:rFonts w:ascii="Times New Roman" w:eastAsia="Times New Roman" w:hAnsi="Times New Roman" w:cs="Times New Roman"/>
                <w:color w:val="000000"/>
                <w:lang w:eastAsia="en-GB"/>
              </w:rPr>
              <w:t>£10,000 - £14,999</w:t>
            </w:r>
          </w:p>
        </w:tc>
        <w:tc>
          <w:tcPr>
            <w:tcW w:w="890" w:type="dxa"/>
            <w:tcBorders>
              <w:top w:val="nil"/>
              <w:left w:val="nil"/>
              <w:bottom w:val="nil"/>
              <w:right w:val="nil"/>
            </w:tcBorders>
            <w:shd w:val="clear" w:color="auto" w:fill="auto"/>
            <w:noWrap/>
            <w:vAlign w:val="bottom"/>
            <w:hideMark/>
          </w:tcPr>
          <w:p w14:paraId="05FD598A"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9.5</w:t>
            </w:r>
          </w:p>
        </w:tc>
        <w:tc>
          <w:tcPr>
            <w:tcW w:w="656" w:type="dxa"/>
            <w:tcBorders>
              <w:top w:val="nil"/>
              <w:left w:val="nil"/>
              <w:bottom w:val="nil"/>
              <w:right w:val="nil"/>
            </w:tcBorders>
            <w:shd w:val="clear" w:color="auto" w:fill="auto"/>
            <w:noWrap/>
            <w:vAlign w:val="bottom"/>
            <w:hideMark/>
          </w:tcPr>
          <w:p w14:paraId="6360B40F"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14.7</w:t>
            </w:r>
          </w:p>
        </w:tc>
        <w:tc>
          <w:tcPr>
            <w:tcW w:w="656" w:type="dxa"/>
            <w:tcBorders>
              <w:top w:val="nil"/>
              <w:left w:val="nil"/>
              <w:bottom w:val="nil"/>
              <w:right w:val="nil"/>
            </w:tcBorders>
            <w:shd w:val="clear" w:color="auto" w:fill="auto"/>
            <w:noWrap/>
            <w:vAlign w:val="bottom"/>
            <w:hideMark/>
          </w:tcPr>
          <w:p w14:paraId="0FE894BE"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6.5</w:t>
            </w:r>
          </w:p>
        </w:tc>
        <w:tc>
          <w:tcPr>
            <w:tcW w:w="271" w:type="dxa"/>
            <w:tcBorders>
              <w:top w:val="nil"/>
              <w:left w:val="nil"/>
              <w:bottom w:val="nil"/>
              <w:right w:val="nil"/>
            </w:tcBorders>
            <w:shd w:val="clear" w:color="auto" w:fill="auto"/>
            <w:noWrap/>
            <w:vAlign w:val="bottom"/>
            <w:hideMark/>
          </w:tcPr>
          <w:p w14:paraId="689F0913"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718" w:type="dxa"/>
            <w:tcBorders>
              <w:top w:val="nil"/>
              <w:left w:val="nil"/>
              <w:bottom w:val="nil"/>
              <w:right w:val="nil"/>
            </w:tcBorders>
            <w:shd w:val="clear" w:color="auto" w:fill="auto"/>
            <w:noWrap/>
            <w:vAlign w:val="bottom"/>
            <w:hideMark/>
          </w:tcPr>
          <w:p w14:paraId="382C05C1"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9.2</w:t>
            </w:r>
          </w:p>
        </w:tc>
        <w:tc>
          <w:tcPr>
            <w:tcW w:w="656" w:type="dxa"/>
            <w:tcBorders>
              <w:top w:val="nil"/>
              <w:left w:val="nil"/>
              <w:bottom w:val="nil"/>
              <w:right w:val="nil"/>
            </w:tcBorders>
            <w:shd w:val="clear" w:color="auto" w:fill="auto"/>
            <w:noWrap/>
            <w:vAlign w:val="bottom"/>
            <w:hideMark/>
          </w:tcPr>
          <w:p w14:paraId="0BE58D84"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13.5</w:t>
            </w:r>
          </w:p>
        </w:tc>
        <w:tc>
          <w:tcPr>
            <w:tcW w:w="656" w:type="dxa"/>
            <w:tcBorders>
              <w:top w:val="nil"/>
              <w:left w:val="nil"/>
              <w:bottom w:val="nil"/>
              <w:right w:val="nil"/>
            </w:tcBorders>
            <w:shd w:val="clear" w:color="auto" w:fill="auto"/>
            <w:noWrap/>
            <w:vAlign w:val="bottom"/>
            <w:hideMark/>
          </w:tcPr>
          <w:p w14:paraId="0072B09D"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5.8</w:t>
            </w:r>
          </w:p>
        </w:tc>
        <w:tc>
          <w:tcPr>
            <w:tcW w:w="271" w:type="dxa"/>
            <w:tcBorders>
              <w:top w:val="nil"/>
              <w:left w:val="nil"/>
              <w:bottom w:val="nil"/>
              <w:right w:val="nil"/>
            </w:tcBorders>
            <w:shd w:val="clear" w:color="auto" w:fill="auto"/>
            <w:noWrap/>
            <w:vAlign w:val="bottom"/>
            <w:hideMark/>
          </w:tcPr>
          <w:p w14:paraId="4AEE183A"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718" w:type="dxa"/>
            <w:tcBorders>
              <w:top w:val="nil"/>
              <w:left w:val="nil"/>
              <w:bottom w:val="nil"/>
              <w:right w:val="nil"/>
            </w:tcBorders>
            <w:shd w:val="clear" w:color="auto" w:fill="auto"/>
            <w:noWrap/>
            <w:vAlign w:val="bottom"/>
            <w:hideMark/>
          </w:tcPr>
          <w:p w14:paraId="2B2454D2"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9.7</w:t>
            </w:r>
          </w:p>
        </w:tc>
        <w:tc>
          <w:tcPr>
            <w:tcW w:w="656" w:type="dxa"/>
            <w:tcBorders>
              <w:top w:val="nil"/>
              <w:left w:val="nil"/>
              <w:bottom w:val="nil"/>
              <w:right w:val="nil"/>
            </w:tcBorders>
            <w:shd w:val="clear" w:color="auto" w:fill="auto"/>
            <w:noWrap/>
            <w:vAlign w:val="bottom"/>
            <w:hideMark/>
          </w:tcPr>
          <w:p w14:paraId="2BD6C2E0"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15.8</w:t>
            </w:r>
          </w:p>
        </w:tc>
        <w:tc>
          <w:tcPr>
            <w:tcW w:w="656" w:type="dxa"/>
            <w:tcBorders>
              <w:top w:val="nil"/>
              <w:left w:val="nil"/>
              <w:bottom w:val="nil"/>
              <w:right w:val="nil"/>
            </w:tcBorders>
            <w:shd w:val="clear" w:color="auto" w:fill="auto"/>
            <w:noWrap/>
            <w:vAlign w:val="bottom"/>
            <w:hideMark/>
          </w:tcPr>
          <w:p w14:paraId="68FEC2E5"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6.9</w:t>
            </w:r>
          </w:p>
        </w:tc>
      </w:tr>
      <w:tr w:rsidR="00F92A14" w:rsidRPr="00666AB4" w14:paraId="33CB29D8" w14:textId="77777777" w:rsidTr="00F92A14">
        <w:trPr>
          <w:trHeight w:val="288"/>
        </w:trPr>
        <w:tc>
          <w:tcPr>
            <w:tcW w:w="4770" w:type="dxa"/>
            <w:tcBorders>
              <w:top w:val="nil"/>
              <w:left w:val="nil"/>
              <w:bottom w:val="nil"/>
              <w:right w:val="nil"/>
            </w:tcBorders>
            <w:shd w:val="clear" w:color="auto" w:fill="auto"/>
            <w:noWrap/>
            <w:vAlign w:val="center"/>
            <w:hideMark/>
          </w:tcPr>
          <w:p w14:paraId="423FAE22" w14:textId="77777777" w:rsidR="00F92A14" w:rsidRPr="00666AB4" w:rsidRDefault="00F92A14" w:rsidP="00F92A14">
            <w:pPr>
              <w:spacing w:after="0" w:line="240" w:lineRule="auto"/>
              <w:ind w:firstLineChars="100" w:firstLine="112"/>
              <w:rPr>
                <w:rFonts w:ascii="Times New Roman" w:eastAsia="Times New Roman" w:hAnsi="Times New Roman" w:cs="Times New Roman"/>
                <w:color w:val="000000"/>
                <w:lang w:eastAsia="en-GB"/>
              </w:rPr>
            </w:pPr>
            <w:r w:rsidRPr="00666AB4">
              <w:rPr>
                <w:rFonts w:ascii="Times New Roman" w:eastAsia="Times New Roman" w:hAnsi="Times New Roman" w:cs="Times New Roman"/>
                <w:color w:val="000000"/>
                <w:lang w:eastAsia="en-GB"/>
              </w:rPr>
              <w:t>£15,000 - £19,999</w:t>
            </w:r>
          </w:p>
        </w:tc>
        <w:tc>
          <w:tcPr>
            <w:tcW w:w="890" w:type="dxa"/>
            <w:tcBorders>
              <w:top w:val="nil"/>
              <w:left w:val="nil"/>
              <w:bottom w:val="nil"/>
              <w:right w:val="nil"/>
            </w:tcBorders>
            <w:shd w:val="clear" w:color="auto" w:fill="auto"/>
            <w:noWrap/>
            <w:vAlign w:val="bottom"/>
            <w:hideMark/>
          </w:tcPr>
          <w:p w14:paraId="200830CF"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18.9</w:t>
            </w:r>
          </w:p>
        </w:tc>
        <w:tc>
          <w:tcPr>
            <w:tcW w:w="656" w:type="dxa"/>
            <w:tcBorders>
              <w:top w:val="nil"/>
              <w:left w:val="nil"/>
              <w:bottom w:val="nil"/>
              <w:right w:val="nil"/>
            </w:tcBorders>
            <w:shd w:val="clear" w:color="auto" w:fill="auto"/>
            <w:noWrap/>
            <w:vAlign w:val="bottom"/>
            <w:hideMark/>
          </w:tcPr>
          <w:p w14:paraId="75454299"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24.8</w:t>
            </w:r>
          </w:p>
        </w:tc>
        <w:tc>
          <w:tcPr>
            <w:tcW w:w="656" w:type="dxa"/>
            <w:tcBorders>
              <w:top w:val="nil"/>
              <w:left w:val="nil"/>
              <w:bottom w:val="nil"/>
              <w:right w:val="nil"/>
            </w:tcBorders>
            <w:shd w:val="clear" w:color="auto" w:fill="auto"/>
            <w:noWrap/>
            <w:vAlign w:val="bottom"/>
            <w:hideMark/>
          </w:tcPr>
          <w:p w14:paraId="7D18D9C5"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15.5</w:t>
            </w:r>
          </w:p>
        </w:tc>
        <w:tc>
          <w:tcPr>
            <w:tcW w:w="271" w:type="dxa"/>
            <w:tcBorders>
              <w:top w:val="nil"/>
              <w:left w:val="nil"/>
              <w:bottom w:val="nil"/>
              <w:right w:val="nil"/>
            </w:tcBorders>
            <w:shd w:val="clear" w:color="auto" w:fill="auto"/>
            <w:noWrap/>
            <w:vAlign w:val="bottom"/>
            <w:hideMark/>
          </w:tcPr>
          <w:p w14:paraId="3D6753E0"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718" w:type="dxa"/>
            <w:tcBorders>
              <w:top w:val="nil"/>
              <w:left w:val="nil"/>
              <w:bottom w:val="nil"/>
              <w:right w:val="nil"/>
            </w:tcBorders>
            <w:shd w:val="clear" w:color="auto" w:fill="auto"/>
            <w:noWrap/>
            <w:vAlign w:val="bottom"/>
            <w:hideMark/>
          </w:tcPr>
          <w:p w14:paraId="40099536"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18.2</w:t>
            </w:r>
          </w:p>
        </w:tc>
        <w:tc>
          <w:tcPr>
            <w:tcW w:w="656" w:type="dxa"/>
            <w:tcBorders>
              <w:top w:val="nil"/>
              <w:left w:val="nil"/>
              <w:bottom w:val="nil"/>
              <w:right w:val="nil"/>
            </w:tcBorders>
            <w:shd w:val="clear" w:color="auto" w:fill="auto"/>
            <w:noWrap/>
            <w:vAlign w:val="bottom"/>
            <w:hideMark/>
          </w:tcPr>
          <w:p w14:paraId="4AAE147B"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21.4</w:t>
            </w:r>
          </w:p>
        </w:tc>
        <w:tc>
          <w:tcPr>
            <w:tcW w:w="656" w:type="dxa"/>
            <w:tcBorders>
              <w:top w:val="nil"/>
              <w:left w:val="nil"/>
              <w:bottom w:val="nil"/>
              <w:right w:val="nil"/>
            </w:tcBorders>
            <w:shd w:val="clear" w:color="auto" w:fill="auto"/>
            <w:noWrap/>
            <w:vAlign w:val="bottom"/>
            <w:hideMark/>
          </w:tcPr>
          <w:p w14:paraId="135480B0"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15.7</w:t>
            </w:r>
          </w:p>
        </w:tc>
        <w:tc>
          <w:tcPr>
            <w:tcW w:w="271" w:type="dxa"/>
            <w:tcBorders>
              <w:top w:val="nil"/>
              <w:left w:val="nil"/>
              <w:bottom w:val="nil"/>
              <w:right w:val="nil"/>
            </w:tcBorders>
            <w:shd w:val="clear" w:color="auto" w:fill="auto"/>
            <w:noWrap/>
            <w:vAlign w:val="bottom"/>
            <w:hideMark/>
          </w:tcPr>
          <w:p w14:paraId="2BD996C9"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718" w:type="dxa"/>
            <w:tcBorders>
              <w:top w:val="nil"/>
              <w:left w:val="nil"/>
              <w:bottom w:val="nil"/>
              <w:right w:val="nil"/>
            </w:tcBorders>
            <w:shd w:val="clear" w:color="auto" w:fill="auto"/>
            <w:noWrap/>
            <w:vAlign w:val="bottom"/>
            <w:hideMark/>
          </w:tcPr>
          <w:p w14:paraId="557A755C"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19.3</w:t>
            </w:r>
          </w:p>
        </w:tc>
        <w:tc>
          <w:tcPr>
            <w:tcW w:w="656" w:type="dxa"/>
            <w:tcBorders>
              <w:top w:val="nil"/>
              <w:left w:val="nil"/>
              <w:bottom w:val="nil"/>
              <w:right w:val="nil"/>
            </w:tcBorders>
            <w:shd w:val="clear" w:color="auto" w:fill="auto"/>
            <w:noWrap/>
            <w:vAlign w:val="bottom"/>
            <w:hideMark/>
          </w:tcPr>
          <w:p w14:paraId="55F52A2E"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27.7</w:t>
            </w:r>
          </w:p>
        </w:tc>
        <w:tc>
          <w:tcPr>
            <w:tcW w:w="656" w:type="dxa"/>
            <w:tcBorders>
              <w:top w:val="nil"/>
              <w:left w:val="nil"/>
              <w:bottom w:val="nil"/>
              <w:right w:val="nil"/>
            </w:tcBorders>
            <w:shd w:val="clear" w:color="auto" w:fill="auto"/>
            <w:noWrap/>
            <w:vAlign w:val="bottom"/>
            <w:hideMark/>
          </w:tcPr>
          <w:p w14:paraId="396005CC"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15.3</w:t>
            </w:r>
          </w:p>
        </w:tc>
      </w:tr>
      <w:tr w:rsidR="00F92A14" w:rsidRPr="00666AB4" w14:paraId="6614CF1A" w14:textId="77777777" w:rsidTr="00F92A14">
        <w:trPr>
          <w:trHeight w:val="288"/>
        </w:trPr>
        <w:tc>
          <w:tcPr>
            <w:tcW w:w="4770" w:type="dxa"/>
            <w:tcBorders>
              <w:top w:val="nil"/>
              <w:left w:val="nil"/>
              <w:bottom w:val="nil"/>
              <w:right w:val="nil"/>
            </w:tcBorders>
            <w:shd w:val="clear" w:color="auto" w:fill="auto"/>
            <w:noWrap/>
            <w:vAlign w:val="center"/>
            <w:hideMark/>
          </w:tcPr>
          <w:p w14:paraId="141108EE" w14:textId="77777777" w:rsidR="00F92A14" w:rsidRPr="00666AB4" w:rsidRDefault="00F92A14" w:rsidP="00F92A14">
            <w:pPr>
              <w:spacing w:after="0" w:line="240" w:lineRule="auto"/>
              <w:ind w:firstLineChars="100" w:firstLine="112"/>
              <w:rPr>
                <w:rFonts w:ascii="Times New Roman" w:eastAsia="Times New Roman" w:hAnsi="Times New Roman" w:cs="Times New Roman"/>
                <w:color w:val="000000"/>
                <w:lang w:eastAsia="en-GB"/>
              </w:rPr>
            </w:pPr>
            <w:r w:rsidRPr="00666AB4">
              <w:rPr>
                <w:rFonts w:ascii="Times New Roman" w:eastAsia="Times New Roman" w:hAnsi="Times New Roman" w:cs="Times New Roman"/>
                <w:color w:val="000000"/>
                <w:lang w:eastAsia="en-GB"/>
              </w:rPr>
              <w:t>£20,000 - £24,999</w:t>
            </w:r>
          </w:p>
        </w:tc>
        <w:tc>
          <w:tcPr>
            <w:tcW w:w="890" w:type="dxa"/>
            <w:tcBorders>
              <w:top w:val="nil"/>
              <w:left w:val="nil"/>
              <w:bottom w:val="nil"/>
              <w:right w:val="nil"/>
            </w:tcBorders>
            <w:shd w:val="clear" w:color="auto" w:fill="auto"/>
            <w:noWrap/>
            <w:vAlign w:val="bottom"/>
            <w:hideMark/>
          </w:tcPr>
          <w:p w14:paraId="6C90548C"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26.1</w:t>
            </w:r>
          </w:p>
        </w:tc>
        <w:tc>
          <w:tcPr>
            <w:tcW w:w="656" w:type="dxa"/>
            <w:tcBorders>
              <w:top w:val="nil"/>
              <w:left w:val="nil"/>
              <w:bottom w:val="nil"/>
              <w:right w:val="nil"/>
            </w:tcBorders>
            <w:shd w:val="clear" w:color="auto" w:fill="auto"/>
            <w:noWrap/>
            <w:vAlign w:val="bottom"/>
            <w:hideMark/>
          </w:tcPr>
          <w:p w14:paraId="780860A3"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22.4</w:t>
            </w:r>
          </w:p>
        </w:tc>
        <w:tc>
          <w:tcPr>
            <w:tcW w:w="656" w:type="dxa"/>
            <w:tcBorders>
              <w:top w:val="nil"/>
              <w:left w:val="nil"/>
              <w:bottom w:val="nil"/>
              <w:right w:val="nil"/>
            </w:tcBorders>
            <w:shd w:val="clear" w:color="auto" w:fill="auto"/>
            <w:noWrap/>
            <w:vAlign w:val="bottom"/>
            <w:hideMark/>
          </w:tcPr>
          <w:p w14:paraId="74704F10"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28.2</w:t>
            </w:r>
          </w:p>
        </w:tc>
        <w:tc>
          <w:tcPr>
            <w:tcW w:w="271" w:type="dxa"/>
            <w:tcBorders>
              <w:top w:val="nil"/>
              <w:left w:val="nil"/>
              <w:bottom w:val="nil"/>
              <w:right w:val="nil"/>
            </w:tcBorders>
            <w:shd w:val="clear" w:color="auto" w:fill="auto"/>
            <w:noWrap/>
            <w:vAlign w:val="bottom"/>
            <w:hideMark/>
          </w:tcPr>
          <w:p w14:paraId="139610C7"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718" w:type="dxa"/>
            <w:tcBorders>
              <w:top w:val="nil"/>
              <w:left w:val="nil"/>
              <w:bottom w:val="nil"/>
              <w:right w:val="nil"/>
            </w:tcBorders>
            <w:shd w:val="clear" w:color="auto" w:fill="auto"/>
            <w:noWrap/>
            <w:vAlign w:val="bottom"/>
            <w:hideMark/>
          </w:tcPr>
          <w:p w14:paraId="7F0E4E6C"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27.5</w:t>
            </w:r>
          </w:p>
        </w:tc>
        <w:tc>
          <w:tcPr>
            <w:tcW w:w="656" w:type="dxa"/>
            <w:tcBorders>
              <w:top w:val="nil"/>
              <w:left w:val="nil"/>
              <w:bottom w:val="nil"/>
              <w:right w:val="nil"/>
            </w:tcBorders>
            <w:shd w:val="clear" w:color="auto" w:fill="auto"/>
            <w:noWrap/>
            <w:vAlign w:val="bottom"/>
            <w:hideMark/>
          </w:tcPr>
          <w:p w14:paraId="62E384E9"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26.0</w:t>
            </w:r>
          </w:p>
        </w:tc>
        <w:tc>
          <w:tcPr>
            <w:tcW w:w="656" w:type="dxa"/>
            <w:tcBorders>
              <w:top w:val="nil"/>
              <w:left w:val="nil"/>
              <w:bottom w:val="nil"/>
              <w:right w:val="nil"/>
            </w:tcBorders>
            <w:shd w:val="clear" w:color="auto" w:fill="auto"/>
            <w:noWrap/>
            <w:vAlign w:val="bottom"/>
            <w:hideMark/>
          </w:tcPr>
          <w:p w14:paraId="4D6ECC44"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28.7</w:t>
            </w:r>
          </w:p>
        </w:tc>
        <w:tc>
          <w:tcPr>
            <w:tcW w:w="271" w:type="dxa"/>
            <w:tcBorders>
              <w:top w:val="nil"/>
              <w:left w:val="nil"/>
              <w:bottom w:val="nil"/>
              <w:right w:val="nil"/>
            </w:tcBorders>
            <w:shd w:val="clear" w:color="auto" w:fill="auto"/>
            <w:noWrap/>
            <w:vAlign w:val="bottom"/>
            <w:hideMark/>
          </w:tcPr>
          <w:p w14:paraId="2E9F1C94"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718" w:type="dxa"/>
            <w:tcBorders>
              <w:top w:val="nil"/>
              <w:left w:val="nil"/>
              <w:bottom w:val="nil"/>
              <w:right w:val="nil"/>
            </w:tcBorders>
            <w:shd w:val="clear" w:color="auto" w:fill="auto"/>
            <w:noWrap/>
            <w:vAlign w:val="bottom"/>
            <w:hideMark/>
          </w:tcPr>
          <w:p w14:paraId="2918255F"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25.2</w:t>
            </w:r>
          </w:p>
        </w:tc>
        <w:tc>
          <w:tcPr>
            <w:tcW w:w="656" w:type="dxa"/>
            <w:tcBorders>
              <w:top w:val="nil"/>
              <w:left w:val="nil"/>
              <w:bottom w:val="nil"/>
              <w:right w:val="nil"/>
            </w:tcBorders>
            <w:shd w:val="clear" w:color="auto" w:fill="auto"/>
            <w:noWrap/>
            <w:vAlign w:val="bottom"/>
            <w:hideMark/>
          </w:tcPr>
          <w:p w14:paraId="1E5E6B8E"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19.3</w:t>
            </w:r>
          </w:p>
        </w:tc>
        <w:tc>
          <w:tcPr>
            <w:tcW w:w="656" w:type="dxa"/>
            <w:tcBorders>
              <w:top w:val="nil"/>
              <w:left w:val="nil"/>
              <w:bottom w:val="nil"/>
              <w:right w:val="nil"/>
            </w:tcBorders>
            <w:shd w:val="clear" w:color="auto" w:fill="auto"/>
            <w:noWrap/>
            <w:vAlign w:val="bottom"/>
            <w:hideMark/>
          </w:tcPr>
          <w:p w14:paraId="2750E959"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27.9</w:t>
            </w:r>
          </w:p>
        </w:tc>
      </w:tr>
      <w:tr w:rsidR="00F92A14" w:rsidRPr="00666AB4" w14:paraId="221C2E4D" w14:textId="77777777" w:rsidTr="00F92A14">
        <w:trPr>
          <w:trHeight w:val="288"/>
        </w:trPr>
        <w:tc>
          <w:tcPr>
            <w:tcW w:w="4770" w:type="dxa"/>
            <w:tcBorders>
              <w:top w:val="nil"/>
              <w:left w:val="nil"/>
              <w:bottom w:val="nil"/>
              <w:right w:val="nil"/>
            </w:tcBorders>
            <w:shd w:val="clear" w:color="auto" w:fill="auto"/>
            <w:noWrap/>
            <w:vAlign w:val="center"/>
            <w:hideMark/>
          </w:tcPr>
          <w:p w14:paraId="4759F522" w14:textId="77777777" w:rsidR="00F92A14" w:rsidRPr="00666AB4" w:rsidRDefault="00F92A14" w:rsidP="00F92A14">
            <w:pPr>
              <w:spacing w:after="0" w:line="240" w:lineRule="auto"/>
              <w:ind w:firstLineChars="100" w:firstLine="112"/>
              <w:rPr>
                <w:rFonts w:ascii="Times New Roman" w:eastAsia="Times New Roman" w:hAnsi="Times New Roman" w:cs="Times New Roman"/>
                <w:color w:val="000000"/>
                <w:lang w:eastAsia="en-GB"/>
              </w:rPr>
            </w:pPr>
            <w:r w:rsidRPr="00666AB4">
              <w:rPr>
                <w:rFonts w:ascii="Times New Roman" w:eastAsia="Times New Roman" w:hAnsi="Times New Roman" w:cs="Times New Roman"/>
                <w:color w:val="000000"/>
                <w:lang w:eastAsia="en-GB"/>
              </w:rPr>
              <w:t xml:space="preserve">over £25,000 </w:t>
            </w:r>
          </w:p>
        </w:tc>
        <w:tc>
          <w:tcPr>
            <w:tcW w:w="890" w:type="dxa"/>
            <w:tcBorders>
              <w:top w:val="nil"/>
              <w:left w:val="nil"/>
              <w:bottom w:val="nil"/>
              <w:right w:val="nil"/>
            </w:tcBorders>
            <w:shd w:val="clear" w:color="auto" w:fill="auto"/>
            <w:noWrap/>
            <w:vAlign w:val="bottom"/>
            <w:hideMark/>
          </w:tcPr>
          <w:p w14:paraId="611DE746"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15.6</w:t>
            </w:r>
          </w:p>
        </w:tc>
        <w:tc>
          <w:tcPr>
            <w:tcW w:w="656" w:type="dxa"/>
            <w:tcBorders>
              <w:top w:val="nil"/>
              <w:left w:val="nil"/>
              <w:bottom w:val="nil"/>
              <w:right w:val="nil"/>
            </w:tcBorders>
            <w:shd w:val="clear" w:color="auto" w:fill="auto"/>
            <w:noWrap/>
            <w:vAlign w:val="bottom"/>
            <w:hideMark/>
          </w:tcPr>
          <w:p w14:paraId="533E6509"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4.7</w:t>
            </w:r>
          </w:p>
        </w:tc>
        <w:tc>
          <w:tcPr>
            <w:tcW w:w="656" w:type="dxa"/>
            <w:tcBorders>
              <w:top w:val="nil"/>
              <w:left w:val="nil"/>
              <w:bottom w:val="nil"/>
              <w:right w:val="nil"/>
            </w:tcBorders>
            <w:shd w:val="clear" w:color="auto" w:fill="auto"/>
            <w:noWrap/>
            <w:vAlign w:val="bottom"/>
            <w:hideMark/>
          </w:tcPr>
          <w:p w14:paraId="1BB6E6BC"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21.9</w:t>
            </w:r>
          </w:p>
        </w:tc>
        <w:tc>
          <w:tcPr>
            <w:tcW w:w="271" w:type="dxa"/>
            <w:tcBorders>
              <w:top w:val="nil"/>
              <w:left w:val="nil"/>
              <w:bottom w:val="nil"/>
              <w:right w:val="nil"/>
            </w:tcBorders>
            <w:shd w:val="clear" w:color="auto" w:fill="auto"/>
            <w:noWrap/>
            <w:vAlign w:val="bottom"/>
            <w:hideMark/>
          </w:tcPr>
          <w:p w14:paraId="52BE7351"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718" w:type="dxa"/>
            <w:tcBorders>
              <w:top w:val="nil"/>
              <w:left w:val="nil"/>
              <w:bottom w:val="nil"/>
              <w:right w:val="nil"/>
            </w:tcBorders>
            <w:shd w:val="clear" w:color="auto" w:fill="auto"/>
            <w:noWrap/>
            <w:vAlign w:val="bottom"/>
            <w:hideMark/>
          </w:tcPr>
          <w:p w14:paraId="6F5ACD07"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16.4</w:t>
            </w:r>
          </w:p>
        </w:tc>
        <w:tc>
          <w:tcPr>
            <w:tcW w:w="656" w:type="dxa"/>
            <w:tcBorders>
              <w:top w:val="nil"/>
              <w:left w:val="nil"/>
              <w:bottom w:val="nil"/>
              <w:right w:val="nil"/>
            </w:tcBorders>
            <w:shd w:val="clear" w:color="auto" w:fill="auto"/>
            <w:noWrap/>
            <w:vAlign w:val="bottom"/>
            <w:hideMark/>
          </w:tcPr>
          <w:p w14:paraId="0978873F"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7.0</w:t>
            </w:r>
          </w:p>
        </w:tc>
        <w:tc>
          <w:tcPr>
            <w:tcW w:w="656" w:type="dxa"/>
            <w:tcBorders>
              <w:top w:val="nil"/>
              <w:left w:val="nil"/>
              <w:bottom w:val="nil"/>
              <w:right w:val="nil"/>
            </w:tcBorders>
            <w:shd w:val="clear" w:color="auto" w:fill="auto"/>
            <w:noWrap/>
            <w:vAlign w:val="bottom"/>
            <w:hideMark/>
          </w:tcPr>
          <w:p w14:paraId="6FE93F8B"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23.8</w:t>
            </w:r>
          </w:p>
        </w:tc>
        <w:tc>
          <w:tcPr>
            <w:tcW w:w="271" w:type="dxa"/>
            <w:tcBorders>
              <w:top w:val="nil"/>
              <w:left w:val="nil"/>
              <w:bottom w:val="nil"/>
              <w:right w:val="nil"/>
            </w:tcBorders>
            <w:shd w:val="clear" w:color="auto" w:fill="auto"/>
            <w:noWrap/>
            <w:vAlign w:val="bottom"/>
            <w:hideMark/>
          </w:tcPr>
          <w:p w14:paraId="6237B885"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718" w:type="dxa"/>
            <w:tcBorders>
              <w:top w:val="nil"/>
              <w:left w:val="nil"/>
              <w:bottom w:val="nil"/>
              <w:right w:val="nil"/>
            </w:tcBorders>
            <w:shd w:val="clear" w:color="auto" w:fill="auto"/>
            <w:noWrap/>
            <w:vAlign w:val="bottom"/>
            <w:hideMark/>
          </w:tcPr>
          <w:p w14:paraId="0EAEBE6E"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15.1</w:t>
            </w:r>
          </w:p>
        </w:tc>
        <w:tc>
          <w:tcPr>
            <w:tcW w:w="656" w:type="dxa"/>
            <w:tcBorders>
              <w:top w:val="nil"/>
              <w:left w:val="nil"/>
              <w:bottom w:val="nil"/>
              <w:right w:val="nil"/>
            </w:tcBorders>
            <w:shd w:val="clear" w:color="auto" w:fill="auto"/>
            <w:noWrap/>
            <w:vAlign w:val="bottom"/>
            <w:hideMark/>
          </w:tcPr>
          <w:p w14:paraId="60CC3BF4"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2.7</w:t>
            </w:r>
          </w:p>
        </w:tc>
        <w:tc>
          <w:tcPr>
            <w:tcW w:w="656" w:type="dxa"/>
            <w:tcBorders>
              <w:top w:val="nil"/>
              <w:left w:val="nil"/>
              <w:bottom w:val="nil"/>
              <w:right w:val="nil"/>
            </w:tcBorders>
            <w:shd w:val="clear" w:color="auto" w:fill="auto"/>
            <w:noWrap/>
            <w:vAlign w:val="bottom"/>
            <w:hideMark/>
          </w:tcPr>
          <w:p w14:paraId="1624F01C"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20.9</w:t>
            </w:r>
          </w:p>
        </w:tc>
      </w:tr>
      <w:tr w:rsidR="00F92A14" w:rsidRPr="00666AB4" w14:paraId="2D65A3FC" w14:textId="77777777" w:rsidTr="00F92A14">
        <w:trPr>
          <w:trHeight w:val="288"/>
        </w:trPr>
        <w:tc>
          <w:tcPr>
            <w:tcW w:w="4770" w:type="dxa"/>
            <w:tcBorders>
              <w:top w:val="nil"/>
              <w:left w:val="nil"/>
              <w:bottom w:val="nil"/>
              <w:right w:val="nil"/>
            </w:tcBorders>
            <w:shd w:val="clear" w:color="auto" w:fill="auto"/>
            <w:noWrap/>
            <w:vAlign w:val="center"/>
            <w:hideMark/>
          </w:tcPr>
          <w:p w14:paraId="2E29086E" w14:textId="77777777" w:rsidR="00F92A14" w:rsidRPr="00666AB4" w:rsidRDefault="00F92A14" w:rsidP="00F92A14">
            <w:pPr>
              <w:spacing w:after="0" w:line="240" w:lineRule="auto"/>
              <w:ind w:firstLineChars="100" w:firstLine="112"/>
              <w:rPr>
                <w:rFonts w:ascii="Times New Roman" w:eastAsia="Times New Roman" w:hAnsi="Times New Roman" w:cs="Times New Roman"/>
                <w:color w:val="000000"/>
                <w:lang w:eastAsia="en-GB"/>
              </w:rPr>
            </w:pPr>
            <w:r w:rsidRPr="00666AB4">
              <w:rPr>
                <w:rFonts w:ascii="Times New Roman" w:eastAsia="Times New Roman" w:hAnsi="Times New Roman" w:cs="Times New Roman"/>
                <w:color w:val="000000"/>
                <w:lang w:eastAsia="en-GB"/>
              </w:rPr>
              <w:t>Don’t know/Prefer not to say</w:t>
            </w:r>
          </w:p>
        </w:tc>
        <w:tc>
          <w:tcPr>
            <w:tcW w:w="890" w:type="dxa"/>
            <w:tcBorders>
              <w:top w:val="nil"/>
              <w:left w:val="nil"/>
              <w:bottom w:val="nil"/>
              <w:right w:val="nil"/>
            </w:tcBorders>
            <w:shd w:val="clear" w:color="auto" w:fill="auto"/>
            <w:noWrap/>
            <w:vAlign w:val="bottom"/>
            <w:hideMark/>
          </w:tcPr>
          <w:p w14:paraId="7735303C"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11.0</w:t>
            </w:r>
          </w:p>
        </w:tc>
        <w:tc>
          <w:tcPr>
            <w:tcW w:w="656" w:type="dxa"/>
            <w:tcBorders>
              <w:top w:val="nil"/>
              <w:left w:val="nil"/>
              <w:bottom w:val="nil"/>
              <w:right w:val="nil"/>
            </w:tcBorders>
            <w:shd w:val="clear" w:color="auto" w:fill="auto"/>
            <w:noWrap/>
            <w:vAlign w:val="bottom"/>
            <w:hideMark/>
          </w:tcPr>
          <w:p w14:paraId="4E886A8D"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10.5</w:t>
            </w:r>
          </w:p>
        </w:tc>
        <w:tc>
          <w:tcPr>
            <w:tcW w:w="656" w:type="dxa"/>
            <w:tcBorders>
              <w:top w:val="nil"/>
              <w:left w:val="nil"/>
              <w:bottom w:val="nil"/>
              <w:right w:val="nil"/>
            </w:tcBorders>
            <w:shd w:val="clear" w:color="auto" w:fill="auto"/>
            <w:noWrap/>
            <w:vAlign w:val="bottom"/>
            <w:hideMark/>
          </w:tcPr>
          <w:p w14:paraId="626C8DB2"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11.4</w:t>
            </w:r>
          </w:p>
        </w:tc>
        <w:tc>
          <w:tcPr>
            <w:tcW w:w="271" w:type="dxa"/>
            <w:tcBorders>
              <w:top w:val="nil"/>
              <w:left w:val="nil"/>
              <w:bottom w:val="nil"/>
              <w:right w:val="nil"/>
            </w:tcBorders>
            <w:shd w:val="clear" w:color="auto" w:fill="auto"/>
            <w:noWrap/>
            <w:vAlign w:val="bottom"/>
            <w:hideMark/>
          </w:tcPr>
          <w:p w14:paraId="7984C3C5"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718" w:type="dxa"/>
            <w:tcBorders>
              <w:top w:val="nil"/>
              <w:left w:val="nil"/>
              <w:bottom w:val="nil"/>
              <w:right w:val="nil"/>
            </w:tcBorders>
            <w:shd w:val="clear" w:color="auto" w:fill="auto"/>
            <w:noWrap/>
            <w:vAlign w:val="bottom"/>
            <w:hideMark/>
          </w:tcPr>
          <w:p w14:paraId="75576229"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10.2</w:t>
            </w:r>
          </w:p>
        </w:tc>
        <w:tc>
          <w:tcPr>
            <w:tcW w:w="656" w:type="dxa"/>
            <w:tcBorders>
              <w:top w:val="nil"/>
              <w:left w:val="nil"/>
              <w:bottom w:val="nil"/>
              <w:right w:val="nil"/>
            </w:tcBorders>
            <w:shd w:val="clear" w:color="auto" w:fill="auto"/>
            <w:noWrap/>
            <w:vAlign w:val="bottom"/>
            <w:hideMark/>
          </w:tcPr>
          <w:p w14:paraId="345DBA01"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11.0</w:t>
            </w:r>
          </w:p>
        </w:tc>
        <w:tc>
          <w:tcPr>
            <w:tcW w:w="656" w:type="dxa"/>
            <w:tcBorders>
              <w:top w:val="nil"/>
              <w:left w:val="nil"/>
              <w:bottom w:val="nil"/>
              <w:right w:val="nil"/>
            </w:tcBorders>
            <w:shd w:val="clear" w:color="auto" w:fill="auto"/>
            <w:noWrap/>
            <w:vAlign w:val="bottom"/>
            <w:hideMark/>
          </w:tcPr>
          <w:p w14:paraId="0AB57CA0"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9.6</w:t>
            </w:r>
          </w:p>
        </w:tc>
        <w:tc>
          <w:tcPr>
            <w:tcW w:w="271" w:type="dxa"/>
            <w:tcBorders>
              <w:top w:val="nil"/>
              <w:left w:val="nil"/>
              <w:bottom w:val="nil"/>
              <w:right w:val="nil"/>
            </w:tcBorders>
            <w:shd w:val="clear" w:color="auto" w:fill="auto"/>
            <w:noWrap/>
            <w:vAlign w:val="bottom"/>
            <w:hideMark/>
          </w:tcPr>
          <w:p w14:paraId="6F7ACBCE"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718" w:type="dxa"/>
            <w:tcBorders>
              <w:top w:val="nil"/>
              <w:left w:val="nil"/>
              <w:bottom w:val="nil"/>
              <w:right w:val="nil"/>
            </w:tcBorders>
            <w:shd w:val="clear" w:color="auto" w:fill="auto"/>
            <w:noWrap/>
            <w:vAlign w:val="bottom"/>
            <w:hideMark/>
          </w:tcPr>
          <w:p w14:paraId="54E99B31"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11.6</w:t>
            </w:r>
          </w:p>
        </w:tc>
        <w:tc>
          <w:tcPr>
            <w:tcW w:w="656" w:type="dxa"/>
            <w:tcBorders>
              <w:top w:val="nil"/>
              <w:left w:val="nil"/>
              <w:bottom w:val="nil"/>
              <w:right w:val="nil"/>
            </w:tcBorders>
            <w:shd w:val="clear" w:color="auto" w:fill="auto"/>
            <w:noWrap/>
            <w:vAlign w:val="bottom"/>
            <w:hideMark/>
          </w:tcPr>
          <w:p w14:paraId="20F37C4C"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10.1</w:t>
            </w:r>
          </w:p>
        </w:tc>
        <w:tc>
          <w:tcPr>
            <w:tcW w:w="656" w:type="dxa"/>
            <w:tcBorders>
              <w:top w:val="nil"/>
              <w:left w:val="nil"/>
              <w:bottom w:val="nil"/>
              <w:right w:val="nil"/>
            </w:tcBorders>
            <w:shd w:val="clear" w:color="auto" w:fill="auto"/>
            <w:noWrap/>
            <w:vAlign w:val="bottom"/>
            <w:hideMark/>
          </w:tcPr>
          <w:p w14:paraId="37F42CC0"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12.3</w:t>
            </w:r>
          </w:p>
        </w:tc>
      </w:tr>
      <w:tr w:rsidR="00F92A14" w:rsidRPr="00666AB4" w14:paraId="79B9554C" w14:textId="77777777" w:rsidTr="00F92A14">
        <w:trPr>
          <w:trHeight w:val="96"/>
        </w:trPr>
        <w:tc>
          <w:tcPr>
            <w:tcW w:w="4770" w:type="dxa"/>
            <w:tcBorders>
              <w:top w:val="nil"/>
              <w:left w:val="nil"/>
              <w:bottom w:val="nil"/>
              <w:right w:val="nil"/>
            </w:tcBorders>
            <w:shd w:val="clear" w:color="auto" w:fill="auto"/>
            <w:noWrap/>
            <w:vAlign w:val="center"/>
            <w:hideMark/>
          </w:tcPr>
          <w:p w14:paraId="2F50B30B"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890" w:type="dxa"/>
            <w:tcBorders>
              <w:top w:val="nil"/>
              <w:left w:val="nil"/>
              <w:bottom w:val="nil"/>
              <w:right w:val="nil"/>
            </w:tcBorders>
            <w:shd w:val="clear" w:color="auto" w:fill="auto"/>
            <w:noWrap/>
            <w:vAlign w:val="bottom"/>
            <w:hideMark/>
          </w:tcPr>
          <w:p w14:paraId="45F18530" w14:textId="77777777" w:rsidR="00F92A14" w:rsidRPr="00666AB4" w:rsidRDefault="00F92A14" w:rsidP="00F92A14">
            <w:pPr>
              <w:spacing w:after="0" w:line="240" w:lineRule="auto"/>
              <w:ind w:firstLineChars="100" w:firstLine="101"/>
              <w:rPr>
                <w:rFonts w:ascii="Times New Roman" w:eastAsia="Times New Roman" w:hAnsi="Times New Roman" w:cs="Times New Roman"/>
                <w:sz w:val="20"/>
                <w:szCs w:val="20"/>
                <w:lang w:eastAsia="en-GB"/>
              </w:rPr>
            </w:pPr>
          </w:p>
        </w:tc>
        <w:tc>
          <w:tcPr>
            <w:tcW w:w="656" w:type="dxa"/>
            <w:tcBorders>
              <w:top w:val="nil"/>
              <w:left w:val="nil"/>
              <w:bottom w:val="nil"/>
              <w:right w:val="nil"/>
            </w:tcBorders>
            <w:shd w:val="clear" w:color="auto" w:fill="auto"/>
            <w:noWrap/>
            <w:vAlign w:val="bottom"/>
            <w:hideMark/>
          </w:tcPr>
          <w:p w14:paraId="5D8F5442" w14:textId="77777777" w:rsidR="00F92A14" w:rsidRPr="00666AB4" w:rsidRDefault="00F92A14" w:rsidP="00F92A14">
            <w:pPr>
              <w:spacing w:after="0" w:line="240" w:lineRule="auto"/>
              <w:rPr>
                <w:rFonts w:ascii="Times New Roman" w:eastAsia="Times New Roman" w:hAnsi="Times New Roman" w:cs="Times New Roman"/>
                <w:sz w:val="20"/>
                <w:szCs w:val="20"/>
                <w:lang w:eastAsia="en-GB"/>
              </w:rPr>
            </w:pPr>
          </w:p>
        </w:tc>
        <w:tc>
          <w:tcPr>
            <w:tcW w:w="656" w:type="dxa"/>
            <w:tcBorders>
              <w:top w:val="nil"/>
              <w:left w:val="nil"/>
              <w:bottom w:val="nil"/>
              <w:right w:val="nil"/>
            </w:tcBorders>
            <w:shd w:val="clear" w:color="auto" w:fill="auto"/>
            <w:noWrap/>
            <w:vAlign w:val="bottom"/>
            <w:hideMark/>
          </w:tcPr>
          <w:p w14:paraId="5EA04F4D" w14:textId="77777777" w:rsidR="00F92A14" w:rsidRPr="00666AB4" w:rsidRDefault="00F92A14" w:rsidP="00F92A14">
            <w:pPr>
              <w:spacing w:after="0" w:line="240" w:lineRule="auto"/>
              <w:rPr>
                <w:rFonts w:ascii="Times New Roman" w:eastAsia="Times New Roman" w:hAnsi="Times New Roman" w:cs="Times New Roman"/>
                <w:sz w:val="20"/>
                <w:szCs w:val="20"/>
                <w:lang w:eastAsia="en-GB"/>
              </w:rPr>
            </w:pPr>
          </w:p>
        </w:tc>
        <w:tc>
          <w:tcPr>
            <w:tcW w:w="271" w:type="dxa"/>
            <w:tcBorders>
              <w:top w:val="nil"/>
              <w:left w:val="nil"/>
              <w:bottom w:val="nil"/>
              <w:right w:val="nil"/>
            </w:tcBorders>
            <w:shd w:val="clear" w:color="auto" w:fill="auto"/>
            <w:noWrap/>
            <w:vAlign w:val="bottom"/>
            <w:hideMark/>
          </w:tcPr>
          <w:p w14:paraId="470F2952" w14:textId="77777777" w:rsidR="00F92A14" w:rsidRPr="00666AB4" w:rsidRDefault="00F92A14" w:rsidP="00F92A14">
            <w:pPr>
              <w:spacing w:after="0" w:line="240" w:lineRule="auto"/>
              <w:rPr>
                <w:rFonts w:ascii="Times New Roman" w:eastAsia="Times New Roman" w:hAnsi="Times New Roman" w:cs="Times New Roman"/>
                <w:sz w:val="20"/>
                <w:szCs w:val="20"/>
                <w:lang w:eastAsia="en-GB"/>
              </w:rPr>
            </w:pPr>
          </w:p>
        </w:tc>
        <w:tc>
          <w:tcPr>
            <w:tcW w:w="718" w:type="dxa"/>
            <w:tcBorders>
              <w:top w:val="nil"/>
              <w:left w:val="nil"/>
              <w:bottom w:val="nil"/>
              <w:right w:val="nil"/>
            </w:tcBorders>
            <w:shd w:val="clear" w:color="auto" w:fill="auto"/>
            <w:noWrap/>
            <w:vAlign w:val="bottom"/>
            <w:hideMark/>
          </w:tcPr>
          <w:p w14:paraId="2BB0FB4B" w14:textId="77777777" w:rsidR="00F92A14" w:rsidRPr="00666AB4" w:rsidRDefault="00F92A14" w:rsidP="00F92A14">
            <w:pPr>
              <w:spacing w:after="0" w:line="240" w:lineRule="auto"/>
              <w:rPr>
                <w:rFonts w:ascii="Times New Roman" w:eastAsia="Times New Roman" w:hAnsi="Times New Roman" w:cs="Times New Roman"/>
                <w:sz w:val="20"/>
                <w:szCs w:val="20"/>
                <w:lang w:eastAsia="en-GB"/>
              </w:rPr>
            </w:pPr>
          </w:p>
        </w:tc>
        <w:tc>
          <w:tcPr>
            <w:tcW w:w="656" w:type="dxa"/>
            <w:tcBorders>
              <w:top w:val="nil"/>
              <w:left w:val="nil"/>
              <w:bottom w:val="nil"/>
              <w:right w:val="nil"/>
            </w:tcBorders>
            <w:shd w:val="clear" w:color="auto" w:fill="auto"/>
            <w:noWrap/>
            <w:vAlign w:val="bottom"/>
            <w:hideMark/>
          </w:tcPr>
          <w:p w14:paraId="3FA5312E" w14:textId="77777777" w:rsidR="00F92A14" w:rsidRPr="00666AB4" w:rsidRDefault="00F92A14" w:rsidP="00F92A14">
            <w:pPr>
              <w:spacing w:after="0" w:line="240" w:lineRule="auto"/>
              <w:rPr>
                <w:rFonts w:ascii="Times New Roman" w:eastAsia="Times New Roman" w:hAnsi="Times New Roman" w:cs="Times New Roman"/>
                <w:sz w:val="20"/>
                <w:szCs w:val="20"/>
                <w:lang w:eastAsia="en-GB"/>
              </w:rPr>
            </w:pPr>
          </w:p>
        </w:tc>
        <w:tc>
          <w:tcPr>
            <w:tcW w:w="656" w:type="dxa"/>
            <w:tcBorders>
              <w:top w:val="nil"/>
              <w:left w:val="nil"/>
              <w:bottom w:val="nil"/>
              <w:right w:val="nil"/>
            </w:tcBorders>
            <w:shd w:val="clear" w:color="auto" w:fill="auto"/>
            <w:noWrap/>
            <w:vAlign w:val="bottom"/>
            <w:hideMark/>
          </w:tcPr>
          <w:p w14:paraId="3F5C8FBF" w14:textId="77777777" w:rsidR="00F92A14" w:rsidRPr="00666AB4" w:rsidRDefault="00F92A14" w:rsidP="00F92A14">
            <w:pPr>
              <w:spacing w:after="0" w:line="240" w:lineRule="auto"/>
              <w:rPr>
                <w:rFonts w:ascii="Times New Roman" w:eastAsia="Times New Roman" w:hAnsi="Times New Roman" w:cs="Times New Roman"/>
                <w:sz w:val="20"/>
                <w:szCs w:val="20"/>
                <w:lang w:eastAsia="en-GB"/>
              </w:rPr>
            </w:pPr>
          </w:p>
        </w:tc>
        <w:tc>
          <w:tcPr>
            <w:tcW w:w="271" w:type="dxa"/>
            <w:tcBorders>
              <w:top w:val="nil"/>
              <w:left w:val="nil"/>
              <w:bottom w:val="nil"/>
              <w:right w:val="nil"/>
            </w:tcBorders>
            <w:shd w:val="clear" w:color="auto" w:fill="auto"/>
            <w:noWrap/>
            <w:vAlign w:val="bottom"/>
            <w:hideMark/>
          </w:tcPr>
          <w:p w14:paraId="5D036AA7" w14:textId="77777777" w:rsidR="00F92A14" w:rsidRPr="00666AB4" w:rsidRDefault="00F92A14" w:rsidP="00F92A14">
            <w:pPr>
              <w:spacing w:after="0" w:line="240" w:lineRule="auto"/>
              <w:rPr>
                <w:rFonts w:ascii="Times New Roman" w:eastAsia="Times New Roman" w:hAnsi="Times New Roman" w:cs="Times New Roman"/>
                <w:sz w:val="20"/>
                <w:szCs w:val="20"/>
                <w:lang w:eastAsia="en-GB"/>
              </w:rPr>
            </w:pPr>
          </w:p>
        </w:tc>
        <w:tc>
          <w:tcPr>
            <w:tcW w:w="718" w:type="dxa"/>
            <w:tcBorders>
              <w:top w:val="nil"/>
              <w:left w:val="nil"/>
              <w:bottom w:val="nil"/>
              <w:right w:val="nil"/>
            </w:tcBorders>
            <w:shd w:val="clear" w:color="auto" w:fill="auto"/>
            <w:noWrap/>
            <w:vAlign w:val="bottom"/>
            <w:hideMark/>
          </w:tcPr>
          <w:p w14:paraId="671F6175" w14:textId="77777777" w:rsidR="00F92A14" w:rsidRPr="00666AB4" w:rsidRDefault="00F92A14" w:rsidP="00F92A14">
            <w:pPr>
              <w:spacing w:after="0" w:line="240" w:lineRule="auto"/>
              <w:rPr>
                <w:rFonts w:ascii="Times New Roman" w:eastAsia="Times New Roman" w:hAnsi="Times New Roman" w:cs="Times New Roman"/>
                <w:sz w:val="20"/>
                <w:szCs w:val="20"/>
                <w:lang w:eastAsia="en-GB"/>
              </w:rPr>
            </w:pPr>
          </w:p>
        </w:tc>
        <w:tc>
          <w:tcPr>
            <w:tcW w:w="656" w:type="dxa"/>
            <w:tcBorders>
              <w:top w:val="nil"/>
              <w:left w:val="nil"/>
              <w:bottom w:val="nil"/>
              <w:right w:val="nil"/>
            </w:tcBorders>
            <w:shd w:val="clear" w:color="auto" w:fill="auto"/>
            <w:noWrap/>
            <w:vAlign w:val="bottom"/>
            <w:hideMark/>
          </w:tcPr>
          <w:p w14:paraId="39EAA8B6" w14:textId="77777777" w:rsidR="00F92A14" w:rsidRPr="00666AB4" w:rsidRDefault="00F92A14" w:rsidP="00F92A14">
            <w:pPr>
              <w:spacing w:after="0" w:line="240" w:lineRule="auto"/>
              <w:rPr>
                <w:rFonts w:ascii="Times New Roman" w:eastAsia="Times New Roman" w:hAnsi="Times New Roman" w:cs="Times New Roman"/>
                <w:sz w:val="20"/>
                <w:szCs w:val="20"/>
                <w:lang w:eastAsia="en-GB"/>
              </w:rPr>
            </w:pPr>
          </w:p>
        </w:tc>
        <w:tc>
          <w:tcPr>
            <w:tcW w:w="656" w:type="dxa"/>
            <w:tcBorders>
              <w:top w:val="nil"/>
              <w:left w:val="nil"/>
              <w:bottom w:val="nil"/>
              <w:right w:val="nil"/>
            </w:tcBorders>
            <w:shd w:val="clear" w:color="auto" w:fill="auto"/>
            <w:noWrap/>
            <w:vAlign w:val="bottom"/>
            <w:hideMark/>
          </w:tcPr>
          <w:p w14:paraId="7A571479" w14:textId="77777777" w:rsidR="00F92A14" w:rsidRPr="00666AB4" w:rsidRDefault="00F92A14" w:rsidP="00F92A14">
            <w:pPr>
              <w:spacing w:after="0" w:line="240" w:lineRule="auto"/>
              <w:rPr>
                <w:rFonts w:ascii="Times New Roman" w:eastAsia="Times New Roman" w:hAnsi="Times New Roman" w:cs="Times New Roman"/>
                <w:sz w:val="20"/>
                <w:szCs w:val="20"/>
                <w:lang w:eastAsia="en-GB"/>
              </w:rPr>
            </w:pPr>
          </w:p>
        </w:tc>
      </w:tr>
      <w:tr w:rsidR="00F92A14" w:rsidRPr="00666AB4" w14:paraId="16791129" w14:textId="77777777" w:rsidTr="00F92A14">
        <w:trPr>
          <w:trHeight w:val="288"/>
        </w:trPr>
        <w:tc>
          <w:tcPr>
            <w:tcW w:w="4770" w:type="dxa"/>
            <w:tcBorders>
              <w:top w:val="nil"/>
              <w:left w:val="nil"/>
              <w:bottom w:val="single" w:sz="4" w:space="0" w:color="auto"/>
              <w:right w:val="nil"/>
            </w:tcBorders>
            <w:shd w:val="clear" w:color="auto" w:fill="auto"/>
            <w:noWrap/>
            <w:vAlign w:val="center"/>
            <w:hideMark/>
          </w:tcPr>
          <w:p w14:paraId="560A41D0" w14:textId="77777777" w:rsidR="00F92A14" w:rsidRPr="00666AB4" w:rsidRDefault="00F92A14" w:rsidP="00F92A14">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Reported less debt in 2014 than original debt</w:t>
            </w:r>
          </w:p>
        </w:tc>
        <w:tc>
          <w:tcPr>
            <w:tcW w:w="890" w:type="dxa"/>
            <w:tcBorders>
              <w:top w:val="nil"/>
              <w:left w:val="nil"/>
              <w:bottom w:val="single" w:sz="4" w:space="0" w:color="auto"/>
              <w:right w:val="nil"/>
            </w:tcBorders>
            <w:shd w:val="clear" w:color="auto" w:fill="auto"/>
            <w:noWrap/>
            <w:vAlign w:val="bottom"/>
            <w:hideMark/>
          </w:tcPr>
          <w:p w14:paraId="628BB67B"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18.6</w:t>
            </w:r>
          </w:p>
        </w:tc>
        <w:tc>
          <w:tcPr>
            <w:tcW w:w="656" w:type="dxa"/>
            <w:tcBorders>
              <w:top w:val="nil"/>
              <w:left w:val="nil"/>
              <w:bottom w:val="single" w:sz="4" w:space="0" w:color="auto"/>
              <w:right w:val="nil"/>
            </w:tcBorders>
            <w:shd w:val="clear" w:color="auto" w:fill="auto"/>
            <w:noWrap/>
            <w:vAlign w:val="bottom"/>
            <w:hideMark/>
          </w:tcPr>
          <w:p w14:paraId="24E4786F"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32.9</w:t>
            </w:r>
          </w:p>
        </w:tc>
        <w:tc>
          <w:tcPr>
            <w:tcW w:w="656" w:type="dxa"/>
            <w:tcBorders>
              <w:top w:val="nil"/>
              <w:left w:val="nil"/>
              <w:bottom w:val="single" w:sz="4" w:space="0" w:color="auto"/>
              <w:right w:val="nil"/>
            </w:tcBorders>
            <w:shd w:val="clear" w:color="auto" w:fill="auto"/>
            <w:noWrap/>
            <w:vAlign w:val="bottom"/>
            <w:hideMark/>
          </w:tcPr>
          <w:p w14:paraId="6BECF571"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10.4</w:t>
            </w:r>
          </w:p>
        </w:tc>
        <w:tc>
          <w:tcPr>
            <w:tcW w:w="271" w:type="dxa"/>
            <w:tcBorders>
              <w:top w:val="nil"/>
              <w:left w:val="nil"/>
              <w:bottom w:val="single" w:sz="4" w:space="0" w:color="auto"/>
              <w:right w:val="nil"/>
            </w:tcBorders>
            <w:shd w:val="clear" w:color="auto" w:fill="auto"/>
            <w:noWrap/>
            <w:vAlign w:val="bottom"/>
            <w:hideMark/>
          </w:tcPr>
          <w:p w14:paraId="7C90D5F3" w14:textId="77777777" w:rsidR="00F92A14" w:rsidRPr="00666AB4" w:rsidRDefault="00F92A14" w:rsidP="00F92A14">
            <w:pPr>
              <w:spacing w:after="0" w:line="240" w:lineRule="auto"/>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 </w:t>
            </w:r>
          </w:p>
        </w:tc>
        <w:tc>
          <w:tcPr>
            <w:tcW w:w="718" w:type="dxa"/>
            <w:tcBorders>
              <w:top w:val="nil"/>
              <w:left w:val="nil"/>
              <w:bottom w:val="single" w:sz="4" w:space="0" w:color="auto"/>
              <w:right w:val="nil"/>
            </w:tcBorders>
            <w:shd w:val="clear" w:color="auto" w:fill="auto"/>
            <w:noWrap/>
            <w:vAlign w:val="bottom"/>
            <w:hideMark/>
          </w:tcPr>
          <w:p w14:paraId="5B6CCCAD"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14.4</w:t>
            </w:r>
          </w:p>
        </w:tc>
        <w:tc>
          <w:tcPr>
            <w:tcW w:w="656" w:type="dxa"/>
            <w:tcBorders>
              <w:top w:val="nil"/>
              <w:left w:val="nil"/>
              <w:bottom w:val="single" w:sz="4" w:space="0" w:color="auto"/>
              <w:right w:val="nil"/>
            </w:tcBorders>
            <w:shd w:val="clear" w:color="auto" w:fill="auto"/>
            <w:noWrap/>
            <w:vAlign w:val="bottom"/>
            <w:hideMark/>
          </w:tcPr>
          <w:p w14:paraId="77F4FD5C"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23.8</w:t>
            </w:r>
          </w:p>
        </w:tc>
        <w:tc>
          <w:tcPr>
            <w:tcW w:w="656" w:type="dxa"/>
            <w:tcBorders>
              <w:top w:val="nil"/>
              <w:left w:val="nil"/>
              <w:bottom w:val="single" w:sz="4" w:space="0" w:color="auto"/>
              <w:right w:val="nil"/>
            </w:tcBorders>
            <w:shd w:val="clear" w:color="auto" w:fill="auto"/>
            <w:noWrap/>
            <w:vAlign w:val="bottom"/>
            <w:hideMark/>
          </w:tcPr>
          <w:p w14:paraId="0CA89D93"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7.0</w:t>
            </w:r>
          </w:p>
        </w:tc>
        <w:tc>
          <w:tcPr>
            <w:tcW w:w="271" w:type="dxa"/>
            <w:tcBorders>
              <w:top w:val="nil"/>
              <w:left w:val="nil"/>
              <w:bottom w:val="single" w:sz="4" w:space="0" w:color="auto"/>
              <w:right w:val="nil"/>
            </w:tcBorders>
            <w:shd w:val="clear" w:color="auto" w:fill="auto"/>
            <w:noWrap/>
            <w:vAlign w:val="bottom"/>
            <w:hideMark/>
          </w:tcPr>
          <w:p w14:paraId="3BB1BA4A" w14:textId="77777777" w:rsidR="00F92A14" w:rsidRPr="00666AB4" w:rsidRDefault="00F92A14" w:rsidP="00F92A14">
            <w:pPr>
              <w:spacing w:after="0" w:line="240" w:lineRule="auto"/>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 </w:t>
            </w:r>
          </w:p>
        </w:tc>
        <w:tc>
          <w:tcPr>
            <w:tcW w:w="718" w:type="dxa"/>
            <w:tcBorders>
              <w:top w:val="nil"/>
              <w:left w:val="nil"/>
              <w:bottom w:val="single" w:sz="4" w:space="0" w:color="auto"/>
              <w:right w:val="nil"/>
            </w:tcBorders>
            <w:shd w:val="clear" w:color="auto" w:fill="auto"/>
            <w:noWrap/>
            <w:vAlign w:val="bottom"/>
            <w:hideMark/>
          </w:tcPr>
          <w:p w14:paraId="2C4470F7"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21.4</w:t>
            </w:r>
          </w:p>
        </w:tc>
        <w:tc>
          <w:tcPr>
            <w:tcW w:w="656" w:type="dxa"/>
            <w:tcBorders>
              <w:top w:val="nil"/>
              <w:left w:val="nil"/>
              <w:bottom w:val="single" w:sz="4" w:space="0" w:color="auto"/>
              <w:right w:val="nil"/>
            </w:tcBorders>
            <w:shd w:val="clear" w:color="auto" w:fill="auto"/>
            <w:noWrap/>
            <w:vAlign w:val="bottom"/>
            <w:hideMark/>
          </w:tcPr>
          <w:p w14:paraId="58AE8387"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40.8</w:t>
            </w:r>
          </w:p>
        </w:tc>
        <w:tc>
          <w:tcPr>
            <w:tcW w:w="656" w:type="dxa"/>
            <w:tcBorders>
              <w:top w:val="nil"/>
              <w:left w:val="nil"/>
              <w:bottom w:val="single" w:sz="4" w:space="0" w:color="auto"/>
              <w:right w:val="nil"/>
            </w:tcBorders>
            <w:shd w:val="clear" w:color="auto" w:fill="auto"/>
            <w:noWrap/>
            <w:vAlign w:val="bottom"/>
            <w:hideMark/>
          </w:tcPr>
          <w:p w14:paraId="39F8BD0B"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12.2</w:t>
            </w:r>
          </w:p>
        </w:tc>
      </w:tr>
    </w:tbl>
    <w:p w14:paraId="3D941448" w14:textId="77777777" w:rsidR="00F92A14" w:rsidRPr="00540AFF" w:rsidRDefault="00F92A14" w:rsidP="00F92A14">
      <w:pPr>
        <w:spacing w:after="0" w:line="240" w:lineRule="auto"/>
        <w:rPr>
          <w:rFonts w:ascii="Times New Roman" w:hAnsi="Times New Roman" w:cs="Times New Roman"/>
          <w:sz w:val="20"/>
        </w:rPr>
      </w:pPr>
      <w:r>
        <w:rPr>
          <w:rFonts w:ascii="Times New Roman" w:hAnsi="Times New Roman" w:cs="Times New Roman"/>
          <w:sz w:val="20"/>
        </w:rPr>
        <w:t>Note: Weighted percentages.</w:t>
      </w:r>
    </w:p>
    <w:p w14:paraId="74DAE572" w14:textId="3BD2F036" w:rsidR="00F92A14" w:rsidRDefault="00F92A14" w:rsidP="00F92A14">
      <w:pPr>
        <w:spacing w:after="0" w:line="240" w:lineRule="auto"/>
        <w:rPr>
          <w:rFonts w:ascii="Times New Roman" w:hAnsi="Times New Roman" w:cs="Times New Roman"/>
          <w:sz w:val="20"/>
        </w:rPr>
      </w:pPr>
      <w:r w:rsidRPr="00540AFF">
        <w:rPr>
          <w:rFonts w:ascii="Times New Roman" w:hAnsi="Times New Roman" w:cs="Times New Roman"/>
          <w:sz w:val="20"/>
        </w:rPr>
        <w:t>N=2,567</w:t>
      </w:r>
    </w:p>
    <w:p w14:paraId="26560B5B" w14:textId="77777777" w:rsidR="00F92A14" w:rsidRDefault="00F92A14">
      <w:pPr>
        <w:rPr>
          <w:rFonts w:ascii="Times New Roman" w:hAnsi="Times New Roman" w:cs="Times New Roman"/>
          <w:sz w:val="20"/>
        </w:rPr>
      </w:pPr>
      <w:r>
        <w:rPr>
          <w:rFonts w:ascii="Times New Roman" w:hAnsi="Times New Roman" w:cs="Times New Roman"/>
          <w:sz w:val="20"/>
        </w:rPr>
        <w:br w:type="page"/>
      </w:r>
    </w:p>
    <w:tbl>
      <w:tblPr>
        <w:tblW w:w="10106" w:type="dxa"/>
        <w:tblLook w:val="04A0" w:firstRow="1" w:lastRow="0" w:firstColumn="1" w:lastColumn="0" w:noHBand="0" w:noVBand="1"/>
      </w:tblPr>
      <w:tblGrid>
        <w:gridCol w:w="5103"/>
        <w:gridCol w:w="718"/>
        <w:gridCol w:w="681"/>
        <w:gridCol w:w="663"/>
        <w:gridCol w:w="663"/>
        <w:gridCol w:w="271"/>
        <w:gridCol w:w="681"/>
        <w:gridCol w:w="663"/>
        <w:gridCol w:w="663"/>
      </w:tblGrid>
      <w:tr w:rsidR="00F92A14" w:rsidRPr="00666AB4" w14:paraId="2AC8AB85" w14:textId="77777777" w:rsidTr="00F92A14">
        <w:trPr>
          <w:trHeight w:val="288"/>
        </w:trPr>
        <w:tc>
          <w:tcPr>
            <w:tcW w:w="10106" w:type="dxa"/>
            <w:gridSpan w:val="9"/>
            <w:tcBorders>
              <w:top w:val="nil"/>
              <w:left w:val="nil"/>
              <w:bottom w:val="single" w:sz="4" w:space="0" w:color="auto"/>
              <w:right w:val="nil"/>
            </w:tcBorders>
            <w:shd w:val="clear" w:color="auto" w:fill="auto"/>
            <w:vAlign w:val="center"/>
            <w:hideMark/>
          </w:tcPr>
          <w:p w14:paraId="070D7831" w14:textId="77777777" w:rsidR="00F92A14" w:rsidRPr="00666AB4" w:rsidRDefault="00F92A14" w:rsidP="00F92A14">
            <w:pPr>
              <w:spacing w:after="0" w:line="240" w:lineRule="auto"/>
              <w:rPr>
                <w:rFonts w:ascii="Times New Roman" w:eastAsia="Times New Roman" w:hAnsi="Times New Roman" w:cs="Times New Roman"/>
                <w:b/>
                <w:bCs/>
                <w:color w:val="000000"/>
                <w:lang w:eastAsia="en-GB"/>
              </w:rPr>
            </w:pPr>
            <w:r w:rsidRPr="00666AB4">
              <w:rPr>
                <w:rFonts w:ascii="Times New Roman" w:eastAsia="Times New Roman" w:hAnsi="Times New Roman" w:cs="Times New Roman"/>
                <w:b/>
                <w:bCs/>
                <w:color w:val="000000"/>
                <w:lang w:eastAsia="en-GB"/>
              </w:rPr>
              <w:lastRenderedPageBreak/>
              <w:t xml:space="preserve">Table 3. Financial source of postgraduate tuition fees by year of undergraduate graduation (percent). </w:t>
            </w:r>
          </w:p>
        </w:tc>
      </w:tr>
      <w:tr w:rsidR="00F92A14" w:rsidRPr="00666AB4" w14:paraId="5725D19C" w14:textId="77777777" w:rsidTr="00F92A14">
        <w:trPr>
          <w:trHeight w:val="690"/>
        </w:trPr>
        <w:tc>
          <w:tcPr>
            <w:tcW w:w="5103" w:type="dxa"/>
            <w:tcBorders>
              <w:top w:val="nil"/>
              <w:left w:val="nil"/>
              <w:bottom w:val="nil"/>
              <w:right w:val="nil"/>
            </w:tcBorders>
            <w:shd w:val="clear" w:color="auto" w:fill="auto"/>
            <w:noWrap/>
            <w:vAlign w:val="bottom"/>
            <w:hideMark/>
          </w:tcPr>
          <w:p w14:paraId="6F68E9BD" w14:textId="77777777" w:rsidR="00F92A14" w:rsidRPr="00666AB4" w:rsidRDefault="00F92A14" w:rsidP="00F92A14">
            <w:pPr>
              <w:spacing w:after="0" w:line="240" w:lineRule="auto"/>
              <w:rPr>
                <w:rFonts w:ascii="Times New Roman" w:eastAsia="Times New Roman" w:hAnsi="Times New Roman" w:cs="Times New Roman"/>
                <w:b/>
                <w:bCs/>
                <w:color w:val="000000"/>
                <w:lang w:eastAsia="en-GB"/>
              </w:rPr>
            </w:pPr>
          </w:p>
        </w:tc>
        <w:tc>
          <w:tcPr>
            <w:tcW w:w="718" w:type="dxa"/>
            <w:tcBorders>
              <w:top w:val="nil"/>
              <w:left w:val="nil"/>
              <w:bottom w:val="nil"/>
              <w:right w:val="nil"/>
            </w:tcBorders>
            <w:shd w:val="clear" w:color="auto" w:fill="auto"/>
            <w:noWrap/>
            <w:vAlign w:val="bottom"/>
            <w:hideMark/>
          </w:tcPr>
          <w:p w14:paraId="26DBE6BE" w14:textId="77777777" w:rsidR="00F92A14" w:rsidRPr="00666AB4" w:rsidRDefault="00F92A14" w:rsidP="00F92A14">
            <w:pPr>
              <w:spacing w:after="0" w:line="240" w:lineRule="auto"/>
              <w:rPr>
                <w:rFonts w:ascii="Times New Roman" w:eastAsia="Times New Roman" w:hAnsi="Times New Roman" w:cs="Times New Roman"/>
                <w:sz w:val="20"/>
                <w:szCs w:val="20"/>
                <w:lang w:eastAsia="en-GB"/>
              </w:rPr>
            </w:pPr>
          </w:p>
        </w:tc>
        <w:tc>
          <w:tcPr>
            <w:tcW w:w="2007" w:type="dxa"/>
            <w:gridSpan w:val="3"/>
            <w:tcBorders>
              <w:top w:val="single" w:sz="4" w:space="0" w:color="auto"/>
              <w:left w:val="nil"/>
              <w:bottom w:val="single" w:sz="4" w:space="0" w:color="auto"/>
              <w:right w:val="nil"/>
            </w:tcBorders>
            <w:shd w:val="clear" w:color="auto" w:fill="auto"/>
            <w:vAlign w:val="bottom"/>
            <w:hideMark/>
          </w:tcPr>
          <w:p w14:paraId="5D2FD89E" w14:textId="77777777" w:rsidR="00F92A14" w:rsidRPr="00666AB4" w:rsidRDefault="00F92A14" w:rsidP="00F92A14">
            <w:pPr>
              <w:spacing w:after="0" w:line="240" w:lineRule="auto"/>
              <w:jc w:val="center"/>
              <w:rPr>
                <w:rFonts w:ascii="Times New Roman" w:eastAsia="Times New Roman" w:hAnsi="Times New Roman" w:cs="Times New Roman"/>
                <w:b/>
                <w:bCs/>
                <w:color w:val="000000"/>
                <w:lang w:eastAsia="en-GB"/>
              </w:rPr>
            </w:pPr>
            <w:r w:rsidRPr="00666AB4">
              <w:rPr>
                <w:rFonts w:ascii="Times New Roman" w:eastAsia="Times New Roman" w:hAnsi="Times New Roman" w:cs="Times New Roman"/>
                <w:b/>
                <w:bCs/>
                <w:color w:val="000000"/>
                <w:lang w:eastAsia="en-GB"/>
              </w:rPr>
              <w:t xml:space="preserve">Currently studying for a postgraduate </w:t>
            </w:r>
            <w:proofErr w:type="spellStart"/>
            <w:r w:rsidRPr="00666AB4">
              <w:rPr>
                <w:rFonts w:ascii="Times New Roman" w:eastAsia="Times New Roman" w:hAnsi="Times New Roman" w:cs="Times New Roman"/>
                <w:b/>
                <w:bCs/>
                <w:color w:val="000000"/>
                <w:lang w:eastAsia="en-GB"/>
              </w:rPr>
              <w:t>degree</w:t>
            </w:r>
            <w:r w:rsidRPr="00666AB4">
              <w:rPr>
                <w:rFonts w:ascii="Times New Roman" w:eastAsia="Times New Roman" w:hAnsi="Times New Roman" w:cs="Times New Roman"/>
                <w:b/>
                <w:bCs/>
                <w:color w:val="000000"/>
                <w:vertAlign w:val="superscript"/>
                <w:lang w:eastAsia="en-GB"/>
              </w:rPr>
              <w:t>i</w:t>
            </w:r>
            <w:proofErr w:type="spellEnd"/>
          </w:p>
        </w:tc>
        <w:tc>
          <w:tcPr>
            <w:tcW w:w="271" w:type="dxa"/>
            <w:tcBorders>
              <w:top w:val="nil"/>
              <w:left w:val="nil"/>
              <w:bottom w:val="nil"/>
              <w:right w:val="nil"/>
            </w:tcBorders>
            <w:shd w:val="clear" w:color="auto" w:fill="auto"/>
            <w:vAlign w:val="bottom"/>
            <w:hideMark/>
          </w:tcPr>
          <w:p w14:paraId="0F961E30" w14:textId="77777777" w:rsidR="00F92A14" w:rsidRPr="00666AB4" w:rsidRDefault="00F92A14" w:rsidP="00F92A14">
            <w:pPr>
              <w:spacing w:after="0" w:line="240" w:lineRule="auto"/>
              <w:jc w:val="center"/>
              <w:rPr>
                <w:rFonts w:ascii="Times New Roman" w:eastAsia="Times New Roman" w:hAnsi="Times New Roman" w:cs="Times New Roman"/>
                <w:b/>
                <w:bCs/>
                <w:color w:val="000000"/>
                <w:lang w:eastAsia="en-GB"/>
              </w:rPr>
            </w:pPr>
          </w:p>
        </w:tc>
        <w:tc>
          <w:tcPr>
            <w:tcW w:w="2007" w:type="dxa"/>
            <w:gridSpan w:val="3"/>
            <w:tcBorders>
              <w:top w:val="single" w:sz="4" w:space="0" w:color="auto"/>
              <w:left w:val="nil"/>
              <w:bottom w:val="single" w:sz="4" w:space="0" w:color="auto"/>
              <w:right w:val="nil"/>
            </w:tcBorders>
            <w:shd w:val="clear" w:color="auto" w:fill="auto"/>
            <w:vAlign w:val="bottom"/>
            <w:hideMark/>
          </w:tcPr>
          <w:p w14:paraId="0D10C36D" w14:textId="77777777" w:rsidR="00F92A14" w:rsidRPr="00666AB4" w:rsidRDefault="00F92A14" w:rsidP="00F92A14">
            <w:pPr>
              <w:spacing w:after="0" w:line="240" w:lineRule="auto"/>
              <w:jc w:val="center"/>
              <w:rPr>
                <w:rFonts w:ascii="Times New Roman" w:eastAsia="Times New Roman" w:hAnsi="Times New Roman" w:cs="Times New Roman"/>
                <w:b/>
                <w:bCs/>
                <w:color w:val="000000"/>
                <w:lang w:eastAsia="en-GB"/>
              </w:rPr>
            </w:pPr>
            <w:r w:rsidRPr="00666AB4">
              <w:rPr>
                <w:rFonts w:ascii="Times New Roman" w:eastAsia="Times New Roman" w:hAnsi="Times New Roman" w:cs="Times New Roman"/>
                <w:b/>
                <w:bCs/>
                <w:color w:val="000000"/>
                <w:lang w:eastAsia="en-GB"/>
              </w:rPr>
              <w:t xml:space="preserve">Previously studied for a postgraduate </w:t>
            </w:r>
            <w:proofErr w:type="spellStart"/>
            <w:r w:rsidRPr="00666AB4">
              <w:rPr>
                <w:rFonts w:ascii="Times New Roman" w:eastAsia="Times New Roman" w:hAnsi="Times New Roman" w:cs="Times New Roman"/>
                <w:b/>
                <w:bCs/>
                <w:color w:val="000000"/>
                <w:lang w:eastAsia="en-GB"/>
              </w:rPr>
              <w:t>degree</w:t>
            </w:r>
            <w:r w:rsidRPr="00666AB4">
              <w:rPr>
                <w:rFonts w:ascii="Times New Roman" w:eastAsia="Times New Roman" w:hAnsi="Times New Roman" w:cs="Times New Roman"/>
                <w:b/>
                <w:bCs/>
                <w:color w:val="000000"/>
                <w:vertAlign w:val="superscript"/>
                <w:lang w:eastAsia="en-GB"/>
              </w:rPr>
              <w:t>ii</w:t>
            </w:r>
            <w:proofErr w:type="spellEnd"/>
          </w:p>
        </w:tc>
      </w:tr>
      <w:tr w:rsidR="00F92A14" w:rsidRPr="00666AB4" w14:paraId="21702172" w14:textId="77777777" w:rsidTr="00F92A14">
        <w:trPr>
          <w:trHeight w:val="288"/>
        </w:trPr>
        <w:tc>
          <w:tcPr>
            <w:tcW w:w="5103" w:type="dxa"/>
            <w:tcBorders>
              <w:top w:val="nil"/>
              <w:left w:val="nil"/>
              <w:bottom w:val="single" w:sz="4" w:space="0" w:color="auto"/>
              <w:right w:val="nil"/>
            </w:tcBorders>
            <w:shd w:val="clear" w:color="auto" w:fill="auto"/>
            <w:noWrap/>
            <w:vAlign w:val="bottom"/>
            <w:hideMark/>
          </w:tcPr>
          <w:p w14:paraId="60E74388" w14:textId="77777777" w:rsidR="00F92A14" w:rsidRPr="00666AB4" w:rsidRDefault="00F92A14" w:rsidP="00F92A14">
            <w:pPr>
              <w:spacing w:after="0" w:line="240" w:lineRule="auto"/>
              <w:rPr>
                <w:rFonts w:ascii="Times New Roman" w:eastAsia="Times New Roman" w:hAnsi="Times New Roman" w:cs="Times New Roman"/>
                <w:color w:val="000000"/>
                <w:lang w:eastAsia="en-GB"/>
              </w:rPr>
            </w:pPr>
            <w:r w:rsidRPr="00666AB4">
              <w:rPr>
                <w:rFonts w:ascii="Times New Roman" w:eastAsia="Times New Roman" w:hAnsi="Times New Roman" w:cs="Times New Roman"/>
                <w:color w:val="000000"/>
                <w:lang w:eastAsia="en-GB"/>
              </w:rPr>
              <w:t>Financial source</w:t>
            </w:r>
          </w:p>
        </w:tc>
        <w:tc>
          <w:tcPr>
            <w:tcW w:w="718" w:type="dxa"/>
            <w:tcBorders>
              <w:top w:val="nil"/>
              <w:left w:val="nil"/>
              <w:bottom w:val="single" w:sz="4" w:space="0" w:color="auto"/>
              <w:right w:val="nil"/>
            </w:tcBorders>
            <w:shd w:val="clear" w:color="auto" w:fill="auto"/>
            <w:noWrap/>
            <w:vAlign w:val="bottom"/>
            <w:hideMark/>
          </w:tcPr>
          <w:p w14:paraId="2316ADE5" w14:textId="77777777" w:rsidR="00F92A14" w:rsidRPr="00666AB4" w:rsidRDefault="00F92A14" w:rsidP="00F92A14">
            <w:pPr>
              <w:spacing w:after="0" w:line="240" w:lineRule="auto"/>
              <w:jc w:val="center"/>
              <w:rPr>
                <w:rFonts w:ascii="Times New Roman" w:eastAsia="Times New Roman" w:hAnsi="Times New Roman" w:cs="Times New Roman"/>
                <w:b/>
                <w:bCs/>
                <w:color w:val="000000"/>
                <w:lang w:eastAsia="en-GB"/>
              </w:rPr>
            </w:pPr>
            <w:r w:rsidRPr="00666AB4">
              <w:rPr>
                <w:rFonts w:ascii="Times New Roman" w:eastAsia="Times New Roman" w:hAnsi="Times New Roman" w:cs="Times New Roman"/>
                <w:b/>
                <w:bCs/>
                <w:color w:val="000000"/>
                <w:lang w:eastAsia="en-GB"/>
              </w:rPr>
              <w:t>Total</w:t>
            </w:r>
          </w:p>
        </w:tc>
        <w:tc>
          <w:tcPr>
            <w:tcW w:w="681" w:type="dxa"/>
            <w:tcBorders>
              <w:top w:val="nil"/>
              <w:left w:val="nil"/>
              <w:bottom w:val="single" w:sz="4" w:space="0" w:color="auto"/>
              <w:right w:val="nil"/>
            </w:tcBorders>
            <w:shd w:val="clear" w:color="auto" w:fill="auto"/>
            <w:noWrap/>
            <w:vAlign w:val="bottom"/>
            <w:hideMark/>
          </w:tcPr>
          <w:p w14:paraId="3819FCD7" w14:textId="77777777" w:rsidR="00F92A14" w:rsidRPr="00666AB4" w:rsidRDefault="00F92A14" w:rsidP="00F92A14">
            <w:pPr>
              <w:spacing w:after="0" w:line="240" w:lineRule="auto"/>
              <w:jc w:val="right"/>
              <w:rPr>
                <w:rFonts w:ascii="Times New Roman" w:eastAsia="Times New Roman" w:hAnsi="Times New Roman" w:cs="Times New Roman"/>
                <w:color w:val="000000"/>
                <w:lang w:eastAsia="en-GB"/>
              </w:rPr>
            </w:pPr>
            <w:r w:rsidRPr="00666AB4">
              <w:rPr>
                <w:rFonts w:ascii="Times New Roman" w:eastAsia="Times New Roman" w:hAnsi="Times New Roman" w:cs="Times New Roman"/>
                <w:color w:val="000000"/>
                <w:lang w:eastAsia="en-GB"/>
              </w:rPr>
              <w:t>Total</w:t>
            </w:r>
          </w:p>
        </w:tc>
        <w:tc>
          <w:tcPr>
            <w:tcW w:w="663" w:type="dxa"/>
            <w:tcBorders>
              <w:top w:val="nil"/>
              <w:left w:val="nil"/>
              <w:bottom w:val="single" w:sz="4" w:space="0" w:color="auto"/>
              <w:right w:val="nil"/>
            </w:tcBorders>
            <w:shd w:val="clear" w:color="auto" w:fill="auto"/>
            <w:noWrap/>
            <w:vAlign w:val="bottom"/>
            <w:hideMark/>
          </w:tcPr>
          <w:p w14:paraId="580584FE" w14:textId="77777777" w:rsidR="00F92A14" w:rsidRPr="00666AB4" w:rsidRDefault="00F92A14" w:rsidP="00F92A14">
            <w:pPr>
              <w:spacing w:after="0" w:line="240" w:lineRule="auto"/>
              <w:jc w:val="right"/>
              <w:rPr>
                <w:rFonts w:ascii="Times New Roman" w:eastAsia="Times New Roman" w:hAnsi="Times New Roman" w:cs="Times New Roman"/>
                <w:color w:val="000000"/>
                <w:lang w:eastAsia="en-GB"/>
              </w:rPr>
            </w:pPr>
            <w:r w:rsidRPr="00666AB4">
              <w:rPr>
                <w:rFonts w:ascii="Times New Roman" w:eastAsia="Times New Roman" w:hAnsi="Times New Roman" w:cs="Times New Roman"/>
                <w:color w:val="000000"/>
                <w:lang w:eastAsia="en-GB"/>
              </w:rPr>
              <w:t>2009</w:t>
            </w:r>
          </w:p>
        </w:tc>
        <w:tc>
          <w:tcPr>
            <w:tcW w:w="663" w:type="dxa"/>
            <w:tcBorders>
              <w:top w:val="nil"/>
              <w:left w:val="nil"/>
              <w:bottom w:val="single" w:sz="4" w:space="0" w:color="auto"/>
              <w:right w:val="nil"/>
            </w:tcBorders>
            <w:shd w:val="clear" w:color="auto" w:fill="auto"/>
            <w:noWrap/>
            <w:vAlign w:val="bottom"/>
            <w:hideMark/>
          </w:tcPr>
          <w:p w14:paraId="66CBE9A6" w14:textId="77777777" w:rsidR="00F92A14" w:rsidRPr="00666AB4" w:rsidRDefault="00F92A14" w:rsidP="00F92A14">
            <w:pPr>
              <w:spacing w:after="0" w:line="240" w:lineRule="auto"/>
              <w:jc w:val="right"/>
              <w:rPr>
                <w:rFonts w:ascii="Times New Roman" w:eastAsia="Times New Roman" w:hAnsi="Times New Roman" w:cs="Times New Roman"/>
                <w:color w:val="000000"/>
                <w:lang w:eastAsia="en-GB"/>
              </w:rPr>
            </w:pPr>
            <w:r w:rsidRPr="00666AB4">
              <w:rPr>
                <w:rFonts w:ascii="Times New Roman" w:eastAsia="Times New Roman" w:hAnsi="Times New Roman" w:cs="Times New Roman"/>
                <w:color w:val="000000"/>
                <w:lang w:eastAsia="en-GB"/>
              </w:rPr>
              <w:t>2012</w:t>
            </w:r>
          </w:p>
        </w:tc>
        <w:tc>
          <w:tcPr>
            <w:tcW w:w="271" w:type="dxa"/>
            <w:tcBorders>
              <w:top w:val="nil"/>
              <w:left w:val="nil"/>
              <w:bottom w:val="single" w:sz="4" w:space="0" w:color="auto"/>
              <w:right w:val="nil"/>
            </w:tcBorders>
            <w:shd w:val="clear" w:color="auto" w:fill="auto"/>
            <w:noWrap/>
            <w:vAlign w:val="bottom"/>
            <w:hideMark/>
          </w:tcPr>
          <w:p w14:paraId="37CF7C4B" w14:textId="77777777" w:rsidR="00F92A14" w:rsidRPr="00666AB4" w:rsidRDefault="00F92A14" w:rsidP="00F92A14">
            <w:pPr>
              <w:spacing w:after="0" w:line="240" w:lineRule="auto"/>
              <w:rPr>
                <w:rFonts w:ascii="Times New Roman" w:eastAsia="Times New Roman" w:hAnsi="Times New Roman" w:cs="Times New Roman"/>
                <w:color w:val="000000"/>
                <w:lang w:eastAsia="en-GB"/>
              </w:rPr>
            </w:pPr>
            <w:r w:rsidRPr="00666AB4">
              <w:rPr>
                <w:rFonts w:ascii="Times New Roman" w:eastAsia="Times New Roman" w:hAnsi="Times New Roman" w:cs="Times New Roman"/>
                <w:color w:val="000000"/>
                <w:lang w:eastAsia="en-GB"/>
              </w:rPr>
              <w:t> </w:t>
            </w:r>
          </w:p>
        </w:tc>
        <w:tc>
          <w:tcPr>
            <w:tcW w:w="681" w:type="dxa"/>
            <w:tcBorders>
              <w:top w:val="nil"/>
              <w:left w:val="nil"/>
              <w:bottom w:val="single" w:sz="4" w:space="0" w:color="auto"/>
              <w:right w:val="nil"/>
            </w:tcBorders>
            <w:shd w:val="clear" w:color="auto" w:fill="auto"/>
            <w:noWrap/>
            <w:vAlign w:val="bottom"/>
            <w:hideMark/>
          </w:tcPr>
          <w:p w14:paraId="2DE00DCF" w14:textId="77777777" w:rsidR="00F92A14" w:rsidRPr="00666AB4" w:rsidRDefault="00F92A14" w:rsidP="00F92A14">
            <w:pPr>
              <w:spacing w:after="0" w:line="240" w:lineRule="auto"/>
              <w:jc w:val="right"/>
              <w:rPr>
                <w:rFonts w:ascii="Times New Roman" w:eastAsia="Times New Roman" w:hAnsi="Times New Roman" w:cs="Times New Roman"/>
                <w:color w:val="000000"/>
                <w:lang w:eastAsia="en-GB"/>
              </w:rPr>
            </w:pPr>
            <w:r w:rsidRPr="00666AB4">
              <w:rPr>
                <w:rFonts w:ascii="Times New Roman" w:eastAsia="Times New Roman" w:hAnsi="Times New Roman" w:cs="Times New Roman"/>
                <w:color w:val="000000"/>
                <w:lang w:eastAsia="en-GB"/>
              </w:rPr>
              <w:t>Total</w:t>
            </w:r>
          </w:p>
        </w:tc>
        <w:tc>
          <w:tcPr>
            <w:tcW w:w="663" w:type="dxa"/>
            <w:tcBorders>
              <w:top w:val="nil"/>
              <w:left w:val="nil"/>
              <w:bottom w:val="single" w:sz="4" w:space="0" w:color="auto"/>
              <w:right w:val="nil"/>
            </w:tcBorders>
            <w:shd w:val="clear" w:color="auto" w:fill="auto"/>
            <w:noWrap/>
            <w:vAlign w:val="bottom"/>
            <w:hideMark/>
          </w:tcPr>
          <w:p w14:paraId="077E7965" w14:textId="77777777" w:rsidR="00F92A14" w:rsidRPr="00666AB4" w:rsidRDefault="00F92A14" w:rsidP="00F92A14">
            <w:pPr>
              <w:spacing w:after="0" w:line="240" w:lineRule="auto"/>
              <w:jc w:val="right"/>
              <w:rPr>
                <w:rFonts w:ascii="Times New Roman" w:eastAsia="Times New Roman" w:hAnsi="Times New Roman" w:cs="Times New Roman"/>
                <w:color w:val="000000"/>
                <w:lang w:eastAsia="en-GB"/>
              </w:rPr>
            </w:pPr>
            <w:r w:rsidRPr="00666AB4">
              <w:rPr>
                <w:rFonts w:ascii="Times New Roman" w:eastAsia="Times New Roman" w:hAnsi="Times New Roman" w:cs="Times New Roman"/>
                <w:color w:val="000000"/>
                <w:lang w:eastAsia="en-GB"/>
              </w:rPr>
              <w:t>2009</w:t>
            </w:r>
          </w:p>
        </w:tc>
        <w:tc>
          <w:tcPr>
            <w:tcW w:w="663" w:type="dxa"/>
            <w:tcBorders>
              <w:top w:val="nil"/>
              <w:left w:val="nil"/>
              <w:bottom w:val="single" w:sz="4" w:space="0" w:color="auto"/>
              <w:right w:val="nil"/>
            </w:tcBorders>
            <w:shd w:val="clear" w:color="auto" w:fill="auto"/>
            <w:noWrap/>
            <w:vAlign w:val="bottom"/>
            <w:hideMark/>
          </w:tcPr>
          <w:p w14:paraId="1A03DE34" w14:textId="77777777" w:rsidR="00F92A14" w:rsidRPr="00666AB4" w:rsidRDefault="00F92A14" w:rsidP="00F92A14">
            <w:pPr>
              <w:spacing w:after="0" w:line="240" w:lineRule="auto"/>
              <w:jc w:val="right"/>
              <w:rPr>
                <w:rFonts w:ascii="Times New Roman" w:eastAsia="Times New Roman" w:hAnsi="Times New Roman" w:cs="Times New Roman"/>
                <w:color w:val="000000"/>
                <w:lang w:eastAsia="en-GB"/>
              </w:rPr>
            </w:pPr>
            <w:r w:rsidRPr="00666AB4">
              <w:rPr>
                <w:rFonts w:ascii="Times New Roman" w:eastAsia="Times New Roman" w:hAnsi="Times New Roman" w:cs="Times New Roman"/>
                <w:color w:val="000000"/>
                <w:lang w:eastAsia="en-GB"/>
              </w:rPr>
              <w:t>2012</w:t>
            </w:r>
          </w:p>
        </w:tc>
      </w:tr>
      <w:tr w:rsidR="00F92A14" w:rsidRPr="00666AB4" w14:paraId="5724EB9D" w14:textId="77777777" w:rsidTr="00F92A14">
        <w:trPr>
          <w:trHeight w:val="288"/>
        </w:trPr>
        <w:tc>
          <w:tcPr>
            <w:tcW w:w="5103" w:type="dxa"/>
            <w:tcBorders>
              <w:top w:val="nil"/>
              <w:left w:val="nil"/>
              <w:bottom w:val="nil"/>
              <w:right w:val="nil"/>
            </w:tcBorders>
            <w:shd w:val="clear" w:color="auto" w:fill="auto"/>
            <w:noWrap/>
            <w:vAlign w:val="bottom"/>
            <w:hideMark/>
          </w:tcPr>
          <w:p w14:paraId="65BFE0DD" w14:textId="77777777" w:rsidR="00F92A14" w:rsidRPr="00666AB4" w:rsidRDefault="00F92A14" w:rsidP="00F92A14">
            <w:pPr>
              <w:spacing w:after="0" w:line="240" w:lineRule="auto"/>
              <w:ind w:firstLineChars="100" w:firstLine="112"/>
              <w:rPr>
                <w:rFonts w:ascii="Times New Roman" w:eastAsia="Times New Roman" w:hAnsi="Times New Roman" w:cs="Times New Roman"/>
                <w:color w:val="000000"/>
                <w:lang w:eastAsia="en-GB"/>
              </w:rPr>
            </w:pPr>
            <w:r w:rsidRPr="00666AB4">
              <w:rPr>
                <w:rFonts w:ascii="Times New Roman" w:eastAsia="Times New Roman" w:hAnsi="Times New Roman" w:cs="Times New Roman"/>
                <w:color w:val="000000"/>
                <w:lang w:eastAsia="en-GB"/>
              </w:rPr>
              <w:t>Formal loan (e.g. bank)</w:t>
            </w:r>
          </w:p>
        </w:tc>
        <w:tc>
          <w:tcPr>
            <w:tcW w:w="718" w:type="dxa"/>
            <w:tcBorders>
              <w:top w:val="nil"/>
              <w:left w:val="nil"/>
              <w:bottom w:val="nil"/>
              <w:right w:val="nil"/>
            </w:tcBorders>
            <w:shd w:val="clear" w:color="auto" w:fill="auto"/>
            <w:noWrap/>
            <w:vAlign w:val="bottom"/>
            <w:hideMark/>
          </w:tcPr>
          <w:p w14:paraId="0D225EF2"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10.9</w:t>
            </w:r>
          </w:p>
        </w:tc>
        <w:tc>
          <w:tcPr>
            <w:tcW w:w="681" w:type="dxa"/>
            <w:tcBorders>
              <w:top w:val="nil"/>
              <w:left w:val="nil"/>
              <w:bottom w:val="nil"/>
              <w:right w:val="nil"/>
            </w:tcBorders>
            <w:shd w:val="clear" w:color="auto" w:fill="auto"/>
            <w:noWrap/>
            <w:vAlign w:val="bottom"/>
            <w:hideMark/>
          </w:tcPr>
          <w:p w14:paraId="7AA12986"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8.8</w:t>
            </w:r>
          </w:p>
        </w:tc>
        <w:tc>
          <w:tcPr>
            <w:tcW w:w="663" w:type="dxa"/>
            <w:tcBorders>
              <w:top w:val="nil"/>
              <w:left w:val="nil"/>
              <w:bottom w:val="nil"/>
              <w:right w:val="nil"/>
            </w:tcBorders>
            <w:shd w:val="clear" w:color="auto" w:fill="auto"/>
            <w:noWrap/>
            <w:vAlign w:val="bottom"/>
            <w:hideMark/>
          </w:tcPr>
          <w:p w14:paraId="13C3020D"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5.6</w:t>
            </w:r>
          </w:p>
        </w:tc>
        <w:tc>
          <w:tcPr>
            <w:tcW w:w="663" w:type="dxa"/>
            <w:tcBorders>
              <w:top w:val="nil"/>
              <w:left w:val="nil"/>
              <w:bottom w:val="nil"/>
              <w:right w:val="nil"/>
            </w:tcBorders>
            <w:shd w:val="clear" w:color="auto" w:fill="auto"/>
            <w:noWrap/>
            <w:vAlign w:val="bottom"/>
            <w:hideMark/>
          </w:tcPr>
          <w:p w14:paraId="3B3276AD"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10.3</w:t>
            </w:r>
          </w:p>
        </w:tc>
        <w:tc>
          <w:tcPr>
            <w:tcW w:w="271" w:type="dxa"/>
            <w:tcBorders>
              <w:top w:val="nil"/>
              <w:left w:val="nil"/>
              <w:bottom w:val="nil"/>
              <w:right w:val="nil"/>
            </w:tcBorders>
            <w:shd w:val="clear" w:color="auto" w:fill="auto"/>
            <w:noWrap/>
            <w:vAlign w:val="bottom"/>
            <w:hideMark/>
          </w:tcPr>
          <w:p w14:paraId="19FFAF67"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681" w:type="dxa"/>
            <w:tcBorders>
              <w:top w:val="nil"/>
              <w:left w:val="nil"/>
              <w:bottom w:val="nil"/>
              <w:right w:val="nil"/>
            </w:tcBorders>
            <w:shd w:val="clear" w:color="auto" w:fill="auto"/>
            <w:noWrap/>
            <w:vAlign w:val="bottom"/>
            <w:hideMark/>
          </w:tcPr>
          <w:p w14:paraId="00F8D31F"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18.9</w:t>
            </w:r>
          </w:p>
        </w:tc>
        <w:tc>
          <w:tcPr>
            <w:tcW w:w="663" w:type="dxa"/>
            <w:tcBorders>
              <w:top w:val="nil"/>
              <w:left w:val="nil"/>
              <w:bottom w:val="nil"/>
              <w:right w:val="nil"/>
            </w:tcBorders>
            <w:shd w:val="clear" w:color="auto" w:fill="auto"/>
            <w:noWrap/>
            <w:vAlign w:val="bottom"/>
            <w:hideMark/>
          </w:tcPr>
          <w:p w14:paraId="64C7F16D"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19.4</w:t>
            </w:r>
          </w:p>
        </w:tc>
        <w:tc>
          <w:tcPr>
            <w:tcW w:w="663" w:type="dxa"/>
            <w:tcBorders>
              <w:top w:val="nil"/>
              <w:left w:val="nil"/>
              <w:bottom w:val="nil"/>
              <w:right w:val="nil"/>
            </w:tcBorders>
            <w:shd w:val="clear" w:color="auto" w:fill="auto"/>
            <w:noWrap/>
            <w:vAlign w:val="bottom"/>
            <w:hideMark/>
          </w:tcPr>
          <w:p w14:paraId="6585C008"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18.2</w:t>
            </w:r>
          </w:p>
        </w:tc>
      </w:tr>
      <w:tr w:rsidR="00F92A14" w:rsidRPr="00666AB4" w14:paraId="3A1FD0B5" w14:textId="77777777" w:rsidTr="00F92A14">
        <w:trPr>
          <w:trHeight w:val="288"/>
        </w:trPr>
        <w:tc>
          <w:tcPr>
            <w:tcW w:w="5103" w:type="dxa"/>
            <w:tcBorders>
              <w:top w:val="nil"/>
              <w:left w:val="nil"/>
              <w:bottom w:val="nil"/>
              <w:right w:val="nil"/>
            </w:tcBorders>
            <w:shd w:val="clear" w:color="auto" w:fill="auto"/>
            <w:noWrap/>
            <w:vAlign w:val="bottom"/>
            <w:hideMark/>
          </w:tcPr>
          <w:p w14:paraId="3E6FD7C7" w14:textId="77777777" w:rsidR="00F92A14" w:rsidRPr="00666AB4" w:rsidRDefault="00F92A14" w:rsidP="00F92A14">
            <w:pPr>
              <w:spacing w:after="0" w:line="240" w:lineRule="auto"/>
              <w:ind w:firstLineChars="100" w:firstLine="112"/>
              <w:rPr>
                <w:rFonts w:ascii="Times New Roman" w:eastAsia="Times New Roman" w:hAnsi="Times New Roman" w:cs="Times New Roman"/>
                <w:color w:val="000000"/>
                <w:lang w:eastAsia="en-GB"/>
              </w:rPr>
            </w:pPr>
            <w:r w:rsidRPr="00666AB4">
              <w:rPr>
                <w:rFonts w:ascii="Times New Roman" w:eastAsia="Times New Roman" w:hAnsi="Times New Roman" w:cs="Times New Roman"/>
                <w:color w:val="000000"/>
                <w:lang w:eastAsia="en-GB"/>
              </w:rPr>
              <w:t>Loan from family/ personal acquaintance</w:t>
            </w:r>
          </w:p>
        </w:tc>
        <w:tc>
          <w:tcPr>
            <w:tcW w:w="718" w:type="dxa"/>
            <w:tcBorders>
              <w:top w:val="nil"/>
              <w:left w:val="nil"/>
              <w:bottom w:val="nil"/>
              <w:right w:val="nil"/>
            </w:tcBorders>
            <w:shd w:val="clear" w:color="auto" w:fill="auto"/>
            <w:noWrap/>
            <w:vAlign w:val="bottom"/>
            <w:hideMark/>
          </w:tcPr>
          <w:p w14:paraId="63B5BCCA"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16.7</w:t>
            </w:r>
          </w:p>
        </w:tc>
        <w:tc>
          <w:tcPr>
            <w:tcW w:w="681" w:type="dxa"/>
            <w:tcBorders>
              <w:top w:val="nil"/>
              <w:left w:val="nil"/>
              <w:bottom w:val="nil"/>
              <w:right w:val="nil"/>
            </w:tcBorders>
            <w:shd w:val="clear" w:color="auto" w:fill="auto"/>
            <w:noWrap/>
            <w:vAlign w:val="bottom"/>
            <w:hideMark/>
          </w:tcPr>
          <w:p w14:paraId="4E1886DF"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11.4</w:t>
            </w:r>
          </w:p>
        </w:tc>
        <w:tc>
          <w:tcPr>
            <w:tcW w:w="663" w:type="dxa"/>
            <w:tcBorders>
              <w:top w:val="nil"/>
              <w:left w:val="nil"/>
              <w:bottom w:val="nil"/>
              <w:right w:val="nil"/>
            </w:tcBorders>
            <w:shd w:val="clear" w:color="auto" w:fill="auto"/>
            <w:noWrap/>
            <w:vAlign w:val="bottom"/>
            <w:hideMark/>
          </w:tcPr>
          <w:p w14:paraId="1DFAEBA9"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6.7</w:t>
            </w:r>
          </w:p>
        </w:tc>
        <w:tc>
          <w:tcPr>
            <w:tcW w:w="663" w:type="dxa"/>
            <w:tcBorders>
              <w:top w:val="nil"/>
              <w:left w:val="nil"/>
              <w:bottom w:val="nil"/>
              <w:right w:val="nil"/>
            </w:tcBorders>
            <w:shd w:val="clear" w:color="auto" w:fill="auto"/>
            <w:noWrap/>
            <w:vAlign w:val="bottom"/>
            <w:hideMark/>
          </w:tcPr>
          <w:p w14:paraId="3E2F7348"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13.4</w:t>
            </w:r>
          </w:p>
        </w:tc>
        <w:tc>
          <w:tcPr>
            <w:tcW w:w="271" w:type="dxa"/>
            <w:tcBorders>
              <w:top w:val="nil"/>
              <w:left w:val="nil"/>
              <w:bottom w:val="nil"/>
              <w:right w:val="nil"/>
            </w:tcBorders>
            <w:shd w:val="clear" w:color="auto" w:fill="auto"/>
            <w:noWrap/>
            <w:vAlign w:val="bottom"/>
            <w:hideMark/>
          </w:tcPr>
          <w:p w14:paraId="3D667689"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681" w:type="dxa"/>
            <w:tcBorders>
              <w:top w:val="nil"/>
              <w:left w:val="nil"/>
              <w:bottom w:val="nil"/>
              <w:right w:val="nil"/>
            </w:tcBorders>
            <w:shd w:val="clear" w:color="auto" w:fill="auto"/>
            <w:noWrap/>
            <w:vAlign w:val="bottom"/>
            <w:hideMark/>
          </w:tcPr>
          <w:p w14:paraId="1EDE3665"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18.1</w:t>
            </w:r>
          </w:p>
        </w:tc>
        <w:tc>
          <w:tcPr>
            <w:tcW w:w="663" w:type="dxa"/>
            <w:tcBorders>
              <w:top w:val="nil"/>
              <w:left w:val="nil"/>
              <w:bottom w:val="nil"/>
              <w:right w:val="nil"/>
            </w:tcBorders>
            <w:shd w:val="clear" w:color="auto" w:fill="auto"/>
            <w:noWrap/>
            <w:vAlign w:val="bottom"/>
            <w:hideMark/>
          </w:tcPr>
          <w:p w14:paraId="4DD98540"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14.9</w:t>
            </w:r>
          </w:p>
        </w:tc>
        <w:tc>
          <w:tcPr>
            <w:tcW w:w="663" w:type="dxa"/>
            <w:tcBorders>
              <w:top w:val="nil"/>
              <w:left w:val="nil"/>
              <w:bottom w:val="nil"/>
              <w:right w:val="nil"/>
            </w:tcBorders>
            <w:shd w:val="clear" w:color="auto" w:fill="auto"/>
            <w:noWrap/>
            <w:vAlign w:val="bottom"/>
            <w:hideMark/>
          </w:tcPr>
          <w:p w14:paraId="2CD9C9CF"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22.2</w:t>
            </w:r>
          </w:p>
        </w:tc>
      </w:tr>
      <w:tr w:rsidR="00F92A14" w:rsidRPr="00666AB4" w14:paraId="5F39D017" w14:textId="77777777" w:rsidTr="00F92A14">
        <w:trPr>
          <w:trHeight w:val="288"/>
        </w:trPr>
        <w:tc>
          <w:tcPr>
            <w:tcW w:w="5103" w:type="dxa"/>
            <w:tcBorders>
              <w:top w:val="nil"/>
              <w:left w:val="nil"/>
              <w:bottom w:val="nil"/>
              <w:right w:val="nil"/>
            </w:tcBorders>
            <w:shd w:val="clear" w:color="auto" w:fill="auto"/>
            <w:noWrap/>
            <w:vAlign w:val="bottom"/>
            <w:hideMark/>
          </w:tcPr>
          <w:p w14:paraId="719686AB" w14:textId="77777777" w:rsidR="00F92A14" w:rsidRPr="00666AB4" w:rsidRDefault="00F92A14" w:rsidP="00F92A14">
            <w:pPr>
              <w:spacing w:after="0" w:line="240" w:lineRule="auto"/>
              <w:ind w:firstLineChars="100" w:firstLine="112"/>
              <w:rPr>
                <w:rFonts w:ascii="Times New Roman" w:eastAsia="Times New Roman" w:hAnsi="Times New Roman" w:cs="Times New Roman"/>
                <w:color w:val="000000"/>
                <w:lang w:eastAsia="en-GB"/>
              </w:rPr>
            </w:pPr>
            <w:r w:rsidRPr="00666AB4">
              <w:rPr>
                <w:rFonts w:ascii="Times New Roman" w:eastAsia="Times New Roman" w:hAnsi="Times New Roman" w:cs="Times New Roman"/>
                <w:color w:val="000000"/>
                <w:lang w:eastAsia="en-GB"/>
              </w:rPr>
              <w:t>Gift from family/ personal acquaintance</w:t>
            </w:r>
          </w:p>
        </w:tc>
        <w:tc>
          <w:tcPr>
            <w:tcW w:w="718" w:type="dxa"/>
            <w:tcBorders>
              <w:top w:val="nil"/>
              <w:left w:val="nil"/>
              <w:bottom w:val="nil"/>
              <w:right w:val="nil"/>
            </w:tcBorders>
            <w:shd w:val="clear" w:color="auto" w:fill="auto"/>
            <w:noWrap/>
            <w:vAlign w:val="bottom"/>
            <w:hideMark/>
          </w:tcPr>
          <w:p w14:paraId="36B942EF"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5.6</w:t>
            </w:r>
          </w:p>
        </w:tc>
        <w:tc>
          <w:tcPr>
            <w:tcW w:w="681" w:type="dxa"/>
            <w:tcBorders>
              <w:top w:val="nil"/>
              <w:left w:val="nil"/>
              <w:bottom w:val="nil"/>
              <w:right w:val="nil"/>
            </w:tcBorders>
            <w:shd w:val="clear" w:color="auto" w:fill="auto"/>
            <w:noWrap/>
            <w:vAlign w:val="bottom"/>
            <w:hideMark/>
          </w:tcPr>
          <w:p w14:paraId="7C49AB8E"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12.3</w:t>
            </w:r>
          </w:p>
        </w:tc>
        <w:tc>
          <w:tcPr>
            <w:tcW w:w="663" w:type="dxa"/>
            <w:tcBorders>
              <w:top w:val="nil"/>
              <w:left w:val="nil"/>
              <w:bottom w:val="nil"/>
              <w:right w:val="nil"/>
            </w:tcBorders>
            <w:shd w:val="clear" w:color="auto" w:fill="auto"/>
            <w:noWrap/>
            <w:vAlign w:val="bottom"/>
            <w:hideMark/>
          </w:tcPr>
          <w:p w14:paraId="31475388"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7.9</w:t>
            </w:r>
          </w:p>
        </w:tc>
        <w:tc>
          <w:tcPr>
            <w:tcW w:w="663" w:type="dxa"/>
            <w:tcBorders>
              <w:top w:val="nil"/>
              <w:left w:val="nil"/>
              <w:bottom w:val="nil"/>
              <w:right w:val="nil"/>
            </w:tcBorders>
            <w:shd w:val="clear" w:color="auto" w:fill="auto"/>
            <w:noWrap/>
            <w:vAlign w:val="bottom"/>
            <w:hideMark/>
          </w:tcPr>
          <w:p w14:paraId="185C6672"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14.2</w:t>
            </w:r>
          </w:p>
        </w:tc>
        <w:tc>
          <w:tcPr>
            <w:tcW w:w="271" w:type="dxa"/>
            <w:tcBorders>
              <w:top w:val="nil"/>
              <w:left w:val="nil"/>
              <w:bottom w:val="nil"/>
              <w:right w:val="nil"/>
            </w:tcBorders>
            <w:shd w:val="clear" w:color="auto" w:fill="auto"/>
            <w:noWrap/>
            <w:vAlign w:val="bottom"/>
            <w:hideMark/>
          </w:tcPr>
          <w:p w14:paraId="2BD2D551"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681" w:type="dxa"/>
            <w:tcBorders>
              <w:top w:val="nil"/>
              <w:left w:val="nil"/>
              <w:bottom w:val="nil"/>
              <w:right w:val="nil"/>
            </w:tcBorders>
            <w:shd w:val="clear" w:color="auto" w:fill="auto"/>
            <w:noWrap/>
            <w:vAlign w:val="bottom"/>
            <w:hideMark/>
          </w:tcPr>
          <w:p w14:paraId="524E5D37"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25.3</w:t>
            </w:r>
          </w:p>
        </w:tc>
        <w:tc>
          <w:tcPr>
            <w:tcW w:w="663" w:type="dxa"/>
            <w:tcBorders>
              <w:top w:val="nil"/>
              <w:left w:val="nil"/>
              <w:bottom w:val="nil"/>
              <w:right w:val="nil"/>
            </w:tcBorders>
            <w:shd w:val="clear" w:color="auto" w:fill="auto"/>
            <w:noWrap/>
            <w:vAlign w:val="bottom"/>
            <w:hideMark/>
          </w:tcPr>
          <w:p w14:paraId="235AEA30"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22.4</w:t>
            </w:r>
          </w:p>
        </w:tc>
        <w:tc>
          <w:tcPr>
            <w:tcW w:w="663" w:type="dxa"/>
            <w:tcBorders>
              <w:top w:val="nil"/>
              <w:left w:val="nil"/>
              <w:bottom w:val="nil"/>
              <w:right w:val="nil"/>
            </w:tcBorders>
            <w:shd w:val="clear" w:color="auto" w:fill="auto"/>
            <w:noWrap/>
            <w:vAlign w:val="bottom"/>
            <w:hideMark/>
          </w:tcPr>
          <w:p w14:paraId="71D6F9CB"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28.9</w:t>
            </w:r>
          </w:p>
        </w:tc>
      </w:tr>
      <w:tr w:rsidR="00F92A14" w:rsidRPr="00666AB4" w14:paraId="6FDD362C" w14:textId="77777777" w:rsidTr="00F92A14">
        <w:trPr>
          <w:trHeight w:val="288"/>
        </w:trPr>
        <w:tc>
          <w:tcPr>
            <w:tcW w:w="5103" w:type="dxa"/>
            <w:tcBorders>
              <w:top w:val="nil"/>
              <w:left w:val="nil"/>
              <w:bottom w:val="nil"/>
              <w:right w:val="nil"/>
            </w:tcBorders>
            <w:shd w:val="clear" w:color="auto" w:fill="auto"/>
            <w:noWrap/>
            <w:vAlign w:val="bottom"/>
            <w:hideMark/>
          </w:tcPr>
          <w:p w14:paraId="47F0D932" w14:textId="77777777" w:rsidR="00F92A14" w:rsidRPr="00666AB4" w:rsidRDefault="00F92A14" w:rsidP="00F92A14">
            <w:pPr>
              <w:spacing w:after="0" w:line="240" w:lineRule="auto"/>
              <w:ind w:firstLineChars="100" w:firstLine="112"/>
              <w:rPr>
                <w:rFonts w:ascii="Times New Roman" w:eastAsia="Times New Roman" w:hAnsi="Times New Roman" w:cs="Times New Roman"/>
                <w:color w:val="000000"/>
                <w:lang w:eastAsia="en-GB"/>
              </w:rPr>
            </w:pPr>
            <w:r w:rsidRPr="00666AB4">
              <w:rPr>
                <w:rFonts w:ascii="Times New Roman" w:eastAsia="Times New Roman" w:hAnsi="Times New Roman" w:cs="Times New Roman"/>
                <w:color w:val="000000"/>
                <w:lang w:eastAsia="en-GB"/>
              </w:rPr>
              <w:t>Fee waiver (e.g., departmental scholarship)</w:t>
            </w:r>
          </w:p>
        </w:tc>
        <w:tc>
          <w:tcPr>
            <w:tcW w:w="718" w:type="dxa"/>
            <w:tcBorders>
              <w:top w:val="nil"/>
              <w:left w:val="nil"/>
              <w:bottom w:val="nil"/>
              <w:right w:val="nil"/>
            </w:tcBorders>
            <w:shd w:val="clear" w:color="auto" w:fill="auto"/>
            <w:noWrap/>
            <w:vAlign w:val="bottom"/>
            <w:hideMark/>
          </w:tcPr>
          <w:p w14:paraId="7DC94101"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6.6</w:t>
            </w:r>
          </w:p>
        </w:tc>
        <w:tc>
          <w:tcPr>
            <w:tcW w:w="681" w:type="dxa"/>
            <w:tcBorders>
              <w:top w:val="nil"/>
              <w:left w:val="nil"/>
              <w:bottom w:val="nil"/>
              <w:right w:val="nil"/>
            </w:tcBorders>
            <w:shd w:val="clear" w:color="auto" w:fill="auto"/>
            <w:noWrap/>
            <w:vAlign w:val="bottom"/>
            <w:hideMark/>
          </w:tcPr>
          <w:p w14:paraId="2CCFCE82"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9.5</w:t>
            </w:r>
          </w:p>
        </w:tc>
        <w:tc>
          <w:tcPr>
            <w:tcW w:w="663" w:type="dxa"/>
            <w:tcBorders>
              <w:top w:val="nil"/>
              <w:left w:val="nil"/>
              <w:bottom w:val="nil"/>
              <w:right w:val="nil"/>
            </w:tcBorders>
            <w:shd w:val="clear" w:color="auto" w:fill="auto"/>
            <w:noWrap/>
            <w:vAlign w:val="bottom"/>
            <w:hideMark/>
          </w:tcPr>
          <w:p w14:paraId="3B32108B"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9.5</w:t>
            </w:r>
          </w:p>
        </w:tc>
        <w:tc>
          <w:tcPr>
            <w:tcW w:w="663" w:type="dxa"/>
            <w:tcBorders>
              <w:top w:val="nil"/>
              <w:left w:val="nil"/>
              <w:bottom w:val="nil"/>
              <w:right w:val="nil"/>
            </w:tcBorders>
            <w:shd w:val="clear" w:color="auto" w:fill="auto"/>
            <w:noWrap/>
            <w:vAlign w:val="bottom"/>
            <w:hideMark/>
          </w:tcPr>
          <w:p w14:paraId="0AB16AA2"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9.5</w:t>
            </w:r>
          </w:p>
        </w:tc>
        <w:tc>
          <w:tcPr>
            <w:tcW w:w="271" w:type="dxa"/>
            <w:tcBorders>
              <w:top w:val="nil"/>
              <w:left w:val="nil"/>
              <w:bottom w:val="nil"/>
              <w:right w:val="nil"/>
            </w:tcBorders>
            <w:shd w:val="clear" w:color="auto" w:fill="auto"/>
            <w:noWrap/>
            <w:vAlign w:val="bottom"/>
            <w:hideMark/>
          </w:tcPr>
          <w:p w14:paraId="53547CED"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681" w:type="dxa"/>
            <w:tcBorders>
              <w:top w:val="nil"/>
              <w:left w:val="nil"/>
              <w:bottom w:val="nil"/>
              <w:right w:val="nil"/>
            </w:tcBorders>
            <w:shd w:val="clear" w:color="auto" w:fill="auto"/>
            <w:noWrap/>
            <w:vAlign w:val="bottom"/>
            <w:hideMark/>
          </w:tcPr>
          <w:p w14:paraId="6B497327"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8.7</w:t>
            </w:r>
          </w:p>
        </w:tc>
        <w:tc>
          <w:tcPr>
            <w:tcW w:w="663" w:type="dxa"/>
            <w:tcBorders>
              <w:top w:val="nil"/>
              <w:left w:val="nil"/>
              <w:bottom w:val="nil"/>
              <w:right w:val="nil"/>
            </w:tcBorders>
            <w:shd w:val="clear" w:color="auto" w:fill="auto"/>
            <w:noWrap/>
            <w:vAlign w:val="bottom"/>
            <w:hideMark/>
          </w:tcPr>
          <w:p w14:paraId="7BD37DF3"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5.6</w:t>
            </w:r>
          </w:p>
        </w:tc>
        <w:tc>
          <w:tcPr>
            <w:tcW w:w="663" w:type="dxa"/>
            <w:tcBorders>
              <w:top w:val="nil"/>
              <w:left w:val="nil"/>
              <w:bottom w:val="nil"/>
              <w:right w:val="nil"/>
            </w:tcBorders>
            <w:shd w:val="clear" w:color="auto" w:fill="auto"/>
            <w:noWrap/>
            <w:vAlign w:val="bottom"/>
            <w:hideMark/>
          </w:tcPr>
          <w:p w14:paraId="7B93CAEF"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12.6</w:t>
            </w:r>
          </w:p>
        </w:tc>
      </w:tr>
      <w:tr w:rsidR="00F92A14" w:rsidRPr="00666AB4" w14:paraId="2D9A38A0" w14:textId="77777777" w:rsidTr="00F92A14">
        <w:trPr>
          <w:trHeight w:val="288"/>
        </w:trPr>
        <w:tc>
          <w:tcPr>
            <w:tcW w:w="5103" w:type="dxa"/>
            <w:tcBorders>
              <w:top w:val="nil"/>
              <w:left w:val="nil"/>
              <w:bottom w:val="nil"/>
              <w:right w:val="nil"/>
            </w:tcBorders>
            <w:shd w:val="clear" w:color="auto" w:fill="auto"/>
            <w:noWrap/>
            <w:vAlign w:val="bottom"/>
            <w:hideMark/>
          </w:tcPr>
          <w:p w14:paraId="14741FDC" w14:textId="77777777" w:rsidR="00F92A14" w:rsidRPr="00666AB4" w:rsidRDefault="00F92A14" w:rsidP="00F92A14">
            <w:pPr>
              <w:spacing w:after="0" w:line="240" w:lineRule="auto"/>
              <w:ind w:firstLineChars="100" w:firstLine="112"/>
              <w:rPr>
                <w:rFonts w:ascii="Times New Roman" w:eastAsia="Times New Roman" w:hAnsi="Times New Roman" w:cs="Times New Roman"/>
                <w:color w:val="000000"/>
                <w:lang w:eastAsia="en-GB"/>
              </w:rPr>
            </w:pPr>
            <w:r w:rsidRPr="00666AB4">
              <w:rPr>
                <w:rFonts w:ascii="Times New Roman" w:eastAsia="Times New Roman" w:hAnsi="Times New Roman" w:cs="Times New Roman"/>
                <w:color w:val="000000"/>
                <w:lang w:eastAsia="en-GB"/>
              </w:rPr>
              <w:t>Sponsorship (e.g., employer, armed services)</w:t>
            </w:r>
          </w:p>
        </w:tc>
        <w:tc>
          <w:tcPr>
            <w:tcW w:w="718" w:type="dxa"/>
            <w:tcBorders>
              <w:top w:val="nil"/>
              <w:left w:val="nil"/>
              <w:bottom w:val="nil"/>
              <w:right w:val="nil"/>
            </w:tcBorders>
            <w:shd w:val="clear" w:color="auto" w:fill="auto"/>
            <w:noWrap/>
            <w:vAlign w:val="bottom"/>
            <w:hideMark/>
          </w:tcPr>
          <w:p w14:paraId="45F707B9"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21.0</w:t>
            </w:r>
          </w:p>
        </w:tc>
        <w:tc>
          <w:tcPr>
            <w:tcW w:w="681" w:type="dxa"/>
            <w:tcBorders>
              <w:top w:val="nil"/>
              <w:left w:val="nil"/>
              <w:bottom w:val="nil"/>
              <w:right w:val="nil"/>
            </w:tcBorders>
            <w:shd w:val="clear" w:color="auto" w:fill="auto"/>
            <w:noWrap/>
            <w:vAlign w:val="bottom"/>
            <w:hideMark/>
          </w:tcPr>
          <w:p w14:paraId="30F02504"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21.3</w:t>
            </w:r>
          </w:p>
        </w:tc>
        <w:tc>
          <w:tcPr>
            <w:tcW w:w="663" w:type="dxa"/>
            <w:tcBorders>
              <w:top w:val="nil"/>
              <w:left w:val="nil"/>
              <w:bottom w:val="nil"/>
              <w:right w:val="nil"/>
            </w:tcBorders>
            <w:shd w:val="clear" w:color="auto" w:fill="auto"/>
            <w:noWrap/>
            <w:vAlign w:val="bottom"/>
            <w:hideMark/>
          </w:tcPr>
          <w:p w14:paraId="07C8D802"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24.6</w:t>
            </w:r>
          </w:p>
        </w:tc>
        <w:tc>
          <w:tcPr>
            <w:tcW w:w="663" w:type="dxa"/>
            <w:tcBorders>
              <w:top w:val="nil"/>
              <w:left w:val="nil"/>
              <w:bottom w:val="nil"/>
              <w:right w:val="nil"/>
            </w:tcBorders>
            <w:shd w:val="clear" w:color="auto" w:fill="auto"/>
            <w:noWrap/>
            <w:vAlign w:val="bottom"/>
            <w:hideMark/>
          </w:tcPr>
          <w:p w14:paraId="3F137821"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19.8</w:t>
            </w:r>
          </w:p>
        </w:tc>
        <w:tc>
          <w:tcPr>
            <w:tcW w:w="271" w:type="dxa"/>
            <w:tcBorders>
              <w:top w:val="nil"/>
              <w:left w:val="nil"/>
              <w:bottom w:val="nil"/>
              <w:right w:val="nil"/>
            </w:tcBorders>
            <w:shd w:val="clear" w:color="auto" w:fill="auto"/>
            <w:noWrap/>
            <w:vAlign w:val="bottom"/>
            <w:hideMark/>
          </w:tcPr>
          <w:p w14:paraId="68F454B1"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681" w:type="dxa"/>
            <w:tcBorders>
              <w:top w:val="nil"/>
              <w:left w:val="nil"/>
              <w:bottom w:val="nil"/>
              <w:right w:val="nil"/>
            </w:tcBorders>
            <w:shd w:val="clear" w:color="auto" w:fill="auto"/>
            <w:noWrap/>
            <w:vAlign w:val="bottom"/>
            <w:hideMark/>
          </w:tcPr>
          <w:p w14:paraId="0061E7D1"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10.7</w:t>
            </w:r>
          </w:p>
        </w:tc>
        <w:tc>
          <w:tcPr>
            <w:tcW w:w="663" w:type="dxa"/>
            <w:tcBorders>
              <w:top w:val="nil"/>
              <w:left w:val="nil"/>
              <w:bottom w:val="nil"/>
              <w:right w:val="nil"/>
            </w:tcBorders>
            <w:shd w:val="clear" w:color="auto" w:fill="auto"/>
            <w:noWrap/>
            <w:vAlign w:val="bottom"/>
            <w:hideMark/>
          </w:tcPr>
          <w:p w14:paraId="4706E46A"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11.6</w:t>
            </w:r>
          </w:p>
        </w:tc>
        <w:tc>
          <w:tcPr>
            <w:tcW w:w="663" w:type="dxa"/>
            <w:tcBorders>
              <w:top w:val="nil"/>
              <w:left w:val="nil"/>
              <w:bottom w:val="nil"/>
              <w:right w:val="nil"/>
            </w:tcBorders>
            <w:shd w:val="clear" w:color="auto" w:fill="auto"/>
            <w:noWrap/>
            <w:vAlign w:val="bottom"/>
            <w:hideMark/>
          </w:tcPr>
          <w:p w14:paraId="6E7585C8"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9.6</w:t>
            </w:r>
          </w:p>
        </w:tc>
      </w:tr>
      <w:tr w:rsidR="00F92A14" w:rsidRPr="00666AB4" w14:paraId="26C6655B" w14:textId="77777777" w:rsidTr="00F92A14">
        <w:trPr>
          <w:trHeight w:val="288"/>
        </w:trPr>
        <w:tc>
          <w:tcPr>
            <w:tcW w:w="5103" w:type="dxa"/>
            <w:tcBorders>
              <w:top w:val="nil"/>
              <w:left w:val="nil"/>
              <w:bottom w:val="nil"/>
              <w:right w:val="nil"/>
            </w:tcBorders>
            <w:shd w:val="clear" w:color="auto" w:fill="auto"/>
            <w:noWrap/>
            <w:vAlign w:val="bottom"/>
            <w:hideMark/>
          </w:tcPr>
          <w:p w14:paraId="107B2C6B" w14:textId="77777777" w:rsidR="00F92A14" w:rsidRPr="00666AB4" w:rsidRDefault="00F92A14" w:rsidP="00F92A14">
            <w:pPr>
              <w:spacing w:after="0" w:line="240" w:lineRule="auto"/>
              <w:ind w:firstLineChars="100" w:firstLine="112"/>
              <w:rPr>
                <w:rFonts w:ascii="Times New Roman" w:eastAsia="Times New Roman" w:hAnsi="Times New Roman" w:cs="Times New Roman"/>
                <w:color w:val="000000"/>
                <w:lang w:eastAsia="en-GB"/>
              </w:rPr>
            </w:pPr>
            <w:r w:rsidRPr="00666AB4">
              <w:rPr>
                <w:rFonts w:ascii="Times New Roman" w:eastAsia="Times New Roman" w:hAnsi="Times New Roman" w:cs="Times New Roman"/>
                <w:color w:val="000000"/>
                <w:lang w:eastAsia="en-GB"/>
              </w:rPr>
              <w:t>Research studentship (e.g. UK Research Council)</w:t>
            </w:r>
          </w:p>
        </w:tc>
        <w:tc>
          <w:tcPr>
            <w:tcW w:w="718" w:type="dxa"/>
            <w:tcBorders>
              <w:top w:val="nil"/>
              <w:left w:val="nil"/>
              <w:bottom w:val="nil"/>
              <w:right w:val="nil"/>
            </w:tcBorders>
            <w:shd w:val="clear" w:color="auto" w:fill="auto"/>
            <w:noWrap/>
            <w:vAlign w:val="bottom"/>
            <w:hideMark/>
          </w:tcPr>
          <w:p w14:paraId="6063B3A0"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29.2</w:t>
            </w:r>
          </w:p>
        </w:tc>
        <w:tc>
          <w:tcPr>
            <w:tcW w:w="681" w:type="dxa"/>
            <w:tcBorders>
              <w:top w:val="nil"/>
              <w:left w:val="nil"/>
              <w:bottom w:val="nil"/>
              <w:right w:val="nil"/>
            </w:tcBorders>
            <w:shd w:val="clear" w:color="auto" w:fill="auto"/>
            <w:noWrap/>
            <w:vAlign w:val="bottom"/>
            <w:hideMark/>
          </w:tcPr>
          <w:p w14:paraId="6BEEE826"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30.7</w:t>
            </w:r>
          </w:p>
        </w:tc>
        <w:tc>
          <w:tcPr>
            <w:tcW w:w="663" w:type="dxa"/>
            <w:tcBorders>
              <w:top w:val="nil"/>
              <w:left w:val="nil"/>
              <w:bottom w:val="nil"/>
              <w:right w:val="nil"/>
            </w:tcBorders>
            <w:shd w:val="clear" w:color="auto" w:fill="auto"/>
            <w:noWrap/>
            <w:vAlign w:val="bottom"/>
            <w:hideMark/>
          </w:tcPr>
          <w:p w14:paraId="474CF0A4"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36.4</w:t>
            </w:r>
          </w:p>
        </w:tc>
        <w:tc>
          <w:tcPr>
            <w:tcW w:w="663" w:type="dxa"/>
            <w:tcBorders>
              <w:top w:val="nil"/>
              <w:left w:val="nil"/>
              <w:bottom w:val="nil"/>
              <w:right w:val="nil"/>
            </w:tcBorders>
            <w:shd w:val="clear" w:color="auto" w:fill="auto"/>
            <w:noWrap/>
            <w:vAlign w:val="bottom"/>
            <w:hideMark/>
          </w:tcPr>
          <w:p w14:paraId="6DB8A0B6"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28.1</w:t>
            </w:r>
          </w:p>
        </w:tc>
        <w:tc>
          <w:tcPr>
            <w:tcW w:w="271" w:type="dxa"/>
            <w:tcBorders>
              <w:top w:val="nil"/>
              <w:left w:val="nil"/>
              <w:bottom w:val="nil"/>
              <w:right w:val="nil"/>
            </w:tcBorders>
            <w:shd w:val="clear" w:color="auto" w:fill="auto"/>
            <w:noWrap/>
            <w:vAlign w:val="bottom"/>
            <w:hideMark/>
          </w:tcPr>
          <w:p w14:paraId="5EFA5DDA"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681" w:type="dxa"/>
            <w:tcBorders>
              <w:top w:val="nil"/>
              <w:left w:val="nil"/>
              <w:bottom w:val="nil"/>
              <w:right w:val="nil"/>
            </w:tcBorders>
            <w:shd w:val="clear" w:color="auto" w:fill="auto"/>
            <w:noWrap/>
            <w:vAlign w:val="bottom"/>
            <w:hideMark/>
          </w:tcPr>
          <w:p w14:paraId="45EF5839"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11.1</w:t>
            </w:r>
          </w:p>
        </w:tc>
        <w:tc>
          <w:tcPr>
            <w:tcW w:w="663" w:type="dxa"/>
            <w:tcBorders>
              <w:top w:val="nil"/>
              <w:left w:val="nil"/>
              <w:bottom w:val="nil"/>
              <w:right w:val="nil"/>
            </w:tcBorders>
            <w:shd w:val="clear" w:color="auto" w:fill="auto"/>
            <w:noWrap/>
            <w:vAlign w:val="bottom"/>
            <w:hideMark/>
          </w:tcPr>
          <w:p w14:paraId="0A186F5B"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15.6</w:t>
            </w:r>
          </w:p>
        </w:tc>
        <w:tc>
          <w:tcPr>
            <w:tcW w:w="663" w:type="dxa"/>
            <w:tcBorders>
              <w:top w:val="nil"/>
              <w:left w:val="nil"/>
              <w:bottom w:val="nil"/>
              <w:right w:val="nil"/>
            </w:tcBorders>
            <w:shd w:val="clear" w:color="auto" w:fill="auto"/>
            <w:noWrap/>
            <w:vAlign w:val="bottom"/>
            <w:hideMark/>
          </w:tcPr>
          <w:p w14:paraId="6674B812"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5.6</w:t>
            </w:r>
          </w:p>
        </w:tc>
      </w:tr>
      <w:tr w:rsidR="00F92A14" w:rsidRPr="00666AB4" w14:paraId="0A16AF1C" w14:textId="77777777" w:rsidTr="00F92A14">
        <w:trPr>
          <w:trHeight w:val="288"/>
        </w:trPr>
        <w:tc>
          <w:tcPr>
            <w:tcW w:w="5103" w:type="dxa"/>
            <w:tcBorders>
              <w:top w:val="nil"/>
              <w:left w:val="nil"/>
              <w:bottom w:val="nil"/>
              <w:right w:val="nil"/>
            </w:tcBorders>
            <w:shd w:val="clear" w:color="auto" w:fill="auto"/>
            <w:noWrap/>
            <w:vAlign w:val="bottom"/>
            <w:hideMark/>
          </w:tcPr>
          <w:p w14:paraId="242B0D3B" w14:textId="77777777" w:rsidR="00F92A14" w:rsidRPr="00666AB4" w:rsidRDefault="00F92A14" w:rsidP="00F92A14">
            <w:pPr>
              <w:spacing w:after="0" w:line="240" w:lineRule="auto"/>
              <w:ind w:firstLineChars="100" w:firstLine="112"/>
              <w:rPr>
                <w:rFonts w:ascii="Times New Roman" w:eastAsia="Times New Roman" w:hAnsi="Times New Roman" w:cs="Times New Roman"/>
                <w:color w:val="000000"/>
                <w:lang w:eastAsia="en-GB"/>
              </w:rPr>
            </w:pPr>
            <w:r w:rsidRPr="00666AB4">
              <w:rPr>
                <w:rFonts w:ascii="Times New Roman" w:eastAsia="Times New Roman" w:hAnsi="Times New Roman" w:cs="Times New Roman"/>
                <w:color w:val="000000"/>
                <w:lang w:eastAsia="en-GB"/>
              </w:rPr>
              <w:t>Government grant</w:t>
            </w:r>
          </w:p>
        </w:tc>
        <w:tc>
          <w:tcPr>
            <w:tcW w:w="718" w:type="dxa"/>
            <w:tcBorders>
              <w:top w:val="nil"/>
              <w:left w:val="nil"/>
              <w:bottom w:val="nil"/>
              <w:right w:val="nil"/>
            </w:tcBorders>
            <w:shd w:val="clear" w:color="auto" w:fill="auto"/>
            <w:noWrap/>
            <w:vAlign w:val="bottom"/>
            <w:hideMark/>
          </w:tcPr>
          <w:p w14:paraId="22A75A9D"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5.9</w:t>
            </w:r>
          </w:p>
        </w:tc>
        <w:tc>
          <w:tcPr>
            <w:tcW w:w="681" w:type="dxa"/>
            <w:tcBorders>
              <w:top w:val="nil"/>
              <w:left w:val="nil"/>
              <w:bottom w:val="nil"/>
              <w:right w:val="nil"/>
            </w:tcBorders>
            <w:shd w:val="clear" w:color="auto" w:fill="auto"/>
            <w:noWrap/>
            <w:vAlign w:val="bottom"/>
            <w:hideMark/>
          </w:tcPr>
          <w:p w14:paraId="094C0C22"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4.8</w:t>
            </w:r>
          </w:p>
        </w:tc>
        <w:tc>
          <w:tcPr>
            <w:tcW w:w="663" w:type="dxa"/>
            <w:tcBorders>
              <w:top w:val="nil"/>
              <w:left w:val="nil"/>
              <w:bottom w:val="nil"/>
              <w:right w:val="nil"/>
            </w:tcBorders>
            <w:shd w:val="clear" w:color="auto" w:fill="auto"/>
            <w:noWrap/>
            <w:vAlign w:val="bottom"/>
            <w:hideMark/>
          </w:tcPr>
          <w:p w14:paraId="457A38B0"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6.2</w:t>
            </w:r>
          </w:p>
        </w:tc>
        <w:tc>
          <w:tcPr>
            <w:tcW w:w="663" w:type="dxa"/>
            <w:tcBorders>
              <w:top w:val="nil"/>
              <w:left w:val="nil"/>
              <w:bottom w:val="nil"/>
              <w:right w:val="nil"/>
            </w:tcBorders>
            <w:shd w:val="clear" w:color="auto" w:fill="auto"/>
            <w:noWrap/>
            <w:vAlign w:val="bottom"/>
            <w:hideMark/>
          </w:tcPr>
          <w:p w14:paraId="7CDD8496"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4.2</w:t>
            </w:r>
          </w:p>
        </w:tc>
        <w:tc>
          <w:tcPr>
            <w:tcW w:w="271" w:type="dxa"/>
            <w:tcBorders>
              <w:top w:val="nil"/>
              <w:left w:val="nil"/>
              <w:bottom w:val="nil"/>
              <w:right w:val="nil"/>
            </w:tcBorders>
            <w:shd w:val="clear" w:color="auto" w:fill="auto"/>
            <w:noWrap/>
            <w:vAlign w:val="bottom"/>
            <w:hideMark/>
          </w:tcPr>
          <w:p w14:paraId="593467BA"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681" w:type="dxa"/>
            <w:tcBorders>
              <w:top w:val="nil"/>
              <w:left w:val="nil"/>
              <w:bottom w:val="nil"/>
              <w:right w:val="nil"/>
            </w:tcBorders>
            <w:shd w:val="clear" w:color="auto" w:fill="auto"/>
            <w:noWrap/>
            <w:vAlign w:val="bottom"/>
            <w:hideMark/>
          </w:tcPr>
          <w:p w14:paraId="4A7C2083"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7.8</w:t>
            </w:r>
          </w:p>
        </w:tc>
        <w:tc>
          <w:tcPr>
            <w:tcW w:w="663" w:type="dxa"/>
            <w:tcBorders>
              <w:top w:val="nil"/>
              <w:left w:val="nil"/>
              <w:bottom w:val="nil"/>
              <w:right w:val="nil"/>
            </w:tcBorders>
            <w:shd w:val="clear" w:color="auto" w:fill="auto"/>
            <w:noWrap/>
            <w:vAlign w:val="bottom"/>
            <w:hideMark/>
          </w:tcPr>
          <w:p w14:paraId="16F8288B"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8.4</w:t>
            </w:r>
          </w:p>
        </w:tc>
        <w:tc>
          <w:tcPr>
            <w:tcW w:w="663" w:type="dxa"/>
            <w:tcBorders>
              <w:top w:val="nil"/>
              <w:left w:val="nil"/>
              <w:bottom w:val="nil"/>
              <w:right w:val="nil"/>
            </w:tcBorders>
            <w:shd w:val="clear" w:color="auto" w:fill="auto"/>
            <w:noWrap/>
            <w:vAlign w:val="bottom"/>
            <w:hideMark/>
          </w:tcPr>
          <w:p w14:paraId="49382600"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7.0</w:t>
            </w:r>
          </w:p>
        </w:tc>
      </w:tr>
      <w:tr w:rsidR="00F92A14" w:rsidRPr="00666AB4" w14:paraId="3AFA50C4" w14:textId="77777777" w:rsidTr="00F92A14">
        <w:trPr>
          <w:trHeight w:val="288"/>
        </w:trPr>
        <w:tc>
          <w:tcPr>
            <w:tcW w:w="5103" w:type="dxa"/>
            <w:tcBorders>
              <w:top w:val="nil"/>
              <w:left w:val="nil"/>
              <w:bottom w:val="nil"/>
              <w:right w:val="nil"/>
            </w:tcBorders>
            <w:shd w:val="clear" w:color="auto" w:fill="auto"/>
            <w:noWrap/>
            <w:vAlign w:val="bottom"/>
            <w:hideMark/>
          </w:tcPr>
          <w:p w14:paraId="2348883C" w14:textId="77777777" w:rsidR="00F92A14" w:rsidRPr="00666AB4" w:rsidRDefault="00F92A14" w:rsidP="00F92A14">
            <w:pPr>
              <w:spacing w:after="0" w:line="240" w:lineRule="auto"/>
              <w:ind w:firstLineChars="100" w:firstLine="112"/>
              <w:rPr>
                <w:rFonts w:ascii="Times New Roman" w:eastAsia="Times New Roman" w:hAnsi="Times New Roman" w:cs="Times New Roman"/>
                <w:color w:val="000000"/>
                <w:lang w:eastAsia="en-GB"/>
              </w:rPr>
            </w:pPr>
            <w:r w:rsidRPr="00666AB4">
              <w:rPr>
                <w:rFonts w:ascii="Times New Roman" w:eastAsia="Times New Roman" w:hAnsi="Times New Roman" w:cs="Times New Roman"/>
                <w:color w:val="000000"/>
                <w:lang w:eastAsia="en-GB"/>
              </w:rPr>
              <w:t>Income from a job</w:t>
            </w:r>
          </w:p>
        </w:tc>
        <w:tc>
          <w:tcPr>
            <w:tcW w:w="718" w:type="dxa"/>
            <w:tcBorders>
              <w:top w:val="nil"/>
              <w:left w:val="nil"/>
              <w:bottom w:val="nil"/>
              <w:right w:val="nil"/>
            </w:tcBorders>
            <w:shd w:val="clear" w:color="auto" w:fill="auto"/>
            <w:noWrap/>
            <w:vAlign w:val="bottom"/>
            <w:hideMark/>
          </w:tcPr>
          <w:p w14:paraId="309F2F14"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15.0</w:t>
            </w:r>
          </w:p>
        </w:tc>
        <w:tc>
          <w:tcPr>
            <w:tcW w:w="681" w:type="dxa"/>
            <w:tcBorders>
              <w:top w:val="nil"/>
              <w:left w:val="nil"/>
              <w:bottom w:val="nil"/>
              <w:right w:val="nil"/>
            </w:tcBorders>
            <w:shd w:val="clear" w:color="auto" w:fill="auto"/>
            <w:noWrap/>
            <w:vAlign w:val="bottom"/>
            <w:hideMark/>
          </w:tcPr>
          <w:p w14:paraId="65DDDE77"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13.7</w:t>
            </w:r>
          </w:p>
        </w:tc>
        <w:tc>
          <w:tcPr>
            <w:tcW w:w="663" w:type="dxa"/>
            <w:tcBorders>
              <w:top w:val="nil"/>
              <w:left w:val="nil"/>
              <w:bottom w:val="nil"/>
              <w:right w:val="nil"/>
            </w:tcBorders>
            <w:shd w:val="clear" w:color="auto" w:fill="auto"/>
            <w:noWrap/>
            <w:vAlign w:val="bottom"/>
            <w:hideMark/>
          </w:tcPr>
          <w:p w14:paraId="0BAC7105"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21.2</w:t>
            </w:r>
          </w:p>
        </w:tc>
        <w:tc>
          <w:tcPr>
            <w:tcW w:w="663" w:type="dxa"/>
            <w:tcBorders>
              <w:top w:val="nil"/>
              <w:left w:val="nil"/>
              <w:bottom w:val="nil"/>
              <w:right w:val="nil"/>
            </w:tcBorders>
            <w:shd w:val="clear" w:color="auto" w:fill="auto"/>
            <w:noWrap/>
            <w:vAlign w:val="bottom"/>
            <w:hideMark/>
          </w:tcPr>
          <w:p w14:paraId="717894F8"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10.3</w:t>
            </w:r>
          </w:p>
        </w:tc>
        <w:tc>
          <w:tcPr>
            <w:tcW w:w="271" w:type="dxa"/>
            <w:tcBorders>
              <w:top w:val="nil"/>
              <w:left w:val="nil"/>
              <w:bottom w:val="nil"/>
              <w:right w:val="nil"/>
            </w:tcBorders>
            <w:shd w:val="clear" w:color="auto" w:fill="auto"/>
            <w:noWrap/>
            <w:vAlign w:val="bottom"/>
            <w:hideMark/>
          </w:tcPr>
          <w:p w14:paraId="39F7EB3A"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681" w:type="dxa"/>
            <w:tcBorders>
              <w:top w:val="nil"/>
              <w:left w:val="nil"/>
              <w:bottom w:val="nil"/>
              <w:right w:val="nil"/>
            </w:tcBorders>
            <w:shd w:val="clear" w:color="auto" w:fill="auto"/>
            <w:noWrap/>
            <w:vAlign w:val="bottom"/>
            <w:hideMark/>
          </w:tcPr>
          <w:p w14:paraId="7707D0BB"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16.1</w:t>
            </w:r>
          </w:p>
        </w:tc>
        <w:tc>
          <w:tcPr>
            <w:tcW w:w="663" w:type="dxa"/>
            <w:tcBorders>
              <w:top w:val="nil"/>
              <w:left w:val="nil"/>
              <w:bottom w:val="nil"/>
              <w:right w:val="nil"/>
            </w:tcBorders>
            <w:shd w:val="clear" w:color="auto" w:fill="auto"/>
            <w:noWrap/>
            <w:vAlign w:val="bottom"/>
            <w:hideMark/>
          </w:tcPr>
          <w:p w14:paraId="01DF8CC6"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17.2</w:t>
            </w:r>
          </w:p>
        </w:tc>
        <w:tc>
          <w:tcPr>
            <w:tcW w:w="663" w:type="dxa"/>
            <w:tcBorders>
              <w:top w:val="nil"/>
              <w:left w:val="nil"/>
              <w:bottom w:val="nil"/>
              <w:right w:val="nil"/>
            </w:tcBorders>
            <w:shd w:val="clear" w:color="auto" w:fill="auto"/>
            <w:noWrap/>
            <w:vAlign w:val="bottom"/>
            <w:hideMark/>
          </w:tcPr>
          <w:p w14:paraId="78283EB3"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14.6</w:t>
            </w:r>
          </w:p>
        </w:tc>
      </w:tr>
      <w:tr w:rsidR="00F92A14" w:rsidRPr="00666AB4" w14:paraId="1D1DE79B" w14:textId="77777777" w:rsidTr="00F92A14">
        <w:trPr>
          <w:trHeight w:val="288"/>
        </w:trPr>
        <w:tc>
          <w:tcPr>
            <w:tcW w:w="5103" w:type="dxa"/>
            <w:tcBorders>
              <w:top w:val="nil"/>
              <w:left w:val="nil"/>
              <w:bottom w:val="nil"/>
              <w:right w:val="nil"/>
            </w:tcBorders>
            <w:shd w:val="clear" w:color="auto" w:fill="auto"/>
            <w:noWrap/>
            <w:vAlign w:val="bottom"/>
            <w:hideMark/>
          </w:tcPr>
          <w:p w14:paraId="2FF943CC" w14:textId="77777777" w:rsidR="00F92A14" w:rsidRPr="00666AB4" w:rsidRDefault="00F92A14" w:rsidP="00F92A14">
            <w:pPr>
              <w:spacing w:after="0" w:line="240" w:lineRule="auto"/>
              <w:ind w:firstLineChars="100" w:firstLine="112"/>
              <w:rPr>
                <w:rFonts w:ascii="Times New Roman" w:eastAsia="Times New Roman" w:hAnsi="Times New Roman" w:cs="Times New Roman"/>
                <w:color w:val="000000"/>
                <w:lang w:eastAsia="en-GB"/>
              </w:rPr>
            </w:pPr>
            <w:r w:rsidRPr="00666AB4">
              <w:rPr>
                <w:rFonts w:ascii="Times New Roman" w:eastAsia="Times New Roman" w:hAnsi="Times New Roman" w:cs="Times New Roman"/>
                <w:color w:val="000000"/>
                <w:lang w:eastAsia="en-GB"/>
              </w:rPr>
              <w:t xml:space="preserve">Personal savings </w:t>
            </w:r>
          </w:p>
        </w:tc>
        <w:tc>
          <w:tcPr>
            <w:tcW w:w="718" w:type="dxa"/>
            <w:tcBorders>
              <w:top w:val="nil"/>
              <w:left w:val="nil"/>
              <w:bottom w:val="nil"/>
              <w:right w:val="nil"/>
            </w:tcBorders>
            <w:shd w:val="clear" w:color="auto" w:fill="auto"/>
            <w:noWrap/>
            <w:vAlign w:val="bottom"/>
            <w:hideMark/>
          </w:tcPr>
          <w:p w14:paraId="08AAC5B9"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22.7</w:t>
            </w:r>
          </w:p>
        </w:tc>
        <w:tc>
          <w:tcPr>
            <w:tcW w:w="681" w:type="dxa"/>
            <w:tcBorders>
              <w:top w:val="nil"/>
              <w:left w:val="nil"/>
              <w:bottom w:val="nil"/>
              <w:right w:val="nil"/>
            </w:tcBorders>
            <w:shd w:val="clear" w:color="auto" w:fill="auto"/>
            <w:noWrap/>
            <w:vAlign w:val="bottom"/>
            <w:hideMark/>
          </w:tcPr>
          <w:p w14:paraId="1A70112B"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19.7</w:t>
            </w:r>
          </w:p>
        </w:tc>
        <w:tc>
          <w:tcPr>
            <w:tcW w:w="663" w:type="dxa"/>
            <w:tcBorders>
              <w:top w:val="nil"/>
              <w:left w:val="nil"/>
              <w:bottom w:val="nil"/>
              <w:right w:val="nil"/>
            </w:tcBorders>
            <w:shd w:val="clear" w:color="auto" w:fill="auto"/>
            <w:noWrap/>
            <w:vAlign w:val="bottom"/>
            <w:hideMark/>
          </w:tcPr>
          <w:p w14:paraId="584F529F"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18.5</w:t>
            </w:r>
          </w:p>
        </w:tc>
        <w:tc>
          <w:tcPr>
            <w:tcW w:w="663" w:type="dxa"/>
            <w:tcBorders>
              <w:top w:val="nil"/>
              <w:left w:val="nil"/>
              <w:bottom w:val="nil"/>
              <w:right w:val="nil"/>
            </w:tcBorders>
            <w:shd w:val="clear" w:color="auto" w:fill="auto"/>
            <w:noWrap/>
            <w:vAlign w:val="bottom"/>
            <w:hideMark/>
          </w:tcPr>
          <w:p w14:paraId="762179D8"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20.3</w:t>
            </w:r>
          </w:p>
        </w:tc>
        <w:tc>
          <w:tcPr>
            <w:tcW w:w="271" w:type="dxa"/>
            <w:tcBorders>
              <w:top w:val="nil"/>
              <w:left w:val="nil"/>
              <w:bottom w:val="nil"/>
              <w:right w:val="nil"/>
            </w:tcBorders>
            <w:shd w:val="clear" w:color="auto" w:fill="auto"/>
            <w:noWrap/>
            <w:vAlign w:val="bottom"/>
            <w:hideMark/>
          </w:tcPr>
          <w:p w14:paraId="7D4C5CBC"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681" w:type="dxa"/>
            <w:tcBorders>
              <w:top w:val="nil"/>
              <w:left w:val="nil"/>
              <w:bottom w:val="nil"/>
              <w:right w:val="nil"/>
            </w:tcBorders>
            <w:shd w:val="clear" w:color="auto" w:fill="auto"/>
            <w:noWrap/>
            <w:vAlign w:val="bottom"/>
            <w:hideMark/>
          </w:tcPr>
          <w:p w14:paraId="758E8F81"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26.4</w:t>
            </w:r>
          </w:p>
        </w:tc>
        <w:tc>
          <w:tcPr>
            <w:tcW w:w="663" w:type="dxa"/>
            <w:tcBorders>
              <w:top w:val="nil"/>
              <w:left w:val="nil"/>
              <w:bottom w:val="nil"/>
              <w:right w:val="nil"/>
            </w:tcBorders>
            <w:shd w:val="clear" w:color="auto" w:fill="auto"/>
            <w:noWrap/>
            <w:vAlign w:val="bottom"/>
            <w:hideMark/>
          </w:tcPr>
          <w:p w14:paraId="792447C3"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23.5</w:t>
            </w:r>
          </w:p>
        </w:tc>
        <w:tc>
          <w:tcPr>
            <w:tcW w:w="663" w:type="dxa"/>
            <w:tcBorders>
              <w:top w:val="nil"/>
              <w:left w:val="nil"/>
              <w:bottom w:val="nil"/>
              <w:right w:val="nil"/>
            </w:tcBorders>
            <w:shd w:val="clear" w:color="auto" w:fill="auto"/>
            <w:noWrap/>
            <w:vAlign w:val="bottom"/>
            <w:hideMark/>
          </w:tcPr>
          <w:p w14:paraId="7FE20670"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30.0</w:t>
            </w:r>
          </w:p>
        </w:tc>
      </w:tr>
      <w:tr w:rsidR="00F92A14" w:rsidRPr="00666AB4" w14:paraId="3998D993" w14:textId="77777777" w:rsidTr="00F92A14">
        <w:trPr>
          <w:trHeight w:val="288"/>
        </w:trPr>
        <w:tc>
          <w:tcPr>
            <w:tcW w:w="5103" w:type="dxa"/>
            <w:tcBorders>
              <w:top w:val="nil"/>
              <w:left w:val="nil"/>
              <w:bottom w:val="single" w:sz="4" w:space="0" w:color="auto"/>
              <w:right w:val="nil"/>
            </w:tcBorders>
            <w:shd w:val="clear" w:color="auto" w:fill="auto"/>
            <w:noWrap/>
            <w:vAlign w:val="bottom"/>
            <w:hideMark/>
          </w:tcPr>
          <w:p w14:paraId="1F4AF4F6" w14:textId="77777777" w:rsidR="00F92A14" w:rsidRPr="00666AB4" w:rsidRDefault="00F92A14" w:rsidP="00F92A14">
            <w:pPr>
              <w:spacing w:after="0" w:line="240" w:lineRule="auto"/>
              <w:ind w:firstLineChars="100" w:firstLine="112"/>
              <w:rPr>
                <w:rFonts w:ascii="Times New Roman" w:eastAsia="Times New Roman" w:hAnsi="Times New Roman" w:cs="Times New Roman"/>
                <w:color w:val="000000"/>
                <w:lang w:eastAsia="en-GB"/>
              </w:rPr>
            </w:pPr>
            <w:r w:rsidRPr="00666AB4">
              <w:rPr>
                <w:rFonts w:ascii="Times New Roman" w:eastAsia="Times New Roman" w:hAnsi="Times New Roman" w:cs="Times New Roman"/>
                <w:color w:val="000000"/>
                <w:lang w:eastAsia="en-GB"/>
              </w:rPr>
              <w:t>Other</w:t>
            </w:r>
          </w:p>
        </w:tc>
        <w:tc>
          <w:tcPr>
            <w:tcW w:w="718" w:type="dxa"/>
            <w:tcBorders>
              <w:top w:val="nil"/>
              <w:left w:val="nil"/>
              <w:bottom w:val="single" w:sz="4" w:space="0" w:color="auto"/>
              <w:right w:val="nil"/>
            </w:tcBorders>
            <w:shd w:val="clear" w:color="auto" w:fill="auto"/>
            <w:noWrap/>
            <w:vAlign w:val="bottom"/>
            <w:hideMark/>
          </w:tcPr>
          <w:p w14:paraId="19A43811"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7.0</w:t>
            </w:r>
          </w:p>
        </w:tc>
        <w:tc>
          <w:tcPr>
            <w:tcW w:w="681" w:type="dxa"/>
            <w:tcBorders>
              <w:top w:val="nil"/>
              <w:left w:val="nil"/>
              <w:bottom w:val="single" w:sz="4" w:space="0" w:color="auto"/>
              <w:right w:val="nil"/>
            </w:tcBorders>
            <w:shd w:val="clear" w:color="auto" w:fill="auto"/>
            <w:noWrap/>
            <w:vAlign w:val="bottom"/>
            <w:hideMark/>
          </w:tcPr>
          <w:p w14:paraId="4C07AE94"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6.2</w:t>
            </w:r>
          </w:p>
        </w:tc>
        <w:tc>
          <w:tcPr>
            <w:tcW w:w="663" w:type="dxa"/>
            <w:tcBorders>
              <w:top w:val="nil"/>
              <w:left w:val="nil"/>
              <w:bottom w:val="single" w:sz="4" w:space="0" w:color="auto"/>
              <w:right w:val="nil"/>
            </w:tcBorders>
            <w:shd w:val="clear" w:color="auto" w:fill="auto"/>
            <w:noWrap/>
            <w:vAlign w:val="bottom"/>
            <w:hideMark/>
          </w:tcPr>
          <w:p w14:paraId="5DC14BC4"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6.6</w:t>
            </w:r>
          </w:p>
        </w:tc>
        <w:tc>
          <w:tcPr>
            <w:tcW w:w="663" w:type="dxa"/>
            <w:tcBorders>
              <w:top w:val="nil"/>
              <w:left w:val="nil"/>
              <w:bottom w:val="single" w:sz="4" w:space="0" w:color="auto"/>
              <w:right w:val="nil"/>
            </w:tcBorders>
            <w:shd w:val="clear" w:color="auto" w:fill="auto"/>
            <w:noWrap/>
            <w:vAlign w:val="bottom"/>
            <w:hideMark/>
          </w:tcPr>
          <w:p w14:paraId="5B847C89"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6.0</w:t>
            </w:r>
          </w:p>
        </w:tc>
        <w:tc>
          <w:tcPr>
            <w:tcW w:w="271" w:type="dxa"/>
            <w:tcBorders>
              <w:top w:val="nil"/>
              <w:left w:val="nil"/>
              <w:bottom w:val="single" w:sz="4" w:space="0" w:color="auto"/>
              <w:right w:val="nil"/>
            </w:tcBorders>
            <w:shd w:val="clear" w:color="auto" w:fill="auto"/>
            <w:noWrap/>
            <w:vAlign w:val="bottom"/>
            <w:hideMark/>
          </w:tcPr>
          <w:p w14:paraId="04AA87EA" w14:textId="77777777" w:rsidR="00F92A14" w:rsidRPr="00666AB4" w:rsidRDefault="00F92A14" w:rsidP="00F92A14">
            <w:pPr>
              <w:spacing w:after="0" w:line="240" w:lineRule="auto"/>
              <w:rPr>
                <w:rFonts w:ascii="Times New Roman" w:eastAsia="Times New Roman" w:hAnsi="Times New Roman" w:cs="Times New Roman"/>
                <w:color w:val="000000"/>
                <w:lang w:eastAsia="en-GB"/>
              </w:rPr>
            </w:pPr>
            <w:r w:rsidRPr="00666AB4">
              <w:rPr>
                <w:rFonts w:ascii="Times New Roman" w:eastAsia="Times New Roman" w:hAnsi="Times New Roman" w:cs="Times New Roman"/>
                <w:color w:val="000000"/>
                <w:lang w:eastAsia="en-GB"/>
              </w:rPr>
              <w:t> </w:t>
            </w:r>
          </w:p>
        </w:tc>
        <w:tc>
          <w:tcPr>
            <w:tcW w:w="681" w:type="dxa"/>
            <w:tcBorders>
              <w:top w:val="nil"/>
              <w:left w:val="nil"/>
              <w:bottom w:val="single" w:sz="4" w:space="0" w:color="auto"/>
              <w:right w:val="nil"/>
            </w:tcBorders>
            <w:shd w:val="clear" w:color="auto" w:fill="auto"/>
            <w:noWrap/>
            <w:vAlign w:val="bottom"/>
            <w:hideMark/>
          </w:tcPr>
          <w:p w14:paraId="1D2CBDF4"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4.6</w:t>
            </w:r>
          </w:p>
        </w:tc>
        <w:tc>
          <w:tcPr>
            <w:tcW w:w="663" w:type="dxa"/>
            <w:tcBorders>
              <w:top w:val="nil"/>
              <w:left w:val="nil"/>
              <w:bottom w:val="single" w:sz="4" w:space="0" w:color="auto"/>
              <w:right w:val="nil"/>
            </w:tcBorders>
            <w:shd w:val="clear" w:color="auto" w:fill="auto"/>
            <w:noWrap/>
            <w:vAlign w:val="bottom"/>
            <w:hideMark/>
          </w:tcPr>
          <w:p w14:paraId="587FF7FB"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4.5</w:t>
            </w:r>
          </w:p>
        </w:tc>
        <w:tc>
          <w:tcPr>
            <w:tcW w:w="663" w:type="dxa"/>
            <w:tcBorders>
              <w:top w:val="nil"/>
              <w:left w:val="nil"/>
              <w:bottom w:val="single" w:sz="4" w:space="0" w:color="auto"/>
              <w:right w:val="nil"/>
            </w:tcBorders>
            <w:shd w:val="clear" w:color="auto" w:fill="auto"/>
            <w:noWrap/>
            <w:vAlign w:val="bottom"/>
            <w:hideMark/>
          </w:tcPr>
          <w:p w14:paraId="405936D1"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4.7</w:t>
            </w:r>
          </w:p>
        </w:tc>
      </w:tr>
      <w:tr w:rsidR="00F92A14" w:rsidRPr="00666AB4" w14:paraId="1D05F2B2" w14:textId="77777777" w:rsidTr="00F92A14">
        <w:trPr>
          <w:trHeight w:val="288"/>
        </w:trPr>
        <w:tc>
          <w:tcPr>
            <w:tcW w:w="10106" w:type="dxa"/>
            <w:gridSpan w:val="9"/>
            <w:tcBorders>
              <w:top w:val="single" w:sz="4" w:space="0" w:color="auto"/>
              <w:left w:val="nil"/>
              <w:bottom w:val="nil"/>
              <w:right w:val="nil"/>
            </w:tcBorders>
            <w:shd w:val="clear" w:color="auto" w:fill="auto"/>
            <w:vAlign w:val="bottom"/>
            <w:hideMark/>
          </w:tcPr>
          <w:p w14:paraId="37DFBA97" w14:textId="77777777" w:rsidR="00F92A14" w:rsidRPr="00183FC5" w:rsidRDefault="00F92A14" w:rsidP="00F92A14">
            <w:pPr>
              <w:spacing w:after="0" w:line="240" w:lineRule="auto"/>
              <w:rPr>
                <w:rFonts w:ascii="Times New Roman" w:eastAsia="Times New Roman" w:hAnsi="Times New Roman" w:cs="Times New Roman"/>
                <w:color w:val="000000"/>
                <w:sz w:val="20"/>
                <w:lang w:eastAsia="en-GB"/>
              </w:rPr>
            </w:pPr>
            <w:r w:rsidRPr="00183FC5">
              <w:rPr>
                <w:rFonts w:ascii="Times New Roman" w:eastAsia="Times New Roman" w:hAnsi="Times New Roman" w:cs="Times New Roman"/>
                <w:color w:val="000000"/>
                <w:sz w:val="20"/>
                <w:vertAlign w:val="superscript"/>
                <w:lang w:eastAsia="en-GB"/>
              </w:rPr>
              <w:t>i</w:t>
            </w:r>
            <w:r w:rsidRPr="00183FC5">
              <w:rPr>
                <w:rFonts w:ascii="Times New Roman" w:eastAsia="Times New Roman" w:hAnsi="Times New Roman" w:cs="Times New Roman"/>
                <w:color w:val="000000"/>
                <w:sz w:val="20"/>
                <w:lang w:eastAsia="en-GB"/>
              </w:rPr>
              <w:t xml:space="preserve"> If the current postgraduate student has previously studied for a postgraduate degree, we report here how they financed this current degree study.</w:t>
            </w:r>
          </w:p>
        </w:tc>
      </w:tr>
      <w:tr w:rsidR="00F92A14" w:rsidRPr="00666AB4" w14:paraId="10506693" w14:textId="77777777" w:rsidTr="00F92A14">
        <w:trPr>
          <w:trHeight w:val="564"/>
        </w:trPr>
        <w:tc>
          <w:tcPr>
            <w:tcW w:w="10106" w:type="dxa"/>
            <w:gridSpan w:val="9"/>
            <w:tcBorders>
              <w:top w:val="nil"/>
              <w:left w:val="nil"/>
              <w:bottom w:val="nil"/>
              <w:right w:val="nil"/>
            </w:tcBorders>
            <w:shd w:val="clear" w:color="auto" w:fill="auto"/>
            <w:vAlign w:val="bottom"/>
            <w:hideMark/>
          </w:tcPr>
          <w:p w14:paraId="083C6737" w14:textId="77777777" w:rsidR="00F92A14" w:rsidRPr="00183FC5" w:rsidRDefault="00F92A14" w:rsidP="00F92A14">
            <w:pPr>
              <w:spacing w:after="0" w:line="240" w:lineRule="auto"/>
              <w:rPr>
                <w:rFonts w:ascii="Times New Roman" w:eastAsia="Times New Roman" w:hAnsi="Times New Roman" w:cs="Times New Roman"/>
                <w:color w:val="000000"/>
                <w:sz w:val="20"/>
                <w:lang w:eastAsia="en-GB"/>
              </w:rPr>
            </w:pPr>
            <w:r w:rsidRPr="00183FC5">
              <w:rPr>
                <w:rFonts w:ascii="Times New Roman" w:eastAsia="Times New Roman" w:hAnsi="Times New Roman" w:cs="Times New Roman"/>
                <w:color w:val="000000"/>
                <w:sz w:val="20"/>
                <w:vertAlign w:val="superscript"/>
                <w:lang w:eastAsia="en-GB"/>
              </w:rPr>
              <w:t>ii</w:t>
            </w:r>
            <w:r w:rsidRPr="00183FC5">
              <w:rPr>
                <w:rFonts w:ascii="Times New Roman" w:eastAsia="Times New Roman" w:hAnsi="Times New Roman" w:cs="Times New Roman"/>
                <w:color w:val="000000"/>
                <w:sz w:val="20"/>
                <w:lang w:eastAsia="en-GB"/>
              </w:rPr>
              <w:t xml:space="preserve"> If the postgraduate student has studied for more than one postgraduate degree, we report here how they financed their most recent postgraduate degree.</w:t>
            </w:r>
          </w:p>
        </w:tc>
      </w:tr>
    </w:tbl>
    <w:p w14:paraId="777BD4B7" w14:textId="77777777" w:rsidR="00F92A14" w:rsidRDefault="00F92A14" w:rsidP="00F92A14">
      <w:pPr>
        <w:spacing w:after="0" w:line="240" w:lineRule="auto"/>
        <w:rPr>
          <w:rFonts w:ascii="Times New Roman" w:hAnsi="Times New Roman" w:cs="Times New Roman"/>
          <w:sz w:val="20"/>
        </w:rPr>
      </w:pPr>
    </w:p>
    <w:p w14:paraId="649C5CFA" w14:textId="77777777" w:rsidR="00F92A14" w:rsidRPr="007B1A4A" w:rsidRDefault="00F92A14" w:rsidP="00F92A14">
      <w:pPr>
        <w:spacing w:after="0" w:line="240" w:lineRule="auto"/>
        <w:rPr>
          <w:rFonts w:ascii="Times New Roman" w:hAnsi="Times New Roman" w:cs="Times New Roman"/>
          <w:sz w:val="20"/>
        </w:rPr>
      </w:pPr>
      <w:r>
        <w:rPr>
          <w:rFonts w:ascii="Times New Roman" w:hAnsi="Times New Roman" w:cs="Times New Roman"/>
          <w:sz w:val="20"/>
        </w:rPr>
        <w:t>Note: Weighted percentages.</w:t>
      </w:r>
    </w:p>
    <w:p w14:paraId="5DA7BD42" w14:textId="7BE9E8D1" w:rsidR="00F92A14" w:rsidRDefault="00F92A14" w:rsidP="00F92A14">
      <w:pPr>
        <w:spacing w:after="0" w:line="240" w:lineRule="auto"/>
        <w:rPr>
          <w:rFonts w:ascii="Times New Roman" w:hAnsi="Times New Roman" w:cs="Times New Roman"/>
          <w:sz w:val="20"/>
        </w:rPr>
      </w:pPr>
      <w:r w:rsidRPr="007B1A4A">
        <w:rPr>
          <w:rFonts w:ascii="Times New Roman" w:hAnsi="Times New Roman" w:cs="Times New Roman"/>
          <w:sz w:val="20"/>
        </w:rPr>
        <w:t>N=2,567</w:t>
      </w:r>
    </w:p>
    <w:p w14:paraId="57959B1A" w14:textId="77777777" w:rsidR="00F92A14" w:rsidRDefault="00F92A14">
      <w:pPr>
        <w:rPr>
          <w:rFonts w:ascii="Times New Roman" w:hAnsi="Times New Roman" w:cs="Times New Roman"/>
          <w:sz w:val="20"/>
        </w:rPr>
      </w:pPr>
      <w:r>
        <w:rPr>
          <w:rFonts w:ascii="Times New Roman" w:hAnsi="Times New Roman" w:cs="Times New Roman"/>
          <w:sz w:val="20"/>
        </w:rPr>
        <w:br w:type="page"/>
      </w:r>
    </w:p>
    <w:tbl>
      <w:tblPr>
        <w:tblW w:w="9000" w:type="dxa"/>
        <w:tblLook w:val="04A0" w:firstRow="1" w:lastRow="0" w:firstColumn="1" w:lastColumn="0" w:noHBand="0" w:noVBand="1"/>
      </w:tblPr>
      <w:tblGrid>
        <w:gridCol w:w="4962"/>
        <w:gridCol w:w="1580"/>
        <w:gridCol w:w="271"/>
        <w:gridCol w:w="1720"/>
        <w:gridCol w:w="467"/>
      </w:tblGrid>
      <w:tr w:rsidR="00F92A14" w:rsidRPr="00666AB4" w14:paraId="5B6267AC" w14:textId="77777777" w:rsidTr="00F92A14">
        <w:trPr>
          <w:trHeight w:val="288"/>
        </w:trPr>
        <w:tc>
          <w:tcPr>
            <w:tcW w:w="9000" w:type="dxa"/>
            <w:gridSpan w:val="5"/>
            <w:tcBorders>
              <w:top w:val="nil"/>
              <w:left w:val="nil"/>
              <w:bottom w:val="single" w:sz="4" w:space="0" w:color="auto"/>
              <w:right w:val="nil"/>
            </w:tcBorders>
            <w:shd w:val="clear" w:color="auto" w:fill="auto"/>
            <w:noWrap/>
            <w:vAlign w:val="center"/>
            <w:hideMark/>
          </w:tcPr>
          <w:p w14:paraId="30FFAB7B" w14:textId="77777777" w:rsidR="00F92A14" w:rsidRPr="00666AB4" w:rsidRDefault="00F92A14" w:rsidP="00F92A14">
            <w:pPr>
              <w:spacing w:after="0" w:line="240" w:lineRule="auto"/>
              <w:rPr>
                <w:rFonts w:ascii="Times New Roman" w:eastAsia="Times New Roman" w:hAnsi="Times New Roman" w:cs="Times New Roman"/>
                <w:b/>
                <w:bCs/>
                <w:color w:val="000000"/>
                <w:lang w:eastAsia="en-GB"/>
              </w:rPr>
            </w:pPr>
            <w:r w:rsidRPr="00666AB4">
              <w:rPr>
                <w:rFonts w:ascii="Times New Roman" w:eastAsia="Times New Roman" w:hAnsi="Times New Roman" w:cs="Times New Roman"/>
                <w:b/>
                <w:bCs/>
                <w:color w:val="000000"/>
                <w:lang w:eastAsia="en-GB"/>
              </w:rPr>
              <w:lastRenderedPageBreak/>
              <w:t>Table 4. Financial source of postgraduate tuition fees by post</w:t>
            </w:r>
            <w:r>
              <w:rPr>
                <w:rFonts w:ascii="Times New Roman" w:eastAsia="Times New Roman" w:hAnsi="Times New Roman" w:cs="Times New Roman"/>
                <w:b/>
                <w:bCs/>
                <w:color w:val="000000"/>
                <w:lang w:eastAsia="en-GB"/>
              </w:rPr>
              <w:t>graduate degree type (percent).</w:t>
            </w:r>
          </w:p>
        </w:tc>
      </w:tr>
      <w:tr w:rsidR="00F92A14" w:rsidRPr="00666AB4" w14:paraId="6FE0586B" w14:textId="77777777" w:rsidTr="00F92A14">
        <w:trPr>
          <w:trHeight w:val="1200"/>
        </w:trPr>
        <w:tc>
          <w:tcPr>
            <w:tcW w:w="4962" w:type="dxa"/>
            <w:tcBorders>
              <w:top w:val="nil"/>
              <w:left w:val="nil"/>
              <w:bottom w:val="single" w:sz="4" w:space="0" w:color="auto"/>
              <w:right w:val="nil"/>
            </w:tcBorders>
            <w:shd w:val="clear" w:color="auto" w:fill="auto"/>
            <w:noWrap/>
            <w:vAlign w:val="bottom"/>
            <w:hideMark/>
          </w:tcPr>
          <w:p w14:paraId="69301117" w14:textId="77777777" w:rsidR="00F92A14" w:rsidRPr="00666AB4" w:rsidRDefault="00F92A14" w:rsidP="00F92A14">
            <w:pPr>
              <w:spacing w:after="0" w:line="240" w:lineRule="auto"/>
              <w:rPr>
                <w:rFonts w:ascii="Times New Roman" w:eastAsia="Times New Roman" w:hAnsi="Times New Roman" w:cs="Times New Roman"/>
                <w:b/>
                <w:bCs/>
                <w:color w:val="000000"/>
                <w:lang w:eastAsia="en-GB"/>
              </w:rPr>
            </w:pPr>
            <w:r w:rsidRPr="00666AB4">
              <w:rPr>
                <w:rFonts w:ascii="Times New Roman" w:eastAsia="Times New Roman" w:hAnsi="Times New Roman" w:cs="Times New Roman"/>
                <w:b/>
                <w:bCs/>
                <w:color w:val="000000"/>
                <w:lang w:eastAsia="en-GB"/>
              </w:rPr>
              <w:t xml:space="preserve">Financial source </w:t>
            </w:r>
          </w:p>
        </w:tc>
        <w:tc>
          <w:tcPr>
            <w:tcW w:w="1580" w:type="dxa"/>
            <w:tcBorders>
              <w:top w:val="nil"/>
              <w:left w:val="nil"/>
              <w:bottom w:val="single" w:sz="4" w:space="0" w:color="auto"/>
              <w:right w:val="nil"/>
            </w:tcBorders>
            <w:shd w:val="clear" w:color="auto" w:fill="auto"/>
            <w:vAlign w:val="bottom"/>
            <w:hideMark/>
          </w:tcPr>
          <w:p w14:paraId="740C96DD" w14:textId="77777777" w:rsidR="00F92A14" w:rsidRPr="00666AB4" w:rsidRDefault="00F92A14" w:rsidP="00F92A14">
            <w:pPr>
              <w:spacing w:after="0" w:line="240" w:lineRule="auto"/>
              <w:jc w:val="center"/>
              <w:rPr>
                <w:rFonts w:ascii="Times New Roman" w:eastAsia="Times New Roman" w:hAnsi="Times New Roman" w:cs="Times New Roman"/>
                <w:b/>
                <w:bCs/>
                <w:color w:val="000000"/>
                <w:lang w:eastAsia="en-GB"/>
              </w:rPr>
            </w:pPr>
            <w:proofErr w:type="spellStart"/>
            <w:r w:rsidRPr="00666AB4">
              <w:rPr>
                <w:rFonts w:ascii="Times New Roman" w:eastAsia="Times New Roman" w:hAnsi="Times New Roman" w:cs="Times New Roman"/>
                <w:b/>
                <w:bCs/>
                <w:color w:val="000000"/>
                <w:lang w:eastAsia="en-GB"/>
              </w:rPr>
              <w:t>Masters</w:t>
            </w:r>
            <w:proofErr w:type="spellEnd"/>
            <w:r w:rsidRPr="00666AB4">
              <w:rPr>
                <w:rFonts w:ascii="Times New Roman" w:eastAsia="Times New Roman" w:hAnsi="Times New Roman" w:cs="Times New Roman"/>
                <w:b/>
                <w:bCs/>
                <w:color w:val="000000"/>
                <w:lang w:eastAsia="en-GB"/>
              </w:rPr>
              <w:t xml:space="preserve"> degree (PGT)</w:t>
            </w:r>
          </w:p>
        </w:tc>
        <w:tc>
          <w:tcPr>
            <w:tcW w:w="271" w:type="dxa"/>
            <w:tcBorders>
              <w:top w:val="nil"/>
              <w:left w:val="nil"/>
              <w:bottom w:val="single" w:sz="4" w:space="0" w:color="auto"/>
              <w:right w:val="nil"/>
            </w:tcBorders>
            <w:shd w:val="clear" w:color="auto" w:fill="auto"/>
            <w:vAlign w:val="bottom"/>
            <w:hideMark/>
          </w:tcPr>
          <w:p w14:paraId="220491A0" w14:textId="77777777" w:rsidR="00F92A14" w:rsidRPr="00666AB4" w:rsidRDefault="00F92A14" w:rsidP="00F92A14">
            <w:pPr>
              <w:spacing w:after="0" w:line="240" w:lineRule="auto"/>
              <w:jc w:val="center"/>
              <w:rPr>
                <w:rFonts w:ascii="Times New Roman" w:eastAsia="Times New Roman" w:hAnsi="Times New Roman" w:cs="Times New Roman"/>
                <w:b/>
                <w:bCs/>
                <w:color w:val="000000"/>
                <w:lang w:eastAsia="en-GB"/>
              </w:rPr>
            </w:pPr>
            <w:r w:rsidRPr="00666AB4">
              <w:rPr>
                <w:rFonts w:ascii="Times New Roman" w:eastAsia="Times New Roman" w:hAnsi="Times New Roman" w:cs="Times New Roman"/>
                <w:b/>
                <w:bCs/>
                <w:color w:val="000000"/>
                <w:lang w:eastAsia="en-GB"/>
              </w:rPr>
              <w:t> </w:t>
            </w:r>
          </w:p>
        </w:tc>
        <w:tc>
          <w:tcPr>
            <w:tcW w:w="1720" w:type="dxa"/>
            <w:tcBorders>
              <w:top w:val="nil"/>
              <w:left w:val="nil"/>
              <w:bottom w:val="single" w:sz="4" w:space="0" w:color="auto"/>
              <w:right w:val="nil"/>
            </w:tcBorders>
            <w:shd w:val="clear" w:color="auto" w:fill="auto"/>
            <w:vAlign w:val="bottom"/>
            <w:hideMark/>
          </w:tcPr>
          <w:p w14:paraId="24536BFC" w14:textId="77777777" w:rsidR="00F92A14" w:rsidRPr="00666AB4" w:rsidRDefault="00F92A14" w:rsidP="00F92A14">
            <w:pPr>
              <w:spacing w:after="0" w:line="240" w:lineRule="auto"/>
              <w:jc w:val="center"/>
              <w:rPr>
                <w:rFonts w:ascii="Times New Roman" w:eastAsia="Times New Roman" w:hAnsi="Times New Roman" w:cs="Times New Roman"/>
                <w:b/>
                <w:bCs/>
                <w:color w:val="000000"/>
                <w:lang w:eastAsia="en-GB"/>
              </w:rPr>
            </w:pPr>
            <w:r w:rsidRPr="00666AB4">
              <w:rPr>
                <w:rFonts w:ascii="Times New Roman" w:eastAsia="Times New Roman" w:hAnsi="Times New Roman" w:cs="Times New Roman"/>
                <w:b/>
                <w:bCs/>
                <w:color w:val="000000"/>
                <w:lang w:eastAsia="en-GB"/>
              </w:rPr>
              <w:t>Research degree (PGR)</w:t>
            </w:r>
          </w:p>
        </w:tc>
        <w:tc>
          <w:tcPr>
            <w:tcW w:w="467" w:type="dxa"/>
            <w:tcBorders>
              <w:top w:val="nil"/>
              <w:left w:val="nil"/>
              <w:bottom w:val="single" w:sz="4" w:space="0" w:color="auto"/>
              <w:right w:val="nil"/>
            </w:tcBorders>
            <w:shd w:val="clear" w:color="auto" w:fill="auto"/>
            <w:vAlign w:val="center"/>
            <w:hideMark/>
          </w:tcPr>
          <w:p w14:paraId="2F62799D" w14:textId="77777777" w:rsidR="00F92A14" w:rsidRPr="00666AB4" w:rsidRDefault="00F92A14" w:rsidP="00F92A14">
            <w:pPr>
              <w:spacing w:after="0" w:line="240" w:lineRule="auto"/>
              <w:jc w:val="center"/>
              <w:rPr>
                <w:rFonts w:ascii="Times New Roman" w:eastAsia="Times New Roman" w:hAnsi="Times New Roman" w:cs="Times New Roman"/>
                <w:b/>
                <w:bCs/>
                <w:color w:val="000000"/>
                <w:lang w:eastAsia="en-GB"/>
              </w:rPr>
            </w:pPr>
            <w:r w:rsidRPr="00666AB4">
              <w:rPr>
                <w:rFonts w:ascii="Times New Roman" w:eastAsia="Times New Roman" w:hAnsi="Times New Roman" w:cs="Times New Roman"/>
                <w:b/>
                <w:bCs/>
                <w:color w:val="000000"/>
                <w:lang w:eastAsia="en-GB"/>
              </w:rPr>
              <w:t> </w:t>
            </w:r>
          </w:p>
        </w:tc>
      </w:tr>
      <w:tr w:rsidR="00F92A14" w:rsidRPr="00666AB4" w14:paraId="54A2FEC2" w14:textId="77777777" w:rsidTr="00F92A14">
        <w:trPr>
          <w:trHeight w:val="288"/>
        </w:trPr>
        <w:tc>
          <w:tcPr>
            <w:tcW w:w="4962" w:type="dxa"/>
            <w:tcBorders>
              <w:top w:val="nil"/>
              <w:left w:val="nil"/>
              <w:bottom w:val="nil"/>
              <w:right w:val="nil"/>
            </w:tcBorders>
            <w:shd w:val="clear" w:color="auto" w:fill="auto"/>
            <w:noWrap/>
            <w:vAlign w:val="bottom"/>
            <w:hideMark/>
          </w:tcPr>
          <w:p w14:paraId="0CACFFA7" w14:textId="77777777" w:rsidR="00F92A14" w:rsidRPr="00666AB4" w:rsidRDefault="00F92A14" w:rsidP="00F92A14">
            <w:pPr>
              <w:spacing w:after="0" w:line="240" w:lineRule="auto"/>
              <w:ind w:firstLineChars="100" w:firstLine="112"/>
              <w:rPr>
                <w:rFonts w:ascii="Times New Roman" w:eastAsia="Times New Roman" w:hAnsi="Times New Roman" w:cs="Times New Roman"/>
                <w:color w:val="000000"/>
                <w:lang w:eastAsia="en-GB"/>
              </w:rPr>
            </w:pPr>
            <w:r w:rsidRPr="00666AB4">
              <w:rPr>
                <w:rFonts w:ascii="Times New Roman" w:eastAsia="Times New Roman" w:hAnsi="Times New Roman" w:cs="Times New Roman"/>
                <w:color w:val="000000"/>
                <w:lang w:eastAsia="en-GB"/>
              </w:rPr>
              <w:t>Formal loan (e.g. bank)</w:t>
            </w:r>
          </w:p>
        </w:tc>
        <w:tc>
          <w:tcPr>
            <w:tcW w:w="1580" w:type="dxa"/>
            <w:tcBorders>
              <w:top w:val="nil"/>
              <w:left w:val="nil"/>
              <w:bottom w:val="nil"/>
              <w:right w:val="nil"/>
            </w:tcBorders>
            <w:shd w:val="clear" w:color="auto" w:fill="auto"/>
            <w:noWrap/>
            <w:vAlign w:val="bottom"/>
            <w:hideMark/>
          </w:tcPr>
          <w:p w14:paraId="63D86A08"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9.4</w:t>
            </w:r>
          </w:p>
        </w:tc>
        <w:tc>
          <w:tcPr>
            <w:tcW w:w="271" w:type="dxa"/>
            <w:tcBorders>
              <w:top w:val="nil"/>
              <w:left w:val="nil"/>
              <w:bottom w:val="nil"/>
              <w:right w:val="nil"/>
            </w:tcBorders>
            <w:shd w:val="clear" w:color="auto" w:fill="auto"/>
            <w:vAlign w:val="center"/>
            <w:hideMark/>
          </w:tcPr>
          <w:p w14:paraId="00688FE0"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1720" w:type="dxa"/>
            <w:tcBorders>
              <w:top w:val="nil"/>
              <w:left w:val="nil"/>
              <w:bottom w:val="nil"/>
              <w:right w:val="nil"/>
            </w:tcBorders>
            <w:shd w:val="clear" w:color="auto" w:fill="auto"/>
            <w:noWrap/>
            <w:vAlign w:val="bottom"/>
            <w:hideMark/>
          </w:tcPr>
          <w:p w14:paraId="4664251E"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2.1</w:t>
            </w:r>
          </w:p>
        </w:tc>
        <w:tc>
          <w:tcPr>
            <w:tcW w:w="467" w:type="dxa"/>
            <w:tcBorders>
              <w:top w:val="nil"/>
              <w:left w:val="nil"/>
              <w:bottom w:val="nil"/>
              <w:right w:val="nil"/>
            </w:tcBorders>
            <w:shd w:val="clear" w:color="auto" w:fill="auto"/>
            <w:vAlign w:val="center"/>
            <w:hideMark/>
          </w:tcPr>
          <w:p w14:paraId="0AF0D834"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r>
      <w:tr w:rsidR="00F92A14" w:rsidRPr="00666AB4" w14:paraId="17D388E1" w14:textId="77777777" w:rsidTr="00F92A14">
        <w:trPr>
          <w:trHeight w:val="288"/>
        </w:trPr>
        <w:tc>
          <w:tcPr>
            <w:tcW w:w="4962" w:type="dxa"/>
            <w:tcBorders>
              <w:top w:val="nil"/>
              <w:left w:val="nil"/>
              <w:bottom w:val="nil"/>
              <w:right w:val="nil"/>
            </w:tcBorders>
            <w:shd w:val="clear" w:color="auto" w:fill="auto"/>
            <w:noWrap/>
            <w:vAlign w:val="bottom"/>
            <w:hideMark/>
          </w:tcPr>
          <w:p w14:paraId="0C143757" w14:textId="77777777" w:rsidR="00F92A14" w:rsidRPr="00666AB4" w:rsidRDefault="00F92A14" w:rsidP="00F92A14">
            <w:pPr>
              <w:spacing w:after="0" w:line="240" w:lineRule="auto"/>
              <w:ind w:firstLineChars="100" w:firstLine="112"/>
              <w:rPr>
                <w:rFonts w:ascii="Times New Roman" w:eastAsia="Times New Roman" w:hAnsi="Times New Roman" w:cs="Times New Roman"/>
                <w:color w:val="000000"/>
                <w:lang w:eastAsia="en-GB"/>
              </w:rPr>
            </w:pPr>
            <w:r w:rsidRPr="00666AB4">
              <w:rPr>
                <w:rFonts w:ascii="Times New Roman" w:eastAsia="Times New Roman" w:hAnsi="Times New Roman" w:cs="Times New Roman"/>
                <w:color w:val="000000"/>
                <w:lang w:eastAsia="en-GB"/>
              </w:rPr>
              <w:t>Loan from family/ personal acquaintance</w:t>
            </w:r>
          </w:p>
        </w:tc>
        <w:tc>
          <w:tcPr>
            <w:tcW w:w="1580" w:type="dxa"/>
            <w:tcBorders>
              <w:top w:val="nil"/>
              <w:left w:val="nil"/>
              <w:bottom w:val="nil"/>
              <w:right w:val="nil"/>
            </w:tcBorders>
            <w:shd w:val="clear" w:color="auto" w:fill="auto"/>
            <w:noWrap/>
            <w:vAlign w:val="bottom"/>
            <w:hideMark/>
          </w:tcPr>
          <w:p w14:paraId="7E9BB66E"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13.7</w:t>
            </w:r>
          </w:p>
        </w:tc>
        <w:tc>
          <w:tcPr>
            <w:tcW w:w="271" w:type="dxa"/>
            <w:tcBorders>
              <w:top w:val="nil"/>
              <w:left w:val="nil"/>
              <w:bottom w:val="nil"/>
              <w:right w:val="nil"/>
            </w:tcBorders>
            <w:shd w:val="clear" w:color="auto" w:fill="auto"/>
            <w:vAlign w:val="center"/>
            <w:hideMark/>
          </w:tcPr>
          <w:p w14:paraId="36B29226"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1720" w:type="dxa"/>
            <w:tcBorders>
              <w:top w:val="nil"/>
              <w:left w:val="nil"/>
              <w:bottom w:val="nil"/>
              <w:right w:val="nil"/>
            </w:tcBorders>
            <w:shd w:val="clear" w:color="auto" w:fill="auto"/>
            <w:noWrap/>
            <w:vAlign w:val="bottom"/>
            <w:hideMark/>
          </w:tcPr>
          <w:p w14:paraId="7B9D7CC4"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4.5</w:t>
            </w:r>
          </w:p>
        </w:tc>
        <w:tc>
          <w:tcPr>
            <w:tcW w:w="467" w:type="dxa"/>
            <w:tcBorders>
              <w:top w:val="nil"/>
              <w:left w:val="nil"/>
              <w:bottom w:val="nil"/>
              <w:right w:val="nil"/>
            </w:tcBorders>
            <w:shd w:val="clear" w:color="auto" w:fill="auto"/>
            <w:vAlign w:val="center"/>
            <w:hideMark/>
          </w:tcPr>
          <w:p w14:paraId="63C8578C"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r>
      <w:tr w:rsidR="00F92A14" w:rsidRPr="00666AB4" w14:paraId="017594C7" w14:textId="77777777" w:rsidTr="00F92A14">
        <w:trPr>
          <w:trHeight w:val="288"/>
        </w:trPr>
        <w:tc>
          <w:tcPr>
            <w:tcW w:w="4962" w:type="dxa"/>
            <w:tcBorders>
              <w:top w:val="nil"/>
              <w:left w:val="nil"/>
              <w:bottom w:val="nil"/>
              <w:right w:val="nil"/>
            </w:tcBorders>
            <w:shd w:val="clear" w:color="auto" w:fill="auto"/>
            <w:noWrap/>
            <w:vAlign w:val="bottom"/>
            <w:hideMark/>
          </w:tcPr>
          <w:p w14:paraId="2936CC3F" w14:textId="77777777" w:rsidR="00F92A14" w:rsidRPr="00666AB4" w:rsidRDefault="00F92A14" w:rsidP="00F92A14">
            <w:pPr>
              <w:spacing w:after="0" w:line="240" w:lineRule="auto"/>
              <w:ind w:firstLineChars="100" w:firstLine="112"/>
              <w:rPr>
                <w:rFonts w:ascii="Times New Roman" w:eastAsia="Times New Roman" w:hAnsi="Times New Roman" w:cs="Times New Roman"/>
                <w:color w:val="000000"/>
                <w:lang w:eastAsia="en-GB"/>
              </w:rPr>
            </w:pPr>
            <w:r w:rsidRPr="00666AB4">
              <w:rPr>
                <w:rFonts w:ascii="Times New Roman" w:eastAsia="Times New Roman" w:hAnsi="Times New Roman" w:cs="Times New Roman"/>
                <w:color w:val="000000"/>
                <w:lang w:eastAsia="en-GB"/>
              </w:rPr>
              <w:t>Gift from family/ personal acquaintance</w:t>
            </w:r>
          </w:p>
        </w:tc>
        <w:tc>
          <w:tcPr>
            <w:tcW w:w="1580" w:type="dxa"/>
            <w:tcBorders>
              <w:top w:val="nil"/>
              <w:left w:val="nil"/>
              <w:bottom w:val="nil"/>
              <w:right w:val="nil"/>
            </w:tcBorders>
            <w:shd w:val="clear" w:color="auto" w:fill="auto"/>
            <w:noWrap/>
            <w:vAlign w:val="bottom"/>
            <w:hideMark/>
          </w:tcPr>
          <w:p w14:paraId="364662AE"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17.6</w:t>
            </w:r>
          </w:p>
        </w:tc>
        <w:tc>
          <w:tcPr>
            <w:tcW w:w="271" w:type="dxa"/>
            <w:tcBorders>
              <w:top w:val="nil"/>
              <w:left w:val="nil"/>
              <w:bottom w:val="nil"/>
              <w:right w:val="nil"/>
            </w:tcBorders>
            <w:shd w:val="clear" w:color="auto" w:fill="auto"/>
            <w:vAlign w:val="center"/>
            <w:hideMark/>
          </w:tcPr>
          <w:p w14:paraId="4544863A"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1720" w:type="dxa"/>
            <w:tcBorders>
              <w:top w:val="nil"/>
              <w:left w:val="nil"/>
              <w:bottom w:val="nil"/>
              <w:right w:val="nil"/>
            </w:tcBorders>
            <w:shd w:val="clear" w:color="auto" w:fill="auto"/>
            <w:noWrap/>
            <w:vAlign w:val="bottom"/>
            <w:hideMark/>
          </w:tcPr>
          <w:p w14:paraId="70DE30D0"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4.2</w:t>
            </w:r>
          </w:p>
        </w:tc>
        <w:tc>
          <w:tcPr>
            <w:tcW w:w="467" w:type="dxa"/>
            <w:tcBorders>
              <w:top w:val="nil"/>
              <w:left w:val="nil"/>
              <w:bottom w:val="nil"/>
              <w:right w:val="nil"/>
            </w:tcBorders>
            <w:shd w:val="clear" w:color="auto" w:fill="auto"/>
            <w:vAlign w:val="center"/>
            <w:hideMark/>
          </w:tcPr>
          <w:p w14:paraId="1703A249"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r>
      <w:tr w:rsidR="00F92A14" w:rsidRPr="00666AB4" w14:paraId="530E3C29" w14:textId="77777777" w:rsidTr="00F92A14">
        <w:trPr>
          <w:trHeight w:val="288"/>
        </w:trPr>
        <w:tc>
          <w:tcPr>
            <w:tcW w:w="4962" w:type="dxa"/>
            <w:tcBorders>
              <w:top w:val="nil"/>
              <w:left w:val="nil"/>
              <w:bottom w:val="nil"/>
              <w:right w:val="nil"/>
            </w:tcBorders>
            <w:shd w:val="clear" w:color="auto" w:fill="auto"/>
            <w:noWrap/>
            <w:vAlign w:val="bottom"/>
            <w:hideMark/>
          </w:tcPr>
          <w:p w14:paraId="16D949FF" w14:textId="77777777" w:rsidR="00F92A14" w:rsidRPr="00666AB4" w:rsidRDefault="00F92A14" w:rsidP="00F92A14">
            <w:pPr>
              <w:spacing w:after="0" w:line="240" w:lineRule="auto"/>
              <w:ind w:firstLineChars="100" w:firstLine="112"/>
              <w:rPr>
                <w:rFonts w:ascii="Times New Roman" w:eastAsia="Times New Roman" w:hAnsi="Times New Roman" w:cs="Times New Roman"/>
                <w:color w:val="000000"/>
                <w:lang w:eastAsia="en-GB"/>
              </w:rPr>
            </w:pPr>
            <w:r w:rsidRPr="00666AB4">
              <w:rPr>
                <w:rFonts w:ascii="Times New Roman" w:eastAsia="Times New Roman" w:hAnsi="Times New Roman" w:cs="Times New Roman"/>
                <w:color w:val="000000"/>
                <w:lang w:eastAsia="en-GB"/>
              </w:rPr>
              <w:t>Fee waiver (e.g., departmental scholarship)</w:t>
            </w:r>
          </w:p>
        </w:tc>
        <w:tc>
          <w:tcPr>
            <w:tcW w:w="1580" w:type="dxa"/>
            <w:tcBorders>
              <w:top w:val="nil"/>
              <w:left w:val="nil"/>
              <w:bottom w:val="nil"/>
              <w:right w:val="nil"/>
            </w:tcBorders>
            <w:shd w:val="clear" w:color="auto" w:fill="auto"/>
            <w:noWrap/>
            <w:vAlign w:val="bottom"/>
            <w:hideMark/>
          </w:tcPr>
          <w:p w14:paraId="28F87BDA"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8.4</w:t>
            </w:r>
          </w:p>
        </w:tc>
        <w:tc>
          <w:tcPr>
            <w:tcW w:w="271" w:type="dxa"/>
            <w:tcBorders>
              <w:top w:val="nil"/>
              <w:left w:val="nil"/>
              <w:bottom w:val="nil"/>
              <w:right w:val="nil"/>
            </w:tcBorders>
            <w:shd w:val="clear" w:color="auto" w:fill="auto"/>
            <w:vAlign w:val="center"/>
            <w:hideMark/>
          </w:tcPr>
          <w:p w14:paraId="5FB432B9"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1720" w:type="dxa"/>
            <w:tcBorders>
              <w:top w:val="nil"/>
              <w:left w:val="nil"/>
              <w:bottom w:val="nil"/>
              <w:right w:val="nil"/>
            </w:tcBorders>
            <w:shd w:val="clear" w:color="auto" w:fill="auto"/>
            <w:noWrap/>
            <w:vAlign w:val="bottom"/>
            <w:hideMark/>
          </w:tcPr>
          <w:p w14:paraId="1F0AC135"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14.2</w:t>
            </w:r>
          </w:p>
        </w:tc>
        <w:tc>
          <w:tcPr>
            <w:tcW w:w="467" w:type="dxa"/>
            <w:tcBorders>
              <w:top w:val="nil"/>
              <w:left w:val="nil"/>
              <w:bottom w:val="nil"/>
              <w:right w:val="nil"/>
            </w:tcBorders>
            <w:shd w:val="clear" w:color="auto" w:fill="auto"/>
            <w:vAlign w:val="center"/>
            <w:hideMark/>
          </w:tcPr>
          <w:p w14:paraId="7AA2CFE3"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r>
      <w:tr w:rsidR="00F92A14" w:rsidRPr="00666AB4" w14:paraId="268BB41F" w14:textId="77777777" w:rsidTr="00F92A14">
        <w:trPr>
          <w:trHeight w:val="288"/>
        </w:trPr>
        <w:tc>
          <w:tcPr>
            <w:tcW w:w="4962" w:type="dxa"/>
            <w:tcBorders>
              <w:top w:val="nil"/>
              <w:left w:val="nil"/>
              <w:bottom w:val="nil"/>
              <w:right w:val="nil"/>
            </w:tcBorders>
            <w:shd w:val="clear" w:color="auto" w:fill="auto"/>
            <w:noWrap/>
            <w:vAlign w:val="bottom"/>
            <w:hideMark/>
          </w:tcPr>
          <w:p w14:paraId="6426E51B" w14:textId="77777777" w:rsidR="00F92A14" w:rsidRPr="00666AB4" w:rsidRDefault="00F92A14" w:rsidP="00F92A14">
            <w:pPr>
              <w:spacing w:after="0" w:line="240" w:lineRule="auto"/>
              <w:ind w:firstLineChars="100" w:firstLine="112"/>
              <w:rPr>
                <w:rFonts w:ascii="Times New Roman" w:eastAsia="Times New Roman" w:hAnsi="Times New Roman" w:cs="Times New Roman"/>
                <w:color w:val="000000"/>
                <w:lang w:eastAsia="en-GB"/>
              </w:rPr>
            </w:pPr>
            <w:r w:rsidRPr="00666AB4">
              <w:rPr>
                <w:rFonts w:ascii="Times New Roman" w:eastAsia="Times New Roman" w:hAnsi="Times New Roman" w:cs="Times New Roman"/>
                <w:color w:val="000000"/>
                <w:lang w:eastAsia="en-GB"/>
              </w:rPr>
              <w:t>Sponsorship (e.g., employer, armed services)</w:t>
            </w:r>
          </w:p>
        </w:tc>
        <w:tc>
          <w:tcPr>
            <w:tcW w:w="1580" w:type="dxa"/>
            <w:tcBorders>
              <w:top w:val="nil"/>
              <w:left w:val="nil"/>
              <w:bottom w:val="nil"/>
              <w:right w:val="nil"/>
            </w:tcBorders>
            <w:shd w:val="clear" w:color="auto" w:fill="auto"/>
            <w:noWrap/>
            <w:vAlign w:val="bottom"/>
            <w:hideMark/>
          </w:tcPr>
          <w:p w14:paraId="43303272"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24.9</w:t>
            </w:r>
          </w:p>
        </w:tc>
        <w:tc>
          <w:tcPr>
            <w:tcW w:w="271" w:type="dxa"/>
            <w:tcBorders>
              <w:top w:val="nil"/>
              <w:left w:val="nil"/>
              <w:bottom w:val="nil"/>
              <w:right w:val="nil"/>
            </w:tcBorders>
            <w:shd w:val="clear" w:color="auto" w:fill="auto"/>
            <w:vAlign w:val="center"/>
            <w:hideMark/>
          </w:tcPr>
          <w:p w14:paraId="2B0C2000"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1720" w:type="dxa"/>
            <w:tcBorders>
              <w:top w:val="nil"/>
              <w:left w:val="nil"/>
              <w:bottom w:val="nil"/>
              <w:right w:val="nil"/>
            </w:tcBorders>
            <w:shd w:val="clear" w:color="auto" w:fill="auto"/>
            <w:noWrap/>
            <w:vAlign w:val="bottom"/>
            <w:hideMark/>
          </w:tcPr>
          <w:p w14:paraId="0B3458A6"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9.9</w:t>
            </w:r>
          </w:p>
        </w:tc>
        <w:tc>
          <w:tcPr>
            <w:tcW w:w="467" w:type="dxa"/>
            <w:tcBorders>
              <w:top w:val="nil"/>
              <w:left w:val="nil"/>
              <w:bottom w:val="nil"/>
              <w:right w:val="nil"/>
            </w:tcBorders>
            <w:shd w:val="clear" w:color="auto" w:fill="auto"/>
            <w:vAlign w:val="center"/>
            <w:hideMark/>
          </w:tcPr>
          <w:p w14:paraId="72399811"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r>
      <w:tr w:rsidR="00F92A14" w:rsidRPr="00666AB4" w14:paraId="0DA2AA04" w14:textId="77777777" w:rsidTr="00F92A14">
        <w:trPr>
          <w:trHeight w:val="288"/>
        </w:trPr>
        <w:tc>
          <w:tcPr>
            <w:tcW w:w="4962" w:type="dxa"/>
            <w:tcBorders>
              <w:top w:val="nil"/>
              <w:left w:val="nil"/>
              <w:bottom w:val="nil"/>
              <w:right w:val="nil"/>
            </w:tcBorders>
            <w:shd w:val="clear" w:color="auto" w:fill="auto"/>
            <w:noWrap/>
            <w:vAlign w:val="bottom"/>
            <w:hideMark/>
          </w:tcPr>
          <w:p w14:paraId="5889CB1F" w14:textId="77777777" w:rsidR="00F92A14" w:rsidRPr="00666AB4" w:rsidRDefault="00F92A14" w:rsidP="00F92A14">
            <w:pPr>
              <w:spacing w:after="0" w:line="240" w:lineRule="auto"/>
              <w:ind w:firstLineChars="100" w:firstLine="112"/>
              <w:rPr>
                <w:rFonts w:ascii="Times New Roman" w:eastAsia="Times New Roman" w:hAnsi="Times New Roman" w:cs="Times New Roman"/>
                <w:color w:val="000000"/>
                <w:lang w:eastAsia="en-GB"/>
              </w:rPr>
            </w:pPr>
            <w:r w:rsidRPr="00666AB4">
              <w:rPr>
                <w:rFonts w:ascii="Times New Roman" w:eastAsia="Times New Roman" w:hAnsi="Times New Roman" w:cs="Times New Roman"/>
                <w:color w:val="000000"/>
                <w:lang w:eastAsia="en-GB"/>
              </w:rPr>
              <w:t>Research studentship (e.g. UK Research Council)</w:t>
            </w:r>
          </w:p>
        </w:tc>
        <w:tc>
          <w:tcPr>
            <w:tcW w:w="1580" w:type="dxa"/>
            <w:tcBorders>
              <w:top w:val="nil"/>
              <w:left w:val="nil"/>
              <w:bottom w:val="nil"/>
              <w:right w:val="nil"/>
            </w:tcBorders>
            <w:shd w:val="clear" w:color="auto" w:fill="auto"/>
            <w:noWrap/>
            <w:vAlign w:val="bottom"/>
            <w:hideMark/>
          </w:tcPr>
          <w:p w14:paraId="39425781"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11.2</w:t>
            </w:r>
          </w:p>
        </w:tc>
        <w:tc>
          <w:tcPr>
            <w:tcW w:w="271" w:type="dxa"/>
            <w:tcBorders>
              <w:top w:val="nil"/>
              <w:left w:val="nil"/>
              <w:bottom w:val="nil"/>
              <w:right w:val="nil"/>
            </w:tcBorders>
            <w:shd w:val="clear" w:color="auto" w:fill="auto"/>
            <w:vAlign w:val="center"/>
            <w:hideMark/>
          </w:tcPr>
          <w:p w14:paraId="4123B147"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1720" w:type="dxa"/>
            <w:tcBorders>
              <w:top w:val="nil"/>
              <w:left w:val="nil"/>
              <w:bottom w:val="nil"/>
              <w:right w:val="nil"/>
            </w:tcBorders>
            <w:shd w:val="clear" w:color="auto" w:fill="auto"/>
            <w:noWrap/>
            <w:vAlign w:val="bottom"/>
            <w:hideMark/>
          </w:tcPr>
          <w:p w14:paraId="1154BA3A"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67.8</w:t>
            </w:r>
          </w:p>
        </w:tc>
        <w:tc>
          <w:tcPr>
            <w:tcW w:w="467" w:type="dxa"/>
            <w:tcBorders>
              <w:top w:val="nil"/>
              <w:left w:val="nil"/>
              <w:bottom w:val="nil"/>
              <w:right w:val="nil"/>
            </w:tcBorders>
            <w:shd w:val="clear" w:color="auto" w:fill="auto"/>
            <w:vAlign w:val="center"/>
            <w:hideMark/>
          </w:tcPr>
          <w:p w14:paraId="7A78F6D8"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r>
      <w:tr w:rsidR="00F92A14" w:rsidRPr="00666AB4" w14:paraId="28FCD466" w14:textId="77777777" w:rsidTr="00F92A14">
        <w:trPr>
          <w:trHeight w:val="288"/>
        </w:trPr>
        <w:tc>
          <w:tcPr>
            <w:tcW w:w="4962" w:type="dxa"/>
            <w:tcBorders>
              <w:top w:val="nil"/>
              <w:left w:val="nil"/>
              <w:bottom w:val="nil"/>
              <w:right w:val="nil"/>
            </w:tcBorders>
            <w:shd w:val="clear" w:color="auto" w:fill="auto"/>
            <w:noWrap/>
            <w:vAlign w:val="bottom"/>
            <w:hideMark/>
          </w:tcPr>
          <w:p w14:paraId="34612482" w14:textId="77777777" w:rsidR="00F92A14" w:rsidRPr="00666AB4" w:rsidRDefault="00F92A14" w:rsidP="00F92A14">
            <w:pPr>
              <w:spacing w:after="0" w:line="240" w:lineRule="auto"/>
              <w:ind w:firstLineChars="100" w:firstLine="112"/>
              <w:rPr>
                <w:rFonts w:ascii="Times New Roman" w:eastAsia="Times New Roman" w:hAnsi="Times New Roman" w:cs="Times New Roman"/>
                <w:color w:val="000000"/>
                <w:lang w:eastAsia="en-GB"/>
              </w:rPr>
            </w:pPr>
            <w:r w:rsidRPr="00666AB4">
              <w:rPr>
                <w:rFonts w:ascii="Times New Roman" w:eastAsia="Times New Roman" w:hAnsi="Times New Roman" w:cs="Times New Roman"/>
                <w:color w:val="000000"/>
                <w:lang w:eastAsia="en-GB"/>
              </w:rPr>
              <w:t>Government grant</w:t>
            </w:r>
          </w:p>
        </w:tc>
        <w:tc>
          <w:tcPr>
            <w:tcW w:w="1580" w:type="dxa"/>
            <w:tcBorders>
              <w:top w:val="nil"/>
              <w:left w:val="nil"/>
              <w:bottom w:val="nil"/>
              <w:right w:val="nil"/>
            </w:tcBorders>
            <w:shd w:val="clear" w:color="auto" w:fill="auto"/>
            <w:noWrap/>
            <w:vAlign w:val="bottom"/>
            <w:hideMark/>
          </w:tcPr>
          <w:p w14:paraId="0DC26CE4"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3.0</w:t>
            </w:r>
          </w:p>
        </w:tc>
        <w:tc>
          <w:tcPr>
            <w:tcW w:w="271" w:type="dxa"/>
            <w:tcBorders>
              <w:top w:val="nil"/>
              <w:left w:val="nil"/>
              <w:bottom w:val="nil"/>
              <w:right w:val="nil"/>
            </w:tcBorders>
            <w:shd w:val="clear" w:color="auto" w:fill="auto"/>
            <w:vAlign w:val="center"/>
            <w:hideMark/>
          </w:tcPr>
          <w:p w14:paraId="76D81C40"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1720" w:type="dxa"/>
            <w:tcBorders>
              <w:top w:val="nil"/>
              <w:left w:val="nil"/>
              <w:bottom w:val="nil"/>
              <w:right w:val="nil"/>
            </w:tcBorders>
            <w:shd w:val="clear" w:color="auto" w:fill="auto"/>
            <w:noWrap/>
            <w:vAlign w:val="bottom"/>
            <w:hideMark/>
          </w:tcPr>
          <w:p w14:paraId="5BC0B0A5"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2.1</w:t>
            </w:r>
          </w:p>
        </w:tc>
        <w:tc>
          <w:tcPr>
            <w:tcW w:w="467" w:type="dxa"/>
            <w:tcBorders>
              <w:top w:val="nil"/>
              <w:left w:val="nil"/>
              <w:bottom w:val="nil"/>
              <w:right w:val="nil"/>
            </w:tcBorders>
            <w:shd w:val="clear" w:color="auto" w:fill="auto"/>
            <w:vAlign w:val="center"/>
            <w:hideMark/>
          </w:tcPr>
          <w:p w14:paraId="0A458B47"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r>
      <w:tr w:rsidR="00F92A14" w:rsidRPr="00666AB4" w14:paraId="636E411F" w14:textId="77777777" w:rsidTr="00F92A14">
        <w:trPr>
          <w:trHeight w:val="288"/>
        </w:trPr>
        <w:tc>
          <w:tcPr>
            <w:tcW w:w="4962" w:type="dxa"/>
            <w:tcBorders>
              <w:top w:val="nil"/>
              <w:left w:val="nil"/>
              <w:bottom w:val="nil"/>
              <w:right w:val="nil"/>
            </w:tcBorders>
            <w:shd w:val="clear" w:color="auto" w:fill="auto"/>
            <w:noWrap/>
            <w:vAlign w:val="bottom"/>
            <w:hideMark/>
          </w:tcPr>
          <w:p w14:paraId="066D09FA" w14:textId="77777777" w:rsidR="00F92A14" w:rsidRPr="00666AB4" w:rsidRDefault="00F92A14" w:rsidP="00F92A14">
            <w:pPr>
              <w:spacing w:after="0" w:line="240" w:lineRule="auto"/>
              <w:ind w:firstLineChars="100" w:firstLine="112"/>
              <w:rPr>
                <w:rFonts w:ascii="Times New Roman" w:eastAsia="Times New Roman" w:hAnsi="Times New Roman" w:cs="Times New Roman"/>
                <w:color w:val="000000"/>
                <w:lang w:eastAsia="en-GB"/>
              </w:rPr>
            </w:pPr>
            <w:r w:rsidRPr="00666AB4">
              <w:rPr>
                <w:rFonts w:ascii="Times New Roman" w:eastAsia="Times New Roman" w:hAnsi="Times New Roman" w:cs="Times New Roman"/>
                <w:color w:val="000000"/>
                <w:lang w:eastAsia="en-GB"/>
              </w:rPr>
              <w:t>Income from a job</w:t>
            </w:r>
          </w:p>
        </w:tc>
        <w:tc>
          <w:tcPr>
            <w:tcW w:w="1580" w:type="dxa"/>
            <w:tcBorders>
              <w:top w:val="nil"/>
              <w:left w:val="nil"/>
              <w:bottom w:val="nil"/>
              <w:right w:val="nil"/>
            </w:tcBorders>
            <w:shd w:val="clear" w:color="auto" w:fill="auto"/>
            <w:noWrap/>
            <w:vAlign w:val="bottom"/>
            <w:hideMark/>
          </w:tcPr>
          <w:p w14:paraId="202462C9"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21.8</w:t>
            </w:r>
          </w:p>
        </w:tc>
        <w:tc>
          <w:tcPr>
            <w:tcW w:w="271" w:type="dxa"/>
            <w:tcBorders>
              <w:top w:val="nil"/>
              <w:left w:val="nil"/>
              <w:bottom w:val="nil"/>
              <w:right w:val="nil"/>
            </w:tcBorders>
            <w:shd w:val="clear" w:color="auto" w:fill="auto"/>
            <w:vAlign w:val="center"/>
            <w:hideMark/>
          </w:tcPr>
          <w:p w14:paraId="2EEE7DE1"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1720" w:type="dxa"/>
            <w:tcBorders>
              <w:top w:val="nil"/>
              <w:left w:val="nil"/>
              <w:bottom w:val="nil"/>
              <w:right w:val="nil"/>
            </w:tcBorders>
            <w:shd w:val="clear" w:color="auto" w:fill="auto"/>
            <w:noWrap/>
            <w:vAlign w:val="bottom"/>
            <w:hideMark/>
          </w:tcPr>
          <w:p w14:paraId="0E5FF7CF"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5.5</w:t>
            </w:r>
          </w:p>
        </w:tc>
        <w:tc>
          <w:tcPr>
            <w:tcW w:w="467" w:type="dxa"/>
            <w:tcBorders>
              <w:top w:val="nil"/>
              <w:left w:val="nil"/>
              <w:bottom w:val="nil"/>
              <w:right w:val="nil"/>
            </w:tcBorders>
            <w:shd w:val="clear" w:color="auto" w:fill="auto"/>
            <w:vAlign w:val="center"/>
            <w:hideMark/>
          </w:tcPr>
          <w:p w14:paraId="12B2763A"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r>
      <w:tr w:rsidR="00F92A14" w:rsidRPr="00666AB4" w14:paraId="7B4D7D47" w14:textId="77777777" w:rsidTr="00F92A14">
        <w:trPr>
          <w:trHeight w:val="288"/>
        </w:trPr>
        <w:tc>
          <w:tcPr>
            <w:tcW w:w="4962" w:type="dxa"/>
            <w:tcBorders>
              <w:top w:val="nil"/>
              <w:left w:val="nil"/>
              <w:bottom w:val="nil"/>
              <w:right w:val="nil"/>
            </w:tcBorders>
            <w:shd w:val="clear" w:color="auto" w:fill="auto"/>
            <w:noWrap/>
            <w:vAlign w:val="bottom"/>
            <w:hideMark/>
          </w:tcPr>
          <w:p w14:paraId="17C528FE" w14:textId="77777777" w:rsidR="00F92A14" w:rsidRPr="00666AB4" w:rsidRDefault="00F92A14" w:rsidP="00F92A14">
            <w:pPr>
              <w:spacing w:after="0" w:line="240" w:lineRule="auto"/>
              <w:ind w:firstLineChars="100" w:firstLine="112"/>
              <w:rPr>
                <w:rFonts w:ascii="Times New Roman" w:eastAsia="Times New Roman" w:hAnsi="Times New Roman" w:cs="Times New Roman"/>
                <w:color w:val="000000"/>
                <w:lang w:eastAsia="en-GB"/>
              </w:rPr>
            </w:pPr>
            <w:r w:rsidRPr="00666AB4">
              <w:rPr>
                <w:rFonts w:ascii="Times New Roman" w:eastAsia="Times New Roman" w:hAnsi="Times New Roman" w:cs="Times New Roman"/>
                <w:color w:val="000000"/>
                <w:lang w:eastAsia="en-GB"/>
              </w:rPr>
              <w:t xml:space="preserve">Personal savings </w:t>
            </w:r>
          </w:p>
        </w:tc>
        <w:tc>
          <w:tcPr>
            <w:tcW w:w="1580" w:type="dxa"/>
            <w:tcBorders>
              <w:top w:val="nil"/>
              <w:left w:val="nil"/>
              <w:right w:val="nil"/>
            </w:tcBorders>
            <w:shd w:val="clear" w:color="auto" w:fill="auto"/>
            <w:noWrap/>
            <w:vAlign w:val="bottom"/>
            <w:hideMark/>
          </w:tcPr>
          <w:p w14:paraId="01C24CE1"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24.6</w:t>
            </w:r>
          </w:p>
        </w:tc>
        <w:tc>
          <w:tcPr>
            <w:tcW w:w="271" w:type="dxa"/>
            <w:tcBorders>
              <w:top w:val="nil"/>
              <w:left w:val="nil"/>
              <w:bottom w:val="nil"/>
              <w:right w:val="nil"/>
            </w:tcBorders>
            <w:shd w:val="clear" w:color="auto" w:fill="auto"/>
            <w:vAlign w:val="center"/>
            <w:hideMark/>
          </w:tcPr>
          <w:p w14:paraId="160BF47C"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c>
          <w:tcPr>
            <w:tcW w:w="1720" w:type="dxa"/>
            <w:tcBorders>
              <w:top w:val="nil"/>
              <w:left w:val="nil"/>
              <w:bottom w:val="nil"/>
              <w:right w:val="nil"/>
            </w:tcBorders>
            <w:shd w:val="clear" w:color="auto" w:fill="auto"/>
            <w:noWrap/>
            <w:vAlign w:val="bottom"/>
            <w:hideMark/>
          </w:tcPr>
          <w:p w14:paraId="63AEFAFC"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9.7</w:t>
            </w:r>
          </w:p>
        </w:tc>
        <w:tc>
          <w:tcPr>
            <w:tcW w:w="467" w:type="dxa"/>
            <w:tcBorders>
              <w:top w:val="nil"/>
              <w:left w:val="nil"/>
              <w:bottom w:val="nil"/>
              <w:right w:val="nil"/>
            </w:tcBorders>
            <w:shd w:val="clear" w:color="auto" w:fill="auto"/>
            <w:vAlign w:val="center"/>
            <w:hideMark/>
          </w:tcPr>
          <w:p w14:paraId="4ADF8065"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p>
        </w:tc>
      </w:tr>
      <w:tr w:rsidR="00F92A14" w:rsidRPr="00666AB4" w14:paraId="0D0D12F2" w14:textId="77777777" w:rsidTr="00F92A14">
        <w:trPr>
          <w:trHeight w:val="288"/>
        </w:trPr>
        <w:tc>
          <w:tcPr>
            <w:tcW w:w="4962" w:type="dxa"/>
            <w:tcBorders>
              <w:top w:val="nil"/>
              <w:left w:val="nil"/>
              <w:bottom w:val="single" w:sz="4" w:space="0" w:color="auto"/>
              <w:right w:val="nil"/>
            </w:tcBorders>
            <w:shd w:val="clear" w:color="auto" w:fill="auto"/>
            <w:noWrap/>
            <w:vAlign w:val="bottom"/>
            <w:hideMark/>
          </w:tcPr>
          <w:p w14:paraId="66CBFDC8" w14:textId="77777777" w:rsidR="00F92A14" w:rsidRPr="00666AB4" w:rsidRDefault="00F92A14" w:rsidP="00F92A14">
            <w:pPr>
              <w:spacing w:after="0" w:line="240" w:lineRule="auto"/>
              <w:ind w:firstLineChars="100" w:firstLine="112"/>
              <w:rPr>
                <w:rFonts w:ascii="Times New Roman" w:eastAsia="Times New Roman" w:hAnsi="Times New Roman" w:cs="Times New Roman"/>
                <w:color w:val="000000"/>
                <w:lang w:eastAsia="en-GB"/>
              </w:rPr>
            </w:pPr>
            <w:r w:rsidRPr="00666AB4">
              <w:rPr>
                <w:rFonts w:ascii="Times New Roman" w:eastAsia="Times New Roman" w:hAnsi="Times New Roman" w:cs="Times New Roman"/>
                <w:color w:val="000000"/>
                <w:lang w:eastAsia="en-GB"/>
              </w:rPr>
              <w:t>Other</w:t>
            </w:r>
          </w:p>
        </w:tc>
        <w:tc>
          <w:tcPr>
            <w:tcW w:w="1580" w:type="dxa"/>
            <w:tcBorders>
              <w:top w:val="nil"/>
              <w:left w:val="nil"/>
              <w:bottom w:val="single" w:sz="4" w:space="0" w:color="auto"/>
              <w:right w:val="nil"/>
            </w:tcBorders>
            <w:shd w:val="clear" w:color="auto" w:fill="auto"/>
            <w:noWrap/>
            <w:vAlign w:val="bottom"/>
            <w:hideMark/>
          </w:tcPr>
          <w:p w14:paraId="3AD3DE90"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6.9</w:t>
            </w:r>
          </w:p>
        </w:tc>
        <w:tc>
          <w:tcPr>
            <w:tcW w:w="271" w:type="dxa"/>
            <w:tcBorders>
              <w:top w:val="nil"/>
              <w:left w:val="nil"/>
              <w:bottom w:val="single" w:sz="4" w:space="0" w:color="auto"/>
              <w:right w:val="nil"/>
            </w:tcBorders>
            <w:shd w:val="clear" w:color="auto" w:fill="auto"/>
            <w:vAlign w:val="center"/>
            <w:hideMark/>
          </w:tcPr>
          <w:p w14:paraId="6D0E0C48" w14:textId="77777777" w:rsidR="00F92A14" w:rsidRPr="00666AB4" w:rsidRDefault="00F92A14" w:rsidP="00F92A14">
            <w:pPr>
              <w:spacing w:after="0" w:line="240" w:lineRule="auto"/>
              <w:rPr>
                <w:rFonts w:ascii="Times New Roman" w:eastAsia="Times New Roman" w:hAnsi="Times New Roman" w:cs="Times New Roman"/>
                <w:color w:val="000000"/>
                <w:lang w:eastAsia="en-GB"/>
              </w:rPr>
            </w:pPr>
            <w:r w:rsidRPr="00666AB4">
              <w:rPr>
                <w:rFonts w:ascii="Times New Roman" w:eastAsia="Times New Roman" w:hAnsi="Times New Roman" w:cs="Times New Roman"/>
                <w:color w:val="000000"/>
                <w:lang w:eastAsia="en-GB"/>
              </w:rPr>
              <w:t> </w:t>
            </w:r>
          </w:p>
        </w:tc>
        <w:tc>
          <w:tcPr>
            <w:tcW w:w="1720" w:type="dxa"/>
            <w:tcBorders>
              <w:top w:val="nil"/>
              <w:left w:val="nil"/>
              <w:bottom w:val="single" w:sz="4" w:space="0" w:color="auto"/>
              <w:right w:val="nil"/>
            </w:tcBorders>
            <w:shd w:val="clear" w:color="auto" w:fill="auto"/>
            <w:noWrap/>
            <w:vAlign w:val="bottom"/>
            <w:hideMark/>
          </w:tcPr>
          <w:p w14:paraId="4EFA1B6B" w14:textId="77777777" w:rsidR="00F92A14" w:rsidRPr="00666AB4" w:rsidRDefault="00F92A14" w:rsidP="00F92A14">
            <w:pPr>
              <w:spacing w:after="0" w:line="240" w:lineRule="auto"/>
              <w:jc w:val="right"/>
              <w:rPr>
                <w:rFonts w:ascii="Times New Roman" w:eastAsia="Times New Roman" w:hAnsi="Times New Roman" w:cs="Times New Roman"/>
                <w:color w:val="000000"/>
                <w:sz w:val="20"/>
                <w:szCs w:val="20"/>
                <w:lang w:eastAsia="en-GB"/>
              </w:rPr>
            </w:pPr>
            <w:r w:rsidRPr="00666AB4">
              <w:rPr>
                <w:rFonts w:ascii="Times New Roman" w:eastAsia="Times New Roman" w:hAnsi="Times New Roman" w:cs="Times New Roman"/>
                <w:color w:val="000000"/>
                <w:sz w:val="20"/>
                <w:szCs w:val="20"/>
                <w:lang w:eastAsia="en-GB"/>
              </w:rPr>
              <w:t>4.2</w:t>
            </w:r>
          </w:p>
        </w:tc>
        <w:tc>
          <w:tcPr>
            <w:tcW w:w="467" w:type="dxa"/>
            <w:tcBorders>
              <w:top w:val="nil"/>
              <w:left w:val="nil"/>
              <w:bottom w:val="single" w:sz="4" w:space="0" w:color="auto"/>
              <w:right w:val="nil"/>
            </w:tcBorders>
            <w:shd w:val="clear" w:color="auto" w:fill="auto"/>
            <w:vAlign w:val="center"/>
            <w:hideMark/>
          </w:tcPr>
          <w:p w14:paraId="6BFABC0C" w14:textId="77777777" w:rsidR="00F92A14" w:rsidRPr="00666AB4" w:rsidRDefault="00F92A14" w:rsidP="00F92A14">
            <w:pPr>
              <w:spacing w:after="0" w:line="240" w:lineRule="auto"/>
              <w:rPr>
                <w:rFonts w:ascii="Times New Roman" w:eastAsia="Times New Roman" w:hAnsi="Times New Roman" w:cs="Times New Roman"/>
                <w:color w:val="000000"/>
                <w:lang w:eastAsia="en-GB"/>
              </w:rPr>
            </w:pPr>
            <w:r w:rsidRPr="00666AB4">
              <w:rPr>
                <w:rFonts w:ascii="Times New Roman" w:eastAsia="Times New Roman" w:hAnsi="Times New Roman" w:cs="Times New Roman"/>
                <w:color w:val="000000"/>
                <w:lang w:eastAsia="en-GB"/>
              </w:rPr>
              <w:t> </w:t>
            </w:r>
          </w:p>
        </w:tc>
      </w:tr>
      <w:tr w:rsidR="00F92A14" w:rsidRPr="00666AB4" w14:paraId="150E2024" w14:textId="77777777" w:rsidTr="00F92A14">
        <w:trPr>
          <w:trHeight w:val="552"/>
        </w:trPr>
        <w:tc>
          <w:tcPr>
            <w:tcW w:w="9000" w:type="dxa"/>
            <w:gridSpan w:val="5"/>
            <w:tcBorders>
              <w:top w:val="nil"/>
              <w:left w:val="nil"/>
              <w:bottom w:val="nil"/>
              <w:right w:val="nil"/>
            </w:tcBorders>
            <w:shd w:val="clear" w:color="auto" w:fill="auto"/>
            <w:vAlign w:val="bottom"/>
            <w:hideMark/>
          </w:tcPr>
          <w:p w14:paraId="499C87AF" w14:textId="77777777" w:rsidR="00F92A14" w:rsidRPr="00492885" w:rsidRDefault="00F92A14" w:rsidP="00F92A14">
            <w:pPr>
              <w:spacing w:after="0" w:line="240" w:lineRule="auto"/>
              <w:rPr>
                <w:rFonts w:ascii="Times New Roman" w:eastAsia="Times New Roman" w:hAnsi="Times New Roman" w:cs="Times New Roman"/>
                <w:color w:val="000000"/>
                <w:sz w:val="20"/>
                <w:lang w:eastAsia="en-GB"/>
              </w:rPr>
            </w:pPr>
            <w:r w:rsidRPr="00492885">
              <w:rPr>
                <w:rFonts w:ascii="Times New Roman" w:eastAsia="Times New Roman" w:hAnsi="Times New Roman" w:cs="Times New Roman"/>
                <w:color w:val="000000"/>
                <w:sz w:val="20"/>
                <w:lang w:eastAsia="en-GB"/>
              </w:rPr>
              <w:t>Note: If the postgraduate student has studied for more than one postgraduate degree, we are reporting here how they financed their most recent postgraduate degree.</w:t>
            </w:r>
          </w:p>
        </w:tc>
      </w:tr>
    </w:tbl>
    <w:p w14:paraId="59F3B734" w14:textId="77777777" w:rsidR="00F92A14" w:rsidRPr="007B1A4A" w:rsidRDefault="00F92A14" w:rsidP="00F92A14">
      <w:pPr>
        <w:spacing w:after="0" w:line="240" w:lineRule="auto"/>
        <w:rPr>
          <w:rFonts w:ascii="Times New Roman" w:hAnsi="Times New Roman" w:cs="Times New Roman"/>
          <w:sz w:val="20"/>
        </w:rPr>
      </w:pPr>
      <w:r>
        <w:rPr>
          <w:rFonts w:ascii="Times New Roman" w:hAnsi="Times New Roman" w:cs="Times New Roman"/>
          <w:sz w:val="20"/>
        </w:rPr>
        <w:t>Weighted percentages.</w:t>
      </w:r>
    </w:p>
    <w:p w14:paraId="75C83395" w14:textId="4185A0CC" w:rsidR="00F92A14" w:rsidRDefault="00F92A14" w:rsidP="00F92A14">
      <w:pPr>
        <w:spacing w:after="0" w:line="240" w:lineRule="auto"/>
        <w:rPr>
          <w:rFonts w:ascii="Times New Roman" w:hAnsi="Times New Roman" w:cs="Times New Roman"/>
          <w:sz w:val="20"/>
        </w:rPr>
      </w:pPr>
      <w:r w:rsidRPr="00CD7F02">
        <w:rPr>
          <w:rFonts w:ascii="Times New Roman" w:hAnsi="Times New Roman" w:cs="Times New Roman"/>
          <w:i/>
          <w:sz w:val="20"/>
        </w:rPr>
        <w:t>N</w:t>
      </w:r>
      <w:r w:rsidRPr="007B1A4A">
        <w:rPr>
          <w:rFonts w:ascii="Times New Roman" w:hAnsi="Times New Roman" w:cs="Times New Roman"/>
          <w:sz w:val="20"/>
        </w:rPr>
        <w:t>=2,567</w:t>
      </w:r>
    </w:p>
    <w:p w14:paraId="31DFA33D" w14:textId="77777777" w:rsidR="00F92A14" w:rsidRDefault="00F92A14">
      <w:pPr>
        <w:rPr>
          <w:rFonts w:ascii="Times New Roman" w:hAnsi="Times New Roman" w:cs="Times New Roman"/>
          <w:sz w:val="20"/>
        </w:rPr>
        <w:sectPr w:rsidR="00F92A14" w:rsidSect="00744FE6">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pPr>
    </w:p>
    <w:tbl>
      <w:tblPr>
        <w:tblW w:w="12534" w:type="dxa"/>
        <w:jc w:val="center"/>
        <w:tblLook w:val="04A0" w:firstRow="1" w:lastRow="0" w:firstColumn="1" w:lastColumn="0" w:noHBand="0" w:noVBand="1"/>
      </w:tblPr>
      <w:tblGrid>
        <w:gridCol w:w="12534"/>
      </w:tblGrid>
      <w:tr w:rsidR="00F92A14" w:rsidRPr="00666AB4" w14:paraId="45BA609E" w14:textId="77777777" w:rsidTr="00F92A14">
        <w:trPr>
          <w:trHeight w:val="648"/>
          <w:jc w:val="center"/>
        </w:trPr>
        <w:tc>
          <w:tcPr>
            <w:tcW w:w="12534" w:type="dxa"/>
            <w:shd w:val="clear" w:color="auto" w:fill="auto"/>
            <w:vAlign w:val="bottom"/>
            <w:hideMark/>
          </w:tcPr>
          <w:p w14:paraId="7D83D61F" w14:textId="77777777" w:rsidR="00F92A14" w:rsidRPr="00666AB4" w:rsidRDefault="00F92A14" w:rsidP="00F92A14">
            <w:pPr>
              <w:spacing w:after="0" w:line="240" w:lineRule="auto"/>
              <w:rPr>
                <w:rFonts w:ascii="Times New Roman" w:eastAsia="Times New Roman" w:hAnsi="Times New Roman" w:cs="Times New Roman"/>
                <w:b/>
                <w:bCs/>
                <w:color w:val="000000"/>
                <w:lang w:eastAsia="en-GB"/>
              </w:rPr>
            </w:pPr>
            <w:r w:rsidRPr="00666AB4">
              <w:rPr>
                <w:rFonts w:ascii="Times New Roman" w:eastAsia="Times New Roman" w:hAnsi="Times New Roman" w:cs="Times New Roman"/>
                <w:b/>
                <w:bCs/>
                <w:color w:val="000000"/>
                <w:lang w:eastAsia="en-GB"/>
              </w:rPr>
              <w:lastRenderedPageBreak/>
              <w:t>Table 5. Logistic regression coefficients, standard errors and odd ratios for tra</w:t>
            </w:r>
            <w:r>
              <w:rPr>
                <w:rFonts w:ascii="Times New Roman" w:eastAsia="Times New Roman" w:hAnsi="Times New Roman" w:cs="Times New Roman"/>
                <w:b/>
                <w:bCs/>
                <w:color w:val="000000"/>
                <w:lang w:eastAsia="en-GB"/>
              </w:rPr>
              <w:t xml:space="preserve">nsition to taught postgraduate </w:t>
            </w:r>
            <w:r w:rsidRPr="00666AB4">
              <w:rPr>
                <w:rFonts w:ascii="Times New Roman" w:eastAsia="Times New Roman" w:hAnsi="Times New Roman" w:cs="Times New Roman"/>
                <w:b/>
                <w:bCs/>
                <w:color w:val="000000"/>
                <w:lang w:eastAsia="en-GB"/>
              </w:rPr>
              <w:t xml:space="preserve">study. </w:t>
            </w:r>
          </w:p>
        </w:tc>
      </w:tr>
    </w:tbl>
    <w:p w14:paraId="1A1962E5" w14:textId="77777777" w:rsidR="00F92A14" w:rsidRPr="008B6264" w:rsidRDefault="00F92A14" w:rsidP="00F92A14">
      <w:pPr>
        <w:rPr>
          <w:sz w:val="18"/>
        </w:rPr>
      </w:pPr>
    </w:p>
    <w:tbl>
      <w:tblPr>
        <w:tblW w:w="12669" w:type="dxa"/>
        <w:jc w:val="center"/>
        <w:tblLook w:val="04A0" w:firstRow="1" w:lastRow="0" w:firstColumn="1" w:lastColumn="0" w:noHBand="0" w:noVBand="1"/>
      </w:tblPr>
      <w:tblGrid>
        <w:gridCol w:w="5016"/>
        <w:gridCol w:w="766"/>
        <w:gridCol w:w="601"/>
        <w:gridCol w:w="772"/>
        <w:gridCol w:w="271"/>
        <w:gridCol w:w="271"/>
        <w:gridCol w:w="766"/>
        <w:gridCol w:w="566"/>
        <w:gridCol w:w="730"/>
        <w:gridCol w:w="416"/>
        <w:gridCol w:w="271"/>
        <w:gridCol w:w="766"/>
        <w:gridCol w:w="566"/>
        <w:gridCol w:w="730"/>
        <w:gridCol w:w="416"/>
      </w:tblGrid>
      <w:tr w:rsidR="00F92A14" w:rsidRPr="002802A9" w14:paraId="36D44AF2" w14:textId="77777777" w:rsidTr="00F92A14">
        <w:trPr>
          <w:trHeight w:val="288"/>
          <w:tblHeader/>
          <w:jc w:val="center"/>
        </w:trPr>
        <w:tc>
          <w:tcPr>
            <w:tcW w:w="5016" w:type="dxa"/>
            <w:tcBorders>
              <w:top w:val="nil"/>
              <w:left w:val="nil"/>
              <w:bottom w:val="nil"/>
              <w:right w:val="nil"/>
            </w:tcBorders>
            <w:shd w:val="clear" w:color="auto" w:fill="auto"/>
            <w:noWrap/>
            <w:vAlign w:val="bottom"/>
            <w:hideMark/>
          </w:tcPr>
          <w:p w14:paraId="5AF3A855" w14:textId="77777777" w:rsidR="00F92A14" w:rsidRPr="002802A9" w:rsidRDefault="00F92A14" w:rsidP="00F92A14">
            <w:pPr>
              <w:spacing w:after="0" w:line="240" w:lineRule="auto"/>
              <w:rPr>
                <w:rFonts w:ascii="Times New Roman" w:eastAsia="Times New Roman" w:hAnsi="Times New Roman" w:cs="Times New Roman"/>
                <w:b/>
                <w:bCs/>
                <w:color w:val="000000"/>
                <w:szCs w:val="21"/>
                <w:lang w:eastAsia="en-GB"/>
              </w:rPr>
            </w:pPr>
          </w:p>
        </w:tc>
        <w:tc>
          <w:tcPr>
            <w:tcW w:w="2355" w:type="dxa"/>
            <w:gridSpan w:val="4"/>
            <w:tcBorders>
              <w:top w:val="single" w:sz="4" w:space="0" w:color="auto"/>
              <w:left w:val="nil"/>
              <w:bottom w:val="single" w:sz="4" w:space="0" w:color="auto"/>
              <w:right w:val="nil"/>
            </w:tcBorders>
            <w:shd w:val="clear" w:color="auto" w:fill="auto"/>
            <w:noWrap/>
            <w:vAlign w:val="bottom"/>
            <w:hideMark/>
          </w:tcPr>
          <w:p w14:paraId="508DA71C" w14:textId="77777777" w:rsidR="00F92A14" w:rsidRPr="002802A9" w:rsidRDefault="00F92A14" w:rsidP="00F92A14">
            <w:pPr>
              <w:spacing w:after="0" w:line="240" w:lineRule="auto"/>
              <w:jc w:val="center"/>
              <w:rPr>
                <w:rFonts w:ascii="Times New Roman" w:eastAsia="Times New Roman" w:hAnsi="Times New Roman" w:cs="Times New Roman"/>
                <w:b/>
                <w:bCs/>
                <w:color w:val="000000"/>
                <w:szCs w:val="21"/>
                <w:lang w:eastAsia="en-GB"/>
              </w:rPr>
            </w:pPr>
            <w:r w:rsidRPr="002802A9">
              <w:rPr>
                <w:rFonts w:ascii="Times New Roman" w:eastAsia="Times New Roman" w:hAnsi="Times New Roman" w:cs="Times New Roman"/>
                <w:b/>
                <w:bCs/>
                <w:color w:val="000000"/>
                <w:szCs w:val="21"/>
                <w:lang w:eastAsia="en-GB"/>
              </w:rPr>
              <w:t>Model 1</w:t>
            </w:r>
          </w:p>
        </w:tc>
        <w:tc>
          <w:tcPr>
            <w:tcW w:w="271" w:type="dxa"/>
            <w:tcBorders>
              <w:top w:val="nil"/>
              <w:left w:val="nil"/>
              <w:bottom w:val="nil"/>
              <w:right w:val="nil"/>
            </w:tcBorders>
            <w:shd w:val="clear" w:color="auto" w:fill="auto"/>
            <w:noWrap/>
            <w:vAlign w:val="bottom"/>
            <w:hideMark/>
          </w:tcPr>
          <w:p w14:paraId="6550BC07" w14:textId="77777777" w:rsidR="00F92A14" w:rsidRPr="002802A9" w:rsidRDefault="00F92A14" w:rsidP="00F92A14">
            <w:pPr>
              <w:spacing w:after="0" w:line="240" w:lineRule="auto"/>
              <w:jc w:val="center"/>
              <w:rPr>
                <w:rFonts w:ascii="Times New Roman" w:eastAsia="Times New Roman" w:hAnsi="Times New Roman" w:cs="Times New Roman"/>
                <w:b/>
                <w:bCs/>
                <w:color w:val="000000"/>
                <w:szCs w:val="21"/>
                <w:lang w:eastAsia="en-GB"/>
              </w:rPr>
            </w:pPr>
          </w:p>
        </w:tc>
        <w:tc>
          <w:tcPr>
            <w:tcW w:w="2378" w:type="dxa"/>
            <w:gridSpan w:val="4"/>
            <w:tcBorders>
              <w:top w:val="single" w:sz="4" w:space="0" w:color="auto"/>
              <w:left w:val="nil"/>
              <w:bottom w:val="single" w:sz="4" w:space="0" w:color="auto"/>
              <w:right w:val="nil"/>
            </w:tcBorders>
            <w:shd w:val="clear" w:color="auto" w:fill="auto"/>
            <w:noWrap/>
            <w:vAlign w:val="bottom"/>
            <w:hideMark/>
          </w:tcPr>
          <w:p w14:paraId="654A5718" w14:textId="77777777" w:rsidR="00F92A14" w:rsidRPr="002802A9" w:rsidRDefault="00F92A14" w:rsidP="00F92A14">
            <w:pPr>
              <w:spacing w:after="0" w:line="240" w:lineRule="auto"/>
              <w:jc w:val="center"/>
              <w:rPr>
                <w:rFonts w:ascii="Times New Roman" w:eastAsia="Times New Roman" w:hAnsi="Times New Roman" w:cs="Times New Roman"/>
                <w:b/>
                <w:bCs/>
                <w:color w:val="000000"/>
                <w:szCs w:val="21"/>
                <w:lang w:eastAsia="en-GB"/>
              </w:rPr>
            </w:pPr>
            <w:r w:rsidRPr="002802A9">
              <w:rPr>
                <w:rFonts w:ascii="Times New Roman" w:eastAsia="Times New Roman" w:hAnsi="Times New Roman" w:cs="Times New Roman"/>
                <w:b/>
                <w:bCs/>
                <w:color w:val="000000"/>
                <w:szCs w:val="21"/>
                <w:lang w:eastAsia="en-GB"/>
              </w:rPr>
              <w:t>Model 2</w:t>
            </w:r>
          </w:p>
        </w:tc>
        <w:tc>
          <w:tcPr>
            <w:tcW w:w="271" w:type="dxa"/>
            <w:tcBorders>
              <w:top w:val="nil"/>
              <w:left w:val="nil"/>
              <w:bottom w:val="nil"/>
              <w:right w:val="nil"/>
            </w:tcBorders>
            <w:shd w:val="clear" w:color="auto" w:fill="auto"/>
            <w:noWrap/>
            <w:vAlign w:val="bottom"/>
            <w:hideMark/>
          </w:tcPr>
          <w:p w14:paraId="6FFC2BE7" w14:textId="77777777" w:rsidR="00F92A14" w:rsidRPr="002802A9" w:rsidRDefault="00F92A14" w:rsidP="00F92A14">
            <w:pPr>
              <w:spacing w:after="0" w:line="240" w:lineRule="auto"/>
              <w:jc w:val="center"/>
              <w:rPr>
                <w:rFonts w:ascii="Times New Roman" w:eastAsia="Times New Roman" w:hAnsi="Times New Roman" w:cs="Times New Roman"/>
                <w:b/>
                <w:bCs/>
                <w:color w:val="000000"/>
                <w:szCs w:val="21"/>
                <w:lang w:eastAsia="en-GB"/>
              </w:rPr>
            </w:pPr>
          </w:p>
        </w:tc>
        <w:tc>
          <w:tcPr>
            <w:tcW w:w="2378" w:type="dxa"/>
            <w:gridSpan w:val="4"/>
            <w:tcBorders>
              <w:top w:val="single" w:sz="4" w:space="0" w:color="auto"/>
              <w:left w:val="nil"/>
              <w:bottom w:val="single" w:sz="4" w:space="0" w:color="auto"/>
              <w:right w:val="nil"/>
            </w:tcBorders>
            <w:shd w:val="clear" w:color="auto" w:fill="auto"/>
            <w:noWrap/>
            <w:vAlign w:val="bottom"/>
            <w:hideMark/>
          </w:tcPr>
          <w:p w14:paraId="382D243F" w14:textId="77777777" w:rsidR="00F92A14" w:rsidRPr="002802A9" w:rsidRDefault="00F92A14" w:rsidP="00F92A14">
            <w:pPr>
              <w:spacing w:after="0" w:line="240" w:lineRule="auto"/>
              <w:jc w:val="center"/>
              <w:rPr>
                <w:rFonts w:ascii="Times New Roman" w:eastAsia="Times New Roman" w:hAnsi="Times New Roman" w:cs="Times New Roman"/>
                <w:b/>
                <w:bCs/>
                <w:color w:val="000000"/>
                <w:szCs w:val="21"/>
                <w:lang w:eastAsia="en-GB"/>
              </w:rPr>
            </w:pPr>
            <w:r w:rsidRPr="002802A9">
              <w:rPr>
                <w:rFonts w:ascii="Times New Roman" w:eastAsia="Times New Roman" w:hAnsi="Times New Roman" w:cs="Times New Roman"/>
                <w:b/>
                <w:bCs/>
                <w:color w:val="000000"/>
                <w:szCs w:val="21"/>
                <w:lang w:eastAsia="en-GB"/>
              </w:rPr>
              <w:t>Model 3</w:t>
            </w:r>
          </w:p>
        </w:tc>
      </w:tr>
      <w:tr w:rsidR="00F92A14" w:rsidRPr="002802A9" w14:paraId="68A74EA4" w14:textId="77777777" w:rsidTr="00F92A14">
        <w:trPr>
          <w:trHeight w:val="576"/>
          <w:tblHeader/>
          <w:jc w:val="center"/>
        </w:trPr>
        <w:tc>
          <w:tcPr>
            <w:tcW w:w="5016" w:type="dxa"/>
            <w:tcBorders>
              <w:top w:val="nil"/>
              <w:left w:val="nil"/>
              <w:bottom w:val="single" w:sz="4" w:space="0" w:color="auto"/>
              <w:right w:val="nil"/>
            </w:tcBorders>
            <w:shd w:val="clear" w:color="auto" w:fill="auto"/>
            <w:noWrap/>
            <w:vAlign w:val="bottom"/>
            <w:hideMark/>
          </w:tcPr>
          <w:p w14:paraId="094BF963" w14:textId="77777777" w:rsidR="00F92A14" w:rsidRPr="002802A9" w:rsidRDefault="00F92A14" w:rsidP="00F92A14">
            <w:pPr>
              <w:spacing w:after="0" w:line="240" w:lineRule="auto"/>
              <w:rPr>
                <w:rFonts w:ascii="Times New Roman" w:eastAsia="Times New Roman" w:hAnsi="Times New Roman" w:cs="Times New Roman"/>
                <w:b/>
                <w:bCs/>
                <w:color w:val="000000"/>
                <w:szCs w:val="21"/>
                <w:lang w:eastAsia="en-GB"/>
              </w:rPr>
            </w:pPr>
            <w:r w:rsidRPr="002802A9">
              <w:rPr>
                <w:rFonts w:ascii="Times New Roman" w:eastAsia="Times New Roman" w:hAnsi="Times New Roman" w:cs="Times New Roman"/>
                <w:b/>
                <w:bCs/>
                <w:color w:val="000000"/>
                <w:szCs w:val="21"/>
                <w:lang w:eastAsia="en-GB"/>
              </w:rPr>
              <w:t>Variables</w:t>
            </w:r>
          </w:p>
        </w:tc>
        <w:tc>
          <w:tcPr>
            <w:tcW w:w="711" w:type="dxa"/>
            <w:tcBorders>
              <w:top w:val="nil"/>
              <w:left w:val="nil"/>
              <w:bottom w:val="single" w:sz="4" w:space="0" w:color="auto"/>
              <w:right w:val="nil"/>
            </w:tcBorders>
            <w:shd w:val="clear" w:color="auto" w:fill="auto"/>
            <w:noWrap/>
            <w:vAlign w:val="bottom"/>
            <w:hideMark/>
          </w:tcPr>
          <w:p w14:paraId="42AB0BC7" w14:textId="77777777" w:rsidR="00F92A14" w:rsidRPr="002802A9" w:rsidRDefault="00F92A14" w:rsidP="00F92A14">
            <w:pPr>
              <w:spacing w:after="0" w:line="240" w:lineRule="auto"/>
              <w:jc w:val="right"/>
              <w:rPr>
                <w:rFonts w:ascii="Times New Roman" w:eastAsia="Times New Roman" w:hAnsi="Times New Roman" w:cs="Times New Roman"/>
                <w:b/>
                <w:bCs/>
                <w:color w:val="000000"/>
                <w:szCs w:val="21"/>
                <w:lang w:eastAsia="en-GB"/>
              </w:rPr>
            </w:pPr>
            <w:r w:rsidRPr="002802A9">
              <w:rPr>
                <w:rFonts w:ascii="Times New Roman" w:eastAsia="Times New Roman" w:hAnsi="Times New Roman" w:cs="Times New Roman"/>
                <w:b/>
                <w:bCs/>
                <w:color w:val="000000"/>
                <w:szCs w:val="21"/>
                <w:lang w:eastAsia="en-GB"/>
              </w:rPr>
              <w:t>β</w:t>
            </w:r>
          </w:p>
        </w:tc>
        <w:tc>
          <w:tcPr>
            <w:tcW w:w="601" w:type="dxa"/>
            <w:tcBorders>
              <w:top w:val="nil"/>
              <w:left w:val="nil"/>
              <w:bottom w:val="single" w:sz="4" w:space="0" w:color="auto"/>
              <w:right w:val="nil"/>
            </w:tcBorders>
            <w:shd w:val="clear" w:color="auto" w:fill="auto"/>
            <w:noWrap/>
            <w:vAlign w:val="bottom"/>
            <w:hideMark/>
          </w:tcPr>
          <w:p w14:paraId="36EFAFB4" w14:textId="77777777" w:rsidR="00F92A14" w:rsidRPr="002802A9" w:rsidRDefault="00F92A14" w:rsidP="00F92A14">
            <w:pPr>
              <w:spacing w:after="0" w:line="240" w:lineRule="auto"/>
              <w:jc w:val="right"/>
              <w:rPr>
                <w:rFonts w:ascii="Times New Roman" w:eastAsia="Times New Roman" w:hAnsi="Times New Roman" w:cs="Times New Roman"/>
                <w:b/>
                <w:bCs/>
                <w:color w:val="000000"/>
                <w:szCs w:val="21"/>
                <w:lang w:eastAsia="en-GB"/>
              </w:rPr>
            </w:pPr>
            <w:r w:rsidRPr="002802A9">
              <w:rPr>
                <w:rFonts w:ascii="Times New Roman" w:eastAsia="Times New Roman" w:hAnsi="Times New Roman" w:cs="Times New Roman"/>
                <w:b/>
                <w:bCs/>
                <w:color w:val="000000"/>
                <w:szCs w:val="21"/>
                <w:lang w:eastAsia="en-GB"/>
              </w:rPr>
              <w:t>SE</w:t>
            </w:r>
          </w:p>
        </w:tc>
        <w:tc>
          <w:tcPr>
            <w:tcW w:w="772" w:type="dxa"/>
            <w:tcBorders>
              <w:top w:val="nil"/>
              <w:left w:val="nil"/>
              <w:bottom w:val="single" w:sz="4" w:space="0" w:color="auto"/>
              <w:right w:val="nil"/>
            </w:tcBorders>
            <w:shd w:val="clear" w:color="auto" w:fill="auto"/>
            <w:vAlign w:val="bottom"/>
            <w:hideMark/>
          </w:tcPr>
          <w:p w14:paraId="24346123" w14:textId="77777777" w:rsidR="00F92A14" w:rsidRPr="002802A9" w:rsidRDefault="00F92A14" w:rsidP="00F92A14">
            <w:pPr>
              <w:spacing w:after="0" w:line="240" w:lineRule="auto"/>
              <w:jc w:val="right"/>
              <w:rPr>
                <w:rFonts w:ascii="Times New Roman" w:eastAsia="Times New Roman" w:hAnsi="Times New Roman" w:cs="Times New Roman"/>
                <w:b/>
                <w:bCs/>
                <w:color w:val="000000"/>
                <w:szCs w:val="21"/>
                <w:lang w:eastAsia="en-GB"/>
              </w:rPr>
            </w:pPr>
            <w:r w:rsidRPr="002802A9">
              <w:rPr>
                <w:rFonts w:ascii="Times New Roman" w:eastAsia="Times New Roman" w:hAnsi="Times New Roman" w:cs="Times New Roman"/>
                <w:b/>
                <w:bCs/>
                <w:color w:val="000000"/>
                <w:szCs w:val="21"/>
                <w:lang w:eastAsia="en-GB"/>
              </w:rPr>
              <w:t>Odds Ratio</w:t>
            </w:r>
          </w:p>
        </w:tc>
        <w:tc>
          <w:tcPr>
            <w:tcW w:w="271" w:type="dxa"/>
            <w:tcBorders>
              <w:top w:val="nil"/>
              <w:left w:val="nil"/>
              <w:bottom w:val="single" w:sz="4" w:space="0" w:color="auto"/>
              <w:right w:val="nil"/>
            </w:tcBorders>
            <w:shd w:val="clear" w:color="auto" w:fill="auto"/>
            <w:noWrap/>
            <w:vAlign w:val="bottom"/>
            <w:hideMark/>
          </w:tcPr>
          <w:p w14:paraId="087F3FE7" w14:textId="77777777" w:rsidR="00F92A14" w:rsidRPr="002802A9" w:rsidRDefault="00F92A14" w:rsidP="00F92A14">
            <w:pPr>
              <w:spacing w:after="0" w:line="240" w:lineRule="auto"/>
              <w:jc w:val="right"/>
              <w:rPr>
                <w:rFonts w:ascii="Times New Roman" w:eastAsia="Times New Roman" w:hAnsi="Times New Roman" w:cs="Times New Roman"/>
                <w:b/>
                <w:bCs/>
                <w:color w:val="000000"/>
                <w:szCs w:val="21"/>
                <w:lang w:eastAsia="en-GB"/>
              </w:rPr>
            </w:pPr>
            <w:r w:rsidRPr="002802A9">
              <w:rPr>
                <w:rFonts w:ascii="Times New Roman" w:eastAsia="Times New Roman" w:hAnsi="Times New Roman" w:cs="Times New Roman"/>
                <w:b/>
                <w:bCs/>
                <w:color w:val="000000"/>
                <w:szCs w:val="21"/>
                <w:lang w:eastAsia="en-GB"/>
              </w:rPr>
              <w:t> </w:t>
            </w:r>
          </w:p>
        </w:tc>
        <w:tc>
          <w:tcPr>
            <w:tcW w:w="271" w:type="dxa"/>
            <w:tcBorders>
              <w:top w:val="nil"/>
              <w:left w:val="nil"/>
              <w:bottom w:val="single" w:sz="4" w:space="0" w:color="auto"/>
              <w:right w:val="nil"/>
            </w:tcBorders>
            <w:shd w:val="clear" w:color="auto" w:fill="auto"/>
            <w:noWrap/>
            <w:vAlign w:val="bottom"/>
            <w:hideMark/>
          </w:tcPr>
          <w:p w14:paraId="14C33FA3" w14:textId="77777777" w:rsidR="00F92A14" w:rsidRPr="002802A9" w:rsidRDefault="00F92A14" w:rsidP="00F92A14">
            <w:pPr>
              <w:spacing w:after="0" w:line="240" w:lineRule="auto"/>
              <w:jc w:val="right"/>
              <w:rPr>
                <w:rFonts w:ascii="Times New Roman" w:eastAsia="Times New Roman" w:hAnsi="Times New Roman" w:cs="Times New Roman"/>
                <w:b/>
                <w:bCs/>
                <w:color w:val="000000"/>
                <w:szCs w:val="21"/>
                <w:lang w:eastAsia="en-GB"/>
              </w:rPr>
            </w:pPr>
            <w:r w:rsidRPr="002802A9">
              <w:rPr>
                <w:rFonts w:ascii="Times New Roman" w:eastAsia="Times New Roman" w:hAnsi="Times New Roman" w:cs="Times New Roman"/>
                <w:b/>
                <w:bCs/>
                <w:color w:val="000000"/>
                <w:szCs w:val="21"/>
                <w:lang w:eastAsia="en-GB"/>
              </w:rPr>
              <w:t> </w:t>
            </w:r>
          </w:p>
        </w:tc>
        <w:tc>
          <w:tcPr>
            <w:tcW w:w="666" w:type="dxa"/>
            <w:tcBorders>
              <w:top w:val="nil"/>
              <w:left w:val="nil"/>
              <w:bottom w:val="single" w:sz="4" w:space="0" w:color="auto"/>
              <w:right w:val="nil"/>
            </w:tcBorders>
            <w:shd w:val="clear" w:color="auto" w:fill="auto"/>
            <w:noWrap/>
            <w:vAlign w:val="bottom"/>
            <w:hideMark/>
          </w:tcPr>
          <w:p w14:paraId="216D04F7" w14:textId="77777777" w:rsidR="00F92A14" w:rsidRPr="002802A9" w:rsidRDefault="00F92A14" w:rsidP="00F92A14">
            <w:pPr>
              <w:spacing w:after="0" w:line="240" w:lineRule="auto"/>
              <w:jc w:val="right"/>
              <w:rPr>
                <w:rFonts w:ascii="Times New Roman" w:eastAsia="Times New Roman" w:hAnsi="Times New Roman" w:cs="Times New Roman"/>
                <w:b/>
                <w:bCs/>
                <w:color w:val="000000"/>
                <w:szCs w:val="21"/>
                <w:lang w:eastAsia="en-GB"/>
              </w:rPr>
            </w:pPr>
            <w:r w:rsidRPr="002802A9">
              <w:rPr>
                <w:rFonts w:ascii="Times New Roman" w:eastAsia="Times New Roman" w:hAnsi="Times New Roman" w:cs="Times New Roman"/>
                <w:b/>
                <w:bCs/>
                <w:color w:val="000000"/>
                <w:szCs w:val="21"/>
                <w:lang w:eastAsia="en-GB"/>
              </w:rPr>
              <w:t>β</w:t>
            </w:r>
          </w:p>
        </w:tc>
        <w:tc>
          <w:tcPr>
            <w:tcW w:w="566" w:type="dxa"/>
            <w:tcBorders>
              <w:top w:val="nil"/>
              <w:left w:val="nil"/>
              <w:bottom w:val="single" w:sz="4" w:space="0" w:color="auto"/>
              <w:right w:val="nil"/>
            </w:tcBorders>
            <w:shd w:val="clear" w:color="auto" w:fill="auto"/>
            <w:noWrap/>
            <w:vAlign w:val="bottom"/>
            <w:hideMark/>
          </w:tcPr>
          <w:p w14:paraId="6E644CC6" w14:textId="77777777" w:rsidR="00F92A14" w:rsidRPr="002802A9" w:rsidRDefault="00F92A14" w:rsidP="00F92A14">
            <w:pPr>
              <w:spacing w:after="0" w:line="240" w:lineRule="auto"/>
              <w:jc w:val="right"/>
              <w:rPr>
                <w:rFonts w:ascii="Times New Roman" w:eastAsia="Times New Roman" w:hAnsi="Times New Roman" w:cs="Times New Roman"/>
                <w:b/>
                <w:bCs/>
                <w:color w:val="000000"/>
                <w:szCs w:val="21"/>
                <w:lang w:eastAsia="en-GB"/>
              </w:rPr>
            </w:pPr>
            <w:r w:rsidRPr="002802A9">
              <w:rPr>
                <w:rFonts w:ascii="Times New Roman" w:eastAsia="Times New Roman" w:hAnsi="Times New Roman" w:cs="Times New Roman"/>
                <w:b/>
                <w:bCs/>
                <w:color w:val="000000"/>
                <w:szCs w:val="21"/>
                <w:lang w:eastAsia="en-GB"/>
              </w:rPr>
              <w:t>SE</w:t>
            </w:r>
          </w:p>
        </w:tc>
        <w:tc>
          <w:tcPr>
            <w:tcW w:w="730" w:type="dxa"/>
            <w:tcBorders>
              <w:top w:val="nil"/>
              <w:left w:val="nil"/>
              <w:bottom w:val="single" w:sz="4" w:space="0" w:color="auto"/>
              <w:right w:val="nil"/>
            </w:tcBorders>
            <w:shd w:val="clear" w:color="auto" w:fill="auto"/>
            <w:vAlign w:val="bottom"/>
            <w:hideMark/>
          </w:tcPr>
          <w:p w14:paraId="18E227FE" w14:textId="77777777" w:rsidR="00F92A14" w:rsidRPr="002802A9" w:rsidRDefault="00F92A14" w:rsidP="00F92A14">
            <w:pPr>
              <w:spacing w:after="0" w:line="240" w:lineRule="auto"/>
              <w:jc w:val="right"/>
              <w:rPr>
                <w:rFonts w:ascii="Times New Roman" w:eastAsia="Times New Roman" w:hAnsi="Times New Roman" w:cs="Times New Roman"/>
                <w:b/>
                <w:bCs/>
                <w:color w:val="000000"/>
                <w:szCs w:val="21"/>
                <w:lang w:eastAsia="en-GB"/>
              </w:rPr>
            </w:pPr>
            <w:r w:rsidRPr="002802A9">
              <w:rPr>
                <w:rFonts w:ascii="Times New Roman" w:eastAsia="Times New Roman" w:hAnsi="Times New Roman" w:cs="Times New Roman"/>
                <w:b/>
                <w:bCs/>
                <w:color w:val="000000"/>
                <w:szCs w:val="21"/>
                <w:lang w:eastAsia="en-GB"/>
              </w:rPr>
              <w:t>Odds Ratio</w:t>
            </w:r>
          </w:p>
        </w:tc>
        <w:tc>
          <w:tcPr>
            <w:tcW w:w="416" w:type="dxa"/>
            <w:tcBorders>
              <w:top w:val="nil"/>
              <w:left w:val="nil"/>
              <w:bottom w:val="single" w:sz="4" w:space="0" w:color="auto"/>
              <w:right w:val="nil"/>
            </w:tcBorders>
            <w:shd w:val="clear" w:color="auto" w:fill="auto"/>
            <w:noWrap/>
            <w:vAlign w:val="bottom"/>
            <w:hideMark/>
          </w:tcPr>
          <w:p w14:paraId="3724E9A8" w14:textId="77777777" w:rsidR="00F92A14" w:rsidRPr="002802A9" w:rsidRDefault="00F92A14" w:rsidP="00F92A14">
            <w:pPr>
              <w:spacing w:after="0" w:line="240" w:lineRule="auto"/>
              <w:rPr>
                <w:rFonts w:ascii="Times New Roman" w:eastAsia="Times New Roman" w:hAnsi="Times New Roman" w:cs="Times New Roman"/>
                <w:b/>
                <w:bCs/>
                <w:color w:val="000000"/>
                <w:szCs w:val="21"/>
                <w:lang w:eastAsia="en-GB"/>
              </w:rPr>
            </w:pPr>
            <w:r w:rsidRPr="002802A9">
              <w:rPr>
                <w:rFonts w:ascii="Times New Roman" w:eastAsia="Times New Roman" w:hAnsi="Times New Roman" w:cs="Times New Roman"/>
                <w:b/>
                <w:bCs/>
                <w:color w:val="000000"/>
                <w:szCs w:val="21"/>
                <w:lang w:eastAsia="en-GB"/>
              </w:rPr>
              <w:t> </w:t>
            </w:r>
          </w:p>
        </w:tc>
        <w:tc>
          <w:tcPr>
            <w:tcW w:w="271" w:type="dxa"/>
            <w:tcBorders>
              <w:top w:val="nil"/>
              <w:left w:val="nil"/>
              <w:bottom w:val="single" w:sz="4" w:space="0" w:color="auto"/>
              <w:right w:val="nil"/>
            </w:tcBorders>
            <w:shd w:val="clear" w:color="auto" w:fill="auto"/>
            <w:noWrap/>
            <w:vAlign w:val="bottom"/>
            <w:hideMark/>
          </w:tcPr>
          <w:p w14:paraId="1E249638" w14:textId="77777777" w:rsidR="00F92A14" w:rsidRPr="002802A9" w:rsidRDefault="00F92A14" w:rsidP="00F92A14">
            <w:pPr>
              <w:spacing w:after="0" w:line="240" w:lineRule="auto"/>
              <w:rPr>
                <w:rFonts w:ascii="Times New Roman" w:eastAsia="Times New Roman" w:hAnsi="Times New Roman" w:cs="Times New Roman"/>
                <w:b/>
                <w:bCs/>
                <w:color w:val="000000"/>
                <w:szCs w:val="21"/>
                <w:lang w:eastAsia="en-GB"/>
              </w:rPr>
            </w:pPr>
            <w:r w:rsidRPr="002802A9">
              <w:rPr>
                <w:rFonts w:ascii="Times New Roman" w:eastAsia="Times New Roman" w:hAnsi="Times New Roman" w:cs="Times New Roman"/>
                <w:b/>
                <w:bCs/>
                <w:color w:val="000000"/>
                <w:szCs w:val="21"/>
                <w:lang w:eastAsia="en-GB"/>
              </w:rPr>
              <w:t> </w:t>
            </w:r>
          </w:p>
        </w:tc>
        <w:tc>
          <w:tcPr>
            <w:tcW w:w="666" w:type="dxa"/>
            <w:tcBorders>
              <w:top w:val="nil"/>
              <w:left w:val="nil"/>
              <w:bottom w:val="single" w:sz="4" w:space="0" w:color="auto"/>
              <w:right w:val="nil"/>
            </w:tcBorders>
            <w:shd w:val="clear" w:color="auto" w:fill="auto"/>
            <w:noWrap/>
            <w:vAlign w:val="bottom"/>
            <w:hideMark/>
          </w:tcPr>
          <w:p w14:paraId="7CA3A10E" w14:textId="77777777" w:rsidR="00F92A14" w:rsidRPr="002802A9" w:rsidRDefault="00F92A14" w:rsidP="00F92A14">
            <w:pPr>
              <w:spacing w:after="0" w:line="240" w:lineRule="auto"/>
              <w:jc w:val="right"/>
              <w:rPr>
                <w:rFonts w:ascii="Times New Roman" w:eastAsia="Times New Roman" w:hAnsi="Times New Roman" w:cs="Times New Roman"/>
                <w:b/>
                <w:bCs/>
                <w:color w:val="000000"/>
                <w:szCs w:val="21"/>
                <w:lang w:eastAsia="en-GB"/>
              </w:rPr>
            </w:pPr>
            <w:r w:rsidRPr="002802A9">
              <w:rPr>
                <w:rFonts w:ascii="Times New Roman" w:eastAsia="Times New Roman" w:hAnsi="Times New Roman" w:cs="Times New Roman"/>
                <w:b/>
                <w:bCs/>
                <w:color w:val="000000"/>
                <w:szCs w:val="21"/>
                <w:lang w:eastAsia="en-GB"/>
              </w:rPr>
              <w:t>β</w:t>
            </w:r>
          </w:p>
        </w:tc>
        <w:tc>
          <w:tcPr>
            <w:tcW w:w="566" w:type="dxa"/>
            <w:tcBorders>
              <w:top w:val="nil"/>
              <w:left w:val="nil"/>
              <w:bottom w:val="single" w:sz="4" w:space="0" w:color="auto"/>
              <w:right w:val="nil"/>
            </w:tcBorders>
            <w:shd w:val="clear" w:color="auto" w:fill="auto"/>
            <w:noWrap/>
            <w:vAlign w:val="bottom"/>
            <w:hideMark/>
          </w:tcPr>
          <w:p w14:paraId="2C669790" w14:textId="77777777" w:rsidR="00F92A14" w:rsidRPr="002802A9" w:rsidRDefault="00F92A14" w:rsidP="00F92A14">
            <w:pPr>
              <w:spacing w:after="0" w:line="240" w:lineRule="auto"/>
              <w:jc w:val="center"/>
              <w:rPr>
                <w:rFonts w:ascii="Times New Roman" w:eastAsia="Times New Roman" w:hAnsi="Times New Roman" w:cs="Times New Roman"/>
                <w:b/>
                <w:bCs/>
                <w:color w:val="000000"/>
                <w:szCs w:val="21"/>
                <w:lang w:eastAsia="en-GB"/>
              </w:rPr>
            </w:pPr>
            <w:r w:rsidRPr="002802A9">
              <w:rPr>
                <w:rFonts w:ascii="Times New Roman" w:eastAsia="Times New Roman" w:hAnsi="Times New Roman" w:cs="Times New Roman"/>
                <w:b/>
                <w:bCs/>
                <w:color w:val="000000"/>
                <w:szCs w:val="21"/>
                <w:lang w:eastAsia="en-GB"/>
              </w:rPr>
              <w:t>SE</w:t>
            </w:r>
          </w:p>
        </w:tc>
        <w:tc>
          <w:tcPr>
            <w:tcW w:w="730" w:type="dxa"/>
            <w:tcBorders>
              <w:top w:val="nil"/>
              <w:left w:val="nil"/>
              <w:bottom w:val="single" w:sz="4" w:space="0" w:color="auto"/>
              <w:right w:val="nil"/>
            </w:tcBorders>
            <w:shd w:val="clear" w:color="auto" w:fill="auto"/>
            <w:vAlign w:val="bottom"/>
            <w:hideMark/>
          </w:tcPr>
          <w:p w14:paraId="76D1445A" w14:textId="77777777" w:rsidR="00F92A14" w:rsidRPr="002802A9" w:rsidRDefault="00F92A14" w:rsidP="00F92A14">
            <w:pPr>
              <w:spacing w:after="0" w:line="240" w:lineRule="auto"/>
              <w:jc w:val="right"/>
              <w:rPr>
                <w:rFonts w:ascii="Times New Roman" w:eastAsia="Times New Roman" w:hAnsi="Times New Roman" w:cs="Times New Roman"/>
                <w:b/>
                <w:bCs/>
                <w:color w:val="000000"/>
                <w:szCs w:val="21"/>
                <w:lang w:eastAsia="en-GB"/>
              </w:rPr>
            </w:pPr>
            <w:r w:rsidRPr="002802A9">
              <w:rPr>
                <w:rFonts w:ascii="Times New Roman" w:eastAsia="Times New Roman" w:hAnsi="Times New Roman" w:cs="Times New Roman"/>
                <w:b/>
                <w:bCs/>
                <w:color w:val="000000"/>
                <w:szCs w:val="21"/>
                <w:lang w:eastAsia="en-GB"/>
              </w:rPr>
              <w:t>Odds Ratio</w:t>
            </w:r>
          </w:p>
        </w:tc>
        <w:tc>
          <w:tcPr>
            <w:tcW w:w="416" w:type="dxa"/>
            <w:tcBorders>
              <w:top w:val="nil"/>
              <w:left w:val="nil"/>
              <w:bottom w:val="single" w:sz="4" w:space="0" w:color="auto"/>
              <w:right w:val="nil"/>
            </w:tcBorders>
            <w:shd w:val="clear" w:color="auto" w:fill="auto"/>
            <w:noWrap/>
            <w:vAlign w:val="bottom"/>
            <w:hideMark/>
          </w:tcPr>
          <w:p w14:paraId="5538371E" w14:textId="77777777" w:rsidR="00F92A14" w:rsidRPr="002802A9" w:rsidRDefault="00F92A14" w:rsidP="00F92A14">
            <w:pPr>
              <w:spacing w:after="0" w:line="240" w:lineRule="auto"/>
              <w:rPr>
                <w:rFonts w:ascii="Times New Roman" w:eastAsia="Times New Roman" w:hAnsi="Times New Roman" w:cs="Times New Roman"/>
                <w:b/>
                <w:bCs/>
                <w:color w:val="000000"/>
                <w:szCs w:val="21"/>
                <w:lang w:eastAsia="en-GB"/>
              </w:rPr>
            </w:pPr>
            <w:r w:rsidRPr="002802A9">
              <w:rPr>
                <w:rFonts w:ascii="Times New Roman" w:eastAsia="Times New Roman" w:hAnsi="Times New Roman" w:cs="Times New Roman"/>
                <w:b/>
                <w:bCs/>
                <w:color w:val="000000"/>
                <w:szCs w:val="21"/>
                <w:lang w:eastAsia="en-GB"/>
              </w:rPr>
              <w:t> </w:t>
            </w:r>
          </w:p>
        </w:tc>
      </w:tr>
      <w:tr w:rsidR="00F92A14" w:rsidRPr="002802A9" w14:paraId="0780D028" w14:textId="77777777" w:rsidTr="00F92A14">
        <w:trPr>
          <w:trHeight w:val="288"/>
          <w:jc w:val="center"/>
        </w:trPr>
        <w:tc>
          <w:tcPr>
            <w:tcW w:w="5016" w:type="dxa"/>
            <w:tcBorders>
              <w:top w:val="nil"/>
              <w:left w:val="nil"/>
              <w:bottom w:val="nil"/>
              <w:right w:val="nil"/>
            </w:tcBorders>
            <w:shd w:val="clear" w:color="auto" w:fill="auto"/>
            <w:noWrap/>
            <w:vAlign w:val="bottom"/>
            <w:hideMark/>
          </w:tcPr>
          <w:p w14:paraId="7580D420" w14:textId="77777777" w:rsidR="00F92A14" w:rsidRPr="002802A9" w:rsidRDefault="00F92A14" w:rsidP="00F92A14">
            <w:pPr>
              <w:spacing w:after="0" w:line="240" w:lineRule="auto"/>
              <w:rPr>
                <w:rFonts w:ascii="Times New Roman" w:eastAsia="Times New Roman" w:hAnsi="Times New Roman" w:cs="Times New Roman"/>
                <w:b/>
                <w:bCs/>
                <w:color w:val="000000"/>
                <w:szCs w:val="21"/>
                <w:lang w:eastAsia="en-GB"/>
              </w:rPr>
            </w:pPr>
            <w:r w:rsidRPr="002802A9">
              <w:rPr>
                <w:rFonts w:ascii="Times New Roman" w:eastAsia="Times New Roman" w:hAnsi="Times New Roman" w:cs="Times New Roman"/>
                <w:b/>
                <w:bCs/>
                <w:color w:val="000000"/>
                <w:szCs w:val="21"/>
                <w:lang w:eastAsia="en-GB"/>
              </w:rPr>
              <w:t>Debt</w:t>
            </w:r>
          </w:p>
        </w:tc>
        <w:tc>
          <w:tcPr>
            <w:tcW w:w="711" w:type="dxa"/>
            <w:tcBorders>
              <w:top w:val="nil"/>
              <w:left w:val="nil"/>
              <w:bottom w:val="nil"/>
              <w:right w:val="nil"/>
            </w:tcBorders>
            <w:shd w:val="clear" w:color="auto" w:fill="auto"/>
            <w:noWrap/>
            <w:vAlign w:val="bottom"/>
            <w:hideMark/>
          </w:tcPr>
          <w:p w14:paraId="6A56B4B3" w14:textId="77777777" w:rsidR="00F92A14" w:rsidRPr="002802A9" w:rsidRDefault="00F92A14" w:rsidP="00F92A14">
            <w:pPr>
              <w:spacing w:after="0" w:line="240" w:lineRule="auto"/>
              <w:rPr>
                <w:rFonts w:ascii="Times New Roman" w:eastAsia="Times New Roman" w:hAnsi="Times New Roman" w:cs="Times New Roman"/>
                <w:b/>
                <w:bCs/>
                <w:color w:val="000000"/>
                <w:szCs w:val="21"/>
                <w:lang w:eastAsia="en-GB"/>
              </w:rPr>
            </w:pPr>
          </w:p>
        </w:tc>
        <w:tc>
          <w:tcPr>
            <w:tcW w:w="601" w:type="dxa"/>
            <w:tcBorders>
              <w:top w:val="nil"/>
              <w:left w:val="nil"/>
              <w:bottom w:val="nil"/>
              <w:right w:val="nil"/>
            </w:tcBorders>
            <w:shd w:val="clear" w:color="auto" w:fill="auto"/>
            <w:noWrap/>
            <w:vAlign w:val="bottom"/>
            <w:hideMark/>
          </w:tcPr>
          <w:p w14:paraId="1B5F3895"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72" w:type="dxa"/>
            <w:tcBorders>
              <w:top w:val="nil"/>
              <w:left w:val="nil"/>
              <w:bottom w:val="nil"/>
              <w:right w:val="nil"/>
            </w:tcBorders>
            <w:shd w:val="clear" w:color="auto" w:fill="auto"/>
            <w:noWrap/>
            <w:vAlign w:val="bottom"/>
            <w:hideMark/>
          </w:tcPr>
          <w:p w14:paraId="2F0A61C7"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hideMark/>
          </w:tcPr>
          <w:p w14:paraId="3C55EB3B"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hideMark/>
          </w:tcPr>
          <w:p w14:paraId="472E0B67"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hideMark/>
          </w:tcPr>
          <w:p w14:paraId="4C784782"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566" w:type="dxa"/>
            <w:tcBorders>
              <w:top w:val="nil"/>
              <w:left w:val="nil"/>
              <w:bottom w:val="nil"/>
              <w:right w:val="nil"/>
            </w:tcBorders>
            <w:shd w:val="clear" w:color="auto" w:fill="auto"/>
            <w:noWrap/>
            <w:vAlign w:val="bottom"/>
            <w:hideMark/>
          </w:tcPr>
          <w:p w14:paraId="3D5C1EF1"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30" w:type="dxa"/>
            <w:tcBorders>
              <w:top w:val="nil"/>
              <w:left w:val="nil"/>
              <w:bottom w:val="nil"/>
              <w:right w:val="nil"/>
            </w:tcBorders>
            <w:shd w:val="clear" w:color="auto" w:fill="auto"/>
            <w:noWrap/>
            <w:vAlign w:val="bottom"/>
            <w:hideMark/>
          </w:tcPr>
          <w:p w14:paraId="121BDFCA"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416" w:type="dxa"/>
            <w:tcBorders>
              <w:top w:val="nil"/>
              <w:left w:val="nil"/>
              <w:bottom w:val="nil"/>
              <w:right w:val="nil"/>
            </w:tcBorders>
            <w:shd w:val="clear" w:color="auto" w:fill="auto"/>
            <w:noWrap/>
            <w:vAlign w:val="bottom"/>
            <w:hideMark/>
          </w:tcPr>
          <w:p w14:paraId="526512DC"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hideMark/>
          </w:tcPr>
          <w:p w14:paraId="0A9170E5"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hideMark/>
          </w:tcPr>
          <w:p w14:paraId="08A4B50C"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566" w:type="dxa"/>
            <w:tcBorders>
              <w:top w:val="nil"/>
              <w:left w:val="nil"/>
              <w:bottom w:val="nil"/>
              <w:right w:val="nil"/>
            </w:tcBorders>
            <w:shd w:val="clear" w:color="auto" w:fill="auto"/>
            <w:noWrap/>
            <w:vAlign w:val="bottom"/>
            <w:hideMark/>
          </w:tcPr>
          <w:p w14:paraId="31C23526"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30" w:type="dxa"/>
            <w:tcBorders>
              <w:top w:val="nil"/>
              <w:left w:val="nil"/>
              <w:bottom w:val="nil"/>
              <w:right w:val="nil"/>
            </w:tcBorders>
            <w:shd w:val="clear" w:color="auto" w:fill="auto"/>
            <w:noWrap/>
            <w:vAlign w:val="bottom"/>
            <w:hideMark/>
          </w:tcPr>
          <w:p w14:paraId="027DB798"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416" w:type="dxa"/>
            <w:tcBorders>
              <w:top w:val="nil"/>
              <w:left w:val="nil"/>
              <w:bottom w:val="nil"/>
              <w:right w:val="nil"/>
            </w:tcBorders>
            <w:shd w:val="clear" w:color="auto" w:fill="auto"/>
            <w:noWrap/>
            <w:vAlign w:val="bottom"/>
            <w:hideMark/>
          </w:tcPr>
          <w:p w14:paraId="2BF8EBF5"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r>
      <w:tr w:rsidR="00F92A14" w:rsidRPr="002802A9" w14:paraId="55DC1AA5" w14:textId="77777777" w:rsidTr="00F92A14">
        <w:trPr>
          <w:trHeight w:val="288"/>
          <w:jc w:val="center"/>
        </w:trPr>
        <w:tc>
          <w:tcPr>
            <w:tcW w:w="5016" w:type="dxa"/>
            <w:tcBorders>
              <w:top w:val="nil"/>
              <w:left w:val="nil"/>
              <w:bottom w:val="nil"/>
              <w:right w:val="nil"/>
            </w:tcBorders>
            <w:shd w:val="clear" w:color="auto" w:fill="auto"/>
            <w:noWrap/>
            <w:vAlign w:val="bottom"/>
            <w:hideMark/>
          </w:tcPr>
          <w:p w14:paraId="73BE30D8"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r w:rsidRPr="002802A9">
              <w:rPr>
                <w:rFonts w:ascii="Times New Roman" w:eastAsia="Times New Roman" w:hAnsi="Times New Roman" w:cs="Times New Roman"/>
                <w:color w:val="000000"/>
                <w:szCs w:val="21"/>
                <w:lang w:eastAsia="en-GB"/>
              </w:rPr>
              <w:t>Debt repayment (original debt) (ref: no debt)</w:t>
            </w:r>
          </w:p>
        </w:tc>
        <w:tc>
          <w:tcPr>
            <w:tcW w:w="711" w:type="dxa"/>
            <w:tcBorders>
              <w:top w:val="nil"/>
              <w:left w:val="nil"/>
              <w:bottom w:val="nil"/>
              <w:right w:val="nil"/>
            </w:tcBorders>
            <w:shd w:val="clear" w:color="auto" w:fill="auto"/>
            <w:noWrap/>
            <w:vAlign w:val="bottom"/>
            <w:hideMark/>
          </w:tcPr>
          <w:p w14:paraId="6264D603"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p>
        </w:tc>
        <w:tc>
          <w:tcPr>
            <w:tcW w:w="601" w:type="dxa"/>
            <w:tcBorders>
              <w:top w:val="nil"/>
              <w:left w:val="nil"/>
              <w:bottom w:val="nil"/>
              <w:right w:val="nil"/>
            </w:tcBorders>
            <w:shd w:val="clear" w:color="auto" w:fill="auto"/>
            <w:noWrap/>
            <w:vAlign w:val="bottom"/>
            <w:hideMark/>
          </w:tcPr>
          <w:p w14:paraId="5173218E"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72" w:type="dxa"/>
            <w:tcBorders>
              <w:top w:val="nil"/>
              <w:left w:val="nil"/>
              <w:bottom w:val="nil"/>
              <w:right w:val="nil"/>
            </w:tcBorders>
            <w:shd w:val="clear" w:color="auto" w:fill="auto"/>
            <w:noWrap/>
            <w:vAlign w:val="bottom"/>
            <w:hideMark/>
          </w:tcPr>
          <w:p w14:paraId="48DB3713"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hideMark/>
          </w:tcPr>
          <w:p w14:paraId="1CDCC2B9"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hideMark/>
          </w:tcPr>
          <w:p w14:paraId="5C26FF7C"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hideMark/>
          </w:tcPr>
          <w:p w14:paraId="5F240E70"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566" w:type="dxa"/>
            <w:tcBorders>
              <w:top w:val="nil"/>
              <w:left w:val="nil"/>
              <w:bottom w:val="nil"/>
              <w:right w:val="nil"/>
            </w:tcBorders>
            <w:shd w:val="clear" w:color="auto" w:fill="auto"/>
            <w:noWrap/>
            <w:vAlign w:val="bottom"/>
            <w:hideMark/>
          </w:tcPr>
          <w:p w14:paraId="054AC917"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30" w:type="dxa"/>
            <w:tcBorders>
              <w:top w:val="nil"/>
              <w:left w:val="nil"/>
              <w:bottom w:val="nil"/>
              <w:right w:val="nil"/>
            </w:tcBorders>
            <w:shd w:val="clear" w:color="auto" w:fill="auto"/>
            <w:noWrap/>
            <w:vAlign w:val="bottom"/>
            <w:hideMark/>
          </w:tcPr>
          <w:p w14:paraId="21112823"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416" w:type="dxa"/>
            <w:tcBorders>
              <w:top w:val="nil"/>
              <w:left w:val="nil"/>
              <w:bottom w:val="nil"/>
              <w:right w:val="nil"/>
            </w:tcBorders>
            <w:shd w:val="clear" w:color="auto" w:fill="auto"/>
            <w:noWrap/>
            <w:vAlign w:val="bottom"/>
            <w:hideMark/>
          </w:tcPr>
          <w:p w14:paraId="2A3D83B5"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hideMark/>
          </w:tcPr>
          <w:p w14:paraId="14F28B0D"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hideMark/>
          </w:tcPr>
          <w:p w14:paraId="37CD3276"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566" w:type="dxa"/>
            <w:tcBorders>
              <w:top w:val="nil"/>
              <w:left w:val="nil"/>
              <w:bottom w:val="nil"/>
              <w:right w:val="nil"/>
            </w:tcBorders>
            <w:shd w:val="clear" w:color="auto" w:fill="auto"/>
            <w:noWrap/>
            <w:vAlign w:val="bottom"/>
            <w:hideMark/>
          </w:tcPr>
          <w:p w14:paraId="5615B04F"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30" w:type="dxa"/>
            <w:tcBorders>
              <w:top w:val="nil"/>
              <w:left w:val="nil"/>
              <w:bottom w:val="nil"/>
              <w:right w:val="nil"/>
            </w:tcBorders>
            <w:shd w:val="clear" w:color="auto" w:fill="auto"/>
            <w:noWrap/>
            <w:vAlign w:val="bottom"/>
            <w:hideMark/>
          </w:tcPr>
          <w:p w14:paraId="19199F91"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416" w:type="dxa"/>
            <w:tcBorders>
              <w:top w:val="nil"/>
              <w:left w:val="nil"/>
              <w:bottom w:val="nil"/>
              <w:right w:val="nil"/>
            </w:tcBorders>
            <w:shd w:val="clear" w:color="auto" w:fill="auto"/>
            <w:noWrap/>
            <w:vAlign w:val="bottom"/>
            <w:hideMark/>
          </w:tcPr>
          <w:p w14:paraId="070B417D"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r>
      <w:tr w:rsidR="00F92A14" w:rsidRPr="002802A9" w14:paraId="7B74FE83" w14:textId="77777777" w:rsidTr="00F92A14">
        <w:trPr>
          <w:trHeight w:val="288"/>
          <w:jc w:val="center"/>
        </w:trPr>
        <w:tc>
          <w:tcPr>
            <w:tcW w:w="5016" w:type="dxa"/>
            <w:tcBorders>
              <w:top w:val="nil"/>
              <w:left w:val="nil"/>
              <w:bottom w:val="nil"/>
              <w:right w:val="nil"/>
            </w:tcBorders>
            <w:shd w:val="clear" w:color="auto" w:fill="auto"/>
            <w:noWrap/>
            <w:vAlign w:val="center"/>
          </w:tcPr>
          <w:p w14:paraId="77F71BA8" w14:textId="77777777" w:rsidR="00F92A14" w:rsidRPr="002802A9" w:rsidRDefault="00F92A14" w:rsidP="00F92A14">
            <w:pPr>
              <w:spacing w:after="0" w:line="240" w:lineRule="auto"/>
              <w:ind w:firstLineChars="100" w:firstLine="112"/>
              <w:rPr>
                <w:rFonts w:ascii="Times New Roman" w:eastAsia="Times New Roman" w:hAnsi="Times New Roman" w:cs="Times New Roman"/>
                <w:color w:val="000000"/>
                <w:szCs w:val="21"/>
                <w:lang w:eastAsia="en-GB"/>
              </w:rPr>
            </w:pPr>
            <w:r w:rsidRPr="002802A9">
              <w:rPr>
                <w:rFonts w:ascii="Times New Roman" w:eastAsia="Times New Roman" w:hAnsi="Times New Roman" w:cs="Times New Roman"/>
                <w:color w:val="000000"/>
                <w:szCs w:val="21"/>
                <w:lang w:eastAsia="en-GB"/>
              </w:rPr>
              <w:t>£1 - £4,999</w:t>
            </w:r>
          </w:p>
        </w:tc>
        <w:tc>
          <w:tcPr>
            <w:tcW w:w="711" w:type="dxa"/>
            <w:tcBorders>
              <w:top w:val="nil"/>
              <w:left w:val="nil"/>
              <w:bottom w:val="nil"/>
              <w:right w:val="nil"/>
            </w:tcBorders>
            <w:shd w:val="clear" w:color="auto" w:fill="auto"/>
            <w:noWrap/>
            <w:vAlign w:val="bottom"/>
          </w:tcPr>
          <w:p w14:paraId="5DECF590" w14:textId="77777777" w:rsidR="00F92A14" w:rsidRPr="000611FC" w:rsidRDefault="00F92A14" w:rsidP="00F92A14">
            <w:pPr>
              <w:spacing w:after="0" w:line="240" w:lineRule="auto"/>
              <w:jc w:val="right"/>
              <w:rPr>
                <w:rFonts w:ascii="Times New Roman" w:eastAsia="Times New Roman" w:hAnsi="Times New Roman" w:cs="Times New Roman"/>
                <w:color w:val="000000"/>
                <w:sz w:val="20"/>
              </w:rPr>
            </w:pPr>
            <w:r w:rsidRPr="000611FC">
              <w:rPr>
                <w:rFonts w:ascii="Times New Roman" w:hAnsi="Times New Roman" w:cs="Times New Roman"/>
                <w:color w:val="000000"/>
                <w:sz w:val="20"/>
              </w:rPr>
              <w:t>-0.39</w:t>
            </w:r>
          </w:p>
        </w:tc>
        <w:tc>
          <w:tcPr>
            <w:tcW w:w="601" w:type="dxa"/>
            <w:tcBorders>
              <w:top w:val="nil"/>
              <w:left w:val="nil"/>
              <w:bottom w:val="nil"/>
              <w:right w:val="nil"/>
            </w:tcBorders>
            <w:shd w:val="clear" w:color="auto" w:fill="auto"/>
            <w:noWrap/>
            <w:vAlign w:val="bottom"/>
          </w:tcPr>
          <w:p w14:paraId="66958720" w14:textId="77777777" w:rsidR="00F92A14" w:rsidRPr="000611FC" w:rsidRDefault="00F92A14" w:rsidP="00F92A14">
            <w:pPr>
              <w:spacing w:after="0" w:line="240" w:lineRule="auto"/>
              <w:jc w:val="right"/>
              <w:rPr>
                <w:rFonts w:ascii="Times New Roman" w:hAnsi="Times New Roman" w:cs="Times New Roman"/>
                <w:color w:val="000000"/>
                <w:sz w:val="20"/>
              </w:rPr>
            </w:pPr>
            <w:r w:rsidRPr="000611FC">
              <w:rPr>
                <w:rFonts w:ascii="Times New Roman" w:hAnsi="Times New Roman" w:cs="Times New Roman"/>
                <w:color w:val="000000"/>
                <w:sz w:val="20"/>
              </w:rPr>
              <w:t>0.32</w:t>
            </w:r>
          </w:p>
        </w:tc>
        <w:tc>
          <w:tcPr>
            <w:tcW w:w="772" w:type="dxa"/>
            <w:tcBorders>
              <w:top w:val="nil"/>
              <w:left w:val="nil"/>
              <w:bottom w:val="nil"/>
              <w:right w:val="nil"/>
            </w:tcBorders>
            <w:shd w:val="clear" w:color="auto" w:fill="auto"/>
            <w:noWrap/>
            <w:vAlign w:val="bottom"/>
          </w:tcPr>
          <w:p w14:paraId="116DD375" w14:textId="77777777" w:rsidR="00F92A14" w:rsidRPr="000611FC" w:rsidRDefault="00F92A14" w:rsidP="00F92A14">
            <w:pPr>
              <w:spacing w:after="0" w:line="240" w:lineRule="auto"/>
              <w:jc w:val="right"/>
              <w:rPr>
                <w:rFonts w:ascii="Times New Roman" w:hAnsi="Times New Roman" w:cs="Times New Roman"/>
                <w:color w:val="000000"/>
                <w:sz w:val="20"/>
              </w:rPr>
            </w:pPr>
            <w:r w:rsidRPr="000611FC">
              <w:rPr>
                <w:rFonts w:ascii="Times New Roman" w:hAnsi="Times New Roman" w:cs="Times New Roman"/>
                <w:color w:val="000000"/>
                <w:sz w:val="20"/>
              </w:rPr>
              <w:t>0.68</w:t>
            </w:r>
          </w:p>
        </w:tc>
        <w:tc>
          <w:tcPr>
            <w:tcW w:w="542" w:type="dxa"/>
            <w:gridSpan w:val="2"/>
            <w:tcBorders>
              <w:top w:val="nil"/>
              <w:left w:val="nil"/>
              <w:bottom w:val="nil"/>
              <w:right w:val="nil"/>
            </w:tcBorders>
            <w:shd w:val="clear" w:color="auto" w:fill="auto"/>
            <w:noWrap/>
            <w:vAlign w:val="bottom"/>
          </w:tcPr>
          <w:p w14:paraId="3D55FA82"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p>
        </w:tc>
        <w:tc>
          <w:tcPr>
            <w:tcW w:w="666" w:type="dxa"/>
            <w:tcBorders>
              <w:top w:val="nil"/>
              <w:left w:val="nil"/>
              <w:bottom w:val="nil"/>
              <w:right w:val="nil"/>
            </w:tcBorders>
            <w:shd w:val="clear" w:color="auto" w:fill="auto"/>
            <w:noWrap/>
            <w:vAlign w:val="bottom"/>
          </w:tcPr>
          <w:p w14:paraId="26782040" w14:textId="77777777" w:rsidR="00F92A14" w:rsidRPr="000611FC" w:rsidRDefault="00F92A14" w:rsidP="00F92A14">
            <w:pPr>
              <w:spacing w:after="0" w:line="240" w:lineRule="auto"/>
              <w:jc w:val="right"/>
              <w:rPr>
                <w:rFonts w:ascii="Times New Roman" w:eastAsia="Times New Roman" w:hAnsi="Times New Roman" w:cs="Times New Roman"/>
                <w:color w:val="000000"/>
                <w:sz w:val="20"/>
              </w:rPr>
            </w:pPr>
            <w:r w:rsidRPr="000611FC">
              <w:rPr>
                <w:rFonts w:ascii="Times New Roman" w:hAnsi="Times New Roman" w:cs="Times New Roman"/>
                <w:color w:val="000000"/>
                <w:sz w:val="20"/>
              </w:rPr>
              <w:t>-0.50</w:t>
            </w:r>
          </w:p>
        </w:tc>
        <w:tc>
          <w:tcPr>
            <w:tcW w:w="566" w:type="dxa"/>
            <w:tcBorders>
              <w:top w:val="nil"/>
              <w:left w:val="nil"/>
              <w:bottom w:val="nil"/>
              <w:right w:val="nil"/>
            </w:tcBorders>
            <w:shd w:val="clear" w:color="auto" w:fill="auto"/>
            <w:noWrap/>
            <w:vAlign w:val="bottom"/>
          </w:tcPr>
          <w:p w14:paraId="6979F49D" w14:textId="77777777" w:rsidR="00F92A14" w:rsidRPr="000611FC" w:rsidRDefault="00F92A14" w:rsidP="00F92A14">
            <w:pPr>
              <w:spacing w:after="0" w:line="240" w:lineRule="auto"/>
              <w:jc w:val="right"/>
              <w:rPr>
                <w:rFonts w:ascii="Times New Roman" w:hAnsi="Times New Roman" w:cs="Times New Roman"/>
                <w:color w:val="000000"/>
                <w:sz w:val="20"/>
              </w:rPr>
            </w:pPr>
            <w:r w:rsidRPr="000611FC">
              <w:rPr>
                <w:rFonts w:ascii="Times New Roman" w:hAnsi="Times New Roman" w:cs="Times New Roman"/>
                <w:color w:val="000000"/>
                <w:sz w:val="20"/>
              </w:rPr>
              <w:t>0.32</w:t>
            </w:r>
          </w:p>
        </w:tc>
        <w:tc>
          <w:tcPr>
            <w:tcW w:w="730" w:type="dxa"/>
            <w:tcBorders>
              <w:top w:val="nil"/>
              <w:left w:val="nil"/>
              <w:bottom w:val="nil"/>
              <w:right w:val="nil"/>
            </w:tcBorders>
            <w:shd w:val="clear" w:color="auto" w:fill="auto"/>
            <w:noWrap/>
            <w:vAlign w:val="bottom"/>
          </w:tcPr>
          <w:p w14:paraId="06AA222D" w14:textId="77777777" w:rsidR="00F92A14" w:rsidRPr="000611FC" w:rsidRDefault="00F92A14" w:rsidP="00F92A14">
            <w:pPr>
              <w:spacing w:after="0" w:line="240" w:lineRule="auto"/>
              <w:jc w:val="right"/>
              <w:rPr>
                <w:rFonts w:ascii="Times New Roman" w:hAnsi="Times New Roman" w:cs="Times New Roman"/>
                <w:color w:val="000000"/>
                <w:sz w:val="20"/>
              </w:rPr>
            </w:pPr>
            <w:r w:rsidRPr="000611FC">
              <w:rPr>
                <w:rFonts w:ascii="Times New Roman" w:hAnsi="Times New Roman" w:cs="Times New Roman"/>
                <w:color w:val="000000"/>
                <w:sz w:val="20"/>
              </w:rPr>
              <w:t>0.61</w:t>
            </w:r>
          </w:p>
        </w:tc>
        <w:tc>
          <w:tcPr>
            <w:tcW w:w="687" w:type="dxa"/>
            <w:gridSpan w:val="2"/>
            <w:tcBorders>
              <w:top w:val="nil"/>
              <w:left w:val="nil"/>
              <w:bottom w:val="nil"/>
              <w:right w:val="nil"/>
            </w:tcBorders>
            <w:shd w:val="clear" w:color="auto" w:fill="auto"/>
            <w:noWrap/>
            <w:vAlign w:val="bottom"/>
          </w:tcPr>
          <w:p w14:paraId="47EDC47B"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p>
        </w:tc>
        <w:tc>
          <w:tcPr>
            <w:tcW w:w="666" w:type="dxa"/>
            <w:tcBorders>
              <w:top w:val="nil"/>
              <w:left w:val="nil"/>
              <w:bottom w:val="nil"/>
              <w:right w:val="nil"/>
            </w:tcBorders>
            <w:shd w:val="clear" w:color="auto" w:fill="auto"/>
            <w:noWrap/>
            <w:vAlign w:val="bottom"/>
          </w:tcPr>
          <w:p w14:paraId="07977C00" w14:textId="77777777" w:rsidR="00F92A14" w:rsidRPr="009C6105" w:rsidRDefault="00F92A14" w:rsidP="00F92A14">
            <w:pPr>
              <w:spacing w:after="0" w:line="240" w:lineRule="auto"/>
              <w:jc w:val="right"/>
              <w:rPr>
                <w:rFonts w:ascii="Times New Roman" w:eastAsia="Times New Roman" w:hAnsi="Times New Roman" w:cs="Times New Roman"/>
                <w:color w:val="000000"/>
                <w:sz w:val="20"/>
              </w:rPr>
            </w:pPr>
            <w:r w:rsidRPr="009C6105">
              <w:rPr>
                <w:rFonts w:ascii="Times New Roman" w:hAnsi="Times New Roman" w:cs="Times New Roman"/>
                <w:color w:val="000000"/>
                <w:sz w:val="20"/>
              </w:rPr>
              <w:t>-0.54</w:t>
            </w:r>
          </w:p>
        </w:tc>
        <w:tc>
          <w:tcPr>
            <w:tcW w:w="566" w:type="dxa"/>
            <w:tcBorders>
              <w:top w:val="nil"/>
              <w:left w:val="nil"/>
              <w:bottom w:val="nil"/>
              <w:right w:val="nil"/>
            </w:tcBorders>
            <w:shd w:val="clear" w:color="auto" w:fill="auto"/>
            <w:noWrap/>
            <w:vAlign w:val="bottom"/>
          </w:tcPr>
          <w:p w14:paraId="597CD341" w14:textId="77777777" w:rsidR="00F92A14" w:rsidRPr="009C6105" w:rsidRDefault="00F92A14" w:rsidP="00F92A14">
            <w:pPr>
              <w:spacing w:after="0" w:line="240" w:lineRule="auto"/>
              <w:jc w:val="right"/>
              <w:rPr>
                <w:rFonts w:ascii="Times New Roman" w:hAnsi="Times New Roman" w:cs="Times New Roman"/>
                <w:color w:val="000000"/>
                <w:sz w:val="20"/>
              </w:rPr>
            </w:pPr>
            <w:r w:rsidRPr="009C6105">
              <w:rPr>
                <w:rFonts w:ascii="Times New Roman" w:hAnsi="Times New Roman" w:cs="Times New Roman"/>
                <w:color w:val="000000"/>
                <w:sz w:val="20"/>
              </w:rPr>
              <w:t>0.35</w:t>
            </w:r>
          </w:p>
        </w:tc>
        <w:tc>
          <w:tcPr>
            <w:tcW w:w="730" w:type="dxa"/>
            <w:tcBorders>
              <w:top w:val="nil"/>
              <w:left w:val="nil"/>
              <w:bottom w:val="nil"/>
              <w:right w:val="nil"/>
            </w:tcBorders>
            <w:shd w:val="clear" w:color="auto" w:fill="auto"/>
            <w:noWrap/>
            <w:vAlign w:val="bottom"/>
          </w:tcPr>
          <w:p w14:paraId="24C15ADA" w14:textId="77777777" w:rsidR="00F92A14" w:rsidRPr="009C6105" w:rsidRDefault="00F92A14" w:rsidP="00F92A14">
            <w:pPr>
              <w:spacing w:after="0" w:line="240" w:lineRule="auto"/>
              <w:jc w:val="right"/>
              <w:rPr>
                <w:rFonts w:ascii="Times New Roman" w:hAnsi="Times New Roman" w:cs="Times New Roman"/>
                <w:color w:val="000000"/>
                <w:sz w:val="20"/>
              </w:rPr>
            </w:pPr>
            <w:r w:rsidRPr="009C6105">
              <w:rPr>
                <w:rFonts w:ascii="Times New Roman" w:hAnsi="Times New Roman" w:cs="Times New Roman"/>
                <w:color w:val="000000"/>
                <w:sz w:val="20"/>
              </w:rPr>
              <w:t>0.58</w:t>
            </w:r>
          </w:p>
        </w:tc>
        <w:tc>
          <w:tcPr>
            <w:tcW w:w="416" w:type="dxa"/>
            <w:tcBorders>
              <w:top w:val="nil"/>
              <w:left w:val="nil"/>
              <w:bottom w:val="nil"/>
              <w:right w:val="nil"/>
            </w:tcBorders>
            <w:shd w:val="clear" w:color="auto" w:fill="auto"/>
            <w:noWrap/>
            <w:vAlign w:val="bottom"/>
          </w:tcPr>
          <w:p w14:paraId="28C728CD" w14:textId="77777777" w:rsidR="00F92A14" w:rsidRPr="002802A9" w:rsidRDefault="00F92A14" w:rsidP="00F92A14">
            <w:pPr>
              <w:spacing w:after="0" w:line="240" w:lineRule="auto"/>
              <w:jc w:val="right"/>
              <w:rPr>
                <w:rFonts w:ascii="Times New Roman" w:eastAsia="Times New Roman" w:hAnsi="Times New Roman" w:cs="Times New Roman"/>
                <w:color w:val="000000"/>
                <w:szCs w:val="21"/>
                <w:lang w:eastAsia="en-GB"/>
              </w:rPr>
            </w:pPr>
          </w:p>
        </w:tc>
      </w:tr>
      <w:tr w:rsidR="00F92A14" w:rsidRPr="002802A9" w14:paraId="365168E8" w14:textId="77777777" w:rsidTr="00F92A14">
        <w:trPr>
          <w:trHeight w:val="288"/>
          <w:jc w:val="center"/>
        </w:trPr>
        <w:tc>
          <w:tcPr>
            <w:tcW w:w="5016" w:type="dxa"/>
            <w:tcBorders>
              <w:top w:val="nil"/>
              <w:left w:val="nil"/>
              <w:bottom w:val="nil"/>
              <w:right w:val="nil"/>
            </w:tcBorders>
            <w:shd w:val="clear" w:color="auto" w:fill="auto"/>
            <w:noWrap/>
            <w:vAlign w:val="center"/>
          </w:tcPr>
          <w:p w14:paraId="5254D0B7" w14:textId="77777777" w:rsidR="00F92A14" w:rsidRPr="002802A9" w:rsidRDefault="00F92A14" w:rsidP="00F92A14">
            <w:pPr>
              <w:spacing w:after="0" w:line="240" w:lineRule="auto"/>
              <w:ind w:firstLineChars="100" w:firstLine="112"/>
              <w:rPr>
                <w:rFonts w:ascii="Times New Roman" w:eastAsia="Times New Roman" w:hAnsi="Times New Roman" w:cs="Times New Roman"/>
                <w:color w:val="000000"/>
                <w:szCs w:val="21"/>
                <w:lang w:eastAsia="en-GB"/>
              </w:rPr>
            </w:pPr>
            <w:r w:rsidRPr="002802A9">
              <w:rPr>
                <w:rFonts w:ascii="Times New Roman" w:eastAsia="Times New Roman" w:hAnsi="Times New Roman" w:cs="Times New Roman"/>
                <w:color w:val="000000"/>
                <w:szCs w:val="21"/>
                <w:lang w:eastAsia="en-GB"/>
              </w:rPr>
              <w:t>£5,000 - £9,999</w:t>
            </w:r>
          </w:p>
        </w:tc>
        <w:tc>
          <w:tcPr>
            <w:tcW w:w="711" w:type="dxa"/>
            <w:tcBorders>
              <w:top w:val="nil"/>
              <w:left w:val="nil"/>
              <w:bottom w:val="nil"/>
              <w:right w:val="nil"/>
            </w:tcBorders>
            <w:shd w:val="clear" w:color="auto" w:fill="auto"/>
            <w:noWrap/>
            <w:vAlign w:val="bottom"/>
          </w:tcPr>
          <w:p w14:paraId="1AD7D054" w14:textId="77777777" w:rsidR="00F92A14" w:rsidRPr="000611FC" w:rsidRDefault="00F92A14" w:rsidP="00F92A14">
            <w:pPr>
              <w:spacing w:after="0" w:line="240" w:lineRule="auto"/>
              <w:jc w:val="right"/>
              <w:rPr>
                <w:rFonts w:ascii="Times New Roman" w:hAnsi="Times New Roman" w:cs="Times New Roman"/>
                <w:color w:val="000000"/>
                <w:sz w:val="20"/>
              </w:rPr>
            </w:pPr>
            <w:r w:rsidRPr="000611FC">
              <w:rPr>
                <w:rFonts w:ascii="Times New Roman" w:hAnsi="Times New Roman" w:cs="Times New Roman"/>
                <w:color w:val="000000"/>
                <w:sz w:val="20"/>
              </w:rPr>
              <w:t>-0.12</w:t>
            </w:r>
          </w:p>
        </w:tc>
        <w:tc>
          <w:tcPr>
            <w:tcW w:w="601" w:type="dxa"/>
            <w:tcBorders>
              <w:top w:val="nil"/>
              <w:left w:val="nil"/>
              <w:bottom w:val="nil"/>
              <w:right w:val="nil"/>
            </w:tcBorders>
            <w:shd w:val="clear" w:color="auto" w:fill="auto"/>
            <w:noWrap/>
            <w:vAlign w:val="bottom"/>
          </w:tcPr>
          <w:p w14:paraId="645FE3CE" w14:textId="77777777" w:rsidR="00F92A14" w:rsidRPr="000611FC" w:rsidRDefault="00F92A14" w:rsidP="00F92A14">
            <w:pPr>
              <w:spacing w:after="0" w:line="240" w:lineRule="auto"/>
              <w:jc w:val="right"/>
              <w:rPr>
                <w:rFonts w:ascii="Times New Roman" w:hAnsi="Times New Roman" w:cs="Times New Roman"/>
                <w:color w:val="000000"/>
                <w:sz w:val="20"/>
              </w:rPr>
            </w:pPr>
            <w:r w:rsidRPr="000611FC">
              <w:rPr>
                <w:rFonts w:ascii="Times New Roman" w:hAnsi="Times New Roman" w:cs="Times New Roman"/>
                <w:color w:val="000000"/>
                <w:sz w:val="20"/>
              </w:rPr>
              <w:t>0.20</w:t>
            </w:r>
          </w:p>
        </w:tc>
        <w:tc>
          <w:tcPr>
            <w:tcW w:w="772" w:type="dxa"/>
            <w:tcBorders>
              <w:top w:val="nil"/>
              <w:left w:val="nil"/>
              <w:bottom w:val="nil"/>
              <w:right w:val="nil"/>
            </w:tcBorders>
            <w:shd w:val="clear" w:color="auto" w:fill="auto"/>
            <w:noWrap/>
            <w:vAlign w:val="bottom"/>
          </w:tcPr>
          <w:p w14:paraId="4DB34601" w14:textId="77777777" w:rsidR="00F92A14" w:rsidRPr="000611FC" w:rsidRDefault="00F92A14" w:rsidP="00F92A14">
            <w:pPr>
              <w:spacing w:after="0" w:line="240" w:lineRule="auto"/>
              <w:jc w:val="right"/>
              <w:rPr>
                <w:rFonts w:ascii="Times New Roman" w:hAnsi="Times New Roman" w:cs="Times New Roman"/>
                <w:color w:val="000000"/>
                <w:sz w:val="20"/>
              </w:rPr>
            </w:pPr>
            <w:r w:rsidRPr="000611FC">
              <w:rPr>
                <w:rFonts w:ascii="Times New Roman" w:hAnsi="Times New Roman" w:cs="Times New Roman"/>
                <w:color w:val="000000"/>
                <w:sz w:val="20"/>
              </w:rPr>
              <w:t>0.89</w:t>
            </w:r>
          </w:p>
        </w:tc>
        <w:tc>
          <w:tcPr>
            <w:tcW w:w="542" w:type="dxa"/>
            <w:gridSpan w:val="2"/>
            <w:tcBorders>
              <w:top w:val="nil"/>
              <w:left w:val="nil"/>
              <w:bottom w:val="nil"/>
              <w:right w:val="nil"/>
            </w:tcBorders>
            <w:shd w:val="clear" w:color="auto" w:fill="auto"/>
            <w:noWrap/>
            <w:vAlign w:val="bottom"/>
          </w:tcPr>
          <w:p w14:paraId="71916AFA"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p>
        </w:tc>
        <w:tc>
          <w:tcPr>
            <w:tcW w:w="666" w:type="dxa"/>
            <w:tcBorders>
              <w:top w:val="nil"/>
              <w:left w:val="nil"/>
              <w:bottom w:val="nil"/>
              <w:right w:val="nil"/>
            </w:tcBorders>
            <w:shd w:val="clear" w:color="auto" w:fill="auto"/>
            <w:noWrap/>
            <w:vAlign w:val="bottom"/>
          </w:tcPr>
          <w:p w14:paraId="72C1F81F" w14:textId="77777777" w:rsidR="00F92A14" w:rsidRPr="000611FC" w:rsidRDefault="00F92A14" w:rsidP="00F92A14">
            <w:pPr>
              <w:spacing w:after="0" w:line="240" w:lineRule="auto"/>
              <w:jc w:val="right"/>
              <w:rPr>
                <w:rFonts w:ascii="Times New Roman" w:hAnsi="Times New Roman" w:cs="Times New Roman"/>
                <w:color w:val="000000"/>
                <w:sz w:val="20"/>
              </w:rPr>
            </w:pPr>
            <w:r w:rsidRPr="000611FC">
              <w:rPr>
                <w:rFonts w:ascii="Times New Roman" w:hAnsi="Times New Roman" w:cs="Times New Roman"/>
                <w:color w:val="000000"/>
                <w:sz w:val="20"/>
              </w:rPr>
              <w:t>-0.12</w:t>
            </w:r>
          </w:p>
        </w:tc>
        <w:tc>
          <w:tcPr>
            <w:tcW w:w="566" w:type="dxa"/>
            <w:tcBorders>
              <w:top w:val="nil"/>
              <w:left w:val="nil"/>
              <w:bottom w:val="nil"/>
              <w:right w:val="nil"/>
            </w:tcBorders>
            <w:shd w:val="clear" w:color="auto" w:fill="auto"/>
            <w:noWrap/>
            <w:vAlign w:val="bottom"/>
          </w:tcPr>
          <w:p w14:paraId="1658AE7B" w14:textId="77777777" w:rsidR="00F92A14" w:rsidRPr="000611FC" w:rsidRDefault="00F92A14" w:rsidP="00F92A14">
            <w:pPr>
              <w:spacing w:after="0" w:line="240" w:lineRule="auto"/>
              <w:jc w:val="right"/>
              <w:rPr>
                <w:rFonts w:ascii="Times New Roman" w:hAnsi="Times New Roman" w:cs="Times New Roman"/>
                <w:color w:val="000000"/>
                <w:sz w:val="20"/>
              </w:rPr>
            </w:pPr>
            <w:r w:rsidRPr="000611FC">
              <w:rPr>
                <w:rFonts w:ascii="Times New Roman" w:hAnsi="Times New Roman" w:cs="Times New Roman"/>
                <w:color w:val="000000"/>
                <w:sz w:val="20"/>
              </w:rPr>
              <w:t>0.21</w:t>
            </w:r>
          </w:p>
        </w:tc>
        <w:tc>
          <w:tcPr>
            <w:tcW w:w="730" w:type="dxa"/>
            <w:tcBorders>
              <w:top w:val="nil"/>
              <w:left w:val="nil"/>
              <w:bottom w:val="nil"/>
              <w:right w:val="nil"/>
            </w:tcBorders>
            <w:shd w:val="clear" w:color="auto" w:fill="auto"/>
            <w:noWrap/>
            <w:vAlign w:val="bottom"/>
          </w:tcPr>
          <w:p w14:paraId="632A69D7" w14:textId="77777777" w:rsidR="00F92A14" w:rsidRPr="000611FC" w:rsidRDefault="00F92A14" w:rsidP="00F92A14">
            <w:pPr>
              <w:spacing w:after="0" w:line="240" w:lineRule="auto"/>
              <w:jc w:val="right"/>
              <w:rPr>
                <w:rFonts w:ascii="Times New Roman" w:hAnsi="Times New Roman" w:cs="Times New Roman"/>
                <w:color w:val="000000"/>
                <w:sz w:val="20"/>
              </w:rPr>
            </w:pPr>
            <w:r w:rsidRPr="000611FC">
              <w:rPr>
                <w:rFonts w:ascii="Times New Roman" w:hAnsi="Times New Roman" w:cs="Times New Roman"/>
                <w:color w:val="000000"/>
                <w:sz w:val="20"/>
              </w:rPr>
              <w:t>0.89</w:t>
            </w:r>
          </w:p>
        </w:tc>
        <w:tc>
          <w:tcPr>
            <w:tcW w:w="687" w:type="dxa"/>
            <w:gridSpan w:val="2"/>
            <w:tcBorders>
              <w:top w:val="nil"/>
              <w:left w:val="nil"/>
              <w:bottom w:val="nil"/>
              <w:right w:val="nil"/>
            </w:tcBorders>
            <w:shd w:val="clear" w:color="auto" w:fill="auto"/>
            <w:noWrap/>
            <w:vAlign w:val="bottom"/>
          </w:tcPr>
          <w:p w14:paraId="6D2B500B"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p>
        </w:tc>
        <w:tc>
          <w:tcPr>
            <w:tcW w:w="666" w:type="dxa"/>
            <w:tcBorders>
              <w:top w:val="nil"/>
              <w:left w:val="nil"/>
              <w:bottom w:val="nil"/>
              <w:right w:val="nil"/>
            </w:tcBorders>
            <w:shd w:val="clear" w:color="auto" w:fill="auto"/>
            <w:noWrap/>
            <w:vAlign w:val="bottom"/>
          </w:tcPr>
          <w:p w14:paraId="31AAA843" w14:textId="77777777" w:rsidR="00F92A14" w:rsidRPr="009C6105" w:rsidRDefault="00F92A14" w:rsidP="00F92A14">
            <w:pPr>
              <w:spacing w:after="0" w:line="240" w:lineRule="auto"/>
              <w:jc w:val="right"/>
              <w:rPr>
                <w:rFonts w:ascii="Times New Roman" w:hAnsi="Times New Roman" w:cs="Times New Roman"/>
                <w:color w:val="000000"/>
                <w:sz w:val="20"/>
              </w:rPr>
            </w:pPr>
            <w:r w:rsidRPr="009C6105">
              <w:rPr>
                <w:rFonts w:ascii="Times New Roman" w:hAnsi="Times New Roman" w:cs="Times New Roman"/>
                <w:color w:val="000000"/>
                <w:sz w:val="20"/>
              </w:rPr>
              <w:t>-0.18</w:t>
            </w:r>
          </w:p>
        </w:tc>
        <w:tc>
          <w:tcPr>
            <w:tcW w:w="566" w:type="dxa"/>
            <w:tcBorders>
              <w:top w:val="nil"/>
              <w:left w:val="nil"/>
              <w:bottom w:val="nil"/>
              <w:right w:val="nil"/>
            </w:tcBorders>
            <w:shd w:val="clear" w:color="auto" w:fill="auto"/>
            <w:noWrap/>
            <w:vAlign w:val="bottom"/>
          </w:tcPr>
          <w:p w14:paraId="7B05EC53" w14:textId="77777777" w:rsidR="00F92A14" w:rsidRPr="009C6105" w:rsidRDefault="00F92A14" w:rsidP="00F92A14">
            <w:pPr>
              <w:spacing w:after="0" w:line="240" w:lineRule="auto"/>
              <w:jc w:val="right"/>
              <w:rPr>
                <w:rFonts w:ascii="Times New Roman" w:hAnsi="Times New Roman" w:cs="Times New Roman"/>
                <w:color w:val="000000"/>
                <w:sz w:val="20"/>
              </w:rPr>
            </w:pPr>
            <w:r w:rsidRPr="009C6105">
              <w:rPr>
                <w:rFonts w:ascii="Times New Roman" w:hAnsi="Times New Roman" w:cs="Times New Roman"/>
                <w:color w:val="000000"/>
                <w:sz w:val="20"/>
              </w:rPr>
              <w:t>0.23</w:t>
            </w:r>
          </w:p>
        </w:tc>
        <w:tc>
          <w:tcPr>
            <w:tcW w:w="730" w:type="dxa"/>
            <w:tcBorders>
              <w:top w:val="nil"/>
              <w:left w:val="nil"/>
              <w:bottom w:val="nil"/>
              <w:right w:val="nil"/>
            </w:tcBorders>
            <w:shd w:val="clear" w:color="auto" w:fill="auto"/>
            <w:noWrap/>
            <w:vAlign w:val="bottom"/>
          </w:tcPr>
          <w:p w14:paraId="2D483220" w14:textId="77777777" w:rsidR="00F92A14" w:rsidRPr="009C6105" w:rsidRDefault="00F92A14" w:rsidP="00F92A14">
            <w:pPr>
              <w:spacing w:after="0" w:line="240" w:lineRule="auto"/>
              <w:jc w:val="right"/>
              <w:rPr>
                <w:rFonts w:ascii="Times New Roman" w:hAnsi="Times New Roman" w:cs="Times New Roman"/>
                <w:color w:val="000000"/>
                <w:sz w:val="20"/>
              </w:rPr>
            </w:pPr>
            <w:r w:rsidRPr="009C6105">
              <w:rPr>
                <w:rFonts w:ascii="Times New Roman" w:hAnsi="Times New Roman" w:cs="Times New Roman"/>
                <w:color w:val="000000"/>
                <w:sz w:val="20"/>
              </w:rPr>
              <w:t>0.83</w:t>
            </w:r>
          </w:p>
        </w:tc>
        <w:tc>
          <w:tcPr>
            <w:tcW w:w="416" w:type="dxa"/>
            <w:tcBorders>
              <w:top w:val="nil"/>
              <w:left w:val="nil"/>
              <w:bottom w:val="nil"/>
              <w:right w:val="nil"/>
            </w:tcBorders>
            <w:shd w:val="clear" w:color="auto" w:fill="auto"/>
            <w:noWrap/>
            <w:vAlign w:val="bottom"/>
          </w:tcPr>
          <w:p w14:paraId="45B7C6C6" w14:textId="77777777" w:rsidR="00F92A14" w:rsidRPr="002802A9" w:rsidRDefault="00F92A14" w:rsidP="00F92A14">
            <w:pPr>
              <w:spacing w:after="0" w:line="240" w:lineRule="auto"/>
              <w:jc w:val="right"/>
              <w:rPr>
                <w:rFonts w:ascii="Times New Roman" w:eastAsia="Times New Roman" w:hAnsi="Times New Roman" w:cs="Times New Roman"/>
                <w:color w:val="000000"/>
                <w:szCs w:val="21"/>
                <w:lang w:eastAsia="en-GB"/>
              </w:rPr>
            </w:pPr>
          </w:p>
        </w:tc>
      </w:tr>
      <w:tr w:rsidR="00F92A14" w:rsidRPr="002802A9" w14:paraId="0814C695" w14:textId="77777777" w:rsidTr="00F92A14">
        <w:trPr>
          <w:trHeight w:val="288"/>
          <w:jc w:val="center"/>
        </w:trPr>
        <w:tc>
          <w:tcPr>
            <w:tcW w:w="5016" w:type="dxa"/>
            <w:tcBorders>
              <w:top w:val="nil"/>
              <w:left w:val="nil"/>
              <w:bottom w:val="nil"/>
              <w:right w:val="nil"/>
            </w:tcBorders>
            <w:shd w:val="clear" w:color="auto" w:fill="auto"/>
            <w:noWrap/>
            <w:vAlign w:val="center"/>
          </w:tcPr>
          <w:p w14:paraId="6C3250FD" w14:textId="77777777" w:rsidR="00F92A14" w:rsidRPr="002802A9" w:rsidRDefault="00F92A14" w:rsidP="00F92A14">
            <w:pPr>
              <w:spacing w:after="0" w:line="240" w:lineRule="auto"/>
              <w:ind w:firstLineChars="100" w:firstLine="112"/>
              <w:rPr>
                <w:rFonts w:ascii="Times New Roman" w:eastAsia="Times New Roman" w:hAnsi="Times New Roman" w:cs="Times New Roman"/>
                <w:color w:val="000000"/>
                <w:szCs w:val="21"/>
                <w:lang w:eastAsia="en-GB"/>
              </w:rPr>
            </w:pPr>
            <w:r w:rsidRPr="002802A9">
              <w:rPr>
                <w:rFonts w:ascii="Times New Roman" w:eastAsia="Times New Roman" w:hAnsi="Times New Roman" w:cs="Times New Roman"/>
                <w:color w:val="000000"/>
                <w:szCs w:val="21"/>
                <w:lang w:eastAsia="en-GB"/>
              </w:rPr>
              <w:t>£10,000 - £14,999</w:t>
            </w:r>
          </w:p>
        </w:tc>
        <w:tc>
          <w:tcPr>
            <w:tcW w:w="711" w:type="dxa"/>
            <w:tcBorders>
              <w:top w:val="nil"/>
              <w:left w:val="nil"/>
              <w:bottom w:val="nil"/>
              <w:right w:val="nil"/>
            </w:tcBorders>
            <w:shd w:val="clear" w:color="auto" w:fill="auto"/>
            <w:noWrap/>
            <w:vAlign w:val="bottom"/>
          </w:tcPr>
          <w:p w14:paraId="6159E967" w14:textId="77777777" w:rsidR="00F92A14" w:rsidRPr="000611FC" w:rsidRDefault="00F92A14" w:rsidP="00F92A14">
            <w:pPr>
              <w:spacing w:after="0" w:line="240" w:lineRule="auto"/>
              <w:jc w:val="right"/>
              <w:rPr>
                <w:rFonts w:ascii="Times New Roman" w:hAnsi="Times New Roman" w:cs="Times New Roman"/>
                <w:color w:val="000000"/>
                <w:sz w:val="20"/>
              </w:rPr>
            </w:pPr>
            <w:r w:rsidRPr="000611FC">
              <w:rPr>
                <w:rFonts w:ascii="Times New Roman" w:hAnsi="Times New Roman" w:cs="Times New Roman"/>
                <w:color w:val="000000"/>
                <w:sz w:val="20"/>
              </w:rPr>
              <w:t>-0.05</w:t>
            </w:r>
          </w:p>
        </w:tc>
        <w:tc>
          <w:tcPr>
            <w:tcW w:w="601" w:type="dxa"/>
            <w:tcBorders>
              <w:top w:val="nil"/>
              <w:left w:val="nil"/>
              <w:bottom w:val="nil"/>
              <w:right w:val="nil"/>
            </w:tcBorders>
            <w:shd w:val="clear" w:color="auto" w:fill="auto"/>
            <w:noWrap/>
            <w:vAlign w:val="bottom"/>
          </w:tcPr>
          <w:p w14:paraId="515BF90C" w14:textId="77777777" w:rsidR="00F92A14" w:rsidRPr="000611FC" w:rsidRDefault="00F92A14" w:rsidP="00F92A14">
            <w:pPr>
              <w:spacing w:after="0" w:line="240" w:lineRule="auto"/>
              <w:jc w:val="right"/>
              <w:rPr>
                <w:rFonts w:ascii="Times New Roman" w:hAnsi="Times New Roman" w:cs="Times New Roman"/>
                <w:color w:val="000000"/>
                <w:sz w:val="20"/>
              </w:rPr>
            </w:pPr>
            <w:r w:rsidRPr="000611FC">
              <w:rPr>
                <w:rFonts w:ascii="Times New Roman" w:hAnsi="Times New Roman" w:cs="Times New Roman"/>
                <w:color w:val="000000"/>
                <w:sz w:val="20"/>
              </w:rPr>
              <w:t>0.16</w:t>
            </w:r>
          </w:p>
        </w:tc>
        <w:tc>
          <w:tcPr>
            <w:tcW w:w="772" w:type="dxa"/>
            <w:tcBorders>
              <w:top w:val="nil"/>
              <w:left w:val="nil"/>
              <w:bottom w:val="nil"/>
              <w:right w:val="nil"/>
            </w:tcBorders>
            <w:shd w:val="clear" w:color="auto" w:fill="auto"/>
            <w:noWrap/>
            <w:vAlign w:val="bottom"/>
          </w:tcPr>
          <w:p w14:paraId="506E1906" w14:textId="77777777" w:rsidR="00F92A14" w:rsidRPr="000611FC" w:rsidRDefault="00F92A14" w:rsidP="00F92A14">
            <w:pPr>
              <w:spacing w:after="0" w:line="240" w:lineRule="auto"/>
              <w:jc w:val="right"/>
              <w:rPr>
                <w:rFonts w:ascii="Times New Roman" w:hAnsi="Times New Roman" w:cs="Times New Roman"/>
                <w:color w:val="000000"/>
                <w:sz w:val="20"/>
              </w:rPr>
            </w:pPr>
            <w:r w:rsidRPr="000611FC">
              <w:rPr>
                <w:rFonts w:ascii="Times New Roman" w:hAnsi="Times New Roman" w:cs="Times New Roman"/>
                <w:color w:val="000000"/>
                <w:sz w:val="20"/>
              </w:rPr>
              <w:t>0.95</w:t>
            </w:r>
          </w:p>
        </w:tc>
        <w:tc>
          <w:tcPr>
            <w:tcW w:w="542" w:type="dxa"/>
            <w:gridSpan w:val="2"/>
            <w:tcBorders>
              <w:top w:val="nil"/>
              <w:left w:val="nil"/>
              <w:bottom w:val="nil"/>
              <w:right w:val="nil"/>
            </w:tcBorders>
            <w:shd w:val="clear" w:color="auto" w:fill="auto"/>
            <w:noWrap/>
            <w:vAlign w:val="bottom"/>
          </w:tcPr>
          <w:p w14:paraId="2AC2E8F4"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p>
        </w:tc>
        <w:tc>
          <w:tcPr>
            <w:tcW w:w="666" w:type="dxa"/>
            <w:tcBorders>
              <w:top w:val="nil"/>
              <w:left w:val="nil"/>
              <w:bottom w:val="nil"/>
              <w:right w:val="nil"/>
            </w:tcBorders>
            <w:shd w:val="clear" w:color="auto" w:fill="auto"/>
            <w:noWrap/>
            <w:vAlign w:val="bottom"/>
          </w:tcPr>
          <w:p w14:paraId="126F9017" w14:textId="77777777" w:rsidR="00F92A14" w:rsidRPr="000611FC" w:rsidRDefault="00F92A14" w:rsidP="00F92A14">
            <w:pPr>
              <w:spacing w:after="0" w:line="240" w:lineRule="auto"/>
              <w:jc w:val="right"/>
              <w:rPr>
                <w:rFonts w:ascii="Times New Roman" w:hAnsi="Times New Roman" w:cs="Times New Roman"/>
                <w:color w:val="000000"/>
                <w:sz w:val="20"/>
              </w:rPr>
            </w:pPr>
            <w:r w:rsidRPr="000611FC">
              <w:rPr>
                <w:rFonts w:ascii="Times New Roman" w:hAnsi="Times New Roman" w:cs="Times New Roman"/>
                <w:color w:val="000000"/>
                <w:sz w:val="20"/>
              </w:rPr>
              <w:t>-0.18</w:t>
            </w:r>
          </w:p>
        </w:tc>
        <w:tc>
          <w:tcPr>
            <w:tcW w:w="566" w:type="dxa"/>
            <w:tcBorders>
              <w:top w:val="nil"/>
              <w:left w:val="nil"/>
              <w:bottom w:val="nil"/>
              <w:right w:val="nil"/>
            </w:tcBorders>
            <w:shd w:val="clear" w:color="auto" w:fill="auto"/>
            <w:noWrap/>
            <w:vAlign w:val="bottom"/>
          </w:tcPr>
          <w:p w14:paraId="5CF785B7" w14:textId="77777777" w:rsidR="00F92A14" w:rsidRPr="000611FC" w:rsidRDefault="00F92A14" w:rsidP="00F92A14">
            <w:pPr>
              <w:spacing w:after="0" w:line="240" w:lineRule="auto"/>
              <w:jc w:val="right"/>
              <w:rPr>
                <w:rFonts w:ascii="Times New Roman" w:hAnsi="Times New Roman" w:cs="Times New Roman"/>
                <w:color w:val="000000"/>
                <w:sz w:val="20"/>
              </w:rPr>
            </w:pPr>
            <w:r w:rsidRPr="000611FC">
              <w:rPr>
                <w:rFonts w:ascii="Times New Roman" w:hAnsi="Times New Roman" w:cs="Times New Roman"/>
                <w:color w:val="000000"/>
                <w:sz w:val="20"/>
              </w:rPr>
              <w:t>0.16</w:t>
            </w:r>
          </w:p>
        </w:tc>
        <w:tc>
          <w:tcPr>
            <w:tcW w:w="730" w:type="dxa"/>
            <w:tcBorders>
              <w:top w:val="nil"/>
              <w:left w:val="nil"/>
              <w:bottom w:val="nil"/>
              <w:right w:val="nil"/>
            </w:tcBorders>
            <w:shd w:val="clear" w:color="auto" w:fill="auto"/>
            <w:noWrap/>
            <w:vAlign w:val="bottom"/>
          </w:tcPr>
          <w:p w14:paraId="1ED1A2A3" w14:textId="77777777" w:rsidR="00F92A14" w:rsidRPr="000611FC" w:rsidRDefault="00F92A14" w:rsidP="00F92A14">
            <w:pPr>
              <w:spacing w:after="0" w:line="240" w:lineRule="auto"/>
              <w:jc w:val="right"/>
              <w:rPr>
                <w:rFonts w:ascii="Times New Roman" w:hAnsi="Times New Roman" w:cs="Times New Roman"/>
                <w:color w:val="000000"/>
                <w:sz w:val="20"/>
              </w:rPr>
            </w:pPr>
            <w:r w:rsidRPr="000611FC">
              <w:rPr>
                <w:rFonts w:ascii="Times New Roman" w:hAnsi="Times New Roman" w:cs="Times New Roman"/>
                <w:color w:val="000000"/>
                <w:sz w:val="20"/>
              </w:rPr>
              <w:t>0.83</w:t>
            </w:r>
          </w:p>
        </w:tc>
        <w:tc>
          <w:tcPr>
            <w:tcW w:w="687" w:type="dxa"/>
            <w:gridSpan w:val="2"/>
            <w:tcBorders>
              <w:top w:val="nil"/>
              <w:left w:val="nil"/>
              <w:bottom w:val="nil"/>
              <w:right w:val="nil"/>
            </w:tcBorders>
            <w:shd w:val="clear" w:color="auto" w:fill="auto"/>
            <w:noWrap/>
            <w:vAlign w:val="bottom"/>
          </w:tcPr>
          <w:p w14:paraId="6B5902EE"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p>
        </w:tc>
        <w:tc>
          <w:tcPr>
            <w:tcW w:w="666" w:type="dxa"/>
            <w:tcBorders>
              <w:top w:val="nil"/>
              <w:left w:val="nil"/>
              <w:bottom w:val="nil"/>
              <w:right w:val="nil"/>
            </w:tcBorders>
            <w:shd w:val="clear" w:color="auto" w:fill="auto"/>
            <w:noWrap/>
            <w:vAlign w:val="bottom"/>
          </w:tcPr>
          <w:p w14:paraId="50D25BBF" w14:textId="77777777" w:rsidR="00F92A14" w:rsidRPr="009C6105" w:rsidRDefault="00F92A14" w:rsidP="00F92A14">
            <w:pPr>
              <w:spacing w:after="0" w:line="240" w:lineRule="auto"/>
              <w:jc w:val="right"/>
              <w:rPr>
                <w:rFonts w:ascii="Times New Roman" w:hAnsi="Times New Roman" w:cs="Times New Roman"/>
                <w:color w:val="000000"/>
                <w:sz w:val="20"/>
              </w:rPr>
            </w:pPr>
            <w:r w:rsidRPr="009C6105">
              <w:rPr>
                <w:rFonts w:ascii="Times New Roman" w:hAnsi="Times New Roman" w:cs="Times New Roman"/>
                <w:color w:val="000000"/>
                <w:sz w:val="20"/>
              </w:rPr>
              <w:t>-0.19</w:t>
            </w:r>
          </w:p>
        </w:tc>
        <w:tc>
          <w:tcPr>
            <w:tcW w:w="566" w:type="dxa"/>
            <w:tcBorders>
              <w:top w:val="nil"/>
              <w:left w:val="nil"/>
              <w:bottom w:val="nil"/>
              <w:right w:val="nil"/>
            </w:tcBorders>
            <w:shd w:val="clear" w:color="auto" w:fill="auto"/>
            <w:noWrap/>
            <w:vAlign w:val="bottom"/>
          </w:tcPr>
          <w:p w14:paraId="31168ED2" w14:textId="77777777" w:rsidR="00F92A14" w:rsidRPr="009C6105" w:rsidRDefault="00F92A14" w:rsidP="00F92A14">
            <w:pPr>
              <w:spacing w:after="0" w:line="240" w:lineRule="auto"/>
              <w:jc w:val="right"/>
              <w:rPr>
                <w:rFonts w:ascii="Times New Roman" w:hAnsi="Times New Roman" w:cs="Times New Roman"/>
                <w:color w:val="000000"/>
                <w:sz w:val="20"/>
              </w:rPr>
            </w:pPr>
            <w:r w:rsidRPr="009C6105">
              <w:rPr>
                <w:rFonts w:ascii="Times New Roman" w:hAnsi="Times New Roman" w:cs="Times New Roman"/>
                <w:color w:val="000000"/>
                <w:sz w:val="20"/>
              </w:rPr>
              <w:t>0.18</w:t>
            </w:r>
          </w:p>
        </w:tc>
        <w:tc>
          <w:tcPr>
            <w:tcW w:w="730" w:type="dxa"/>
            <w:tcBorders>
              <w:top w:val="nil"/>
              <w:left w:val="nil"/>
              <w:bottom w:val="nil"/>
              <w:right w:val="nil"/>
            </w:tcBorders>
            <w:shd w:val="clear" w:color="auto" w:fill="auto"/>
            <w:noWrap/>
            <w:vAlign w:val="bottom"/>
          </w:tcPr>
          <w:p w14:paraId="4971DF5C" w14:textId="77777777" w:rsidR="00F92A14" w:rsidRPr="009C6105" w:rsidRDefault="00F92A14" w:rsidP="00F92A14">
            <w:pPr>
              <w:spacing w:after="0" w:line="240" w:lineRule="auto"/>
              <w:jc w:val="right"/>
              <w:rPr>
                <w:rFonts w:ascii="Times New Roman" w:hAnsi="Times New Roman" w:cs="Times New Roman"/>
                <w:color w:val="000000"/>
                <w:sz w:val="20"/>
              </w:rPr>
            </w:pPr>
            <w:r w:rsidRPr="009C6105">
              <w:rPr>
                <w:rFonts w:ascii="Times New Roman" w:hAnsi="Times New Roman" w:cs="Times New Roman"/>
                <w:color w:val="000000"/>
                <w:sz w:val="20"/>
              </w:rPr>
              <w:t>0.83</w:t>
            </w:r>
          </w:p>
        </w:tc>
        <w:tc>
          <w:tcPr>
            <w:tcW w:w="416" w:type="dxa"/>
            <w:tcBorders>
              <w:top w:val="nil"/>
              <w:left w:val="nil"/>
              <w:bottom w:val="nil"/>
              <w:right w:val="nil"/>
            </w:tcBorders>
            <w:shd w:val="clear" w:color="auto" w:fill="auto"/>
            <w:noWrap/>
            <w:vAlign w:val="bottom"/>
          </w:tcPr>
          <w:p w14:paraId="3092BACB" w14:textId="77777777" w:rsidR="00F92A14" w:rsidRPr="002802A9" w:rsidRDefault="00F92A14" w:rsidP="00F92A14">
            <w:pPr>
              <w:spacing w:after="0" w:line="240" w:lineRule="auto"/>
              <w:jc w:val="right"/>
              <w:rPr>
                <w:rFonts w:ascii="Times New Roman" w:eastAsia="Times New Roman" w:hAnsi="Times New Roman" w:cs="Times New Roman"/>
                <w:color w:val="000000"/>
                <w:szCs w:val="21"/>
                <w:lang w:eastAsia="en-GB"/>
              </w:rPr>
            </w:pPr>
          </w:p>
        </w:tc>
      </w:tr>
      <w:tr w:rsidR="00F92A14" w:rsidRPr="002802A9" w14:paraId="1F8F6EE5" w14:textId="77777777" w:rsidTr="00F92A14">
        <w:trPr>
          <w:trHeight w:val="288"/>
          <w:jc w:val="center"/>
        </w:trPr>
        <w:tc>
          <w:tcPr>
            <w:tcW w:w="5016" w:type="dxa"/>
            <w:tcBorders>
              <w:top w:val="nil"/>
              <w:left w:val="nil"/>
              <w:bottom w:val="nil"/>
              <w:right w:val="nil"/>
            </w:tcBorders>
            <w:shd w:val="clear" w:color="auto" w:fill="auto"/>
            <w:noWrap/>
            <w:vAlign w:val="center"/>
          </w:tcPr>
          <w:p w14:paraId="2012E486" w14:textId="77777777" w:rsidR="00F92A14" w:rsidRPr="002802A9" w:rsidRDefault="00F92A14" w:rsidP="00F92A14">
            <w:pPr>
              <w:spacing w:after="0" w:line="240" w:lineRule="auto"/>
              <w:ind w:firstLineChars="100" w:firstLine="112"/>
              <w:rPr>
                <w:rFonts w:ascii="Times New Roman" w:eastAsia="Times New Roman" w:hAnsi="Times New Roman" w:cs="Times New Roman"/>
                <w:color w:val="000000"/>
                <w:szCs w:val="21"/>
                <w:lang w:eastAsia="en-GB"/>
              </w:rPr>
            </w:pPr>
            <w:r w:rsidRPr="002802A9">
              <w:rPr>
                <w:rFonts w:ascii="Times New Roman" w:eastAsia="Times New Roman" w:hAnsi="Times New Roman" w:cs="Times New Roman"/>
                <w:color w:val="000000"/>
                <w:szCs w:val="21"/>
                <w:lang w:eastAsia="en-GB"/>
              </w:rPr>
              <w:t>£15,000 - £19,999</w:t>
            </w:r>
          </w:p>
        </w:tc>
        <w:tc>
          <w:tcPr>
            <w:tcW w:w="711" w:type="dxa"/>
            <w:tcBorders>
              <w:top w:val="nil"/>
              <w:left w:val="nil"/>
              <w:bottom w:val="nil"/>
              <w:right w:val="nil"/>
            </w:tcBorders>
            <w:shd w:val="clear" w:color="auto" w:fill="auto"/>
            <w:noWrap/>
            <w:vAlign w:val="bottom"/>
          </w:tcPr>
          <w:p w14:paraId="0FD5AA78" w14:textId="77777777" w:rsidR="00F92A14" w:rsidRPr="000611FC" w:rsidRDefault="00F92A14" w:rsidP="00F92A14">
            <w:pPr>
              <w:spacing w:after="0" w:line="240" w:lineRule="auto"/>
              <w:jc w:val="right"/>
              <w:rPr>
                <w:rFonts w:ascii="Times New Roman" w:hAnsi="Times New Roman" w:cs="Times New Roman"/>
                <w:color w:val="000000"/>
                <w:sz w:val="20"/>
              </w:rPr>
            </w:pPr>
            <w:r w:rsidRPr="000611FC">
              <w:rPr>
                <w:rFonts w:ascii="Times New Roman" w:hAnsi="Times New Roman" w:cs="Times New Roman"/>
                <w:color w:val="000000"/>
                <w:sz w:val="20"/>
              </w:rPr>
              <w:t>-0.05</w:t>
            </w:r>
          </w:p>
        </w:tc>
        <w:tc>
          <w:tcPr>
            <w:tcW w:w="601" w:type="dxa"/>
            <w:tcBorders>
              <w:top w:val="nil"/>
              <w:left w:val="nil"/>
              <w:bottom w:val="nil"/>
              <w:right w:val="nil"/>
            </w:tcBorders>
            <w:shd w:val="clear" w:color="auto" w:fill="auto"/>
            <w:noWrap/>
            <w:vAlign w:val="bottom"/>
          </w:tcPr>
          <w:p w14:paraId="12F98381" w14:textId="77777777" w:rsidR="00F92A14" w:rsidRPr="000611FC" w:rsidRDefault="00F92A14" w:rsidP="00F92A14">
            <w:pPr>
              <w:spacing w:after="0" w:line="240" w:lineRule="auto"/>
              <w:jc w:val="right"/>
              <w:rPr>
                <w:rFonts w:ascii="Times New Roman" w:hAnsi="Times New Roman" w:cs="Times New Roman"/>
                <w:color w:val="000000"/>
                <w:sz w:val="20"/>
              </w:rPr>
            </w:pPr>
            <w:r w:rsidRPr="000611FC">
              <w:rPr>
                <w:rFonts w:ascii="Times New Roman" w:hAnsi="Times New Roman" w:cs="Times New Roman"/>
                <w:color w:val="000000"/>
                <w:sz w:val="20"/>
              </w:rPr>
              <w:t>0.13</w:t>
            </w:r>
          </w:p>
        </w:tc>
        <w:tc>
          <w:tcPr>
            <w:tcW w:w="772" w:type="dxa"/>
            <w:tcBorders>
              <w:top w:val="nil"/>
              <w:left w:val="nil"/>
              <w:bottom w:val="nil"/>
              <w:right w:val="nil"/>
            </w:tcBorders>
            <w:shd w:val="clear" w:color="auto" w:fill="auto"/>
            <w:noWrap/>
            <w:vAlign w:val="bottom"/>
          </w:tcPr>
          <w:p w14:paraId="0936B167" w14:textId="77777777" w:rsidR="00F92A14" w:rsidRPr="000611FC" w:rsidRDefault="00F92A14" w:rsidP="00F92A14">
            <w:pPr>
              <w:spacing w:after="0" w:line="240" w:lineRule="auto"/>
              <w:jc w:val="right"/>
              <w:rPr>
                <w:rFonts w:ascii="Times New Roman" w:hAnsi="Times New Roman" w:cs="Times New Roman"/>
                <w:color w:val="000000"/>
                <w:sz w:val="20"/>
              </w:rPr>
            </w:pPr>
            <w:r w:rsidRPr="000611FC">
              <w:rPr>
                <w:rFonts w:ascii="Times New Roman" w:hAnsi="Times New Roman" w:cs="Times New Roman"/>
                <w:color w:val="000000"/>
                <w:sz w:val="20"/>
              </w:rPr>
              <w:t>0.95</w:t>
            </w:r>
          </w:p>
        </w:tc>
        <w:tc>
          <w:tcPr>
            <w:tcW w:w="542" w:type="dxa"/>
            <w:gridSpan w:val="2"/>
            <w:tcBorders>
              <w:top w:val="nil"/>
              <w:left w:val="nil"/>
              <w:bottom w:val="nil"/>
              <w:right w:val="nil"/>
            </w:tcBorders>
            <w:shd w:val="clear" w:color="auto" w:fill="auto"/>
            <w:noWrap/>
            <w:vAlign w:val="bottom"/>
          </w:tcPr>
          <w:p w14:paraId="12405F1D"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p>
        </w:tc>
        <w:tc>
          <w:tcPr>
            <w:tcW w:w="666" w:type="dxa"/>
            <w:tcBorders>
              <w:top w:val="nil"/>
              <w:left w:val="nil"/>
              <w:bottom w:val="nil"/>
              <w:right w:val="nil"/>
            </w:tcBorders>
            <w:shd w:val="clear" w:color="auto" w:fill="auto"/>
            <w:noWrap/>
            <w:vAlign w:val="bottom"/>
          </w:tcPr>
          <w:p w14:paraId="4A8D92D5" w14:textId="77777777" w:rsidR="00F92A14" w:rsidRPr="000611FC" w:rsidRDefault="00F92A14" w:rsidP="00F92A14">
            <w:pPr>
              <w:spacing w:after="0" w:line="240" w:lineRule="auto"/>
              <w:jc w:val="right"/>
              <w:rPr>
                <w:rFonts w:ascii="Times New Roman" w:hAnsi="Times New Roman" w:cs="Times New Roman"/>
                <w:color w:val="000000"/>
                <w:sz w:val="20"/>
              </w:rPr>
            </w:pPr>
            <w:r w:rsidRPr="000611FC">
              <w:rPr>
                <w:rFonts w:ascii="Times New Roman" w:hAnsi="Times New Roman" w:cs="Times New Roman"/>
                <w:color w:val="000000"/>
                <w:sz w:val="20"/>
              </w:rPr>
              <w:t>-0.07</w:t>
            </w:r>
          </w:p>
        </w:tc>
        <w:tc>
          <w:tcPr>
            <w:tcW w:w="566" w:type="dxa"/>
            <w:tcBorders>
              <w:top w:val="nil"/>
              <w:left w:val="nil"/>
              <w:bottom w:val="nil"/>
              <w:right w:val="nil"/>
            </w:tcBorders>
            <w:shd w:val="clear" w:color="auto" w:fill="auto"/>
            <w:noWrap/>
            <w:vAlign w:val="bottom"/>
          </w:tcPr>
          <w:p w14:paraId="3446D12B" w14:textId="77777777" w:rsidR="00F92A14" w:rsidRPr="000611FC" w:rsidRDefault="00F92A14" w:rsidP="00F92A14">
            <w:pPr>
              <w:spacing w:after="0" w:line="240" w:lineRule="auto"/>
              <w:jc w:val="right"/>
              <w:rPr>
                <w:rFonts w:ascii="Times New Roman" w:hAnsi="Times New Roman" w:cs="Times New Roman"/>
                <w:color w:val="000000"/>
                <w:sz w:val="20"/>
              </w:rPr>
            </w:pPr>
            <w:r w:rsidRPr="000611FC">
              <w:rPr>
                <w:rFonts w:ascii="Times New Roman" w:hAnsi="Times New Roman" w:cs="Times New Roman"/>
                <w:color w:val="000000"/>
                <w:sz w:val="20"/>
              </w:rPr>
              <w:t>0.13</w:t>
            </w:r>
          </w:p>
        </w:tc>
        <w:tc>
          <w:tcPr>
            <w:tcW w:w="730" w:type="dxa"/>
            <w:tcBorders>
              <w:top w:val="nil"/>
              <w:left w:val="nil"/>
              <w:bottom w:val="nil"/>
              <w:right w:val="nil"/>
            </w:tcBorders>
            <w:shd w:val="clear" w:color="auto" w:fill="auto"/>
            <w:noWrap/>
            <w:vAlign w:val="bottom"/>
          </w:tcPr>
          <w:p w14:paraId="1BD325A8" w14:textId="77777777" w:rsidR="00F92A14" w:rsidRPr="000611FC" w:rsidRDefault="00F92A14" w:rsidP="00F92A14">
            <w:pPr>
              <w:spacing w:after="0" w:line="240" w:lineRule="auto"/>
              <w:jc w:val="right"/>
              <w:rPr>
                <w:rFonts w:ascii="Times New Roman" w:hAnsi="Times New Roman" w:cs="Times New Roman"/>
                <w:color w:val="000000"/>
                <w:sz w:val="20"/>
              </w:rPr>
            </w:pPr>
            <w:r w:rsidRPr="000611FC">
              <w:rPr>
                <w:rFonts w:ascii="Times New Roman" w:hAnsi="Times New Roman" w:cs="Times New Roman"/>
                <w:color w:val="000000"/>
                <w:sz w:val="20"/>
              </w:rPr>
              <w:t>0.93</w:t>
            </w:r>
          </w:p>
        </w:tc>
        <w:tc>
          <w:tcPr>
            <w:tcW w:w="687" w:type="dxa"/>
            <w:gridSpan w:val="2"/>
            <w:tcBorders>
              <w:top w:val="nil"/>
              <w:left w:val="nil"/>
              <w:bottom w:val="nil"/>
              <w:right w:val="nil"/>
            </w:tcBorders>
            <w:shd w:val="clear" w:color="auto" w:fill="auto"/>
            <w:noWrap/>
            <w:vAlign w:val="bottom"/>
          </w:tcPr>
          <w:p w14:paraId="0E585901"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p>
        </w:tc>
        <w:tc>
          <w:tcPr>
            <w:tcW w:w="666" w:type="dxa"/>
            <w:tcBorders>
              <w:top w:val="nil"/>
              <w:left w:val="nil"/>
              <w:bottom w:val="nil"/>
              <w:right w:val="nil"/>
            </w:tcBorders>
            <w:shd w:val="clear" w:color="auto" w:fill="auto"/>
            <w:noWrap/>
            <w:vAlign w:val="bottom"/>
          </w:tcPr>
          <w:p w14:paraId="6E5B2CF7" w14:textId="77777777" w:rsidR="00F92A14" w:rsidRPr="009C6105" w:rsidRDefault="00F92A14" w:rsidP="00F92A14">
            <w:pPr>
              <w:spacing w:after="0" w:line="240" w:lineRule="auto"/>
              <w:jc w:val="right"/>
              <w:rPr>
                <w:rFonts w:ascii="Times New Roman" w:hAnsi="Times New Roman" w:cs="Times New Roman"/>
                <w:color w:val="000000"/>
                <w:sz w:val="20"/>
              </w:rPr>
            </w:pPr>
            <w:r w:rsidRPr="009C6105">
              <w:rPr>
                <w:rFonts w:ascii="Times New Roman" w:hAnsi="Times New Roman" w:cs="Times New Roman"/>
                <w:color w:val="000000"/>
                <w:sz w:val="20"/>
              </w:rPr>
              <w:t>-0.04</w:t>
            </w:r>
          </w:p>
        </w:tc>
        <w:tc>
          <w:tcPr>
            <w:tcW w:w="566" w:type="dxa"/>
            <w:tcBorders>
              <w:top w:val="nil"/>
              <w:left w:val="nil"/>
              <w:bottom w:val="nil"/>
              <w:right w:val="nil"/>
            </w:tcBorders>
            <w:shd w:val="clear" w:color="auto" w:fill="auto"/>
            <w:noWrap/>
            <w:vAlign w:val="bottom"/>
          </w:tcPr>
          <w:p w14:paraId="3AD8E303" w14:textId="77777777" w:rsidR="00F92A14" w:rsidRPr="009C6105" w:rsidRDefault="00F92A14" w:rsidP="00F92A14">
            <w:pPr>
              <w:spacing w:after="0" w:line="240" w:lineRule="auto"/>
              <w:jc w:val="right"/>
              <w:rPr>
                <w:rFonts w:ascii="Times New Roman" w:hAnsi="Times New Roman" w:cs="Times New Roman"/>
                <w:color w:val="000000"/>
                <w:sz w:val="20"/>
              </w:rPr>
            </w:pPr>
            <w:r w:rsidRPr="009C6105">
              <w:rPr>
                <w:rFonts w:ascii="Times New Roman" w:hAnsi="Times New Roman" w:cs="Times New Roman"/>
                <w:color w:val="000000"/>
                <w:sz w:val="20"/>
              </w:rPr>
              <w:t>0.15</w:t>
            </w:r>
          </w:p>
        </w:tc>
        <w:tc>
          <w:tcPr>
            <w:tcW w:w="730" w:type="dxa"/>
            <w:tcBorders>
              <w:top w:val="nil"/>
              <w:left w:val="nil"/>
              <w:bottom w:val="nil"/>
              <w:right w:val="nil"/>
            </w:tcBorders>
            <w:shd w:val="clear" w:color="auto" w:fill="auto"/>
            <w:noWrap/>
            <w:vAlign w:val="bottom"/>
          </w:tcPr>
          <w:p w14:paraId="2D89B77E" w14:textId="77777777" w:rsidR="00F92A14" w:rsidRPr="009C6105" w:rsidRDefault="00F92A14" w:rsidP="00F92A14">
            <w:pPr>
              <w:spacing w:after="0" w:line="240" w:lineRule="auto"/>
              <w:jc w:val="right"/>
              <w:rPr>
                <w:rFonts w:ascii="Times New Roman" w:hAnsi="Times New Roman" w:cs="Times New Roman"/>
                <w:color w:val="000000"/>
                <w:sz w:val="20"/>
              </w:rPr>
            </w:pPr>
            <w:r w:rsidRPr="009C6105">
              <w:rPr>
                <w:rFonts w:ascii="Times New Roman" w:hAnsi="Times New Roman" w:cs="Times New Roman"/>
                <w:color w:val="000000"/>
                <w:sz w:val="20"/>
              </w:rPr>
              <w:t>0.96</w:t>
            </w:r>
          </w:p>
        </w:tc>
        <w:tc>
          <w:tcPr>
            <w:tcW w:w="416" w:type="dxa"/>
            <w:tcBorders>
              <w:top w:val="nil"/>
              <w:left w:val="nil"/>
              <w:bottom w:val="nil"/>
              <w:right w:val="nil"/>
            </w:tcBorders>
            <w:shd w:val="clear" w:color="auto" w:fill="auto"/>
            <w:noWrap/>
            <w:vAlign w:val="bottom"/>
          </w:tcPr>
          <w:p w14:paraId="1751289B" w14:textId="77777777" w:rsidR="00F92A14" w:rsidRPr="002802A9" w:rsidRDefault="00F92A14" w:rsidP="00F92A14">
            <w:pPr>
              <w:spacing w:after="0" w:line="240" w:lineRule="auto"/>
              <w:jc w:val="right"/>
              <w:rPr>
                <w:rFonts w:ascii="Times New Roman" w:eastAsia="Times New Roman" w:hAnsi="Times New Roman" w:cs="Times New Roman"/>
                <w:color w:val="000000"/>
                <w:szCs w:val="21"/>
                <w:lang w:eastAsia="en-GB"/>
              </w:rPr>
            </w:pPr>
          </w:p>
        </w:tc>
      </w:tr>
      <w:tr w:rsidR="00F92A14" w:rsidRPr="002802A9" w14:paraId="6388DF11" w14:textId="77777777" w:rsidTr="00F92A14">
        <w:trPr>
          <w:trHeight w:val="288"/>
          <w:jc w:val="center"/>
        </w:trPr>
        <w:tc>
          <w:tcPr>
            <w:tcW w:w="5016" w:type="dxa"/>
            <w:tcBorders>
              <w:top w:val="nil"/>
              <w:left w:val="nil"/>
              <w:bottom w:val="nil"/>
              <w:right w:val="nil"/>
            </w:tcBorders>
            <w:shd w:val="clear" w:color="auto" w:fill="auto"/>
            <w:noWrap/>
            <w:vAlign w:val="center"/>
            <w:hideMark/>
          </w:tcPr>
          <w:p w14:paraId="5C9DFD97" w14:textId="77777777" w:rsidR="00F92A14" w:rsidRPr="002802A9" w:rsidRDefault="00F92A14" w:rsidP="00F92A14">
            <w:pPr>
              <w:spacing w:after="0" w:line="240" w:lineRule="auto"/>
              <w:ind w:firstLineChars="100" w:firstLine="112"/>
              <w:rPr>
                <w:rFonts w:ascii="Times New Roman" w:eastAsia="Times New Roman" w:hAnsi="Times New Roman" w:cs="Times New Roman"/>
                <w:color w:val="000000"/>
                <w:szCs w:val="21"/>
                <w:lang w:eastAsia="en-GB"/>
              </w:rPr>
            </w:pPr>
            <w:r w:rsidRPr="002802A9">
              <w:rPr>
                <w:rFonts w:ascii="Times New Roman" w:eastAsia="Times New Roman" w:hAnsi="Times New Roman" w:cs="Times New Roman"/>
                <w:color w:val="000000"/>
                <w:szCs w:val="21"/>
                <w:lang w:eastAsia="en-GB"/>
              </w:rPr>
              <w:t>£20,000 and over</w:t>
            </w:r>
          </w:p>
        </w:tc>
        <w:tc>
          <w:tcPr>
            <w:tcW w:w="711" w:type="dxa"/>
            <w:tcBorders>
              <w:top w:val="nil"/>
              <w:left w:val="nil"/>
              <w:bottom w:val="nil"/>
              <w:right w:val="nil"/>
            </w:tcBorders>
            <w:shd w:val="clear" w:color="auto" w:fill="auto"/>
            <w:noWrap/>
            <w:vAlign w:val="bottom"/>
          </w:tcPr>
          <w:p w14:paraId="34165EC0" w14:textId="77777777" w:rsidR="00F92A14" w:rsidRPr="000611FC" w:rsidRDefault="00F92A14" w:rsidP="00F92A14">
            <w:pPr>
              <w:spacing w:after="0" w:line="240" w:lineRule="auto"/>
              <w:jc w:val="right"/>
              <w:rPr>
                <w:rFonts w:ascii="Times New Roman" w:hAnsi="Times New Roman" w:cs="Times New Roman"/>
                <w:color w:val="000000"/>
                <w:sz w:val="20"/>
              </w:rPr>
            </w:pPr>
            <w:r w:rsidRPr="000611FC">
              <w:rPr>
                <w:rFonts w:ascii="Times New Roman" w:hAnsi="Times New Roman" w:cs="Times New Roman"/>
                <w:color w:val="000000"/>
                <w:sz w:val="20"/>
              </w:rPr>
              <w:t>0.10</w:t>
            </w:r>
          </w:p>
        </w:tc>
        <w:tc>
          <w:tcPr>
            <w:tcW w:w="601" w:type="dxa"/>
            <w:tcBorders>
              <w:top w:val="nil"/>
              <w:left w:val="nil"/>
              <w:bottom w:val="nil"/>
              <w:right w:val="nil"/>
            </w:tcBorders>
            <w:shd w:val="clear" w:color="auto" w:fill="auto"/>
            <w:noWrap/>
            <w:vAlign w:val="bottom"/>
          </w:tcPr>
          <w:p w14:paraId="593DBDDF" w14:textId="77777777" w:rsidR="00F92A14" w:rsidRPr="000611FC" w:rsidRDefault="00F92A14" w:rsidP="00F92A14">
            <w:pPr>
              <w:spacing w:after="0" w:line="240" w:lineRule="auto"/>
              <w:jc w:val="right"/>
              <w:rPr>
                <w:rFonts w:ascii="Times New Roman" w:hAnsi="Times New Roman" w:cs="Times New Roman"/>
                <w:color w:val="000000"/>
                <w:sz w:val="20"/>
              </w:rPr>
            </w:pPr>
            <w:r w:rsidRPr="000611FC">
              <w:rPr>
                <w:rFonts w:ascii="Times New Roman" w:hAnsi="Times New Roman" w:cs="Times New Roman"/>
                <w:color w:val="000000"/>
                <w:sz w:val="20"/>
              </w:rPr>
              <w:t>0.12</w:t>
            </w:r>
          </w:p>
        </w:tc>
        <w:tc>
          <w:tcPr>
            <w:tcW w:w="772" w:type="dxa"/>
            <w:tcBorders>
              <w:top w:val="nil"/>
              <w:left w:val="nil"/>
              <w:bottom w:val="nil"/>
              <w:right w:val="nil"/>
            </w:tcBorders>
            <w:shd w:val="clear" w:color="auto" w:fill="auto"/>
            <w:noWrap/>
            <w:vAlign w:val="bottom"/>
          </w:tcPr>
          <w:p w14:paraId="30A9F0D9" w14:textId="77777777" w:rsidR="00F92A14" w:rsidRPr="000611FC" w:rsidRDefault="00F92A14" w:rsidP="00F92A14">
            <w:pPr>
              <w:spacing w:after="0" w:line="240" w:lineRule="auto"/>
              <w:jc w:val="right"/>
              <w:rPr>
                <w:rFonts w:ascii="Times New Roman" w:hAnsi="Times New Roman" w:cs="Times New Roman"/>
                <w:color w:val="000000"/>
                <w:sz w:val="20"/>
              </w:rPr>
            </w:pPr>
            <w:r w:rsidRPr="000611FC">
              <w:rPr>
                <w:rFonts w:ascii="Times New Roman" w:hAnsi="Times New Roman" w:cs="Times New Roman"/>
                <w:color w:val="000000"/>
                <w:sz w:val="20"/>
              </w:rPr>
              <w:t>1.10</w:t>
            </w:r>
          </w:p>
        </w:tc>
        <w:tc>
          <w:tcPr>
            <w:tcW w:w="542" w:type="dxa"/>
            <w:gridSpan w:val="2"/>
            <w:tcBorders>
              <w:top w:val="nil"/>
              <w:left w:val="nil"/>
              <w:bottom w:val="nil"/>
              <w:right w:val="nil"/>
            </w:tcBorders>
            <w:shd w:val="clear" w:color="auto" w:fill="auto"/>
            <w:noWrap/>
            <w:vAlign w:val="bottom"/>
          </w:tcPr>
          <w:p w14:paraId="028990B3"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p>
        </w:tc>
        <w:tc>
          <w:tcPr>
            <w:tcW w:w="666" w:type="dxa"/>
            <w:tcBorders>
              <w:top w:val="nil"/>
              <w:left w:val="nil"/>
              <w:bottom w:val="nil"/>
              <w:right w:val="nil"/>
            </w:tcBorders>
            <w:shd w:val="clear" w:color="auto" w:fill="auto"/>
            <w:noWrap/>
            <w:vAlign w:val="bottom"/>
          </w:tcPr>
          <w:p w14:paraId="7280CAA9" w14:textId="77777777" w:rsidR="00F92A14" w:rsidRPr="000611FC" w:rsidRDefault="00F92A14" w:rsidP="00F92A14">
            <w:pPr>
              <w:spacing w:after="0" w:line="240" w:lineRule="auto"/>
              <w:jc w:val="right"/>
              <w:rPr>
                <w:rFonts w:ascii="Times New Roman" w:hAnsi="Times New Roman" w:cs="Times New Roman"/>
                <w:color w:val="000000"/>
                <w:sz w:val="20"/>
              </w:rPr>
            </w:pPr>
            <w:r w:rsidRPr="000611FC">
              <w:rPr>
                <w:rFonts w:ascii="Times New Roman" w:hAnsi="Times New Roman" w:cs="Times New Roman"/>
                <w:color w:val="000000"/>
                <w:sz w:val="20"/>
              </w:rPr>
              <w:t>0.16</w:t>
            </w:r>
          </w:p>
        </w:tc>
        <w:tc>
          <w:tcPr>
            <w:tcW w:w="566" w:type="dxa"/>
            <w:tcBorders>
              <w:top w:val="nil"/>
              <w:left w:val="nil"/>
              <w:bottom w:val="nil"/>
              <w:right w:val="nil"/>
            </w:tcBorders>
            <w:shd w:val="clear" w:color="auto" w:fill="auto"/>
            <w:noWrap/>
            <w:vAlign w:val="bottom"/>
          </w:tcPr>
          <w:p w14:paraId="51EBB8F8" w14:textId="77777777" w:rsidR="00F92A14" w:rsidRPr="000611FC" w:rsidRDefault="00F92A14" w:rsidP="00F92A14">
            <w:pPr>
              <w:spacing w:after="0" w:line="240" w:lineRule="auto"/>
              <w:jc w:val="right"/>
              <w:rPr>
                <w:rFonts w:ascii="Times New Roman" w:hAnsi="Times New Roman" w:cs="Times New Roman"/>
                <w:color w:val="000000"/>
                <w:sz w:val="20"/>
              </w:rPr>
            </w:pPr>
            <w:r w:rsidRPr="000611FC">
              <w:rPr>
                <w:rFonts w:ascii="Times New Roman" w:hAnsi="Times New Roman" w:cs="Times New Roman"/>
                <w:color w:val="000000"/>
                <w:sz w:val="20"/>
              </w:rPr>
              <w:t>0.12</w:t>
            </w:r>
          </w:p>
        </w:tc>
        <w:tc>
          <w:tcPr>
            <w:tcW w:w="730" w:type="dxa"/>
            <w:tcBorders>
              <w:top w:val="nil"/>
              <w:left w:val="nil"/>
              <w:bottom w:val="nil"/>
              <w:right w:val="nil"/>
            </w:tcBorders>
            <w:shd w:val="clear" w:color="auto" w:fill="auto"/>
            <w:noWrap/>
            <w:vAlign w:val="bottom"/>
          </w:tcPr>
          <w:p w14:paraId="5B23F183" w14:textId="77777777" w:rsidR="00F92A14" w:rsidRPr="000611FC" w:rsidRDefault="00F92A14" w:rsidP="00F92A14">
            <w:pPr>
              <w:spacing w:after="0" w:line="240" w:lineRule="auto"/>
              <w:jc w:val="right"/>
              <w:rPr>
                <w:rFonts w:ascii="Times New Roman" w:hAnsi="Times New Roman" w:cs="Times New Roman"/>
                <w:color w:val="000000"/>
                <w:sz w:val="20"/>
              </w:rPr>
            </w:pPr>
            <w:r w:rsidRPr="000611FC">
              <w:rPr>
                <w:rFonts w:ascii="Times New Roman" w:hAnsi="Times New Roman" w:cs="Times New Roman"/>
                <w:color w:val="000000"/>
                <w:sz w:val="20"/>
              </w:rPr>
              <w:t>1.18</w:t>
            </w:r>
          </w:p>
        </w:tc>
        <w:tc>
          <w:tcPr>
            <w:tcW w:w="687" w:type="dxa"/>
            <w:gridSpan w:val="2"/>
            <w:tcBorders>
              <w:top w:val="nil"/>
              <w:left w:val="nil"/>
              <w:bottom w:val="nil"/>
              <w:right w:val="nil"/>
            </w:tcBorders>
            <w:shd w:val="clear" w:color="auto" w:fill="auto"/>
            <w:noWrap/>
            <w:vAlign w:val="bottom"/>
          </w:tcPr>
          <w:p w14:paraId="0CF50C41"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p>
        </w:tc>
        <w:tc>
          <w:tcPr>
            <w:tcW w:w="666" w:type="dxa"/>
            <w:tcBorders>
              <w:top w:val="nil"/>
              <w:left w:val="nil"/>
              <w:bottom w:val="nil"/>
              <w:right w:val="nil"/>
            </w:tcBorders>
            <w:shd w:val="clear" w:color="auto" w:fill="auto"/>
            <w:noWrap/>
            <w:vAlign w:val="bottom"/>
          </w:tcPr>
          <w:p w14:paraId="2FE3CF0A" w14:textId="77777777" w:rsidR="00F92A14" w:rsidRPr="009C6105" w:rsidRDefault="00F92A14" w:rsidP="00F92A14">
            <w:pPr>
              <w:spacing w:after="0" w:line="240" w:lineRule="auto"/>
              <w:jc w:val="right"/>
              <w:rPr>
                <w:rFonts w:ascii="Times New Roman" w:hAnsi="Times New Roman" w:cs="Times New Roman"/>
                <w:color w:val="000000"/>
                <w:sz w:val="20"/>
              </w:rPr>
            </w:pPr>
            <w:r w:rsidRPr="009C6105">
              <w:rPr>
                <w:rFonts w:ascii="Times New Roman" w:hAnsi="Times New Roman" w:cs="Times New Roman"/>
                <w:color w:val="000000"/>
                <w:sz w:val="20"/>
              </w:rPr>
              <w:t>0.16</w:t>
            </w:r>
          </w:p>
        </w:tc>
        <w:tc>
          <w:tcPr>
            <w:tcW w:w="566" w:type="dxa"/>
            <w:tcBorders>
              <w:top w:val="nil"/>
              <w:left w:val="nil"/>
              <w:bottom w:val="nil"/>
              <w:right w:val="nil"/>
            </w:tcBorders>
            <w:shd w:val="clear" w:color="auto" w:fill="auto"/>
            <w:noWrap/>
            <w:vAlign w:val="bottom"/>
          </w:tcPr>
          <w:p w14:paraId="518A79AA" w14:textId="77777777" w:rsidR="00F92A14" w:rsidRPr="009C6105" w:rsidRDefault="00F92A14" w:rsidP="00F92A14">
            <w:pPr>
              <w:spacing w:after="0" w:line="240" w:lineRule="auto"/>
              <w:jc w:val="right"/>
              <w:rPr>
                <w:rFonts w:ascii="Times New Roman" w:hAnsi="Times New Roman" w:cs="Times New Roman"/>
                <w:color w:val="000000"/>
                <w:sz w:val="20"/>
              </w:rPr>
            </w:pPr>
            <w:r w:rsidRPr="009C6105">
              <w:rPr>
                <w:rFonts w:ascii="Times New Roman" w:hAnsi="Times New Roman" w:cs="Times New Roman"/>
                <w:color w:val="000000"/>
                <w:sz w:val="20"/>
              </w:rPr>
              <w:t>0.13</w:t>
            </w:r>
          </w:p>
        </w:tc>
        <w:tc>
          <w:tcPr>
            <w:tcW w:w="730" w:type="dxa"/>
            <w:tcBorders>
              <w:top w:val="nil"/>
              <w:left w:val="nil"/>
              <w:bottom w:val="nil"/>
              <w:right w:val="nil"/>
            </w:tcBorders>
            <w:shd w:val="clear" w:color="auto" w:fill="auto"/>
            <w:noWrap/>
            <w:vAlign w:val="bottom"/>
          </w:tcPr>
          <w:p w14:paraId="486A5017" w14:textId="77777777" w:rsidR="00F92A14" w:rsidRPr="009C6105" w:rsidRDefault="00F92A14" w:rsidP="00F92A14">
            <w:pPr>
              <w:spacing w:after="0" w:line="240" w:lineRule="auto"/>
              <w:jc w:val="right"/>
              <w:rPr>
                <w:rFonts w:ascii="Times New Roman" w:hAnsi="Times New Roman" w:cs="Times New Roman"/>
                <w:color w:val="000000"/>
                <w:sz w:val="20"/>
              </w:rPr>
            </w:pPr>
            <w:r w:rsidRPr="009C6105">
              <w:rPr>
                <w:rFonts w:ascii="Times New Roman" w:hAnsi="Times New Roman" w:cs="Times New Roman"/>
                <w:color w:val="000000"/>
                <w:sz w:val="20"/>
              </w:rPr>
              <w:t>1.18</w:t>
            </w:r>
          </w:p>
        </w:tc>
        <w:tc>
          <w:tcPr>
            <w:tcW w:w="416" w:type="dxa"/>
            <w:tcBorders>
              <w:top w:val="nil"/>
              <w:left w:val="nil"/>
              <w:bottom w:val="nil"/>
              <w:right w:val="nil"/>
            </w:tcBorders>
            <w:shd w:val="clear" w:color="auto" w:fill="auto"/>
            <w:noWrap/>
            <w:vAlign w:val="bottom"/>
          </w:tcPr>
          <w:p w14:paraId="318F5A53" w14:textId="77777777" w:rsidR="00F92A14" w:rsidRPr="002802A9" w:rsidRDefault="00F92A14" w:rsidP="00F92A14">
            <w:pPr>
              <w:spacing w:after="0" w:line="240" w:lineRule="auto"/>
              <w:jc w:val="right"/>
              <w:rPr>
                <w:rFonts w:ascii="Times New Roman" w:eastAsia="Times New Roman" w:hAnsi="Times New Roman" w:cs="Times New Roman"/>
                <w:color w:val="000000"/>
                <w:szCs w:val="21"/>
                <w:lang w:eastAsia="en-GB"/>
              </w:rPr>
            </w:pPr>
          </w:p>
        </w:tc>
      </w:tr>
      <w:tr w:rsidR="00F92A14" w:rsidRPr="002802A9" w14:paraId="2E3B5D2D" w14:textId="77777777" w:rsidTr="00F92A14">
        <w:trPr>
          <w:trHeight w:val="288"/>
          <w:jc w:val="center"/>
        </w:trPr>
        <w:tc>
          <w:tcPr>
            <w:tcW w:w="5016" w:type="dxa"/>
            <w:tcBorders>
              <w:top w:val="nil"/>
              <w:left w:val="nil"/>
              <w:bottom w:val="nil"/>
              <w:right w:val="nil"/>
            </w:tcBorders>
            <w:shd w:val="clear" w:color="auto" w:fill="auto"/>
            <w:noWrap/>
            <w:vAlign w:val="center"/>
            <w:hideMark/>
          </w:tcPr>
          <w:p w14:paraId="14E282DE" w14:textId="77777777" w:rsidR="00F92A14" w:rsidRPr="002802A9" w:rsidRDefault="00F92A14" w:rsidP="00F92A14">
            <w:pPr>
              <w:spacing w:after="0" w:line="240" w:lineRule="auto"/>
              <w:rPr>
                <w:rFonts w:ascii="Times New Roman" w:eastAsia="Times New Roman" w:hAnsi="Times New Roman" w:cs="Times New Roman"/>
                <w:b/>
                <w:bCs/>
                <w:color w:val="000000"/>
                <w:szCs w:val="21"/>
                <w:lang w:eastAsia="en-GB"/>
              </w:rPr>
            </w:pPr>
            <w:r w:rsidRPr="002802A9">
              <w:rPr>
                <w:rFonts w:ascii="Times New Roman" w:eastAsia="Times New Roman" w:hAnsi="Times New Roman" w:cs="Times New Roman"/>
                <w:b/>
                <w:bCs/>
                <w:color w:val="000000"/>
                <w:szCs w:val="21"/>
                <w:lang w:eastAsia="en-GB"/>
              </w:rPr>
              <w:t>Undergraduate degree characteristics</w:t>
            </w:r>
          </w:p>
        </w:tc>
        <w:tc>
          <w:tcPr>
            <w:tcW w:w="711" w:type="dxa"/>
            <w:tcBorders>
              <w:top w:val="nil"/>
              <w:left w:val="nil"/>
              <w:bottom w:val="nil"/>
              <w:right w:val="nil"/>
            </w:tcBorders>
            <w:shd w:val="clear" w:color="auto" w:fill="auto"/>
            <w:noWrap/>
            <w:vAlign w:val="center"/>
          </w:tcPr>
          <w:p w14:paraId="50C34382" w14:textId="77777777" w:rsidR="00F92A14" w:rsidRPr="002802A9" w:rsidRDefault="00F92A14" w:rsidP="00F92A14">
            <w:pPr>
              <w:spacing w:after="0" w:line="240" w:lineRule="auto"/>
              <w:rPr>
                <w:rFonts w:ascii="Times New Roman" w:eastAsia="Times New Roman" w:hAnsi="Times New Roman" w:cs="Times New Roman"/>
                <w:b/>
                <w:bCs/>
                <w:color w:val="000000"/>
                <w:szCs w:val="21"/>
                <w:lang w:eastAsia="en-GB"/>
              </w:rPr>
            </w:pPr>
          </w:p>
        </w:tc>
        <w:tc>
          <w:tcPr>
            <w:tcW w:w="601" w:type="dxa"/>
            <w:tcBorders>
              <w:top w:val="nil"/>
              <w:left w:val="nil"/>
              <w:bottom w:val="nil"/>
              <w:right w:val="nil"/>
            </w:tcBorders>
            <w:shd w:val="clear" w:color="auto" w:fill="auto"/>
          </w:tcPr>
          <w:p w14:paraId="6E01A94A" w14:textId="77777777" w:rsidR="00F92A14" w:rsidRPr="002802A9" w:rsidRDefault="00F92A14" w:rsidP="00F92A14">
            <w:pPr>
              <w:spacing w:after="0" w:line="240" w:lineRule="auto"/>
              <w:ind w:firstLineChars="100" w:firstLine="112"/>
              <w:rPr>
                <w:rFonts w:ascii="Times New Roman" w:eastAsia="Times New Roman" w:hAnsi="Times New Roman" w:cs="Times New Roman"/>
                <w:szCs w:val="21"/>
                <w:lang w:eastAsia="en-GB"/>
              </w:rPr>
            </w:pPr>
          </w:p>
        </w:tc>
        <w:tc>
          <w:tcPr>
            <w:tcW w:w="772" w:type="dxa"/>
            <w:tcBorders>
              <w:top w:val="nil"/>
              <w:left w:val="nil"/>
              <w:bottom w:val="nil"/>
              <w:right w:val="nil"/>
            </w:tcBorders>
            <w:shd w:val="clear" w:color="auto" w:fill="auto"/>
            <w:noWrap/>
            <w:vAlign w:val="bottom"/>
          </w:tcPr>
          <w:p w14:paraId="50C87EA2"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36AEE558"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6EA1284C"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3793E8D1"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566" w:type="dxa"/>
            <w:tcBorders>
              <w:top w:val="nil"/>
              <w:left w:val="nil"/>
              <w:bottom w:val="nil"/>
              <w:right w:val="nil"/>
            </w:tcBorders>
            <w:shd w:val="clear" w:color="auto" w:fill="auto"/>
            <w:noWrap/>
            <w:vAlign w:val="bottom"/>
          </w:tcPr>
          <w:p w14:paraId="4057617C"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30" w:type="dxa"/>
            <w:tcBorders>
              <w:top w:val="nil"/>
              <w:left w:val="nil"/>
              <w:bottom w:val="nil"/>
              <w:right w:val="nil"/>
            </w:tcBorders>
            <w:shd w:val="clear" w:color="auto" w:fill="auto"/>
            <w:noWrap/>
            <w:vAlign w:val="bottom"/>
          </w:tcPr>
          <w:p w14:paraId="7343976D"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416" w:type="dxa"/>
            <w:tcBorders>
              <w:top w:val="nil"/>
              <w:left w:val="nil"/>
              <w:bottom w:val="nil"/>
              <w:right w:val="nil"/>
            </w:tcBorders>
            <w:shd w:val="clear" w:color="auto" w:fill="auto"/>
            <w:noWrap/>
            <w:vAlign w:val="bottom"/>
          </w:tcPr>
          <w:p w14:paraId="03153872"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60232D07"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4083478D"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566" w:type="dxa"/>
            <w:tcBorders>
              <w:top w:val="nil"/>
              <w:left w:val="nil"/>
              <w:bottom w:val="nil"/>
              <w:right w:val="nil"/>
            </w:tcBorders>
            <w:shd w:val="clear" w:color="auto" w:fill="auto"/>
            <w:noWrap/>
            <w:vAlign w:val="bottom"/>
          </w:tcPr>
          <w:p w14:paraId="075CCD2F"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30" w:type="dxa"/>
            <w:tcBorders>
              <w:top w:val="nil"/>
              <w:left w:val="nil"/>
              <w:bottom w:val="nil"/>
              <w:right w:val="nil"/>
            </w:tcBorders>
            <w:shd w:val="clear" w:color="auto" w:fill="auto"/>
            <w:noWrap/>
            <w:vAlign w:val="bottom"/>
          </w:tcPr>
          <w:p w14:paraId="0E383934"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416" w:type="dxa"/>
            <w:tcBorders>
              <w:top w:val="nil"/>
              <w:left w:val="nil"/>
              <w:bottom w:val="nil"/>
              <w:right w:val="nil"/>
            </w:tcBorders>
            <w:shd w:val="clear" w:color="auto" w:fill="auto"/>
            <w:noWrap/>
            <w:vAlign w:val="bottom"/>
          </w:tcPr>
          <w:p w14:paraId="1DF72B0D"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r>
      <w:tr w:rsidR="00F92A14" w:rsidRPr="002802A9" w14:paraId="2D6DB2BB" w14:textId="77777777" w:rsidTr="00F92A14">
        <w:trPr>
          <w:trHeight w:val="288"/>
          <w:jc w:val="center"/>
        </w:trPr>
        <w:tc>
          <w:tcPr>
            <w:tcW w:w="5016" w:type="dxa"/>
            <w:tcBorders>
              <w:top w:val="nil"/>
              <w:left w:val="nil"/>
              <w:bottom w:val="nil"/>
              <w:right w:val="nil"/>
            </w:tcBorders>
            <w:shd w:val="clear" w:color="auto" w:fill="auto"/>
            <w:noWrap/>
            <w:vAlign w:val="bottom"/>
            <w:hideMark/>
          </w:tcPr>
          <w:p w14:paraId="36725DD1"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r w:rsidRPr="002802A9">
              <w:rPr>
                <w:rFonts w:ascii="Times New Roman" w:eastAsia="Times New Roman" w:hAnsi="Times New Roman" w:cs="Times New Roman"/>
                <w:color w:val="000000"/>
                <w:szCs w:val="21"/>
                <w:lang w:eastAsia="en-GB"/>
              </w:rPr>
              <w:t>Year of UG graduation (ref: 2009)</w:t>
            </w:r>
          </w:p>
        </w:tc>
        <w:tc>
          <w:tcPr>
            <w:tcW w:w="711" w:type="dxa"/>
            <w:tcBorders>
              <w:top w:val="nil"/>
              <w:left w:val="nil"/>
              <w:bottom w:val="nil"/>
              <w:right w:val="nil"/>
            </w:tcBorders>
            <w:shd w:val="clear" w:color="auto" w:fill="auto"/>
            <w:noWrap/>
            <w:vAlign w:val="bottom"/>
          </w:tcPr>
          <w:p w14:paraId="5C85E5ED"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p>
        </w:tc>
        <w:tc>
          <w:tcPr>
            <w:tcW w:w="601" w:type="dxa"/>
            <w:tcBorders>
              <w:top w:val="nil"/>
              <w:left w:val="nil"/>
              <w:bottom w:val="nil"/>
              <w:right w:val="nil"/>
            </w:tcBorders>
            <w:shd w:val="clear" w:color="auto" w:fill="auto"/>
            <w:noWrap/>
            <w:vAlign w:val="bottom"/>
          </w:tcPr>
          <w:p w14:paraId="17D2AE7C"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72" w:type="dxa"/>
            <w:tcBorders>
              <w:top w:val="nil"/>
              <w:left w:val="nil"/>
              <w:bottom w:val="nil"/>
              <w:right w:val="nil"/>
            </w:tcBorders>
            <w:shd w:val="clear" w:color="auto" w:fill="auto"/>
            <w:noWrap/>
            <w:vAlign w:val="bottom"/>
          </w:tcPr>
          <w:p w14:paraId="087C886B"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2C8A1B48"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49456BA7"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073FBEFC"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566" w:type="dxa"/>
            <w:tcBorders>
              <w:top w:val="nil"/>
              <w:left w:val="nil"/>
              <w:bottom w:val="nil"/>
              <w:right w:val="nil"/>
            </w:tcBorders>
            <w:shd w:val="clear" w:color="auto" w:fill="auto"/>
            <w:noWrap/>
            <w:vAlign w:val="bottom"/>
          </w:tcPr>
          <w:p w14:paraId="338E90CE"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30" w:type="dxa"/>
            <w:tcBorders>
              <w:top w:val="nil"/>
              <w:left w:val="nil"/>
              <w:bottom w:val="nil"/>
              <w:right w:val="nil"/>
            </w:tcBorders>
            <w:shd w:val="clear" w:color="auto" w:fill="auto"/>
            <w:noWrap/>
            <w:vAlign w:val="bottom"/>
          </w:tcPr>
          <w:p w14:paraId="7F55FEB5"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416" w:type="dxa"/>
            <w:tcBorders>
              <w:top w:val="nil"/>
              <w:left w:val="nil"/>
              <w:bottom w:val="nil"/>
              <w:right w:val="nil"/>
            </w:tcBorders>
            <w:shd w:val="clear" w:color="auto" w:fill="auto"/>
            <w:noWrap/>
            <w:vAlign w:val="bottom"/>
          </w:tcPr>
          <w:p w14:paraId="211957B9"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64471252"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1596C3E2"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566" w:type="dxa"/>
            <w:tcBorders>
              <w:top w:val="nil"/>
              <w:left w:val="nil"/>
              <w:bottom w:val="nil"/>
              <w:right w:val="nil"/>
            </w:tcBorders>
            <w:shd w:val="clear" w:color="auto" w:fill="auto"/>
            <w:noWrap/>
            <w:vAlign w:val="bottom"/>
          </w:tcPr>
          <w:p w14:paraId="53E584C0"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30" w:type="dxa"/>
            <w:tcBorders>
              <w:top w:val="nil"/>
              <w:left w:val="nil"/>
              <w:bottom w:val="nil"/>
              <w:right w:val="nil"/>
            </w:tcBorders>
            <w:shd w:val="clear" w:color="auto" w:fill="auto"/>
            <w:noWrap/>
            <w:vAlign w:val="bottom"/>
          </w:tcPr>
          <w:p w14:paraId="272296D0"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416" w:type="dxa"/>
            <w:tcBorders>
              <w:top w:val="nil"/>
              <w:left w:val="nil"/>
              <w:bottom w:val="nil"/>
              <w:right w:val="nil"/>
            </w:tcBorders>
            <w:shd w:val="clear" w:color="auto" w:fill="auto"/>
            <w:noWrap/>
            <w:vAlign w:val="bottom"/>
          </w:tcPr>
          <w:p w14:paraId="750073F7"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r>
      <w:tr w:rsidR="00F92A14" w:rsidRPr="002802A9" w14:paraId="2E7EC002" w14:textId="77777777" w:rsidTr="00F92A14">
        <w:trPr>
          <w:trHeight w:val="288"/>
          <w:jc w:val="center"/>
        </w:trPr>
        <w:tc>
          <w:tcPr>
            <w:tcW w:w="5016" w:type="dxa"/>
            <w:tcBorders>
              <w:top w:val="nil"/>
              <w:left w:val="nil"/>
              <w:bottom w:val="nil"/>
              <w:right w:val="nil"/>
            </w:tcBorders>
            <w:shd w:val="clear" w:color="auto" w:fill="auto"/>
            <w:noWrap/>
            <w:vAlign w:val="bottom"/>
            <w:hideMark/>
          </w:tcPr>
          <w:p w14:paraId="646E8E44" w14:textId="77777777" w:rsidR="00F92A14" w:rsidRPr="002802A9" w:rsidRDefault="00F92A14" w:rsidP="00F92A14">
            <w:pPr>
              <w:spacing w:after="0" w:line="240" w:lineRule="auto"/>
              <w:ind w:firstLineChars="100" w:firstLine="112"/>
              <w:rPr>
                <w:rFonts w:ascii="Times New Roman" w:eastAsia="Times New Roman" w:hAnsi="Times New Roman" w:cs="Times New Roman"/>
                <w:color w:val="000000"/>
                <w:szCs w:val="21"/>
                <w:lang w:eastAsia="en-GB"/>
              </w:rPr>
            </w:pPr>
            <w:r w:rsidRPr="002802A9">
              <w:rPr>
                <w:rFonts w:ascii="Times New Roman" w:eastAsia="Times New Roman" w:hAnsi="Times New Roman" w:cs="Times New Roman"/>
                <w:color w:val="000000"/>
                <w:szCs w:val="21"/>
                <w:lang w:eastAsia="en-GB"/>
              </w:rPr>
              <w:t>2012</w:t>
            </w:r>
          </w:p>
        </w:tc>
        <w:tc>
          <w:tcPr>
            <w:tcW w:w="711" w:type="dxa"/>
            <w:tcBorders>
              <w:top w:val="nil"/>
              <w:left w:val="nil"/>
              <w:bottom w:val="nil"/>
              <w:right w:val="nil"/>
            </w:tcBorders>
            <w:shd w:val="clear" w:color="auto" w:fill="auto"/>
            <w:noWrap/>
            <w:vAlign w:val="bottom"/>
          </w:tcPr>
          <w:p w14:paraId="0054BAD9" w14:textId="77777777" w:rsidR="00F92A14" w:rsidRPr="002802A9" w:rsidRDefault="00F92A14" w:rsidP="00F92A14">
            <w:pPr>
              <w:spacing w:after="0" w:line="240" w:lineRule="auto"/>
              <w:ind w:firstLineChars="100" w:firstLine="112"/>
              <w:rPr>
                <w:rFonts w:ascii="Times New Roman" w:eastAsia="Times New Roman" w:hAnsi="Times New Roman" w:cs="Times New Roman"/>
                <w:color w:val="000000"/>
                <w:szCs w:val="21"/>
                <w:lang w:eastAsia="en-GB"/>
              </w:rPr>
            </w:pPr>
          </w:p>
        </w:tc>
        <w:tc>
          <w:tcPr>
            <w:tcW w:w="601" w:type="dxa"/>
            <w:tcBorders>
              <w:top w:val="nil"/>
              <w:left w:val="nil"/>
              <w:bottom w:val="nil"/>
              <w:right w:val="nil"/>
            </w:tcBorders>
            <w:shd w:val="clear" w:color="auto" w:fill="auto"/>
            <w:noWrap/>
            <w:vAlign w:val="bottom"/>
          </w:tcPr>
          <w:p w14:paraId="4D90B8C6" w14:textId="77777777" w:rsidR="00F92A14" w:rsidRPr="002802A9" w:rsidRDefault="00F92A14" w:rsidP="00F92A14">
            <w:pPr>
              <w:spacing w:after="0" w:line="240" w:lineRule="auto"/>
              <w:ind w:firstLineChars="100" w:firstLine="112"/>
              <w:rPr>
                <w:rFonts w:ascii="Times New Roman" w:eastAsia="Times New Roman" w:hAnsi="Times New Roman" w:cs="Times New Roman"/>
                <w:szCs w:val="21"/>
                <w:lang w:eastAsia="en-GB"/>
              </w:rPr>
            </w:pPr>
          </w:p>
        </w:tc>
        <w:tc>
          <w:tcPr>
            <w:tcW w:w="772" w:type="dxa"/>
            <w:tcBorders>
              <w:top w:val="nil"/>
              <w:left w:val="nil"/>
              <w:bottom w:val="nil"/>
              <w:right w:val="nil"/>
            </w:tcBorders>
            <w:shd w:val="clear" w:color="auto" w:fill="auto"/>
            <w:noWrap/>
            <w:vAlign w:val="bottom"/>
          </w:tcPr>
          <w:p w14:paraId="440D68A3"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5173FBDF"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69927EDD"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3419D0DB" w14:textId="77777777" w:rsidR="00F92A14" w:rsidRPr="00D93972" w:rsidRDefault="00F92A14" w:rsidP="00F92A14">
            <w:pPr>
              <w:spacing w:after="0" w:line="240" w:lineRule="auto"/>
              <w:jc w:val="right"/>
              <w:rPr>
                <w:rFonts w:ascii="Times New Roman" w:eastAsia="Times New Roman" w:hAnsi="Times New Roman" w:cs="Times New Roman"/>
                <w:color w:val="000000"/>
                <w:sz w:val="20"/>
              </w:rPr>
            </w:pPr>
            <w:r w:rsidRPr="00D93972">
              <w:rPr>
                <w:rFonts w:ascii="Times New Roman" w:hAnsi="Times New Roman" w:cs="Times New Roman"/>
                <w:color w:val="000000"/>
                <w:sz w:val="20"/>
              </w:rPr>
              <w:t>-0.60</w:t>
            </w:r>
          </w:p>
        </w:tc>
        <w:tc>
          <w:tcPr>
            <w:tcW w:w="566" w:type="dxa"/>
            <w:tcBorders>
              <w:top w:val="nil"/>
              <w:left w:val="nil"/>
              <w:bottom w:val="nil"/>
              <w:right w:val="nil"/>
            </w:tcBorders>
            <w:shd w:val="clear" w:color="auto" w:fill="auto"/>
            <w:noWrap/>
            <w:vAlign w:val="bottom"/>
          </w:tcPr>
          <w:p w14:paraId="5D6E42F7" w14:textId="77777777" w:rsidR="00F92A14" w:rsidRPr="00D93972" w:rsidRDefault="00F92A14" w:rsidP="00F92A14">
            <w:pPr>
              <w:spacing w:after="0" w:line="240" w:lineRule="auto"/>
              <w:jc w:val="right"/>
              <w:rPr>
                <w:rFonts w:ascii="Times New Roman" w:hAnsi="Times New Roman" w:cs="Times New Roman"/>
                <w:color w:val="000000"/>
                <w:sz w:val="20"/>
              </w:rPr>
            </w:pPr>
            <w:r w:rsidRPr="00D93972">
              <w:rPr>
                <w:rFonts w:ascii="Times New Roman" w:hAnsi="Times New Roman" w:cs="Times New Roman"/>
                <w:color w:val="000000"/>
                <w:sz w:val="20"/>
              </w:rPr>
              <w:t>0.09</w:t>
            </w:r>
          </w:p>
        </w:tc>
        <w:tc>
          <w:tcPr>
            <w:tcW w:w="730" w:type="dxa"/>
            <w:tcBorders>
              <w:top w:val="nil"/>
              <w:left w:val="nil"/>
              <w:bottom w:val="nil"/>
              <w:right w:val="nil"/>
            </w:tcBorders>
            <w:shd w:val="clear" w:color="auto" w:fill="auto"/>
            <w:noWrap/>
            <w:vAlign w:val="bottom"/>
          </w:tcPr>
          <w:p w14:paraId="6A0BDCAA" w14:textId="77777777" w:rsidR="00F92A14" w:rsidRPr="00D93972" w:rsidRDefault="00F92A14" w:rsidP="00F92A14">
            <w:pPr>
              <w:spacing w:after="0" w:line="240" w:lineRule="auto"/>
              <w:jc w:val="right"/>
              <w:rPr>
                <w:rFonts w:ascii="Times New Roman" w:hAnsi="Times New Roman" w:cs="Times New Roman"/>
                <w:color w:val="000000"/>
                <w:sz w:val="20"/>
              </w:rPr>
            </w:pPr>
            <w:r w:rsidRPr="00D93972">
              <w:rPr>
                <w:rFonts w:ascii="Times New Roman" w:hAnsi="Times New Roman" w:cs="Times New Roman"/>
                <w:color w:val="000000"/>
                <w:sz w:val="20"/>
              </w:rPr>
              <w:t>0.55</w:t>
            </w:r>
          </w:p>
        </w:tc>
        <w:tc>
          <w:tcPr>
            <w:tcW w:w="687" w:type="dxa"/>
            <w:gridSpan w:val="2"/>
            <w:tcBorders>
              <w:top w:val="nil"/>
              <w:left w:val="nil"/>
              <w:bottom w:val="nil"/>
              <w:right w:val="nil"/>
            </w:tcBorders>
            <w:shd w:val="clear" w:color="auto" w:fill="auto"/>
            <w:noWrap/>
            <w:vAlign w:val="bottom"/>
          </w:tcPr>
          <w:p w14:paraId="641D44EA" w14:textId="77777777" w:rsidR="00F92A14" w:rsidRPr="00D93972" w:rsidRDefault="00F92A14" w:rsidP="00F92A14">
            <w:pPr>
              <w:spacing w:after="0" w:line="240" w:lineRule="auto"/>
              <w:rPr>
                <w:rFonts w:ascii="Times New Roman" w:eastAsia="Times New Roman" w:hAnsi="Times New Roman" w:cs="Times New Roman"/>
                <w:color w:val="000000"/>
                <w:sz w:val="20"/>
                <w:szCs w:val="21"/>
                <w:lang w:eastAsia="en-GB"/>
              </w:rPr>
            </w:pPr>
            <w:r w:rsidRPr="00D93972">
              <w:rPr>
                <w:rFonts w:ascii="Times New Roman" w:eastAsia="Times New Roman" w:hAnsi="Times New Roman" w:cs="Times New Roman"/>
                <w:color w:val="000000"/>
                <w:sz w:val="20"/>
                <w:szCs w:val="21"/>
                <w:lang w:eastAsia="en-GB"/>
              </w:rPr>
              <w:t>**</w:t>
            </w:r>
          </w:p>
        </w:tc>
        <w:tc>
          <w:tcPr>
            <w:tcW w:w="666" w:type="dxa"/>
            <w:tcBorders>
              <w:top w:val="nil"/>
              <w:left w:val="nil"/>
              <w:bottom w:val="nil"/>
              <w:right w:val="nil"/>
            </w:tcBorders>
            <w:shd w:val="clear" w:color="auto" w:fill="auto"/>
            <w:noWrap/>
            <w:vAlign w:val="bottom"/>
          </w:tcPr>
          <w:p w14:paraId="51E9B912" w14:textId="77777777" w:rsidR="00F92A14" w:rsidRPr="00494CF0" w:rsidRDefault="00F92A14" w:rsidP="00F92A14">
            <w:pPr>
              <w:spacing w:after="0" w:line="240" w:lineRule="auto"/>
              <w:jc w:val="right"/>
              <w:rPr>
                <w:rFonts w:ascii="Times New Roman" w:eastAsia="Times New Roman" w:hAnsi="Times New Roman" w:cs="Times New Roman"/>
                <w:color w:val="000000"/>
                <w:sz w:val="20"/>
              </w:rPr>
            </w:pPr>
            <w:r w:rsidRPr="00494CF0">
              <w:rPr>
                <w:rFonts w:ascii="Times New Roman" w:hAnsi="Times New Roman"/>
                <w:color w:val="000000"/>
                <w:sz w:val="20"/>
              </w:rPr>
              <w:t>-0.78</w:t>
            </w:r>
          </w:p>
        </w:tc>
        <w:tc>
          <w:tcPr>
            <w:tcW w:w="566" w:type="dxa"/>
            <w:tcBorders>
              <w:top w:val="nil"/>
              <w:left w:val="nil"/>
              <w:bottom w:val="nil"/>
              <w:right w:val="nil"/>
            </w:tcBorders>
            <w:shd w:val="clear" w:color="auto" w:fill="auto"/>
            <w:noWrap/>
            <w:vAlign w:val="bottom"/>
          </w:tcPr>
          <w:p w14:paraId="0E6DCF3E" w14:textId="77777777" w:rsidR="00F92A14" w:rsidRPr="00494CF0" w:rsidRDefault="00F92A14" w:rsidP="00F92A14">
            <w:pPr>
              <w:spacing w:after="0" w:line="240" w:lineRule="auto"/>
              <w:jc w:val="right"/>
              <w:rPr>
                <w:rFonts w:ascii="Times New Roman" w:hAnsi="Times New Roman"/>
                <w:color w:val="000000"/>
                <w:sz w:val="20"/>
              </w:rPr>
            </w:pPr>
            <w:r w:rsidRPr="00494CF0">
              <w:rPr>
                <w:rFonts w:ascii="Times New Roman" w:hAnsi="Times New Roman"/>
                <w:color w:val="000000"/>
                <w:sz w:val="20"/>
              </w:rPr>
              <w:t>0.11</w:t>
            </w:r>
          </w:p>
        </w:tc>
        <w:tc>
          <w:tcPr>
            <w:tcW w:w="730" w:type="dxa"/>
            <w:tcBorders>
              <w:top w:val="nil"/>
              <w:left w:val="nil"/>
              <w:bottom w:val="nil"/>
              <w:right w:val="nil"/>
            </w:tcBorders>
            <w:shd w:val="clear" w:color="auto" w:fill="auto"/>
            <w:noWrap/>
            <w:vAlign w:val="bottom"/>
          </w:tcPr>
          <w:p w14:paraId="25B43FFD" w14:textId="77777777" w:rsidR="00F92A14" w:rsidRPr="00494CF0" w:rsidRDefault="00F92A14" w:rsidP="00F92A14">
            <w:pPr>
              <w:spacing w:after="0" w:line="240" w:lineRule="auto"/>
              <w:jc w:val="right"/>
              <w:rPr>
                <w:rFonts w:ascii="Times New Roman" w:hAnsi="Times New Roman"/>
                <w:color w:val="000000"/>
                <w:sz w:val="20"/>
              </w:rPr>
            </w:pPr>
            <w:r w:rsidRPr="00494CF0">
              <w:rPr>
                <w:rFonts w:ascii="Times New Roman" w:hAnsi="Times New Roman"/>
                <w:color w:val="000000"/>
                <w:sz w:val="20"/>
              </w:rPr>
              <w:t>0.46</w:t>
            </w:r>
          </w:p>
        </w:tc>
        <w:tc>
          <w:tcPr>
            <w:tcW w:w="416" w:type="dxa"/>
            <w:tcBorders>
              <w:top w:val="nil"/>
              <w:left w:val="nil"/>
              <w:bottom w:val="nil"/>
              <w:right w:val="nil"/>
            </w:tcBorders>
            <w:shd w:val="clear" w:color="auto" w:fill="auto"/>
            <w:noWrap/>
            <w:vAlign w:val="bottom"/>
          </w:tcPr>
          <w:p w14:paraId="0F0784CF"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r w:rsidRPr="00494CF0">
              <w:rPr>
                <w:rFonts w:ascii="Times New Roman" w:eastAsia="Times New Roman" w:hAnsi="Times New Roman" w:cs="Times New Roman"/>
                <w:color w:val="000000"/>
                <w:sz w:val="20"/>
                <w:szCs w:val="21"/>
                <w:lang w:eastAsia="en-GB"/>
              </w:rPr>
              <w:t>**</w:t>
            </w:r>
          </w:p>
        </w:tc>
      </w:tr>
      <w:tr w:rsidR="00F92A14" w:rsidRPr="002802A9" w14:paraId="36B646AA" w14:textId="77777777" w:rsidTr="00F92A14">
        <w:trPr>
          <w:trHeight w:val="288"/>
          <w:jc w:val="center"/>
        </w:trPr>
        <w:tc>
          <w:tcPr>
            <w:tcW w:w="5016" w:type="dxa"/>
            <w:tcBorders>
              <w:top w:val="nil"/>
              <w:left w:val="nil"/>
              <w:bottom w:val="nil"/>
              <w:right w:val="nil"/>
            </w:tcBorders>
            <w:shd w:val="clear" w:color="auto" w:fill="auto"/>
            <w:noWrap/>
            <w:vAlign w:val="bottom"/>
            <w:hideMark/>
          </w:tcPr>
          <w:p w14:paraId="4F98D927"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r w:rsidRPr="002802A9">
              <w:rPr>
                <w:rFonts w:ascii="Times New Roman" w:eastAsia="Times New Roman" w:hAnsi="Times New Roman" w:cs="Times New Roman"/>
                <w:color w:val="000000"/>
                <w:szCs w:val="21"/>
                <w:lang w:eastAsia="en-GB"/>
              </w:rPr>
              <w:t>UG degree type (ref not integrated Masters)</w:t>
            </w:r>
          </w:p>
        </w:tc>
        <w:tc>
          <w:tcPr>
            <w:tcW w:w="711" w:type="dxa"/>
            <w:tcBorders>
              <w:top w:val="nil"/>
              <w:left w:val="nil"/>
              <w:bottom w:val="nil"/>
              <w:right w:val="nil"/>
            </w:tcBorders>
            <w:shd w:val="clear" w:color="auto" w:fill="auto"/>
            <w:noWrap/>
            <w:vAlign w:val="bottom"/>
          </w:tcPr>
          <w:p w14:paraId="35CF917F"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p>
        </w:tc>
        <w:tc>
          <w:tcPr>
            <w:tcW w:w="601" w:type="dxa"/>
            <w:tcBorders>
              <w:top w:val="nil"/>
              <w:left w:val="nil"/>
              <w:bottom w:val="nil"/>
              <w:right w:val="nil"/>
            </w:tcBorders>
            <w:shd w:val="clear" w:color="auto" w:fill="auto"/>
            <w:noWrap/>
            <w:vAlign w:val="bottom"/>
          </w:tcPr>
          <w:p w14:paraId="770D974A" w14:textId="77777777" w:rsidR="00F92A14" w:rsidRPr="002802A9" w:rsidRDefault="00F92A14" w:rsidP="00F92A14">
            <w:pPr>
              <w:spacing w:after="0" w:line="240" w:lineRule="auto"/>
              <w:ind w:firstLineChars="100" w:firstLine="112"/>
              <w:rPr>
                <w:rFonts w:ascii="Times New Roman" w:eastAsia="Times New Roman" w:hAnsi="Times New Roman" w:cs="Times New Roman"/>
                <w:szCs w:val="21"/>
                <w:lang w:eastAsia="en-GB"/>
              </w:rPr>
            </w:pPr>
          </w:p>
        </w:tc>
        <w:tc>
          <w:tcPr>
            <w:tcW w:w="772" w:type="dxa"/>
            <w:tcBorders>
              <w:top w:val="nil"/>
              <w:left w:val="nil"/>
              <w:bottom w:val="nil"/>
              <w:right w:val="nil"/>
            </w:tcBorders>
            <w:shd w:val="clear" w:color="auto" w:fill="auto"/>
            <w:noWrap/>
            <w:vAlign w:val="bottom"/>
          </w:tcPr>
          <w:p w14:paraId="5F71F023"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31164B1A"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3F4BFCDC"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61306AA6" w14:textId="77777777" w:rsidR="00F92A14" w:rsidRPr="00D93972" w:rsidRDefault="00F92A14" w:rsidP="00F92A14">
            <w:pPr>
              <w:spacing w:after="0" w:line="240" w:lineRule="auto"/>
              <w:jc w:val="right"/>
              <w:rPr>
                <w:rFonts w:ascii="Times New Roman" w:hAnsi="Times New Roman" w:cs="Times New Roman"/>
                <w:color w:val="000000"/>
                <w:sz w:val="20"/>
              </w:rPr>
            </w:pPr>
          </w:p>
        </w:tc>
        <w:tc>
          <w:tcPr>
            <w:tcW w:w="566" w:type="dxa"/>
            <w:tcBorders>
              <w:top w:val="nil"/>
              <w:left w:val="nil"/>
              <w:bottom w:val="nil"/>
              <w:right w:val="nil"/>
            </w:tcBorders>
            <w:shd w:val="clear" w:color="auto" w:fill="auto"/>
            <w:noWrap/>
            <w:vAlign w:val="bottom"/>
          </w:tcPr>
          <w:p w14:paraId="19783D45" w14:textId="77777777" w:rsidR="00F92A14" w:rsidRPr="00D93972" w:rsidRDefault="00F92A14" w:rsidP="00F92A14">
            <w:pPr>
              <w:spacing w:after="0" w:line="240" w:lineRule="auto"/>
              <w:jc w:val="right"/>
              <w:rPr>
                <w:rFonts w:ascii="Times New Roman" w:hAnsi="Times New Roman" w:cs="Times New Roman"/>
                <w:sz w:val="20"/>
                <w:szCs w:val="20"/>
              </w:rPr>
            </w:pPr>
          </w:p>
        </w:tc>
        <w:tc>
          <w:tcPr>
            <w:tcW w:w="730" w:type="dxa"/>
            <w:tcBorders>
              <w:top w:val="nil"/>
              <w:left w:val="nil"/>
              <w:bottom w:val="nil"/>
              <w:right w:val="nil"/>
            </w:tcBorders>
            <w:shd w:val="clear" w:color="auto" w:fill="auto"/>
            <w:noWrap/>
            <w:vAlign w:val="bottom"/>
          </w:tcPr>
          <w:p w14:paraId="34D3472D" w14:textId="77777777" w:rsidR="00F92A14" w:rsidRPr="00D93972" w:rsidRDefault="00F92A14" w:rsidP="00F92A14">
            <w:pPr>
              <w:spacing w:after="0" w:line="240" w:lineRule="auto"/>
              <w:jc w:val="right"/>
              <w:rPr>
                <w:rFonts w:ascii="Times New Roman" w:hAnsi="Times New Roman" w:cs="Times New Roman"/>
                <w:sz w:val="20"/>
                <w:szCs w:val="20"/>
              </w:rPr>
            </w:pPr>
          </w:p>
        </w:tc>
        <w:tc>
          <w:tcPr>
            <w:tcW w:w="416" w:type="dxa"/>
            <w:tcBorders>
              <w:top w:val="nil"/>
              <w:left w:val="nil"/>
              <w:bottom w:val="nil"/>
              <w:right w:val="nil"/>
            </w:tcBorders>
            <w:shd w:val="clear" w:color="auto" w:fill="auto"/>
            <w:noWrap/>
            <w:vAlign w:val="bottom"/>
          </w:tcPr>
          <w:p w14:paraId="285E4B49" w14:textId="77777777" w:rsidR="00F92A14" w:rsidRPr="00D93972" w:rsidRDefault="00F92A14" w:rsidP="00F92A14">
            <w:pPr>
              <w:spacing w:after="0" w:line="240" w:lineRule="auto"/>
              <w:rPr>
                <w:rFonts w:ascii="Times New Roman" w:eastAsia="Times New Roman" w:hAnsi="Times New Roman" w:cs="Times New Roman"/>
                <w:sz w:val="20"/>
                <w:szCs w:val="21"/>
                <w:lang w:eastAsia="en-GB"/>
              </w:rPr>
            </w:pPr>
          </w:p>
        </w:tc>
        <w:tc>
          <w:tcPr>
            <w:tcW w:w="271" w:type="dxa"/>
            <w:tcBorders>
              <w:top w:val="nil"/>
              <w:left w:val="nil"/>
              <w:bottom w:val="nil"/>
              <w:right w:val="nil"/>
            </w:tcBorders>
            <w:shd w:val="clear" w:color="auto" w:fill="auto"/>
            <w:noWrap/>
            <w:vAlign w:val="bottom"/>
          </w:tcPr>
          <w:p w14:paraId="447B035D" w14:textId="77777777" w:rsidR="00F92A14" w:rsidRDefault="00F92A14" w:rsidP="00F92A14">
            <w:pPr>
              <w:jc w:val="right"/>
              <w:rPr>
                <w:rFonts w:ascii="Calibri" w:hAnsi="Calibri"/>
                <w:color w:val="000000"/>
              </w:rPr>
            </w:pPr>
          </w:p>
        </w:tc>
        <w:tc>
          <w:tcPr>
            <w:tcW w:w="666" w:type="dxa"/>
            <w:tcBorders>
              <w:top w:val="nil"/>
              <w:left w:val="nil"/>
              <w:bottom w:val="nil"/>
              <w:right w:val="nil"/>
            </w:tcBorders>
            <w:shd w:val="clear" w:color="auto" w:fill="auto"/>
            <w:noWrap/>
            <w:vAlign w:val="bottom"/>
          </w:tcPr>
          <w:p w14:paraId="3E3CEA71" w14:textId="77777777" w:rsidR="00F92A14" w:rsidRPr="00494CF0" w:rsidRDefault="00F92A14" w:rsidP="00F92A14">
            <w:pPr>
              <w:spacing w:after="0" w:line="240" w:lineRule="auto"/>
              <w:jc w:val="right"/>
              <w:rPr>
                <w:rFonts w:ascii="Times New Roman" w:hAnsi="Times New Roman"/>
                <w:sz w:val="20"/>
                <w:szCs w:val="20"/>
              </w:rPr>
            </w:pPr>
          </w:p>
        </w:tc>
        <w:tc>
          <w:tcPr>
            <w:tcW w:w="566" w:type="dxa"/>
            <w:tcBorders>
              <w:top w:val="nil"/>
              <w:left w:val="nil"/>
              <w:bottom w:val="nil"/>
              <w:right w:val="nil"/>
            </w:tcBorders>
            <w:shd w:val="clear" w:color="auto" w:fill="auto"/>
            <w:noWrap/>
            <w:vAlign w:val="bottom"/>
          </w:tcPr>
          <w:p w14:paraId="41FABADB" w14:textId="77777777" w:rsidR="00F92A14" w:rsidRPr="00494CF0" w:rsidRDefault="00F92A14" w:rsidP="00F92A14">
            <w:pPr>
              <w:spacing w:after="0" w:line="240" w:lineRule="auto"/>
              <w:jc w:val="right"/>
              <w:rPr>
                <w:rFonts w:ascii="Times New Roman" w:hAnsi="Times New Roman"/>
                <w:sz w:val="20"/>
                <w:szCs w:val="20"/>
              </w:rPr>
            </w:pPr>
          </w:p>
        </w:tc>
        <w:tc>
          <w:tcPr>
            <w:tcW w:w="730" w:type="dxa"/>
            <w:tcBorders>
              <w:top w:val="nil"/>
              <w:left w:val="nil"/>
              <w:bottom w:val="nil"/>
              <w:right w:val="nil"/>
            </w:tcBorders>
            <w:shd w:val="clear" w:color="auto" w:fill="auto"/>
            <w:noWrap/>
            <w:vAlign w:val="bottom"/>
          </w:tcPr>
          <w:p w14:paraId="4ADF3A2D" w14:textId="77777777" w:rsidR="00F92A14" w:rsidRPr="00494CF0" w:rsidRDefault="00F92A14" w:rsidP="00F92A14">
            <w:pPr>
              <w:spacing w:after="0" w:line="240" w:lineRule="auto"/>
              <w:rPr>
                <w:rFonts w:ascii="Times New Roman" w:eastAsia="Times New Roman" w:hAnsi="Times New Roman" w:cs="Times New Roman"/>
                <w:sz w:val="20"/>
                <w:szCs w:val="21"/>
                <w:lang w:eastAsia="en-GB"/>
              </w:rPr>
            </w:pPr>
          </w:p>
        </w:tc>
        <w:tc>
          <w:tcPr>
            <w:tcW w:w="416" w:type="dxa"/>
            <w:tcBorders>
              <w:top w:val="nil"/>
              <w:left w:val="nil"/>
              <w:bottom w:val="nil"/>
              <w:right w:val="nil"/>
            </w:tcBorders>
            <w:shd w:val="clear" w:color="auto" w:fill="auto"/>
            <w:noWrap/>
            <w:vAlign w:val="bottom"/>
          </w:tcPr>
          <w:p w14:paraId="70C7A949"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r>
      <w:tr w:rsidR="00F92A14" w:rsidRPr="002802A9" w14:paraId="2ACABA51" w14:textId="77777777" w:rsidTr="00F92A14">
        <w:trPr>
          <w:trHeight w:val="288"/>
          <w:jc w:val="center"/>
        </w:trPr>
        <w:tc>
          <w:tcPr>
            <w:tcW w:w="5016" w:type="dxa"/>
            <w:tcBorders>
              <w:top w:val="nil"/>
              <w:left w:val="nil"/>
              <w:bottom w:val="nil"/>
              <w:right w:val="nil"/>
            </w:tcBorders>
            <w:shd w:val="clear" w:color="auto" w:fill="auto"/>
            <w:noWrap/>
            <w:vAlign w:val="bottom"/>
            <w:hideMark/>
          </w:tcPr>
          <w:p w14:paraId="09C1A607" w14:textId="77777777" w:rsidR="00F92A14" w:rsidRPr="002802A9" w:rsidRDefault="00F92A14" w:rsidP="00F92A14">
            <w:pPr>
              <w:spacing w:after="0" w:line="240" w:lineRule="auto"/>
              <w:ind w:firstLineChars="100" w:firstLine="112"/>
              <w:rPr>
                <w:rFonts w:ascii="Times New Roman" w:eastAsia="Times New Roman" w:hAnsi="Times New Roman" w:cs="Times New Roman"/>
                <w:color w:val="000000"/>
                <w:szCs w:val="21"/>
                <w:lang w:eastAsia="en-GB"/>
              </w:rPr>
            </w:pPr>
            <w:r w:rsidRPr="002802A9">
              <w:rPr>
                <w:rFonts w:ascii="Times New Roman" w:eastAsia="Times New Roman" w:hAnsi="Times New Roman" w:cs="Times New Roman"/>
                <w:color w:val="000000"/>
                <w:szCs w:val="21"/>
                <w:lang w:eastAsia="en-GB"/>
              </w:rPr>
              <w:t>Integrated Masters degree</w:t>
            </w:r>
          </w:p>
        </w:tc>
        <w:tc>
          <w:tcPr>
            <w:tcW w:w="711" w:type="dxa"/>
            <w:tcBorders>
              <w:top w:val="nil"/>
              <w:left w:val="nil"/>
              <w:bottom w:val="nil"/>
              <w:right w:val="nil"/>
            </w:tcBorders>
            <w:shd w:val="clear" w:color="auto" w:fill="auto"/>
            <w:noWrap/>
            <w:vAlign w:val="bottom"/>
          </w:tcPr>
          <w:p w14:paraId="650B0BD8" w14:textId="77777777" w:rsidR="00F92A14" w:rsidRPr="002802A9" w:rsidRDefault="00F92A14" w:rsidP="00F92A14">
            <w:pPr>
              <w:spacing w:after="0" w:line="240" w:lineRule="auto"/>
              <w:ind w:firstLineChars="100" w:firstLine="112"/>
              <w:rPr>
                <w:rFonts w:ascii="Times New Roman" w:eastAsia="Times New Roman" w:hAnsi="Times New Roman" w:cs="Times New Roman"/>
                <w:color w:val="000000"/>
                <w:szCs w:val="21"/>
                <w:lang w:eastAsia="en-GB"/>
              </w:rPr>
            </w:pPr>
          </w:p>
        </w:tc>
        <w:tc>
          <w:tcPr>
            <w:tcW w:w="601" w:type="dxa"/>
            <w:tcBorders>
              <w:top w:val="nil"/>
              <w:left w:val="nil"/>
              <w:bottom w:val="nil"/>
              <w:right w:val="nil"/>
            </w:tcBorders>
            <w:shd w:val="clear" w:color="auto" w:fill="auto"/>
            <w:noWrap/>
            <w:vAlign w:val="bottom"/>
          </w:tcPr>
          <w:p w14:paraId="73D24B3C" w14:textId="77777777" w:rsidR="00F92A14" w:rsidRPr="002802A9" w:rsidRDefault="00F92A14" w:rsidP="00F92A14">
            <w:pPr>
              <w:spacing w:after="0" w:line="240" w:lineRule="auto"/>
              <w:ind w:firstLineChars="100" w:firstLine="112"/>
              <w:rPr>
                <w:rFonts w:ascii="Times New Roman" w:eastAsia="Times New Roman" w:hAnsi="Times New Roman" w:cs="Times New Roman"/>
                <w:szCs w:val="21"/>
                <w:lang w:eastAsia="en-GB"/>
              </w:rPr>
            </w:pPr>
          </w:p>
        </w:tc>
        <w:tc>
          <w:tcPr>
            <w:tcW w:w="772" w:type="dxa"/>
            <w:tcBorders>
              <w:top w:val="nil"/>
              <w:left w:val="nil"/>
              <w:bottom w:val="nil"/>
              <w:right w:val="nil"/>
            </w:tcBorders>
            <w:shd w:val="clear" w:color="auto" w:fill="auto"/>
            <w:noWrap/>
            <w:vAlign w:val="bottom"/>
          </w:tcPr>
          <w:p w14:paraId="659D40F8"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5CD253D1"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0BE65E15"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1FB40759" w14:textId="77777777" w:rsidR="00F92A14" w:rsidRPr="00D93972" w:rsidRDefault="00F92A14" w:rsidP="00F92A14">
            <w:pPr>
              <w:spacing w:after="0" w:line="240" w:lineRule="auto"/>
              <w:jc w:val="right"/>
              <w:rPr>
                <w:rFonts w:ascii="Times New Roman" w:hAnsi="Times New Roman" w:cs="Times New Roman"/>
                <w:color w:val="000000"/>
                <w:sz w:val="20"/>
              </w:rPr>
            </w:pPr>
            <w:r w:rsidRPr="00D93972">
              <w:rPr>
                <w:rFonts w:ascii="Times New Roman" w:hAnsi="Times New Roman" w:cs="Times New Roman"/>
                <w:color w:val="000000"/>
                <w:sz w:val="20"/>
              </w:rPr>
              <w:t>-0.18</w:t>
            </w:r>
          </w:p>
        </w:tc>
        <w:tc>
          <w:tcPr>
            <w:tcW w:w="566" w:type="dxa"/>
            <w:tcBorders>
              <w:top w:val="nil"/>
              <w:left w:val="nil"/>
              <w:bottom w:val="nil"/>
              <w:right w:val="nil"/>
            </w:tcBorders>
            <w:shd w:val="clear" w:color="auto" w:fill="auto"/>
            <w:noWrap/>
            <w:vAlign w:val="bottom"/>
          </w:tcPr>
          <w:p w14:paraId="588AB241" w14:textId="77777777" w:rsidR="00F92A14" w:rsidRPr="00D93972" w:rsidRDefault="00F92A14" w:rsidP="00F92A14">
            <w:pPr>
              <w:spacing w:after="0" w:line="240" w:lineRule="auto"/>
              <w:jc w:val="right"/>
              <w:rPr>
                <w:rFonts w:ascii="Times New Roman" w:hAnsi="Times New Roman" w:cs="Times New Roman"/>
                <w:color w:val="000000"/>
                <w:sz w:val="20"/>
              </w:rPr>
            </w:pPr>
            <w:r w:rsidRPr="00D93972">
              <w:rPr>
                <w:rFonts w:ascii="Times New Roman" w:hAnsi="Times New Roman" w:cs="Times New Roman"/>
                <w:color w:val="000000"/>
                <w:sz w:val="20"/>
              </w:rPr>
              <w:t>0.16</w:t>
            </w:r>
          </w:p>
        </w:tc>
        <w:tc>
          <w:tcPr>
            <w:tcW w:w="730" w:type="dxa"/>
            <w:tcBorders>
              <w:top w:val="nil"/>
              <w:left w:val="nil"/>
              <w:bottom w:val="nil"/>
              <w:right w:val="nil"/>
            </w:tcBorders>
            <w:shd w:val="clear" w:color="auto" w:fill="auto"/>
            <w:noWrap/>
            <w:vAlign w:val="bottom"/>
          </w:tcPr>
          <w:p w14:paraId="5BE5480B" w14:textId="77777777" w:rsidR="00F92A14" w:rsidRPr="00D93972" w:rsidRDefault="00F92A14" w:rsidP="00F92A14">
            <w:pPr>
              <w:spacing w:after="0" w:line="240" w:lineRule="auto"/>
              <w:jc w:val="right"/>
              <w:rPr>
                <w:rFonts w:ascii="Times New Roman" w:hAnsi="Times New Roman" w:cs="Times New Roman"/>
                <w:color w:val="000000"/>
                <w:sz w:val="20"/>
              </w:rPr>
            </w:pPr>
            <w:r w:rsidRPr="00D93972">
              <w:rPr>
                <w:rFonts w:ascii="Times New Roman" w:hAnsi="Times New Roman" w:cs="Times New Roman"/>
                <w:color w:val="000000"/>
                <w:sz w:val="20"/>
              </w:rPr>
              <w:t>0.83</w:t>
            </w:r>
          </w:p>
        </w:tc>
        <w:tc>
          <w:tcPr>
            <w:tcW w:w="687" w:type="dxa"/>
            <w:gridSpan w:val="2"/>
            <w:tcBorders>
              <w:top w:val="nil"/>
              <w:left w:val="nil"/>
              <w:bottom w:val="nil"/>
              <w:right w:val="nil"/>
            </w:tcBorders>
            <w:shd w:val="clear" w:color="auto" w:fill="auto"/>
            <w:noWrap/>
            <w:vAlign w:val="bottom"/>
          </w:tcPr>
          <w:p w14:paraId="0609C570" w14:textId="77777777" w:rsidR="00F92A14" w:rsidRPr="00D93972" w:rsidRDefault="00F92A14" w:rsidP="00F92A14">
            <w:pPr>
              <w:spacing w:after="0" w:line="240" w:lineRule="auto"/>
              <w:rPr>
                <w:rFonts w:ascii="Times New Roman" w:eastAsia="Times New Roman" w:hAnsi="Times New Roman" w:cs="Times New Roman"/>
                <w:color w:val="000000"/>
                <w:sz w:val="20"/>
                <w:szCs w:val="21"/>
                <w:lang w:eastAsia="en-GB"/>
              </w:rPr>
            </w:pPr>
          </w:p>
        </w:tc>
        <w:tc>
          <w:tcPr>
            <w:tcW w:w="666" w:type="dxa"/>
            <w:tcBorders>
              <w:top w:val="nil"/>
              <w:left w:val="nil"/>
              <w:bottom w:val="nil"/>
              <w:right w:val="nil"/>
            </w:tcBorders>
            <w:shd w:val="clear" w:color="auto" w:fill="auto"/>
            <w:noWrap/>
            <w:vAlign w:val="bottom"/>
          </w:tcPr>
          <w:p w14:paraId="3FE7FB55" w14:textId="77777777" w:rsidR="00F92A14" w:rsidRPr="00494CF0" w:rsidRDefault="00F92A14" w:rsidP="00F92A14">
            <w:pPr>
              <w:spacing w:after="0" w:line="240" w:lineRule="auto"/>
              <w:jc w:val="right"/>
              <w:rPr>
                <w:rFonts w:ascii="Times New Roman" w:hAnsi="Times New Roman"/>
                <w:color w:val="000000"/>
                <w:sz w:val="20"/>
              </w:rPr>
            </w:pPr>
            <w:r w:rsidRPr="00494CF0">
              <w:rPr>
                <w:rFonts w:ascii="Times New Roman" w:hAnsi="Times New Roman"/>
                <w:color w:val="000000"/>
                <w:sz w:val="20"/>
              </w:rPr>
              <w:t>-0.16</w:t>
            </w:r>
          </w:p>
        </w:tc>
        <w:tc>
          <w:tcPr>
            <w:tcW w:w="566" w:type="dxa"/>
            <w:tcBorders>
              <w:top w:val="nil"/>
              <w:left w:val="nil"/>
              <w:bottom w:val="nil"/>
              <w:right w:val="nil"/>
            </w:tcBorders>
            <w:shd w:val="clear" w:color="auto" w:fill="auto"/>
            <w:noWrap/>
            <w:vAlign w:val="bottom"/>
          </w:tcPr>
          <w:p w14:paraId="41A1B4B6" w14:textId="77777777" w:rsidR="00F92A14" w:rsidRPr="00494CF0" w:rsidRDefault="00F92A14" w:rsidP="00F92A14">
            <w:pPr>
              <w:spacing w:after="0" w:line="240" w:lineRule="auto"/>
              <w:jc w:val="right"/>
              <w:rPr>
                <w:rFonts w:ascii="Times New Roman" w:hAnsi="Times New Roman"/>
                <w:color w:val="000000"/>
                <w:sz w:val="20"/>
              </w:rPr>
            </w:pPr>
            <w:r w:rsidRPr="00494CF0">
              <w:rPr>
                <w:rFonts w:ascii="Times New Roman" w:hAnsi="Times New Roman"/>
                <w:color w:val="000000"/>
                <w:sz w:val="20"/>
              </w:rPr>
              <w:t>0.18</w:t>
            </w:r>
          </w:p>
        </w:tc>
        <w:tc>
          <w:tcPr>
            <w:tcW w:w="730" w:type="dxa"/>
            <w:tcBorders>
              <w:top w:val="nil"/>
              <w:left w:val="nil"/>
              <w:bottom w:val="nil"/>
              <w:right w:val="nil"/>
            </w:tcBorders>
            <w:shd w:val="clear" w:color="auto" w:fill="auto"/>
            <w:noWrap/>
            <w:vAlign w:val="bottom"/>
          </w:tcPr>
          <w:p w14:paraId="739E72DF" w14:textId="77777777" w:rsidR="00F92A14" w:rsidRPr="00494CF0" w:rsidRDefault="00F92A14" w:rsidP="00F92A14">
            <w:pPr>
              <w:spacing w:after="0" w:line="240" w:lineRule="auto"/>
              <w:jc w:val="right"/>
              <w:rPr>
                <w:rFonts w:ascii="Times New Roman" w:hAnsi="Times New Roman"/>
                <w:color w:val="000000"/>
                <w:sz w:val="20"/>
              </w:rPr>
            </w:pPr>
            <w:r w:rsidRPr="00494CF0">
              <w:rPr>
                <w:rFonts w:ascii="Times New Roman" w:hAnsi="Times New Roman"/>
                <w:color w:val="000000"/>
                <w:sz w:val="20"/>
              </w:rPr>
              <w:t>0.85</w:t>
            </w:r>
          </w:p>
        </w:tc>
        <w:tc>
          <w:tcPr>
            <w:tcW w:w="416" w:type="dxa"/>
            <w:tcBorders>
              <w:top w:val="nil"/>
              <w:left w:val="nil"/>
              <w:bottom w:val="nil"/>
              <w:right w:val="nil"/>
            </w:tcBorders>
            <w:shd w:val="clear" w:color="auto" w:fill="auto"/>
            <w:noWrap/>
            <w:vAlign w:val="bottom"/>
          </w:tcPr>
          <w:p w14:paraId="20A9BD2A"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p>
        </w:tc>
      </w:tr>
      <w:tr w:rsidR="00F92A14" w:rsidRPr="002802A9" w14:paraId="2B179252" w14:textId="77777777" w:rsidTr="00F92A14">
        <w:trPr>
          <w:trHeight w:val="288"/>
          <w:jc w:val="center"/>
        </w:trPr>
        <w:tc>
          <w:tcPr>
            <w:tcW w:w="5016" w:type="dxa"/>
            <w:tcBorders>
              <w:top w:val="nil"/>
              <w:left w:val="nil"/>
              <w:bottom w:val="nil"/>
              <w:right w:val="nil"/>
            </w:tcBorders>
            <w:shd w:val="clear" w:color="auto" w:fill="auto"/>
            <w:noWrap/>
            <w:vAlign w:val="bottom"/>
            <w:hideMark/>
          </w:tcPr>
          <w:p w14:paraId="3E5A88E5"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r w:rsidRPr="002802A9">
              <w:rPr>
                <w:rFonts w:ascii="Times New Roman" w:eastAsia="Times New Roman" w:hAnsi="Times New Roman" w:cs="Times New Roman"/>
                <w:color w:val="000000"/>
                <w:szCs w:val="21"/>
                <w:lang w:eastAsia="en-GB"/>
              </w:rPr>
              <w:t>UG Subject (ref: Academic focused)</w:t>
            </w:r>
          </w:p>
        </w:tc>
        <w:tc>
          <w:tcPr>
            <w:tcW w:w="711" w:type="dxa"/>
            <w:tcBorders>
              <w:top w:val="nil"/>
              <w:left w:val="nil"/>
              <w:bottom w:val="nil"/>
              <w:right w:val="nil"/>
            </w:tcBorders>
            <w:shd w:val="clear" w:color="auto" w:fill="auto"/>
            <w:noWrap/>
            <w:vAlign w:val="bottom"/>
          </w:tcPr>
          <w:p w14:paraId="3242A05E"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p>
        </w:tc>
        <w:tc>
          <w:tcPr>
            <w:tcW w:w="601" w:type="dxa"/>
            <w:tcBorders>
              <w:top w:val="nil"/>
              <w:left w:val="nil"/>
              <w:bottom w:val="nil"/>
              <w:right w:val="nil"/>
            </w:tcBorders>
            <w:shd w:val="clear" w:color="auto" w:fill="auto"/>
            <w:noWrap/>
            <w:vAlign w:val="bottom"/>
          </w:tcPr>
          <w:p w14:paraId="410F148F"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72" w:type="dxa"/>
            <w:tcBorders>
              <w:top w:val="nil"/>
              <w:left w:val="nil"/>
              <w:bottom w:val="nil"/>
              <w:right w:val="nil"/>
            </w:tcBorders>
            <w:shd w:val="clear" w:color="auto" w:fill="auto"/>
            <w:noWrap/>
            <w:vAlign w:val="bottom"/>
          </w:tcPr>
          <w:p w14:paraId="7A9486B1"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2F001EDA"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32AC5010"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17883880" w14:textId="77777777" w:rsidR="00F92A14" w:rsidRPr="00D93972" w:rsidRDefault="00F92A14" w:rsidP="00F92A14">
            <w:pPr>
              <w:spacing w:after="0" w:line="240" w:lineRule="auto"/>
              <w:jc w:val="right"/>
              <w:rPr>
                <w:rFonts w:ascii="Times New Roman" w:hAnsi="Times New Roman" w:cs="Times New Roman"/>
                <w:sz w:val="20"/>
                <w:szCs w:val="20"/>
              </w:rPr>
            </w:pPr>
          </w:p>
        </w:tc>
        <w:tc>
          <w:tcPr>
            <w:tcW w:w="566" w:type="dxa"/>
            <w:tcBorders>
              <w:top w:val="nil"/>
              <w:left w:val="nil"/>
              <w:bottom w:val="nil"/>
              <w:right w:val="nil"/>
            </w:tcBorders>
            <w:shd w:val="clear" w:color="auto" w:fill="auto"/>
            <w:noWrap/>
            <w:vAlign w:val="bottom"/>
          </w:tcPr>
          <w:p w14:paraId="5FEC534D" w14:textId="77777777" w:rsidR="00F92A14" w:rsidRPr="00D93972" w:rsidRDefault="00F92A14" w:rsidP="00F92A14">
            <w:pPr>
              <w:spacing w:after="0" w:line="240" w:lineRule="auto"/>
              <w:jc w:val="right"/>
              <w:rPr>
                <w:rFonts w:ascii="Times New Roman" w:hAnsi="Times New Roman" w:cs="Times New Roman"/>
                <w:sz w:val="20"/>
                <w:szCs w:val="20"/>
              </w:rPr>
            </w:pPr>
          </w:p>
        </w:tc>
        <w:tc>
          <w:tcPr>
            <w:tcW w:w="730" w:type="dxa"/>
            <w:tcBorders>
              <w:top w:val="nil"/>
              <w:left w:val="nil"/>
              <w:bottom w:val="nil"/>
              <w:right w:val="nil"/>
            </w:tcBorders>
            <w:shd w:val="clear" w:color="auto" w:fill="auto"/>
            <w:noWrap/>
            <w:vAlign w:val="bottom"/>
          </w:tcPr>
          <w:p w14:paraId="084491C9" w14:textId="77777777" w:rsidR="00F92A14" w:rsidRPr="00D93972" w:rsidRDefault="00F92A14" w:rsidP="00F92A14">
            <w:pPr>
              <w:spacing w:after="0" w:line="240" w:lineRule="auto"/>
              <w:jc w:val="right"/>
              <w:rPr>
                <w:rFonts w:ascii="Times New Roman" w:hAnsi="Times New Roman" w:cs="Times New Roman"/>
                <w:sz w:val="20"/>
                <w:szCs w:val="20"/>
              </w:rPr>
            </w:pPr>
          </w:p>
        </w:tc>
        <w:tc>
          <w:tcPr>
            <w:tcW w:w="416" w:type="dxa"/>
            <w:tcBorders>
              <w:top w:val="nil"/>
              <w:left w:val="nil"/>
              <w:bottom w:val="nil"/>
              <w:right w:val="nil"/>
            </w:tcBorders>
            <w:shd w:val="clear" w:color="auto" w:fill="auto"/>
            <w:noWrap/>
            <w:vAlign w:val="bottom"/>
          </w:tcPr>
          <w:p w14:paraId="49997335" w14:textId="77777777" w:rsidR="00F92A14" w:rsidRPr="00D93972" w:rsidRDefault="00F92A14" w:rsidP="00F92A14">
            <w:pPr>
              <w:spacing w:after="0" w:line="240" w:lineRule="auto"/>
              <w:rPr>
                <w:rFonts w:ascii="Times New Roman" w:eastAsia="Times New Roman" w:hAnsi="Times New Roman" w:cs="Times New Roman"/>
                <w:sz w:val="20"/>
                <w:szCs w:val="21"/>
                <w:lang w:eastAsia="en-GB"/>
              </w:rPr>
            </w:pPr>
          </w:p>
        </w:tc>
        <w:tc>
          <w:tcPr>
            <w:tcW w:w="271" w:type="dxa"/>
            <w:tcBorders>
              <w:top w:val="nil"/>
              <w:left w:val="nil"/>
              <w:bottom w:val="nil"/>
              <w:right w:val="nil"/>
            </w:tcBorders>
            <w:shd w:val="clear" w:color="auto" w:fill="auto"/>
            <w:noWrap/>
            <w:vAlign w:val="bottom"/>
          </w:tcPr>
          <w:p w14:paraId="1EE59205" w14:textId="77777777" w:rsidR="00F92A14" w:rsidRPr="00D93972" w:rsidRDefault="00F92A14" w:rsidP="00F92A14">
            <w:pPr>
              <w:spacing w:after="0" w:line="240" w:lineRule="auto"/>
              <w:rPr>
                <w:rFonts w:ascii="Times New Roman" w:eastAsia="Times New Roman" w:hAnsi="Times New Roman" w:cs="Times New Roman"/>
                <w:sz w:val="20"/>
                <w:szCs w:val="21"/>
                <w:lang w:eastAsia="en-GB"/>
              </w:rPr>
            </w:pPr>
          </w:p>
        </w:tc>
        <w:tc>
          <w:tcPr>
            <w:tcW w:w="666" w:type="dxa"/>
            <w:tcBorders>
              <w:top w:val="nil"/>
              <w:left w:val="nil"/>
              <w:bottom w:val="nil"/>
              <w:right w:val="nil"/>
            </w:tcBorders>
            <w:shd w:val="clear" w:color="auto" w:fill="auto"/>
            <w:noWrap/>
            <w:vAlign w:val="bottom"/>
          </w:tcPr>
          <w:p w14:paraId="681F9485"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566" w:type="dxa"/>
            <w:tcBorders>
              <w:top w:val="nil"/>
              <w:left w:val="nil"/>
              <w:bottom w:val="nil"/>
              <w:right w:val="nil"/>
            </w:tcBorders>
            <w:shd w:val="clear" w:color="auto" w:fill="auto"/>
            <w:noWrap/>
            <w:vAlign w:val="bottom"/>
          </w:tcPr>
          <w:p w14:paraId="1E918FD4"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30" w:type="dxa"/>
            <w:tcBorders>
              <w:top w:val="nil"/>
              <w:left w:val="nil"/>
              <w:bottom w:val="nil"/>
              <w:right w:val="nil"/>
            </w:tcBorders>
            <w:shd w:val="clear" w:color="auto" w:fill="auto"/>
            <w:noWrap/>
            <w:vAlign w:val="bottom"/>
          </w:tcPr>
          <w:p w14:paraId="514785DE"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416" w:type="dxa"/>
            <w:tcBorders>
              <w:top w:val="nil"/>
              <w:left w:val="nil"/>
              <w:bottom w:val="nil"/>
              <w:right w:val="nil"/>
            </w:tcBorders>
            <w:shd w:val="clear" w:color="auto" w:fill="auto"/>
            <w:noWrap/>
            <w:vAlign w:val="bottom"/>
          </w:tcPr>
          <w:p w14:paraId="3FE764EC"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r>
      <w:tr w:rsidR="00F92A14" w:rsidRPr="002802A9" w14:paraId="274A644C" w14:textId="77777777" w:rsidTr="00F92A14">
        <w:trPr>
          <w:trHeight w:val="288"/>
          <w:jc w:val="center"/>
        </w:trPr>
        <w:tc>
          <w:tcPr>
            <w:tcW w:w="5016" w:type="dxa"/>
            <w:tcBorders>
              <w:top w:val="nil"/>
              <w:left w:val="nil"/>
              <w:bottom w:val="nil"/>
              <w:right w:val="nil"/>
            </w:tcBorders>
            <w:shd w:val="clear" w:color="auto" w:fill="auto"/>
            <w:noWrap/>
            <w:vAlign w:val="bottom"/>
            <w:hideMark/>
          </w:tcPr>
          <w:p w14:paraId="42550C6F" w14:textId="77777777" w:rsidR="00F92A14" w:rsidRPr="002802A9" w:rsidRDefault="00F92A14" w:rsidP="00F92A14">
            <w:pPr>
              <w:spacing w:after="0" w:line="240" w:lineRule="auto"/>
              <w:ind w:firstLineChars="100" w:firstLine="112"/>
              <w:rPr>
                <w:rFonts w:ascii="Times New Roman" w:eastAsia="Times New Roman" w:hAnsi="Times New Roman" w:cs="Times New Roman"/>
                <w:color w:val="000000"/>
                <w:szCs w:val="21"/>
                <w:lang w:eastAsia="en-GB"/>
              </w:rPr>
            </w:pPr>
            <w:r w:rsidRPr="002802A9">
              <w:rPr>
                <w:rFonts w:ascii="Times New Roman" w:eastAsia="Times New Roman" w:hAnsi="Times New Roman" w:cs="Times New Roman"/>
                <w:color w:val="000000"/>
                <w:szCs w:val="21"/>
                <w:lang w:eastAsia="en-GB"/>
              </w:rPr>
              <w:t>STEM, including Medical</w:t>
            </w:r>
          </w:p>
        </w:tc>
        <w:tc>
          <w:tcPr>
            <w:tcW w:w="711" w:type="dxa"/>
            <w:tcBorders>
              <w:top w:val="nil"/>
              <w:left w:val="nil"/>
              <w:bottom w:val="nil"/>
              <w:right w:val="nil"/>
            </w:tcBorders>
            <w:shd w:val="clear" w:color="auto" w:fill="auto"/>
            <w:noWrap/>
            <w:vAlign w:val="bottom"/>
          </w:tcPr>
          <w:p w14:paraId="53CAE473" w14:textId="77777777" w:rsidR="00F92A14" w:rsidRPr="002802A9" w:rsidRDefault="00F92A14" w:rsidP="00F92A14">
            <w:pPr>
              <w:spacing w:after="0" w:line="240" w:lineRule="auto"/>
              <w:ind w:firstLineChars="100" w:firstLine="112"/>
              <w:rPr>
                <w:rFonts w:ascii="Times New Roman" w:eastAsia="Times New Roman" w:hAnsi="Times New Roman" w:cs="Times New Roman"/>
                <w:color w:val="000000"/>
                <w:szCs w:val="21"/>
                <w:lang w:eastAsia="en-GB"/>
              </w:rPr>
            </w:pPr>
          </w:p>
        </w:tc>
        <w:tc>
          <w:tcPr>
            <w:tcW w:w="601" w:type="dxa"/>
            <w:tcBorders>
              <w:top w:val="nil"/>
              <w:left w:val="nil"/>
              <w:bottom w:val="nil"/>
              <w:right w:val="nil"/>
            </w:tcBorders>
            <w:shd w:val="clear" w:color="auto" w:fill="auto"/>
            <w:noWrap/>
            <w:vAlign w:val="bottom"/>
          </w:tcPr>
          <w:p w14:paraId="29AAFFB9"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72" w:type="dxa"/>
            <w:tcBorders>
              <w:top w:val="nil"/>
              <w:left w:val="nil"/>
              <w:bottom w:val="nil"/>
              <w:right w:val="nil"/>
            </w:tcBorders>
            <w:shd w:val="clear" w:color="auto" w:fill="auto"/>
            <w:noWrap/>
            <w:vAlign w:val="bottom"/>
          </w:tcPr>
          <w:p w14:paraId="20211DEC"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3185A5AD"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6F31A780"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5EF3C88B" w14:textId="77777777" w:rsidR="00F92A14" w:rsidRPr="00D93972" w:rsidRDefault="00F92A14" w:rsidP="00F92A14">
            <w:pPr>
              <w:spacing w:after="0" w:line="240" w:lineRule="auto"/>
              <w:jc w:val="right"/>
              <w:rPr>
                <w:rFonts w:ascii="Times New Roman" w:hAnsi="Times New Roman" w:cs="Times New Roman"/>
                <w:color w:val="000000"/>
                <w:sz w:val="20"/>
              </w:rPr>
            </w:pPr>
            <w:r w:rsidRPr="00D93972">
              <w:rPr>
                <w:rFonts w:ascii="Times New Roman" w:hAnsi="Times New Roman" w:cs="Times New Roman"/>
                <w:color w:val="000000"/>
                <w:sz w:val="20"/>
              </w:rPr>
              <w:t>0.28</w:t>
            </w:r>
          </w:p>
        </w:tc>
        <w:tc>
          <w:tcPr>
            <w:tcW w:w="566" w:type="dxa"/>
            <w:tcBorders>
              <w:top w:val="nil"/>
              <w:left w:val="nil"/>
              <w:bottom w:val="nil"/>
              <w:right w:val="nil"/>
            </w:tcBorders>
            <w:shd w:val="clear" w:color="auto" w:fill="auto"/>
            <w:noWrap/>
            <w:vAlign w:val="bottom"/>
          </w:tcPr>
          <w:p w14:paraId="49615DD4" w14:textId="77777777" w:rsidR="00F92A14" w:rsidRPr="00D93972" w:rsidRDefault="00F92A14" w:rsidP="00F92A14">
            <w:pPr>
              <w:spacing w:after="0" w:line="240" w:lineRule="auto"/>
              <w:jc w:val="right"/>
              <w:rPr>
                <w:rFonts w:ascii="Times New Roman" w:hAnsi="Times New Roman" w:cs="Times New Roman"/>
                <w:color w:val="000000"/>
                <w:sz w:val="20"/>
              </w:rPr>
            </w:pPr>
            <w:r w:rsidRPr="00D93972">
              <w:rPr>
                <w:rFonts w:ascii="Times New Roman" w:hAnsi="Times New Roman" w:cs="Times New Roman"/>
                <w:color w:val="000000"/>
                <w:sz w:val="20"/>
              </w:rPr>
              <w:t>0.10</w:t>
            </w:r>
          </w:p>
        </w:tc>
        <w:tc>
          <w:tcPr>
            <w:tcW w:w="730" w:type="dxa"/>
            <w:tcBorders>
              <w:top w:val="nil"/>
              <w:left w:val="nil"/>
              <w:bottom w:val="nil"/>
              <w:right w:val="nil"/>
            </w:tcBorders>
            <w:shd w:val="clear" w:color="auto" w:fill="auto"/>
            <w:noWrap/>
            <w:vAlign w:val="bottom"/>
          </w:tcPr>
          <w:p w14:paraId="375965FB" w14:textId="77777777" w:rsidR="00F92A14" w:rsidRPr="00D93972" w:rsidRDefault="00F92A14" w:rsidP="00F92A14">
            <w:pPr>
              <w:spacing w:after="0" w:line="240" w:lineRule="auto"/>
              <w:jc w:val="right"/>
              <w:rPr>
                <w:rFonts w:ascii="Times New Roman" w:hAnsi="Times New Roman" w:cs="Times New Roman"/>
                <w:color w:val="000000"/>
                <w:sz w:val="20"/>
              </w:rPr>
            </w:pPr>
            <w:r w:rsidRPr="00D93972">
              <w:rPr>
                <w:rFonts w:ascii="Times New Roman" w:hAnsi="Times New Roman" w:cs="Times New Roman"/>
                <w:color w:val="000000"/>
                <w:sz w:val="20"/>
              </w:rPr>
              <w:t>1.32</w:t>
            </w:r>
          </w:p>
        </w:tc>
        <w:tc>
          <w:tcPr>
            <w:tcW w:w="416" w:type="dxa"/>
            <w:tcBorders>
              <w:top w:val="nil"/>
              <w:left w:val="nil"/>
              <w:bottom w:val="nil"/>
              <w:right w:val="nil"/>
            </w:tcBorders>
            <w:shd w:val="clear" w:color="auto" w:fill="auto"/>
            <w:noWrap/>
            <w:vAlign w:val="bottom"/>
          </w:tcPr>
          <w:p w14:paraId="7BAA3176" w14:textId="77777777" w:rsidR="00F92A14" w:rsidRPr="00D93972" w:rsidRDefault="00F92A14" w:rsidP="00F92A14">
            <w:pPr>
              <w:spacing w:after="0" w:line="240" w:lineRule="auto"/>
              <w:rPr>
                <w:rFonts w:ascii="Times New Roman" w:eastAsia="Times New Roman" w:hAnsi="Times New Roman" w:cs="Times New Roman"/>
                <w:color w:val="000000"/>
                <w:sz w:val="20"/>
                <w:szCs w:val="21"/>
                <w:lang w:eastAsia="en-GB"/>
              </w:rPr>
            </w:pPr>
            <w:r w:rsidRPr="00D93972">
              <w:rPr>
                <w:rFonts w:ascii="Times New Roman" w:eastAsia="Times New Roman" w:hAnsi="Times New Roman" w:cs="Times New Roman"/>
                <w:color w:val="000000"/>
                <w:sz w:val="20"/>
                <w:szCs w:val="21"/>
                <w:lang w:eastAsia="en-GB"/>
              </w:rPr>
              <w:t>**</w:t>
            </w:r>
          </w:p>
        </w:tc>
        <w:tc>
          <w:tcPr>
            <w:tcW w:w="271" w:type="dxa"/>
            <w:tcBorders>
              <w:top w:val="nil"/>
              <w:left w:val="nil"/>
              <w:bottom w:val="nil"/>
              <w:right w:val="nil"/>
            </w:tcBorders>
            <w:shd w:val="clear" w:color="auto" w:fill="auto"/>
            <w:noWrap/>
            <w:vAlign w:val="bottom"/>
          </w:tcPr>
          <w:p w14:paraId="4B386F8E" w14:textId="77777777" w:rsidR="00F92A14" w:rsidRPr="00D93972" w:rsidRDefault="00F92A14" w:rsidP="00F92A14">
            <w:pPr>
              <w:spacing w:after="0" w:line="240" w:lineRule="auto"/>
              <w:rPr>
                <w:rFonts w:ascii="Times New Roman" w:eastAsia="Times New Roman" w:hAnsi="Times New Roman" w:cs="Times New Roman"/>
                <w:color w:val="000000"/>
                <w:sz w:val="20"/>
                <w:szCs w:val="21"/>
                <w:lang w:eastAsia="en-GB"/>
              </w:rPr>
            </w:pPr>
          </w:p>
        </w:tc>
        <w:tc>
          <w:tcPr>
            <w:tcW w:w="666" w:type="dxa"/>
            <w:tcBorders>
              <w:top w:val="nil"/>
              <w:left w:val="nil"/>
              <w:bottom w:val="nil"/>
              <w:right w:val="nil"/>
            </w:tcBorders>
            <w:shd w:val="clear" w:color="auto" w:fill="auto"/>
            <w:noWrap/>
            <w:vAlign w:val="bottom"/>
          </w:tcPr>
          <w:p w14:paraId="4F1C85CF" w14:textId="77777777" w:rsidR="00F92A14" w:rsidRPr="00192108" w:rsidRDefault="00F92A14" w:rsidP="00F92A14">
            <w:pPr>
              <w:spacing w:after="0" w:line="240" w:lineRule="auto"/>
              <w:jc w:val="right"/>
              <w:rPr>
                <w:rFonts w:ascii="Times New Roman" w:eastAsia="Times New Roman" w:hAnsi="Times New Roman" w:cs="Times New Roman"/>
                <w:color w:val="000000"/>
                <w:sz w:val="20"/>
              </w:rPr>
            </w:pPr>
            <w:r w:rsidRPr="00192108">
              <w:rPr>
                <w:rFonts w:ascii="Times New Roman" w:hAnsi="Times New Roman" w:cs="Times New Roman"/>
                <w:color w:val="000000"/>
                <w:sz w:val="20"/>
              </w:rPr>
              <w:t>0.34</w:t>
            </w:r>
          </w:p>
        </w:tc>
        <w:tc>
          <w:tcPr>
            <w:tcW w:w="566" w:type="dxa"/>
            <w:tcBorders>
              <w:top w:val="nil"/>
              <w:left w:val="nil"/>
              <w:bottom w:val="nil"/>
              <w:right w:val="nil"/>
            </w:tcBorders>
            <w:shd w:val="clear" w:color="auto" w:fill="auto"/>
            <w:noWrap/>
            <w:vAlign w:val="bottom"/>
          </w:tcPr>
          <w:p w14:paraId="14462D45"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0.11</w:t>
            </w:r>
          </w:p>
        </w:tc>
        <w:tc>
          <w:tcPr>
            <w:tcW w:w="730" w:type="dxa"/>
            <w:tcBorders>
              <w:top w:val="nil"/>
              <w:left w:val="nil"/>
              <w:bottom w:val="nil"/>
              <w:right w:val="nil"/>
            </w:tcBorders>
            <w:shd w:val="clear" w:color="auto" w:fill="auto"/>
            <w:noWrap/>
            <w:vAlign w:val="bottom"/>
          </w:tcPr>
          <w:p w14:paraId="63436616"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1.41</w:t>
            </w:r>
          </w:p>
        </w:tc>
        <w:tc>
          <w:tcPr>
            <w:tcW w:w="416" w:type="dxa"/>
            <w:tcBorders>
              <w:top w:val="nil"/>
              <w:left w:val="nil"/>
              <w:bottom w:val="nil"/>
              <w:right w:val="nil"/>
            </w:tcBorders>
            <w:shd w:val="clear" w:color="auto" w:fill="auto"/>
            <w:noWrap/>
            <w:vAlign w:val="bottom"/>
          </w:tcPr>
          <w:p w14:paraId="2BB058C6" w14:textId="77777777" w:rsidR="00F92A14" w:rsidRPr="002802A9" w:rsidRDefault="00F92A14" w:rsidP="00F92A14">
            <w:pPr>
              <w:spacing w:after="0" w:line="240" w:lineRule="auto"/>
              <w:jc w:val="right"/>
              <w:rPr>
                <w:rFonts w:ascii="Times New Roman" w:eastAsia="Times New Roman" w:hAnsi="Times New Roman" w:cs="Times New Roman"/>
                <w:color w:val="000000"/>
                <w:szCs w:val="21"/>
                <w:lang w:eastAsia="en-GB"/>
              </w:rPr>
            </w:pPr>
            <w:r w:rsidRPr="00192108">
              <w:rPr>
                <w:rFonts w:ascii="Times New Roman" w:eastAsia="Times New Roman" w:hAnsi="Times New Roman" w:cs="Times New Roman"/>
                <w:color w:val="000000"/>
                <w:sz w:val="20"/>
                <w:szCs w:val="21"/>
                <w:lang w:eastAsia="en-GB"/>
              </w:rPr>
              <w:t>**</w:t>
            </w:r>
          </w:p>
        </w:tc>
      </w:tr>
      <w:tr w:rsidR="00F92A14" w:rsidRPr="002802A9" w14:paraId="719031A8" w14:textId="77777777" w:rsidTr="00F92A14">
        <w:trPr>
          <w:trHeight w:val="288"/>
          <w:jc w:val="center"/>
        </w:trPr>
        <w:tc>
          <w:tcPr>
            <w:tcW w:w="5016" w:type="dxa"/>
            <w:tcBorders>
              <w:top w:val="nil"/>
              <w:left w:val="nil"/>
              <w:bottom w:val="nil"/>
              <w:right w:val="nil"/>
            </w:tcBorders>
            <w:shd w:val="clear" w:color="auto" w:fill="auto"/>
            <w:noWrap/>
            <w:vAlign w:val="bottom"/>
            <w:hideMark/>
          </w:tcPr>
          <w:p w14:paraId="6BF66C35" w14:textId="77777777" w:rsidR="00F92A14" w:rsidRPr="002802A9" w:rsidRDefault="00F92A14" w:rsidP="00F92A14">
            <w:pPr>
              <w:spacing w:after="0" w:line="240" w:lineRule="auto"/>
              <w:ind w:firstLineChars="100" w:firstLine="112"/>
              <w:rPr>
                <w:rFonts w:ascii="Times New Roman" w:eastAsia="Times New Roman" w:hAnsi="Times New Roman" w:cs="Times New Roman"/>
                <w:color w:val="000000"/>
                <w:szCs w:val="21"/>
                <w:lang w:eastAsia="en-GB"/>
              </w:rPr>
            </w:pPr>
            <w:r w:rsidRPr="002802A9">
              <w:rPr>
                <w:rFonts w:ascii="Times New Roman" w:eastAsia="Times New Roman" w:hAnsi="Times New Roman" w:cs="Times New Roman"/>
                <w:color w:val="000000"/>
                <w:szCs w:val="21"/>
                <w:lang w:eastAsia="en-GB"/>
              </w:rPr>
              <w:t>Law, Economics and Management</w:t>
            </w:r>
          </w:p>
        </w:tc>
        <w:tc>
          <w:tcPr>
            <w:tcW w:w="711" w:type="dxa"/>
            <w:tcBorders>
              <w:top w:val="nil"/>
              <w:left w:val="nil"/>
              <w:bottom w:val="nil"/>
              <w:right w:val="nil"/>
            </w:tcBorders>
            <w:shd w:val="clear" w:color="auto" w:fill="auto"/>
            <w:noWrap/>
            <w:vAlign w:val="bottom"/>
          </w:tcPr>
          <w:p w14:paraId="67A21AB9" w14:textId="77777777" w:rsidR="00F92A14" w:rsidRPr="002802A9" w:rsidRDefault="00F92A14" w:rsidP="00F92A14">
            <w:pPr>
              <w:spacing w:after="0" w:line="240" w:lineRule="auto"/>
              <w:ind w:firstLineChars="100" w:firstLine="112"/>
              <w:rPr>
                <w:rFonts w:ascii="Times New Roman" w:eastAsia="Times New Roman" w:hAnsi="Times New Roman" w:cs="Times New Roman"/>
                <w:color w:val="000000"/>
                <w:szCs w:val="21"/>
                <w:lang w:eastAsia="en-GB"/>
              </w:rPr>
            </w:pPr>
          </w:p>
        </w:tc>
        <w:tc>
          <w:tcPr>
            <w:tcW w:w="601" w:type="dxa"/>
            <w:tcBorders>
              <w:top w:val="nil"/>
              <w:left w:val="nil"/>
              <w:bottom w:val="nil"/>
              <w:right w:val="nil"/>
            </w:tcBorders>
            <w:shd w:val="clear" w:color="auto" w:fill="auto"/>
            <w:noWrap/>
            <w:vAlign w:val="bottom"/>
          </w:tcPr>
          <w:p w14:paraId="50E81395"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72" w:type="dxa"/>
            <w:tcBorders>
              <w:top w:val="nil"/>
              <w:left w:val="nil"/>
              <w:bottom w:val="nil"/>
              <w:right w:val="nil"/>
            </w:tcBorders>
            <w:shd w:val="clear" w:color="auto" w:fill="auto"/>
            <w:noWrap/>
            <w:vAlign w:val="bottom"/>
          </w:tcPr>
          <w:p w14:paraId="724415F0"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390A9E16"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675F7C3E"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552E56F3" w14:textId="77777777" w:rsidR="00F92A14" w:rsidRPr="00D93972" w:rsidRDefault="00F92A14" w:rsidP="00F92A14">
            <w:pPr>
              <w:spacing w:after="0" w:line="240" w:lineRule="auto"/>
              <w:jc w:val="right"/>
              <w:rPr>
                <w:rFonts w:ascii="Times New Roman" w:hAnsi="Times New Roman" w:cs="Times New Roman"/>
                <w:color w:val="000000"/>
                <w:sz w:val="20"/>
              </w:rPr>
            </w:pPr>
            <w:r w:rsidRPr="00D93972">
              <w:rPr>
                <w:rFonts w:ascii="Times New Roman" w:hAnsi="Times New Roman" w:cs="Times New Roman"/>
                <w:color w:val="000000"/>
                <w:sz w:val="20"/>
              </w:rPr>
              <w:t>-0.25</w:t>
            </w:r>
          </w:p>
        </w:tc>
        <w:tc>
          <w:tcPr>
            <w:tcW w:w="566" w:type="dxa"/>
            <w:tcBorders>
              <w:top w:val="nil"/>
              <w:left w:val="nil"/>
              <w:bottom w:val="nil"/>
              <w:right w:val="nil"/>
            </w:tcBorders>
            <w:shd w:val="clear" w:color="auto" w:fill="auto"/>
            <w:noWrap/>
            <w:vAlign w:val="bottom"/>
          </w:tcPr>
          <w:p w14:paraId="6DCA8EDA" w14:textId="77777777" w:rsidR="00F92A14" w:rsidRPr="00D93972" w:rsidRDefault="00F92A14" w:rsidP="00F92A14">
            <w:pPr>
              <w:spacing w:after="0" w:line="240" w:lineRule="auto"/>
              <w:jc w:val="right"/>
              <w:rPr>
                <w:rFonts w:ascii="Times New Roman" w:hAnsi="Times New Roman" w:cs="Times New Roman"/>
                <w:color w:val="000000"/>
                <w:sz w:val="20"/>
              </w:rPr>
            </w:pPr>
            <w:r w:rsidRPr="00D93972">
              <w:rPr>
                <w:rFonts w:ascii="Times New Roman" w:hAnsi="Times New Roman" w:cs="Times New Roman"/>
                <w:color w:val="000000"/>
                <w:sz w:val="20"/>
              </w:rPr>
              <w:t>0.18</w:t>
            </w:r>
          </w:p>
        </w:tc>
        <w:tc>
          <w:tcPr>
            <w:tcW w:w="730" w:type="dxa"/>
            <w:tcBorders>
              <w:top w:val="nil"/>
              <w:left w:val="nil"/>
              <w:bottom w:val="nil"/>
              <w:right w:val="nil"/>
            </w:tcBorders>
            <w:shd w:val="clear" w:color="auto" w:fill="auto"/>
            <w:noWrap/>
            <w:vAlign w:val="bottom"/>
          </w:tcPr>
          <w:p w14:paraId="0ED73497" w14:textId="77777777" w:rsidR="00F92A14" w:rsidRPr="00D93972" w:rsidRDefault="00F92A14" w:rsidP="00F92A14">
            <w:pPr>
              <w:spacing w:after="0" w:line="240" w:lineRule="auto"/>
              <w:jc w:val="right"/>
              <w:rPr>
                <w:rFonts w:ascii="Times New Roman" w:hAnsi="Times New Roman" w:cs="Times New Roman"/>
                <w:color w:val="000000"/>
                <w:sz w:val="20"/>
              </w:rPr>
            </w:pPr>
            <w:r w:rsidRPr="00D93972">
              <w:rPr>
                <w:rFonts w:ascii="Times New Roman" w:hAnsi="Times New Roman" w:cs="Times New Roman"/>
                <w:color w:val="000000"/>
                <w:sz w:val="20"/>
              </w:rPr>
              <w:t>0.78</w:t>
            </w:r>
          </w:p>
        </w:tc>
        <w:tc>
          <w:tcPr>
            <w:tcW w:w="416" w:type="dxa"/>
            <w:tcBorders>
              <w:top w:val="nil"/>
              <w:left w:val="nil"/>
              <w:bottom w:val="nil"/>
              <w:right w:val="nil"/>
            </w:tcBorders>
            <w:shd w:val="clear" w:color="auto" w:fill="auto"/>
            <w:noWrap/>
            <w:vAlign w:val="bottom"/>
          </w:tcPr>
          <w:p w14:paraId="71092DD7"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p>
        </w:tc>
        <w:tc>
          <w:tcPr>
            <w:tcW w:w="271" w:type="dxa"/>
            <w:tcBorders>
              <w:top w:val="nil"/>
              <w:left w:val="nil"/>
              <w:bottom w:val="nil"/>
              <w:right w:val="nil"/>
            </w:tcBorders>
            <w:shd w:val="clear" w:color="auto" w:fill="auto"/>
            <w:noWrap/>
            <w:vAlign w:val="bottom"/>
          </w:tcPr>
          <w:p w14:paraId="083078A9"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p>
        </w:tc>
        <w:tc>
          <w:tcPr>
            <w:tcW w:w="666" w:type="dxa"/>
            <w:tcBorders>
              <w:top w:val="nil"/>
              <w:left w:val="nil"/>
              <w:bottom w:val="nil"/>
              <w:right w:val="nil"/>
            </w:tcBorders>
            <w:shd w:val="clear" w:color="auto" w:fill="auto"/>
            <w:noWrap/>
            <w:vAlign w:val="bottom"/>
          </w:tcPr>
          <w:p w14:paraId="4691A012"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-0.28</w:t>
            </w:r>
          </w:p>
        </w:tc>
        <w:tc>
          <w:tcPr>
            <w:tcW w:w="566" w:type="dxa"/>
            <w:tcBorders>
              <w:top w:val="nil"/>
              <w:left w:val="nil"/>
              <w:bottom w:val="nil"/>
              <w:right w:val="nil"/>
            </w:tcBorders>
            <w:shd w:val="clear" w:color="auto" w:fill="auto"/>
            <w:noWrap/>
            <w:vAlign w:val="bottom"/>
          </w:tcPr>
          <w:p w14:paraId="5BB6A09D"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0.20</w:t>
            </w:r>
          </w:p>
        </w:tc>
        <w:tc>
          <w:tcPr>
            <w:tcW w:w="730" w:type="dxa"/>
            <w:tcBorders>
              <w:top w:val="nil"/>
              <w:left w:val="nil"/>
              <w:bottom w:val="nil"/>
              <w:right w:val="nil"/>
            </w:tcBorders>
            <w:shd w:val="clear" w:color="auto" w:fill="auto"/>
            <w:noWrap/>
            <w:vAlign w:val="bottom"/>
          </w:tcPr>
          <w:p w14:paraId="083C8B38"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0.76</w:t>
            </w:r>
          </w:p>
        </w:tc>
        <w:tc>
          <w:tcPr>
            <w:tcW w:w="416" w:type="dxa"/>
            <w:tcBorders>
              <w:top w:val="nil"/>
              <w:left w:val="nil"/>
              <w:bottom w:val="nil"/>
              <w:right w:val="nil"/>
            </w:tcBorders>
            <w:shd w:val="clear" w:color="auto" w:fill="auto"/>
            <w:noWrap/>
            <w:vAlign w:val="bottom"/>
          </w:tcPr>
          <w:p w14:paraId="15B59134"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p>
        </w:tc>
      </w:tr>
      <w:tr w:rsidR="00F92A14" w:rsidRPr="002802A9" w14:paraId="084F0D02" w14:textId="77777777" w:rsidTr="00F92A14">
        <w:trPr>
          <w:trHeight w:val="288"/>
          <w:jc w:val="center"/>
        </w:trPr>
        <w:tc>
          <w:tcPr>
            <w:tcW w:w="5016" w:type="dxa"/>
            <w:tcBorders>
              <w:top w:val="nil"/>
              <w:left w:val="nil"/>
              <w:bottom w:val="nil"/>
              <w:right w:val="nil"/>
            </w:tcBorders>
            <w:shd w:val="clear" w:color="auto" w:fill="auto"/>
            <w:noWrap/>
            <w:vAlign w:val="bottom"/>
            <w:hideMark/>
          </w:tcPr>
          <w:p w14:paraId="43CDFBF5" w14:textId="77777777" w:rsidR="00F92A14" w:rsidRPr="002802A9" w:rsidRDefault="00F92A14" w:rsidP="00F92A14">
            <w:pPr>
              <w:spacing w:after="0" w:line="240" w:lineRule="auto"/>
              <w:ind w:firstLineChars="100" w:firstLine="112"/>
              <w:rPr>
                <w:rFonts w:ascii="Times New Roman" w:eastAsia="Times New Roman" w:hAnsi="Times New Roman" w:cs="Times New Roman"/>
                <w:color w:val="000000"/>
                <w:szCs w:val="21"/>
                <w:lang w:eastAsia="en-GB"/>
              </w:rPr>
            </w:pPr>
            <w:r w:rsidRPr="002802A9">
              <w:rPr>
                <w:rFonts w:ascii="Times New Roman" w:eastAsia="Times New Roman" w:hAnsi="Times New Roman" w:cs="Times New Roman"/>
                <w:color w:val="000000"/>
                <w:szCs w:val="21"/>
                <w:lang w:eastAsia="en-GB"/>
              </w:rPr>
              <w:t>Vocationally-focused</w:t>
            </w:r>
          </w:p>
        </w:tc>
        <w:tc>
          <w:tcPr>
            <w:tcW w:w="711" w:type="dxa"/>
            <w:tcBorders>
              <w:top w:val="nil"/>
              <w:left w:val="nil"/>
              <w:bottom w:val="nil"/>
              <w:right w:val="nil"/>
            </w:tcBorders>
            <w:shd w:val="clear" w:color="auto" w:fill="auto"/>
            <w:noWrap/>
            <w:vAlign w:val="bottom"/>
          </w:tcPr>
          <w:p w14:paraId="5047BEA5" w14:textId="77777777" w:rsidR="00F92A14" w:rsidRPr="002802A9" w:rsidRDefault="00F92A14" w:rsidP="00F92A14">
            <w:pPr>
              <w:spacing w:after="0" w:line="240" w:lineRule="auto"/>
              <w:ind w:firstLineChars="100" w:firstLine="112"/>
              <w:rPr>
                <w:rFonts w:ascii="Times New Roman" w:eastAsia="Times New Roman" w:hAnsi="Times New Roman" w:cs="Times New Roman"/>
                <w:color w:val="000000"/>
                <w:szCs w:val="21"/>
                <w:lang w:eastAsia="en-GB"/>
              </w:rPr>
            </w:pPr>
          </w:p>
        </w:tc>
        <w:tc>
          <w:tcPr>
            <w:tcW w:w="601" w:type="dxa"/>
            <w:tcBorders>
              <w:top w:val="nil"/>
              <w:left w:val="nil"/>
              <w:bottom w:val="nil"/>
              <w:right w:val="nil"/>
            </w:tcBorders>
            <w:shd w:val="clear" w:color="auto" w:fill="auto"/>
            <w:noWrap/>
            <w:vAlign w:val="bottom"/>
          </w:tcPr>
          <w:p w14:paraId="6B699535"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72" w:type="dxa"/>
            <w:tcBorders>
              <w:top w:val="nil"/>
              <w:left w:val="nil"/>
              <w:bottom w:val="nil"/>
              <w:right w:val="nil"/>
            </w:tcBorders>
            <w:shd w:val="clear" w:color="auto" w:fill="auto"/>
            <w:noWrap/>
            <w:vAlign w:val="bottom"/>
          </w:tcPr>
          <w:p w14:paraId="4C8E0737"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7FB7B7A5"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460D4002"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055D6B5D" w14:textId="77777777" w:rsidR="00F92A14" w:rsidRPr="00D93972" w:rsidRDefault="00F92A14" w:rsidP="00F92A14">
            <w:pPr>
              <w:spacing w:after="0" w:line="240" w:lineRule="auto"/>
              <w:jc w:val="right"/>
              <w:rPr>
                <w:rFonts w:ascii="Times New Roman" w:hAnsi="Times New Roman" w:cs="Times New Roman"/>
                <w:color w:val="000000"/>
                <w:sz w:val="20"/>
              </w:rPr>
            </w:pPr>
            <w:r w:rsidRPr="00D93972">
              <w:rPr>
                <w:rFonts w:ascii="Times New Roman" w:hAnsi="Times New Roman" w:cs="Times New Roman"/>
                <w:color w:val="000000"/>
                <w:sz w:val="20"/>
              </w:rPr>
              <w:t>-0.21</w:t>
            </w:r>
          </w:p>
        </w:tc>
        <w:tc>
          <w:tcPr>
            <w:tcW w:w="566" w:type="dxa"/>
            <w:tcBorders>
              <w:top w:val="nil"/>
              <w:left w:val="nil"/>
              <w:bottom w:val="nil"/>
              <w:right w:val="nil"/>
            </w:tcBorders>
            <w:shd w:val="clear" w:color="auto" w:fill="auto"/>
            <w:noWrap/>
            <w:vAlign w:val="bottom"/>
          </w:tcPr>
          <w:p w14:paraId="6BEC9212" w14:textId="77777777" w:rsidR="00F92A14" w:rsidRPr="00D93972" w:rsidRDefault="00F92A14" w:rsidP="00F92A14">
            <w:pPr>
              <w:spacing w:after="0" w:line="240" w:lineRule="auto"/>
              <w:jc w:val="right"/>
              <w:rPr>
                <w:rFonts w:ascii="Times New Roman" w:hAnsi="Times New Roman" w:cs="Times New Roman"/>
                <w:color w:val="000000"/>
                <w:sz w:val="20"/>
              </w:rPr>
            </w:pPr>
            <w:r w:rsidRPr="00D93972">
              <w:rPr>
                <w:rFonts w:ascii="Times New Roman" w:hAnsi="Times New Roman" w:cs="Times New Roman"/>
                <w:color w:val="000000"/>
                <w:sz w:val="20"/>
              </w:rPr>
              <w:t>0.15</w:t>
            </w:r>
          </w:p>
        </w:tc>
        <w:tc>
          <w:tcPr>
            <w:tcW w:w="730" w:type="dxa"/>
            <w:tcBorders>
              <w:top w:val="nil"/>
              <w:left w:val="nil"/>
              <w:bottom w:val="nil"/>
              <w:right w:val="nil"/>
            </w:tcBorders>
            <w:shd w:val="clear" w:color="auto" w:fill="auto"/>
            <w:noWrap/>
            <w:vAlign w:val="bottom"/>
          </w:tcPr>
          <w:p w14:paraId="6DAC9AB9" w14:textId="77777777" w:rsidR="00F92A14" w:rsidRPr="00D93972" w:rsidRDefault="00F92A14" w:rsidP="00F92A14">
            <w:pPr>
              <w:spacing w:after="0" w:line="240" w:lineRule="auto"/>
              <w:jc w:val="right"/>
              <w:rPr>
                <w:rFonts w:ascii="Times New Roman" w:hAnsi="Times New Roman" w:cs="Times New Roman"/>
                <w:color w:val="000000"/>
                <w:sz w:val="20"/>
              </w:rPr>
            </w:pPr>
            <w:r w:rsidRPr="00D93972">
              <w:rPr>
                <w:rFonts w:ascii="Times New Roman" w:hAnsi="Times New Roman" w:cs="Times New Roman"/>
                <w:color w:val="000000"/>
                <w:sz w:val="20"/>
              </w:rPr>
              <w:t>0.81</w:t>
            </w:r>
          </w:p>
        </w:tc>
        <w:tc>
          <w:tcPr>
            <w:tcW w:w="416" w:type="dxa"/>
            <w:tcBorders>
              <w:top w:val="nil"/>
              <w:left w:val="nil"/>
              <w:bottom w:val="nil"/>
              <w:right w:val="nil"/>
            </w:tcBorders>
            <w:shd w:val="clear" w:color="auto" w:fill="auto"/>
            <w:noWrap/>
            <w:vAlign w:val="bottom"/>
          </w:tcPr>
          <w:p w14:paraId="11B8917D" w14:textId="77777777" w:rsidR="00F92A14" w:rsidRPr="002802A9" w:rsidRDefault="00F92A14" w:rsidP="00F92A14">
            <w:pPr>
              <w:spacing w:after="0" w:line="240" w:lineRule="auto"/>
              <w:jc w:val="right"/>
              <w:rPr>
                <w:rFonts w:ascii="Times New Roman" w:eastAsia="Times New Roman" w:hAnsi="Times New Roman" w:cs="Times New Roman"/>
                <w:color w:val="000000"/>
                <w:szCs w:val="21"/>
                <w:lang w:eastAsia="en-GB"/>
              </w:rPr>
            </w:pPr>
          </w:p>
        </w:tc>
        <w:tc>
          <w:tcPr>
            <w:tcW w:w="271" w:type="dxa"/>
            <w:tcBorders>
              <w:top w:val="nil"/>
              <w:left w:val="nil"/>
              <w:bottom w:val="nil"/>
              <w:right w:val="nil"/>
            </w:tcBorders>
            <w:shd w:val="clear" w:color="auto" w:fill="auto"/>
            <w:noWrap/>
            <w:vAlign w:val="bottom"/>
          </w:tcPr>
          <w:p w14:paraId="70B219A3"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7B8E6903"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-0.13</w:t>
            </w:r>
          </w:p>
        </w:tc>
        <w:tc>
          <w:tcPr>
            <w:tcW w:w="566" w:type="dxa"/>
            <w:tcBorders>
              <w:top w:val="nil"/>
              <w:left w:val="nil"/>
              <w:bottom w:val="nil"/>
              <w:right w:val="nil"/>
            </w:tcBorders>
            <w:shd w:val="clear" w:color="auto" w:fill="auto"/>
            <w:noWrap/>
            <w:vAlign w:val="bottom"/>
          </w:tcPr>
          <w:p w14:paraId="215FA063"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0.17</w:t>
            </w:r>
          </w:p>
        </w:tc>
        <w:tc>
          <w:tcPr>
            <w:tcW w:w="730" w:type="dxa"/>
            <w:tcBorders>
              <w:top w:val="nil"/>
              <w:left w:val="nil"/>
              <w:bottom w:val="nil"/>
              <w:right w:val="nil"/>
            </w:tcBorders>
            <w:shd w:val="clear" w:color="auto" w:fill="auto"/>
            <w:noWrap/>
            <w:vAlign w:val="bottom"/>
          </w:tcPr>
          <w:p w14:paraId="6C98B906"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0.88</w:t>
            </w:r>
          </w:p>
        </w:tc>
        <w:tc>
          <w:tcPr>
            <w:tcW w:w="416" w:type="dxa"/>
            <w:tcBorders>
              <w:top w:val="nil"/>
              <w:left w:val="nil"/>
              <w:bottom w:val="nil"/>
              <w:right w:val="nil"/>
            </w:tcBorders>
            <w:shd w:val="clear" w:color="auto" w:fill="auto"/>
            <w:noWrap/>
            <w:vAlign w:val="bottom"/>
          </w:tcPr>
          <w:p w14:paraId="39FF0AD3" w14:textId="77777777" w:rsidR="00F92A14" w:rsidRPr="002802A9" w:rsidRDefault="00F92A14" w:rsidP="00F92A14">
            <w:pPr>
              <w:spacing w:after="0" w:line="240" w:lineRule="auto"/>
              <w:jc w:val="right"/>
              <w:rPr>
                <w:rFonts w:ascii="Times New Roman" w:eastAsia="Times New Roman" w:hAnsi="Times New Roman" w:cs="Times New Roman"/>
                <w:color w:val="000000"/>
                <w:szCs w:val="21"/>
                <w:lang w:eastAsia="en-GB"/>
              </w:rPr>
            </w:pPr>
          </w:p>
        </w:tc>
      </w:tr>
      <w:tr w:rsidR="00F92A14" w:rsidRPr="002802A9" w14:paraId="31D40A7C" w14:textId="77777777" w:rsidTr="00F92A14">
        <w:trPr>
          <w:trHeight w:val="288"/>
          <w:jc w:val="center"/>
        </w:trPr>
        <w:tc>
          <w:tcPr>
            <w:tcW w:w="5016" w:type="dxa"/>
            <w:tcBorders>
              <w:top w:val="nil"/>
              <w:left w:val="nil"/>
              <w:bottom w:val="nil"/>
              <w:right w:val="nil"/>
            </w:tcBorders>
            <w:shd w:val="clear" w:color="auto" w:fill="auto"/>
            <w:noWrap/>
            <w:vAlign w:val="bottom"/>
            <w:hideMark/>
          </w:tcPr>
          <w:p w14:paraId="5BB2BCB9" w14:textId="77777777" w:rsidR="00F92A14" w:rsidRPr="002802A9" w:rsidRDefault="00F92A14" w:rsidP="00F92A14">
            <w:pPr>
              <w:spacing w:after="0" w:line="240" w:lineRule="auto"/>
              <w:ind w:firstLineChars="100" w:firstLine="112"/>
              <w:rPr>
                <w:rFonts w:ascii="Times New Roman" w:eastAsia="Times New Roman" w:hAnsi="Times New Roman" w:cs="Times New Roman"/>
                <w:color w:val="000000"/>
                <w:szCs w:val="21"/>
                <w:lang w:eastAsia="en-GB"/>
              </w:rPr>
            </w:pPr>
            <w:r w:rsidRPr="002802A9">
              <w:rPr>
                <w:rFonts w:ascii="Times New Roman" w:eastAsia="Times New Roman" w:hAnsi="Times New Roman" w:cs="Times New Roman"/>
                <w:color w:val="000000"/>
                <w:szCs w:val="21"/>
                <w:lang w:eastAsia="en-GB"/>
              </w:rPr>
              <w:t>Combined Studies</w:t>
            </w:r>
          </w:p>
        </w:tc>
        <w:tc>
          <w:tcPr>
            <w:tcW w:w="711" w:type="dxa"/>
            <w:tcBorders>
              <w:top w:val="nil"/>
              <w:left w:val="nil"/>
              <w:bottom w:val="nil"/>
              <w:right w:val="nil"/>
            </w:tcBorders>
            <w:shd w:val="clear" w:color="auto" w:fill="auto"/>
            <w:noWrap/>
            <w:vAlign w:val="bottom"/>
          </w:tcPr>
          <w:p w14:paraId="72FEEB7B" w14:textId="77777777" w:rsidR="00F92A14" w:rsidRPr="002802A9" w:rsidRDefault="00F92A14" w:rsidP="00F92A14">
            <w:pPr>
              <w:spacing w:after="0" w:line="240" w:lineRule="auto"/>
              <w:ind w:firstLineChars="100" w:firstLine="112"/>
              <w:rPr>
                <w:rFonts w:ascii="Times New Roman" w:eastAsia="Times New Roman" w:hAnsi="Times New Roman" w:cs="Times New Roman"/>
                <w:color w:val="000000"/>
                <w:szCs w:val="21"/>
                <w:lang w:eastAsia="en-GB"/>
              </w:rPr>
            </w:pPr>
          </w:p>
        </w:tc>
        <w:tc>
          <w:tcPr>
            <w:tcW w:w="601" w:type="dxa"/>
            <w:tcBorders>
              <w:top w:val="nil"/>
              <w:left w:val="nil"/>
              <w:bottom w:val="nil"/>
              <w:right w:val="nil"/>
            </w:tcBorders>
            <w:shd w:val="clear" w:color="auto" w:fill="auto"/>
            <w:noWrap/>
            <w:vAlign w:val="bottom"/>
          </w:tcPr>
          <w:p w14:paraId="389CCB90"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72" w:type="dxa"/>
            <w:tcBorders>
              <w:top w:val="nil"/>
              <w:left w:val="nil"/>
              <w:bottom w:val="nil"/>
              <w:right w:val="nil"/>
            </w:tcBorders>
            <w:shd w:val="clear" w:color="auto" w:fill="auto"/>
            <w:noWrap/>
            <w:vAlign w:val="bottom"/>
          </w:tcPr>
          <w:p w14:paraId="723A3325"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3DC8F87F"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61F1E2E5"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179A6554" w14:textId="77777777" w:rsidR="00F92A14" w:rsidRPr="00D93972" w:rsidRDefault="00F92A14" w:rsidP="00F92A14">
            <w:pPr>
              <w:spacing w:after="0" w:line="240" w:lineRule="auto"/>
              <w:jc w:val="right"/>
              <w:rPr>
                <w:rFonts w:ascii="Times New Roman" w:hAnsi="Times New Roman" w:cs="Times New Roman"/>
                <w:color w:val="000000"/>
                <w:sz w:val="20"/>
              </w:rPr>
            </w:pPr>
            <w:r w:rsidRPr="00D93972">
              <w:rPr>
                <w:rFonts w:ascii="Times New Roman" w:hAnsi="Times New Roman" w:cs="Times New Roman"/>
                <w:color w:val="000000"/>
                <w:sz w:val="20"/>
              </w:rPr>
              <w:t>-0.04</w:t>
            </w:r>
          </w:p>
        </w:tc>
        <w:tc>
          <w:tcPr>
            <w:tcW w:w="566" w:type="dxa"/>
            <w:tcBorders>
              <w:top w:val="nil"/>
              <w:left w:val="nil"/>
              <w:bottom w:val="nil"/>
              <w:right w:val="nil"/>
            </w:tcBorders>
            <w:shd w:val="clear" w:color="auto" w:fill="auto"/>
            <w:noWrap/>
            <w:vAlign w:val="bottom"/>
          </w:tcPr>
          <w:p w14:paraId="192DFDD7" w14:textId="77777777" w:rsidR="00F92A14" w:rsidRPr="00D93972" w:rsidRDefault="00F92A14" w:rsidP="00F92A14">
            <w:pPr>
              <w:spacing w:after="0" w:line="240" w:lineRule="auto"/>
              <w:jc w:val="right"/>
              <w:rPr>
                <w:rFonts w:ascii="Times New Roman" w:hAnsi="Times New Roman" w:cs="Times New Roman"/>
                <w:color w:val="000000"/>
                <w:sz w:val="20"/>
              </w:rPr>
            </w:pPr>
            <w:r w:rsidRPr="00D93972">
              <w:rPr>
                <w:rFonts w:ascii="Times New Roman" w:hAnsi="Times New Roman" w:cs="Times New Roman"/>
                <w:color w:val="000000"/>
                <w:sz w:val="20"/>
              </w:rPr>
              <w:t>0.18</w:t>
            </w:r>
          </w:p>
        </w:tc>
        <w:tc>
          <w:tcPr>
            <w:tcW w:w="730" w:type="dxa"/>
            <w:tcBorders>
              <w:top w:val="nil"/>
              <w:left w:val="nil"/>
              <w:bottom w:val="nil"/>
              <w:right w:val="nil"/>
            </w:tcBorders>
            <w:shd w:val="clear" w:color="auto" w:fill="auto"/>
            <w:noWrap/>
            <w:vAlign w:val="bottom"/>
          </w:tcPr>
          <w:p w14:paraId="146FEF09" w14:textId="77777777" w:rsidR="00F92A14" w:rsidRPr="00D93972" w:rsidRDefault="00F92A14" w:rsidP="00F92A14">
            <w:pPr>
              <w:spacing w:after="0" w:line="240" w:lineRule="auto"/>
              <w:jc w:val="right"/>
              <w:rPr>
                <w:rFonts w:ascii="Times New Roman" w:hAnsi="Times New Roman" w:cs="Times New Roman"/>
                <w:color w:val="000000"/>
                <w:sz w:val="20"/>
              </w:rPr>
            </w:pPr>
            <w:r w:rsidRPr="00D93972">
              <w:rPr>
                <w:rFonts w:ascii="Times New Roman" w:hAnsi="Times New Roman" w:cs="Times New Roman"/>
                <w:color w:val="000000"/>
                <w:sz w:val="20"/>
              </w:rPr>
              <w:t>0.96</w:t>
            </w:r>
          </w:p>
        </w:tc>
        <w:tc>
          <w:tcPr>
            <w:tcW w:w="416" w:type="dxa"/>
            <w:tcBorders>
              <w:top w:val="nil"/>
              <w:left w:val="nil"/>
              <w:bottom w:val="nil"/>
              <w:right w:val="nil"/>
            </w:tcBorders>
            <w:shd w:val="clear" w:color="auto" w:fill="auto"/>
            <w:noWrap/>
            <w:vAlign w:val="bottom"/>
          </w:tcPr>
          <w:p w14:paraId="2531DC27" w14:textId="77777777" w:rsidR="00F92A14" w:rsidRPr="002802A9" w:rsidRDefault="00F92A14" w:rsidP="00F92A14">
            <w:pPr>
              <w:spacing w:after="0" w:line="240" w:lineRule="auto"/>
              <w:jc w:val="right"/>
              <w:rPr>
                <w:rFonts w:ascii="Times New Roman" w:eastAsia="Times New Roman" w:hAnsi="Times New Roman" w:cs="Times New Roman"/>
                <w:color w:val="000000"/>
                <w:szCs w:val="21"/>
                <w:lang w:eastAsia="en-GB"/>
              </w:rPr>
            </w:pPr>
          </w:p>
        </w:tc>
        <w:tc>
          <w:tcPr>
            <w:tcW w:w="271" w:type="dxa"/>
            <w:tcBorders>
              <w:top w:val="nil"/>
              <w:left w:val="nil"/>
              <w:bottom w:val="nil"/>
              <w:right w:val="nil"/>
            </w:tcBorders>
            <w:shd w:val="clear" w:color="auto" w:fill="auto"/>
            <w:noWrap/>
            <w:vAlign w:val="bottom"/>
          </w:tcPr>
          <w:p w14:paraId="04D77A45"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597A6216"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-0.16</w:t>
            </w:r>
          </w:p>
        </w:tc>
        <w:tc>
          <w:tcPr>
            <w:tcW w:w="566" w:type="dxa"/>
            <w:tcBorders>
              <w:top w:val="nil"/>
              <w:left w:val="nil"/>
              <w:bottom w:val="nil"/>
              <w:right w:val="nil"/>
            </w:tcBorders>
            <w:shd w:val="clear" w:color="auto" w:fill="auto"/>
            <w:noWrap/>
            <w:vAlign w:val="bottom"/>
          </w:tcPr>
          <w:p w14:paraId="4711C899"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0.20</w:t>
            </w:r>
          </w:p>
        </w:tc>
        <w:tc>
          <w:tcPr>
            <w:tcW w:w="730" w:type="dxa"/>
            <w:tcBorders>
              <w:top w:val="nil"/>
              <w:left w:val="nil"/>
              <w:bottom w:val="nil"/>
              <w:right w:val="nil"/>
            </w:tcBorders>
            <w:shd w:val="clear" w:color="auto" w:fill="auto"/>
            <w:noWrap/>
            <w:vAlign w:val="bottom"/>
          </w:tcPr>
          <w:p w14:paraId="104970EC"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0.85</w:t>
            </w:r>
          </w:p>
        </w:tc>
        <w:tc>
          <w:tcPr>
            <w:tcW w:w="416" w:type="dxa"/>
            <w:tcBorders>
              <w:top w:val="nil"/>
              <w:left w:val="nil"/>
              <w:bottom w:val="nil"/>
              <w:right w:val="nil"/>
            </w:tcBorders>
            <w:shd w:val="clear" w:color="auto" w:fill="auto"/>
            <w:noWrap/>
            <w:vAlign w:val="bottom"/>
          </w:tcPr>
          <w:p w14:paraId="6C7DD151" w14:textId="77777777" w:rsidR="00F92A14" w:rsidRPr="002802A9" w:rsidRDefault="00F92A14" w:rsidP="00F92A14">
            <w:pPr>
              <w:spacing w:after="0" w:line="240" w:lineRule="auto"/>
              <w:jc w:val="right"/>
              <w:rPr>
                <w:rFonts w:ascii="Times New Roman" w:eastAsia="Times New Roman" w:hAnsi="Times New Roman" w:cs="Times New Roman"/>
                <w:color w:val="000000"/>
                <w:szCs w:val="21"/>
                <w:lang w:eastAsia="en-GB"/>
              </w:rPr>
            </w:pPr>
          </w:p>
        </w:tc>
      </w:tr>
      <w:tr w:rsidR="00F92A14" w:rsidRPr="002802A9" w14:paraId="02A59D48" w14:textId="77777777" w:rsidTr="00F92A14">
        <w:trPr>
          <w:trHeight w:val="288"/>
          <w:jc w:val="center"/>
        </w:trPr>
        <w:tc>
          <w:tcPr>
            <w:tcW w:w="5727" w:type="dxa"/>
            <w:gridSpan w:val="2"/>
            <w:tcBorders>
              <w:top w:val="nil"/>
              <w:left w:val="nil"/>
              <w:bottom w:val="nil"/>
              <w:right w:val="nil"/>
            </w:tcBorders>
            <w:shd w:val="clear" w:color="auto" w:fill="auto"/>
            <w:noWrap/>
            <w:vAlign w:val="bottom"/>
          </w:tcPr>
          <w:p w14:paraId="2EA30CD7"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r w:rsidRPr="002802A9">
              <w:rPr>
                <w:rFonts w:ascii="Times New Roman" w:eastAsia="Times New Roman" w:hAnsi="Times New Roman" w:cs="Times New Roman"/>
                <w:color w:val="000000"/>
                <w:szCs w:val="21"/>
                <w:lang w:eastAsia="en-GB"/>
              </w:rPr>
              <w:t>UG degree classification (ref: lower second or below)</w:t>
            </w:r>
          </w:p>
        </w:tc>
        <w:tc>
          <w:tcPr>
            <w:tcW w:w="601" w:type="dxa"/>
            <w:tcBorders>
              <w:top w:val="nil"/>
              <w:left w:val="nil"/>
              <w:bottom w:val="nil"/>
              <w:right w:val="nil"/>
            </w:tcBorders>
            <w:shd w:val="clear" w:color="auto" w:fill="auto"/>
            <w:noWrap/>
            <w:vAlign w:val="bottom"/>
          </w:tcPr>
          <w:p w14:paraId="40306D1F"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p>
        </w:tc>
        <w:tc>
          <w:tcPr>
            <w:tcW w:w="772" w:type="dxa"/>
            <w:tcBorders>
              <w:top w:val="nil"/>
              <w:left w:val="nil"/>
              <w:bottom w:val="nil"/>
              <w:right w:val="nil"/>
            </w:tcBorders>
            <w:shd w:val="clear" w:color="auto" w:fill="auto"/>
            <w:noWrap/>
            <w:vAlign w:val="bottom"/>
          </w:tcPr>
          <w:p w14:paraId="1CD71003"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018DFD17"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3F32FF19"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22712E36"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566" w:type="dxa"/>
            <w:tcBorders>
              <w:top w:val="nil"/>
              <w:left w:val="nil"/>
              <w:bottom w:val="nil"/>
              <w:right w:val="nil"/>
            </w:tcBorders>
            <w:shd w:val="clear" w:color="auto" w:fill="auto"/>
            <w:noWrap/>
            <w:vAlign w:val="bottom"/>
          </w:tcPr>
          <w:p w14:paraId="6B06A189"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30" w:type="dxa"/>
            <w:tcBorders>
              <w:top w:val="nil"/>
              <w:left w:val="nil"/>
              <w:bottom w:val="nil"/>
              <w:right w:val="nil"/>
            </w:tcBorders>
            <w:shd w:val="clear" w:color="auto" w:fill="auto"/>
            <w:noWrap/>
            <w:vAlign w:val="bottom"/>
          </w:tcPr>
          <w:p w14:paraId="786FEF64"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416" w:type="dxa"/>
            <w:tcBorders>
              <w:top w:val="nil"/>
              <w:left w:val="nil"/>
              <w:bottom w:val="nil"/>
              <w:right w:val="nil"/>
            </w:tcBorders>
            <w:shd w:val="clear" w:color="auto" w:fill="auto"/>
            <w:noWrap/>
            <w:vAlign w:val="bottom"/>
          </w:tcPr>
          <w:p w14:paraId="793FBB72"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1D0708D1"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31E9EBE7"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566" w:type="dxa"/>
            <w:tcBorders>
              <w:top w:val="nil"/>
              <w:left w:val="nil"/>
              <w:bottom w:val="nil"/>
              <w:right w:val="nil"/>
            </w:tcBorders>
            <w:shd w:val="clear" w:color="auto" w:fill="auto"/>
            <w:noWrap/>
            <w:vAlign w:val="bottom"/>
          </w:tcPr>
          <w:p w14:paraId="760BDCAC"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30" w:type="dxa"/>
            <w:tcBorders>
              <w:top w:val="nil"/>
              <w:left w:val="nil"/>
              <w:bottom w:val="nil"/>
              <w:right w:val="nil"/>
            </w:tcBorders>
            <w:shd w:val="clear" w:color="auto" w:fill="auto"/>
            <w:noWrap/>
            <w:vAlign w:val="bottom"/>
          </w:tcPr>
          <w:p w14:paraId="401DB7EF"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416" w:type="dxa"/>
            <w:tcBorders>
              <w:top w:val="nil"/>
              <w:left w:val="nil"/>
              <w:bottom w:val="nil"/>
              <w:right w:val="nil"/>
            </w:tcBorders>
            <w:shd w:val="clear" w:color="auto" w:fill="auto"/>
            <w:noWrap/>
            <w:vAlign w:val="bottom"/>
          </w:tcPr>
          <w:p w14:paraId="4F2612A1"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r>
      <w:tr w:rsidR="00F92A14" w:rsidRPr="002802A9" w14:paraId="3494E615" w14:textId="77777777" w:rsidTr="00F92A14">
        <w:trPr>
          <w:trHeight w:val="288"/>
          <w:jc w:val="center"/>
        </w:trPr>
        <w:tc>
          <w:tcPr>
            <w:tcW w:w="5016" w:type="dxa"/>
            <w:tcBorders>
              <w:top w:val="nil"/>
              <w:left w:val="nil"/>
              <w:bottom w:val="nil"/>
              <w:right w:val="nil"/>
            </w:tcBorders>
            <w:shd w:val="clear" w:color="auto" w:fill="auto"/>
            <w:noWrap/>
            <w:vAlign w:val="bottom"/>
            <w:hideMark/>
          </w:tcPr>
          <w:p w14:paraId="268F9120" w14:textId="77777777" w:rsidR="00F92A14" w:rsidRPr="002802A9" w:rsidRDefault="00F92A14" w:rsidP="00F92A14">
            <w:pPr>
              <w:spacing w:after="0" w:line="240" w:lineRule="auto"/>
              <w:ind w:firstLineChars="100" w:firstLine="112"/>
              <w:rPr>
                <w:rFonts w:ascii="Times New Roman" w:eastAsia="Times New Roman" w:hAnsi="Times New Roman" w:cs="Times New Roman"/>
                <w:color w:val="000000"/>
                <w:szCs w:val="21"/>
                <w:lang w:eastAsia="en-GB"/>
              </w:rPr>
            </w:pPr>
            <w:r w:rsidRPr="002802A9">
              <w:rPr>
                <w:rFonts w:ascii="Times New Roman" w:eastAsia="Times New Roman" w:hAnsi="Times New Roman" w:cs="Times New Roman"/>
                <w:color w:val="000000"/>
                <w:szCs w:val="21"/>
                <w:lang w:eastAsia="en-GB"/>
              </w:rPr>
              <w:t>1st class</w:t>
            </w:r>
          </w:p>
        </w:tc>
        <w:tc>
          <w:tcPr>
            <w:tcW w:w="711" w:type="dxa"/>
            <w:tcBorders>
              <w:top w:val="nil"/>
              <w:left w:val="nil"/>
              <w:bottom w:val="nil"/>
              <w:right w:val="nil"/>
            </w:tcBorders>
            <w:shd w:val="clear" w:color="auto" w:fill="auto"/>
            <w:noWrap/>
            <w:vAlign w:val="bottom"/>
          </w:tcPr>
          <w:p w14:paraId="6CBF346B" w14:textId="77777777" w:rsidR="00F92A14" w:rsidRPr="002802A9" w:rsidRDefault="00F92A14" w:rsidP="00F92A14">
            <w:pPr>
              <w:spacing w:after="0" w:line="240" w:lineRule="auto"/>
              <w:ind w:firstLineChars="100" w:firstLine="112"/>
              <w:rPr>
                <w:rFonts w:ascii="Times New Roman" w:eastAsia="Times New Roman" w:hAnsi="Times New Roman" w:cs="Times New Roman"/>
                <w:color w:val="000000"/>
                <w:szCs w:val="21"/>
                <w:lang w:eastAsia="en-GB"/>
              </w:rPr>
            </w:pPr>
          </w:p>
        </w:tc>
        <w:tc>
          <w:tcPr>
            <w:tcW w:w="601" w:type="dxa"/>
            <w:tcBorders>
              <w:top w:val="nil"/>
              <w:left w:val="nil"/>
              <w:bottom w:val="nil"/>
              <w:right w:val="nil"/>
            </w:tcBorders>
            <w:shd w:val="clear" w:color="auto" w:fill="auto"/>
            <w:noWrap/>
            <w:vAlign w:val="bottom"/>
          </w:tcPr>
          <w:p w14:paraId="7E4ADBC3"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72" w:type="dxa"/>
            <w:tcBorders>
              <w:top w:val="nil"/>
              <w:left w:val="nil"/>
              <w:bottom w:val="nil"/>
              <w:right w:val="nil"/>
            </w:tcBorders>
            <w:shd w:val="clear" w:color="auto" w:fill="auto"/>
            <w:noWrap/>
            <w:vAlign w:val="bottom"/>
          </w:tcPr>
          <w:p w14:paraId="18DDC174"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0E532B20"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27AA3601"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47E693DD" w14:textId="77777777" w:rsidR="00F92A14" w:rsidRPr="00D93972" w:rsidRDefault="00F92A14" w:rsidP="00F92A14">
            <w:pPr>
              <w:spacing w:after="0" w:line="240" w:lineRule="auto"/>
              <w:jc w:val="right"/>
              <w:rPr>
                <w:rFonts w:ascii="Times New Roman" w:eastAsia="Times New Roman" w:hAnsi="Times New Roman" w:cs="Times New Roman"/>
                <w:color w:val="000000"/>
                <w:sz w:val="20"/>
              </w:rPr>
            </w:pPr>
            <w:r w:rsidRPr="00D93972">
              <w:rPr>
                <w:rFonts w:ascii="Times New Roman" w:hAnsi="Times New Roman" w:cs="Times New Roman"/>
                <w:color w:val="000000"/>
                <w:sz w:val="20"/>
              </w:rPr>
              <w:t>1.04</w:t>
            </w:r>
          </w:p>
        </w:tc>
        <w:tc>
          <w:tcPr>
            <w:tcW w:w="566" w:type="dxa"/>
            <w:tcBorders>
              <w:top w:val="nil"/>
              <w:left w:val="nil"/>
              <w:bottom w:val="nil"/>
              <w:right w:val="nil"/>
            </w:tcBorders>
            <w:shd w:val="clear" w:color="auto" w:fill="auto"/>
            <w:noWrap/>
            <w:vAlign w:val="bottom"/>
          </w:tcPr>
          <w:p w14:paraId="73C35468" w14:textId="77777777" w:rsidR="00F92A14" w:rsidRPr="00D93972" w:rsidRDefault="00F92A14" w:rsidP="00F92A14">
            <w:pPr>
              <w:spacing w:after="0" w:line="240" w:lineRule="auto"/>
              <w:jc w:val="right"/>
              <w:rPr>
                <w:rFonts w:ascii="Times New Roman" w:hAnsi="Times New Roman" w:cs="Times New Roman"/>
                <w:color w:val="000000"/>
                <w:sz w:val="20"/>
              </w:rPr>
            </w:pPr>
            <w:r w:rsidRPr="00D93972">
              <w:rPr>
                <w:rFonts w:ascii="Times New Roman" w:hAnsi="Times New Roman" w:cs="Times New Roman"/>
                <w:color w:val="000000"/>
                <w:sz w:val="20"/>
              </w:rPr>
              <w:t>0.14</w:t>
            </w:r>
          </w:p>
        </w:tc>
        <w:tc>
          <w:tcPr>
            <w:tcW w:w="730" w:type="dxa"/>
            <w:tcBorders>
              <w:top w:val="nil"/>
              <w:left w:val="nil"/>
              <w:bottom w:val="nil"/>
              <w:right w:val="nil"/>
            </w:tcBorders>
            <w:shd w:val="clear" w:color="auto" w:fill="auto"/>
            <w:noWrap/>
            <w:vAlign w:val="bottom"/>
          </w:tcPr>
          <w:p w14:paraId="278A12CB" w14:textId="77777777" w:rsidR="00F92A14" w:rsidRPr="00D93972" w:rsidRDefault="00F92A14" w:rsidP="00F92A14">
            <w:pPr>
              <w:spacing w:after="0" w:line="240" w:lineRule="auto"/>
              <w:jc w:val="right"/>
              <w:rPr>
                <w:rFonts w:ascii="Times New Roman" w:hAnsi="Times New Roman" w:cs="Times New Roman"/>
                <w:color w:val="000000"/>
                <w:sz w:val="20"/>
              </w:rPr>
            </w:pPr>
            <w:r w:rsidRPr="00D93972">
              <w:rPr>
                <w:rFonts w:ascii="Times New Roman" w:hAnsi="Times New Roman" w:cs="Times New Roman"/>
                <w:color w:val="000000"/>
                <w:sz w:val="20"/>
              </w:rPr>
              <w:t>2.82</w:t>
            </w:r>
          </w:p>
        </w:tc>
        <w:tc>
          <w:tcPr>
            <w:tcW w:w="687" w:type="dxa"/>
            <w:gridSpan w:val="2"/>
            <w:tcBorders>
              <w:top w:val="nil"/>
              <w:left w:val="nil"/>
              <w:bottom w:val="nil"/>
              <w:right w:val="nil"/>
            </w:tcBorders>
            <w:shd w:val="clear" w:color="auto" w:fill="auto"/>
            <w:noWrap/>
            <w:vAlign w:val="bottom"/>
          </w:tcPr>
          <w:p w14:paraId="76FFB6B5" w14:textId="77777777" w:rsidR="00F92A14" w:rsidRPr="00D93972" w:rsidRDefault="00F92A14" w:rsidP="00F92A14">
            <w:pPr>
              <w:spacing w:after="0" w:line="240" w:lineRule="auto"/>
              <w:rPr>
                <w:rFonts w:ascii="Times New Roman" w:eastAsia="Times New Roman" w:hAnsi="Times New Roman" w:cs="Times New Roman"/>
                <w:color w:val="000000"/>
                <w:sz w:val="20"/>
                <w:szCs w:val="21"/>
                <w:lang w:eastAsia="en-GB"/>
              </w:rPr>
            </w:pPr>
            <w:r w:rsidRPr="00D93972">
              <w:rPr>
                <w:rFonts w:ascii="Times New Roman" w:eastAsia="Times New Roman" w:hAnsi="Times New Roman" w:cs="Times New Roman"/>
                <w:color w:val="000000"/>
                <w:sz w:val="20"/>
                <w:szCs w:val="21"/>
                <w:lang w:eastAsia="en-GB"/>
              </w:rPr>
              <w:t>**</w:t>
            </w:r>
          </w:p>
        </w:tc>
        <w:tc>
          <w:tcPr>
            <w:tcW w:w="666" w:type="dxa"/>
            <w:tcBorders>
              <w:top w:val="nil"/>
              <w:left w:val="nil"/>
              <w:bottom w:val="nil"/>
              <w:right w:val="nil"/>
            </w:tcBorders>
            <w:shd w:val="clear" w:color="auto" w:fill="auto"/>
            <w:noWrap/>
            <w:vAlign w:val="bottom"/>
          </w:tcPr>
          <w:p w14:paraId="4B112A1A" w14:textId="77777777" w:rsidR="00F92A14" w:rsidRPr="00192108" w:rsidRDefault="00F92A14" w:rsidP="00F92A14">
            <w:pPr>
              <w:spacing w:after="0" w:line="240" w:lineRule="auto"/>
              <w:jc w:val="right"/>
              <w:rPr>
                <w:rFonts w:ascii="Times New Roman" w:eastAsia="Times New Roman" w:hAnsi="Times New Roman" w:cs="Times New Roman"/>
                <w:color w:val="000000"/>
                <w:sz w:val="20"/>
              </w:rPr>
            </w:pPr>
            <w:r w:rsidRPr="00192108">
              <w:rPr>
                <w:rFonts w:ascii="Times New Roman" w:hAnsi="Times New Roman" w:cs="Times New Roman"/>
                <w:color w:val="000000"/>
                <w:sz w:val="20"/>
              </w:rPr>
              <w:t>1.00</w:t>
            </w:r>
          </w:p>
        </w:tc>
        <w:tc>
          <w:tcPr>
            <w:tcW w:w="566" w:type="dxa"/>
            <w:tcBorders>
              <w:top w:val="nil"/>
              <w:left w:val="nil"/>
              <w:bottom w:val="nil"/>
              <w:right w:val="nil"/>
            </w:tcBorders>
            <w:shd w:val="clear" w:color="auto" w:fill="auto"/>
            <w:noWrap/>
            <w:vAlign w:val="bottom"/>
          </w:tcPr>
          <w:p w14:paraId="6C88F418"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0.15</w:t>
            </w:r>
          </w:p>
        </w:tc>
        <w:tc>
          <w:tcPr>
            <w:tcW w:w="730" w:type="dxa"/>
            <w:tcBorders>
              <w:top w:val="nil"/>
              <w:left w:val="nil"/>
              <w:bottom w:val="nil"/>
              <w:right w:val="nil"/>
            </w:tcBorders>
            <w:shd w:val="clear" w:color="auto" w:fill="auto"/>
            <w:noWrap/>
            <w:vAlign w:val="bottom"/>
          </w:tcPr>
          <w:p w14:paraId="5D0935F4"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2.72</w:t>
            </w:r>
          </w:p>
        </w:tc>
        <w:tc>
          <w:tcPr>
            <w:tcW w:w="416" w:type="dxa"/>
            <w:tcBorders>
              <w:top w:val="nil"/>
              <w:left w:val="nil"/>
              <w:bottom w:val="nil"/>
              <w:right w:val="nil"/>
            </w:tcBorders>
            <w:shd w:val="clear" w:color="auto" w:fill="auto"/>
            <w:noWrap/>
            <w:vAlign w:val="bottom"/>
          </w:tcPr>
          <w:p w14:paraId="4567A795"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r w:rsidRPr="00192108">
              <w:rPr>
                <w:rFonts w:ascii="Times New Roman" w:eastAsia="Times New Roman" w:hAnsi="Times New Roman" w:cs="Times New Roman"/>
                <w:color w:val="000000"/>
                <w:sz w:val="20"/>
                <w:szCs w:val="21"/>
                <w:lang w:eastAsia="en-GB"/>
              </w:rPr>
              <w:t>**</w:t>
            </w:r>
          </w:p>
        </w:tc>
      </w:tr>
      <w:tr w:rsidR="00F92A14" w:rsidRPr="002802A9" w14:paraId="1B62F505" w14:textId="77777777" w:rsidTr="00F92A14">
        <w:trPr>
          <w:trHeight w:val="288"/>
          <w:jc w:val="center"/>
        </w:trPr>
        <w:tc>
          <w:tcPr>
            <w:tcW w:w="5016" w:type="dxa"/>
            <w:tcBorders>
              <w:top w:val="nil"/>
              <w:left w:val="nil"/>
              <w:bottom w:val="nil"/>
              <w:right w:val="nil"/>
            </w:tcBorders>
            <w:shd w:val="clear" w:color="auto" w:fill="auto"/>
            <w:noWrap/>
            <w:vAlign w:val="bottom"/>
            <w:hideMark/>
          </w:tcPr>
          <w:p w14:paraId="4F4B7D22" w14:textId="77777777" w:rsidR="00F92A14" w:rsidRPr="002802A9" w:rsidRDefault="00F92A14" w:rsidP="00F92A14">
            <w:pPr>
              <w:spacing w:after="0" w:line="240" w:lineRule="auto"/>
              <w:ind w:firstLineChars="100" w:firstLine="112"/>
              <w:rPr>
                <w:rFonts w:ascii="Times New Roman" w:eastAsia="Times New Roman" w:hAnsi="Times New Roman" w:cs="Times New Roman"/>
                <w:color w:val="000000"/>
                <w:szCs w:val="21"/>
                <w:lang w:eastAsia="en-GB"/>
              </w:rPr>
            </w:pPr>
            <w:r w:rsidRPr="002802A9">
              <w:rPr>
                <w:rFonts w:ascii="Times New Roman" w:eastAsia="Times New Roman" w:hAnsi="Times New Roman" w:cs="Times New Roman"/>
                <w:color w:val="000000"/>
                <w:szCs w:val="21"/>
                <w:lang w:eastAsia="en-GB"/>
              </w:rPr>
              <w:t>Upper second</w:t>
            </w:r>
          </w:p>
        </w:tc>
        <w:tc>
          <w:tcPr>
            <w:tcW w:w="711" w:type="dxa"/>
            <w:tcBorders>
              <w:top w:val="nil"/>
              <w:left w:val="nil"/>
              <w:bottom w:val="nil"/>
              <w:right w:val="nil"/>
            </w:tcBorders>
            <w:shd w:val="clear" w:color="auto" w:fill="auto"/>
            <w:noWrap/>
            <w:vAlign w:val="bottom"/>
          </w:tcPr>
          <w:p w14:paraId="1E0C6276" w14:textId="77777777" w:rsidR="00F92A14" w:rsidRPr="002802A9" w:rsidRDefault="00F92A14" w:rsidP="00F92A14">
            <w:pPr>
              <w:spacing w:after="0" w:line="240" w:lineRule="auto"/>
              <w:ind w:firstLineChars="100" w:firstLine="112"/>
              <w:rPr>
                <w:rFonts w:ascii="Times New Roman" w:eastAsia="Times New Roman" w:hAnsi="Times New Roman" w:cs="Times New Roman"/>
                <w:color w:val="000000"/>
                <w:szCs w:val="21"/>
                <w:lang w:eastAsia="en-GB"/>
              </w:rPr>
            </w:pPr>
          </w:p>
        </w:tc>
        <w:tc>
          <w:tcPr>
            <w:tcW w:w="601" w:type="dxa"/>
            <w:tcBorders>
              <w:top w:val="nil"/>
              <w:left w:val="nil"/>
              <w:bottom w:val="nil"/>
              <w:right w:val="nil"/>
            </w:tcBorders>
            <w:shd w:val="clear" w:color="auto" w:fill="auto"/>
            <w:noWrap/>
            <w:vAlign w:val="bottom"/>
          </w:tcPr>
          <w:p w14:paraId="5C2A0BED"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72" w:type="dxa"/>
            <w:tcBorders>
              <w:top w:val="nil"/>
              <w:left w:val="nil"/>
              <w:bottom w:val="nil"/>
              <w:right w:val="nil"/>
            </w:tcBorders>
            <w:shd w:val="clear" w:color="auto" w:fill="auto"/>
            <w:noWrap/>
            <w:vAlign w:val="bottom"/>
          </w:tcPr>
          <w:p w14:paraId="541872BD"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48F6AF3A"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3AAD137F"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1CD1B74C" w14:textId="77777777" w:rsidR="00F92A14" w:rsidRPr="00D93972" w:rsidRDefault="00F92A14" w:rsidP="00F92A14">
            <w:pPr>
              <w:spacing w:after="0" w:line="240" w:lineRule="auto"/>
              <w:jc w:val="right"/>
              <w:rPr>
                <w:rFonts w:ascii="Times New Roman" w:hAnsi="Times New Roman" w:cs="Times New Roman"/>
                <w:color w:val="000000"/>
                <w:sz w:val="20"/>
              </w:rPr>
            </w:pPr>
            <w:r w:rsidRPr="00D93972">
              <w:rPr>
                <w:rFonts w:ascii="Times New Roman" w:hAnsi="Times New Roman" w:cs="Times New Roman"/>
                <w:color w:val="000000"/>
                <w:sz w:val="20"/>
              </w:rPr>
              <w:t>0.67</w:t>
            </w:r>
          </w:p>
        </w:tc>
        <w:tc>
          <w:tcPr>
            <w:tcW w:w="566" w:type="dxa"/>
            <w:tcBorders>
              <w:top w:val="nil"/>
              <w:left w:val="nil"/>
              <w:bottom w:val="nil"/>
              <w:right w:val="nil"/>
            </w:tcBorders>
            <w:shd w:val="clear" w:color="auto" w:fill="auto"/>
            <w:noWrap/>
            <w:vAlign w:val="bottom"/>
          </w:tcPr>
          <w:p w14:paraId="34718F04" w14:textId="77777777" w:rsidR="00F92A14" w:rsidRPr="00D93972" w:rsidRDefault="00F92A14" w:rsidP="00F92A14">
            <w:pPr>
              <w:spacing w:after="0" w:line="240" w:lineRule="auto"/>
              <w:jc w:val="right"/>
              <w:rPr>
                <w:rFonts w:ascii="Times New Roman" w:hAnsi="Times New Roman" w:cs="Times New Roman"/>
                <w:color w:val="000000"/>
                <w:sz w:val="20"/>
              </w:rPr>
            </w:pPr>
            <w:r w:rsidRPr="00D93972">
              <w:rPr>
                <w:rFonts w:ascii="Times New Roman" w:hAnsi="Times New Roman" w:cs="Times New Roman"/>
                <w:color w:val="000000"/>
                <w:sz w:val="20"/>
              </w:rPr>
              <w:t>0.13</w:t>
            </w:r>
          </w:p>
        </w:tc>
        <w:tc>
          <w:tcPr>
            <w:tcW w:w="730" w:type="dxa"/>
            <w:tcBorders>
              <w:top w:val="nil"/>
              <w:left w:val="nil"/>
              <w:bottom w:val="nil"/>
              <w:right w:val="nil"/>
            </w:tcBorders>
            <w:shd w:val="clear" w:color="auto" w:fill="auto"/>
            <w:noWrap/>
            <w:vAlign w:val="bottom"/>
          </w:tcPr>
          <w:p w14:paraId="03884CF8" w14:textId="77777777" w:rsidR="00F92A14" w:rsidRPr="00D93972" w:rsidRDefault="00F92A14" w:rsidP="00F92A14">
            <w:pPr>
              <w:spacing w:after="0" w:line="240" w:lineRule="auto"/>
              <w:jc w:val="right"/>
              <w:rPr>
                <w:rFonts w:ascii="Times New Roman" w:hAnsi="Times New Roman" w:cs="Times New Roman"/>
                <w:color w:val="000000"/>
                <w:sz w:val="20"/>
              </w:rPr>
            </w:pPr>
            <w:r w:rsidRPr="00D93972">
              <w:rPr>
                <w:rFonts w:ascii="Times New Roman" w:hAnsi="Times New Roman" w:cs="Times New Roman"/>
                <w:color w:val="000000"/>
                <w:sz w:val="20"/>
              </w:rPr>
              <w:t>1.96</w:t>
            </w:r>
          </w:p>
        </w:tc>
        <w:tc>
          <w:tcPr>
            <w:tcW w:w="687" w:type="dxa"/>
            <w:gridSpan w:val="2"/>
            <w:tcBorders>
              <w:top w:val="nil"/>
              <w:left w:val="nil"/>
              <w:bottom w:val="nil"/>
              <w:right w:val="nil"/>
            </w:tcBorders>
            <w:shd w:val="clear" w:color="auto" w:fill="auto"/>
            <w:noWrap/>
            <w:vAlign w:val="bottom"/>
          </w:tcPr>
          <w:p w14:paraId="1EFD88A2" w14:textId="77777777" w:rsidR="00F92A14" w:rsidRPr="00D93972" w:rsidRDefault="00F92A14" w:rsidP="00F92A14">
            <w:pPr>
              <w:spacing w:after="0" w:line="240" w:lineRule="auto"/>
              <w:rPr>
                <w:rFonts w:ascii="Times New Roman" w:eastAsia="Times New Roman" w:hAnsi="Times New Roman" w:cs="Times New Roman"/>
                <w:color w:val="000000"/>
                <w:sz w:val="20"/>
                <w:szCs w:val="21"/>
                <w:lang w:eastAsia="en-GB"/>
              </w:rPr>
            </w:pPr>
            <w:r w:rsidRPr="00D93972">
              <w:rPr>
                <w:rFonts w:ascii="Times New Roman" w:eastAsia="Times New Roman" w:hAnsi="Times New Roman" w:cs="Times New Roman"/>
                <w:color w:val="000000"/>
                <w:sz w:val="20"/>
                <w:szCs w:val="21"/>
                <w:lang w:eastAsia="en-GB"/>
              </w:rPr>
              <w:t>**</w:t>
            </w:r>
          </w:p>
        </w:tc>
        <w:tc>
          <w:tcPr>
            <w:tcW w:w="666" w:type="dxa"/>
            <w:tcBorders>
              <w:top w:val="nil"/>
              <w:left w:val="nil"/>
              <w:bottom w:val="nil"/>
              <w:right w:val="nil"/>
            </w:tcBorders>
            <w:shd w:val="clear" w:color="auto" w:fill="auto"/>
            <w:noWrap/>
            <w:vAlign w:val="bottom"/>
          </w:tcPr>
          <w:p w14:paraId="7F6F6DB6"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0.62</w:t>
            </w:r>
          </w:p>
        </w:tc>
        <w:tc>
          <w:tcPr>
            <w:tcW w:w="566" w:type="dxa"/>
            <w:tcBorders>
              <w:top w:val="nil"/>
              <w:left w:val="nil"/>
              <w:bottom w:val="nil"/>
              <w:right w:val="nil"/>
            </w:tcBorders>
            <w:shd w:val="clear" w:color="auto" w:fill="auto"/>
            <w:noWrap/>
            <w:vAlign w:val="bottom"/>
          </w:tcPr>
          <w:p w14:paraId="70D0EE87"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0.14</w:t>
            </w:r>
          </w:p>
        </w:tc>
        <w:tc>
          <w:tcPr>
            <w:tcW w:w="730" w:type="dxa"/>
            <w:tcBorders>
              <w:top w:val="nil"/>
              <w:left w:val="nil"/>
              <w:bottom w:val="nil"/>
              <w:right w:val="nil"/>
            </w:tcBorders>
            <w:shd w:val="clear" w:color="auto" w:fill="auto"/>
            <w:noWrap/>
            <w:vAlign w:val="bottom"/>
          </w:tcPr>
          <w:p w14:paraId="1A5BA45C"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1.86</w:t>
            </w:r>
          </w:p>
        </w:tc>
        <w:tc>
          <w:tcPr>
            <w:tcW w:w="416" w:type="dxa"/>
            <w:tcBorders>
              <w:top w:val="nil"/>
              <w:left w:val="nil"/>
              <w:bottom w:val="nil"/>
              <w:right w:val="nil"/>
            </w:tcBorders>
            <w:shd w:val="clear" w:color="auto" w:fill="auto"/>
            <w:noWrap/>
            <w:vAlign w:val="bottom"/>
          </w:tcPr>
          <w:p w14:paraId="48BD25E1"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r w:rsidRPr="00192108">
              <w:rPr>
                <w:rFonts w:ascii="Times New Roman" w:eastAsia="Times New Roman" w:hAnsi="Times New Roman" w:cs="Times New Roman"/>
                <w:color w:val="000000"/>
                <w:sz w:val="20"/>
                <w:szCs w:val="21"/>
                <w:lang w:eastAsia="en-GB"/>
              </w:rPr>
              <w:t>**</w:t>
            </w:r>
          </w:p>
        </w:tc>
      </w:tr>
      <w:tr w:rsidR="00F92A14" w:rsidRPr="002802A9" w14:paraId="48082202" w14:textId="77777777" w:rsidTr="00F92A14">
        <w:trPr>
          <w:trHeight w:val="288"/>
          <w:jc w:val="center"/>
        </w:trPr>
        <w:tc>
          <w:tcPr>
            <w:tcW w:w="5016" w:type="dxa"/>
            <w:tcBorders>
              <w:top w:val="nil"/>
              <w:left w:val="nil"/>
              <w:bottom w:val="nil"/>
              <w:right w:val="nil"/>
            </w:tcBorders>
            <w:shd w:val="clear" w:color="auto" w:fill="auto"/>
            <w:noWrap/>
            <w:vAlign w:val="bottom"/>
            <w:hideMark/>
          </w:tcPr>
          <w:p w14:paraId="3E5E70D9" w14:textId="77777777" w:rsidR="00F92A14" w:rsidRPr="002802A9" w:rsidRDefault="00F92A14" w:rsidP="00F92A14">
            <w:pPr>
              <w:spacing w:after="0" w:line="240" w:lineRule="auto"/>
              <w:rPr>
                <w:rFonts w:ascii="Times New Roman" w:eastAsia="Times New Roman" w:hAnsi="Times New Roman" w:cs="Times New Roman"/>
                <w:b/>
                <w:bCs/>
                <w:color w:val="000000"/>
                <w:szCs w:val="21"/>
                <w:lang w:eastAsia="en-GB"/>
              </w:rPr>
            </w:pPr>
            <w:r w:rsidRPr="002802A9">
              <w:rPr>
                <w:rFonts w:ascii="Times New Roman" w:eastAsia="Times New Roman" w:hAnsi="Times New Roman" w:cs="Times New Roman"/>
                <w:b/>
                <w:bCs/>
                <w:color w:val="000000"/>
                <w:szCs w:val="21"/>
                <w:lang w:eastAsia="en-GB"/>
              </w:rPr>
              <w:t>School characteristics</w:t>
            </w:r>
          </w:p>
        </w:tc>
        <w:tc>
          <w:tcPr>
            <w:tcW w:w="711" w:type="dxa"/>
            <w:tcBorders>
              <w:top w:val="nil"/>
              <w:left w:val="nil"/>
              <w:bottom w:val="nil"/>
              <w:right w:val="nil"/>
            </w:tcBorders>
            <w:shd w:val="clear" w:color="auto" w:fill="auto"/>
            <w:noWrap/>
            <w:vAlign w:val="bottom"/>
          </w:tcPr>
          <w:p w14:paraId="481BF8DE" w14:textId="77777777" w:rsidR="00F92A14" w:rsidRPr="002802A9" w:rsidRDefault="00F92A14" w:rsidP="00F92A14">
            <w:pPr>
              <w:spacing w:after="0" w:line="240" w:lineRule="auto"/>
              <w:rPr>
                <w:rFonts w:ascii="Times New Roman" w:eastAsia="Times New Roman" w:hAnsi="Times New Roman" w:cs="Times New Roman"/>
                <w:b/>
                <w:bCs/>
                <w:color w:val="000000"/>
                <w:szCs w:val="21"/>
                <w:lang w:eastAsia="en-GB"/>
              </w:rPr>
            </w:pPr>
          </w:p>
        </w:tc>
        <w:tc>
          <w:tcPr>
            <w:tcW w:w="601" w:type="dxa"/>
            <w:tcBorders>
              <w:top w:val="nil"/>
              <w:left w:val="nil"/>
              <w:bottom w:val="nil"/>
              <w:right w:val="nil"/>
            </w:tcBorders>
            <w:shd w:val="clear" w:color="auto" w:fill="auto"/>
            <w:noWrap/>
            <w:vAlign w:val="bottom"/>
          </w:tcPr>
          <w:p w14:paraId="742733CA"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72" w:type="dxa"/>
            <w:tcBorders>
              <w:top w:val="nil"/>
              <w:left w:val="nil"/>
              <w:bottom w:val="nil"/>
              <w:right w:val="nil"/>
            </w:tcBorders>
            <w:shd w:val="clear" w:color="auto" w:fill="auto"/>
            <w:noWrap/>
            <w:vAlign w:val="bottom"/>
          </w:tcPr>
          <w:p w14:paraId="1EFAAFBD"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1234BA1C"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0BD46C7D"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6F52A03E"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566" w:type="dxa"/>
            <w:tcBorders>
              <w:top w:val="nil"/>
              <w:left w:val="nil"/>
              <w:bottom w:val="nil"/>
              <w:right w:val="nil"/>
            </w:tcBorders>
            <w:shd w:val="clear" w:color="auto" w:fill="auto"/>
            <w:noWrap/>
            <w:vAlign w:val="bottom"/>
          </w:tcPr>
          <w:p w14:paraId="4FDA6A80"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30" w:type="dxa"/>
            <w:tcBorders>
              <w:top w:val="nil"/>
              <w:left w:val="nil"/>
              <w:bottom w:val="nil"/>
              <w:right w:val="nil"/>
            </w:tcBorders>
            <w:shd w:val="clear" w:color="auto" w:fill="auto"/>
            <w:noWrap/>
            <w:vAlign w:val="bottom"/>
          </w:tcPr>
          <w:p w14:paraId="093493A2"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416" w:type="dxa"/>
            <w:tcBorders>
              <w:top w:val="nil"/>
              <w:left w:val="nil"/>
              <w:bottom w:val="nil"/>
              <w:right w:val="nil"/>
            </w:tcBorders>
            <w:shd w:val="clear" w:color="auto" w:fill="auto"/>
            <w:noWrap/>
            <w:vAlign w:val="bottom"/>
          </w:tcPr>
          <w:p w14:paraId="41106D3E"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2E3BB0A0"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42F3C071"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566" w:type="dxa"/>
            <w:tcBorders>
              <w:top w:val="nil"/>
              <w:left w:val="nil"/>
              <w:bottom w:val="nil"/>
              <w:right w:val="nil"/>
            </w:tcBorders>
            <w:shd w:val="clear" w:color="auto" w:fill="auto"/>
            <w:noWrap/>
            <w:vAlign w:val="bottom"/>
          </w:tcPr>
          <w:p w14:paraId="1C2A927C"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30" w:type="dxa"/>
            <w:tcBorders>
              <w:top w:val="nil"/>
              <w:left w:val="nil"/>
              <w:bottom w:val="nil"/>
              <w:right w:val="nil"/>
            </w:tcBorders>
            <w:shd w:val="clear" w:color="auto" w:fill="auto"/>
            <w:noWrap/>
            <w:vAlign w:val="bottom"/>
          </w:tcPr>
          <w:p w14:paraId="284253F3"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416" w:type="dxa"/>
            <w:tcBorders>
              <w:top w:val="nil"/>
              <w:left w:val="nil"/>
              <w:bottom w:val="nil"/>
              <w:right w:val="nil"/>
            </w:tcBorders>
            <w:shd w:val="clear" w:color="auto" w:fill="auto"/>
            <w:noWrap/>
            <w:vAlign w:val="bottom"/>
          </w:tcPr>
          <w:p w14:paraId="139B4DE6"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r>
      <w:tr w:rsidR="00F92A14" w:rsidRPr="002802A9" w14:paraId="4959C70D" w14:textId="77777777" w:rsidTr="00F92A14">
        <w:trPr>
          <w:trHeight w:val="288"/>
          <w:jc w:val="center"/>
        </w:trPr>
        <w:tc>
          <w:tcPr>
            <w:tcW w:w="5016" w:type="dxa"/>
            <w:tcBorders>
              <w:top w:val="nil"/>
              <w:left w:val="nil"/>
              <w:bottom w:val="nil"/>
              <w:right w:val="nil"/>
            </w:tcBorders>
            <w:shd w:val="clear" w:color="auto" w:fill="auto"/>
            <w:noWrap/>
            <w:vAlign w:val="bottom"/>
            <w:hideMark/>
          </w:tcPr>
          <w:p w14:paraId="7B0D7C11"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r w:rsidRPr="002802A9">
              <w:rPr>
                <w:rFonts w:ascii="Times New Roman" w:eastAsia="Times New Roman" w:hAnsi="Times New Roman" w:cs="Times New Roman"/>
                <w:color w:val="000000"/>
                <w:szCs w:val="21"/>
                <w:lang w:eastAsia="en-GB"/>
              </w:rPr>
              <w:t>Highest pre UG qualification (ref: other)</w:t>
            </w:r>
          </w:p>
        </w:tc>
        <w:tc>
          <w:tcPr>
            <w:tcW w:w="711" w:type="dxa"/>
            <w:tcBorders>
              <w:top w:val="nil"/>
              <w:left w:val="nil"/>
              <w:bottom w:val="nil"/>
              <w:right w:val="nil"/>
            </w:tcBorders>
            <w:shd w:val="clear" w:color="auto" w:fill="auto"/>
            <w:noWrap/>
            <w:vAlign w:val="bottom"/>
          </w:tcPr>
          <w:p w14:paraId="4F5D941B"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p>
        </w:tc>
        <w:tc>
          <w:tcPr>
            <w:tcW w:w="601" w:type="dxa"/>
            <w:tcBorders>
              <w:top w:val="nil"/>
              <w:left w:val="nil"/>
              <w:bottom w:val="nil"/>
              <w:right w:val="nil"/>
            </w:tcBorders>
            <w:shd w:val="clear" w:color="auto" w:fill="auto"/>
            <w:noWrap/>
            <w:vAlign w:val="bottom"/>
          </w:tcPr>
          <w:p w14:paraId="5407BA6E"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72" w:type="dxa"/>
            <w:tcBorders>
              <w:top w:val="nil"/>
              <w:left w:val="nil"/>
              <w:bottom w:val="nil"/>
              <w:right w:val="nil"/>
            </w:tcBorders>
            <w:shd w:val="clear" w:color="auto" w:fill="auto"/>
            <w:noWrap/>
            <w:vAlign w:val="bottom"/>
          </w:tcPr>
          <w:p w14:paraId="4787FA02"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468EF5B8"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75756942"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34540BE1"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566" w:type="dxa"/>
            <w:tcBorders>
              <w:top w:val="nil"/>
              <w:left w:val="nil"/>
              <w:bottom w:val="nil"/>
              <w:right w:val="nil"/>
            </w:tcBorders>
            <w:shd w:val="clear" w:color="auto" w:fill="auto"/>
            <w:noWrap/>
            <w:vAlign w:val="bottom"/>
          </w:tcPr>
          <w:p w14:paraId="175876CE"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30" w:type="dxa"/>
            <w:tcBorders>
              <w:top w:val="nil"/>
              <w:left w:val="nil"/>
              <w:bottom w:val="nil"/>
              <w:right w:val="nil"/>
            </w:tcBorders>
            <w:shd w:val="clear" w:color="auto" w:fill="auto"/>
            <w:noWrap/>
            <w:vAlign w:val="bottom"/>
          </w:tcPr>
          <w:p w14:paraId="37D27BED"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416" w:type="dxa"/>
            <w:tcBorders>
              <w:top w:val="nil"/>
              <w:left w:val="nil"/>
              <w:bottom w:val="nil"/>
              <w:right w:val="nil"/>
            </w:tcBorders>
            <w:shd w:val="clear" w:color="auto" w:fill="auto"/>
            <w:noWrap/>
            <w:vAlign w:val="bottom"/>
          </w:tcPr>
          <w:p w14:paraId="20E90AB1"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274BE8BE"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262C7C98"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566" w:type="dxa"/>
            <w:tcBorders>
              <w:top w:val="nil"/>
              <w:left w:val="nil"/>
              <w:bottom w:val="nil"/>
              <w:right w:val="nil"/>
            </w:tcBorders>
            <w:shd w:val="clear" w:color="auto" w:fill="auto"/>
            <w:noWrap/>
            <w:vAlign w:val="bottom"/>
          </w:tcPr>
          <w:p w14:paraId="13B49635"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30" w:type="dxa"/>
            <w:tcBorders>
              <w:top w:val="nil"/>
              <w:left w:val="nil"/>
              <w:bottom w:val="nil"/>
              <w:right w:val="nil"/>
            </w:tcBorders>
            <w:shd w:val="clear" w:color="auto" w:fill="auto"/>
            <w:noWrap/>
            <w:vAlign w:val="bottom"/>
          </w:tcPr>
          <w:p w14:paraId="11F33192"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416" w:type="dxa"/>
            <w:tcBorders>
              <w:top w:val="nil"/>
              <w:left w:val="nil"/>
              <w:bottom w:val="nil"/>
              <w:right w:val="nil"/>
            </w:tcBorders>
            <w:shd w:val="clear" w:color="auto" w:fill="auto"/>
            <w:noWrap/>
            <w:vAlign w:val="bottom"/>
          </w:tcPr>
          <w:p w14:paraId="39C15800"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r>
      <w:tr w:rsidR="00F92A14" w:rsidRPr="002802A9" w14:paraId="14888634" w14:textId="77777777" w:rsidTr="00F92A14">
        <w:trPr>
          <w:trHeight w:val="288"/>
          <w:jc w:val="center"/>
        </w:trPr>
        <w:tc>
          <w:tcPr>
            <w:tcW w:w="5016" w:type="dxa"/>
            <w:tcBorders>
              <w:top w:val="nil"/>
              <w:left w:val="nil"/>
              <w:bottom w:val="nil"/>
              <w:right w:val="nil"/>
            </w:tcBorders>
            <w:shd w:val="clear" w:color="auto" w:fill="auto"/>
            <w:noWrap/>
            <w:vAlign w:val="bottom"/>
            <w:hideMark/>
          </w:tcPr>
          <w:p w14:paraId="14360967" w14:textId="77777777" w:rsidR="00F92A14" w:rsidRPr="002802A9" w:rsidRDefault="00F92A14" w:rsidP="00F92A14">
            <w:pPr>
              <w:spacing w:after="0" w:line="240" w:lineRule="auto"/>
              <w:ind w:firstLineChars="100" w:firstLine="112"/>
              <w:rPr>
                <w:rFonts w:ascii="Times New Roman" w:eastAsia="Times New Roman" w:hAnsi="Times New Roman" w:cs="Times New Roman"/>
                <w:color w:val="000000"/>
                <w:szCs w:val="21"/>
                <w:lang w:eastAsia="en-GB"/>
              </w:rPr>
            </w:pPr>
            <w:r w:rsidRPr="002802A9">
              <w:rPr>
                <w:rFonts w:ascii="Times New Roman" w:eastAsia="Times New Roman" w:hAnsi="Times New Roman" w:cs="Times New Roman"/>
                <w:color w:val="000000"/>
                <w:szCs w:val="21"/>
                <w:lang w:eastAsia="en-GB"/>
              </w:rPr>
              <w:t>GCE 'A' level</w:t>
            </w:r>
          </w:p>
        </w:tc>
        <w:tc>
          <w:tcPr>
            <w:tcW w:w="711" w:type="dxa"/>
            <w:tcBorders>
              <w:top w:val="nil"/>
              <w:left w:val="nil"/>
              <w:bottom w:val="nil"/>
              <w:right w:val="nil"/>
            </w:tcBorders>
            <w:shd w:val="clear" w:color="auto" w:fill="auto"/>
            <w:noWrap/>
            <w:vAlign w:val="bottom"/>
          </w:tcPr>
          <w:p w14:paraId="7813796D" w14:textId="77777777" w:rsidR="00F92A14" w:rsidRPr="002802A9" w:rsidRDefault="00F92A14" w:rsidP="00F92A14">
            <w:pPr>
              <w:spacing w:after="0" w:line="240" w:lineRule="auto"/>
              <w:ind w:firstLineChars="100" w:firstLine="112"/>
              <w:rPr>
                <w:rFonts w:ascii="Times New Roman" w:eastAsia="Times New Roman" w:hAnsi="Times New Roman" w:cs="Times New Roman"/>
                <w:color w:val="000000"/>
                <w:szCs w:val="21"/>
                <w:lang w:eastAsia="en-GB"/>
              </w:rPr>
            </w:pPr>
          </w:p>
        </w:tc>
        <w:tc>
          <w:tcPr>
            <w:tcW w:w="601" w:type="dxa"/>
            <w:tcBorders>
              <w:top w:val="nil"/>
              <w:left w:val="nil"/>
              <w:bottom w:val="nil"/>
              <w:right w:val="nil"/>
            </w:tcBorders>
            <w:shd w:val="clear" w:color="auto" w:fill="auto"/>
            <w:noWrap/>
            <w:vAlign w:val="bottom"/>
          </w:tcPr>
          <w:p w14:paraId="1E262F9A" w14:textId="77777777" w:rsidR="00F92A14" w:rsidRPr="002802A9" w:rsidRDefault="00F92A14" w:rsidP="00F92A14">
            <w:pPr>
              <w:spacing w:after="0" w:line="240" w:lineRule="auto"/>
              <w:ind w:firstLineChars="100" w:firstLine="112"/>
              <w:rPr>
                <w:rFonts w:ascii="Times New Roman" w:eastAsia="Times New Roman" w:hAnsi="Times New Roman" w:cs="Times New Roman"/>
                <w:szCs w:val="21"/>
                <w:lang w:eastAsia="en-GB"/>
              </w:rPr>
            </w:pPr>
          </w:p>
        </w:tc>
        <w:tc>
          <w:tcPr>
            <w:tcW w:w="772" w:type="dxa"/>
            <w:tcBorders>
              <w:top w:val="nil"/>
              <w:left w:val="nil"/>
              <w:bottom w:val="nil"/>
              <w:right w:val="nil"/>
            </w:tcBorders>
            <w:shd w:val="clear" w:color="auto" w:fill="auto"/>
            <w:noWrap/>
            <w:vAlign w:val="bottom"/>
          </w:tcPr>
          <w:p w14:paraId="39FCFB17"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39397A85"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6D1E1FFF"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37BE781E"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566" w:type="dxa"/>
            <w:tcBorders>
              <w:top w:val="nil"/>
              <w:left w:val="nil"/>
              <w:bottom w:val="nil"/>
              <w:right w:val="nil"/>
            </w:tcBorders>
            <w:shd w:val="clear" w:color="auto" w:fill="auto"/>
            <w:noWrap/>
            <w:vAlign w:val="bottom"/>
          </w:tcPr>
          <w:p w14:paraId="2112E1C1"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30" w:type="dxa"/>
            <w:tcBorders>
              <w:top w:val="nil"/>
              <w:left w:val="nil"/>
              <w:bottom w:val="nil"/>
              <w:right w:val="nil"/>
            </w:tcBorders>
            <w:shd w:val="clear" w:color="auto" w:fill="auto"/>
            <w:noWrap/>
            <w:vAlign w:val="bottom"/>
          </w:tcPr>
          <w:p w14:paraId="6C6B6E32"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416" w:type="dxa"/>
            <w:tcBorders>
              <w:top w:val="nil"/>
              <w:left w:val="nil"/>
              <w:bottom w:val="nil"/>
              <w:right w:val="nil"/>
            </w:tcBorders>
            <w:shd w:val="clear" w:color="auto" w:fill="auto"/>
            <w:noWrap/>
            <w:vAlign w:val="bottom"/>
          </w:tcPr>
          <w:p w14:paraId="706F6022"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7BC7EECF"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40218225" w14:textId="77777777" w:rsidR="00F92A14" w:rsidRPr="00192108" w:rsidRDefault="00F92A14" w:rsidP="00F92A14">
            <w:pPr>
              <w:spacing w:after="0" w:line="240" w:lineRule="auto"/>
              <w:jc w:val="right"/>
              <w:rPr>
                <w:rFonts w:ascii="Times New Roman" w:eastAsia="Times New Roman" w:hAnsi="Times New Roman" w:cs="Times New Roman"/>
                <w:color w:val="000000"/>
                <w:sz w:val="20"/>
              </w:rPr>
            </w:pPr>
            <w:r w:rsidRPr="00192108">
              <w:rPr>
                <w:rFonts w:ascii="Times New Roman" w:hAnsi="Times New Roman" w:cs="Times New Roman"/>
                <w:color w:val="000000"/>
                <w:sz w:val="20"/>
              </w:rPr>
              <w:t>0.06</w:t>
            </w:r>
          </w:p>
        </w:tc>
        <w:tc>
          <w:tcPr>
            <w:tcW w:w="566" w:type="dxa"/>
            <w:tcBorders>
              <w:top w:val="nil"/>
              <w:left w:val="nil"/>
              <w:bottom w:val="nil"/>
              <w:right w:val="nil"/>
            </w:tcBorders>
            <w:shd w:val="clear" w:color="auto" w:fill="auto"/>
            <w:noWrap/>
            <w:vAlign w:val="bottom"/>
          </w:tcPr>
          <w:p w14:paraId="608AA486"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0.24</w:t>
            </w:r>
          </w:p>
        </w:tc>
        <w:tc>
          <w:tcPr>
            <w:tcW w:w="730" w:type="dxa"/>
            <w:tcBorders>
              <w:top w:val="nil"/>
              <w:left w:val="nil"/>
              <w:bottom w:val="nil"/>
              <w:right w:val="nil"/>
            </w:tcBorders>
            <w:shd w:val="clear" w:color="auto" w:fill="auto"/>
            <w:noWrap/>
            <w:vAlign w:val="bottom"/>
          </w:tcPr>
          <w:p w14:paraId="41D695C7"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1.06</w:t>
            </w:r>
          </w:p>
        </w:tc>
        <w:tc>
          <w:tcPr>
            <w:tcW w:w="416" w:type="dxa"/>
            <w:tcBorders>
              <w:top w:val="nil"/>
              <w:left w:val="nil"/>
              <w:bottom w:val="nil"/>
              <w:right w:val="nil"/>
            </w:tcBorders>
            <w:shd w:val="clear" w:color="auto" w:fill="auto"/>
            <w:noWrap/>
            <w:vAlign w:val="bottom"/>
          </w:tcPr>
          <w:p w14:paraId="603CB8C0" w14:textId="77777777" w:rsidR="00F92A14" w:rsidRPr="002802A9" w:rsidRDefault="00F92A14" w:rsidP="00F92A14">
            <w:pPr>
              <w:spacing w:after="0" w:line="240" w:lineRule="auto"/>
              <w:jc w:val="right"/>
              <w:rPr>
                <w:rFonts w:ascii="Times New Roman" w:eastAsia="Times New Roman" w:hAnsi="Times New Roman" w:cs="Times New Roman"/>
                <w:color w:val="000000"/>
                <w:szCs w:val="21"/>
                <w:lang w:eastAsia="en-GB"/>
              </w:rPr>
            </w:pPr>
          </w:p>
        </w:tc>
      </w:tr>
      <w:tr w:rsidR="00F92A14" w:rsidRPr="002802A9" w14:paraId="1DBFF5D1" w14:textId="77777777" w:rsidTr="00F92A14">
        <w:trPr>
          <w:trHeight w:val="288"/>
          <w:jc w:val="center"/>
        </w:trPr>
        <w:tc>
          <w:tcPr>
            <w:tcW w:w="5016" w:type="dxa"/>
            <w:tcBorders>
              <w:top w:val="nil"/>
              <w:left w:val="nil"/>
              <w:bottom w:val="nil"/>
              <w:right w:val="nil"/>
            </w:tcBorders>
            <w:shd w:val="clear" w:color="auto" w:fill="auto"/>
            <w:noWrap/>
            <w:vAlign w:val="bottom"/>
            <w:hideMark/>
          </w:tcPr>
          <w:p w14:paraId="5491344F"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r w:rsidRPr="002802A9">
              <w:rPr>
                <w:rFonts w:ascii="Times New Roman" w:eastAsia="Times New Roman" w:hAnsi="Times New Roman" w:cs="Times New Roman"/>
                <w:color w:val="000000"/>
                <w:szCs w:val="21"/>
                <w:lang w:eastAsia="en-GB"/>
              </w:rPr>
              <w:t>School type (ref: state)</w:t>
            </w:r>
          </w:p>
        </w:tc>
        <w:tc>
          <w:tcPr>
            <w:tcW w:w="711" w:type="dxa"/>
            <w:tcBorders>
              <w:top w:val="nil"/>
              <w:left w:val="nil"/>
              <w:bottom w:val="nil"/>
              <w:right w:val="nil"/>
            </w:tcBorders>
            <w:shd w:val="clear" w:color="auto" w:fill="auto"/>
            <w:noWrap/>
            <w:vAlign w:val="bottom"/>
          </w:tcPr>
          <w:p w14:paraId="6190961C"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p>
        </w:tc>
        <w:tc>
          <w:tcPr>
            <w:tcW w:w="601" w:type="dxa"/>
            <w:tcBorders>
              <w:top w:val="nil"/>
              <w:left w:val="nil"/>
              <w:bottom w:val="nil"/>
              <w:right w:val="nil"/>
            </w:tcBorders>
            <w:shd w:val="clear" w:color="auto" w:fill="auto"/>
            <w:noWrap/>
            <w:vAlign w:val="bottom"/>
          </w:tcPr>
          <w:p w14:paraId="02DBA118"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72" w:type="dxa"/>
            <w:tcBorders>
              <w:top w:val="nil"/>
              <w:left w:val="nil"/>
              <w:bottom w:val="nil"/>
              <w:right w:val="nil"/>
            </w:tcBorders>
            <w:shd w:val="clear" w:color="auto" w:fill="auto"/>
            <w:noWrap/>
            <w:vAlign w:val="bottom"/>
          </w:tcPr>
          <w:p w14:paraId="3EBFBEEE"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5D0C868E"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4492DB1D"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50ECC618"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566" w:type="dxa"/>
            <w:tcBorders>
              <w:top w:val="nil"/>
              <w:left w:val="nil"/>
              <w:bottom w:val="nil"/>
              <w:right w:val="nil"/>
            </w:tcBorders>
            <w:shd w:val="clear" w:color="auto" w:fill="auto"/>
            <w:noWrap/>
            <w:vAlign w:val="bottom"/>
          </w:tcPr>
          <w:p w14:paraId="26786967"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30" w:type="dxa"/>
            <w:tcBorders>
              <w:top w:val="nil"/>
              <w:left w:val="nil"/>
              <w:bottom w:val="nil"/>
              <w:right w:val="nil"/>
            </w:tcBorders>
            <w:shd w:val="clear" w:color="auto" w:fill="auto"/>
            <w:noWrap/>
            <w:vAlign w:val="bottom"/>
          </w:tcPr>
          <w:p w14:paraId="7470505C"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416" w:type="dxa"/>
            <w:tcBorders>
              <w:top w:val="nil"/>
              <w:left w:val="nil"/>
              <w:bottom w:val="nil"/>
              <w:right w:val="nil"/>
            </w:tcBorders>
            <w:shd w:val="clear" w:color="auto" w:fill="auto"/>
            <w:noWrap/>
            <w:vAlign w:val="bottom"/>
          </w:tcPr>
          <w:p w14:paraId="13C7BF41"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7100CE64"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46FAD1DB" w14:textId="77777777" w:rsidR="00F92A14" w:rsidRPr="00192108" w:rsidRDefault="00F92A14" w:rsidP="00F92A14">
            <w:pPr>
              <w:spacing w:after="0" w:line="240" w:lineRule="auto"/>
              <w:jc w:val="right"/>
              <w:rPr>
                <w:rFonts w:ascii="Times New Roman" w:hAnsi="Times New Roman" w:cs="Times New Roman"/>
                <w:color w:val="000000"/>
                <w:sz w:val="20"/>
              </w:rPr>
            </w:pPr>
          </w:p>
        </w:tc>
        <w:tc>
          <w:tcPr>
            <w:tcW w:w="566" w:type="dxa"/>
            <w:tcBorders>
              <w:top w:val="nil"/>
              <w:left w:val="nil"/>
              <w:bottom w:val="nil"/>
              <w:right w:val="nil"/>
            </w:tcBorders>
            <w:shd w:val="clear" w:color="auto" w:fill="auto"/>
            <w:noWrap/>
            <w:vAlign w:val="bottom"/>
          </w:tcPr>
          <w:p w14:paraId="1F519E65" w14:textId="77777777" w:rsidR="00F92A14" w:rsidRPr="00192108" w:rsidRDefault="00F92A14" w:rsidP="00F92A14">
            <w:pPr>
              <w:spacing w:after="0" w:line="240" w:lineRule="auto"/>
              <w:jc w:val="right"/>
              <w:rPr>
                <w:rFonts w:ascii="Times New Roman" w:hAnsi="Times New Roman" w:cs="Times New Roman"/>
                <w:sz w:val="20"/>
                <w:szCs w:val="20"/>
              </w:rPr>
            </w:pPr>
          </w:p>
        </w:tc>
        <w:tc>
          <w:tcPr>
            <w:tcW w:w="730" w:type="dxa"/>
            <w:tcBorders>
              <w:top w:val="nil"/>
              <w:left w:val="nil"/>
              <w:bottom w:val="nil"/>
              <w:right w:val="nil"/>
            </w:tcBorders>
            <w:shd w:val="clear" w:color="auto" w:fill="auto"/>
            <w:noWrap/>
            <w:vAlign w:val="bottom"/>
          </w:tcPr>
          <w:p w14:paraId="19364862" w14:textId="77777777" w:rsidR="00F92A14" w:rsidRPr="00192108" w:rsidRDefault="00F92A14" w:rsidP="00F92A14">
            <w:pPr>
              <w:spacing w:after="0" w:line="240" w:lineRule="auto"/>
              <w:jc w:val="right"/>
              <w:rPr>
                <w:rFonts w:ascii="Times New Roman" w:hAnsi="Times New Roman" w:cs="Times New Roman"/>
                <w:sz w:val="20"/>
                <w:szCs w:val="20"/>
              </w:rPr>
            </w:pPr>
          </w:p>
        </w:tc>
        <w:tc>
          <w:tcPr>
            <w:tcW w:w="416" w:type="dxa"/>
            <w:tcBorders>
              <w:top w:val="nil"/>
              <w:left w:val="nil"/>
              <w:bottom w:val="nil"/>
              <w:right w:val="nil"/>
            </w:tcBorders>
            <w:shd w:val="clear" w:color="auto" w:fill="auto"/>
            <w:noWrap/>
            <w:vAlign w:val="bottom"/>
          </w:tcPr>
          <w:p w14:paraId="52839A36"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r>
      <w:tr w:rsidR="00F92A14" w:rsidRPr="002802A9" w14:paraId="7339698A" w14:textId="77777777" w:rsidTr="00F92A14">
        <w:trPr>
          <w:trHeight w:val="288"/>
          <w:jc w:val="center"/>
        </w:trPr>
        <w:tc>
          <w:tcPr>
            <w:tcW w:w="5016" w:type="dxa"/>
            <w:tcBorders>
              <w:top w:val="nil"/>
              <w:left w:val="nil"/>
              <w:bottom w:val="nil"/>
              <w:right w:val="nil"/>
            </w:tcBorders>
            <w:shd w:val="clear" w:color="auto" w:fill="auto"/>
            <w:noWrap/>
            <w:vAlign w:val="bottom"/>
            <w:hideMark/>
          </w:tcPr>
          <w:p w14:paraId="6846117D" w14:textId="77777777" w:rsidR="00F92A14" w:rsidRPr="002802A9" w:rsidRDefault="00F92A14" w:rsidP="00F92A14">
            <w:pPr>
              <w:spacing w:after="0" w:line="240" w:lineRule="auto"/>
              <w:ind w:firstLineChars="100" w:firstLine="112"/>
              <w:rPr>
                <w:rFonts w:ascii="Times New Roman" w:eastAsia="Times New Roman" w:hAnsi="Times New Roman" w:cs="Times New Roman"/>
                <w:color w:val="000000"/>
                <w:szCs w:val="21"/>
                <w:lang w:eastAsia="en-GB"/>
              </w:rPr>
            </w:pPr>
            <w:r w:rsidRPr="002802A9">
              <w:rPr>
                <w:rFonts w:ascii="Times New Roman" w:eastAsia="Times New Roman" w:hAnsi="Times New Roman" w:cs="Times New Roman"/>
                <w:color w:val="000000"/>
                <w:szCs w:val="21"/>
                <w:lang w:eastAsia="en-GB"/>
              </w:rPr>
              <w:t>Private/independent</w:t>
            </w:r>
          </w:p>
        </w:tc>
        <w:tc>
          <w:tcPr>
            <w:tcW w:w="711" w:type="dxa"/>
            <w:tcBorders>
              <w:top w:val="nil"/>
              <w:left w:val="nil"/>
              <w:bottom w:val="nil"/>
              <w:right w:val="nil"/>
            </w:tcBorders>
            <w:shd w:val="clear" w:color="auto" w:fill="auto"/>
            <w:noWrap/>
            <w:vAlign w:val="bottom"/>
          </w:tcPr>
          <w:p w14:paraId="6319DBF3" w14:textId="77777777" w:rsidR="00F92A14" w:rsidRPr="002802A9" w:rsidRDefault="00F92A14" w:rsidP="00F92A14">
            <w:pPr>
              <w:spacing w:after="0" w:line="240" w:lineRule="auto"/>
              <w:ind w:firstLineChars="100" w:firstLine="112"/>
              <w:rPr>
                <w:rFonts w:ascii="Times New Roman" w:eastAsia="Times New Roman" w:hAnsi="Times New Roman" w:cs="Times New Roman"/>
                <w:color w:val="000000"/>
                <w:szCs w:val="21"/>
                <w:lang w:eastAsia="en-GB"/>
              </w:rPr>
            </w:pPr>
          </w:p>
        </w:tc>
        <w:tc>
          <w:tcPr>
            <w:tcW w:w="601" w:type="dxa"/>
            <w:tcBorders>
              <w:top w:val="nil"/>
              <w:left w:val="nil"/>
              <w:bottom w:val="nil"/>
              <w:right w:val="nil"/>
            </w:tcBorders>
            <w:shd w:val="clear" w:color="auto" w:fill="auto"/>
            <w:noWrap/>
            <w:vAlign w:val="bottom"/>
          </w:tcPr>
          <w:p w14:paraId="7217D68F" w14:textId="77777777" w:rsidR="00F92A14" w:rsidRPr="002802A9" w:rsidRDefault="00F92A14" w:rsidP="00F92A14">
            <w:pPr>
              <w:spacing w:after="0" w:line="240" w:lineRule="auto"/>
              <w:ind w:firstLineChars="100" w:firstLine="112"/>
              <w:rPr>
                <w:rFonts w:ascii="Times New Roman" w:eastAsia="Times New Roman" w:hAnsi="Times New Roman" w:cs="Times New Roman"/>
                <w:szCs w:val="21"/>
                <w:lang w:eastAsia="en-GB"/>
              </w:rPr>
            </w:pPr>
          </w:p>
        </w:tc>
        <w:tc>
          <w:tcPr>
            <w:tcW w:w="772" w:type="dxa"/>
            <w:tcBorders>
              <w:top w:val="nil"/>
              <w:left w:val="nil"/>
              <w:bottom w:val="nil"/>
              <w:right w:val="nil"/>
            </w:tcBorders>
            <w:shd w:val="clear" w:color="auto" w:fill="auto"/>
            <w:noWrap/>
            <w:vAlign w:val="bottom"/>
          </w:tcPr>
          <w:p w14:paraId="178F31A0"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6B6F7C66"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2F043484"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4F5F6F50"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566" w:type="dxa"/>
            <w:tcBorders>
              <w:top w:val="nil"/>
              <w:left w:val="nil"/>
              <w:bottom w:val="nil"/>
              <w:right w:val="nil"/>
            </w:tcBorders>
            <w:shd w:val="clear" w:color="auto" w:fill="auto"/>
            <w:noWrap/>
            <w:vAlign w:val="bottom"/>
          </w:tcPr>
          <w:p w14:paraId="1B3E3538"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30" w:type="dxa"/>
            <w:tcBorders>
              <w:top w:val="nil"/>
              <w:left w:val="nil"/>
              <w:bottom w:val="nil"/>
              <w:right w:val="nil"/>
            </w:tcBorders>
            <w:shd w:val="clear" w:color="auto" w:fill="auto"/>
            <w:noWrap/>
            <w:vAlign w:val="bottom"/>
          </w:tcPr>
          <w:p w14:paraId="3C8C6110"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416" w:type="dxa"/>
            <w:tcBorders>
              <w:top w:val="nil"/>
              <w:left w:val="nil"/>
              <w:bottom w:val="nil"/>
              <w:right w:val="nil"/>
            </w:tcBorders>
            <w:shd w:val="clear" w:color="auto" w:fill="auto"/>
            <w:noWrap/>
            <w:vAlign w:val="bottom"/>
          </w:tcPr>
          <w:p w14:paraId="707473BC"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3E88D3BB"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222F7E15"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0.03</w:t>
            </w:r>
          </w:p>
        </w:tc>
        <w:tc>
          <w:tcPr>
            <w:tcW w:w="566" w:type="dxa"/>
            <w:tcBorders>
              <w:top w:val="nil"/>
              <w:left w:val="nil"/>
              <w:bottom w:val="nil"/>
              <w:right w:val="nil"/>
            </w:tcBorders>
            <w:shd w:val="clear" w:color="auto" w:fill="auto"/>
            <w:noWrap/>
            <w:vAlign w:val="bottom"/>
          </w:tcPr>
          <w:p w14:paraId="1304BA9B"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0.12</w:t>
            </w:r>
          </w:p>
        </w:tc>
        <w:tc>
          <w:tcPr>
            <w:tcW w:w="730" w:type="dxa"/>
            <w:tcBorders>
              <w:top w:val="nil"/>
              <w:left w:val="nil"/>
              <w:bottom w:val="nil"/>
              <w:right w:val="nil"/>
            </w:tcBorders>
            <w:shd w:val="clear" w:color="auto" w:fill="auto"/>
            <w:noWrap/>
            <w:vAlign w:val="bottom"/>
          </w:tcPr>
          <w:p w14:paraId="37779105"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1.03</w:t>
            </w:r>
          </w:p>
        </w:tc>
        <w:tc>
          <w:tcPr>
            <w:tcW w:w="416" w:type="dxa"/>
            <w:tcBorders>
              <w:top w:val="nil"/>
              <w:left w:val="nil"/>
              <w:bottom w:val="nil"/>
              <w:right w:val="nil"/>
            </w:tcBorders>
            <w:shd w:val="clear" w:color="auto" w:fill="auto"/>
            <w:noWrap/>
            <w:vAlign w:val="bottom"/>
          </w:tcPr>
          <w:p w14:paraId="010335F3" w14:textId="77777777" w:rsidR="00F92A14" w:rsidRPr="002802A9" w:rsidRDefault="00F92A14" w:rsidP="00F92A14">
            <w:pPr>
              <w:spacing w:after="0" w:line="240" w:lineRule="auto"/>
              <w:jc w:val="right"/>
              <w:rPr>
                <w:rFonts w:ascii="Times New Roman" w:eastAsia="Times New Roman" w:hAnsi="Times New Roman" w:cs="Times New Roman"/>
                <w:color w:val="000000"/>
                <w:szCs w:val="21"/>
                <w:lang w:eastAsia="en-GB"/>
              </w:rPr>
            </w:pPr>
          </w:p>
        </w:tc>
      </w:tr>
      <w:tr w:rsidR="00F92A14" w:rsidRPr="002802A9" w14:paraId="3B6F88BA" w14:textId="77777777" w:rsidTr="00F92A14">
        <w:trPr>
          <w:trHeight w:val="288"/>
          <w:jc w:val="center"/>
        </w:trPr>
        <w:tc>
          <w:tcPr>
            <w:tcW w:w="5016" w:type="dxa"/>
            <w:tcBorders>
              <w:top w:val="nil"/>
              <w:left w:val="nil"/>
              <w:bottom w:val="nil"/>
              <w:right w:val="nil"/>
            </w:tcBorders>
            <w:shd w:val="clear" w:color="auto" w:fill="auto"/>
            <w:noWrap/>
            <w:vAlign w:val="bottom"/>
            <w:hideMark/>
          </w:tcPr>
          <w:p w14:paraId="7C92D129" w14:textId="77777777" w:rsidR="00F92A14" w:rsidRPr="002802A9" w:rsidRDefault="00F92A14" w:rsidP="00F92A14">
            <w:pPr>
              <w:spacing w:after="0" w:line="240" w:lineRule="auto"/>
              <w:rPr>
                <w:rFonts w:ascii="Times New Roman" w:eastAsia="Times New Roman" w:hAnsi="Times New Roman" w:cs="Times New Roman"/>
                <w:b/>
                <w:bCs/>
                <w:color w:val="000000"/>
                <w:szCs w:val="21"/>
                <w:lang w:eastAsia="en-GB"/>
              </w:rPr>
            </w:pPr>
            <w:r w:rsidRPr="002802A9">
              <w:rPr>
                <w:rFonts w:ascii="Times New Roman" w:eastAsia="Times New Roman" w:hAnsi="Times New Roman" w:cs="Times New Roman"/>
                <w:b/>
                <w:bCs/>
                <w:color w:val="000000"/>
                <w:szCs w:val="21"/>
                <w:lang w:eastAsia="en-GB"/>
              </w:rPr>
              <w:lastRenderedPageBreak/>
              <w:t>Socio-economic characteristics</w:t>
            </w:r>
          </w:p>
        </w:tc>
        <w:tc>
          <w:tcPr>
            <w:tcW w:w="711" w:type="dxa"/>
            <w:tcBorders>
              <w:top w:val="nil"/>
              <w:left w:val="nil"/>
              <w:bottom w:val="nil"/>
              <w:right w:val="nil"/>
            </w:tcBorders>
            <w:shd w:val="clear" w:color="auto" w:fill="auto"/>
            <w:noWrap/>
            <w:vAlign w:val="bottom"/>
          </w:tcPr>
          <w:p w14:paraId="276F0B35" w14:textId="77777777" w:rsidR="00F92A14" w:rsidRPr="002802A9" w:rsidRDefault="00F92A14" w:rsidP="00F92A14">
            <w:pPr>
              <w:spacing w:after="0" w:line="240" w:lineRule="auto"/>
              <w:rPr>
                <w:rFonts w:ascii="Times New Roman" w:eastAsia="Times New Roman" w:hAnsi="Times New Roman" w:cs="Times New Roman"/>
                <w:b/>
                <w:bCs/>
                <w:color w:val="000000"/>
                <w:szCs w:val="21"/>
                <w:lang w:eastAsia="en-GB"/>
              </w:rPr>
            </w:pPr>
          </w:p>
        </w:tc>
        <w:tc>
          <w:tcPr>
            <w:tcW w:w="601" w:type="dxa"/>
            <w:tcBorders>
              <w:top w:val="nil"/>
              <w:left w:val="nil"/>
              <w:bottom w:val="nil"/>
              <w:right w:val="nil"/>
            </w:tcBorders>
            <w:shd w:val="clear" w:color="auto" w:fill="auto"/>
            <w:noWrap/>
            <w:vAlign w:val="bottom"/>
          </w:tcPr>
          <w:p w14:paraId="6A0DA6B9" w14:textId="77777777" w:rsidR="00F92A14" w:rsidRPr="002802A9" w:rsidRDefault="00F92A14" w:rsidP="00F92A14">
            <w:pPr>
              <w:spacing w:after="0" w:line="240" w:lineRule="auto"/>
              <w:ind w:firstLineChars="100" w:firstLine="112"/>
              <w:rPr>
                <w:rFonts w:ascii="Times New Roman" w:eastAsia="Times New Roman" w:hAnsi="Times New Roman" w:cs="Times New Roman"/>
                <w:szCs w:val="21"/>
                <w:lang w:eastAsia="en-GB"/>
              </w:rPr>
            </w:pPr>
          </w:p>
        </w:tc>
        <w:tc>
          <w:tcPr>
            <w:tcW w:w="772" w:type="dxa"/>
            <w:tcBorders>
              <w:top w:val="nil"/>
              <w:left w:val="nil"/>
              <w:bottom w:val="nil"/>
              <w:right w:val="nil"/>
            </w:tcBorders>
            <w:shd w:val="clear" w:color="auto" w:fill="auto"/>
            <w:noWrap/>
            <w:vAlign w:val="bottom"/>
          </w:tcPr>
          <w:p w14:paraId="28C2096F"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36F0B553"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4B690E5D"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1858DE21"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566" w:type="dxa"/>
            <w:tcBorders>
              <w:top w:val="nil"/>
              <w:left w:val="nil"/>
              <w:bottom w:val="nil"/>
              <w:right w:val="nil"/>
            </w:tcBorders>
            <w:shd w:val="clear" w:color="auto" w:fill="auto"/>
            <w:noWrap/>
            <w:vAlign w:val="bottom"/>
          </w:tcPr>
          <w:p w14:paraId="244E5163"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30" w:type="dxa"/>
            <w:tcBorders>
              <w:top w:val="nil"/>
              <w:left w:val="nil"/>
              <w:bottom w:val="nil"/>
              <w:right w:val="nil"/>
            </w:tcBorders>
            <w:shd w:val="clear" w:color="auto" w:fill="auto"/>
            <w:noWrap/>
            <w:vAlign w:val="bottom"/>
          </w:tcPr>
          <w:p w14:paraId="6B94FBAF"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416" w:type="dxa"/>
            <w:tcBorders>
              <w:top w:val="nil"/>
              <w:left w:val="nil"/>
              <w:bottom w:val="nil"/>
              <w:right w:val="nil"/>
            </w:tcBorders>
            <w:shd w:val="clear" w:color="auto" w:fill="auto"/>
            <w:noWrap/>
            <w:vAlign w:val="bottom"/>
          </w:tcPr>
          <w:p w14:paraId="4D8855AB"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024B6CF2"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229F4201"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566" w:type="dxa"/>
            <w:tcBorders>
              <w:top w:val="nil"/>
              <w:left w:val="nil"/>
              <w:bottom w:val="nil"/>
              <w:right w:val="nil"/>
            </w:tcBorders>
            <w:shd w:val="clear" w:color="auto" w:fill="auto"/>
            <w:noWrap/>
            <w:vAlign w:val="bottom"/>
          </w:tcPr>
          <w:p w14:paraId="52B3DBC8"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30" w:type="dxa"/>
            <w:tcBorders>
              <w:top w:val="nil"/>
              <w:left w:val="nil"/>
              <w:bottom w:val="nil"/>
              <w:right w:val="nil"/>
            </w:tcBorders>
            <w:shd w:val="clear" w:color="auto" w:fill="auto"/>
            <w:noWrap/>
            <w:vAlign w:val="bottom"/>
          </w:tcPr>
          <w:p w14:paraId="59037A12"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416" w:type="dxa"/>
            <w:tcBorders>
              <w:top w:val="nil"/>
              <w:left w:val="nil"/>
              <w:bottom w:val="nil"/>
              <w:right w:val="nil"/>
            </w:tcBorders>
            <w:shd w:val="clear" w:color="auto" w:fill="auto"/>
            <w:noWrap/>
            <w:vAlign w:val="bottom"/>
          </w:tcPr>
          <w:p w14:paraId="756EEC63"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r>
      <w:tr w:rsidR="00F92A14" w:rsidRPr="002802A9" w14:paraId="462C2394" w14:textId="77777777" w:rsidTr="00F92A14">
        <w:trPr>
          <w:trHeight w:val="288"/>
          <w:jc w:val="center"/>
        </w:trPr>
        <w:tc>
          <w:tcPr>
            <w:tcW w:w="5016" w:type="dxa"/>
            <w:tcBorders>
              <w:top w:val="nil"/>
              <w:left w:val="nil"/>
              <w:bottom w:val="nil"/>
              <w:right w:val="nil"/>
            </w:tcBorders>
            <w:shd w:val="clear" w:color="auto" w:fill="auto"/>
            <w:noWrap/>
            <w:vAlign w:val="bottom"/>
            <w:hideMark/>
          </w:tcPr>
          <w:p w14:paraId="40DD1DAA"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r w:rsidRPr="002802A9">
              <w:rPr>
                <w:rFonts w:ascii="Times New Roman" w:eastAsia="Times New Roman" w:hAnsi="Times New Roman" w:cs="Times New Roman"/>
                <w:color w:val="000000"/>
                <w:szCs w:val="21"/>
                <w:lang w:eastAsia="en-GB"/>
              </w:rPr>
              <w:t>Widening participation programme (ref: yes)</w:t>
            </w:r>
          </w:p>
        </w:tc>
        <w:tc>
          <w:tcPr>
            <w:tcW w:w="711" w:type="dxa"/>
            <w:tcBorders>
              <w:top w:val="nil"/>
              <w:left w:val="nil"/>
              <w:bottom w:val="nil"/>
              <w:right w:val="nil"/>
            </w:tcBorders>
            <w:shd w:val="clear" w:color="auto" w:fill="auto"/>
            <w:noWrap/>
            <w:vAlign w:val="bottom"/>
          </w:tcPr>
          <w:p w14:paraId="7DC7D147"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p>
        </w:tc>
        <w:tc>
          <w:tcPr>
            <w:tcW w:w="601" w:type="dxa"/>
            <w:tcBorders>
              <w:top w:val="nil"/>
              <w:left w:val="nil"/>
              <w:bottom w:val="nil"/>
              <w:right w:val="nil"/>
            </w:tcBorders>
            <w:shd w:val="clear" w:color="auto" w:fill="auto"/>
            <w:noWrap/>
            <w:vAlign w:val="bottom"/>
          </w:tcPr>
          <w:p w14:paraId="75B49EC7"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72" w:type="dxa"/>
            <w:tcBorders>
              <w:top w:val="nil"/>
              <w:left w:val="nil"/>
              <w:bottom w:val="nil"/>
              <w:right w:val="nil"/>
            </w:tcBorders>
            <w:shd w:val="clear" w:color="auto" w:fill="auto"/>
            <w:noWrap/>
            <w:vAlign w:val="bottom"/>
          </w:tcPr>
          <w:p w14:paraId="2D3C4097"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7B86A3EA"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774B37A6"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1BA2CE06"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566" w:type="dxa"/>
            <w:tcBorders>
              <w:top w:val="nil"/>
              <w:left w:val="nil"/>
              <w:bottom w:val="nil"/>
              <w:right w:val="nil"/>
            </w:tcBorders>
            <w:shd w:val="clear" w:color="auto" w:fill="auto"/>
            <w:noWrap/>
            <w:vAlign w:val="bottom"/>
          </w:tcPr>
          <w:p w14:paraId="4FC67340"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30" w:type="dxa"/>
            <w:tcBorders>
              <w:top w:val="nil"/>
              <w:left w:val="nil"/>
              <w:bottom w:val="nil"/>
              <w:right w:val="nil"/>
            </w:tcBorders>
            <w:shd w:val="clear" w:color="auto" w:fill="auto"/>
            <w:noWrap/>
            <w:vAlign w:val="bottom"/>
          </w:tcPr>
          <w:p w14:paraId="0B404B80"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416" w:type="dxa"/>
            <w:tcBorders>
              <w:top w:val="nil"/>
              <w:left w:val="nil"/>
              <w:bottom w:val="nil"/>
              <w:right w:val="nil"/>
            </w:tcBorders>
            <w:shd w:val="clear" w:color="auto" w:fill="auto"/>
            <w:noWrap/>
            <w:vAlign w:val="bottom"/>
          </w:tcPr>
          <w:p w14:paraId="3C9D1A88"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720FB39D"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5F6A7090"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566" w:type="dxa"/>
            <w:tcBorders>
              <w:top w:val="nil"/>
              <w:left w:val="nil"/>
              <w:bottom w:val="nil"/>
              <w:right w:val="nil"/>
            </w:tcBorders>
            <w:shd w:val="clear" w:color="auto" w:fill="auto"/>
            <w:noWrap/>
            <w:vAlign w:val="bottom"/>
          </w:tcPr>
          <w:p w14:paraId="116D3F20"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30" w:type="dxa"/>
            <w:tcBorders>
              <w:top w:val="nil"/>
              <w:left w:val="nil"/>
              <w:bottom w:val="nil"/>
              <w:right w:val="nil"/>
            </w:tcBorders>
            <w:shd w:val="clear" w:color="auto" w:fill="auto"/>
            <w:noWrap/>
            <w:vAlign w:val="bottom"/>
          </w:tcPr>
          <w:p w14:paraId="271B56F0"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416" w:type="dxa"/>
            <w:tcBorders>
              <w:top w:val="nil"/>
              <w:left w:val="nil"/>
              <w:bottom w:val="nil"/>
              <w:right w:val="nil"/>
            </w:tcBorders>
            <w:shd w:val="clear" w:color="auto" w:fill="auto"/>
            <w:noWrap/>
            <w:vAlign w:val="bottom"/>
          </w:tcPr>
          <w:p w14:paraId="5EE30463"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r>
      <w:tr w:rsidR="00F92A14" w:rsidRPr="002802A9" w14:paraId="4424E42F" w14:textId="77777777" w:rsidTr="00F92A14">
        <w:trPr>
          <w:trHeight w:val="288"/>
          <w:jc w:val="center"/>
        </w:trPr>
        <w:tc>
          <w:tcPr>
            <w:tcW w:w="5016" w:type="dxa"/>
            <w:tcBorders>
              <w:top w:val="nil"/>
              <w:left w:val="nil"/>
              <w:bottom w:val="nil"/>
              <w:right w:val="nil"/>
            </w:tcBorders>
            <w:shd w:val="clear" w:color="auto" w:fill="auto"/>
            <w:noWrap/>
            <w:vAlign w:val="bottom"/>
            <w:hideMark/>
          </w:tcPr>
          <w:p w14:paraId="265DC7E6" w14:textId="77777777" w:rsidR="00F92A14" w:rsidRPr="002802A9" w:rsidRDefault="00F92A14" w:rsidP="00F92A14">
            <w:pPr>
              <w:spacing w:after="0" w:line="240" w:lineRule="auto"/>
              <w:ind w:firstLineChars="100" w:firstLine="112"/>
              <w:rPr>
                <w:rFonts w:ascii="Times New Roman" w:eastAsia="Times New Roman" w:hAnsi="Times New Roman" w:cs="Times New Roman"/>
                <w:color w:val="000000"/>
                <w:szCs w:val="21"/>
                <w:lang w:eastAsia="en-GB"/>
              </w:rPr>
            </w:pPr>
            <w:r w:rsidRPr="002802A9">
              <w:rPr>
                <w:rFonts w:ascii="Times New Roman" w:eastAsia="Times New Roman" w:hAnsi="Times New Roman" w:cs="Times New Roman"/>
                <w:color w:val="000000"/>
                <w:szCs w:val="21"/>
                <w:lang w:eastAsia="en-GB"/>
              </w:rPr>
              <w:t xml:space="preserve">No </w:t>
            </w:r>
          </w:p>
        </w:tc>
        <w:tc>
          <w:tcPr>
            <w:tcW w:w="711" w:type="dxa"/>
            <w:tcBorders>
              <w:top w:val="nil"/>
              <w:left w:val="nil"/>
              <w:bottom w:val="nil"/>
              <w:right w:val="nil"/>
            </w:tcBorders>
            <w:shd w:val="clear" w:color="auto" w:fill="auto"/>
            <w:noWrap/>
            <w:vAlign w:val="bottom"/>
          </w:tcPr>
          <w:p w14:paraId="76CA81F1" w14:textId="77777777" w:rsidR="00F92A14" w:rsidRPr="002802A9" w:rsidRDefault="00F92A14" w:rsidP="00F92A14">
            <w:pPr>
              <w:spacing w:after="0" w:line="240" w:lineRule="auto"/>
              <w:ind w:firstLineChars="100" w:firstLine="112"/>
              <w:rPr>
                <w:rFonts w:ascii="Times New Roman" w:eastAsia="Times New Roman" w:hAnsi="Times New Roman" w:cs="Times New Roman"/>
                <w:color w:val="000000"/>
                <w:szCs w:val="21"/>
                <w:lang w:eastAsia="en-GB"/>
              </w:rPr>
            </w:pPr>
          </w:p>
        </w:tc>
        <w:tc>
          <w:tcPr>
            <w:tcW w:w="601" w:type="dxa"/>
            <w:tcBorders>
              <w:top w:val="nil"/>
              <w:left w:val="nil"/>
              <w:bottom w:val="nil"/>
              <w:right w:val="nil"/>
            </w:tcBorders>
            <w:shd w:val="clear" w:color="auto" w:fill="auto"/>
            <w:noWrap/>
            <w:vAlign w:val="bottom"/>
          </w:tcPr>
          <w:p w14:paraId="51E7EE04" w14:textId="77777777" w:rsidR="00F92A14" w:rsidRPr="002802A9" w:rsidRDefault="00F92A14" w:rsidP="00F92A14">
            <w:pPr>
              <w:spacing w:after="0" w:line="240" w:lineRule="auto"/>
              <w:ind w:firstLineChars="100" w:firstLine="112"/>
              <w:rPr>
                <w:rFonts w:ascii="Times New Roman" w:eastAsia="Times New Roman" w:hAnsi="Times New Roman" w:cs="Times New Roman"/>
                <w:szCs w:val="21"/>
                <w:lang w:eastAsia="en-GB"/>
              </w:rPr>
            </w:pPr>
          </w:p>
        </w:tc>
        <w:tc>
          <w:tcPr>
            <w:tcW w:w="772" w:type="dxa"/>
            <w:tcBorders>
              <w:top w:val="nil"/>
              <w:left w:val="nil"/>
              <w:bottom w:val="nil"/>
              <w:right w:val="nil"/>
            </w:tcBorders>
            <w:shd w:val="clear" w:color="auto" w:fill="auto"/>
            <w:noWrap/>
            <w:vAlign w:val="bottom"/>
          </w:tcPr>
          <w:p w14:paraId="49A2E5D8"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095879DF"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224810CB"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41B8F8BD"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566" w:type="dxa"/>
            <w:tcBorders>
              <w:top w:val="nil"/>
              <w:left w:val="nil"/>
              <w:bottom w:val="nil"/>
              <w:right w:val="nil"/>
            </w:tcBorders>
            <w:shd w:val="clear" w:color="auto" w:fill="auto"/>
            <w:noWrap/>
            <w:vAlign w:val="bottom"/>
          </w:tcPr>
          <w:p w14:paraId="702B3EF4"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30" w:type="dxa"/>
            <w:tcBorders>
              <w:top w:val="nil"/>
              <w:left w:val="nil"/>
              <w:bottom w:val="nil"/>
              <w:right w:val="nil"/>
            </w:tcBorders>
            <w:shd w:val="clear" w:color="auto" w:fill="auto"/>
            <w:noWrap/>
            <w:vAlign w:val="bottom"/>
          </w:tcPr>
          <w:p w14:paraId="461AFDBE"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416" w:type="dxa"/>
            <w:tcBorders>
              <w:top w:val="nil"/>
              <w:left w:val="nil"/>
              <w:bottom w:val="nil"/>
              <w:right w:val="nil"/>
            </w:tcBorders>
            <w:shd w:val="clear" w:color="auto" w:fill="auto"/>
            <w:noWrap/>
            <w:vAlign w:val="bottom"/>
          </w:tcPr>
          <w:p w14:paraId="14853978"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55FA6318"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01B879E5" w14:textId="77777777" w:rsidR="00F92A14" w:rsidRPr="00192108" w:rsidRDefault="00F92A14" w:rsidP="00F92A14">
            <w:pPr>
              <w:spacing w:after="0" w:line="240" w:lineRule="auto"/>
              <w:jc w:val="right"/>
              <w:rPr>
                <w:rFonts w:ascii="Times New Roman" w:eastAsia="Times New Roman" w:hAnsi="Times New Roman" w:cs="Times New Roman"/>
                <w:color w:val="000000"/>
                <w:sz w:val="20"/>
              </w:rPr>
            </w:pPr>
            <w:r w:rsidRPr="00192108">
              <w:rPr>
                <w:rFonts w:ascii="Times New Roman" w:hAnsi="Times New Roman" w:cs="Times New Roman"/>
                <w:color w:val="000000"/>
                <w:sz w:val="20"/>
              </w:rPr>
              <w:t>0.07</w:t>
            </w:r>
          </w:p>
        </w:tc>
        <w:tc>
          <w:tcPr>
            <w:tcW w:w="566" w:type="dxa"/>
            <w:tcBorders>
              <w:top w:val="nil"/>
              <w:left w:val="nil"/>
              <w:bottom w:val="nil"/>
              <w:right w:val="nil"/>
            </w:tcBorders>
            <w:shd w:val="clear" w:color="auto" w:fill="auto"/>
            <w:noWrap/>
            <w:vAlign w:val="bottom"/>
          </w:tcPr>
          <w:p w14:paraId="1D29086E"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0.11</w:t>
            </w:r>
          </w:p>
        </w:tc>
        <w:tc>
          <w:tcPr>
            <w:tcW w:w="730" w:type="dxa"/>
            <w:tcBorders>
              <w:top w:val="nil"/>
              <w:left w:val="nil"/>
              <w:bottom w:val="nil"/>
              <w:right w:val="nil"/>
            </w:tcBorders>
            <w:shd w:val="clear" w:color="auto" w:fill="auto"/>
            <w:noWrap/>
            <w:vAlign w:val="bottom"/>
          </w:tcPr>
          <w:p w14:paraId="4A352D51"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1.07</w:t>
            </w:r>
          </w:p>
        </w:tc>
        <w:tc>
          <w:tcPr>
            <w:tcW w:w="416" w:type="dxa"/>
            <w:tcBorders>
              <w:top w:val="nil"/>
              <w:left w:val="nil"/>
              <w:bottom w:val="nil"/>
              <w:right w:val="nil"/>
            </w:tcBorders>
            <w:shd w:val="clear" w:color="auto" w:fill="auto"/>
            <w:noWrap/>
            <w:vAlign w:val="bottom"/>
          </w:tcPr>
          <w:p w14:paraId="75186699" w14:textId="77777777" w:rsidR="00F92A14" w:rsidRPr="002802A9" w:rsidRDefault="00F92A14" w:rsidP="00F92A14">
            <w:pPr>
              <w:spacing w:after="0" w:line="240" w:lineRule="auto"/>
              <w:jc w:val="right"/>
              <w:rPr>
                <w:rFonts w:ascii="Times New Roman" w:eastAsia="Times New Roman" w:hAnsi="Times New Roman" w:cs="Times New Roman"/>
                <w:color w:val="000000"/>
                <w:szCs w:val="21"/>
                <w:lang w:eastAsia="en-GB"/>
              </w:rPr>
            </w:pPr>
          </w:p>
        </w:tc>
      </w:tr>
      <w:tr w:rsidR="00F92A14" w:rsidRPr="002802A9" w14:paraId="4A13CC2A" w14:textId="77777777" w:rsidTr="00F92A14">
        <w:trPr>
          <w:trHeight w:val="288"/>
          <w:jc w:val="center"/>
        </w:trPr>
        <w:tc>
          <w:tcPr>
            <w:tcW w:w="5727" w:type="dxa"/>
            <w:gridSpan w:val="2"/>
            <w:tcBorders>
              <w:top w:val="nil"/>
              <w:left w:val="nil"/>
              <w:bottom w:val="nil"/>
              <w:right w:val="nil"/>
            </w:tcBorders>
            <w:shd w:val="clear" w:color="auto" w:fill="auto"/>
            <w:noWrap/>
            <w:vAlign w:val="bottom"/>
          </w:tcPr>
          <w:p w14:paraId="5652A86E"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r w:rsidRPr="002802A9">
              <w:rPr>
                <w:rFonts w:ascii="Times New Roman" w:eastAsia="Times New Roman" w:hAnsi="Times New Roman" w:cs="Times New Roman"/>
                <w:color w:val="000000"/>
                <w:lang w:eastAsia="en-GB"/>
              </w:rPr>
              <w:t>Parental Higher Education (ref: no parent went to HE)</w:t>
            </w:r>
          </w:p>
        </w:tc>
        <w:tc>
          <w:tcPr>
            <w:tcW w:w="601" w:type="dxa"/>
            <w:tcBorders>
              <w:top w:val="nil"/>
              <w:left w:val="nil"/>
              <w:bottom w:val="nil"/>
              <w:right w:val="nil"/>
            </w:tcBorders>
            <w:shd w:val="clear" w:color="auto" w:fill="auto"/>
            <w:noWrap/>
            <w:vAlign w:val="bottom"/>
          </w:tcPr>
          <w:p w14:paraId="3C145722"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p>
        </w:tc>
        <w:tc>
          <w:tcPr>
            <w:tcW w:w="772" w:type="dxa"/>
            <w:tcBorders>
              <w:top w:val="nil"/>
              <w:left w:val="nil"/>
              <w:bottom w:val="nil"/>
              <w:right w:val="nil"/>
            </w:tcBorders>
            <w:shd w:val="clear" w:color="auto" w:fill="auto"/>
            <w:noWrap/>
            <w:vAlign w:val="bottom"/>
          </w:tcPr>
          <w:p w14:paraId="735F7EA7"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318ABB90"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324A568F"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68E77E38"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566" w:type="dxa"/>
            <w:tcBorders>
              <w:top w:val="nil"/>
              <w:left w:val="nil"/>
              <w:bottom w:val="nil"/>
              <w:right w:val="nil"/>
            </w:tcBorders>
            <w:shd w:val="clear" w:color="auto" w:fill="auto"/>
            <w:noWrap/>
            <w:vAlign w:val="bottom"/>
          </w:tcPr>
          <w:p w14:paraId="13E2151F"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30" w:type="dxa"/>
            <w:tcBorders>
              <w:top w:val="nil"/>
              <w:left w:val="nil"/>
              <w:bottom w:val="nil"/>
              <w:right w:val="nil"/>
            </w:tcBorders>
            <w:shd w:val="clear" w:color="auto" w:fill="auto"/>
            <w:noWrap/>
            <w:vAlign w:val="bottom"/>
          </w:tcPr>
          <w:p w14:paraId="6350F384"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416" w:type="dxa"/>
            <w:tcBorders>
              <w:top w:val="nil"/>
              <w:left w:val="nil"/>
              <w:bottom w:val="nil"/>
              <w:right w:val="nil"/>
            </w:tcBorders>
            <w:shd w:val="clear" w:color="auto" w:fill="auto"/>
            <w:noWrap/>
            <w:vAlign w:val="bottom"/>
          </w:tcPr>
          <w:p w14:paraId="339B0411"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5CF7D658"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2AE6C377" w14:textId="77777777" w:rsidR="00F92A14" w:rsidRPr="00192108" w:rsidRDefault="00F92A14" w:rsidP="00F92A14">
            <w:pPr>
              <w:spacing w:after="0" w:line="240" w:lineRule="auto"/>
              <w:rPr>
                <w:rFonts w:ascii="Times New Roman" w:eastAsia="Times New Roman" w:hAnsi="Times New Roman" w:cs="Times New Roman"/>
                <w:sz w:val="20"/>
                <w:szCs w:val="21"/>
                <w:lang w:eastAsia="en-GB"/>
              </w:rPr>
            </w:pPr>
          </w:p>
        </w:tc>
        <w:tc>
          <w:tcPr>
            <w:tcW w:w="566" w:type="dxa"/>
            <w:tcBorders>
              <w:top w:val="nil"/>
              <w:left w:val="nil"/>
              <w:bottom w:val="nil"/>
              <w:right w:val="nil"/>
            </w:tcBorders>
            <w:shd w:val="clear" w:color="auto" w:fill="auto"/>
            <w:noWrap/>
            <w:vAlign w:val="bottom"/>
          </w:tcPr>
          <w:p w14:paraId="71E5695F" w14:textId="77777777" w:rsidR="00F92A14" w:rsidRPr="00192108" w:rsidRDefault="00F92A14" w:rsidP="00F92A14">
            <w:pPr>
              <w:spacing w:after="0" w:line="240" w:lineRule="auto"/>
              <w:jc w:val="right"/>
              <w:rPr>
                <w:rFonts w:ascii="Times New Roman" w:hAnsi="Times New Roman" w:cs="Times New Roman"/>
                <w:color w:val="000000"/>
                <w:sz w:val="20"/>
              </w:rPr>
            </w:pPr>
          </w:p>
        </w:tc>
        <w:tc>
          <w:tcPr>
            <w:tcW w:w="730" w:type="dxa"/>
            <w:tcBorders>
              <w:top w:val="nil"/>
              <w:left w:val="nil"/>
              <w:bottom w:val="nil"/>
              <w:right w:val="nil"/>
            </w:tcBorders>
            <w:shd w:val="clear" w:color="auto" w:fill="auto"/>
            <w:noWrap/>
            <w:vAlign w:val="bottom"/>
          </w:tcPr>
          <w:p w14:paraId="090843BF" w14:textId="77777777" w:rsidR="00F92A14" w:rsidRPr="00192108" w:rsidRDefault="00F92A14" w:rsidP="00F92A14">
            <w:pPr>
              <w:spacing w:after="0" w:line="240" w:lineRule="auto"/>
              <w:jc w:val="right"/>
              <w:rPr>
                <w:rFonts w:ascii="Times New Roman" w:hAnsi="Times New Roman" w:cs="Times New Roman"/>
                <w:sz w:val="20"/>
                <w:szCs w:val="20"/>
              </w:rPr>
            </w:pPr>
          </w:p>
        </w:tc>
        <w:tc>
          <w:tcPr>
            <w:tcW w:w="416" w:type="dxa"/>
            <w:tcBorders>
              <w:top w:val="nil"/>
              <w:left w:val="nil"/>
              <w:bottom w:val="nil"/>
              <w:right w:val="nil"/>
            </w:tcBorders>
            <w:shd w:val="clear" w:color="auto" w:fill="auto"/>
            <w:noWrap/>
            <w:vAlign w:val="bottom"/>
          </w:tcPr>
          <w:p w14:paraId="1D1BAEF6" w14:textId="77777777" w:rsidR="00F92A14" w:rsidRDefault="00F92A14" w:rsidP="00F92A14">
            <w:pPr>
              <w:jc w:val="right"/>
              <w:rPr>
                <w:sz w:val="20"/>
                <w:szCs w:val="20"/>
              </w:rPr>
            </w:pPr>
          </w:p>
        </w:tc>
      </w:tr>
      <w:tr w:rsidR="00F92A14" w:rsidRPr="002802A9" w14:paraId="3314F1FF" w14:textId="77777777" w:rsidTr="00F92A14">
        <w:trPr>
          <w:trHeight w:val="288"/>
          <w:jc w:val="center"/>
        </w:trPr>
        <w:tc>
          <w:tcPr>
            <w:tcW w:w="5016" w:type="dxa"/>
            <w:tcBorders>
              <w:top w:val="nil"/>
              <w:left w:val="nil"/>
              <w:bottom w:val="nil"/>
              <w:right w:val="nil"/>
            </w:tcBorders>
            <w:shd w:val="clear" w:color="auto" w:fill="auto"/>
            <w:noWrap/>
            <w:vAlign w:val="bottom"/>
            <w:hideMark/>
          </w:tcPr>
          <w:p w14:paraId="748C34F5" w14:textId="77777777" w:rsidR="00F92A14" w:rsidRPr="002802A9" w:rsidRDefault="00F92A14" w:rsidP="00F92A14">
            <w:pPr>
              <w:spacing w:after="0" w:line="240" w:lineRule="auto"/>
              <w:ind w:firstLineChars="100" w:firstLine="112"/>
              <w:rPr>
                <w:rFonts w:ascii="Times New Roman" w:eastAsia="Times New Roman" w:hAnsi="Times New Roman" w:cs="Times New Roman"/>
                <w:color w:val="000000"/>
                <w:szCs w:val="21"/>
                <w:lang w:eastAsia="en-GB"/>
              </w:rPr>
            </w:pPr>
            <w:r w:rsidRPr="002802A9">
              <w:rPr>
                <w:rFonts w:ascii="Times New Roman" w:eastAsia="Times New Roman" w:hAnsi="Times New Roman" w:cs="Times New Roman"/>
                <w:color w:val="000000"/>
                <w:szCs w:val="21"/>
                <w:lang w:eastAsia="en-GB"/>
              </w:rPr>
              <w:t>One parent</w:t>
            </w:r>
          </w:p>
        </w:tc>
        <w:tc>
          <w:tcPr>
            <w:tcW w:w="711" w:type="dxa"/>
            <w:tcBorders>
              <w:top w:val="nil"/>
              <w:left w:val="nil"/>
              <w:bottom w:val="nil"/>
              <w:right w:val="nil"/>
            </w:tcBorders>
            <w:shd w:val="clear" w:color="auto" w:fill="auto"/>
            <w:noWrap/>
            <w:vAlign w:val="bottom"/>
          </w:tcPr>
          <w:p w14:paraId="41D882B4" w14:textId="77777777" w:rsidR="00F92A14" w:rsidRPr="002802A9" w:rsidRDefault="00F92A14" w:rsidP="00F92A14">
            <w:pPr>
              <w:spacing w:after="0" w:line="240" w:lineRule="auto"/>
              <w:ind w:firstLineChars="100" w:firstLine="112"/>
              <w:rPr>
                <w:rFonts w:ascii="Times New Roman" w:eastAsia="Times New Roman" w:hAnsi="Times New Roman" w:cs="Times New Roman"/>
                <w:color w:val="000000"/>
                <w:szCs w:val="21"/>
                <w:lang w:eastAsia="en-GB"/>
              </w:rPr>
            </w:pPr>
          </w:p>
        </w:tc>
        <w:tc>
          <w:tcPr>
            <w:tcW w:w="601" w:type="dxa"/>
            <w:tcBorders>
              <w:top w:val="nil"/>
              <w:left w:val="nil"/>
              <w:bottom w:val="nil"/>
              <w:right w:val="nil"/>
            </w:tcBorders>
            <w:shd w:val="clear" w:color="auto" w:fill="auto"/>
            <w:noWrap/>
            <w:vAlign w:val="bottom"/>
          </w:tcPr>
          <w:p w14:paraId="2A1B1C38"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72" w:type="dxa"/>
            <w:tcBorders>
              <w:top w:val="nil"/>
              <w:left w:val="nil"/>
              <w:bottom w:val="nil"/>
              <w:right w:val="nil"/>
            </w:tcBorders>
            <w:shd w:val="clear" w:color="auto" w:fill="auto"/>
            <w:noWrap/>
            <w:vAlign w:val="bottom"/>
          </w:tcPr>
          <w:p w14:paraId="6D16483D"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0ADE3956"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0A4A3E62"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5D47FA89"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566" w:type="dxa"/>
            <w:tcBorders>
              <w:top w:val="nil"/>
              <w:left w:val="nil"/>
              <w:bottom w:val="nil"/>
              <w:right w:val="nil"/>
            </w:tcBorders>
            <w:shd w:val="clear" w:color="auto" w:fill="auto"/>
            <w:noWrap/>
            <w:vAlign w:val="bottom"/>
          </w:tcPr>
          <w:p w14:paraId="2D6337CE"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30" w:type="dxa"/>
            <w:tcBorders>
              <w:top w:val="nil"/>
              <w:left w:val="nil"/>
              <w:bottom w:val="nil"/>
              <w:right w:val="nil"/>
            </w:tcBorders>
            <w:shd w:val="clear" w:color="auto" w:fill="auto"/>
            <w:noWrap/>
            <w:vAlign w:val="bottom"/>
          </w:tcPr>
          <w:p w14:paraId="5260B21A"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416" w:type="dxa"/>
            <w:tcBorders>
              <w:top w:val="nil"/>
              <w:left w:val="nil"/>
              <w:bottom w:val="nil"/>
              <w:right w:val="nil"/>
            </w:tcBorders>
            <w:shd w:val="clear" w:color="auto" w:fill="auto"/>
            <w:noWrap/>
            <w:vAlign w:val="bottom"/>
          </w:tcPr>
          <w:p w14:paraId="629D683C"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4BB4A900"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6CC451B8"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0.10</w:t>
            </w:r>
          </w:p>
        </w:tc>
        <w:tc>
          <w:tcPr>
            <w:tcW w:w="566" w:type="dxa"/>
            <w:tcBorders>
              <w:top w:val="nil"/>
              <w:left w:val="nil"/>
              <w:bottom w:val="nil"/>
              <w:right w:val="nil"/>
            </w:tcBorders>
            <w:shd w:val="clear" w:color="auto" w:fill="auto"/>
            <w:noWrap/>
            <w:vAlign w:val="bottom"/>
          </w:tcPr>
          <w:p w14:paraId="427FEF30"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0.12</w:t>
            </w:r>
          </w:p>
        </w:tc>
        <w:tc>
          <w:tcPr>
            <w:tcW w:w="730" w:type="dxa"/>
            <w:tcBorders>
              <w:top w:val="nil"/>
              <w:left w:val="nil"/>
              <w:bottom w:val="nil"/>
              <w:right w:val="nil"/>
            </w:tcBorders>
            <w:shd w:val="clear" w:color="auto" w:fill="auto"/>
            <w:noWrap/>
            <w:vAlign w:val="bottom"/>
          </w:tcPr>
          <w:p w14:paraId="4107DB48"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1.11</w:t>
            </w:r>
          </w:p>
        </w:tc>
        <w:tc>
          <w:tcPr>
            <w:tcW w:w="416" w:type="dxa"/>
            <w:tcBorders>
              <w:top w:val="nil"/>
              <w:left w:val="nil"/>
              <w:bottom w:val="nil"/>
              <w:right w:val="nil"/>
            </w:tcBorders>
            <w:shd w:val="clear" w:color="auto" w:fill="auto"/>
            <w:noWrap/>
            <w:vAlign w:val="bottom"/>
          </w:tcPr>
          <w:p w14:paraId="657420A3" w14:textId="77777777" w:rsidR="00F92A14" w:rsidRPr="002802A9" w:rsidRDefault="00F92A14" w:rsidP="00F92A14">
            <w:pPr>
              <w:spacing w:after="0" w:line="240" w:lineRule="auto"/>
              <w:jc w:val="right"/>
              <w:rPr>
                <w:rFonts w:ascii="Times New Roman" w:eastAsia="Times New Roman" w:hAnsi="Times New Roman" w:cs="Times New Roman"/>
                <w:color w:val="000000"/>
                <w:szCs w:val="21"/>
                <w:lang w:eastAsia="en-GB"/>
              </w:rPr>
            </w:pPr>
          </w:p>
        </w:tc>
      </w:tr>
      <w:tr w:rsidR="00F92A14" w:rsidRPr="002802A9" w14:paraId="15202211" w14:textId="77777777" w:rsidTr="00F92A14">
        <w:trPr>
          <w:trHeight w:val="288"/>
          <w:jc w:val="center"/>
        </w:trPr>
        <w:tc>
          <w:tcPr>
            <w:tcW w:w="5016" w:type="dxa"/>
            <w:tcBorders>
              <w:top w:val="nil"/>
              <w:left w:val="nil"/>
              <w:bottom w:val="nil"/>
              <w:right w:val="nil"/>
            </w:tcBorders>
            <w:shd w:val="clear" w:color="auto" w:fill="auto"/>
            <w:noWrap/>
            <w:vAlign w:val="bottom"/>
            <w:hideMark/>
          </w:tcPr>
          <w:p w14:paraId="459482E0" w14:textId="77777777" w:rsidR="00F92A14" w:rsidRPr="002802A9" w:rsidRDefault="00F92A14" w:rsidP="00F92A14">
            <w:pPr>
              <w:spacing w:after="0" w:line="240" w:lineRule="auto"/>
              <w:ind w:firstLineChars="100" w:firstLine="112"/>
              <w:rPr>
                <w:rFonts w:ascii="Times New Roman" w:eastAsia="Times New Roman" w:hAnsi="Times New Roman" w:cs="Times New Roman"/>
                <w:color w:val="000000"/>
                <w:szCs w:val="21"/>
                <w:lang w:eastAsia="en-GB"/>
              </w:rPr>
            </w:pPr>
            <w:r w:rsidRPr="002802A9">
              <w:rPr>
                <w:rFonts w:ascii="Times New Roman" w:eastAsia="Times New Roman" w:hAnsi="Times New Roman" w:cs="Times New Roman"/>
                <w:color w:val="000000"/>
                <w:szCs w:val="21"/>
                <w:lang w:eastAsia="en-GB"/>
              </w:rPr>
              <w:t>Two parents</w:t>
            </w:r>
          </w:p>
        </w:tc>
        <w:tc>
          <w:tcPr>
            <w:tcW w:w="711" w:type="dxa"/>
            <w:tcBorders>
              <w:top w:val="nil"/>
              <w:left w:val="nil"/>
              <w:bottom w:val="nil"/>
              <w:right w:val="nil"/>
            </w:tcBorders>
            <w:shd w:val="clear" w:color="auto" w:fill="auto"/>
            <w:noWrap/>
            <w:vAlign w:val="bottom"/>
          </w:tcPr>
          <w:p w14:paraId="6D6DB0E6" w14:textId="77777777" w:rsidR="00F92A14" w:rsidRPr="002802A9" w:rsidRDefault="00F92A14" w:rsidP="00F92A14">
            <w:pPr>
              <w:spacing w:after="0" w:line="240" w:lineRule="auto"/>
              <w:ind w:firstLineChars="100" w:firstLine="112"/>
              <w:rPr>
                <w:rFonts w:ascii="Times New Roman" w:eastAsia="Times New Roman" w:hAnsi="Times New Roman" w:cs="Times New Roman"/>
                <w:color w:val="000000"/>
                <w:szCs w:val="21"/>
                <w:lang w:eastAsia="en-GB"/>
              </w:rPr>
            </w:pPr>
          </w:p>
        </w:tc>
        <w:tc>
          <w:tcPr>
            <w:tcW w:w="601" w:type="dxa"/>
            <w:tcBorders>
              <w:top w:val="nil"/>
              <w:left w:val="nil"/>
              <w:bottom w:val="nil"/>
              <w:right w:val="nil"/>
            </w:tcBorders>
            <w:shd w:val="clear" w:color="auto" w:fill="auto"/>
            <w:noWrap/>
            <w:vAlign w:val="bottom"/>
          </w:tcPr>
          <w:p w14:paraId="24286C7B"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72" w:type="dxa"/>
            <w:tcBorders>
              <w:top w:val="nil"/>
              <w:left w:val="nil"/>
              <w:bottom w:val="nil"/>
              <w:right w:val="nil"/>
            </w:tcBorders>
            <w:shd w:val="clear" w:color="auto" w:fill="auto"/>
            <w:noWrap/>
            <w:vAlign w:val="bottom"/>
          </w:tcPr>
          <w:p w14:paraId="3DD66727"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65400D0C"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654162F1"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187DB2BC"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566" w:type="dxa"/>
            <w:tcBorders>
              <w:top w:val="nil"/>
              <w:left w:val="nil"/>
              <w:bottom w:val="nil"/>
              <w:right w:val="nil"/>
            </w:tcBorders>
            <w:shd w:val="clear" w:color="auto" w:fill="auto"/>
            <w:noWrap/>
            <w:vAlign w:val="bottom"/>
          </w:tcPr>
          <w:p w14:paraId="293EA174"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30" w:type="dxa"/>
            <w:tcBorders>
              <w:top w:val="nil"/>
              <w:left w:val="nil"/>
              <w:bottom w:val="nil"/>
              <w:right w:val="nil"/>
            </w:tcBorders>
            <w:shd w:val="clear" w:color="auto" w:fill="auto"/>
            <w:noWrap/>
            <w:vAlign w:val="bottom"/>
          </w:tcPr>
          <w:p w14:paraId="62C499BC"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416" w:type="dxa"/>
            <w:tcBorders>
              <w:top w:val="nil"/>
              <w:left w:val="nil"/>
              <w:bottom w:val="nil"/>
              <w:right w:val="nil"/>
            </w:tcBorders>
            <w:shd w:val="clear" w:color="auto" w:fill="auto"/>
            <w:noWrap/>
            <w:vAlign w:val="bottom"/>
          </w:tcPr>
          <w:p w14:paraId="2B4A9CC9"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686D9C8A"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501B4BF3"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0.22</w:t>
            </w:r>
          </w:p>
        </w:tc>
        <w:tc>
          <w:tcPr>
            <w:tcW w:w="566" w:type="dxa"/>
            <w:tcBorders>
              <w:top w:val="nil"/>
              <w:left w:val="nil"/>
              <w:bottom w:val="nil"/>
              <w:right w:val="nil"/>
            </w:tcBorders>
            <w:shd w:val="clear" w:color="auto" w:fill="auto"/>
            <w:noWrap/>
            <w:vAlign w:val="bottom"/>
          </w:tcPr>
          <w:p w14:paraId="423D7FBF"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0.11</w:t>
            </w:r>
          </w:p>
        </w:tc>
        <w:tc>
          <w:tcPr>
            <w:tcW w:w="730" w:type="dxa"/>
            <w:tcBorders>
              <w:top w:val="nil"/>
              <w:left w:val="nil"/>
              <w:bottom w:val="nil"/>
              <w:right w:val="nil"/>
            </w:tcBorders>
            <w:shd w:val="clear" w:color="auto" w:fill="auto"/>
            <w:noWrap/>
            <w:vAlign w:val="bottom"/>
          </w:tcPr>
          <w:p w14:paraId="4C5A8D64"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1.25</w:t>
            </w:r>
          </w:p>
        </w:tc>
        <w:tc>
          <w:tcPr>
            <w:tcW w:w="416" w:type="dxa"/>
            <w:tcBorders>
              <w:top w:val="nil"/>
              <w:left w:val="nil"/>
              <w:bottom w:val="nil"/>
              <w:right w:val="nil"/>
            </w:tcBorders>
            <w:shd w:val="clear" w:color="auto" w:fill="auto"/>
            <w:noWrap/>
            <w:vAlign w:val="bottom"/>
          </w:tcPr>
          <w:p w14:paraId="48EF0859"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r w:rsidRPr="00DF655B">
              <w:rPr>
                <w:rFonts w:ascii="Times New Roman" w:eastAsia="Times New Roman" w:hAnsi="Times New Roman" w:cs="Times New Roman"/>
                <w:color w:val="000000"/>
                <w:sz w:val="20"/>
                <w:szCs w:val="21"/>
                <w:lang w:eastAsia="en-GB"/>
              </w:rPr>
              <w:t>*</w:t>
            </w:r>
          </w:p>
        </w:tc>
      </w:tr>
      <w:tr w:rsidR="00F92A14" w:rsidRPr="002802A9" w14:paraId="5065F731" w14:textId="77777777" w:rsidTr="00F92A14">
        <w:trPr>
          <w:trHeight w:val="288"/>
          <w:jc w:val="center"/>
        </w:trPr>
        <w:tc>
          <w:tcPr>
            <w:tcW w:w="5016" w:type="dxa"/>
            <w:tcBorders>
              <w:top w:val="nil"/>
              <w:left w:val="nil"/>
              <w:bottom w:val="nil"/>
              <w:right w:val="nil"/>
            </w:tcBorders>
            <w:shd w:val="clear" w:color="auto" w:fill="auto"/>
            <w:noWrap/>
            <w:vAlign w:val="bottom"/>
            <w:hideMark/>
          </w:tcPr>
          <w:p w14:paraId="0CC79097"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r w:rsidRPr="002802A9">
              <w:rPr>
                <w:rFonts w:ascii="Times New Roman" w:eastAsia="Times New Roman" w:hAnsi="Times New Roman" w:cs="Times New Roman"/>
                <w:color w:val="000000"/>
                <w:szCs w:val="21"/>
                <w:lang w:eastAsia="en-GB"/>
              </w:rPr>
              <w:t>Parental occupation (ref: low)</w:t>
            </w:r>
          </w:p>
        </w:tc>
        <w:tc>
          <w:tcPr>
            <w:tcW w:w="711" w:type="dxa"/>
            <w:tcBorders>
              <w:top w:val="nil"/>
              <w:left w:val="nil"/>
              <w:bottom w:val="nil"/>
              <w:right w:val="nil"/>
            </w:tcBorders>
            <w:shd w:val="clear" w:color="auto" w:fill="auto"/>
            <w:noWrap/>
            <w:vAlign w:val="bottom"/>
          </w:tcPr>
          <w:p w14:paraId="5F029CFD"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p>
        </w:tc>
        <w:tc>
          <w:tcPr>
            <w:tcW w:w="601" w:type="dxa"/>
            <w:tcBorders>
              <w:top w:val="nil"/>
              <w:left w:val="nil"/>
              <w:bottom w:val="nil"/>
              <w:right w:val="nil"/>
            </w:tcBorders>
            <w:shd w:val="clear" w:color="auto" w:fill="auto"/>
            <w:noWrap/>
            <w:vAlign w:val="bottom"/>
          </w:tcPr>
          <w:p w14:paraId="024D6F3B"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72" w:type="dxa"/>
            <w:tcBorders>
              <w:top w:val="nil"/>
              <w:left w:val="nil"/>
              <w:bottom w:val="nil"/>
              <w:right w:val="nil"/>
            </w:tcBorders>
            <w:shd w:val="clear" w:color="auto" w:fill="auto"/>
            <w:noWrap/>
            <w:vAlign w:val="bottom"/>
          </w:tcPr>
          <w:p w14:paraId="6FB0CB53"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6C752564"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65285002"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56923F1B"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566" w:type="dxa"/>
            <w:tcBorders>
              <w:top w:val="nil"/>
              <w:left w:val="nil"/>
              <w:bottom w:val="nil"/>
              <w:right w:val="nil"/>
            </w:tcBorders>
            <w:shd w:val="clear" w:color="auto" w:fill="auto"/>
            <w:noWrap/>
            <w:vAlign w:val="bottom"/>
          </w:tcPr>
          <w:p w14:paraId="438BDB9B"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30" w:type="dxa"/>
            <w:tcBorders>
              <w:top w:val="nil"/>
              <w:left w:val="nil"/>
              <w:bottom w:val="nil"/>
              <w:right w:val="nil"/>
            </w:tcBorders>
            <w:shd w:val="clear" w:color="auto" w:fill="auto"/>
            <w:noWrap/>
            <w:vAlign w:val="bottom"/>
          </w:tcPr>
          <w:p w14:paraId="67749941"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416" w:type="dxa"/>
            <w:tcBorders>
              <w:top w:val="nil"/>
              <w:left w:val="nil"/>
              <w:bottom w:val="nil"/>
              <w:right w:val="nil"/>
            </w:tcBorders>
            <w:shd w:val="clear" w:color="auto" w:fill="auto"/>
            <w:noWrap/>
            <w:vAlign w:val="bottom"/>
          </w:tcPr>
          <w:p w14:paraId="7F284B8B"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47E71A24"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07E2C0A8" w14:textId="77777777" w:rsidR="00F92A14" w:rsidRPr="00192108" w:rsidRDefault="00F92A14" w:rsidP="00F92A14">
            <w:pPr>
              <w:spacing w:after="0" w:line="240" w:lineRule="auto"/>
              <w:jc w:val="right"/>
              <w:rPr>
                <w:rFonts w:ascii="Times New Roman" w:hAnsi="Times New Roman" w:cs="Times New Roman"/>
                <w:color w:val="000000"/>
                <w:sz w:val="20"/>
              </w:rPr>
            </w:pPr>
          </w:p>
        </w:tc>
        <w:tc>
          <w:tcPr>
            <w:tcW w:w="566" w:type="dxa"/>
            <w:tcBorders>
              <w:top w:val="nil"/>
              <w:left w:val="nil"/>
              <w:bottom w:val="nil"/>
              <w:right w:val="nil"/>
            </w:tcBorders>
            <w:shd w:val="clear" w:color="auto" w:fill="auto"/>
            <w:noWrap/>
            <w:vAlign w:val="bottom"/>
          </w:tcPr>
          <w:p w14:paraId="21059DE3" w14:textId="77777777" w:rsidR="00F92A14" w:rsidRPr="00192108" w:rsidRDefault="00F92A14" w:rsidP="00F92A14">
            <w:pPr>
              <w:spacing w:after="0" w:line="240" w:lineRule="auto"/>
              <w:jc w:val="right"/>
              <w:rPr>
                <w:rFonts w:ascii="Times New Roman" w:hAnsi="Times New Roman" w:cs="Times New Roman"/>
                <w:sz w:val="20"/>
                <w:szCs w:val="20"/>
              </w:rPr>
            </w:pPr>
          </w:p>
        </w:tc>
        <w:tc>
          <w:tcPr>
            <w:tcW w:w="730" w:type="dxa"/>
            <w:tcBorders>
              <w:top w:val="nil"/>
              <w:left w:val="nil"/>
              <w:bottom w:val="nil"/>
              <w:right w:val="nil"/>
            </w:tcBorders>
            <w:shd w:val="clear" w:color="auto" w:fill="auto"/>
            <w:noWrap/>
            <w:vAlign w:val="bottom"/>
          </w:tcPr>
          <w:p w14:paraId="6F86D16C" w14:textId="77777777" w:rsidR="00F92A14" w:rsidRPr="00192108" w:rsidRDefault="00F92A14" w:rsidP="00F92A14">
            <w:pPr>
              <w:spacing w:after="0" w:line="240" w:lineRule="auto"/>
              <w:jc w:val="right"/>
              <w:rPr>
                <w:rFonts w:ascii="Times New Roman" w:hAnsi="Times New Roman" w:cs="Times New Roman"/>
                <w:sz w:val="20"/>
                <w:szCs w:val="20"/>
              </w:rPr>
            </w:pPr>
          </w:p>
        </w:tc>
        <w:tc>
          <w:tcPr>
            <w:tcW w:w="416" w:type="dxa"/>
            <w:tcBorders>
              <w:top w:val="nil"/>
              <w:left w:val="nil"/>
              <w:bottom w:val="nil"/>
              <w:right w:val="nil"/>
            </w:tcBorders>
            <w:shd w:val="clear" w:color="auto" w:fill="auto"/>
            <w:noWrap/>
            <w:vAlign w:val="bottom"/>
          </w:tcPr>
          <w:p w14:paraId="221D12C6"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r>
      <w:tr w:rsidR="00F92A14" w:rsidRPr="002802A9" w14:paraId="57895CE9" w14:textId="77777777" w:rsidTr="00F92A14">
        <w:trPr>
          <w:trHeight w:val="288"/>
          <w:jc w:val="center"/>
        </w:trPr>
        <w:tc>
          <w:tcPr>
            <w:tcW w:w="5016" w:type="dxa"/>
            <w:tcBorders>
              <w:top w:val="nil"/>
              <w:left w:val="nil"/>
              <w:bottom w:val="nil"/>
              <w:right w:val="nil"/>
            </w:tcBorders>
            <w:shd w:val="clear" w:color="auto" w:fill="auto"/>
            <w:noWrap/>
            <w:vAlign w:val="bottom"/>
            <w:hideMark/>
          </w:tcPr>
          <w:p w14:paraId="72C8F4A8" w14:textId="77777777" w:rsidR="00F92A14" w:rsidRPr="002802A9" w:rsidRDefault="00F92A14" w:rsidP="00F92A14">
            <w:pPr>
              <w:spacing w:after="0" w:line="240" w:lineRule="auto"/>
              <w:ind w:firstLineChars="100" w:firstLine="112"/>
              <w:rPr>
                <w:rFonts w:ascii="Times New Roman" w:eastAsia="Times New Roman" w:hAnsi="Times New Roman" w:cs="Times New Roman"/>
                <w:color w:val="000000"/>
                <w:szCs w:val="21"/>
                <w:lang w:eastAsia="en-GB"/>
              </w:rPr>
            </w:pPr>
            <w:r w:rsidRPr="002802A9">
              <w:rPr>
                <w:rFonts w:ascii="Times New Roman" w:eastAsia="Times New Roman" w:hAnsi="Times New Roman" w:cs="Times New Roman"/>
                <w:color w:val="000000"/>
                <w:szCs w:val="21"/>
                <w:lang w:eastAsia="en-GB"/>
              </w:rPr>
              <w:t>Middle</w:t>
            </w:r>
          </w:p>
        </w:tc>
        <w:tc>
          <w:tcPr>
            <w:tcW w:w="711" w:type="dxa"/>
            <w:tcBorders>
              <w:top w:val="nil"/>
              <w:left w:val="nil"/>
              <w:bottom w:val="nil"/>
              <w:right w:val="nil"/>
            </w:tcBorders>
            <w:shd w:val="clear" w:color="auto" w:fill="auto"/>
            <w:noWrap/>
            <w:vAlign w:val="bottom"/>
          </w:tcPr>
          <w:p w14:paraId="225EB36A" w14:textId="77777777" w:rsidR="00F92A14" w:rsidRPr="002802A9" w:rsidRDefault="00F92A14" w:rsidP="00F92A14">
            <w:pPr>
              <w:spacing w:after="0" w:line="240" w:lineRule="auto"/>
              <w:ind w:firstLineChars="100" w:firstLine="112"/>
              <w:rPr>
                <w:rFonts w:ascii="Times New Roman" w:eastAsia="Times New Roman" w:hAnsi="Times New Roman" w:cs="Times New Roman"/>
                <w:color w:val="000000"/>
                <w:szCs w:val="21"/>
                <w:lang w:eastAsia="en-GB"/>
              </w:rPr>
            </w:pPr>
          </w:p>
        </w:tc>
        <w:tc>
          <w:tcPr>
            <w:tcW w:w="601" w:type="dxa"/>
            <w:tcBorders>
              <w:top w:val="nil"/>
              <w:left w:val="nil"/>
              <w:bottom w:val="nil"/>
              <w:right w:val="nil"/>
            </w:tcBorders>
            <w:shd w:val="clear" w:color="auto" w:fill="auto"/>
            <w:noWrap/>
            <w:vAlign w:val="bottom"/>
          </w:tcPr>
          <w:p w14:paraId="2615B004"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72" w:type="dxa"/>
            <w:tcBorders>
              <w:top w:val="nil"/>
              <w:left w:val="nil"/>
              <w:bottom w:val="nil"/>
              <w:right w:val="nil"/>
            </w:tcBorders>
            <w:shd w:val="clear" w:color="auto" w:fill="auto"/>
            <w:noWrap/>
            <w:vAlign w:val="bottom"/>
          </w:tcPr>
          <w:p w14:paraId="290E605F"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2793EAF7"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70A9C006"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3B388C28"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566" w:type="dxa"/>
            <w:tcBorders>
              <w:top w:val="nil"/>
              <w:left w:val="nil"/>
              <w:bottom w:val="nil"/>
              <w:right w:val="nil"/>
            </w:tcBorders>
            <w:shd w:val="clear" w:color="auto" w:fill="auto"/>
            <w:noWrap/>
            <w:vAlign w:val="bottom"/>
          </w:tcPr>
          <w:p w14:paraId="0365BC9E"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30" w:type="dxa"/>
            <w:tcBorders>
              <w:top w:val="nil"/>
              <w:left w:val="nil"/>
              <w:bottom w:val="nil"/>
              <w:right w:val="nil"/>
            </w:tcBorders>
            <w:shd w:val="clear" w:color="auto" w:fill="auto"/>
            <w:noWrap/>
            <w:vAlign w:val="bottom"/>
          </w:tcPr>
          <w:p w14:paraId="7101A3F4"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416" w:type="dxa"/>
            <w:tcBorders>
              <w:top w:val="nil"/>
              <w:left w:val="nil"/>
              <w:bottom w:val="nil"/>
              <w:right w:val="nil"/>
            </w:tcBorders>
            <w:shd w:val="clear" w:color="auto" w:fill="auto"/>
            <w:noWrap/>
            <w:vAlign w:val="bottom"/>
          </w:tcPr>
          <w:p w14:paraId="66FBCE6F"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652B6FD5"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4E6E33B7"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-0.17</w:t>
            </w:r>
          </w:p>
        </w:tc>
        <w:tc>
          <w:tcPr>
            <w:tcW w:w="566" w:type="dxa"/>
            <w:tcBorders>
              <w:top w:val="nil"/>
              <w:left w:val="nil"/>
              <w:bottom w:val="nil"/>
              <w:right w:val="nil"/>
            </w:tcBorders>
            <w:shd w:val="clear" w:color="auto" w:fill="auto"/>
            <w:noWrap/>
            <w:vAlign w:val="bottom"/>
          </w:tcPr>
          <w:p w14:paraId="74C2DE8D"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0.11</w:t>
            </w:r>
          </w:p>
        </w:tc>
        <w:tc>
          <w:tcPr>
            <w:tcW w:w="730" w:type="dxa"/>
            <w:tcBorders>
              <w:top w:val="nil"/>
              <w:left w:val="nil"/>
              <w:bottom w:val="nil"/>
              <w:right w:val="nil"/>
            </w:tcBorders>
            <w:shd w:val="clear" w:color="auto" w:fill="auto"/>
            <w:noWrap/>
            <w:vAlign w:val="bottom"/>
          </w:tcPr>
          <w:p w14:paraId="72E0B6B7"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0.85</w:t>
            </w:r>
          </w:p>
        </w:tc>
        <w:tc>
          <w:tcPr>
            <w:tcW w:w="416" w:type="dxa"/>
            <w:tcBorders>
              <w:top w:val="nil"/>
              <w:left w:val="nil"/>
              <w:bottom w:val="nil"/>
              <w:right w:val="nil"/>
            </w:tcBorders>
            <w:shd w:val="clear" w:color="auto" w:fill="auto"/>
            <w:noWrap/>
            <w:vAlign w:val="bottom"/>
          </w:tcPr>
          <w:p w14:paraId="31CE6F1C" w14:textId="77777777" w:rsidR="00F92A14" w:rsidRPr="002802A9" w:rsidRDefault="00F92A14" w:rsidP="00F92A14">
            <w:pPr>
              <w:spacing w:after="0" w:line="240" w:lineRule="auto"/>
              <w:jc w:val="right"/>
              <w:rPr>
                <w:rFonts w:ascii="Times New Roman" w:eastAsia="Times New Roman" w:hAnsi="Times New Roman" w:cs="Times New Roman"/>
                <w:color w:val="000000"/>
                <w:szCs w:val="21"/>
                <w:lang w:eastAsia="en-GB"/>
              </w:rPr>
            </w:pPr>
          </w:p>
        </w:tc>
      </w:tr>
      <w:tr w:rsidR="00F92A14" w:rsidRPr="002802A9" w14:paraId="306B97A7" w14:textId="77777777" w:rsidTr="00F92A14">
        <w:trPr>
          <w:trHeight w:val="288"/>
          <w:jc w:val="center"/>
        </w:trPr>
        <w:tc>
          <w:tcPr>
            <w:tcW w:w="5016" w:type="dxa"/>
            <w:tcBorders>
              <w:top w:val="nil"/>
              <w:left w:val="nil"/>
              <w:bottom w:val="nil"/>
              <w:right w:val="nil"/>
            </w:tcBorders>
            <w:shd w:val="clear" w:color="auto" w:fill="auto"/>
            <w:noWrap/>
            <w:vAlign w:val="bottom"/>
            <w:hideMark/>
          </w:tcPr>
          <w:p w14:paraId="4BBE4B62" w14:textId="77777777" w:rsidR="00F92A14" w:rsidRPr="002802A9" w:rsidRDefault="00F92A14" w:rsidP="00F92A14">
            <w:pPr>
              <w:spacing w:after="0" w:line="240" w:lineRule="auto"/>
              <w:ind w:firstLineChars="100" w:firstLine="112"/>
              <w:rPr>
                <w:rFonts w:ascii="Times New Roman" w:eastAsia="Times New Roman" w:hAnsi="Times New Roman" w:cs="Times New Roman"/>
                <w:color w:val="000000"/>
                <w:szCs w:val="21"/>
                <w:lang w:eastAsia="en-GB"/>
              </w:rPr>
            </w:pPr>
            <w:r w:rsidRPr="002802A9">
              <w:rPr>
                <w:rFonts w:ascii="Times New Roman" w:eastAsia="Times New Roman" w:hAnsi="Times New Roman" w:cs="Times New Roman"/>
                <w:color w:val="000000"/>
                <w:szCs w:val="21"/>
                <w:lang w:eastAsia="en-GB"/>
              </w:rPr>
              <w:t xml:space="preserve">Highest </w:t>
            </w:r>
          </w:p>
        </w:tc>
        <w:tc>
          <w:tcPr>
            <w:tcW w:w="711" w:type="dxa"/>
            <w:tcBorders>
              <w:top w:val="nil"/>
              <w:left w:val="nil"/>
              <w:bottom w:val="nil"/>
              <w:right w:val="nil"/>
            </w:tcBorders>
            <w:shd w:val="clear" w:color="auto" w:fill="auto"/>
            <w:noWrap/>
            <w:vAlign w:val="bottom"/>
          </w:tcPr>
          <w:p w14:paraId="5E5EC84A" w14:textId="77777777" w:rsidR="00F92A14" w:rsidRPr="002802A9" w:rsidRDefault="00F92A14" w:rsidP="00F92A14">
            <w:pPr>
              <w:spacing w:after="0" w:line="240" w:lineRule="auto"/>
              <w:ind w:firstLineChars="100" w:firstLine="112"/>
              <w:rPr>
                <w:rFonts w:ascii="Times New Roman" w:eastAsia="Times New Roman" w:hAnsi="Times New Roman" w:cs="Times New Roman"/>
                <w:color w:val="000000"/>
                <w:szCs w:val="21"/>
                <w:lang w:eastAsia="en-GB"/>
              </w:rPr>
            </w:pPr>
          </w:p>
        </w:tc>
        <w:tc>
          <w:tcPr>
            <w:tcW w:w="601" w:type="dxa"/>
            <w:tcBorders>
              <w:top w:val="nil"/>
              <w:left w:val="nil"/>
              <w:bottom w:val="nil"/>
              <w:right w:val="nil"/>
            </w:tcBorders>
            <w:shd w:val="clear" w:color="auto" w:fill="auto"/>
            <w:noWrap/>
            <w:vAlign w:val="bottom"/>
          </w:tcPr>
          <w:p w14:paraId="7536A8FA"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72" w:type="dxa"/>
            <w:tcBorders>
              <w:top w:val="nil"/>
              <w:left w:val="nil"/>
              <w:bottom w:val="nil"/>
              <w:right w:val="nil"/>
            </w:tcBorders>
            <w:shd w:val="clear" w:color="auto" w:fill="auto"/>
            <w:noWrap/>
            <w:vAlign w:val="bottom"/>
          </w:tcPr>
          <w:p w14:paraId="4CFD86D1"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3529CD7A"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1FBC9B16"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219665B3"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566" w:type="dxa"/>
            <w:tcBorders>
              <w:top w:val="nil"/>
              <w:left w:val="nil"/>
              <w:bottom w:val="nil"/>
              <w:right w:val="nil"/>
            </w:tcBorders>
            <w:shd w:val="clear" w:color="auto" w:fill="auto"/>
            <w:noWrap/>
            <w:vAlign w:val="bottom"/>
          </w:tcPr>
          <w:p w14:paraId="21C83B2D"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30" w:type="dxa"/>
            <w:tcBorders>
              <w:top w:val="nil"/>
              <w:left w:val="nil"/>
              <w:bottom w:val="nil"/>
              <w:right w:val="nil"/>
            </w:tcBorders>
            <w:shd w:val="clear" w:color="auto" w:fill="auto"/>
            <w:noWrap/>
            <w:vAlign w:val="bottom"/>
          </w:tcPr>
          <w:p w14:paraId="1992FB33"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416" w:type="dxa"/>
            <w:tcBorders>
              <w:top w:val="nil"/>
              <w:left w:val="nil"/>
              <w:bottom w:val="nil"/>
              <w:right w:val="nil"/>
            </w:tcBorders>
            <w:shd w:val="clear" w:color="auto" w:fill="auto"/>
            <w:noWrap/>
            <w:vAlign w:val="bottom"/>
          </w:tcPr>
          <w:p w14:paraId="36BBA2CD"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5761730E"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5087BF18"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-0.11</w:t>
            </w:r>
          </w:p>
        </w:tc>
        <w:tc>
          <w:tcPr>
            <w:tcW w:w="566" w:type="dxa"/>
            <w:tcBorders>
              <w:top w:val="nil"/>
              <w:left w:val="nil"/>
              <w:bottom w:val="nil"/>
              <w:right w:val="nil"/>
            </w:tcBorders>
            <w:shd w:val="clear" w:color="auto" w:fill="auto"/>
            <w:noWrap/>
            <w:vAlign w:val="bottom"/>
          </w:tcPr>
          <w:p w14:paraId="02BAE1DA"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0.12</w:t>
            </w:r>
          </w:p>
        </w:tc>
        <w:tc>
          <w:tcPr>
            <w:tcW w:w="730" w:type="dxa"/>
            <w:tcBorders>
              <w:top w:val="nil"/>
              <w:left w:val="nil"/>
              <w:bottom w:val="nil"/>
              <w:right w:val="nil"/>
            </w:tcBorders>
            <w:shd w:val="clear" w:color="auto" w:fill="auto"/>
            <w:noWrap/>
            <w:vAlign w:val="bottom"/>
          </w:tcPr>
          <w:p w14:paraId="56770B69"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0.90</w:t>
            </w:r>
          </w:p>
        </w:tc>
        <w:tc>
          <w:tcPr>
            <w:tcW w:w="416" w:type="dxa"/>
            <w:tcBorders>
              <w:top w:val="nil"/>
              <w:left w:val="nil"/>
              <w:bottom w:val="nil"/>
              <w:right w:val="nil"/>
            </w:tcBorders>
            <w:shd w:val="clear" w:color="auto" w:fill="auto"/>
            <w:noWrap/>
            <w:vAlign w:val="bottom"/>
          </w:tcPr>
          <w:p w14:paraId="2FFDA339" w14:textId="77777777" w:rsidR="00F92A14" w:rsidRPr="002802A9" w:rsidRDefault="00F92A14" w:rsidP="00F92A14">
            <w:pPr>
              <w:spacing w:after="0" w:line="240" w:lineRule="auto"/>
              <w:jc w:val="right"/>
              <w:rPr>
                <w:rFonts w:ascii="Times New Roman" w:eastAsia="Times New Roman" w:hAnsi="Times New Roman" w:cs="Times New Roman"/>
                <w:color w:val="000000"/>
                <w:szCs w:val="21"/>
                <w:lang w:eastAsia="en-GB"/>
              </w:rPr>
            </w:pPr>
          </w:p>
        </w:tc>
      </w:tr>
      <w:tr w:rsidR="00F92A14" w:rsidRPr="002802A9" w14:paraId="135DC7EA" w14:textId="77777777" w:rsidTr="00F92A14">
        <w:trPr>
          <w:trHeight w:val="576"/>
          <w:jc w:val="center"/>
        </w:trPr>
        <w:tc>
          <w:tcPr>
            <w:tcW w:w="5016" w:type="dxa"/>
            <w:tcBorders>
              <w:top w:val="nil"/>
              <w:left w:val="nil"/>
              <w:bottom w:val="nil"/>
              <w:right w:val="nil"/>
            </w:tcBorders>
            <w:shd w:val="clear" w:color="auto" w:fill="auto"/>
            <w:vAlign w:val="bottom"/>
            <w:hideMark/>
          </w:tcPr>
          <w:p w14:paraId="2AA5A242"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r w:rsidRPr="002802A9">
              <w:rPr>
                <w:rFonts w:ascii="Times New Roman" w:eastAsia="Times New Roman" w:hAnsi="Times New Roman" w:cs="Times New Roman"/>
                <w:color w:val="000000"/>
                <w:szCs w:val="21"/>
                <w:lang w:eastAsia="en-GB"/>
              </w:rPr>
              <w:t xml:space="preserve">Neighbourhood participation in higher education </w:t>
            </w:r>
            <w:r w:rsidRPr="002802A9">
              <w:rPr>
                <w:rFonts w:ascii="Times New Roman" w:eastAsia="Times New Roman" w:hAnsi="Times New Roman" w:cs="Times New Roman"/>
                <w:color w:val="000000"/>
                <w:szCs w:val="21"/>
                <w:lang w:eastAsia="en-GB"/>
              </w:rPr>
              <w:br/>
              <w:t>(ref: quintile 1[lowest])</w:t>
            </w:r>
          </w:p>
        </w:tc>
        <w:tc>
          <w:tcPr>
            <w:tcW w:w="711" w:type="dxa"/>
            <w:tcBorders>
              <w:top w:val="nil"/>
              <w:left w:val="nil"/>
              <w:bottom w:val="nil"/>
              <w:right w:val="nil"/>
            </w:tcBorders>
            <w:shd w:val="clear" w:color="auto" w:fill="auto"/>
            <w:noWrap/>
            <w:vAlign w:val="bottom"/>
          </w:tcPr>
          <w:p w14:paraId="2F4E877C"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p>
        </w:tc>
        <w:tc>
          <w:tcPr>
            <w:tcW w:w="601" w:type="dxa"/>
            <w:tcBorders>
              <w:top w:val="nil"/>
              <w:left w:val="nil"/>
              <w:bottom w:val="nil"/>
              <w:right w:val="nil"/>
            </w:tcBorders>
            <w:shd w:val="clear" w:color="auto" w:fill="auto"/>
            <w:noWrap/>
            <w:vAlign w:val="bottom"/>
          </w:tcPr>
          <w:p w14:paraId="72B05ACA"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72" w:type="dxa"/>
            <w:tcBorders>
              <w:top w:val="nil"/>
              <w:left w:val="nil"/>
              <w:bottom w:val="nil"/>
              <w:right w:val="nil"/>
            </w:tcBorders>
            <w:shd w:val="clear" w:color="auto" w:fill="auto"/>
            <w:noWrap/>
            <w:vAlign w:val="bottom"/>
          </w:tcPr>
          <w:p w14:paraId="7297E0CE"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47982E8E"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343ED0D5"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68DE4DA6"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566" w:type="dxa"/>
            <w:tcBorders>
              <w:top w:val="nil"/>
              <w:left w:val="nil"/>
              <w:bottom w:val="nil"/>
              <w:right w:val="nil"/>
            </w:tcBorders>
            <w:shd w:val="clear" w:color="auto" w:fill="auto"/>
            <w:noWrap/>
            <w:vAlign w:val="bottom"/>
          </w:tcPr>
          <w:p w14:paraId="3355C414"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30" w:type="dxa"/>
            <w:tcBorders>
              <w:top w:val="nil"/>
              <w:left w:val="nil"/>
              <w:bottom w:val="nil"/>
              <w:right w:val="nil"/>
            </w:tcBorders>
            <w:shd w:val="clear" w:color="auto" w:fill="auto"/>
            <w:noWrap/>
            <w:vAlign w:val="bottom"/>
          </w:tcPr>
          <w:p w14:paraId="7C5006E2"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416" w:type="dxa"/>
            <w:tcBorders>
              <w:top w:val="nil"/>
              <w:left w:val="nil"/>
              <w:bottom w:val="nil"/>
              <w:right w:val="nil"/>
            </w:tcBorders>
            <w:shd w:val="clear" w:color="auto" w:fill="auto"/>
            <w:noWrap/>
            <w:vAlign w:val="bottom"/>
          </w:tcPr>
          <w:p w14:paraId="25250137"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17AC713A"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4D80742B" w14:textId="77777777" w:rsidR="00F92A14" w:rsidRPr="00192108" w:rsidRDefault="00F92A14" w:rsidP="00F92A14">
            <w:pPr>
              <w:spacing w:after="0" w:line="240" w:lineRule="auto"/>
              <w:jc w:val="right"/>
              <w:rPr>
                <w:rFonts w:ascii="Times New Roman" w:hAnsi="Times New Roman" w:cs="Times New Roman"/>
                <w:color w:val="000000"/>
                <w:sz w:val="20"/>
              </w:rPr>
            </w:pPr>
          </w:p>
        </w:tc>
        <w:tc>
          <w:tcPr>
            <w:tcW w:w="566" w:type="dxa"/>
            <w:tcBorders>
              <w:top w:val="nil"/>
              <w:left w:val="nil"/>
              <w:bottom w:val="nil"/>
              <w:right w:val="nil"/>
            </w:tcBorders>
            <w:shd w:val="clear" w:color="auto" w:fill="auto"/>
            <w:noWrap/>
            <w:vAlign w:val="bottom"/>
          </w:tcPr>
          <w:p w14:paraId="53F57501" w14:textId="77777777" w:rsidR="00F92A14" w:rsidRPr="00192108" w:rsidRDefault="00F92A14" w:rsidP="00F92A14">
            <w:pPr>
              <w:spacing w:after="0" w:line="240" w:lineRule="auto"/>
              <w:jc w:val="right"/>
              <w:rPr>
                <w:rFonts w:ascii="Times New Roman" w:hAnsi="Times New Roman" w:cs="Times New Roman"/>
                <w:sz w:val="20"/>
                <w:szCs w:val="20"/>
              </w:rPr>
            </w:pPr>
          </w:p>
        </w:tc>
        <w:tc>
          <w:tcPr>
            <w:tcW w:w="730" w:type="dxa"/>
            <w:tcBorders>
              <w:top w:val="nil"/>
              <w:left w:val="nil"/>
              <w:bottom w:val="nil"/>
              <w:right w:val="nil"/>
            </w:tcBorders>
            <w:shd w:val="clear" w:color="auto" w:fill="auto"/>
            <w:noWrap/>
            <w:vAlign w:val="bottom"/>
          </w:tcPr>
          <w:p w14:paraId="0A9689F9" w14:textId="77777777" w:rsidR="00F92A14" w:rsidRPr="00192108" w:rsidRDefault="00F92A14" w:rsidP="00F92A14">
            <w:pPr>
              <w:spacing w:after="0" w:line="240" w:lineRule="auto"/>
              <w:jc w:val="right"/>
              <w:rPr>
                <w:rFonts w:ascii="Times New Roman" w:hAnsi="Times New Roman" w:cs="Times New Roman"/>
                <w:sz w:val="20"/>
                <w:szCs w:val="20"/>
              </w:rPr>
            </w:pPr>
          </w:p>
        </w:tc>
        <w:tc>
          <w:tcPr>
            <w:tcW w:w="416" w:type="dxa"/>
            <w:tcBorders>
              <w:top w:val="nil"/>
              <w:left w:val="nil"/>
              <w:bottom w:val="nil"/>
              <w:right w:val="nil"/>
            </w:tcBorders>
            <w:shd w:val="clear" w:color="auto" w:fill="auto"/>
            <w:noWrap/>
            <w:vAlign w:val="bottom"/>
          </w:tcPr>
          <w:p w14:paraId="4C37CA6E"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r>
      <w:tr w:rsidR="00F92A14" w:rsidRPr="002802A9" w14:paraId="146487EB" w14:textId="77777777" w:rsidTr="00F92A14">
        <w:trPr>
          <w:trHeight w:val="288"/>
          <w:jc w:val="center"/>
        </w:trPr>
        <w:tc>
          <w:tcPr>
            <w:tcW w:w="5016" w:type="dxa"/>
            <w:tcBorders>
              <w:top w:val="nil"/>
              <w:left w:val="nil"/>
              <w:bottom w:val="nil"/>
              <w:right w:val="nil"/>
            </w:tcBorders>
            <w:shd w:val="clear" w:color="auto" w:fill="auto"/>
            <w:noWrap/>
            <w:vAlign w:val="bottom"/>
            <w:hideMark/>
          </w:tcPr>
          <w:p w14:paraId="0FCB0958" w14:textId="77777777" w:rsidR="00F92A14" w:rsidRPr="002802A9" w:rsidRDefault="00F92A14" w:rsidP="00F92A14">
            <w:pPr>
              <w:spacing w:after="0" w:line="240" w:lineRule="auto"/>
              <w:ind w:firstLineChars="100" w:firstLine="112"/>
              <w:rPr>
                <w:rFonts w:ascii="Times New Roman" w:eastAsia="Times New Roman" w:hAnsi="Times New Roman" w:cs="Times New Roman"/>
                <w:color w:val="000000"/>
                <w:szCs w:val="21"/>
                <w:lang w:eastAsia="en-GB"/>
              </w:rPr>
            </w:pPr>
            <w:r w:rsidRPr="002802A9">
              <w:rPr>
                <w:rFonts w:ascii="Times New Roman" w:eastAsia="Times New Roman" w:hAnsi="Times New Roman" w:cs="Times New Roman"/>
                <w:color w:val="000000"/>
                <w:szCs w:val="21"/>
                <w:lang w:eastAsia="en-GB"/>
              </w:rPr>
              <w:t>Quintile 2</w:t>
            </w:r>
          </w:p>
        </w:tc>
        <w:tc>
          <w:tcPr>
            <w:tcW w:w="711" w:type="dxa"/>
            <w:tcBorders>
              <w:top w:val="nil"/>
              <w:left w:val="nil"/>
              <w:bottom w:val="nil"/>
              <w:right w:val="nil"/>
            </w:tcBorders>
            <w:shd w:val="clear" w:color="auto" w:fill="auto"/>
            <w:noWrap/>
            <w:vAlign w:val="bottom"/>
          </w:tcPr>
          <w:p w14:paraId="7B322452" w14:textId="77777777" w:rsidR="00F92A14" w:rsidRPr="002802A9" w:rsidRDefault="00F92A14" w:rsidP="00F92A14">
            <w:pPr>
              <w:spacing w:after="0" w:line="240" w:lineRule="auto"/>
              <w:ind w:firstLineChars="100" w:firstLine="112"/>
              <w:rPr>
                <w:rFonts w:ascii="Times New Roman" w:eastAsia="Times New Roman" w:hAnsi="Times New Roman" w:cs="Times New Roman"/>
                <w:color w:val="000000"/>
                <w:szCs w:val="21"/>
                <w:lang w:eastAsia="en-GB"/>
              </w:rPr>
            </w:pPr>
          </w:p>
        </w:tc>
        <w:tc>
          <w:tcPr>
            <w:tcW w:w="601" w:type="dxa"/>
            <w:tcBorders>
              <w:top w:val="nil"/>
              <w:left w:val="nil"/>
              <w:bottom w:val="nil"/>
              <w:right w:val="nil"/>
            </w:tcBorders>
            <w:shd w:val="clear" w:color="auto" w:fill="auto"/>
            <w:noWrap/>
            <w:vAlign w:val="bottom"/>
          </w:tcPr>
          <w:p w14:paraId="4DA85633"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72" w:type="dxa"/>
            <w:tcBorders>
              <w:top w:val="nil"/>
              <w:left w:val="nil"/>
              <w:bottom w:val="nil"/>
              <w:right w:val="nil"/>
            </w:tcBorders>
            <w:shd w:val="clear" w:color="auto" w:fill="auto"/>
            <w:noWrap/>
            <w:vAlign w:val="bottom"/>
          </w:tcPr>
          <w:p w14:paraId="4DFFB878"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6654BA8B"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5B85565D"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254F0EE5"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566" w:type="dxa"/>
            <w:tcBorders>
              <w:top w:val="nil"/>
              <w:left w:val="nil"/>
              <w:bottom w:val="nil"/>
              <w:right w:val="nil"/>
            </w:tcBorders>
            <w:shd w:val="clear" w:color="auto" w:fill="auto"/>
            <w:noWrap/>
            <w:vAlign w:val="bottom"/>
          </w:tcPr>
          <w:p w14:paraId="64FB2A40"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30" w:type="dxa"/>
            <w:tcBorders>
              <w:top w:val="nil"/>
              <w:left w:val="nil"/>
              <w:bottom w:val="nil"/>
              <w:right w:val="nil"/>
            </w:tcBorders>
            <w:shd w:val="clear" w:color="auto" w:fill="auto"/>
            <w:noWrap/>
            <w:vAlign w:val="bottom"/>
          </w:tcPr>
          <w:p w14:paraId="1290C8E5"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416" w:type="dxa"/>
            <w:tcBorders>
              <w:top w:val="nil"/>
              <w:left w:val="nil"/>
              <w:bottom w:val="nil"/>
              <w:right w:val="nil"/>
            </w:tcBorders>
            <w:shd w:val="clear" w:color="auto" w:fill="auto"/>
            <w:noWrap/>
            <w:vAlign w:val="bottom"/>
          </w:tcPr>
          <w:p w14:paraId="5777C564"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28DC831E"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2E9EDE0E"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0.17</w:t>
            </w:r>
          </w:p>
        </w:tc>
        <w:tc>
          <w:tcPr>
            <w:tcW w:w="566" w:type="dxa"/>
            <w:tcBorders>
              <w:top w:val="nil"/>
              <w:left w:val="nil"/>
              <w:bottom w:val="nil"/>
              <w:right w:val="nil"/>
            </w:tcBorders>
            <w:shd w:val="clear" w:color="auto" w:fill="auto"/>
            <w:noWrap/>
            <w:vAlign w:val="bottom"/>
          </w:tcPr>
          <w:p w14:paraId="1FB995DB"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0.17</w:t>
            </w:r>
          </w:p>
        </w:tc>
        <w:tc>
          <w:tcPr>
            <w:tcW w:w="730" w:type="dxa"/>
            <w:tcBorders>
              <w:top w:val="nil"/>
              <w:left w:val="nil"/>
              <w:bottom w:val="nil"/>
              <w:right w:val="nil"/>
            </w:tcBorders>
            <w:shd w:val="clear" w:color="auto" w:fill="auto"/>
            <w:noWrap/>
            <w:vAlign w:val="bottom"/>
          </w:tcPr>
          <w:p w14:paraId="2DB6B313"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1.19</w:t>
            </w:r>
          </w:p>
        </w:tc>
        <w:tc>
          <w:tcPr>
            <w:tcW w:w="416" w:type="dxa"/>
            <w:tcBorders>
              <w:top w:val="nil"/>
              <w:left w:val="nil"/>
              <w:bottom w:val="nil"/>
              <w:right w:val="nil"/>
            </w:tcBorders>
            <w:shd w:val="clear" w:color="auto" w:fill="auto"/>
            <w:noWrap/>
            <w:vAlign w:val="bottom"/>
          </w:tcPr>
          <w:p w14:paraId="5500A270" w14:textId="77777777" w:rsidR="00F92A14" w:rsidRPr="002802A9" w:rsidRDefault="00F92A14" w:rsidP="00F92A14">
            <w:pPr>
              <w:spacing w:after="0" w:line="240" w:lineRule="auto"/>
              <w:jc w:val="right"/>
              <w:rPr>
                <w:rFonts w:ascii="Times New Roman" w:eastAsia="Times New Roman" w:hAnsi="Times New Roman" w:cs="Times New Roman"/>
                <w:color w:val="000000"/>
                <w:szCs w:val="21"/>
                <w:lang w:eastAsia="en-GB"/>
              </w:rPr>
            </w:pPr>
          </w:p>
        </w:tc>
      </w:tr>
      <w:tr w:rsidR="00F92A14" w:rsidRPr="002802A9" w14:paraId="12D90A84" w14:textId="77777777" w:rsidTr="00F92A14">
        <w:trPr>
          <w:trHeight w:val="288"/>
          <w:jc w:val="center"/>
        </w:trPr>
        <w:tc>
          <w:tcPr>
            <w:tcW w:w="5016" w:type="dxa"/>
            <w:tcBorders>
              <w:top w:val="nil"/>
              <w:left w:val="nil"/>
              <w:bottom w:val="nil"/>
              <w:right w:val="nil"/>
            </w:tcBorders>
            <w:shd w:val="clear" w:color="auto" w:fill="auto"/>
            <w:noWrap/>
            <w:vAlign w:val="bottom"/>
            <w:hideMark/>
          </w:tcPr>
          <w:p w14:paraId="6FBF050E" w14:textId="77777777" w:rsidR="00F92A14" w:rsidRPr="002802A9" w:rsidRDefault="00F92A14" w:rsidP="00F92A14">
            <w:pPr>
              <w:spacing w:after="0" w:line="240" w:lineRule="auto"/>
              <w:ind w:firstLineChars="100" w:firstLine="112"/>
              <w:rPr>
                <w:rFonts w:ascii="Times New Roman" w:eastAsia="Times New Roman" w:hAnsi="Times New Roman" w:cs="Times New Roman"/>
                <w:color w:val="000000"/>
                <w:szCs w:val="21"/>
                <w:lang w:eastAsia="en-GB"/>
              </w:rPr>
            </w:pPr>
            <w:r w:rsidRPr="002802A9">
              <w:rPr>
                <w:rFonts w:ascii="Times New Roman" w:eastAsia="Times New Roman" w:hAnsi="Times New Roman" w:cs="Times New Roman"/>
                <w:color w:val="000000"/>
                <w:szCs w:val="21"/>
                <w:lang w:eastAsia="en-GB"/>
              </w:rPr>
              <w:t>Quintile 3</w:t>
            </w:r>
          </w:p>
        </w:tc>
        <w:tc>
          <w:tcPr>
            <w:tcW w:w="711" w:type="dxa"/>
            <w:tcBorders>
              <w:top w:val="nil"/>
              <w:left w:val="nil"/>
              <w:bottom w:val="nil"/>
              <w:right w:val="nil"/>
            </w:tcBorders>
            <w:shd w:val="clear" w:color="auto" w:fill="auto"/>
            <w:noWrap/>
            <w:vAlign w:val="bottom"/>
          </w:tcPr>
          <w:p w14:paraId="0E31DD41" w14:textId="77777777" w:rsidR="00F92A14" w:rsidRPr="002802A9" w:rsidRDefault="00F92A14" w:rsidP="00F92A14">
            <w:pPr>
              <w:spacing w:after="0" w:line="240" w:lineRule="auto"/>
              <w:ind w:firstLineChars="100" w:firstLine="112"/>
              <w:rPr>
                <w:rFonts w:ascii="Times New Roman" w:eastAsia="Times New Roman" w:hAnsi="Times New Roman" w:cs="Times New Roman"/>
                <w:color w:val="000000"/>
                <w:szCs w:val="21"/>
                <w:lang w:eastAsia="en-GB"/>
              </w:rPr>
            </w:pPr>
          </w:p>
        </w:tc>
        <w:tc>
          <w:tcPr>
            <w:tcW w:w="601" w:type="dxa"/>
            <w:tcBorders>
              <w:top w:val="nil"/>
              <w:left w:val="nil"/>
              <w:bottom w:val="nil"/>
              <w:right w:val="nil"/>
            </w:tcBorders>
            <w:shd w:val="clear" w:color="auto" w:fill="auto"/>
            <w:noWrap/>
            <w:vAlign w:val="bottom"/>
          </w:tcPr>
          <w:p w14:paraId="2A01C122"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72" w:type="dxa"/>
            <w:tcBorders>
              <w:top w:val="nil"/>
              <w:left w:val="nil"/>
              <w:bottom w:val="nil"/>
              <w:right w:val="nil"/>
            </w:tcBorders>
            <w:shd w:val="clear" w:color="auto" w:fill="auto"/>
            <w:noWrap/>
            <w:vAlign w:val="bottom"/>
          </w:tcPr>
          <w:p w14:paraId="205B09DF"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5F9685A7"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2C92491C"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030B912A"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566" w:type="dxa"/>
            <w:tcBorders>
              <w:top w:val="nil"/>
              <w:left w:val="nil"/>
              <w:bottom w:val="nil"/>
              <w:right w:val="nil"/>
            </w:tcBorders>
            <w:shd w:val="clear" w:color="auto" w:fill="auto"/>
            <w:noWrap/>
            <w:vAlign w:val="bottom"/>
          </w:tcPr>
          <w:p w14:paraId="6DCCB180"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30" w:type="dxa"/>
            <w:tcBorders>
              <w:top w:val="nil"/>
              <w:left w:val="nil"/>
              <w:bottom w:val="nil"/>
              <w:right w:val="nil"/>
            </w:tcBorders>
            <w:shd w:val="clear" w:color="auto" w:fill="auto"/>
            <w:noWrap/>
            <w:vAlign w:val="bottom"/>
          </w:tcPr>
          <w:p w14:paraId="60C27303"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416" w:type="dxa"/>
            <w:tcBorders>
              <w:top w:val="nil"/>
              <w:left w:val="nil"/>
              <w:bottom w:val="nil"/>
              <w:right w:val="nil"/>
            </w:tcBorders>
            <w:shd w:val="clear" w:color="auto" w:fill="auto"/>
            <w:noWrap/>
            <w:vAlign w:val="bottom"/>
          </w:tcPr>
          <w:p w14:paraId="1EC32012"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3EB20E2F"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4FD6EB07"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0.20</w:t>
            </w:r>
          </w:p>
        </w:tc>
        <w:tc>
          <w:tcPr>
            <w:tcW w:w="566" w:type="dxa"/>
            <w:tcBorders>
              <w:top w:val="nil"/>
              <w:left w:val="nil"/>
              <w:bottom w:val="nil"/>
              <w:right w:val="nil"/>
            </w:tcBorders>
            <w:shd w:val="clear" w:color="auto" w:fill="auto"/>
            <w:noWrap/>
            <w:vAlign w:val="bottom"/>
          </w:tcPr>
          <w:p w14:paraId="0303501A"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0.16</w:t>
            </w:r>
          </w:p>
        </w:tc>
        <w:tc>
          <w:tcPr>
            <w:tcW w:w="730" w:type="dxa"/>
            <w:tcBorders>
              <w:top w:val="nil"/>
              <w:left w:val="nil"/>
              <w:bottom w:val="nil"/>
              <w:right w:val="nil"/>
            </w:tcBorders>
            <w:shd w:val="clear" w:color="auto" w:fill="auto"/>
            <w:noWrap/>
            <w:vAlign w:val="bottom"/>
          </w:tcPr>
          <w:p w14:paraId="31249FC8"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1.22</w:t>
            </w:r>
          </w:p>
        </w:tc>
        <w:tc>
          <w:tcPr>
            <w:tcW w:w="416" w:type="dxa"/>
            <w:tcBorders>
              <w:top w:val="nil"/>
              <w:left w:val="nil"/>
              <w:bottom w:val="nil"/>
              <w:right w:val="nil"/>
            </w:tcBorders>
            <w:shd w:val="clear" w:color="auto" w:fill="auto"/>
            <w:noWrap/>
            <w:vAlign w:val="bottom"/>
          </w:tcPr>
          <w:p w14:paraId="6512872F" w14:textId="77777777" w:rsidR="00F92A14" w:rsidRPr="002802A9" w:rsidRDefault="00F92A14" w:rsidP="00F92A14">
            <w:pPr>
              <w:spacing w:after="0" w:line="240" w:lineRule="auto"/>
              <w:jc w:val="right"/>
              <w:rPr>
                <w:rFonts w:ascii="Times New Roman" w:eastAsia="Times New Roman" w:hAnsi="Times New Roman" w:cs="Times New Roman"/>
                <w:color w:val="000000"/>
                <w:szCs w:val="21"/>
                <w:lang w:eastAsia="en-GB"/>
              </w:rPr>
            </w:pPr>
          </w:p>
        </w:tc>
      </w:tr>
      <w:tr w:rsidR="00F92A14" w:rsidRPr="002802A9" w14:paraId="4B54B565" w14:textId="77777777" w:rsidTr="00F92A14">
        <w:trPr>
          <w:trHeight w:val="288"/>
          <w:jc w:val="center"/>
        </w:trPr>
        <w:tc>
          <w:tcPr>
            <w:tcW w:w="5016" w:type="dxa"/>
            <w:tcBorders>
              <w:top w:val="nil"/>
              <w:left w:val="nil"/>
              <w:bottom w:val="nil"/>
              <w:right w:val="nil"/>
            </w:tcBorders>
            <w:shd w:val="clear" w:color="auto" w:fill="auto"/>
            <w:noWrap/>
            <w:vAlign w:val="bottom"/>
            <w:hideMark/>
          </w:tcPr>
          <w:p w14:paraId="2B7527C5" w14:textId="77777777" w:rsidR="00F92A14" w:rsidRPr="002802A9" w:rsidRDefault="00F92A14" w:rsidP="00F92A14">
            <w:pPr>
              <w:spacing w:after="0" w:line="240" w:lineRule="auto"/>
              <w:ind w:firstLineChars="100" w:firstLine="112"/>
              <w:rPr>
                <w:rFonts w:ascii="Times New Roman" w:eastAsia="Times New Roman" w:hAnsi="Times New Roman" w:cs="Times New Roman"/>
                <w:color w:val="000000"/>
                <w:szCs w:val="21"/>
                <w:lang w:eastAsia="en-GB"/>
              </w:rPr>
            </w:pPr>
            <w:r w:rsidRPr="002802A9">
              <w:rPr>
                <w:rFonts w:ascii="Times New Roman" w:eastAsia="Times New Roman" w:hAnsi="Times New Roman" w:cs="Times New Roman"/>
                <w:color w:val="000000"/>
                <w:szCs w:val="21"/>
                <w:lang w:eastAsia="en-GB"/>
              </w:rPr>
              <w:t>Quintile 4</w:t>
            </w:r>
          </w:p>
        </w:tc>
        <w:tc>
          <w:tcPr>
            <w:tcW w:w="711" w:type="dxa"/>
            <w:tcBorders>
              <w:top w:val="nil"/>
              <w:left w:val="nil"/>
              <w:bottom w:val="nil"/>
              <w:right w:val="nil"/>
            </w:tcBorders>
            <w:shd w:val="clear" w:color="auto" w:fill="auto"/>
            <w:noWrap/>
            <w:vAlign w:val="bottom"/>
          </w:tcPr>
          <w:p w14:paraId="488384C9" w14:textId="77777777" w:rsidR="00F92A14" w:rsidRPr="002802A9" w:rsidRDefault="00F92A14" w:rsidP="00F92A14">
            <w:pPr>
              <w:spacing w:after="0" w:line="240" w:lineRule="auto"/>
              <w:ind w:firstLineChars="100" w:firstLine="112"/>
              <w:rPr>
                <w:rFonts w:ascii="Times New Roman" w:eastAsia="Times New Roman" w:hAnsi="Times New Roman" w:cs="Times New Roman"/>
                <w:color w:val="000000"/>
                <w:szCs w:val="21"/>
                <w:lang w:eastAsia="en-GB"/>
              </w:rPr>
            </w:pPr>
          </w:p>
        </w:tc>
        <w:tc>
          <w:tcPr>
            <w:tcW w:w="601" w:type="dxa"/>
            <w:tcBorders>
              <w:top w:val="nil"/>
              <w:left w:val="nil"/>
              <w:bottom w:val="nil"/>
              <w:right w:val="nil"/>
            </w:tcBorders>
            <w:shd w:val="clear" w:color="auto" w:fill="auto"/>
            <w:noWrap/>
            <w:vAlign w:val="bottom"/>
          </w:tcPr>
          <w:p w14:paraId="7889F326"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72" w:type="dxa"/>
            <w:tcBorders>
              <w:top w:val="nil"/>
              <w:left w:val="nil"/>
              <w:bottom w:val="nil"/>
              <w:right w:val="nil"/>
            </w:tcBorders>
            <w:shd w:val="clear" w:color="auto" w:fill="auto"/>
            <w:noWrap/>
            <w:vAlign w:val="bottom"/>
          </w:tcPr>
          <w:p w14:paraId="5F41FABB"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013CB094"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104ECCAD"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3A0EB116"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566" w:type="dxa"/>
            <w:tcBorders>
              <w:top w:val="nil"/>
              <w:left w:val="nil"/>
              <w:bottom w:val="nil"/>
              <w:right w:val="nil"/>
            </w:tcBorders>
            <w:shd w:val="clear" w:color="auto" w:fill="auto"/>
            <w:noWrap/>
            <w:vAlign w:val="bottom"/>
          </w:tcPr>
          <w:p w14:paraId="60AC6CB9"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30" w:type="dxa"/>
            <w:tcBorders>
              <w:top w:val="nil"/>
              <w:left w:val="nil"/>
              <w:bottom w:val="nil"/>
              <w:right w:val="nil"/>
            </w:tcBorders>
            <w:shd w:val="clear" w:color="auto" w:fill="auto"/>
            <w:noWrap/>
            <w:vAlign w:val="bottom"/>
          </w:tcPr>
          <w:p w14:paraId="51D3E18D"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416" w:type="dxa"/>
            <w:tcBorders>
              <w:top w:val="nil"/>
              <w:left w:val="nil"/>
              <w:bottom w:val="nil"/>
              <w:right w:val="nil"/>
            </w:tcBorders>
            <w:shd w:val="clear" w:color="auto" w:fill="auto"/>
            <w:noWrap/>
            <w:vAlign w:val="bottom"/>
          </w:tcPr>
          <w:p w14:paraId="4880D116"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10E2244B"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4E9708EB"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0.18</w:t>
            </w:r>
          </w:p>
        </w:tc>
        <w:tc>
          <w:tcPr>
            <w:tcW w:w="566" w:type="dxa"/>
            <w:tcBorders>
              <w:top w:val="nil"/>
              <w:left w:val="nil"/>
              <w:bottom w:val="nil"/>
              <w:right w:val="nil"/>
            </w:tcBorders>
            <w:shd w:val="clear" w:color="auto" w:fill="auto"/>
            <w:noWrap/>
            <w:vAlign w:val="bottom"/>
          </w:tcPr>
          <w:p w14:paraId="133DF7A4"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0.15</w:t>
            </w:r>
          </w:p>
        </w:tc>
        <w:tc>
          <w:tcPr>
            <w:tcW w:w="730" w:type="dxa"/>
            <w:tcBorders>
              <w:top w:val="nil"/>
              <w:left w:val="nil"/>
              <w:bottom w:val="nil"/>
              <w:right w:val="nil"/>
            </w:tcBorders>
            <w:shd w:val="clear" w:color="auto" w:fill="auto"/>
            <w:noWrap/>
            <w:vAlign w:val="bottom"/>
          </w:tcPr>
          <w:p w14:paraId="4B520101"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1.20</w:t>
            </w:r>
          </w:p>
        </w:tc>
        <w:tc>
          <w:tcPr>
            <w:tcW w:w="416" w:type="dxa"/>
            <w:tcBorders>
              <w:top w:val="nil"/>
              <w:left w:val="nil"/>
              <w:bottom w:val="nil"/>
              <w:right w:val="nil"/>
            </w:tcBorders>
            <w:shd w:val="clear" w:color="auto" w:fill="auto"/>
            <w:noWrap/>
            <w:vAlign w:val="bottom"/>
          </w:tcPr>
          <w:p w14:paraId="23FD6692" w14:textId="77777777" w:rsidR="00F92A14" w:rsidRPr="002802A9" w:rsidRDefault="00F92A14" w:rsidP="00F92A14">
            <w:pPr>
              <w:spacing w:after="0" w:line="240" w:lineRule="auto"/>
              <w:jc w:val="right"/>
              <w:rPr>
                <w:rFonts w:ascii="Times New Roman" w:eastAsia="Times New Roman" w:hAnsi="Times New Roman" w:cs="Times New Roman"/>
                <w:color w:val="000000"/>
                <w:szCs w:val="21"/>
                <w:lang w:eastAsia="en-GB"/>
              </w:rPr>
            </w:pPr>
          </w:p>
        </w:tc>
      </w:tr>
      <w:tr w:rsidR="00F92A14" w:rsidRPr="002802A9" w14:paraId="18B7952E" w14:textId="77777777" w:rsidTr="00F92A14">
        <w:trPr>
          <w:trHeight w:val="288"/>
          <w:jc w:val="center"/>
        </w:trPr>
        <w:tc>
          <w:tcPr>
            <w:tcW w:w="5016" w:type="dxa"/>
            <w:tcBorders>
              <w:top w:val="nil"/>
              <w:left w:val="nil"/>
              <w:bottom w:val="nil"/>
              <w:right w:val="nil"/>
            </w:tcBorders>
            <w:shd w:val="clear" w:color="auto" w:fill="auto"/>
            <w:noWrap/>
            <w:vAlign w:val="bottom"/>
            <w:hideMark/>
          </w:tcPr>
          <w:p w14:paraId="0BBFD30A" w14:textId="77777777" w:rsidR="00F92A14" w:rsidRPr="002802A9" w:rsidRDefault="00F92A14" w:rsidP="00F92A14">
            <w:pPr>
              <w:spacing w:after="0" w:line="240" w:lineRule="auto"/>
              <w:ind w:firstLineChars="100" w:firstLine="112"/>
              <w:rPr>
                <w:rFonts w:ascii="Times New Roman" w:eastAsia="Times New Roman" w:hAnsi="Times New Roman" w:cs="Times New Roman"/>
                <w:color w:val="000000"/>
                <w:szCs w:val="21"/>
                <w:lang w:eastAsia="en-GB"/>
              </w:rPr>
            </w:pPr>
            <w:r w:rsidRPr="002802A9">
              <w:rPr>
                <w:rFonts w:ascii="Times New Roman" w:eastAsia="Times New Roman" w:hAnsi="Times New Roman" w:cs="Times New Roman"/>
                <w:color w:val="000000"/>
                <w:szCs w:val="21"/>
                <w:lang w:eastAsia="en-GB"/>
              </w:rPr>
              <w:t>Quintile 5</w:t>
            </w:r>
          </w:p>
        </w:tc>
        <w:tc>
          <w:tcPr>
            <w:tcW w:w="711" w:type="dxa"/>
            <w:tcBorders>
              <w:top w:val="nil"/>
              <w:left w:val="nil"/>
              <w:bottom w:val="nil"/>
              <w:right w:val="nil"/>
            </w:tcBorders>
            <w:shd w:val="clear" w:color="auto" w:fill="auto"/>
            <w:noWrap/>
            <w:vAlign w:val="bottom"/>
          </w:tcPr>
          <w:p w14:paraId="590FD6F6" w14:textId="77777777" w:rsidR="00F92A14" w:rsidRPr="002802A9" w:rsidRDefault="00F92A14" w:rsidP="00F92A14">
            <w:pPr>
              <w:spacing w:after="0" w:line="240" w:lineRule="auto"/>
              <w:ind w:firstLineChars="100" w:firstLine="112"/>
              <w:rPr>
                <w:rFonts w:ascii="Times New Roman" w:eastAsia="Times New Roman" w:hAnsi="Times New Roman" w:cs="Times New Roman"/>
                <w:color w:val="000000"/>
                <w:szCs w:val="21"/>
                <w:lang w:eastAsia="en-GB"/>
              </w:rPr>
            </w:pPr>
          </w:p>
        </w:tc>
        <w:tc>
          <w:tcPr>
            <w:tcW w:w="601" w:type="dxa"/>
            <w:tcBorders>
              <w:top w:val="nil"/>
              <w:left w:val="nil"/>
              <w:bottom w:val="nil"/>
              <w:right w:val="nil"/>
            </w:tcBorders>
            <w:shd w:val="clear" w:color="auto" w:fill="auto"/>
            <w:noWrap/>
            <w:vAlign w:val="bottom"/>
          </w:tcPr>
          <w:p w14:paraId="4FB67B46"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72" w:type="dxa"/>
            <w:tcBorders>
              <w:top w:val="nil"/>
              <w:left w:val="nil"/>
              <w:bottom w:val="nil"/>
              <w:right w:val="nil"/>
            </w:tcBorders>
            <w:shd w:val="clear" w:color="auto" w:fill="auto"/>
            <w:noWrap/>
            <w:vAlign w:val="bottom"/>
          </w:tcPr>
          <w:p w14:paraId="26A41974"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007135A3"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12234E10"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6F7676DB"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566" w:type="dxa"/>
            <w:tcBorders>
              <w:top w:val="nil"/>
              <w:left w:val="nil"/>
              <w:bottom w:val="nil"/>
              <w:right w:val="nil"/>
            </w:tcBorders>
            <w:shd w:val="clear" w:color="auto" w:fill="auto"/>
            <w:noWrap/>
            <w:vAlign w:val="bottom"/>
          </w:tcPr>
          <w:p w14:paraId="2EBA99FF"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30" w:type="dxa"/>
            <w:tcBorders>
              <w:top w:val="nil"/>
              <w:left w:val="nil"/>
              <w:bottom w:val="nil"/>
              <w:right w:val="nil"/>
            </w:tcBorders>
            <w:shd w:val="clear" w:color="auto" w:fill="auto"/>
            <w:noWrap/>
            <w:vAlign w:val="bottom"/>
          </w:tcPr>
          <w:p w14:paraId="47B29331"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416" w:type="dxa"/>
            <w:tcBorders>
              <w:top w:val="nil"/>
              <w:left w:val="nil"/>
              <w:bottom w:val="nil"/>
              <w:right w:val="nil"/>
            </w:tcBorders>
            <w:shd w:val="clear" w:color="auto" w:fill="auto"/>
            <w:noWrap/>
            <w:vAlign w:val="bottom"/>
          </w:tcPr>
          <w:p w14:paraId="28C5AA8D"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422C9E57"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44C35582"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0.23</w:t>
            </w:r>
          </w:p>
        </w:tc>
        <w:tc>
          <w:tcPr>
            <w:tcW w:w="566" w:type="dxa"/>
            <w:tcBorders>
              <w:top w:val="nil"/>
              <w:left w:val="nil"/>
              <w:bottom w:val="nil"/>
              <w:right w:val="nil"/>
            </w:tcBorders>
            <w:shd w:val="clear" w:color="auto" w:fill="auto"/>
            <w:noWrap/>
            <w:vAlign w:val="bottom"/>
          </w:tcPr>
          <w:p w14:paraId="14B43744"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0.15</w:t>
            </w:r>
          </w:p>
        </w:tc>
        <w:tc>
          <w:tcPr>
            <w:tcW w:w="730" w:type="dxa"/>
            <w:tcBorders>
              <w:top w:val="nil"/>
              <w:left w:val="nil"/>
              <w:bottom w:val="nil"/>
              <w:right w:val="nil"/>
            </w:tcBorders>
            <w:shd w:val="clear" w:color="auto" w:fill="auto"/>
            <w:noWrap/>
            <w:vAlign w:val="bottom"/>
          </w:tcPr>
          <w:p w14:paraId="60B8F9C7"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1.25</w:t>
            </w:r>
          </w:p>
        </w:tc>
        <w:tc>
          <w:tcPr>
            <w:tcW w:w="416" w:type="dxa"/>
            <w:tcBorders>
              <w:top w:val="nil"/>
              <w:left w:val="nil"/>
              <w:bottom w:val="nil"/>
              <w:right w:val="nil"/>
            </w:tcBorders>
            <w:shd w:val="clear" w:color="auto" w:fill="auto"/>
            <w:noWrap/>
            <w:vAlign w:val="bottom"/>
          </w:tcPr>
          <w:p w14:paraId="33532B79" w14:textId="77777777" w:rsidR="00F92A14" w:rsidRPr="002802A9" w:rsidRDefault="00F92A14" w:rsidP="00F92A14">
            <w:pPr>
              <w:spacing w:after="0" w:line="240" w:lineRule="auto"/>
              <w:jc w:val="right"/>
              <w:rPr>
                <w:rFonts w:ascii="Times New Roman" w:eastAsia="Times New Roman" w:hAnsi="Times New Roman" w:cs="Times New Roman"/>
                <w:color w:val="000000"/>
                <w:szCs w:val="21"/>
                <w:lang w:eastAsia="en-GB"/>
              </w:rPr>
            </w:pPr>
          </w:p>
        </w:tc>
      </w:tr>
      <w:tr w:rsidR="00F92A14" w:rsidRPr="002802A9" w14:paraId="37123864" w14:textId="77777777" w:rsidTr="00F92A14">
        <w:trPr>
          <w:trHeight w:val="288"/>
          <w:jc w:val="center"/>
        </w:trPr>
        <w:tc>
          <w:tcPr>
            <w:tcW w:w="5016" w:type="dxa"/>
            <w:tcBorders>
              <w:top w:val="nil"/>
              <w:left w:val="nil"/>
              <w:bottom w:val="nil"/>
              <w:right w:val="nil"/>
            </w:tcBorders>
            <w:shd w:val="clear" w:color="auto" w:fill="auto"/>
            <w:noWrap/>
            <w:vAlign w:val="bottom"/>
            <w:hideMark/>
          </w:tcPr>
          <w:p w14:paraId="55E2BF7B" w14:textId="77777777" w:rsidR="00F92A14" w:rsidRPr="002802A9" w:rsidRDefault="00F92A14" w:rsidP="00F92A14">
            <w:pPr>
              <w:spacing w:after="0" w:line="240" w:lineRule="auto"/>
              <w:rPr>
                <w:rFonts w:ascii="Times New Roman" w:eastAsia="Times New Roman" w:hAnsi="Times New Roman" w:cs="Times New Roman"/>
                <w:b/>
                <w:bCs/>
                <w:color w:val="000000"/>
                <w:szCs w:val="21"/>
                <w:lang w:eastAsia="en-GB"/>
              </w:rPr>
            </w:pPr>
            <w:r w:rsidRPr="002802A9">
              <w:rPr>
                <w:rFonts w:ascii="Times New Roman" w:eastAsia="Times New Roman" w:hAnsi="Times New Roman" w:cs="Times New Roman"/>
                <w:b/>
                <w:bCs/>
                <w:color w:val="000000"/>
                <w:szCs w:val="21"/>
                <w:lang w:eastAsia="en-GB"/>
              </w:rPr>
              <w:t>Background characteristics</w:t>
            </w:r>
          </w:p>
        </w:tc>
        <w:tc>
          <w:tcPr>
            <w:tcW w:w="711" w:type="dxa"/>
            <w:tcBorders>
              <w:top w:val="nil"/>
              <w:left w:val="nil"/>
              <w:bottom w:val="nil"/>
              <w:right w:val="nil"/>
            </w:tcBorders>
            <w:shd w:val="clear" w:color="auto" w:fill="auto"/>
            <w:noWrap/>
            <w:vAlign w:val="bottom"/>
          </w:tcPr>
          <w:p w14:paraId="76D8AD3E" w14:textId="77777777" w:rsidR="00F92A14" w:rsidRPr="002802A9" w:rsidRDefault="00F92A14" w:rsidP="00F92A14">
            <w:pPr>
              <w:spacing w:after="0" w:line="240" w:lineRule="auto"/>
              <w:rPr>
                <w:rFonts w:ascii="Times New Roman" w:eastAsia="Times New Roman" w:hAnsi="Times New Roman" w:cs="Times New Roman"/>
                <w:b/>
                <w:bCs/>
                <w:color w:val="000000"/>
                <w:szCs w:val="21"/>
                <w:lang w:eastAsia="en-GB"/>
              </w:rPr>
            </w:pPr>
          </w:p>
        </w:tc>
        <w:tc>
          <w:tcPr>
            <w:tcW w:w="601" w:type="dxa"/>
            <w:tcBorders>
              <w:top w:val="nil"/>
              <w:left w:val="nil"/>
              <w:bottom w:val="nil"/>
              <w:right w:val="nil"/>
            </w:tcBorders>
            <w:shd w:val="clear" w:color="auto" w:fill="auto"/>
            <w:noWrap/>
            <w:vAlign w:val="bottom"/>
          </w:tcPr>
          <w:p w14:paraId="717B2260"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72" w:type="dxa"/>
            <w:tcBorders>
              <w:top w:val="nil"/>
              <w:left w:val="nil"/>
              <w:bottom w:val="nil"/>
              <w:right w:val="nil"/>
            </w:tcBorders>
            <w:shd w:val="clear" w:color="auto" w:fill="auto"/>
            <w:noWrap/>
            <w:vAlign w:val="bottom"/>
          </w:tcPr>
          <w:p w14:paraId="1BE2AAA6"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61B959D3"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1EB7E459"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0FBFE501"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566" w:type="dxa"/>
            <w:tcBorders>
              <w:top w:val="nil"/>
              <w:left w:val="nil"/>
              <w:bottom w:val="nil"/>
              <w:right w:val="nil"/>
            </w:tcBorders>
            <w:shd w:val="clear" w:color="auto" w:fill="auto"/>
            <w:noWrap/>
            <w:vAlign w:val="bottom"/>
          </w:tcPr>
          <w:p w14:paraId="4FC11375"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30" w:type="dxa"/>
            <w:tcBorders>
              <w:top w:val="nil"/>
              <w:left w:val="nil"/>
              <w:bottom w:val="nil"/>
              <w:right w:val="nil"/>
            </w:tcBorders>
            <w:shd w:val="clear" w:color="auto" w:fill="auto"/>
            <w:noWrap/>
            <w:vAlign w:val="bottom"/>
          </w:tcPr>
          <w:p w14:paraId="3D143CE8"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416" w:type="dxa"/>
            <w:tcBorders>
              <w:top w:val="nil"/>
              <w:left w:val="nil"/>
              <w:bottom w:val="nil"/>
              <w:right w:val="nil"/>
            </w:tcBorders>
            <w:shd w:val="clear" w:color="auto" w:fill="auto"/>
            <w:noWrap/>
            <w:vAlign w:val="bottom"/>
          </w:tcPr>
          <w:p w14:paraId="4C715C1C"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33E7711E"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50EB68A9" w14:textId="77777777" w:rsidR="00F92A14" w:rsidRPr="00192108" w:rsidRDefault="00F92A14" w:rsidP="00F92A14">
            <w:pPr>
              <w:spacing w:after="0" w:line="240" w:lineRule="auto"/>
              <w:jc w:val="right"/>
              <w:rPr>
                <w:rFonts w:ascii="Times New Roman" w:hAnsi="Times New Roman" w:cs="Times New Roman"/>
                <w:color w:val="000000"/>
                <w:sz w:val="20"/>
              </w:rPr>
            </w:pPr>
          </w:p>
        </w:tc>
        <w:tc>
          <w:tcPr>
            <w:tcW w:w="566" w:type="dxa"/>
            <w:tcBorders>
              <w:top w:val="nil"/>
              <w:left w:val="nil"/>
              <w:bottom w:val="nil"/>
              <w:right w:val="nil"/>
            </w:tcBorders>
            <w:shd w:val="clear" w:color="auto" w:fill="auto"/>
            <w:noWrap/>
            <w:vAlign w:val="bottom"/>
          </w:tcPr>
          <w:p w14:paraId="721AF049" w14:textId="77777777" w:rsidR="00F92A14" w:rsidRPr="00192108" w:rsidRDefault="00F92A14" w:rsidP="00F92A14">
            <w:pPr>
              <w:spacing w:after="0" w:line="240" w:lineRule="auto"/>
              <w:jc w:val="right"/>
              <w:rPr>
                <w:rFonts w:ascii="Times New Roman" w:hAnsi="Times New Roman" w:cs="Times New Roman"/>
                <w:sz w:val="20"/>
                <w:szCs w:val="20"/>
              </w:rPr>
            </w:pPr>
          </w:p>
        </w:tc>
        <w:tc>
          <w:tcPr>
            <w:tcW w:w="730" w:type="dxa"/>
            <w:tcBorders>
              <w:top w:val="nil"/>
              <w:left w:val="nil"/>
              <w:bottom w:val="nil"/>
              <w:right w:val="nil"/>
            </w:tcBorders>
            <w:shd w:val="clear" w:color="auto" w:fill="auto"/>
            <w:noWrap/>
            <w:vAlign w:val="bottom"/>
          </w:tcPr>
          <w:p w14:paraId="0E811902" w14:textId="77777777" w:rsidR="00F92A14" w:rsidRPr="00192108" w:rsidRDefault="00F92A14" w:rsidP="00F92A14">
            <w:pPr>
              <w:spacing w:after="0" w:line="240" w:lineRule="auto"/>
              <w:jc w:val="right"/>
              <w:rPr>
                <w:rFonts w:ascii="Times New Roman" w:hAnsi="Times New Roman" w:cs="Times New Roman"/>
                <w:sz w:val="20"/>
                <w:szCs w:val="20"/>
              </w:rPr>
            </w:pPr>
          </w:p>
        </w:tc>
        <w:tc>
          <w:tcPr>
            <w:tcW w:w="416" w:type="dxa"/>
            <w:tcBorders>
              <w:top w:val="nil"/>
              <w:left w:val="nil"/>
              <w:bottom w:val="nil"/>
              <w:right w:val="nil"/>
            </w:tcBorders>
            <w:shd w:val="clear" w:color="auto" w:fill="auto"/>
            <w:noWrap/>
            <w:vAlign w:val="bottom"/>
          </w:tcPr>
          <w:p w14:paraId="09A91834"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r>
      <w:tr w:rsidR="00F92A14" w:rsidRPr="002802A9" w14:paraId="52CA6BE5" w14:textId="77777777" w:rsidTr="00F92A14">
        <w:trPr>
          <w:trHeight w:val="288"/>
          <w:jc w:val="center"/>
        </w:trPr>
        <w:tc>
          <w:tcPr>
            <w:tcW w:w="5016" w:type="dxa"/>
            <w:tcBorders>
              <w:top w:val="nil"/>
              <w:left w:val="nil"/>
              <w:bottom w:val="nil"/>
              <w:right w:val="nil"/>
            </w:tcBorders>
            <w:shd w:val="clear" w:color="auto" w:fill="auto"/>
            <w:noWrap/>
            <w:vAlign w:val="bottom"/>
            <w:hideMark/>
          </w:tcPr>
          <w:p w14:paraId="510A2254"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r w:rsidRPr="002802A9">
              <w:rPr>
                <w:rFonts w:ascii="Times New Roman" w:eastAsia="Times New Roman" w:hAnsi="Times New Roman" w:cs="Times New Roman"/>
                <w:color w:val="000000"/>
                <w:szCs w:val="21"/>
                <w:lang w:eastAsia="en-GB"/>
              </w:rPr>
              <w:t>Gender (ref: female)</w:t>
            </w:r>
          </w:p>
        </w:tc>
        <w:tc>
          <w:tcPr>
            <w:tcW w:w="711" w:type="dxa"/>
            <w:tcBorders>
              <w:top w:val="nil"/>
              <w:left w:val="nil"/>
              <w:bottom w:val="nil"/>
              <w:right w:val="nil"/>
            </w:tcBorders>
            <w:shd w:val="clear" w:color="auto" w:fill="auto"/>
            <w:noWrap/>
            <w:vAlign w:val="bottom"/>
          </w:tcPr>
          <w:p w14:paraId="0CD3CDBB"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p>
        </w:tc>
        <w:tc>
          <w:tcPr>
            <w:tcW w:w="601" w:type="dxa"/>
            <w:tcBorders>
              <w:top w:val="nil"/>
              <w:left w:val="nil"/>
              <w:bottom w:val="nil"/>
              <w:right w:val="nil"/>
            </w:tcBorders>
            <w:shd w:val="clear" w:color="auto" w:fill="auto"/>
            <w:noWrap/>
            <w:vAlign w:val="bottom"/>
          </w:tcPr>
          <w:p w14:paraId="348830E9"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72" w:type="dxa"/>
            <w:tcBorders>
              <w:top w:val="nil"/>
              <w:left w:val="nil"/>
              <w:bottom w:val="nil"/>
              <w:right w:val="nil"/>
            </w:tcBorders>
            <w:shd w:val="clear" w:color="auto" w:fill="auto"/>
            <w:noWrap/>
            <w:vAlign w:val="bottom"/>
          </w:tcPr>
          <w:p w14:paraId="67C93A67"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2DD26081"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7ACCFB98"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24DCE20B"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566" w:type="dxa"/>
            <w:tcBorders>
              <w:top w:val="nil"/>
              <w:left w:val="nil"/>
              <w:bottom w:val="nil"/>
              <w:right w:val="nil"/>
            </w:tcBorders>
            <w:shd w:val="clear" w:color="auto" w:fill="auto"/>
            <w:noWrap/>
            <w:vAlign w:val="bottom"/>
          </w:tcPr>
          <w:p w14:paraId="48D88228"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30" w:type="dxa"/>
            <w:tcBorders>
              <w:top w:val="nil"/>
              <w:left w:val="nil"/>
              <w:bottom w:val="nil"/>
              <w:right w:val="nil"/>
            </w:tcBorders>
            <w:shd w:val="clear" w:color="auto" w:fill="auto"/>
            <w:noWrap/>
            <w:vAlign w:val="bottom"/>
          </w:tcPr>
          <w:p w14:paraId="35062148"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416" w:type="dxa"/>
            <w:tcBorders>
              <w:top w:val="nil"/>
              <w:left w:val="nil"/>
              <w:bottom w:val="nil"/>
              <w:right w:val="nil"/>
            </w:tcBorders>
            <w:shd w:val="clear" w:color="auto" w:fill="auto"/>
            <w:noWrap/>
            <w:vAlign w:val="bottom"/>
          </w:tcPr>
          <w:p w14:paraId="47379E73"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3BC66CB5"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464527CE" w14:textId="77777777" w:rsidR="00F92A14" w:rsidRPr="00192108" w:rsidRDefault="00F92A14" w:rsidP="00F92A14">
            <w:pPr>
              <w:spacing w:after="0" w:line="240" w:lineRule="auto"/>
              <w:jc w:val="right"/>
              <w:rPr>
                <w:rFonts w:ascii="Times New Roman" w:hAnsi="Times New Roman" w:cs="Times New Roman"/>
                <w:sz w:val="20"/>
                <w:szCs w:val="20"/>
              </w:rPr>
            </w:pPr>
          </w:p>
        </w:tc>
        <w:tc>
          <w:tcPr>
            <w:tcW w:w="566" w:type="dxa"/>
            <w:tcBorders>
              <w:top w:val="nil"/>
              <w:left w:val="nil"/>
              <w:bottom w:val="nil"/>
              <w:right w:val="nil"/>
            </w:tcBorders>
            <w:shd w:val="clear" w:color="auto" w:fill="auto"/>
            <w:noWrap/>
            <w:vAlign w:val="bottom"/>
          </w:tcPr>
          <w:p w14:paraId="6614F1AF" w14:textId="77777777" w:rsidR="00F92A14" w:rsidRPr="00192108" w:rsidRDefault="00F92A14" w:rsidP="00F92A14">
            <w:pPr>
              <w:spacing w:after="0" w:line="240" w:lineRule="auto"/>
              <w:jc w:val="right"/>
              <w:rPr>
                <w:rFonts w:ascii="Times New Roman" w:hAnsi="Times New Roman" w:cs="Times New Roman"/>
                <w:sz w:val="20"/>
                <w:szCs w:val="20"/>
              </w:rPr>
            </w:pPr>
          </w:p>
        </w:tc>
        <w:tc>
          <w:tcPr>
            <w:tcW w:w="730" w:type="dxa"/>
            <w:tcBorders>
              <w:top w:val="nil"/>
              <w:left w:val="nil"/>
              <w:bottom w:val="nil"/>
              <w:right w:val="nil"/>
            </w:tcBorders>
            <w:shd w:val="clear" w:color="auto" w:fill="auto"/>
            <w:noWrap/>
            <w:vAlign w:val="bottom"/>
          </w:tcPr>
          <w:p w14:paraId="4C88BD56" w14:textId="77777777" w:rsidR="00F92A14" w:rsidRPr="00192108" w:rsidRDefault="00F92A14" w:rsidP="00F92A14">
            <w:pPr>
              <w:spacing w:after="0" w:line="240" w:lineRule="auto"/>
              <w:jc w:val="right"/>
              <w:rPr>
                <w:rFonts w:ascii="Times New Roman" w:hAnsi="Times New Roman" w:cs="Times New Roman"/>
                <w:sz w:val="20"/>
                <w:szCs w:val="20"/>
              </w:rPr>
            </w:pPr>
          </w:p>
        </w:tc>
        <w:tc>
          <w:tcPr>
            <w:tcW w:w="416" w:type="dxa"/>
            <w:tcBorders>
              <w:top w:val="nil"/>
              <w:left w:val="nil"/>
              <w:bottom w:val="nil"/>
              <w:right w:val="nil"/>
            </w:tcBorders>
            <w:shd w:val="clear" w:color="auto" w:fill="auto"/>
            <w:noWrap/>
            <w:vAlign w:val="bottom"/>
          </w:tcPr>
          <w:p w14:paraId="34D46243"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r>
      <w:tr w:rsidR="00F92A14" w:rsidRPr="002802A9" w14:paraId="2551069C" w14:textId="77777777" w:rsidTr="00F92A14">
        <w:trPr>
          <w:trHeight w:val="288"/>
          <w:jc w:val="center"/>
        </w:trPr>
        <w:tc>
          <w:tcPr>
            <w:tcW w:w="5016" w:type="dxa"/>
            <w:tcBorders>
              <w:top w:val="nil"/>
              <w:left w:val="nil"/>
              <w:bottom w:val="nil"/>
              <w:right w:val="nil"/>
            </w:tcBorders>
            <w:shd w:val="clear" w:color="auto" w:fill="auto"/>
            <w:noWrap/>
            <w:vAlign w:val="bottom"/>
            <w:hideMark/>
          </w:tcPr>
          <w:p w14:paraId="3A9A1BF0" w14:textId="77777777" w:rsidR="00F92A14" w:rsidRPr="002802A9" w:rsidRDefault="00F92A14" w:rsidP="00F92A14">
            <w:pPr>
              <w:spacing w:after="0" w:line="240" w:lineRule="auto"/>
              <w:ind w:firstLineChars="100" w:firstLine="112"/>
              <w:rPr>
                <w:rFonts w:ascii="Times New Roman" w:eastAsia="Times New Roman" w:hAnsi="Times New Roman" w:cs="Times New Roman"/>
                <w:color w:val="000000"/>
                <w:szCs w:val="21"/>
                <w:lang w:eastAsia="en-GB"/>
              </w:rPr>
            </w:pPr>
            <w:r w:rsidRPr="002802A9">
              <w:rPr>
                <w:rFonts w:ascii="Times New Roman" w:eastAsia="Times New Roman" w:hAnsi="Times New Roman" w:cs="Times New Roman"/>
                <w:color w:val="000000"/>
                <w:szCs w:val="21"/>
                <w:lang w:eastAsia="en-GB"/>
              </w:rPr>
              <w:t>Male</w:t>
            </w:r>
          </w:p>
        </w:tc>
        <w:tc>
          <w:tcPr>
            <w:tcW w:w="711" w:type="dxa"/>
            <w:tcBorders>
              <w:top w:val="nil"/>
              <w:left w:val="nil"/>
              <w:bottom w:val="nil"/>
              <w:right w:val="nil"/>
            </w:tcBorders>
            <w:shd w:val="clear" w:color="auto" w:fill="auto"/>
            <w:noWrap/>
            <w:vAlign w:val="bottom"/>
          </w:tcPr>
          <w:p w14:paraId="452EA7AB" w14:textId="77777777" w:rsidR="00F92A14" w:rsidRPr="002802A9" w:rsidRDefault="00F92A14" w:rsidP="00F92A14">
            <w:pPr>
              <w:spacing w:after="0" w:line="240" w:lineRule="auto"/>
              <w:ind w:firstLineChars="100" w:firstLine="112"/>
              <w:rPr>
                <w:rFonts w:ascii="Times New Roman" w:eastAsia="Times New Roman" w:hAnsi="Times New Roman" w:cs="Times New Roman"/>
                <w:color w:val="000000"/>
                <w:szCs w:val="21"/>
                <w:lang w:eastAsia="en-GB"/>
              </w:rPr>
            </w:pPr>
          </w:p>
        </w:tc>
        <w:tc>
          <w:tcPr>
            <w:tcW w:w="601" w:type="dxa"/>
            <w:tcBorders>
              <w:top w:val="nil"/>
              <w:left w:val="nil"/>
              <w:bottom w:val="nil"/>
              <w:right w:val="nil"/>
            </w:tcBorders>
            <w:shd w:val="clear" w:color="auto" w:fill="auto"/>
            <w:noWrap/>
            <w:vAlign w:val="bottom"/>
          </w:tcPr>
          <w:p w14:paraId="29E33106" w14:textId="77777777" w:rsidR="00F92A14" w:rsidRPr="002802A9" w:rsidRDefault="00F92A14" w:rsidP="00F92A14">
            <w:pPr>
              <w:spacing w:after="0" w:line="240" w:lineRule="auto"/>
              <w:ind w:firstLineChars="100" w:firstLine="112"/>
              <w:rPr>
                <w:rFonts w:ascii="Times New Roman" w:eastAsia="Times New Roman" w:hAnsi="Times New Roman" w:cs="Times New Roman"/>
                <w:szCs w:val="21"/>
                <w:lang w:eastAsia="en-GB"/>
              </w:rPr>
            </w:pPr>
          </w:p>
        </w:tc>
        <w:tc>
          <w:tcPr>
            <w:tcW w:w="772" w:type="dxa"/>
            <w:tcBorders>
              <w:top w:val="nil"/>
              <w:left w:val="nil"/>
              <w:bottom w:val="nil"/>
              <w:right w:val="nil"/>
            </w:tcBorders>
            <w:shd w:val="clear" w:color="auto" w:fill="auto"/>
            <w:noWrap/>
            <w:vAlign w:val="bottom"/>
          </w:tcPr>
          <w:p w14:paraId="0BDC8E39"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2748C86C"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2E3D950D"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0B8BE7F2"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566" w:type="dxa"/>
            <w:tcBorders>
              <w:top w:val="nil"/>
              <w:left w:val="nil"/>
              <w:bottom w:val="nil"/>
              <w:right w:val="nil"/>
            </w:tcBorders>
            <w:shd w:val="clear" w:color="auto" w:fill="auto"/>
            <w:noWrap/>
            <w:vAlign w:val="bottom"/>
          </w:tcPr>
          <w:p w14:paraId="114DE8B0"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30" w:type="dxa"/>
            <w:tcBorders>
              <w:top w:val="nil"/>
              <w:left w:val="nil"/>
              <w:bottom w:val="nil"/>
              <w:right w:val="nil"/>
            </w:tcBorders>
            <w:shd w:val="clear" w:color="auto" w:fill="auto"/>
            <w:noWrap/>
            <w:vAlign w:val="bottom"/>
          </w:tcPr>
          <w:p w14:paraId="74E45D22"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416" w:type="dxa"/>
            <w:tcBorders>
              <w:top w:val="nil"/>
              <w:left w:val="nil"/>
              <w:bottom w:val="nil"/>
              <w:right w:val="nil"/>
            </w:tcBorders>
            <w:shd w:val="clear" w:color="auto" w:fill="auto"/>
            <w:noWrap/>
            <w:vAlign w:val="bottom"/>
          </w:tcPr>
          <w:p w14:paraId="77D5E034"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630718A9"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2249E948"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-0.10</w:t>
            </w:r>
          </w:p>
        </w:tc>
        <w:tc>
          <w:tcPr>
            <w:tcW w:w="566" w:type="dxa"/>
            <w:tcBorders>
              <w:top w:val="nil"/>
              <w:left w:val="nil"/>
              <w:bottom w:val="nil"/>
              <w:right w:val="nil"/>
            </w:tcBorders>
            <w:shd w:val="clear" w:color="auto" w:fill="auto"/>
            <w:noWrap/>
            <w:vAlign w:val="bottom"/>
          </w:tcPr>
          <w:p w14:paraId="0887397D"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0.09</w:t>
            </w:r>
          </w:p>
        </w:tc>
        <w:tc>
          <w:tcPr>
            <w:tcW w:w="730" w:type="dxa"/>
            <w:tcBorders>
              <w:top w:val="nil"/>
              <w:left w:val="nil"/>
              <w:bottom w:val="nil"/>
              <w:right w:val="nil"/>
            </w:tcBorders>
            <w:shd w:val="clear" w:color="auto" w:fill="auto"/>
            <w:noWrap/>
            <w:vAlign w:val="bottom"/>
          </w:tcPr>
          <w:p w14:paraId="46B52B14"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0.91</w:t>
            </w:r>
          </w:p>
        </w:tc>
        <w:tc>
          <w:tcPr>
            <w:tcW w:w="416" w:type="dxa"/>
            <w:tcBorders>
              <w:top w:val="nil"/>
              <w:left w:val="nil"/>
              <w:bottom w:val="nil"/>
              <w:right w:val="nil"/>
            </w:tcBorders>
            <w:shd w:val="clear" w:color="auto" w:fill="auto"/>
            <w:noWrap/>
            <w:vAlign w:val="bottom"/>
          </w:tcPr>
          <w:p w14:paraId="2F4280B9" w14:textId="77777777" w:rsidR="00F92A14" w:rsidRPr="002802A9" w:rsidRDefault="00F92A14" w:rsidP="00F92A14">
            <w:pPr>
              <w:spacing w:after="0" w:line="240" w:lineRule="auto"/>
              <w:jc w:val="right"/>
              <w:rPr>
                <w:rFonts w:ascii="Times New Roman" w:eastAsia="Times New Roman" w:hAnsi="Times New Roman" w:cs="Times New Roman"/>
                <w:color w:val="000000"/>
                <w:szCs w:val="21"/>
                <w:lang w:eastAsia="en-GB"/>
              </w:rPr>
            </w:pPr>
          </w:p>
        </w:tc>
      </w:tr>
      <w:tr w:rsidR="00F92A14" w:rsidRPr="002802A9" w14:paraId="1ADD2C8B" w14:textId="77777777" w:rsidTr="00F92A14">
        <w:trPr>
          <w:trHeight w:val="288"/>
          <w:jc w:val="center"/>
        </w:trPr>
        <w:tc>
          <w:tcPr>
            <w:tcW w:w="5016" w:type="dxa"/>
            <w:tcBorders>
              <w:top w:val="nil"/>
              <w:left w:val="nil"/>
              <w:bottom w:val="nil"/>
              <w:right w:val="nil"/>
            </w:tcBorders>
            <w:shd w:val="clear" w:color="auto" w:fill="auto"/>
            <w:noWrap/>
            <w:vAlign w:val="bottom"/>
            <w:hideMark/>
          </w:tcPr>
          <w:p w14:paraId="30775A80"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r w:rsidRPr="002802A9">
              <w:rPr>
                <w:rFonts w:ascii="Times New Roman" w:eastAsia="Times New Roman" w:hAnsi="Times New Roman" w:cs="Times New Roman"/>
                <w:color w:val="000000"/>
                <w:szCs w:val="21"/>
                <w:lang w:eastAsia="en-GB"/>
              </w:rPr>
              <w:t>Age in years</w:t>
            </w:r>
          </w:p>
        </w:tc>
        <w:tc>
          <w:tcPr>
            <w:tcW w:w="711" w:type="dxa"/>
            <w:tcBorders>
              <w:top w:val="nil"/>
              <w:left w:val="nil"/>
              <w:bottom w:val="nil"/>
              <w:right w:val="nil"/>
            </w:tcBorders>
            <w:shd w:val="clear" w:color="auto" w:fill="auto"/>
            <w:noWrap/>
            <w:vAlign w:val="bottom"/>
          </w:tcPr>
          <w:p w14:paraId="6DD7B371"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p>
        </w:tc>
        <w:tc>
          <w:tcPr>
            <w:tcW w:w="601" w:type="dxa"/>
            <w:tcBorders>
              <w:top w:val="nil"/>
              <w:left w:val="nil"/>
              <w:bottom w:val="nil"/>
              <w:right w:val="nil"/>
            </w:tcBorders>
            <w:shd w:val="clear" w:color="auto" w:fill="auto"/>
            <w:noWrap/>
            <w:vAlign w:val="bottom"/>
          </w:tcPr>
          <w:p w14:paraId="070BF92E"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72" w:type="dxa"/>
            <w:tcBorders>
              <w:top w:val="nil"/>
              <w:left w:val="nil"/>
              <w:bottom w:val="nil"/>
              <w:right w:val="nil"/>
            </w:tcBorders>
            <w:shd w:val="clear" w:color="auto" w:fill="auto"/>
            <w:noWrap/>
            <w:vAlign w:val="bottom"/>
          </w:tcPr>
          <w:p w14:paraId="71630863"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7F45C462"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328BDEB6"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3AEBB061"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566" w:type="dxa"/>
            <w:tcBorders>
              <w:top w:val="nil"/>
              <w:left w:val="nil"/>
              <w:bottom w:val="nil"/>
              <w:right w:val="nil"/>
            </w:tcBorders>
            <w:shd w:val="clear" w:color="auto" w:fill="auto"/>
            <w:noWrap/>
            <w:vAlign w:val="bottom"/>
          </w:tcPr>
          <w:p w14:paraId="7EDA3EEB"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30" w:type="dxa"/>
            <w:tcBorders>
              <w:top w:val="nil"/>
              <w:left w:val="nil"/>
              <w:bottom w:val="nil"/>
              <w:right w:val="nil"/>
            </w:tcBorders>
            <w:shd w:val="clear" w:color="auto" w:fill="auto"/>
            <w:noWrap/>
            <w:vAlign w:val="bottom"/>
          </w:tcPr>
          <w:p w14:paraId="15ACBABB"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416" w:type="dxa"/>
            <w:tcBorders>
              <w:top w:val="nil"/>
              <w:left w:val="nil"/>
              <w:bottom w:val="nil"/>
              <w:right w:val="nil"/>
            </w:tcBorders>
            <w:shd w:val="clear" w:color="auto" w:fill="auto"/>
            <w:noWrap/>
            <w:vAlign w:val="bottom"/>
          </w:tcPr>
          <w:p w14:paraId="1E844711"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53A71451"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4BC349A8"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-0.03</w:t>
            </w:r>
          </w:p>
        </w:tc>
        <w:tc>
          <w:tcPr>
            <w:tcW w:w="566" w:type="dxa"/>
            <w:tcBorders>
              <w:top w:val="nil"/>
              <w:left w:val="nil"/>
              <w:bottom w:val="nil"/>
              <w:right w:val="nil"/>
            </w:tcBorders>
            <w:shd w:val="clear" w:color="auto" w:fill="auto"/>
            <w:noWrap/>
            <w:vAlign w:val="bottom"/>
          </w:tcPr>
          <w:p w14:paraId="1DED90E5"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0.02</w:t>
            </w:r>
          </w:p>
        </w:tc>
        <w:tc>
          <w:tcPr>
            <w:tcW w:w="730" w:type="dxa"/>
            <w:tcBorders>
              <w:top w:val="nil"/>
              <w:left w:val="nil"/>
              <w:bottom w:val="nil"/>
              <w:right w:val="nil"/>
            </w:tcBorders>
            <w:shd w:val="clear" w:color="auto" w:fill="auto"/>
            <w:noWrap/>
            <w:vAlign w:val="bottom"/>
          </w:tcPr>
          <w:p w14:paraId="3DDC5305"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0.97</w:t>
            </w:r>
          </w:p>
        </w:tc>
        <w:tc>
          <w:tcPr>
            <w:tcW w:w="416" w:type="dxa"/>
            <w:tcBorders>
              <w:top w:val="nil"/>
              <w:left w:val="nil"/>
              <w:bottom w:val="nil"/>
              <w:right w:val="nil"/>
            </w:tcBorders>
            <w:shd w:val="clear" w:color="auto" w:fill="auto"/>
            <w:noWrap/>
            <w:vAlign w:val="bottom"/>
          </w:tcPr>
          <w:p w14:paraId="4869B8A3" w14:textId="77777777" w:rsidR="00F92A14" w:rsidRPr="002802A9" w:rsidRDefault="00F92A14" w:rsidP="00F92A14">
            <w:pPr>
              <w:spacing w:after="0" w:line="240" w:lineRule="auto"/>
              <w:jc w:val="right"/>
              <w:rPr>
                <w:rFonts w:ascii="Times New Roman" w:eastAsia="Times New Roman" w:hAnsi="Times New Roman" w:cs="Times New Roman"/>
                <w:color w:val="000000"/>
                <w:szCs w:val="21"/>
                <w:lang w:eastAsia="en-GB"/>
              </w:rPr>
            </w:pPr>
          </w:p>
        </w:tc>
      </w:tr>
      <w:tr w:rsidR="00F92A14" w:rsidRPr="002802A9" w14:paraId="5105B7D6" w14:textId="77777777" w:rsidTr="00F92A14">
        <w:trPr>
          <w:trHeight w:val="288"/>
          <w:jc w:val="center"/>
        </w:trPr>
        <w:tc>
          <w:tcPr>
            <w:tcW w:w="5016" w:type="dxa"/>
            <w:tcBorders>
              <w:top w:val="nil"/>
              <w:left w:val="nil"/>
              <w:bottom w:val="nil"/>
              <w:right w:val="nil"/>
            </w:tcBorders>
            <w:shd w:val="clear" w:color="auto" w:fill="auto"/>
            <w:noWrap/>
            <w:vAlign w:val="bottom"/>
            <w:hideMark/>
          </w:tcPr>
          <w:p w14:paraId="3202967B"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r w:rsidRPr="002802A9">
              <w:rPr>
                <w:rFonts w:ascii="Times New Roman" w:eastAsia="Times New Roman" w:hAnsi="Times New Roman" w:cs="Times New Roman"/>
                <w:color w:val="000000"/>
                <w:szCs w:val="21"/>
                <w:lang w:eastAsia="en-GB"/>
              </w:rPr>
              <w:t>Ethnicity (ref: white)</w:t>
            </w:r>
          </w:p>
        </w:tc>
        <w:tc>
          <w:tcPr>
            <w:tcW w:w="711" w:type="dxa"/>
            <w:tcBorders>
              <w:top w:val="nil"/>
              <w:left w:val="nil"/>
              <w:bottom w:val="nil"/>
              <w:right w:val="nil"/>
            </w:tcBorders>
            <w:shd w:val="clear" w:color="auto" w:fill="auto"/>
            <w:noWrap/>
            <w:vAlign w:val="bottom"/>
          </w:tcPr>
          <w:p w14:paraId="2853B930"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p>
        </w:tc>
        <w:tc>
          <w:tcPr>
            <w:tcW w:w="601" w:type="dxa"/>
            <w:tcBorders>
              <w:top w:val="nil"/>
              <w:left w:val="nil"/>
              <w:bottom w:val="nil"/>
              <w:right w:val="nil"/>
            </w:tcBorders>
            <w:shd w:val="clear" w:color="auto" w:fill="auto"/>
            <w:noWrap/>
            <w:vAlign w:val="bottom"/>
          </w:tcPr>
          <w:p w14:paraId="2EF42B5F"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72" w:type="dxa"/>
            <w:tcBorders>
              <w:top w:val="nil"/>
              <w:left w:val="nil"/>
              <w:bottom w:val="nil"/>
              <w:right w:val="nil"/>
            </w:tcBorders>
            <w:shd w:val="clear" w:color="auto" w:fill="auto"/>
            <w:noWrap/>
            <w:vAlign w:val="bottom"/>
          </w:tcPr>
          <w:p w14:paraId="6830B98B"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304B0820"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49838C6A"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56AEA1B6"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566" w:type="dxa"/>
            <w:tcBorders>
              <w:top w:val="nil"/>
              <w:left w:val="nil"/>
              <w:bottom w:val="nil"/>
              <w:right w:val="nil"/>
            </w:tcBorders>
            <w:shd w:val="clear" w:color="auto" w:fill="auto"/>
            <w:noWrap/>
            <w:vAlign w:val="bottom"/>
          </w:tcPr>
          <w:p w14:paraId="047EAFD8"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30" w:type="dxa"/>
            <w:tcBorders>
              <w:top w:val="nil"/>
              <w:left w:val="nil"/>
              <w:bottom w:val="nil"/>
              <w:right w:val="nil"/>
            </w:tcBorders>
            <w:shd w:val="clear" w:color="auto" w:fill="auto"/>
            <w:noWrap/>
            <w:vAlign w:val="bottom"/>
          </w:tcPr>
          <w:p w14:paraId="0B2C9417"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416" w:type="dxa"/>
            <w:tcBorders>
              <w:top w:val="nil"/>
              <w:left w:val="nil"/>
              <w:bottom w:val="nil"/>
              <w:right w:val="nil"/>
            </w:tcBorders>
            <w:shd w:val="clear" w:color="auto" w:fill="auto"/>
            <w:noWrap/>
            <w:vAlign w:val="bottom"/>
          </w:tcPr>
          <w:p w14:paraId="4839E6AF"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7053A77B"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544D06B4" w14:textId="77777777" w:rsidR="00F92A14" w:rsidRPr="00192108" w:rsidRDefault="00F92A14" w:rsidP="00F92A14">
            <w:pPr>
              <w:spacing w:after="0" w:line="240" w:lineRule="auto"/>
              <w:jc w:val="right"/>
              <w:rPr>
                <w:rFonts w:ascii="Times New Roman" w:hAnsi="Times New Roman" w:cs="Times New Roman"/>
                <w:color w:val="000000"/>
                <w:sz w:val="20"/>
              </w:rPr>
            </w:pPr>
          </w:p>
        </w:tc>
        <w:tc>
          <w:tcPr>
            <w:tcW w:w="566" w:type="dxa"/>
            <w:tcBorders>
              <w:top w:val="nil"/>
              <w:left w:val="nil"/>
              <w:bottom w:val="nil"/>
              <w:right w:val="nil"/>
            </w:tcBorders>
            <w:shd w:val="clear" w:color="auto" w:fill="auto"/>
            <w:noWrap/>
            <w:vAlign w:val="bottom"/>
          </w:tcPr>
          <w:p w14:paraId="2A070C52" w14:textId="77777777" w:rsidR="00F92A14" w:rsidRPr="00192108" w:rsidRDefault="00F92A14" w:rsidP="00F92A14">
            <w:pPr>
              <w:spacing w:after="0" w:line="240" w:lineRule="auto"/>
              <w:jc w:val="right"/>
              <w:rPr>
                <w:rFonts w:ascii="Times New Roman" w:hAnsi="Times New Roman" w:cs="Times New Roman"/>
                <w:sz w:val="20"/>
                <w:szCs w:val="20"/>
              </w:rPr>
            </w:pPr>
          </w:p>
        </w:tc>
        <w:tc>
          <w:tcPr>
            <w:tcW w:w="730" w:type="dxa"/>
            <w:tcBorders>
              <w:top w:val="nil"/>
              <w:left w:val="nil"/>
              <w:bottom w:val="nil"/>
              <w:right w:val="nil"/>
            </w:tcBorders>
            <w:shd w:val="clear" w:color="auto" w:fill="auto"/>
            <w:noWrap/>
            <w:vAlign w:val="bottom"/>
          </w:tcPr>
          <w:p w14:paraId="6B7072F6" w14:textId="77777777" w:rsidR="00F92A14" w:rsidRPr="00192108" w:rsidRDefault="00F92A14" w:rsidP="00F92A14">
            <w:pPr>
              <w:spacing w:after="0" w:line="240" w:lineRule="auto"/>
              <w:jc w:val="right"/>
              <w:rPr>
                <w:rFonts w:ascii="Times New Roman" w:hAnsi="Times New Roman" w:cs="Times New Roman"/>
                <w:sz w:val="20"/>
                <w:szCs w:val="20"/>
              </w:rPr>
            </w:pPr>
          </w:p>
        </w:tc>
        <w:tc>
          <w:tcPr>
            <w:tcW w:w="416" w:type="dxa"/>
            <w:tcBorders>
              <w:top w:val="nil"/>
              <w:left w:val="nil"/>
              <w:bottom w:val="nil"/>
              <w:right w:val="nil"/>
            </w:tcBorders>
            <w:shd w:val="clear" w:color="auto" w:fill="auto"/>
            <w:noWrap/>
            <w:vAlign w:val="bottom"/>
          </w:tcPr>
          <w:p w14:paraId="53F74B04"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r>
      <w:tr w:rsidR="00F92A14" w:rsidRPr="002802A9" w14:paraId="09B08AAA" w14:textId="77777777" w:rsidTr="00F92A14">
        <w:trPr>
          <w:trHeight w:val="288"/>
          <w:jc w:val="center"/>
        </w:trPr>
        <w:tc>
          <w:tcPr>
            <w:tcW w:w="5016" w:type="dxa"/>
            <w:tcBorders>
              <w:top w:val="nil"/>
              <w:left w:val="nil"/>
              <w:bottom w:val="nil"/>
              <w:right w:val="nil"/>
            </w:tcBorders>
            <w:shd w:val="clear" w:color="auto" w:fill="auto"/>
            <w:noWrap/>
            <w:vAlign w:val="bottom"/>
            <w:hideMark/>
          </w:tcPr>
          <w:p w14:paraId="636A6F59" w14:textId="77777777" w:rsidR="00F92A14" w:rsidRPr="002802A9" w:rsidRDefault="00F92A14" w:rsidP="00F92A14">
            <w:pPr>
              <w:spacing w:after="0" w:line="240" w:lineRule="auto"/>
              <w:ind w:firstLineChars="100" w:firstLine="112"/>
              <w:rPr>
                <w:rFonts w:ascii="Times New Roman" w:eastAsia="Times New Roman" w:hAnsi="Times New Roman" w:cs="Times New Roman"/>
                <w:color w:val="000000"/>
                <w:szCs w:val="21"/>
                <w:lang w:eastAsia="en-GB"/>
              </w:rPr>
            </w:pPr>
            <w:r w:rsidRPr="002802A9">
              <w:rPr>
                <w:rFonts w:ascii="Times New Roman" w:eastAsia="Times New Roman" w:hAnsi="Times New Roman" w:cs="Times New Roman"/>
                <w:color w:val="000000"/>
                <w:szCs w:val="21"/>
                <w:lang w:eastAsia="en-GB"/>
              </w:rPr>
              <w:t>Black</w:t>
            </w:r>
          </w:p>
        </w:tc>
        <w:tc>
          <w:tcPr>
            <w:tcW w:w="711" w:type="dxa"/>
            <w:tcBorders>
              <w:top w:val="nil"/>
              <w:left w:val="nil"/>
              <w:bottom w:val="nil"/>
              <w:right w:val="nil"/>
            </w:tcBorders>
            <w:shd w:val="clear" w:color="auto" w:fill="auto"/>
            <w:noWrap/>
            <w:vAlign w:val="bottom"/>
          </w:tcPr>
          <w:p w14:paraId="053E84AC" w14:textId="77777777" w:rsidR="00F92A14" w:rsidRPr="002802A9" w:rsidRDefault="00F92A14" w:rsidP="00F92A14">
            <w:pPr>
              <w:spacing w:after="0" w:line="240" w:lineRule="auto"/>
              <w:ind w:firstLineChars="100" w:firstLine="112"/>
              <w:rPr>
                <w:rFonts w:ascii="Times New Roman" w:eastAsia="Times New Roman" w:hAnsi="Times New Roman" w:cs="Times New Roman"/>
                <w:color w:val="000000"/>
                <w:szCs w:val="21"/>
                <w:lang w:eastAsia="en-GB"/>
              </w:rPr>
            </w:pPr>
          </w:p>
        </w:tc>
        <w:tc>
          <w:tcPr>
            <w:tcW w:w="601" w:type="dxa"/>
            <w:tcBorders>
              <w:top w:val="nil"/>
              <w:left w:val="nil"/>
              <w:bottom w:val="nil"/>
              <w:right w:val="nil"/>
            </w:tcBorders>
            <w:shd w:val="clear" w:color="auto" w:fill="auto"/>
            <w:noWrap/>
            <w:vAlign w:val="bottom"/>
          </w:tcPr>
          <w:p w14:paraId="4A747E12" w14:textId="77777777" w:rsidR="00F92A14" w:rsidRPr="002802A9" w:rsidRDefault="00F92A14" w:rsidP="00F92A14">
            <w:pPr>
              <w:spacing w:after="0" w:line="240" w:lineRule="auto"/>
              <w:ind w:firstLineChars="100" w:firstLine="112"/>
              <w:rPr>
                <w:rFonts w:ascii="Times New Roman" w:eastAsia="Times New Roman" w:hAnsi="Times New Roman" w:cs="Times New Roman"/>
                <w:szCs w:val="21"/>
                <w:lang w:eastAsia="en-GB"/>
              </w:rPr>
            </w:pPr>
          </w:p>
        </w:tc>
        <w:tc>
          <w:tcPr>
            <w:tcW w:w="772" w:type="dxa"/>
            <w:tcBorders>
              <w:top w:val="nil"/>
              <w:left w:val="nil"/>
              <w:bottom w:val="nil"/>
              <w:right w:val="nil"/>
            </w:tcBorders>
            <w:shd w:val="clear" w:color="auto" w:fill="auto"/>
            <w:noWrap/>
            <w:vAlign w:val="bottom"/>
          </w:tcPr>
          <w:p w14:paraId="72154C3B"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361A6F84"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2F34ED00"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1C74EEDF"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566" w:type="dxa"/>
            <w:tcBorders>
              <w:top w:val="nil"/>
              <w:left w:val="nil"/>
              <w:bottom w:val="nil"/>
              <w:right w:val="nil"/>
            </w:tcBorders>
            <w:shd w:val="clear" w:color="auto" w:fill="auto"/>
            <w:noWrap/>
            <w:vAlign w:val="bottom"/>
          </w:tcPr>
          <w:p w14:paraId="4CFC9AA2"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30" w:type="dxa"/>
            <w:tcBorders>
              <w:top w:val="nil"/>
              <w:left w:val="nil"/>
              <w:bottom w:val="nil"/>
              <w:right w:val="nil"/>
            </w:tcBorders>
            <w:shd w:val="clear" w:color="auto" w:fill="auto"/>
            <w:noWrap/>
            <w:vAlign w:val="bottom"/>
          </w:tcPr>
          <w:p w14:paraId="11C5067B"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416" w:type="dxa"/>
            <w:tcBorders>
              <w:top w:val="nil"/>
              <w:left w:val="nil"/>
              <w:bottom w:val="nil"/>
              <w:right w:val="nil"/>
            </w:tcBorders>
            <w:shd w:val="clear" w:color="auto" w:fill="auto"/>
            <w:noWrap/>
            <w:vAlign w:val="bottom"/>
          </w:tcPr>
          <w:p w14:paraId="4E96570D"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78967AAA"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3FECD002"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-0.14</w:t>
            </w:r>
          </w:p>
        </w:tc>
        <w:tc>
          <w:tcPr>
            <w:tcW w:w="566" w:type="dxa"/>
            <w:tcBorders>
              <w:top w:val="nil"/>
              <w:left w:val="nil"/>
              <w:bottom w:val="nil"/>
              <w:right w:val="nil"/>
            </w:tcBorders>
            <w:shd w:val="clear" w:color="auto" w:fill="auto"/>
            <w:noWrap/>
            <w:vAlign w:val="bottom"/>
          </w:tcPr>
          <w:p w14:paraId="7AF4A721"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0.44</w:t>
            </w:r>
          </w:p>
        </w:tc>
        <w:tc>
          <w:tcPr>
            <w:tcW w:w="730" w:type="dxa"/>
            <w:tcBorders>
              <w:top w:val="nil"/>
              <w:left w:val="nil"/>
              <w:bottom w:val="nil"/>
              <w:right w:val="nil"/>
            </w:tcBorders>
            <w:shd w:val="clear" w:color="auto" w:fill="auto"/>
            <w:noWrap/>
            <w:vAlign w:val="bottom"/>
          </w:tcPr>
          <w:p w14:paraId="16BC84FE"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0.87</w:t>
            </w:r>
          </w:p>
        </w:tc>
        <w:tc>
          <w:tcPr>
            <w:tcW w:w="416" w:type="dxa"/>
            <w:tcBorders>
              <w:top w:val="nil"/>
              <w:left w:val="nil"/>
              <w:bottom w:val="nil"/>
              <w:right w:val="nil"/>
            </w:tcBorders>
            <w:shd w:val="clear" w:color="auto" w:fill="auto"/>
            <w:noWrap/>
            <w:vAlign w:val="bottom"/>
          </w:tcPr>
          <w:p w14:paraId="5946BC3E" w14:textId="77777777" w:rsidR="00F92A14" w:rsidRPr="002802A9" w:rsidRDefault="00F92A14" w:rsidP="00F92A14">
            <w:pPr>
              <w:spacing w:after="0" w:line="240" w:lineRule="auto"/>
              <w:jc w:val="right"/>
              <w:rPr>
                <w:rFonts w:ascii="Times New Roman" w:eastAsia="Times New Roman" w:hAnsi="Times New Roman" w:cs="Times New Roman"/>
                <w:color w:val="000000"/>
                <w:szCs w:val="21"/>
                <w:lang w:eastAsia="en-GB"/>
              </w:rPr>
            </w:pPr>
          </w:p>
        </w:tc>
      </w:tr>
      <w:tr w:rsidR="00F92A14" w:rsidRPr="002802A9" w14:paraId="3D62B8F0" w14:textId="77777777" w:rsidTr="00F92A14">
        <w:trPr>
          <w:trHeight w:val="288"/>
          <w:jc w:val="center"/>
        </w:trPr>
        <w:tc>
          <w:tcPr>
            <w:tcW w:w="5016" w:type="dxa"/>
            <w:tcBorders>
              <w:top w:val="nil"/>
              <w:left w:val="nil"/>
              <w:bottom w:val="nil"/>
              <w:right w:val="nil"/>
            </w:tcBorders>
            <w:shd w:val="clear" w:color="auto" w:fill="auto"/>
            <w:noWrap/>
            <w:vAlign w:val="bottom"/>
            <w:hideMark/>
          </w:tcPr>
          <w:p w14:paraId="54C46410" w14:textId="77777777" w:rsidR="00F92A14" w:rsidRPr="002802A9" w:rsidRDefault="00F92A14" w:rsidP="00F92A14">
            <w:pPr>
              <w:spacing w:after="0" w:line="240" w:lineRule="auto"/>
              <w:ind w:firstLineChars="100" w:firstLine="112"/>
              <w:rPr>
                <w:rFonts w:ascii="Times New Roman" w:eastAsia="Times New Roman" w:hAnsi="Times New Roman" w:cs="Times New Roman"/>
                <w:color w:val="000000"/>
                <w:szCs w:val="21"/>
                <w:lang w:eastAsia="en-GB"/>
              </w:rPr>
            </w:pPr>
            <w:r w:rsidRPr="002802A9">
              <w:rPr>
                <w:rFonts w:ascii="Times New Roman" w:eastAsia="Times New Roman" w:hAnsi="Times New Roman" w:cs="Times New Roman"/>
                <w:color w:val="000000"/>
                <w:szCs w:val="21"/>
                <w:lang w:eastAsia="en-GB"/>
              </w:rPr>
              <w:t>Asian</w:t>
            </w:r>
          </w:p>
        </w:tc>
        <w:tc>
          <w:tcPr>
            <w:tcW w:w="711" w:type="dxa"/>
            <w:tcBorders>
              <w:top w:val="nil"/>
              <w:left w:val="nil"/>
              <w:bottom w:val="nil"/>
              <w:right w:val="nil"/>
            </w:tcBorders>
            <w:shd w:val="clear" w:color="auto" w:fill="auto"/>
            <w:noWrap/>
            <w:vAlign w:val="bottom"/>
          </w:tcPr>
          <w:p w14:paraId="0D3F9E85" w14:textId="77777777" w:rsidR="00F92A14" w:rsidRPr="002802A9" w:rsidRDefault="00F92A14" w:rsidP="00F92A14">
            <w:pPr>
              <w:spacing w:after="0" w:line="240" w:lineRule="auto"/>
              <w:ind w:firstLineChars="100" w:firstLine="112"/>
              <w:rPr>
                <w:rFonts w:ascii="Times New Roman" w:eastAsia="Times New Roman" w:hAnsi="Times New Roman" w:cs="Times New Roman"/>
                <w:color w:val="000000"/>
                <w:szCs w:val="21"/>
                <w:lang w:eastAsia="en-GB"/>
              </w:rPr>
            </w:pPr>
          </w:p>
        </w:tc>
        <w:tc>
          <w:tcPr>
            <w:tcW w:w="601" w:type="dxa"/>
            <w:tcBorders>
              <w:top w:val="nil"/>
              <w:left w:val="nil"/>
              <w:bottom w:val="nil"/>
              <w:right w:val="nil"/>
            </w:tcBorders>
            <w:shd w:val="clear" w:color="auto" w:fill="auto"/>
            <w:noWrap/>
            <w:vAlign w:val="bottom"/>
          </w:tcPr>
          <w:p w14:paraId="5CB10C96" w14:textId="77777777" w:rsidR="00F92A14" w:rsidRPr="002802A9" w:rsidRDefault="00F92A14" w:rsidP="00F92A14">
            <w:pPr>
              <w:spacing w:after="0" w:line="240" w:lineRule="auto"/>
              <w:ind w:firstLineChars="100" w:firstLine="112"/>
              <w:rPr>
                <w:rFonts w:ascii="Times New Roman" w:eastAsia="Times New Roman" w:hAnsi="Times New Roman" w:cs="Times New Roman"/>
                <w:szCs w:val="21"/>
                <w:lang w:eastAsia="en-GB"/>
              </w:rPr>
            </w:pPr>
          </w:p>
        </w:tc>
        <w:tc>
          <w:tcPr>
            <w:tcW w:w="772" w:type="dxa"/>
            <w:tcBorders>
              <w:top w:val="nil"/>
              <w:left w:val="nil"/>
              <w:bottom w:val="nil"/>
              <w:right w:val="nil"/>
            </w:tcBorders>
            <w:shd w:val="clear" w:color="auto" w:fill="auto"/>
            <w:noWrap/>
            <w:vAlign w:val="bottom"/>
          </w:tcPr>
          <w:p w14:paraId="0F3CC025"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28A40344"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371E078B"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1614300C"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566" w:type="dxa"/>
            <w:tcBorders>
              <w:top w:val="nil"/>
              <w:left w:val="nil"/>
              <w:bottom w:val="nil"/>
              <w:right w:val="nil"/>
            </w:tcBorders>
            <w:shd w:val="clear" w:color="auto" w:fill="auto"/>
            <w:noWrap/>
            <w:vAlign w:val="bottom"/>
          </w:tcPr>
          <w:p w14:paraId="1F83F9F4"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30" w:type="dxa"/>
            <w:tcBorders>
              <w:top w:val="nil"/>
              <w:left w:val="nil"/>
              <w:bottom w:val="nil"/>
              <w:right w:val="nil"/>
            </w:tcBorders>
            <w:shd w:val="clear" w:color="auto" w:fill="auto"/>
            <w:noWrap/>
            <w:vAlign w:val="bottom"/>
          </w:tcPr>
          <w:p w14:paraId="2518C4F5"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416" w:type="dxa"/>
            <w:tcBorders>
              <w:top w:val="nil"/>
              <w:left w:val="nil"/>
              <w:bottom w:val="nil"/>
              <w:right w:val="nil"/>
            </w:tcBorders>
            <w:shd w:val="clear" w:color="auto" w:fill="auto"/>
            <w:noWrap/>
            <w:vAlign w:val="bottom"/>
          </w:tcPr>
          <w:p w14:paraId="4248B123"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79C06626"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651BC939"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0.00</w:t>
            </w:r>
          </w:p>
        </w:tc>
        <w:tc>
          <w:tcPr>
            <w:tcW w:w="566" w:type="dxa"/>
            <w:tcBorders>
              <w:top w:val="nil"/>
              <w:left w:val="nil"/>
              <w:bottom w:val="nil"/>
              <w:right w:val="nil"/>
            </w:tcBorders>
            <w:shd w:val="clear" w:color="auto" w:fill="auto"/>
            <w:noWrap/>
            <w:vAlign w:val="bottom"/>
          </w:tcPr>
          <w:p w14:paraId="76036EA3"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0.21</w:t>
            </w:r>
          </w:p>
        </w:tc>
        <w:tc>
          <w:tcPr>
            <w:tcW w:w="730" w:type="dxa"/>
            <w:tcBorders>
              <w:top w:val="nil"/>
              <w:left w:val="nil"/>
              <w:bottom w:val="nil"/>
              <w:right w:val="nil"/>
            </w:tcBorders>
            <w:shd w:val="clear" w:color="auto" w:fill="auto"/>
            <w:noWrap/>
            <w:vAlign w:val="bottom"/>
          </w:tcPr>
          <w:p w14:paraId="7CB868BC"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1.00</w:t>
            </w:r>
          </w:p>
        </w:tc>
        <w:tc>
          <w:tcPr>
            <w:tcW w:w="416" w:type="dxa"/>
            <w:tcBorders>
              <w:top w:val="nil"/>
              <w:left w:val="nil"/>
              <w:bottom w:val="nil"/>
              <w:right w:val="nil"/>
            </w:tcBorders>
            <w:shd w:val="clear" w:color="auto" w:fill="auto"/>
            <w:noWrap/>
            <w:vAlign w:val="bottom"/>
          </w:tcPr>
          <w:p w14:paraId="4996E883" w14:textId="77777777" w:rsidR="00F92A14" w:rsidRPr="002802A9" w:rsidRDefault="00F92A14" w:rsidP="00F92A14">
            <w:pPr>
              <w:spacing w:after="0" w:line="240" w:lineRule="auto"/>
              <w:jc w:val="right"/>
              <w:rPr>
                <w:rFonts w:ascii="Times New Roman" w:eastAsia="Times New Roman" w:hAnsi="Times New Roman" w:cs="Times New Roman"/>
                <w:color w:val="000000"/>
                <w:szCs w:val="21"/>
                <w:lang w:eastAsia="en-GB"/>
              </w:rPr>
            </w:pPr>
          </w:p>
        </w:tc>
      </w:tr>
      <w:tr w:rsidR="00F92A14" w:rsidRPr="002802A9" w14:paraId="2F167901" w14:textId="77777777" w:rsidTr="00F92A14">
        <w:trPr>
          <w:trHeight w:val="288"/>
          <w:jc w:val="center"/>
        </w:trPr>
        <w:tc>
          <w:tcPr>
            <w:tcW w:w="5016" w:type="dxa"/>
            <w:tcBorders>
              <w:top w:val="nil"/>
              <w:left w:val="nil"/>
              <w:bottom w:val="nil"/>
              <w:right w:val="nil"/>
            </w:tcBorders>
            <w:shd w:val="clear" w:color="auto" w:fill="auto"/>
            <w:noWrap/>
            <w:vAlign w:val="bottom"/>
            <w:hideMark/>
          </w:tcPr>
          <w:p w14:paraId="0F5DB6BE" w14:textId="77777777" w:rsidR="00F92A14" w:rsidRPr="002802A9" w:rsidRDefault="00F92A14" w:rsidP="00F92A14">
            <w:pPr>
              <w:spacing w:after="0" w:line="240" w:lineRule="auto"/>
              <w:ind w:firstLineChars="100" w:firstLine="112"/>
              <w:rPr>
                <w:rFonts w:ascii="Times New Roman" w:eastAsia="Times New Roman" w:hAnsi="Times New Roman" w:cs="Times New Roman"/>
                <w:color w:val="000000"/>
                <w:szCs w:val="21"/>
                <w:lang w:eastAsia="en-GB"/>
              </w:rPr>
            </w:pPr>
            <w:r w:rsidRPr="002802A9">
              <w:rPr>
                <w:rFonts w:ascii="Times New Roman" w:eastAsia="Times New Roman" w:hAnsi="Times New Roman" w:cs="Times New Roman"/>
                <w:color w:val="000000"/>
                <w:szCs w:val="21"/>
                <w:lang w:eastAsia="en-GB"/>
              </w:rPr>
              <w:t>Mixed</w:t>
            </w:r>
          </w:p>
        </w:tc>
        <w:tc>
          <w:tcPr>
            <w:tcW w:w="711" w:type="dxa"/>
            <w:tcBorders>
              <w:top w:val="nil"/>
              <w:left w:val="nil"/>
              <w:bottom w:val="nil"/>
              <w:right w:val="nil"/>
            </w:tcBorders>
            <w:shd w:val="clear" w:color="auto" w:fill="auto"/>
            <w:noWrap/>
            <w:vAlign w:val="bottom"/>
          </w:tcPr>
          <w:p w14:paraId="19384B8D" w14:textId="77777777" w:rsidR="00F92A14" w:rsidRPr="002802A9" w:rsidRDefault="00F92A14" w:rsidP="00F92A14">
            <w:pPr>
              <w:spacing w:after="0" w:line="240" w:lineRule="auto"/>
              <w:ind w:firstLineChars="100" w:firstLine="112"/>
              <w:rPr>
                <w:rFonts w:ascii="Times New Roman" w:eastAsia="Times New Roman" w:hAnsi="Times New Roman" w:cs="Times New Roman"/>
                <w:color w:val="000000"/>
                <w:szCs w:val="21"/>
                <w:lang w:eastAsia="en-GB"/>
              </w:rPr>
            </w:pPr>
          </w:p>
        </w:tc>
        <w:tc>
          <w:tcPr>
            <w:tcW w:w="601" w:type="dxa"/>
            <w:tcBorders>
              <w:top w:val="nil"/>
              <w:left w:val="nil"/>
              <w:bottom w:val="nil"/>
              <w:right w:val="nil"/>
            </w:tcBorders>
            <w:shd w:val="clear" w:color="auto" w:fill="auto"/>
            <w:noWrap/>
            <w:vAlign w:val="bottom"/>
          </w:tcPr>
          <w:p w14:paraId="1FB7205D" w14:textId="77777777" w:rsidR="00F92A14" w:rsidRPr="002802A9" w:rsidRDefault="00F92A14" w:rsidP="00F92A14">
            <w:pPr>
              <w:spacing w:after="0" w:line="240" w:lineRule="auto"/>
              <w:ind w:firstLineChars="100" w:firstLine="112"/>
              <w:rPr>
                <w:rFonts w:ascii="Times New Roman" w:eastAsia="Times New Roman" w:hAnsi="Times New Roman" w:cs="Times New Roman"/>
                <w:szCs w:val="21"/>
                <w:lang w:eastAsia="en-GB"/>
              </w:rPr>
            </w:pPr>
          </w:p>
        </w:tc>
        <w:tc>
          <w:tcPr>
            <w:tcW w:w="772" w:type="dxa"/>
            <w:tcBorders>
              <w:top w:val="nil"/>
              <w:left w:val="nil"/>
              <w:bottom w:val="nil"/>
              <w:right w:val="nil"/>
            </w:tcBorders>
            <w:shd w:val="clear" w:color="auto" w:fill="auto"/>
            <w:noWrap/>
            <w:vAlign w:val="bottom"/>
          </w:tcPr>
          <w:p w14:paraId="4F6155D8"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642712F0"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4A0E685D"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25C69632"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566" w:type="dxa"/>
            <w:tcBorders>
              <w:top w:val="nil"/>
              <w:left w:val="nil"/>
              <w:bottom w:val="nil"/>
              <w:right w:val="nil"/>
            </w:tcBorders>
            <w:shd w:val="clear" w:color="auto" w:fill="auto"/>
            <w:noWrap/>
            <w:vAlign w:val="bottom"/>
          </w:tcPr>
          <w:p w14:paraId="4E7CD0E8"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30" w:type="dxa"/>
            <w:tcBorders>
              <w:top w:val="nil"/>
              <w:left w:val="nil"/>
              <w:bottom w:val="nil"/>
              <w:right w:val="nil"/>
            </w:tcBorders>
            <w:shd w:val="clear" w:color="auto" w:fill="auto"/>
            <w:noWrap/>
            <w:vAlign w:val="bottom"/>
          </w:tcPr>
          <w:p w14:paraId="25673ED5"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416" w:type="dxa"/>
            <w:tcBorders>
              <w:top w:val="nil"/>
              <w:left w:val="nil"/>
              <w:bottom w:val="nil"/>
              <w:right w:val="nil"/>
            </w:tcBorders>
            <w:shd w:val="clear" w:color="auto" w:fill="auto"/>
            <w:noWrap/>
            <w:vAlign w:val="bottom"/>
          </w:tcPr>
          <w:p w14:paraId="04E23019"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tcPr>
          <w:p w14:paraId="745BE3D4"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tcPr>
          <w:p w14:paraId="0440376D"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0.53</w:t>
            </w:r>
          </w:p>
        </w:tc>
        <w:tc>
          <w:tcPr>
            <w:tcW w:w="566" w:type="dxa"/>
            <w:tcBorders>
              <w:top w:val="nil"/>
              <w:left w:val="nil"/>
              <w:bottom w:val="nil"/>
              <w:right w:val="nil"/>
            </w:tcBorders>
            <w:shd w:val="clear" w:color="auto" w:fill="auto"/>
            <w:noWrap/>
            <w:vAlign w:val="bottom"/>
          </w:tcPr>
          <w:p w14:paraId="2E9B0A5E"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0.26</w:t>
            </w:r>
          </w:p>
        </w:tc>
        <w:tc>
          <w:tcPr>
            <w:tcW w:w="730" w:type="dxa"/>
            <w:tcBorders>
              <w:top w:val="nil"/>
              <w:left w:val="nil"/>
              <w:bottom w:val="nil"/>
              <w:right w:val="nil"/>
            </w:tcBorders>
            <w:shd w:val="clear" w:color="auto" w:fill="auto"/>
            <w:noWrap/>
            <w:vAlign w:val="bottom"/>
          </w:tcPr>
          <w:p w14:paraId="0CE993B7" w14:textId="77777777" w:rsidR="00F92A14" w:rsidRPr="00192108" w:rsidRDefault="00F92A14" w:rsidP="00F92A14">
            <w:pPr>
              <w:spacing w:after="0" w:line="240" w:lineRule="auto"/>
              <w:jc w:val="right"/>
              <w:rPr>
                <w:rFonts w:ascii="Times New Roman" w:hAnsi="Times New Roman" w:cs="Times New Roman"/>
                <w:color w:val="000000"/>
                <w:sz w:val="20"/>
              </w:rPr>
            </w:pPr>
            <w:r w:rsidRPr="00192108">
              <w:rPr>
                <w:rFonts w:ascii="Times New Roman" w:hAnsi="Times New Roman" w:cs="Times New Roman"/>
                <w:color w:val="000000"/>
                <w:sz w:val="20"/>
              </w:rPr>
              <w:t>1.70</w:t>
            </w:r>
          </w:p>
        </w:tc>
        <w:tc>
          <w:tcPr>
            <w:tcW w:w="416" w:type="dxa"/>
            <w:tcBorders>
              <w:top w:val="nil"/>
              <w:left w:val="nil"/>
              <w:bottom w:val="nil"/>
              <w:right w:val="nil"/>
            </w:tcBorders>
            <w:shd w:val="clear" w:color="auto" w:fill="auto"/>
            <w:noWrap/>
            <w:vAlign w:val="bottom"/>
          </w:tcPr>
          <w:p w14:paraId="77D4859B"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r w:rsidRPr="00DF655B">
              <w:rPr>
                <w:rFonts w:ascii="Times New Roman" w:eastAsia="Times New Roman" w:hAnsi="Times New Roman" w:cs="Times New Roman"/>
                <w:color w:val="000000"/>
                <w:sz w:val="20"/>
                <w:szCs w:val="21"/>
                <w:lang w:eastAsia="en-GB"/>
              </w:rPr>
              <w:t>*</w:t>
            </w:r>
          </w:p>
        </w:tc>
      </w:tr>
      <w:tr w:rsidR="00F92A14" w:rsidRPr="002802A9" w14:paraId="55AE5919" w14:textId="77777777" w:rsidTr="00F92A14">
        <w:trPr>
          <w:trHeight w:val="288"/>
          <w:jc w:val="center"/>
        </w:trPr>
        <w:tc>
          <w:tcPr>
            <w:tcW w:w="5016" w:type="dxa"/>
            <w:tcBorders>
              <w:top w:val="nil"/>
              <w:left w:val="nil"/>
              <w:bottom w:val="nil"/>
              <w:right w:val="nil"/>
            </w:tcBorders>
            <w:shd w:val="clear" w:color="auto" w:fill="auto"/>
            <w:noWrap/>
            <w:vAlign w:val="bottom"/>
          </w:tcPr>
          <w:p w14:paraId="0C2CF235"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p>
        </w:tc>
        <w:tc>
          <w:tcPr>
            <w:tcW w:w="711" w:type="dxa"/>
            <w:tcBorders>
              <w:top w:val="nil"/>
              <w:left w:val="nil"/>
              <w:bottom w:val="nil"/>
              <w:right w:val="nil"/>
            </w:tcBorders>
            <w:shd w:val="clear" w:color="auto" w:fill="auto"/>
            <w:noWrap/>
            <w:vAlign w:val="bottom"/>
          </w:tcPr>
          <w:p w14:paraId="3354A2BD" w14:textId="77777777" w:rsidR="00F92A14" w:rsidRPr="00E93974" w:rsidRDefault="00F92A14" w:rsidP="00F92A14">
            <w:pPr>
              <w:spacing w:after="0" w:line="240" w:lineRule="auto"/>
              <w:jc w:val="right"/>
              <w:rPr>
                <w:rFonts w:ascii="Times New Roman" w:eastAsia="Times New Roman" w:hAnsi="Times New Roman" w:cs="Times New Roman"/>
                <w:color w:val="000000"/>
                <w:sz w:val="20"/>
                <w:szCs w:val="21"/>
                <w:lang w:eastAsia="en-GB"/>
              </w:rPr>
            </w:pPr>
          </w:p>
        </w:tc>
        <w:tc>
          <w:tcPr>
            <w:tcW w:w="601" w:type="dxa"/>
            <w:tcBorders>
              <w:top w:val="nil"/>
              <w:left w:val="nil"/>
              <w:bottom w:val="nil"/>
              <w:right w:val="nil"/>
            </w:tcBorders>
            <w:shd w:val="clear" w:color="auto" w:fill="auto"/>
            <w:noWrap/>
            <w:vAlign w:val="bottom"/>
          </w:tcPr>
          <w:p w14:paraId="50F3EB13" w14:textId="77777777" w:rsidR="00F92A14" w:rsidRPr="00E93974" w:rsidRDefault="00F92A14" w:rsidP="00F92A14">
            <w:pPr>
              <w:spacing w:after="0" w:line="240" w:lineRule="auto"/>
              <w:jc w:val="right"/>
              <w:rPr>
                <w:rFonts w:ascii="Times New Roman" w:eastAsia="Times New Roman" w:hAnsi="Times New Roman" w:cs="Times New Roman"/>
                <w:color w:val="000000"/>
                <w:sz w:val="20"/>
                <w:szCs w:val="21"/>
                <w:lang w:eastAsia="en-GB"/>
              </w:rPr>
            </w:pPr>
          </w:p>
        </w:tc>
        <w:tc>
          <w:tcPr>
            <w:tcW w:w="772" w:type="dxa"/>
            <w:tcBorders>
              <w:top w:val="nil"/>
              <w:left w:val="nil"/>
              <w:bottom w:val="nil"/>
              <w:right w:val="nil"/>
            </w:tcBorders>
            <w:shd w:val="clear" w:color="auto" w:fill="auto"/>
            <w:noWrap/>
            <w:vAlign w:val="bottom"/>
          </w:tcPr>
          <w:p w14:paraId="388E1D82" w14:textId="77777777" w:rsidR="00F92A14" w:rsidRPr="00E93974" w:rsidRDefault="00F92A14" w:rsidP="00F92A14">
            <w:pPr>
              <w:spacing w:after="0" w:line="240" w:lineRule="auto"/>
              <w:jc w:val="right"/>
              <w:rPr>
                <w:rFonts w:ascii="Times New Roman" w:eastAsia="Times New Roman" w:hAnsi="Times New Roman" w:cs="Times New Roman"/>
                <w:color w:val="000000"/>
                <w:sz w:val="20"/>
                <w:szCs w:val="21"/>
                <w:lang w:eastAsia="en-GB"/>
              </w:rPr>
            </w:pPr>
          </w:p>
        </w:tc>
        <w:tc>
          <w:tcPr>
            <w:tcW w:w="542" w:type="dxa"/>
            <w:gridSpan w:val="2"/>
            <w:tcBorders>
              <w:top w:val="nil"/>
              <w:left w:val="nil"/>
              <w:bottom w:val="nil"/>
              <w:right w:val="nil"/>
            </w:tcBorders>
            <w:shd w:val="clear" w:color="auto" w:fill="auto"/>
            <w:noWrap/>
            <w:vAlign w:val="bottom"/>
          </w:tcPr>
          <w:p w14:paraId="3F0EC364" w14:textId="77777777" w:rsidR="00F92A14" w:rsidRPr="00E93974" w:rsidRDefault="00F92A14" w:rsidP="00F92A14">
            <w:pPr>
              <w:spacing w:after="0" w:line="240" w:lineRule="auto"/>
              <w:rPr>
                <w:rFonts w:ascii="Times New Roman" w:eastAsia="Times New Roman" w:hAnsi="Times New Roman" w:cs="Times New Roman"/>
                <w:color w:val="000000"/>
                <w:sz w:val="20"/>
                <w:szCs w:val="21"/>
                <w:lang w:eastAsia="en-GB"/>
              </w:rPr>
            </w:pPr>
          </w:p>
        </w:tc>
        <w:tc>
          <w:tcPr>
            <w:tcW w:w="666" w:type="dxa"/>
            <w:tcBorders>
              <w:top w:val="nil"/>
              <w:left w:val="nil"/>
              <w:bottom w:val="nil"/>
              <w:right w:val="nil"/>
            </w:tcBorders>
            <w:shd w:val="clear" w:color="auto" w:fill="auto"/>
            <w:noWrap/>
            <w:vAlign w:val="bottom"/>
          </w:tcPr>
          <w:p w14:paraId="346AB1E3" w14:textId="77777777" w:rsidR="00F92A14" w:rsidRPr="00E93974" w:rsidRDefault="00F92A14" w:rsidP="00F92A14">
            <w:pPr>
              <w:spacing w:after="0" w:line="240" w:lineRule="auto"/>
              <w:jc w:val="right"/>
              <w:rPr>
                <w:rFonts w:ascii="Times New Roman" w:eastAsia="Times New Roman" w:hAnsi="Times New Roman" w:cs="Times New Roman"/>
                <w:color w:val="000000"/>
                <w:sz w:val="20"/>
                <w:szCs w:val="21"/>
                <w:lang w:eastAsia="en-GB"/>
              </w:rPr>
            </w:pPr>
          </w:p>
        </w:tc>
        <w:tc>
          <w:tcPr>
            <w:tcW w:w="566" w:type="dxa"/>
            <w:tcBorders>
              <w:top w:val="nil"/>
              <w:left w:val="nil"/>
              <w:bottom w:val="nil"/>
              <w:right w:val="nil"/>
            </w:tcBorders>
            <w:shd w:val="clear" w:color="auto" w:fill="auto"/>
            <w:noWrap/>
            <w:vAlign w:val="bottom"/>
          </w:tcPr>
          <w:p w14:paraId="7C373424" w14:textId="77777777" w:rsidR="00F92A14" w:rsidRPr="00E93974" w:rsidRDefault="00F92A14" w:rsidP="00F92A14">
            <w:pPr>
              <w:spacing w:after="0" w:line="240" w:lineRule="auto"/>
              <w:jc w:val="right"/>
              <w:rPr>
                <w:rFonts w:ascii="Times New Roman" w:eastAsia="Times New Roman" w:hAnsi="Times New Roman" w:cs="Times New Roman"/>
                <w:color w:val="000000"/>
                <w:sz w:val="20"/>
                <w:szCs w:val="21"/>
                <w:lang w:eastAsia="en-GB"/>
              </w:rPr>
            </w:pPr>
          </w:p>
        </w:tc>
        <w:tc>
          <w:tcPr>
            <w:tcW w:w="730" w:type="dxa"/>
            <w:tcBorders>
              <w:top w:val="nil"/>
              <w:left w:val="nil"/>
              <w:bottom w:val="nil"/>
              <w:right w:val="nil"/>
            </w:tcBorders>
            <w:shd w:val="clear" w:color="auto" w:fill="auto"/>
            <w:noWrap/>
            <w:vAlign w:val="bottom"/>
          </w:tcPr>
          <w:p w14:paraId="6CD851BF" w14:textId="77777777" w:rsidR="00F92A14" w:rsidRDefault="00F92A14" w:rsidP="00F92A14">
            <w:pPr>
              <w:spacing w:after="0" w:line="240" w:lineRule="auto"/>
              <w:jc w:val="right"/>
              <w:rPr>
                <w:rFonts w:ascii="Times New Roman" w:eastAsia="Times New Roman" w:hAnsi="Times New Roman" w:cs="Times New Roman"/>
                <w:color w:val="000000"/>
                <w:sz w:val="20"/>
                <w:szCs w:val="21"/>
                <w:lang w:eastAsia="en-GB"/>
              </w:rPr>
            </w:pPr>
          </w:p>
        </w:tc>
        <w:tc>
          <w:tcPr>
            <w:tcW w:w="687" w:type="dxa"/>
            <w:gridSpan w:val="2"/>
            <w:tcBorders>
              <w:top w:val="nil"/>
              <w:left w:val="nil"/>
              <w:bottom w:val="nil"/>
              <w:right w:val="nil"/>
            </w:tcBorders>
            <w:shd w:val="clear" w:color="auto" w:fill="auto"/>
            <w:noWrap/>
            <w:vAlign w:val="bottom"/>
          </w:tcPr>
          <w:p w14:paraId="41C4F237" w14:textId="77777777" w:rsidR="00F92A14" w:rsidRPr="00E93974" w:rsidRDefault="00F92A14" w:rsidP="00F92A14">
            <w:pPr>
              <w:spacing w:after="0" w:line="240" w:lineRule="auto"/>
              <w:rPr>
                <w:rFonts w:ascii="Times New Roman" w:eastAsia="Times New Roman" w:hAnsi="Times New Roman" w:cs="Times New Roman"/>
                <w:color w:val="000000"/>
                <w:sz w:val="20"/>
                <w:szCs w:val="21"/>
                <w:lang w:eastAsia="en-GB"/>
              </w:rPr>
            </w:pPr>
          </w:p>
        </w:tc>
        <w:tc>
          <w:tcPr>
            <w:tcW w:w="666" w:type="dxa"/>
            <w:tcBorders>
              <w:top w:val="nil"/>
              <w:left w:val="nil"/>
              <w:bottom w:val="nil"/>
              <w:right w:val="nil"/>
            </w:tcBorders>
            <w:shd w:val="clear" w:color="auto" w:fill="auto"/>
            <w:noWrap/>
            <w:vAlign w:val="bottom"/>
          </w:tcPr>
          <w:p w14:paraId="3B8CFC20" w14:textId="77777777" w:rsidR="00F92A14" w:rsidRDefault="00F92A14" w:rsidP="00F92A14">
            <w:pPr>
              <w:spacing w:after="0" w:line="240" w:lineRule="auto"/>
              <w:jc w:val="right"/>
              <w:rPr>
                <w:rFonts w:ascii="Times New Roman" w:eastAsia="Times New Roman" w:hAnsi="Times New Roman" w:cs="Times New Roman"/>
                <w:color w:val="000000"/>
                <w:sz w:val="20"/>
                <w:szCs w:val="21"/>
                <w:lang w:eastAsia="en-GB"/>
              </w:rPr>
            </w:pPr>
          </w:p>
        </w:tc>
        <w:tc>
          <w:tcPr>
            <w:tcW w:w="566" w:type="dxa"/>
            <w:tcBorders>
              <w:top w:val="nil"/>
              <w:left w:val="nil"/>
              <w:bottom w:val="nil"/>
              <w:right w:val="nil"/>
            </w:tcBorders>
            <w:shd w:val="clear" w:color="auto" w:fill="auto"/>
            <w:noWrap/>
            <w:vAlign w:val="bottom"/>
          </w:tcPr>
          <w:p w14:paraId="2AB130CB" w14:textId="77777777" w:rsidR="00F92A14" w:rsidRDefault="00F92A14" w:rsidP="00F92A14">
            <w:pPr>
              <w:spacing w:after="0" w:line="240" w:lineRule="auto"/>
              <w:jc w:val="right"/>
              <w:rPr>
                <w:rFonts w:ascii="Times New Roman" w:eastAsia="Times New Roman" w:hAnsi="Times New Roman" w:cs="Times New Roman"/>
                <w:color w:val="000000"/>
                <w:sz w:val="20"/>
                <w:szCs w:val="21"/>
                <w:lang w:eastAsia="en-GB"/>
              </w:rPr>
            </w:pPr>
          </w:p>
        </w:tc>
        <w:tc>
          <w:tcPr>
            <w:tcW w:w="730" w:type="dxa"/>
            <w:tcBorders>
              <w:top w:val="nil"/>
              <w:left w:val="nil"/>
              <w:bottom w:val="nil"/>
              <w:right w:val="nil"/>
            </w:tcBorders>
            <w:shd w:val="clear" w:color="auto" w:fill="auto"/>
            <w:noWrap/>
            <w:vAlign w:val="bottom"/>
          </w:tcPr>
          <w:p w14:paraId="6AA99510" w14:textId="77777777" w:rsidR="00F92A14" w:rsidRPr="00E93974" w:rsidRDefault="00F92A14" w:rsidP="00F92A14">
            <w:pPr>
              <w:spacing w:after="0" w:line="240" w:lineRule="auto"/>
              <w:jc w:val="right"/>
              <w:rPr>
                <w:rFonts w:ascii="Times New Roman" w:eastAsia="Times New Roman" w:hAnsi="Times New Roman" w:cs="Times New Roman"/>
                <w:color w:val="000000"/>
                <w:sz w:val="20"/>
                <w:szCs w:val="21"/>
                <w:lang w:eastAsia="en-GB"/>
              </w:rPr>
            </w:pPr>
          </w:p>
        </w:tc>
        <w:tc>
          <w:tcPr>
            <w:tcW w:w="416" w:type="dxa"/>
            <w:tcBorders>
              <w:top w:val="nil"/>
              <w:left w:val="nil"/>
              <w:bottom w:val="nil"/>
              <w:right w:val="nil"/>
            </w:tcBorders>
            <w:shd w:val="clear" w:color="auto" w:fill="auto"/>
            <w:noWrap/>
            <w:vAlign w:val="bottom"/>
          </w:tcPr>
          <w:p w14:paraId="06C8854C" w14:textId="77777777" w:rsidR="00F92A14" w:rsidRPr="00E93974" w:rsidRDefault="00F92A14" w:rsidP="00F92A14">
            <w:pPr>
              <w:spacing w:after="0" w:line="240" w:lineRule="auto"/>
              <w:rPr>
                <w:rFonts w:ascii="Times New Roman" w:eastAsia="Times New Roman" w:hAnsi="Times New Roman" w:cs="Times New Roman"/>
                <w:sz w:val="20"/>
                <w:szCs w:val="21"/>
                <w:lang w:eastAsia="en-GB"/>
              </w:rPr>
            </w:pPr>
          </w:p>
        </w:tc>
      </w:tr>
      <w:tr w:rsidR="00F92A14" w:rsidRPr="002802A9" w14:paraId="7872BF8F" w14:textId="77777777" w:rsidTr="00F92A14">
        <w:trPr>
          <w:trHeight w:val="288"/>
          <w:jc w:val="center"/>
        </w:trPr>
        <w:tc>
          <w:tcPr>
            <w:tcW w:w="5016" w:type="dxa"/>
            <w:tcBorders>
              <w:top w:val="nil"/>
              <w:left w:val="nil"/>
              <w:bottom w:val="nil"/>
              <w:right w:val="nil"/>
            </w:tcBorders>
            <w:shd w:val="clear" w:color="auto" w:fill="auto"/>
            <w:noWrap/>
            <w:vAlign w:val="bottom"/>
            <w:hideMark/>
          </w:tcPr>
          <w:p w14:paraId="1C9CFF88"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r w:rsidRPr="002802A9">
              <w:rPr>
                <w:rFonts w:ascii="Times New Roman" w:eastAsia="Times New Roman" w:hAnsi="Times New Roman" w:cs="Times New Roman"/>
                <w:color w:val="000000"/>
                <w:szCs w:val="21"/>
                <w:lang w:eastAsia="en-GB"/>
              </w:rPr>
              <w:t>Constant</w:t>
            </w:r>
          </w:p>
        </w:tc>
        <w:tc>
          <w:tcPr>
            <w:tcW w:w="711" w:type="dxa"/>
            <w:tcBorders>
              <w:top w:val="nil"/>
              <w:left w:val="nil"/>
              <w:bottom w:val="nil"/>
              <w:right w:val="nil"/>
            </w:tcBorders>
            <w:shd w:val="clear" w:color="auto" w:fill="auto"/>
            <w:noWrap/>
            <w:vAlign w:val="bottom"/>
          </w:tcPr>
          <w:p w14:paraId="4E03CA04" w14:textId="77777777" w:rsidR="00F92A14" w:rsidRPr="00E93974" w:rsidRDefault="00F92A14" w:rsidP="00F92A14">
            <w:pPr>
              <w:spacing w:after="0" w:line="240" w:lineRule="auto"/>
              <w:jc w:val="right"/>
              <w:rPr>
                <w:rFonts w:ascii="Times New Roman" w:eastAsia="Times New Roman" w:hAnsi="Times New Roman" w:cs="Times New Roman"/>
                <w:color w:val="000000"/>
                <w:sz w:val="20"/>
                <w:szCs w:val="21"/>
                <w:lang w:eastAsia="en-GB"/>
              </w:rPr>
            </w:pPr>
            <w:r w:rsidRPr="00E93974">
              <w:rPr>
                <w:rFonts w:ascii="Times New Roman" w:eastAsia="Times New Roman" w:hAnsi="Times New Roman" w:cs="Times New Roman"/>
                <w:color w:val="000000"/>
                <w:sz w:val="20"/>
                <w:szCs w:val="21"/>
                <w:lang w:eastAsia="en-GB"/>
              </w:rPr>
              <w:t>-0.46</w:t>
            </w:r>
          </w:p>
        </w:tc>
        <w:tc>
          <w:tcPr>
            <w:tcW w:w="601" w:type="dxa"/>
            <w:tcBorders>
              <w:top w:val="nil"/>
              <w:left w:val="nil"/>
              <w:bottom w:val="nil"/>
              <w:right w:val="nil"/>
            </w:tcBorders>
            <w:shd w:val="clear" w:color="auto" w:fill="auto"/>
            <w:noWrap/>
            <w:vAlign w:val="bottom"/>
          </w:tcPr>
          <w:p w14:paraId="0269CB7B" w14:textId="77777777" w:rsidR="00F92A14" w:rsidRPr="00E93974" w:rsidRDefault="00F92A14" w:rsidP="00F92A14">
            <w:pPr>
              <w:spacing w:after="0" w:line="240" w:lineRule="auto"/>
              <w:jc w:val="right"/>
              <w:rPr>
                <w:rFonts w:ascii="Times New Roman" w:eastAsia="Times New Roman" w:hAnsi="Times New Roman" w:cs="Times New Roman"/>
                <w:color w:val="000000"/>
                <w:sz w:val="20"/>
                <w:szCs w:val="21"/>
                <w:lang w:eastAsia="en-GB"/>
              </w:rPr>
            </w:pPr>
            <w:r w:rsidRPr="00E93974">
              <w:rPr>
                <w:rFonts w:ascii="Times New Roman" w:eastAsia="Times New Roman" w:hAnsi="Times New Roman" w:cs="Times New Roman"/>
                <w:color w:val="000000"/>
                <w:sz w:val="20"/>
                <w:szCs w:val="21"/>
                <w:lang w:eastAsia="en-GB"/>
              </w:rPr>
              <w:t>0.08</w:t>
            </w:r>
          </w:p>
        </w:tc>
        <w:tc>
          <w:tcPr>
            <w:tcW w:w="772" w:type="dxa"/>
            <w:tcBorders>
              <w:top w:val="nil"/>
              <w:left w:val="nil"/>
              <w:bottom w:val="nil"/>
              <w:right w:val="nil"/>
            </w:tcBorders>
            <w:shd w:val="clear" w:color="auto" w:fill="auto"/>
            <w:noWrap/>
            <w:vAlign w:val="bottom"/>
          </w:tcPr>
          <w:p w14:paraId="2FAFE0DC" w14:textId="77777777" w:rsidR="00F92A14" w:rsidRPr="00E93974" w:rsidRDefault="00F92A14" w:rsidP="00F92A14">
            <w:pPr>
              <w:spacing w:after="0" w:line="240" w:lineRule="auto"/>
              <w:jc w:val="right"/>
              <w:rPr>
                <w:rFonts w:ascii="Times New Roman" w:eastAsia="Times New Roman" w:hAnsi="Times New Roman" w:cs="Times New Roman"/>
                <w:color w:val="000000"/>
                <w:sz w:val="20"/>
                <w:szCs w:val="21"/>
                <w:lang w:eastAsia="en-GB"/>
              </w:rPr>
            </w:pPr>
          </w:p>
        </w:tc>
        <w:tc>
          <w:tcPr>
            <w:tcW w:w="542" w:type="dxa"/>
            <w:gridSpan w:val="2"/>
            <w:tcBorders>
              <w:top w:val="nil"/>
              <w:left w:val="nil"/>
              <w:bottom w:val="nil"/>
              <w:right w:val="nil"/>
            </w:tcBorders>
            <w:shd w:val="clear" w:color="auto" w:fill="auto"/>
            <w:noWrap/>
            <w:vAlign w:val="bottom"/>
          </w:tcPr>
          <w:p w14:paraId="09523417" w14:textId="77777777" w:rsidR="00F92A14" w:rsidRPr="00E93974" w:rsidRDefault="00F92A14" w:rsidP="00F92A14">
            <w:pPr>
              <w:spacing w:after="0" w:line="240" w:lineRule="auto"/>
              <w:rPr>
                <w:rFonts w:ascii="Times New Roman" w:eastAsia="Times New Roman" w:hAnsi="Times New Roman" w:cs="Times New Roman"/>
                <w:color w:val="000000"/>
                <w:sz w:val="20"/>
                <w:szCs w:val="21"/>
                <w:lang w:eastAsia="en-GB"/>
              </w:rPr>
            </w:pPr>
            <w:r w:rsidRPr="00E93974">
              <w:rPr>
                <w:rFonts w:ascii="Times New Roman" w:eastAsia="Times New Roman" w:hAnsi="Times New Roman" w:cs="Times New Roman"/>
                <w:color w:val="000000"/>
                <w:sz w:val="20"/>
                <w:szCs w:val="21"/>
                <w:lang w:eastAsia="en-GB"/>
              </w:rPr>
              <w:t>**</w:t>
            </w:r>
          </w:p>
        </w:tc>
        <w:tc>
          <w:tcPr>
            <w:tcW w:w="666" w:type="dxa"/>
            <w:tcBorders>
              <w:top w:val="nil"/>
              <w:left w:val="nil"/>
              <w:bottom w:val="nil"/>
              <w:right w:val="nil"/>
            </w:tcBorders>
            <w:shd w:val="clear" w:color="auto" w:fill="auto"/>
            <w:noWrap/>
            <w:vAlign w:val="bottom"/>
          </w:tcPr>
          <w:p w14:paraId="31A50A82" w14:textId="77777777" w:rsidR="00F92A14" w:rsidRPr="00E93974" w:rsidRDefault="00F92A14" w:rsidP="00F92A14">
            <w:pPr>
              <w:spacing w:after="0" w:line="240" w:lineRule="auto"/>
              <w:jc w:val="right"/>
              <w:rPr>
                <w:rFonts w:ascii="Times New Roman" w:eastAsia="Times New Roman" w:hAnsi="Times New Roman" w:cs="Times New Roman"/>
                <w:color w:val="000000"/>
                <w:sz w:val="20"/>
                <w:szCs w:val="21"/>
                <w:lang w:eastAsia="en-GB"/>
              </w:rPr>
            </w:pPr>
            <w:r w:rsidRPr="00E93974">
              <w:rPr>
                <w:rFonts w:ascii="Times New Roman" w:eastAsia="Times New Roman" w:hAnsi="Times New Roman" w:cs="Times New Roman"/>
                <w:color w:val="000000"/>
                <w:sz w:val="20"/>
                <w:szCs w:val="21"/>
                <w:lang w:eastAsia="en-GB"/>
              </w:rPr>
              <w:t>-0.75</w:t>
            </w:r>
          </w:p>
        </w:tc>
        <w:tc>
          <w:tcPr>
            <w:tcW w:w="566" w:type="dxa"/>
            <w:tcBorders>
              <w:top w:val="nil"/>
              <w:left w:val="nil"/>
              <w:bottom w:val="nil"/>
              <w:right w:val="nil"/>
            </w:tcBorders>
            <w:shd w:val="clear" w:color="auto" w:fill="auto"/>
            <w:noWrap/>
            <w:vAlign w:val="bottom"/>
          </w:tcPr>
          <w:p w14:paraId="2390E0E4" w14:textId="77777777" w:rsidR="00F92A14" w:rsidRPr="00E93974" w:rsidRDefault="00F92A14" w:rsidP="00F92A14">
            <w:pPr>
              <w:spacing w:after="0" w:line="240" w:lineRule="auto"/>
              <w:jc w:val="right"/>
              <w:rPr>
                <w:rFonts w:ascii="Times New Roman" w:eastAsia="Times New Roman" w:hAnsi="Times New Roman" w:cs="Times New Roman"/>
                <w:color w:val="000000"/>
                <w:sz w:val="20"/>
                <w:szCs w:val="21"/>
                <w:lang w:eastAsia="en-GB"/>
              </w:rPr>
            </w:pPr>
            <w:r w:rsidRPr="00E93974">
              <w:rPr>
                <w:rFonts w:ascii="Times New Roman" w:eastAsia="Times New Roman" w:hAnsi="Times New Roman" w:cs="Times New Roman"/>
                <w:color w:val="000000"/>
                <w:sz w:val="20"/>
                <w:szCs w:val="21"/>
                <w:lang w:eastAsia="en-GB"/>
              </w:rPr>
              <w:t>0.15</w:t>
            </w:r>
          </w:p>
        </w:tc>
        <w:tc>
          <w:tcPr>
            <w:tcW w:w="730" w:type="dxa"/>
            <w:tcBorders>
              <w:top w:val="nil"/>
              <w:left w:val="nil"/>
              <w:bottom w:val="nil"/>
              <w:right w:val="nil"/>
            </w:tcBorders>
            <w:shd w:val="clear" w:color="auto" w:fill="auto"/>
            <w:noWrap/>
            <w:vAlign w:val="bottom"/>
          </w:tcPr>
          <w:p w14:paraId="08103F22" w14:textId="77777777" w:rsidR="00F92A14" w:rsidRPr="00E93974" w:rsidRDefault="00F92A14" w:rsidP="00F92A14">
            <w:pPr>
              <w:spacing w:after="0" w:line="240" w:lineRule="auto"/>
              <w:jc w:val="right"/>
              <w:rPr>
                <w:rFonts w:ascii="Times New Roman" w:eastAsia="Times New Roman" w:hAnsi="Times New Roman" w:cs="Times New Roman"/>
                <w:color w:val="000000"/>
                <w:sz w:val="20"/>
                <w:szCs w:val="21"/>
                <w:lang w:eastAsia="en-GB"/>
              </w:rPr>
            </w:pPr>
          </w:p>
        </w:tc>
        <w:tc>
          <w:tcPr>
            <w:tcW w:w="687" w:type="dxa"/>
            <w:gridSpan w:val="2"/>
            <w:tcBorders>
              <w:top w:val="nil"/>
              <w:left w:val="nil"/>
              <w:bottom w:val="nil"/>
              <w:right w:val="nil"/>
            </w:tcBorders>
            <w:shd w:val="clear" w:color="auto" w:fill="auto"/>
            <w:noWrap/>
            <w:vAlign w:val="bottom"/>
          </w:tcPr>
          <w:p w14:paraId="7252A695" w14:textId="77777777" w:rsidR="00F92A14" w:rsidRPr="00E93974" w:rsidRDefault="00F92A14" w:rsidP="00F92A14">
            <w:pPr>
              <w:spacing w:after="0" w:line="240" w:lineRule="auto"/>
              <w:rPr>
                <w:rFonts w:ascii="Times New Roman" w:eastAsia="Times New Roman" w:hAnsi="Times New Roman" w:cs="Times New Roman"/>
                <w:color w:val="000000"/>
                <w:sz w:val="20"/>
                <w:szCs w:val="21"/>
                <w:lang w:eastAsia="en-GB"/>
              </w:rPr>
            </w:pPr>
            <w:r>
              <w:rPr>
                <w:rFonts w:ascii="Times New Roman" w:eastAsia="Times New Roman" w:hAnsi="Times New Roman" w:cs="Times New Roman"/>
                <w:color w:val="000000"/>
                <w:sz w:val="20"/>
                <w:szCs w:val="21"/>
                <w:lang w:eastAsia="en-GB"/>
              </w:rPr>
              <w:t>**</w:t>
            </w:r>
          </w:p>
        </w:tc>
        <w:tc>
          <w:tcPr>
            <w:tcW w:w="666" w:type="dxa"/>
            <w:tcBorders>
              <w:top w:val="nil"/>
              <w:left w:val="nil"/>
              <w:bottom w:val="nil"/>
              <w:right w:val="nil"/>
            </w:tcBorders>
            <w:shd w:val="clear" w:color="auto" w:fill="auto"/>
            <w:noWrap/>
            <w:vAlign w:val="bottom"/>
          </w:tcPr>
          <w:p w14:paraId="67CD9AE9" w14:textId="77777777" w:rsidR="00F92A14" w:rsidRPr="00E93974" w:rsidRDefault="00F92A14" w:rsidP="00F92A14">
            <w:pPr>
              <w:spacing w:after="0" w:line="240" w:lineRule="auto"/>
              <w:jc w:val="right"/>
              <w:rPr>
                <w:rFonts w:ascii="Times New Roman" w:eastAsia="Times New Roman" w:hAnsi="Times New Roman" w:cs="Times New Roman"/>
                <w:color w:val="000000"/>
                <w:sz w:val="20"/>
                <w:szCs w:val="21"/>
                <w:lang w:eastAsia="en-GB"/>
              </w:rPr>
            </w:pPr>
            <w:r>
              <w:rPr>
                <w:rFonts w:ascii="Times New Roman" w:eastAsia="Times New Roman" w:hAnsi="Times New Roman" w:cs="Times New Roman"/>
                <w:color w:val="000000"/>
                <w:sz w:val="20"/>
                <w:szCs w:val="21"/>
                <w:lang w:eastAsia="en-GB"/>
              </w:rPr>
              <w:t>0.39</w:t>
            </w:r>
          </w:p>
        </w:tc>
        <w:tc>
          <w:tcPr>
            <w:tcW w:w="566" w:type="dxa"/>
            <w:tcBorders>
              <w:top w:val="nil"/>
              <w:left w:val="nil"/>
              <w:bottom w:val="nil"/>
              <w:right w:val="nil"/>
            </w:tcBorders>
            <w:shd w:val="clear" w:color="auto" w:fill="auto"/>
            <w:noWrap/>
            <w:vAlign w:val="bottom"/>
          </w:tcPr>
          <w:p w14:paraId="55BCD55A" w14:textId="77777777" w:rsidR="00F92A14" w:rsidRPr="00E93974" w:rsidRDefault="00F92A14" w:rsidP="00F92A14">
            <w:pPr>
              <w:spacing w:after="0" w:line="240" w:lineRule="auto"/>
              <w:jc w:val="right"/>
              <w:rPr>
                <w:rFonts w:ascii="Times New Roman" w:eastAsia="Times New Roman" w:hAnsi="Times New Roman" w:cs="Times New Roman"/>
                <w:color w:val="000000"/>
                <w:sz w:val="20"/>
                <w:szCs w:val="21"/>
                <w:lang w:eastAsia="en-GB"/>
              </w:rPr>
            </w:pPr>
            <w:r>
              <w:rPr>
                <w:rFonts w:ascii="Times New Roman" w:eastAsia="Times New Roman" w:hAnsi="Times New Roman" w:cs="Times New Roman"/>
                <w:color w:val="000000"/>
                <w:sz w:val="20"/>
                <w:szCs w:val="21"/>
                <w:lang w:eastAsia="en-GB"/>
              </w:rPr>
              <w:t>0.96</w:t>
            </w:r>
          </w:p>
        </w:tc>
        <w:tc>
          <w:tcPr>
            <w:tcW w:w="730" w:type="dxa"/>
            <w:tcBorders>
              <w:top w:val="nil"/>
              <w:left w:val="nil"/>
              <w:bottom w:val="nil"/>
              <w:right w:val="nil"/>
            </w:tcBorders>
            <w:shd w:val="clear" w:color="auto" w:fill="auto"/>
            <w:noWrap/>
            <w:vAlign w:val="bottom"/>
          </w:tcPr>
          <w:p w14:paraId="4851CF70" w14:textId="77777777" w:rsidR="00F92A14" w:rsidRPr="00E93974" w:rsidRDefault="00F92A14" w:rsidP="00F92A14">
            <w:pPr>
              <w:spacing w:after="0" w:line="240" w:lineRule="auto"/>
              <w:jc w:val="right"/>
              <w:rPr>
                <w:rFonts w:ascii="Times New Roman" w:eastAsia="Times New Roman" w:hAnsi="Times New Roman" w:cs="Times New Roman"/>
                <w:color w:val="000000"/>
                <w:sz w:val="20"/>
                <w:szCs w:val="21"/>
                <w:lang w:eastAsia="en-GB"/>
              </w:rPr>
            </w:pPr>
          </w:p>
        </w:tc>
        <w:tc>
          <w:tcPr>
            <w:tcW w:w="416" w:type="dxa"/>
            <w:tcBorders>
              <w:top w:val="nil"/>
              <w:left w:val="nil"/>
              <w:bottom w:val="nil"/>
              <w:right w:val="nil"/>
            </w:tcBorders>
            <w:shd w:val="clear" w:color="auto" w:fill="auto"/>
            <w:noWrap/>
            <w:vAlign w:val="bottom"/>
          </w:tcPr>
          <w:p w14:paraId="058FCB31" w14:textId="77777777" w:rsidR="00F92A14" w:rsidRPr="00E93974" w:rsidRDefault="00F92A14" w:rsidP="00F92A14">
            <w:pPr>
              <w:spacing w:after="0" w:line="240" w:lineRule="auto"/>
              <w:rPr>
                <w:rFonts w:ascii="Times New Roman" w:eastAsia="Times New Roman" w:hAnsi="Times New Roman" w:cs="Times New Roman"/>
                <w:sz w:val="20"/>
                <w:szCs w:val="21"/>
                <w:lang w:eastAsia="en-GB"/>
              </w:rPr>
            </w:pPr>
          </w:p>
        </w:tc>
      </w:tr>
      <w:tr w:rsidR="00F92A14" w:rsidRPr="002802A9" w14:paraId="0DF70B2B" w14:textId="77777777" w:rsidTr="00F92A14">
        <w:trPr>
          <w:trHeight w:val="288"/>
          <w:jc w:val="center"/>
        </w:trPr>
        <w:tc>
          <w:tcPr>
            <w:tcW w:w="5016" w:type="dxa"/>
            <w:tcBorders>
              <w:top w:val="nil"/>
              <w:left w:val="nil"/>
              <w:bottom w:val="nil"/>
              <w:right w:val="nil"/>
            </w:tcBorders>
            <w:shd w:val="clear" w:color="auto" w:fill="auto"/>
            <w:noWrap/>
            <w:vAlign w:val="bottom"/>
            <w:hideMark/>
          </w:tcPr>
          <w:p w14:paraId="652BC9F5"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r w:rsidRPr="002802A9">
              <w:rPr>
                <w:rFonts w:ascii="Times New Roman" w:eastAsia="Times New Roman" w:hAnsi="Times New Roman" w:cs="Times New Roman"/>
                <w:color w:val="000000"/>
                <w:szCs w:val="21"/>
                <w:lang w:eastAsia="en-GB"/>
              </w:rPr>
              <w:t>−2 Log-likelihood</w:t>
            </w:r>
          </w:p>
        </w:tc>
        <w:tc>
          <w:tcPr>
            <w:tcW w:w="711" w:type="dxa"/>
            <w:tcBorders>
              <w:top w:val="nil"/>
              <w:left w:val="nil"/>
              <w:bottom w:val="nil"/>
              <w:right w:val="nil"/>
            </w:tcBorders>
            <w:shd w:val="clear" w:color="auto" w:fill="auto"/>
            <w:noWrap/>
            <w:vAlign w:val="bottom"/>
          </w:tcPr>
          <w:p w14:paraId="5BEFA354" w14:textId="77777777" w:rsidR="00F92A14" w:rsidRPr="00E93974" w:rsidRDefault="00F92A14" w:rsidP="00F92A14">
            <w:pPr>
              <w:spacing w:after="0" w:line="240" w:lineRule="auto"/>
              <w:jc w:val="right"/>
              <w:rPr>
                <w:rFonts w:ascii="Times New Roman" w:eastAsia="Times New Roman" w:hAnsi="Times New Roman" w:cs="Times New Roman"/>
                <w:color w:val="000000"/>
                <w:sz w:val="20"/>
                <w:szCs w:val="21"/>
                <w:lang w:eastAsia="en-GB"/>
              </w:rPr>
            </w:pPr>
            <w:r w:rsidRPr="00E93974">
              <w:rPr>
                <w:rFonts w:ascii="Times New Roman" w:eastAsia="Times New Roman" w:hAnsi="Times New Roman" w:cs="Times New Roman"/>
                <w:color w:val="000000"/>
                <w:sz w:val="20"/>
                <w:szCs w:val="21"/>
                <w:lang w:eastAsia="en-GB"/>
              </w:rPr>
              <w:t>3427.9</w:t>
            </w:r>
          </w:p>
        </w:tc>
        <w:tc>
          <w:tcPr>
            <w:tcW w:w="601" w:type="dxa"/>
            <w:tcBorders>
              <w:top w:val="nil"/>
              <w:left w:val="nil"/>
              <w:bottom w:val="nil"/>
              <w:right w:val="nil"/>
            </w:tcBorders>
            <w:shd w:val="clear" w:color="auto" w:fill="auto"/>
            <w:noWrap/>
            <w:vAlign w:val="bottom"/>
          </w:tcPr>
          <w:p w14:paraId="1359B9DD" w14:textId="77777777" w:rsidR="00F92A14" w:rsidRPr="00E93974" w:rsidRDefault="00F92A14" w:rsidP="00F92A14">
            <w:pPr>
              <w:spacing w:after="0" w:line="240" w:lineRule="auto"/>
              <w:jc w:val="right"/>
              <w:rPr>
                <w:rFonts w:ascii="Times New Roman" w:eastAsia="Times New Roman" w:hAnsi="Times New Roman" w:cs="Times New Roman"/>
                <w:color w:val="000000"/>
                <w:sz w:val="20"/>
                <w:szCs w:val="21"/>
                <w:lang w:eastAsia="en-GB"/>
              </w:rPr>
            </w:pPr>
          </w:p>
        </w:tc>
        <w:tc>
          <w:tcPr>
            <w:tcW w:w="772" w:type="dxa"/>
            <w:tcBorders>
              <w:top w:val="nil"/>
              <w:left w:val="nil"/>
              <w:bottom w:val="nil"/>
              <w:right w:val="nil"/>
            </w:tcBorders>
            <w:shd w:val="clear" w:color="auto" w:fill="auto"/>
            <w:noWrap/>
            <w:vAlign w:val="bottom"/>
          </w:tcPr>
          <w:p w14:paraId="743C1FC9" w14:textId="77777777" w:rsidR="00F92A14" w:rsidRPr="00E93974" w:rsidRDefault="00F92A14" w:rsidP="00F92A14">
            <w:pPr>
              <w:spacing w:after="0" w:line="240" w:lineRule="auto"/>
              <w:rPr>
                <w:rFonts w:ascii="Times New Roman" w:eastAsia="Times New Roman" w:hAnsi="Times New Roman" w:cs="Times New Roman"/>
                <w:sz w:val="20"/>
                <w:szCs w:val="21"/>
                <w:lang w:eastAsia="en-GB"/>
              </w:rPr>
            </w:pPr>
          </w:p>
        </w:tc>
        <w:tc>
          <w:tcPr>
            <w:tcW w:w="271" w:type="dxa"/>
            <w:tcBorders>
              <w:top w:val="nil"/>
              <w:left w:val="nil"/>
              <w:bottom w:val="nil"/>
              <w:right w:val="nil"/>
            </w:tcBorders>
            <w:shd w:val="clear" w:color="auto" w:fill="auto"/>
            <w:noWrap/>
            <w:vAlign w:val="bottom"/>
          </w:tcPr>
          <w:p w14:paraId="419C4D51" w14:textId="77777777" w:rsidR="00F92A14" w:rsidRPr="00E93974" w:rsidRDefault="00F92A14" w:rsidP="00F92A14">
            <w:pPr>
              <w:spacing w:after="0" w:line="240" w:lineRule="auto"/>
              <w:rPr>
                <w:rFonts w:ascii="Times New Roman" w:eastAsia="Times New Roman" w:hAnsi="Times New Roman" w:cs="Times New Roman"/>
                <w:sz w:val="20"/>
                <w:szCs w:val="21"/>
                <w:lang w:eastAsia="en-GB"/>
              </w:rPr>
            </w:pPr>
          </w:p>
        </w:tc>
        <w:tc>
          <w:tcPr>
            <w:tcW w:w="271" w:type="dxa"/>
            <w:tcBorders>
              <w:top w:val="nil"/>
              <w:left w:val="nil"/>
              <w:bottom w:val="nil"/>
              <w:right w:val="nil"/>
            </w:tcBorders>
            <w:shd w:val="clear" w:color="auto" w:fill="auto"/>
            <w:noWrap/>
            <w:vAlign w:val="bottom"/>
          </w:tcPr>
          <w:p w14:paraId="244EFA76" w14:textId="77777777" w:rsidR="00F92A14" w:rsidRPr="00E93974" w:rsidRDefault="00F92A14" w:rsidP="00F92A14">
            <w:pPr>
              <w:spacing w:after="0" w:line="240" w:lineRule="auto"/>
              <w:rPr>
                <w:rFonts w:ascii="Times New Roman" w:eastAsia="Times New Roman" w:hAnsi="Times New Roman" w:cs="Times New Roman"/>
                <w:sz w:val="20"/>
                <w:szCs w:val="21"/>
                <w:lang w:eastAsia="en-GB"/>
              </w:rPr>
            </w:pPr>
          </w:p>
        </w:tc>
        <w:tc>
          <w:tcPr>
            <w:tcW w:w="666" w:type="dxa"/>
            <w:tcBorders>
              <w:top w:val="nil"/>
              <w:left w:val="nil"/>
              <w:bottom w:val="nil"/>
              <w:right w:val="nil"/>
            </w:tcBorders>
            <w:shd w:val="clear" w:color="auto" w:fill="auto"/>
            <w:noWrap/>
            <w:vAlign w:val="bottom"/>
          </w:tcPr>
          <w:p w14:paraId="04EB5923" w14:textId="77777777" w:rsidR="00F92A14" w:rsidRPr="00E93974" w:rsidRDefault="00F92A14" w:rsidP="00F92A14">
            <w:pPr>
              <w:spacing w:after="0" w:line="240" w:lineRule="auto"/>
              <w:jc w:val="right"/>
              <w:rPr>
                <w:rFonts w:ascii="Times New Roman" w:eastAsia="Times New Roman" w:hAnsi="Times New Roman" w:cs="Times New Roman"/>
                <w:color w:val="000000"/>
                <w:sz w:val="20"/>
                <w:szCs w:val="21"/>
                <w:lang w:eastAsia="en-GB"/>
              </w:rPr>
            </w:pPr>
            <w:r w:rsidRPr="00E93974">
              <w:rPr>
                <w:rFonts w:ascii="Times New Roman" w:eastAsia="Times New Roman" w:hAnsi="Times New Roman" w:cs="Times New Roman"/>
                <w:color w:val="000000"/>
                <w:sz w:val="20"/>
                <w:szCs w:val="21"/>
                <w:lang w:eastAsia="en-GB"/>
              </w:rPr>
              <w:t>3344.3</w:t>
            </w:r>
          </w:p>
        </w:tc>
        <w:tc>
          <w:tcPr>
            <w:tcW w:w="566" w:type="dxa"/>
            <w:tcBorders>
              <w:top w:val="nil"/>
              <w:left w:val="nil"/>
              <w:bottom w:val="nil"/>
              <w:right w:val="nil"/>
            </w:tcBorders>
            <w:shd w:val="clear" w:color="auto" w:fill="auto"/>
            <w:noWrap/>
            <w:vAlign w:val="bottom"/>
          </w:tcPr>
          <w:p w14:paraId="53C74624" w14:textId="77777777" w:rsidR="00F92A14" w:rsidRPr="00E93974" w:rsidRDefault="00F92A14" w:rsidP="00F92A14">
            <w:pPr>
              <w:spacing w:after="0" w:line="240" w:lineRule="auto"/>
              <w:jc w:val="right"/>
              <w:rPr>
                <w:rFonts w:ascii="Times New Roman" w:eastAsia="Times New Roman" w:hAnsi="Times New Roman" w:cs="Times New Roman"/>
                <w:color w:val="000000"/>
                <w:sz w:val="20"/>
                <w:szCs w:val="21"/>
                <w:lang w:eastAsia="en-GB"/>
              </w:rPr>
            </w:pPr>
          </w:p>
        </w:tc>
        <w:tc>
          <w:tcPr>
            <w:tcW w:w="730" w:type="dxa"/>
            <w:tcBorders>
              <w:top w:val="nil"/>
              <w:left w:val="nil"/>
              <w:bottom w:val="nil"/>
              <w:right w:val="nil"/>
            </w:tcBorders>
            <w:shd w:val="clear" w:color="auto" w:fill="auto"/>
            <w:noWrap/>
            <w:vAlign w:val="bottom"/>
          </w:tcPr>
          <w:p w14:paraId="1EDAB649" w14:textId="77777777" w:rsidR="00F92A14" w:rsidRPr="00E93974" w:rsidRDefault="00F92A14" w:rsidP="00F92A14">
            <w:pPr>
              <w:spacing w:after="0" w:line="240" w:lineRule="auto"/>
              <w:rPr>
                <w:rFonts w:ascii="Times New Roman" w:eastAsia="Times New Roman" w:hAnsi="Times New Roman" w:cs="Times New Roman"/>
                <w:sz w:val="20"/>
                <w:szCs w:val="21"/>
                <w:lang w:eastAsia="en-GB"/>
              </w:rPr>
            </w:pPr>
          </w:p>
        </w:tc>
        <w:tc>
          <w:tcPr>
            <w:tcW w:w="416" w:type="dxa"/>
            <w:tcBorders>
              <w:top w:val="nil"/>
              <w:left w:val="nil"/>
              <w:bottom w:val="nil"/>
              <w:right w:val="nil"/>
            </w:tcBorders>
            <w:shd w:val="clear" w:color="auto" w:fill="auto"/>
            <w:noWrap/>
            <w:vAlign w:val="bottom"/>
          </w:tcPr>
          <w:p w14:paraId="478FD4E1" w14:textId="77777777" w:rsidR="00F92A14" w:rsidRPr="00E93974" w:rsidRDefault="00F92A14" w:rsidP="00F92A14">
            <w:pPr>
              <w:spacing w:after="0" w:line="240" w:lineRule="auto"/>
              <w:rPr>
                <w:rFonts w:ascii="Times New Roman" w:eastAsia="Times New Roman" w:hAnsi="Times New Roman" w:cs="Times New Roman"/>
                <w:sz w:val="20"/>
                <w:szCs w:val="21"/>
                <w:lang w:eastAsia="en-GB"/>
              </w:rPr>
            </w:pPr>
          </w:p>
        </w:tc>
        <w:tc>
          <w:tcPr>
            <w:tcW w:w="271" w:type="dxa"/>
            <w:tcBorders>
              <w:top w:val="nil"/>
              <w:left w:val="nil"/>
              <w:bottom w:val="nil"/>
              <w:right w:val="nil"/>
            </w:tcBorders>
            <w:shd w:val="clear" w:color="auto" w:fill="auto"/>
            <w:noWrap/>
            <w:vAlign w:val="bottom"/>
          </w:tcPr>
          <w:p w14:paraId="73E684B7" w14:textId="77777777" w:rsidR="00F92A14" w:rsidRPr="00E93974" w:rsidRDefault="00F92A14" w:rsidP="00F92A14">
            <w:pPr>
              <w:spacing w:after="0" w:line="240" w:lineRule="auto"/>
              <w:rPr>
                <w:rFonts w:ascii="Times New Roman" w:eastAsia="Times New Roman" w:hAnsi="Times New Roman" w:cs="Times New Roman"/>
                <w:sz w:val="20"/>
                <w:szCs w:val="21"/>
                <w:lang w:eastAsia="en-GB"/>
              </w:rPr>
            </w:pPr>
          </w:p>
        </w:tc>
        <w:tc>
          <w:tcPr>
            <w:tcW w:w="666" w:type="dxa"/>
            <w:tcBorders>
              <w:top w:val="nil"/>
              <w:left w:val="nil"/>
              <w:bottom w:val="nil"/>
              <w:right w:val="nil"/>
            </w:tcBorders>
            <w:shd w:val="clear" w:color="auto" w:fill="auto"/>
            <w:noWrap/>
            <w:vAlign w:val="bottom"/>
          </w:tcPr>
          <w:p w14:paraId="6D7E5D89" w14:textId="77777777" w:rsidR="00F92A14" w:rsidRPr="00E93974" w:rsidRDefault="00F92A14" w:rsidP="00F92A14">
            <w:pPr>
              <w:spacing w:after="0" w:line="240" w:lineRule="auto"/>
              <w:jc w:val="right"/>
              <w:rPr>
                <w:rFonts w:ascii="Times New Roman" w:eastAsia="Times New Roman" w:hAnsi="Times New Roman" w:cs="Times New Roman"/>
                <w:color w:val="000000"/>
                <w:sz w:val="20"/>
                <w:szCs w:val="21"/>
                <w:lang w:eastAsia="en-GB"/>
              </w:rPr>
            </w:pPr>
            <w:r>
              <w:rPr>
                <w:rFonts w:ascii="Times New Roman" w:eastAsia="Times New Roman" w:hAnsi="Times New Roman" w:cs="Times New Roman"/>
                <w:color w:val="000000"/>
                <w:sz w:val="20"/>
                <w:szCs w:val="21"/>
                <w:lang w:eastAsia="en-GB"/>
              </w:rPr>
              <w:t>2769.2</w:t>
            </w:r>
          </w:p>
        </w:tc>
        <w:tc>
          <w:tcPr>
            <w:tcW w:w="566" w:type="dxa"/>
            <w:tcBorders>
              <w:top w:val="nil"/>
              <w:left w:val="nil"/>
              <w:bottom w:val="nil"/>
              <w:right w:val="nil"/>
            </w:tcBorders>
            <w:shd w:val="clear" w:color="auto" w:fill="auto"/>
            <w:noWrap/>
            <w:vAlign w:val="bottom"/>
          </w:tcPr>
          <w:p w14:paraId="23D730C1" w14:textId="77777777" w:rsidR="00F92A14" w:rsidRPr="00E93974" w:rsidRDefault="00F92A14" w:rsidP="00F92A14">
            <w:pPr>
              <w:spacing w:after="0" w:line="240" w:lineRule="auto"/>
              <w:jc w:val="right"/>
              <w:rPr>
                <w:rFonts w:ascii="Times New Roman" w:eastAsia="Times New Roman" w:hAnsi="Times New Roman" w:cs="Times New Roman"/>
                <w:color w:val="000000"/>
                <w:sz w:val="20"/>
                <w:szCs w:val="21"/>
                <w:lang w:eastAsia="en-GB"/>
              </w:rPr>
            </w:pPr>
          </w:p>
        </w:tc>
        <w:tc>
          <w:tcPr>
            <w:tcW w:w="730" w:type="dxa"/>
            <w:tcBorders>
              <w:top w:val="nil"/>
              <w:left w:val="nil"/>
              <w:bottom w:val="nil"/>
              <w:right w:val="nil"/>
            </w:tcBorders>
            <w:shd w:val="clear" w:color="auto" w:fill="auto"/>
            <w:noWrap/>
            <w:vAlign w:val="bottom"/>
          </w:tcPr>
          <w:p w14:paraId="117629D1" w14:textId="77777777" w:rsidR="00F92A14" w:rsidRPr="00E93974" w:rsidRDefault="00F92A14" w:rsidP="00F92A14">
            <w:pPr>
              <w:spacing w:after="0" w:line="240" w:lineRule="auto"/>
              <w:rPr>
                <w:rFonts w:ascii="Times New Roman" w:eastAsia="Times New Roman" w:hAnsi="Times New Roman" w:cs="Times New Roman"/>
                <w:sz w:val="20"/>
                <w:szCs w:val="21"/>
                <w:lang w:eastAsia="en-GB"/>
              </w:rPr>
            </w:pPr>
          </w:p>
        </w:tc>
        <w:tc>
          <w:tcPr>
            <w:tcW w:w="416" w:type="dxa"/>
            <w:tcBorders>
              <w:top w:val="nil"/>
              <w:left w:val="nil"/>
              <w:bottom w:val="nil"/>
              <w:right w:val="nil"/>
            </w:tcBorders>
            <w:shd w:val="clear" w:color="auto" w:fill="auto"/>
            <w:noWrap/>
            <w:vAlign w:val="bottom"/>
          </w:tcPr>
          <w:p w14:paraId="7D2EF843" w14:textId="77777777" w:rsidR="00F92A14" w:rsidRPr="00E93974" w:rsidRDefault="00F92A14" w:rsidP="00F92A14">
            <w:pPr>
              <w:spacing w:after="0" w:line="240" w:lineRule="auto"/>
              <w:rPr>
                <w:rFonts w:ascii="Times New Roman" w:eastAsia="Times New Roman" w:hAnsi="Times New Roman" w:cs="Times New Roman"/>
                <w:sz w:val="20"/>
                <w:szCs w:val="21"/>
                <w:lang w:eastAsia="en-GB"/>
              </w:rPr>
            </w:pPr>
          </w:p>
        </w:tc>
      </w:tr>
      <w:tr w:rsidR="00F92A14" w:rsidRPr="002802A9" w14:paraId="28F6F13C" w14:textId="77777777" w:rsidTr="00F92A14">
        <w:trPr>
          <w:trHeight w:val="288"/>
          <w:jc w:val="center"/>
        </w:trPr>
        <w:tc>
          <w:tcPr>
            <w:tcW w:w="5016" w:type="dxa"/>
            <w:tcBorders>
              <w:top w:val="nil"/>
              <w:left w:val="nil"/>
              <w:bottom w:val="nil"/>
              <w:right w:val="nil"/>
            </w:tcBorders>
            <w:shd w:val="clear" w:color="auto" w:fill="auto"/>
            <w:noWrap/>
            <w:vAlign w:val="bottom"/>
            <w:hideMark/>
          </w:tcPr>
          <w:p w14:paraId="59742897"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r w:rsidRPr="002802A9">
              <w:rPr>
                <w:rFonts w:ascii="Times New Roman" w:eastAsia="Times New Roman" w:hAnsi="Times New Roman" w:cs="Times New Roman"/>
                <w:color w:val="000000"/>
                <w:szCs w:val="21"/>
                <w:lang w:eastAsia="en-GB"/>
              </w:rPr>
              <w:t xml:space="preserve">Pseudo </w:t>
            </w:r>
            <w:r w:rsidRPr="002802A9">
              <w:rPr>
                <w:rFonts w:ascii="Times New Roman" w:eastAsia="Times New Roman" w:hAnsi="Times New Roman" w:cs="Times New Roman"/>
                <w:i/>
                <w:iCs/>
                <w:color w:val="000000"/>
                <w:szCs w:val="21"/>
                <w:lang w:eastAsia="en-GB"/>
              </w:rPr>
              <w:t>r</w:t>
            </w:r>
            <w:r w:rsidRPr="002802A9">
              <w:rPr>
                <w:rFonts w:ascii="Times New Roman" w:eastAsia="Times New Roman" w:hAnsi="Times New Roman" w:cs="Times New Roman"/>
                <w:color w:val="000000"/>
                <w:szCs w:val="21"/>
                <w:vertAlign w:val="superscript"/>
                <w:lang w:eastAsia="en-GB"/>
              </w:rPr>
              <w:t>2</w:t>
            </w:r>
          </w:p>
        </w:tc>
        <w:tc>
          <w:tcPr>
            <w:tcW w:w="711" w:type="dxa"/>
            <w:tcBorders>
              <w:top w:val="nil"/>
              <w:left w:val="nil"/>
              <w:bottom w:val="nil"/>
              <w:right w:val="nil"/>
            </w:tcBorders>
            <w:shd w:val="clear" w:color="auto" w:fill="auto"/>
            <w:noWrap/>
            <w:vAlign w:val="bottom"/>
          </w:tcPr>
          <w:p w14:paraId="58461CFE" w14:textId="77777777" w:rsidR="00F92A14" w:rsidRPr="00E93974" w:rsidRDefault="00F92A14" w:rsidP="00F92A14">
            <w:pPr>
              <w:spacing w:after="0" w:line="240" w:lineRule="auto"/>
              <w:jc w:val="right"/>
              <w:rPr>
                <w:rFonts w:ascii="Times New Roman" w:eastAsia="Times New Roman" w:hAnsi="Times New Roman" w:cs="Times New Roman"/>
                <w:color w:val="000000"/>
                <w:sz w:val="20"/>
                <w:szCs w:val="21"/>
                <w:lang w:eastAsia="en-GB"/>
              </w:rPr>
            </w:pPr>
            <w:r w:rsidRPr="00E93974">
              <w:rPr>
                <w:rFonts w:ascii="Times New Roman" w:eastAsia="Times New Roman" w:hAnsi="Times New Roman" w:cs="Times New Roman"/>
                <w:color w:val="000000"/>
                <w:sz w:val="20"/>
                <w:szCs w:val="21"/>
                <w:lang w:eastAsia="en-GB"/>
              </w:rPr>
              <w:t>0.0019</w:t>
            </w:r>
          </w:p>
        </w:tc>
        <w:tc>
          <w:tcPr>
            <w:tcW w:w="601" w:type="dxa"/>
            <w:tcBorders>
              <w:top w:val="nil"/>
              <w:left w:val="nil"/>
              <w:bottom w:val="nil"/>
              <w:right w:val="nil"/>
            </w:tcBorders>
            <w:shd w:val="clear" w:color="auto" w:fill="auto"/>
            <w:noWrap/>
            <w:vAlign w:val="bottom"/>
          </w:tcPr>
          <w:p w14:paraId="14D32AF2" w14:textId="77777777" w:rsidR="00F92A14" w:rsidRPr="00E93974" w:rsidRDefault="00F92A14" w:rsidP="00F92A14">
            <w:pPr>
              <w:spacing w:after="0" w:line="240" w:lineRule="auto"/>
              <w:jc w:val="right"/>
              <w:rPr>
                <w:rFonts w:ascii="Times New Roman" w:eastAsia="Times New Roman" w:hAnsi="Times New Roman" w:cs="Times New Roman"/>
                <w:color w:val="000000"/>
                <w:sz w:val="20"/>
                <w:szCs w:val="21"/>
                <w:lang w:eastAsia="en-GB"/>
              </w:rPr>
            </w:pPr>
          </w:p>
        </w:tc>
        <w:tc>
          <w:tcPr>
            <w:tcW w:w="772" w:type="dxa"/>
            <w:tcBorders>
              <w:top w:val="nil"/>
              <w:left w:val="nil"/>
              <w:bottom w:val="nil"/>
              <w:right w:val="nil"/>
            </w:tcBorders>
            <w:shd w:val="clear" w:color="auto" w:fill="auto"/>
            <w:noWrap/>
            <w:vAlign w:val="bottom"/>
          </w:tcPr>
          <w:p w14:paraId="04234442" w14:textId="77777777" w:rsidR="00F92A14" w:rsidRPr="00E93974" w:rsidRDefault="00F92A14" w:rsidP="00F92A14">
            <w:pPr>
              <w:spacing w:after="0" w:line="240" w:lineRule="auto"/>
              <w:rPr>
                <w:rFonts w:ascii="Times New Roman" w:eastAsia="Times New Roman" w:hAnsi="Times New Roman" w:cs="Times New Roman"/>
                <w:sz w:val="20"/>
                <w:szCs w:val="21"/>
                <w:lang w:eastAsia="en-GB"/>
              </w:rPr>
            </w:pPr>
          </w:p>
        </w:tc>
        <w:tc>
          <w:tcPr>
            <w:tcW w:w="271" w:type="dxa"/>
            <w:tcBorders>
              <w:top w:val="nil"/>
              <w:left w:val="nil"/>
              <w:bottom w:val="nil"/>
              <w:right w:val="nil"/>
            </w:tcBorders>
            <w:shd w:val="clear" w:color="auto" w:fill="auto"/>
            <w:noWrap/>
            <w:vAlign w:val="bottom"/>
          </w:tcPr>
          <w:p w14:paraId="57FE503F" w14:textId="77777777" w:rsidR="00F92A14" w:rsidRPr="00E93974" w:rsidRDefault="00F92A14" w:rsidP="00F92A14">
            <w:pPr>
              <w:spacing w:after="0" w:line="240" w:lineRule="auto"/>
              <w:rPr>
                <w:rFonts w:ascii="Times New Roman" w:eastAsia="Times New Roman" w:hAnsi="Times New Roman" w:cs="Times New Roman"/>
                <w:sz w:val="20"/>
                <w:szCs w:val="21"/>
                <w:lang w:eastAsia="en-GB"/>
              </w:rPr>
            </w:pPr>
          </w:p>
        </w:tc>
        <w:tc>
          <w:tcPr>
            <w:tcW w:w="271" w:type="dxa"/>
            <w:tcBorders>
              <w:top w:val="nil"/>
              <w:left w:val="nil"/>
              <w:bottom w:val="nil"/>
              <w:right w:val="nil"/>
            </w:tcBorders>
            <w:shd w:val="clear" w:color="auto" w:fill="auto"/>
            <w:noWrap/>
            <w:vAlign w:val="bottom"/>
          </w:tcPr>
          <w:p w14:paraId="52596A89" w14:textId="77777777" w:rsidR="00F92A14" w:rsidRPr="00E93974" w:rsidRDefault="00F92A14" w:rsidP="00F92A14">
            <w:pPr>
              <w:spacing w:after="0" w:line="240" w:lineRule="auto"/>
              <w:rPr>
                <w:rFonts w:ascii="Times New Roman" w:eastAsia="Times New Roman" w:hAnsi="Times New Roman" w:cs="Times New Roman"/>
                <w:sz w:val="20"/>
                <w:szCs w:val="21"/>
                <w:lang w:eastAsia="en-GB"/>
              </w:rPr>
            </w:pPr>
          </w:p>
        </w:tc>
        <w:tc>
          <w:tcPr>
            <w:tcW w:w="666" w:type="dxa"/>
            <w:tcBorders>
              <w:top w:val="nil"/>
              <w:left w:val="nil"/>
              <w:bottom w:val="nil"/>
              <w:right w:val="nil"/>
            </w:tcBorders>
            <w:shd w:val="clear" w:color="auto" w:fill="auto"/>
            <w:noWrap/>
            <w:vAlign w:val="bottom"/>
          </w:tcPr>
          <w:p w14:paraId="4B58E7F4" w14:textId="77777777" w:rsidR="00F92A14" w:rsidRPr="00E93974" w:rsidRDefault="00F92A14" w:rsidP="00F92A14">
            <w:pPr>
              <w:spacing w:after="0" w:line="240" w:lineRule="auto"/>
              <w:jc w:val="right"/>
              <w:rPr>
                <w:rFonts w:ascii="Times New Roman" w:eastAsia="Times New Roman" w:hAnsi="Times New Roman" w:cs="Times New Roman"/>
                <w:color w:val="000000"/>
                <w:sz w:val="20"/>
                <w:szCs w:val="21"/>
                <w:lang w:eastAsia="en-GB"/>
              </w:rPr>
            </w:pPr>
            <w:r w:rsidRPr="00E93974">
              <w:rPr>
                <w:rFonts w:ascii="Times New Roman" w:eastAsia="Times New Roman" w:hAnsi="Times New Roman" w:cs="Times New Roman"/>
                <w:color w:val="000000"/>
                <w:sz w:val="20"/>
                <w:szCs w:val="21"/>
                <w:lang w:eastAsia="en-GB"/>
              </w:rPr>
              <w:t>0.0447</w:t>
            </w:r>
          </w:p>
        </w:tc>
        <w:tc>
          <w:tcPr>
            <w:tcW w:w="566" w:type="dxa"/>
            <w:tcBorders>
              <w:top w:val="nil"/>
              <w:left w:val="nil"/>
              <w:bottom w:val="nil"/>
              <w:right w:val="nil"/>
            </w:tcBorders>
            <w:shd w:val="clear" w:color="auto" w:fill="auto"/>
            <w:noWrap/>
            <w:vAlign w:val="bottom"/>
          </w:tcPr>
          <w:p w14:paraId="2CC761D8" w14:textId="77777777" w:rsidR="00F92A14" w:rsidRPr="00E93974" w:rsidRDefault="00F92A14" w:rsidP="00F92A14">
            <w:pPr>
              <w:spacing w:after="0" w:line="240" w:lineRule="auto"/>
              <w:jc w:val="right"/>
              <w:rPr>
                <w:rFonts w:ascii="Times New Roman" w:eastAsia="Times New Roman" w:hAnsi="Times New Roman" w:cs="Times New Roman"/>
                <w:color w:val="000000"/>
                <w:sz w:val="20"/>
                <w:szCs w:val="21"/>
                <w:lang w:eastAsia="en-GB"/>
              </w:rPr>
            </w:pPr>
          </w:p>
        </w:tc>
        <w:tc>
          <w:tcPr>
            <w:tcW w:w="730" w:type="dxa"/>
            <w:tcBorders>
              <w:top w:val="nil"/>
              <w:left w:val="nil"/>
              <w:bottom w:val="nil"/>
              <w:right w:val="nil"/>
            </w:tcBorders>
            <w:shd w:val="clear" w:color="auto" w:fill="auto"/>
            <w:noWrap/>
            <w:vAlign w:val="bottom"/>
          </w:tcPr>
          <w:p w14:paraId="78016C03" w14:textId="77777777" w:rsidR="00F92A14" w:rsidRPr="00E93974" w:rsidRDefault="00F92A14" w:rsidP="00F92A14">
            <w:pPr>
              <w:spacing w:after="0" w:line="240" w:lineRule="auto"/>
              <w:rPr>
                <w:rFonts w:ascii="Times New Roman" w:eastAsia="Times New Roman" w:hAnsi="Times New Roman" w:cs="Times New Roman"/>
                <w:sz w:val="20"/>
                <w:szCs w:val="21"/>
                <w:lang w:eastAsia="en-GB"/>
              </w:rPr>
            </w:pPr>
          </w:p>
        </w:tc>
        <w:tc>
          <w:tcPr>
            <w:tcW w:w="416" w:type="dxa"/>
            <w:tcBorders>
              <w:top w:val="nil"/>
              <w:left w:val="nil"/>
              <w:bottom w:val="nil"/>
              <w:right w:val="nil"/>
            </w:tcBorders>
            <w:shd w:val="clear" w:color="auto" w:fill="auto"/>
            <w:noWrap/>
            <w:vAlign w:val="bottom"/>
          </w:tcPr>
          <w:p w14:paraId="6999B968" w14:textId="77777777" w:rsidR="00F92A14" w:rsidRPr="00E93974" w:rsidRDefault="00F92A14" w:rsidP="00F92A14">
            <w:pPr>
              <w:spacing w:after="0" w:line="240" w:lineRule="auto"/>
              <w:rPr>
                <w:rFonts w:ascii="Times New Roman" w:eastAsia="Times New Roman" w:hAnsi="Times New Roman" w:cs="Times New Roman"/>
                <w:sz w:val="20"/>
                <w:szCs w:val="21"/>
                <w:lang w:eastAsia="en-GB"/>
              </w:rPr>
            </w:pPr>
          </w:p>
        </w:tc>
        <w:tc>
          <w:tcPr>
            <w:tcW w:w="271" w:type="dxa"/>
            <w:tcBorders>
              <w:top w:val="nil"/>
              <w:left w:val="nil"/>
              <w:bottom w:val="nil"/>
              <w:right w:val="nil"/>
            </w:tcBorders>
            <w:shd w:val="clear" w:color="auto" w:fill="auto"/>
            <w:noWrap/>
            <w:vAlign w:val="bottom"/>
          </w:tcPr>
          <w:p w14:paraId="496AB09C" w14:textId="77777777" w:rsidR="00F92A14" w:rsidRPr="00E93974" w:rsidRDefault="00F92A14" w:rsidP="00F92A14">
            <w:pPr>
              <w:spacing w:after="0" w:line="240" w:lineRule="auto"/>
              <w:rPr>
                <w:rFonts w:ascii="Times New Roman" w:eastAsia="Times New Roman" w:hAnsi="Times New Roman" w:cs="Times New Roman"/>
                <w:sz w:val="20"/>
                <w:szCs w:val="21"/>
                <w:lang w:eastAsia="en-GB"/>
              </w:rPr>
            </w:pPr>
          </w:p>
        </w:tc>
        <w:tc>
          <w:tcPr>
            <w:tcW w:w="666" w:type="dxa"/>
            <w:tcBorders>
              <w:top w:val="nil"/>
              <w:left w:val="nil"/>
              <w:bottom w:val="nil"/>
              <w:right w:val="nil"/>
            </w:tcBorders>
            <w:shd w:val="clear" w:color="auto" w:fill="auto"/>
            <w:noWrap/>
            <w:vAlign w:val="bottom"/>
          </w:tcPr>
          <w:p w14:paraId="1D0624BE" w14:textId="77777777" w:rsidR="00F92A14" w:rsidRPr="00E93974" w:rsidRDefault="00F92A14" w:rsidP="00F92A14">
            <w:pPr>
              <w:spacing w:after="0" w:line="240" w:lineRule="auto"/>
              <w:jc w:val="right"/>
              <w:rPr>
                <w:rFonts w:ascii="Times New Roman" w:eastAsia="Times New Roman" w:hAnsi="Times New Roman" w:cs="Times New Roman"/>
                <w:color w:val="000000"/>
                <w:sz w:val="20"/>
                <w:szCs w:val="21"/>
                <w:lang w:eastAsia="en-GB"/>
              </w:rPr>
            </w:pPr>
            <w:r>
              <w:rPr>
                <w:rFonts w:ascii="Times New Roman" w:eastAsia="Times New Roman" w:hAnsi="Times New Roman" w:cs="Times New Roman"/>
                <w:color w:val="000000"/>
                <w:sz w:val="20"/>
                <w:szCs w:val="21"/>
                <w:lang w:eastAsia="en-GB"/>
              </w:rPr>
              <w:t>0.0591</w:t>
            </w:r>
          </w:p>
        </w:tc>
        <w:tc>
          <w:tcPr>
            <w:tcW w:w="566" w:type="dxa"/>
            <w:tcBorders>
              <w:top w:val="nil"/>
              <w:left w:val="nil"/>
              <w:bottom w:val="nil"/>
              <w:right w:val="nil"/>
            </w:tcBorders>
            <w:shd w:val="clear" w:color="auto" w:fill="auto"/>
            <w:noWrap/>
            <w:vAlign w:val="bottom"/>
          </w:tcPr>
          <w:p w14:paraId="0FBC5F39" w14:textId="77777777" w:rsidR="00F92A14" w:rsidRPr="00E93974" w:rsidRDefault="00F92A14" w:rsidP="00F92A14">
            <w:pPr>
              <w:spacing w:after="0" w:line="240" w:lineRule="auto"/>
              <w:jc w:val="right"/>
              <w:rPr>
                <w:rFonts w:ascii="Times New Roman" w:eastAsia="Times New Roman" w:hAnsi="Times New Roman" w:cs="Times New Roman"/>
                <w:color w:val="000000"/>
                <w:sz w:val="20"/>
                <w:szCs w:val="21"/>
                <w:lang w:eastAsia="en-GB"/>
              </w:rPr>
            </w:pPr>
          </w:p>
        </w:tc>
        <w:tc>
          <w:tcPr>
            <w:tcW w:w="730" w:type="dxa"/>
            <w:tcBorders>
              <w:top w:val="nil"/>
              <w:left w:val="nil"/>
              <w:bottom w:val="nil"/>
              <w:right w:val="nil"/>
            </w:tcBorders>
            <w:shd w:val="clear" w:color="auto" w:fill="auto"/>
            <w:noWrap/>
            <w:vAlign w:val="bottom"/>
          </w:tcPr>
          <w:p w14:paraId="489DCB26" w14:textId="77777777" w:rsidR="00F92A14" w:rsidRPr="00E93974" w:rsidRDefault="00F92A14" w:rsidP="00F92A14">
            <w:pPr>
              <w:spacing w:after="0" w:line="240" w:lineRule="auto"/>
              <w:rPr>
                <w:rFonts w:ascii="Times New Roman" w:eastAsia="Times New Roman" w:hAnsi="Times New Roman" w:cs="Times New Roman"/>
                <w:sz w:val="20"/>
                <w:szCs w:val="21"/>
                <w:lang w:eastAsia="en-GB"/>
              </w:rPr>
            </w:pPr>
          </w:p>
        </w:tc>
        <w:tc>
          <w:tcPr>
            <w:tcW w:w="416" w:type="dxa"/>
            <w:tcBorders>
              <w:top w:val="nil"/>
              <w:left w:val="nil"/>
              <w:bottom w:val="nil"/>
              <w:right w:val="nil"/>
            </w:tcBorders>
            <w:shd w:val="clear" w:color="auto" w:fill="auto"/>
            <w:noWrap/>
            <w:vAlign w:val="bottom"/>
          </w:tcPr>
          <w:p w14:paraId="6887488B" w14:textId="77777777" w:rsidR="00F92A14" w:rsidRPr="00E93974" w:rsidRDefault="00F92A14" w:rsidP="00F92A14">
            <w:pPr>
              <w:spacing w:after="0" w:line="240" w:lineRule="auto"/>
              <w:rPr>
                <w:rFonts w:ascii="Times New Roman" w:eastAsia="Times New Roman" w:hAnsi="Times New Roman" w:cs="Times New Roman"/>
                <w:sz w:val="20"/>
                <w:szCs w:val="21"/>
                <w:lang w:eastAsia="en-GB"/>
              </w:rPr>
            </w:pPr>
          </w:p>
        </w:tc>
      </w:tr>
      <w:tr w:rsidR="00F92A14" w:rsidRPr="002802A9" w14:paraId="64CA6B37" w14:textId="77777777" w:rsidTr="00F92A14">
        <w:trPr>
          <w:trHeight w:val="288"/>
          <w:jc w:val="center"/>
        </w:trPr>
        <w:tc>
          <w:tcPr>
            <w:tcW w:w="5016" w:type="dxa"/>
            <w:tcBorders>
              <w:top w:val="nil"/>
              <w:left w:val="nil"/>
              <w:bottom w:val="single" w:sz="4" w:space="0" w:color="auto"/>
              <w:right w:val="nil"/>
            </w:tcBorders>
            <w:shd w:val="clear" w:color="auto" w:fill="auto"/>
            <w:noWrap/>
            <w:vAlign w:val="bottom"/>
            <w:hideMark/>
          </w:tcPr>
          <w:p w14:paraId="2491647D"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r w:rsidRPr="002802A9">
              <w:rPr>
                <w:rFonts w:ascii="Times New Roman" w:eastAsia="Times New Roman" w:hAnsi="Times New Roman" w:cs="Times New Roman"/>
                <w:color w:val="000000"/>
                <w:szCs w:val="21"/>
                <w:lang w:eastAsia="en-GB"/>
              </w:rPr>
              <w:t>Number</w:t>
            </w:r>
          </w:p>
        </w:tc>
        <w:tc>
          <w:tcPr>
            <w:tcW w:w="711" w:type="dxa"/>
            <w:tcBorders>
              <w:top w:val="nil"/>
              <w:left w:val="nil"/>
              <w:bottom w:val="single" w:sz="4" w:space="0" w:color="auto"/>
              <w:right w:val="nil"/>
            </w:tcBorders>
            <w:shd w:val="clear" w:color="auto" w:fill="auto"/>
            <w:noWrap/>
            <w:vAlign w:val="bottom"/>
          </w:tcPr>
          <w:p w14:paraId="78C8D324" w14:textId="77777777" w:rsidR="00F92A14" w:rsidRPr="00E93974" w:rsidRDefault="00F92A14" w:rsidP="00F92A14">
            <w:pPr>
              <w:spacing w:after="0" w:line="240" w:lineRule="auto"/>
              <w:jc w:val="right"/>
              <w:rPr>
                <w:rFonts w:ascii="Times New Roman" w:eastAsia="Times New Roman" w:hAnsi="Times New Roman" w:cs="Times New Roman"/>
                <w:color w:val="000000"/>
                <w:sz w:val="20"/>
                <w:szCs w:val="21"/>
                <w:lang w:eastAsia="en-GB"/>
              </w:rPr>
            </w:pPr>
            <w:r w:rsidRPr="00E93974">
              <w:rPr>
                <w:rFonts w:ascii="Times New Roman" w:eastAsia="Times New Roman" w:hAnsi="Times New Roman" w:cs="Times New Roman"/>
                <w:color w:val="000000"/>
                <w:sz w:val="20"/>
                <w:szCs w:val="21"/>
                <w:lang w:eastAsia="en-GB"/>
              </w:rPr>
              <w:t>2,567</w:t>
            </w:r>
          </w:p>
        </w:tc>
        <w:tc>
          <w:tcPr>
            <w:tcW w:w="601" w:type="dxa"/>
            <w:tcBorders>
              <w:top w:val="nil"/>
              <w:left w:val="nil"/>
              <w:bottom w:val="single" w:sz="4" w:space="0" w:color="auto"/>
              <w:right w:val="nil"/>
            </w:tcBorders>
            <w:shd w:val="clear" w:color="auto" w:fill="auto"/>
            <w:noWrap/>
            <w:vAlign w:val="bottom"/>
          </w:tcPr>
          <w:p w14:paraId="4B591413" w14:textId="77777777" w:rsidR="00F92A14" w:rsidRPr="00E93974" w:rsidRDefault="00F92A14" w:rsidP="00F92A14">
            <w:pPr>
              <w:spacing w:after="0" w:line="240" w:lineRule="auto"/>
              <w:rPr>
                <w:rFonts w:ascii="Times New Roman" w:eastAsia="Times New Roman" w:hAnsi="Times New Roman" w:cs="Times New Roman"/>
                <w:color w:val="000000"/>
                <w:sz w:val="20"/>
                <w:szCs w:val="21"/>
                <w:lang w:eastAsia="en-GB"/>
              </w:rPr>
            </w:pPr>
          </w:p>
        </w:tc>
        <w:tc>
          <w:tcPr>
            <w:tcW w:w="772" w:type="dxa"/>
            <w:tcBorders>
              <w:top w:val="nil"/>
              <w:left w:val="nil"/>
              <w:bottom w:val="single" w:sz="4" w:space="0" w:color="auto"/>
              <w:right w:val="nil"/>
            </w:tcBorders>
            <w:shd w:val="clear" w:color="auto" w:fill="auto"/>
            <w:noWrap/>
            <w:vAlign w:val="bottom"/>
          </w:tcPr>
          <w:p w14:paraId="3363EA74" w14:textId="77777777" w:rsidR="00F92A14" w:rsidRPr="00E93974" w:rsidRDefault="00F92A14" w:rsidP="00F92A14">
            <w:pPr>
              <w:spacing w:after="0" w:line="240" w:lineRule="auto"/>
              <w:rPr>
                <w:rFonts w:ascii="Times New Roman" w:eastAsia="Times New Roman" w:hAnsi="Times New Roman" w:cs="Times New Roman"/>
                <w:color w:val="000000"/>
                <w:sz w:val="20"/>
                <w:szCs w:val="21"/>
                <w:lang w:eastAsia="en-GB"/>
              </w:rPr>
            </w:pPr>
          </w:p>
        </w:tc>
        <w:tc>
          <w:tcPr>
            <w:tcW w:w="271" w:type="dxa"/>
            <w:tcBorders>
              <w:top w:val="nil"/>
              <w:left w:val="nil"/>
              <w:bottom w:val="single" w:sz="4" w:space="0" w:color="auto"/>
              <w:right w:val="nil"/>
            </w:tcBorders>
            <w:shd w:val="clear" w:color="auto" w:fill="auto"/>
            <w:noWrap/>
            <w:vAlign w:val="bottom"/>
          </w:tcPr>
          <w:p w14:paraId="1B263DE8" w14:textId="77777777" w:rsidR="00F92A14" w:rsidRPr="00E93974" w:rsidRDefault="00F92A14" w:rsidP="00F92A14">
            <w:pPr>
              <w:spacing w:after="0" w:line="240" w:lineRule="auto"/>
              <w:rPr>
                <w:rFonts w:ascii="Times New Roman" w:eastAsia="Times New Roman" w:hAnsi="Times New Roman" w:cs="Times New Roman"/>
                <w:color w:val="000000"/>
                <w:sz w:val="20"/>
                <w:szCs w:val="21"/>
                <w:lang w:eastAsia="en-GB"/>
              </w:rPr>
            </w:pPr>
          </w:p>
        </w:tc>
        <w:tc>
          <w:tcPr>
            <w:tcW w:w="271" w:type="dxa"/>
            <w:tcBorders>
              <w:top w:val="nil"/>
              <w:left w:val="nil"/>
              <w:bottom w:val="single" w:sz="4" w:space="0" w:color="auto"/>
              <w:right w:val="nil"/>
            </w:tcBorders>
            <w:shd w:val="clear" w:color="auto" w:fill="auto"/>
            <w:noWrap/>
            <w:vAlign w:val="bottom"/>
          </w:tcPr>
          <w:p w14:paraId="2521B7FD" w14:textId="77777777" w:rsidR="00F92A14" w:rsidRPr="00E93974" w:rsidRDefault="00F92A14" w:rsidP="00F92A14">
            <w:pPr>
              <w:spacing w:after="0" w:line="240" w:lineRule="auto"/>
              <w:rPr>
                <w:rFonts w:ascii="Times New Roman" w:eastAsia="Times New Roman" w:hAnsi="Times New Roman" w:cs="Times New Roman"/>
                <w:color w:val="000000"/>
                <w:sz w:val="20"/>
                <w:szCs w:val="21"/>
                <w:lang w:eastAsia="en-GB"/>
              </w:rPr>
            </w:pPr>
          </w:p>
        </w:tc>
        <w:tc>
          <w:tcPr>
            <w:tcW w:w="666" w:type="dxa"/>
            <w:tcBorders>
              <w:top w:val="nil"/>
              <w:left w:val="nil"/>
              <w:bottom w:val="single" w:sz="4" w:space="0" w:color="auto"/>
              <w:right w:val="nil"/>
            </w:tcBorders>
            <w:shd w:val="clear" w:color="auto" w:fill="auto"/>
            <w:noWrap/>
            <w:vAlign w:val="bottom"/>
          </w:tcPr>
          <w:p w14:paraId="199C1C0F" w14:textId="77777777" w:rsidR="00F92A14" w:rsidRPr="00E93974" w:rsidRDefault="00F92A14" w:rsidP="00F92A14">
            <w:pPr>
              <w:spacing w:after="0" w:line="240" w:lineRule="auto"/>
              <w:jc w:val="right"/>
              <w:rPr>
                <w:rFonts w:ascii="Times New Roman" w:eastAsia="Times New Roman" w:hAnsi="Times New Roman" w:cs="Times New Roman"/>
                <w:color w:val="000000"/>
                <w:sz w:val="20"/>
                <w:szCs w:val="21"/>
                <w:lang w:eastAsia="en-GB"/>
              </w:rPr>
            </w:pPr>
            <w:r w:rsidRPr="00E93974">
              <w:rPr>
                <w:rFonts w:ascii="Times New Roman" w:eastAsia="Times New Roman" w:hAnsi="Times New Roman" w:cs="Times New Roman"/>
                <w:color w:val="000000"/>
                <w:sz w:val="20"/>
                <w:szCs w:val="21"/>
                <w:lang w:eastAsia="en-GB"/>
              </w:rPr>
              <w:t>2,567</w:t>
            </w:r>
          </w:p>
        </w:tc>
        <w:tc>
          <w:tcPr>
            <w:tcW w:w="566" w:type="dxa"/>
            <w:tcBorders>
              <w:top w:val="nil"/>
              <w:left w:val="nil"/>
              <w:bottom w:val="single" w:sz="4" w:space="0" w:color="auto"/>
              <w:right w:val="nil"/>
            </w:tcBorders>
            <w:shd w:val="clear" w:color="auto" w:fill="auto"/>
            <w:noWrap/>
            <w:vAlign w:val="bottom"/>
          </w:tcPr>
          <w:p w14:paraId="14ED394D" w14:textId="77777777" w:rsidR="00F92A14" w:rsidRPr="00E93974" w:rsidRDefault="00F92A14" w:rsidP="00F92A14">
            <w:pPr>
              <w:spacing w:after="0" w:line="240" w:lineRule="auto"/>
              <w:rPr>
                <w:rFonts w:ascii="Times New Roman" w:eastAsia="Times New Roman" w:hAnsi="Times New Roman" w:cs="Times New Roman"/>
                <w:color w:val="000000"/>
                <w:sz w:val="20"/>
                <w:szCs w:val="21"/>
                <w:lang w:eastAsia="en-GB"/>
              </w:rPr>
            </w:pPr>
          </w:p>
        </w:tc>
        <w:tc>
          <w:tcPr>
            <w:tcW w:w="730" w:type="dxa"/>
            <w:tcBorders>
              <w:top w:val="nil"/>
              <w:left w:val="nil"/>
              <w:bottom w:val="single" w:sz="4" w:space="0" w:color="auto"/>
              <w:right w:val="nil"/>
            </w:tcBorders>
            <w:shd w:val="clear" w:color="auto" w:fill="auto"/>
            <w:noWrap/>
            <w:vAlign w:val="bottom"/>
          </w:tcPr>
          <w:p w14:paraId="6BBC0E3F" w14:textId="77777777" w:rsidR="00F92A14" w:rsidRPr="00E93974" w:rsidRDefault="00F92A14" w:rsidP="00F92A14">
            <w:pPr>
              <w:spacing w:after="0" w:line="240" w:lineRule="auto"/>
              <w:rPr>
                <w:rFonts w:ascii="Times New Roman" w:eastAsia="Times New Roman" w:hAnsi="Times New Roman" w:cs="Times New Roman"/>
                <w:color w:val="000000"/>
                <w:sz w:val="20"/>
                <w:szCs w:val="21"/>
                <w:lang w:eastAsia="en-GB"/>
              </w:rPr>
            </w:pPr>
          </w:p>
        </w:tc>
        <w:tc>
          <w:tcPr>
            <w:tcW w:w="416" w:type="dxa"/>
            <w:tcBorders>
              <w:top w:val="nil"/>
              <w:left w:val="nil"/>
              <w:bottom w:val="single" w:sz="4" w:space="0" w:color="auto"/>
              <w:right w:val="nil"/>
            </w:tcBorders>
            <w:shd w:val="clear" w:color="auto" w:fill="auto"/>
            <w:noWrap/>
            <w:vAlign w:val="bottom"/>
          </w:tcPr>
          <w:p w14:paraId="287B6779" w14:textId="77777777" w:rsidR="00F92A14" w:rsidRPr="00E93974" w:rsidRDefault="00F92A14" w:rsidP="00F92A14">
            <w:pPr>
              <w:spacing w:after="0" w:line="240" w:lineRule="auto"/>
              <w:rPr>
                <w:rFonts w:ascii="Times New Roman" w:eastAsia="Times New Roman" w:hAnsi="Times New Roman" w:cs="Times New Roman"/>
                <w:color w:val="000000"/>
                <w:sz w:val="20"/>
                <w:szCs w:val="21"/>
                <w:lang w:eastAsia="en-GB"/>
              </w:rPr>
            </w:pPr>
          </w:p>
        </w:tc>
        <w:tc>
          <w:tcPr>
            <w:tcW w:w="271" w:type="dxa"/>
            <w:tcBorders>
              <w:top w:val="nil"/>
              <w:left w:val="nil"/>
              <w:bottom w:val="single" w:sz="4" w:space="0" w:color="auto"/>
              <w:right w:val="nil"/>
            </w:tcBorders>
            <w:shd w:val="clear" w:color="auto" w:fill="auto"/>
            <w:noWrap/>
            <w:vAlign w:val="bottom"/>
          </w:tcPr>
          <w:p w14:paraId="213D45AE" w14:textId="77777777" w:rsidR="00F92A14" w:rsidRPr="00E93974" w:rsidRDefault="00F92A14" w:rsidP="00F92A14">
            <w:pPr>
              <w:spacing w:after="0" w:line="240" w:lineRule="auto"/>
              <w:rPr>
                <w:rFonts w:ascii="Times New Roman" w:eastAsia="Times New Roman" w:hAnsi="Times New Roman" w:cs="Times New Roman"/>
                <w:color w:val="000000"/>
                <w:sz w:val="20"/>
                <w:szCs w:val="21"/>
                <w:lang w:eastAsia="en-GB"/>
              </w:rPr>
            </w:pPr>
          </w:p>
        </w:tc>
        <w:tc>
          <w:tcPr>
            <w:tcW w:w="666" w:type="dxa"/>
            <w:tcBorders>
              <w:top w:val="nil"/>
              <w:left w:val="nil"/>
              <w:bottom w:val="single" w:sz="4" w:space="0" w:color="auto"/>
              <w:right w:val="nil"/>
            </w:tcBorders>
            <w:shd w:val="clear" w:color="auto" w:fill="auto"/>
            <w:noWrap/>
            <w:vAlign w:val="bottom"/>
          </w:tcPr>
          <w:p w14:paraId="46A6EAF1" w14:textId="77777777" w:rsidR="00F92A14" w:rsidRPr="00E93974" w:rsidRDefault="00F92A14" w:rsidP="00F92A14">
            <w:pPr>
              <w:spacing w:after="0" w:line="240" w:lineRule="auto"/>
              <w:jc w:val="right"/>
              <w:rPr>
                <w:rFonts w:ascii="Times New Roman" w:eastAsia="Times New Roman" w:hAnsi="Times New Roman" w:cs="Times New Roman"/>
                <w:color w:val="000000"/>
                <w:sz w:val="20"/>
                <w:szCs w:val="21"/>
                <w:lang w:eastAsia="en-GB"/>
              </w:rPr>
            </w:pPr>
            <w:r>
              <w:rPr>
                <w:rFonts w:ascii="Times New Roman" w:eastAsia="Times New Roman" w:hAnsi="Times New Roman" w:cs="Times New Roman"/>
                <w:color w:val="000000"/>
                <w:sz w:val="20"/>
                <w:szCs w:val="21"/>
                <w:lang w:eastAsia="en-GB"/>
              </w:rPr>
              <w:t>2,567</w:t>
            </w:r>
          </w:p>
        </w:tc>
        <w:tc>
          <w:tcPr>
            <w:tcW w:w="566" w:type="dxa"/>
            <w:tcBorders>
              <w:top w:val="nil"/>
              <w:left w:val="nil"/>
              <w:bottom w:val="single" w:sz="4" w:space="0" w:color="auto"/>
              <w:right w:val="nil"/>
            </w:tcBorders>
            <w:shd w:val="clear" w:color="auto" w:fill="auto"/>
            <w:noWrap/>
            <w:vAlign w:val="bottom"/>
          </w:tcPr>
          <w:p w14:paraId="0C900B60" w14:textId="77777777" w:rsidR="00F92A14" w:rsidRPr="00E93974" w:rsidRDefault="00F92A14" w:rsidP="00F92A14">
            <w:pPr>
              <w:spacing w:after="0" w:line="240" w:lineRule="auto"/>
              <w:rPr>
                <w:rFonts w:ascii="Times New Roman" w:eastAsia="Times New Roman" w:hAnsi="Times New Roman" w:cs="Times New Roman"/>
                <w:color w:val="000000"/>
                <w:sz w:val="20"/>
                <w:szCs w:val="21"/>
                <w:lang w:eastAsia="en-GB"/>
              </w:rPr>
            </w:pPr>
          </w:p>
        </w:tc>
        <w:tc>
          <w:tcPr>
            <w:tcW w:w="730" w:type="dxa"/>
            <w:tcBorders>
              <w:top w:val="nil"/>
              <w:left w:val="nil"/>
              <w:bottom w:val="single" w:sz="4" w:space="0" w:color="auto"/>
              <w:right w:val="nil"/>
            </w:tcBorders>
            <w:shd w:val="clear" w:color="auto" w:fill="auto"/>
            <w:noWrap/>
            <w:vAlign w:val="bottom"/>
          </w:tcPr>
          <w:p w14:paraId="0D1123F7" w14:textId="77777777" w:rsidR="00F92A14" w:rsidRPr="00E93974" w:rsidRDefault="00F92A14" w:rsidP="00F92A14">
            <w:pPr>
              <w:spacing w:after="0" w:line="240" w:lineRule="auto"/>
              <w:rPr>
                <w:rFonts w:ascii="Times New Roman" w:eastAsia="Times New Roman" w:hAnsi="Times New Roman" w:cs="Times New Roman"/>
                <w:color w:val="000000"/>
                <w:sz w:val="20"/>
                <w:szCs w:val="21"/>
                <w:lang w:eastAsia="en-GB"/>
              </w:rPr>
            </w:pPr>
          </w:p>
        </w:tc>
        <w:tc>
          <w:tcPr>
            <w:tcW w:w="416" w:type="dxa"/>
            <w:tcBorders>
              <w:top w:val="nil"/>
              <w:left w:val="nil"/>
              <w:bottom w:val="single" w:sz="4" w:space="0" w:color="auto"/>
              <w:right w:val="nil"/>
            </w:tcBorders>
            <w:shd w:val="clear" w:color="auto" w:fill="auto"/>
            <w:noWrap/>
            <w:vAlign w:val="bottom"/>
          </w:tcPr>
          <w:p w14:paraId="659D7626" w14:textId="77777777" w:rsidR="00F92A14" w:rsidRPr="00E93974" w:rsidRDefault="00F92A14" w:rsidP="00F92A14">
            <w:pPr>
              <w:spacing w:after="0" w:line="240" w:lineRule="auto"/>
              <w:rPr>
                <w:rFonts w:ascii="Times New Roman" w:eastAsia="Times New Roman" w:hAnsi="Times New Roman" w:cs="Times New Roman"/>
                <w:color w:val="000000"/>
                <w:sz w:val="20"/>
                <w:szCs w:val="21"/>
                <w:lang w:eastAsia="en-GB"/>
              </w:rPr>
            </w:pPr>
          </w:p>
        </w:tc>
      </w:tr>
      <w:tr w:rsidR="00F92A14" w:rsidRPr="002802A9" w14:paraId="21E3CD95" w14:textId="77777777" w:rsidTr="00F92A14">
        <w:trPr>
          <w:trHeight w:val="288"/>
          <w:jc w:val="center"/>
        </w:trPr>
        <w:tc>
          <w:tcPr>
            <w:tcW w:w="5016" w:type="dxa"/>
            <w:tcBorders>
              <w:top w:val="nil"/>
              <w:left w:val="nil"/>
              <w:bottom w:val="nil"/>
              <w:right w:val="nil"/>
            </w:tcBorders>
            <w:shd w:val="clear" w:color="auto" w:fill="auto"/>
            <w:noWrap/>
            <w:vAlign w:val="bottom"/>
            <w:hideMark/>
          </w:tcPr>
          <w:p w14:paraId="44800DE6"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r w:rsidRPr="002802A9">
              <w:rPr>
                <w:rFonts w:ascii="Times New Roman" w:eastAsia="Times New Roman" w:hAnsi="Times New Roman" w:cs="Times New Roman"/>
                <w:color w:val="000000"/>
                <w:szCs w:val="21"/>
                <w:lang w:eastAsia="en-GB"/>
              </w:rPr>
              <w:t>*=</w:t>
            </w:r>
            <w:r w:rsidRPr="002802A9">
              <w:rPr>
                <w:rFonts w:ascii="Times New Roman" w:eastAsia="Times New Roman" w:hAnsi="Times New Roman" w:cs="Times New Roman"/>
                <w:i/>
                <w:iCs/>
                <w:color w:val="000000"/>
                <w:szCs w:val="21"/>
                <w:lang w:eastAsia="en-GB"/>
              </w:rPr>
              <w:t>p</w:t>
            </w:r>
            <w:r w:rsidRPr="002802A9">
              <w:rPr>
                <w:rFonts w:ascii="Times New Roman" w:eastAsia="Times New Roman" w:hAnsi="Times New Roman" w:cs="Times New Roman"/>
                <w:color w:val="000000"/>
                <w:szCs w:val="21"/>
                <w:lang w:eastAsia="en-GB"/>
              </w:rPr>
              <w:t xml:space="preserve"> 0.05, **=p 0.01</w:t>
            </w:r>
          </w:p>
        </w:tc>
        <w:tc>
          <w:tcPr>
            <w:tcW w:w="711" w:type="dxa"/>
            <w:tcBorders>
              <w:top w:val="nil"/>
              <w:left w:val="nil"/>
              <w:bottom w:val="nil"/>
              <w:right w:val="nil"/>
            </w:tcBorders>
            <w:shd w:val="clear" w:color="auto" w:fill="auto"/>
            <w:noWrap/>
            <w:vAlign w:val="bottom"/>
            <w:hideMark/>
          </w:tcPr>
          <w:p w14:paraId="7FA20020" w14:textId="77777777" w:rsidR="00F92A14" w:rsidRPr="002802A9" w:rsidRDefault="00F92A14" w:rsidP="00F92A14">
            <w:pPr>
              <w:spacing w:after="0" w:line="240" w:lineRule="auto"/>
              <w:rPr>
                <w:rFonts w:ascii="Times New Roman" w:eastAsia="Times New Roman" w:hAnsi="Times New Roman" w:cs="Times New Roman"/>
                <w:color w:val="000000"/>
                <w:szCs w:val="21"/>
                <w:lang w:eastAsia="en-GB"/>
              </w:rPr>
            </w:pPr>
          </w:p>
        </w:tc>
        <w:tc>
          <w:tcPr>
            <w:tcW w:w="601" w:type="dxa"/>
            <w:tcBorders>
              <w:top w:val="nil"/>
              <w:left w:val="nil"/>
              <w:bottom w:val="nil"/>
              <w:right w:val="nil"/>
            </w:tcBorders>
            <w:shd w:val="clear" w:color="auto" w:fill="auto"/>
            <w:noWrap/>
            <w:vAlign w:val="bottom"/>
            <w:hideMark/>
          </w:tcPr>
          <w:p w14:paraId="04EBC816"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72" w:type="dxa"/>
            <w:tcBorders>
              <w:top w:val="nil"/>
              <w:left w:val="nil"/>
              <w:bottom w:val="nil"/>
              <w:right w:val="nil"/>
            </w:tcBorders>
            <w:shd w:val="clear" w:color="auto" w:fill="auto"/>
            <w:noWrap/>
            <w:vAlign w:val="bottom"/>
            <w:hideMark/>
          </w:tcPr>
          <w:p w14:paraId="64679C3A"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hideMark/>
          </w:tcPr>
          <w:p w14:paraId="75E14BA9"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hideMark/>
          </w:tcPr>
          <w:p w14:paraId="5F20967E"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hideMark/>
          </w:tcPr>
          <w:p w14:paraId="003A429C"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566" w:type="dxa"/>
            <w:tcBorders>
              <w:top w:val="nil"/>
              <w:left w:val="nil"/>
              <w:bottom w:val="nil"/>
              <w:right w:val="nil"/>
            </w:tcBorders>
            <w:shd w:val="clear" w:color="auto" w:fill="auto"/>
            <w:noWrap/>
            <w:vAlign w:val="bottom"/>
            <w:hideMark/>
          </w:tcPr>
          <w:p w14:paraId="5619FE30"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30" w:type="dxa"/>
            <w:tcBorders>
              <w:top w:val="nil"/>
              <w:left w:val="nil"/>
              <w:bottom w:val="nil"/>
              <w:right w:val="nil"/>
            </w:tcBorders>
            <w:shd w:val="clear" w:color="auto" w:fill="auto"/>
            <w:noWrap/>
            <w:vAlign w:val="bottom"/>
            <w:hideMark/>
          </w:tcPr>
          <w:p w14:paraId="3E395506"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416" w:type="dxa"/>
            <w:tcBorders>
              <w:top w:val="nil"/>
              <w:left w:val="nil"/>
              <w:bottom w:val="nil"/>
              <w:right w:val="nil"/>
            </w:tcBorders>
            <w:shd w:val="clear" w:color="auto" w:fill="auto"/>
            <w:noWrap/>
            <w:vAlign w:val="bottom"/>
            <w:hideMark/>
          </w:tcPr>
          <w:p w14:paraId="387FAA63"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271" w:type="dxa"/>
            <w:tcBorders>
              <w:top w:val="nil"/>
              <w:left w:val="nil"/>
              <w:bottom w:val="nil"/>
              <w:right w:val="nil"/>
            </w:tcBorders>
            <w:shd w:val="clear" w:color="auto" w:fill="auto"/>
            <w:noWrap/>
            <w:vAlign w:val="bottom"/>
            <w:hideMark/>
          </w:tcPr>
          <w:p w14:paraId="14B85E53"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666" w:type="dxa"/>
            <w:tcBorders>
              <w:top w:val="nil"/>
              <w:left w:val="nil"/>
              <w:bottom w:val="nil"/>
              <w:right w:val="nil"/>
            </w:tcBorders>
            <w:shd w:val="clear" w:color="auto" w:fill="auto"/>
            <w:noWrap/>
            <w:vAlign w:val="bottom"/>
            <w:hideMark/>
          </w:tcPr>
          <w:p w14:paraId="00075F23"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566" w:type="dxa"/>
            <w:tcBorders>
              <w:top w:val="nil"/>
              <w:left w:val="nil"/>
              <w:bottom w:val="nil"/>
              <w:right w:val="nil"/>
            </w:tcBorders>
            <w:shd w:val="clear" w:color="auto" w:fill="auto"/>
            <w:noWrap/>
            <w:vAlign w:val="bottom"/>
            <w:hideMark/>
          </w:tcPr>
          <w:p w14:paraId="35D9720B"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730" w:type="dxa"/>
            <w:tcBorders>
              <w:top w:val="nil"/>
              <w:left w:val="nil"/>
              <w:bottom w:val="nil"/>
              <w:right w:val="nil"/>
            </w:tcBorders>
            <w:shd w:val="clear" w:color="auto" w:fill="auto"/>
            <w:noWrap/>
            <w:vAlign w:val="bottom"/>
            <w:hideMark/>
          </w:tcPr>
          <w:p w14:paraId="71F8EFE7"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c>
          <w:tcPr>
            <w:tcW w:w="416" w:type="dxa"/>
            <w:tcBorders>
              <w:top w:val="nil"/>
              <w:left w:val="nil"/>
              <w:bottom w:val="nil"/>
              <w:right w:val="nil"/>
            </w:tcBorders>
            <w:shd w:val="clear" w:color="auto" w:fill="auto"/>
            <w:noWrap/>
            <w:vAlign w:val="bottom"/>
            <w:hideMark/>
          </w:tcPr>
          <w:p w14:paraId="76186B93" w14:textId="77777777" w:rsidR="00F92A14" w:rsidRPr="002802A9" w:rsidRDefault="00F92A14" w:rsidP="00F92A14">
            <w:pPr>
              <w:spacing w:after="0" w:line="240" w:lineRule="auto"/>
              <w:rPr>
                <w:rFonts w:ascii="Times New Roman" w:eastAsia="Times New Roman" w:hAnsi="Times New Roman" w:cs="Times New Roman"/>
                <w:szCs w:val="21"/>
                <w:lang w:eastAsia="en-GB"/>
              </w:rPr>
            </w:pPr>
          </w:p>
        </w:tc>
      </w:tr>
    </w:tbl>
    <w:p w14:paraId="188463EA" w14:textId="2A6FB545" w:rsidR="004A3130" w:rsidRPr="00217014" w:rsidRDefault="004A3130" w:rsidP="00A75C29">
      <w:pPr>
        <w:spacing w:after="0" w:line="480" w:lineRule="auto"/>
        <w:rPr>
          <w:rFonts w:ascii="Times New Roman" w:hAnsi="Times New Roman" w:cs="Times New Roman"/>
          <w:sz w:val="24"/>
          <w:szCs w:val="24"/>
        </w:rPr>
      </w:pPr>
    </w:p>
    <w:sectPr w:rsidR="004A3130" w:rsidRPr="00217014" w:rsidSect="00A75C29">
      <w:pgSz w:w="16838" w:h="11906" w:orient="landscape"/>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24041" w14:textId="77777777" w:rsidR="00F92A14" w:rsidRDefault="00F92A14" w:rsidP="00324193">
      <w:pPr>
        <w:spacing w:after="0" w:line="240" w:lineRule="auto"/>
      </w:pPr>
      <w:r>
        <w:separator/>
      </w:r>
    </w:p>
  </w:endnote>
  <w:endnote w:type="continuationSeparator" w:id="0">
    <w:p w14:paraId="60AF8D0F" w14:textId="77777777" w:rsidR="00F92A14" w:rsidRDefault="00F92A14" w:rsidP="00324193">
      <w:pPr>
        <w:spacing w:after="0" w:line="240" w:lineRule="auto"/>
      </w:pPr>
      <w:r>
        <w:continuationSeparator/>
      </w:r>
    </w:p>
  </w:endnote>
  <w:endnote w:id="1">
    <w:p w14:paraId="3524236C" w14:textId="2DFADC4F" w:rsidR="00F92A14" w:rsidRPr="007C5D50" w:rsidRDefault="00F92A14" w:rsidP="00E8236C">
      <w:pPr>
        <w:pStyle w:val="EndnoteText"/>
        <w:rPr>
          <w:rFonts w:ascii="Times New Roman" w:hAnsi="Times New Roman" w:cs="Times New Roman"/>
        </w:rPr>
      </w:pPr>
      <w:r w:rsidRPr="007C5D50">
        <w:rPr>
          <w:rStyle w:val="EndnoteReference"/>
          <w:rFonts w:ascii="Times New Roman" w:hAnsi="Times New Roman" w:cs="Times New Roman"/>
        </w:rPr>
        <w:endnoteRef/>
      </w:r>
      <w:r w:rsidRPr="007C5D50">
        <w:rPr>
          <w:rFonts w:ascii="Times New Roman" w:hAnsi="Times New Roman" w:cs="Times New Roman"/>
        </w:rPr>
        <w:t xml:space="preserve"> Amount based on a full-time UK-domiciled undergraduate without dependants or a disability but with a low household income starting in September 2016 and studying in London.</w:t>
      </w:r>
      <w:r>
        <w:rPr>
          <w:rFonts w:ascii="Times New Roman" w:hAnsi="Times New Roman" w:cs="Times New Roman"/>
        </w:rPr>
        <w:t xml:space="preserve"> Source: Student Finance England website: </w:t>
      </w:r>
      <w:hyperlink r:id="rId1" w:history="1">
        <w:r w:rsidRPr="00E56C78">
          <w:rPr>
            <w:rStyle w:val="Hyperlink"/>
            <w:rFonts w:ascii="Times New Roman" w:hAnsi="Times New Roman" w:cs="Times New Roman"/>
          </w:rPr>
          <w:t>https://www.gov.uk/student-finance-calculator</w:t>
        </w:r>
      </w:hyperlink>
      <w:r>
        <w:rPr>
          <w:rFonts w:ascii="Times New Roman" w:hAnsi="Times New Roman" w:cs="Times New Roman"/>
        </w:rPr>
        <w:t xml:space="preserve"> (accessed 19 January 2016).</w:t>
      </w:r>
    </w:p>
  </w:endnote>
  <w:endnote w:id="2">
    <w:p w14:paraId="053B8B3A" w14:textId="649F10EF" w:rsidR="00F92A14" w:rsidRPr="002B3A98" w:rsidRDefault="00F92A14" w:rsidP="00E8236C">
      <w:pPr>
        <w:widowControl w:val="0"/>
        <w:autoSpaceDE w:val="0"/>
        <w:autoSpaceDN w:val="0"/>
        <w:adjustRightInd w:val="0"/>
        <w:spacing w:after="0" w:line="240" w:lineRule="auto"/>
        <w:rPr>
          <w:rFonts w:ascii="Times New Roman" w:hAnsi="Times New Roman" w:cs="Times New Roman"/>
          <w:b/>
          <w:sz w:val="20"/>
          <w:szCs w:val="20"/>
        </w:rPr>
      </w:pPr>
      <w:r w:rsidRPr="002B3A98">
        <w:rPr>
          <w:rStyle w:val="EndnoteReference"/>
          <w:rFonts w:ascii="Times New Roman" w:hAnsi="Times New Roman" w:cs="Times New Roman"/>
          <w:sz w:val="20"/>
          <w:szCs w:val="20"/>
        </w:rPr>
        <w:endnoteRef/>
      </w:r>
      <w:r w:rsidRPr="002B3A98">
        <w:rPr>
          <w:rFonts w:ascii="Times New Roman" w:hAnsi="Times New Roman" w:cs="Times New Roman"/>
          <w:sz w:val="20"/>
          <w:szCs w:val="20"/>
        </w:rPr>
        <w:t xml:space="preserve"> See Hancock </w:t>
      </w:r>
      <w:r w:rsidRPr="002B3A98">
        <w:rPr>
          <w:rFonts w:ascii="Times New Roman" w:hAnsi="Times New Roman" w:cs="Times New Roman"/>
          <w:i/>
          <w:sz w:val="20"/>
          <w:szCs w:val="20"/>
        </w:rPr>
        <w:t>et al</w:t>
      </w:r>
      <w:r w:rsidRPr="002B3A98">
        <w:rPr>
          <w:rFonts w:ascii="Times New Roman" w:hAnsi="Times New Roman" w:cs="Times New Roman"/>
          <w:sz w:val="20"/>
          <w:szCs w:val="20"/>
        </w:rPr>
        <w:t xml:space="preserve"> (2015) for full details of the weighting procedure.</w:t>
      </w:r>
    </w:p>
  </w:endnote>
  <w:endnote w:id="3">
    <w:p w14:paraId="727D9BF7" w14:textId="54F6F47B" w:rsidR="00F92A14" w:rsidRPr="004A0CF8" w:rsidRDefault="00F92A14">
      <w:pPr>
        <w:pStyle w:val="EndnoteText"/>
        <w:rPr>
          <w:rFonts w:ascii="Times New Roman" w:hAnsi="Times New Roman" w:cs="Times New Roman"/>
        </w:rPr>
      </w:pPr>
      <w:r w:rsidRPr="004A0CF8">
        <w:rPr>
          <w:rStyle w:val="EndnoteReference"/>
          <w:rFonts w:ascii="Times New Roman" w:hAnsi="Times New Roman" w:cs="Times New Roman"/>
        </w:rPr>
        <w:endnoteRef/>
      </w:r>
      <w:r w:rsidRPr="004A0CF8">
        <w:rPr>
          <w:rFonts w:ascii="Times New Roman" w:hAnsi="Times New Roman" w:cs="Times New Roman"/>
        </w:rPr>
        <w:t xml:space="preserve"> </w:t>
      </w:r>
      <w:r>
        <w:rPr>
          <w:rFonts w:ascii="Times New Roman" w:hAnsi="Times New Roman" w:cs="Times New Roman"/>
        </w:rPr>
        <w:t>A</w:t>
      </w:r>
      <w:r w:rsidRPr="004A0CF8">
        <w:rPr>
          <w:rFonts w:ascii="Times New Roman" w:hAnsi="Times New Roman" w:cs="Times New Roman"/>
        </w:rPr>
        <w:t xml:space="preserve"> classification categoris</w:t>
      </w:r>
      <w:r>
        <w:rPr>
          <w:rFonts w:ascii="Times New Roman" w:hAnsi="Times New Roman" w:cs="Times New Roman"/>
        </w:rPr>
        <w:t>ing</w:t>
      </w:r>
      <w:r w:rsidRPr="004A0CF8">
        <w:rPr>
          <w:rFonts w:ascii="Times New Roman" w:hAnsi="Times New Roman" w:cs="Times New Roman"/>
        </w:rPr>
        <w:t xml:space="preserve"> UK areas in quintiles according to HE participation rates. See: </w:t>
      </w:r>
      <w:hyperlink r:id="rId2" w:history="1">
        <w:r w:rsidRPr="004A0CF8">
          <w:rPr>
            <w:rStyle w:val="Hyperlink"/>
            <w:rFonts w:ascii="Times New Roman" w:hAnsi="Times New Roman" w:cs="Times New Roman"/>
          </w:rPr>
          <w:t>http://www.hefce.ac.uk/analysis/yp/POLAR</w:t>
        </w:r>
      </w:hyperlink>
      <w:r w:rsidRPr="004A0CF8">
        <w:rPr>
          <w:rFonts w:ascii="Times New Roman" w:hAnsi="Times New Roman" w:cs="Times New Roman"/>
        </w:rPr>
        <w:t xml:space="preserve"> (access</w:t>
      </w:r>
      <w:r>
        <w:rPr>
          <w:rFonts w:ascii="Times New Roman" w:hAnsi="Times New Roman" w:cs="Times New Roman"/>
        </w:rPr>
        <w:t>ed</w:t>
      </w:r>
      <w:r w:rsidRPr="004A0CF8">
        <w:rPr>
          <w:rFonts w:ascii="Times New Roman" w:hAnsi="Times New Roman" w:cs="Times New Roman"/>
        </w:rPr>
        <w:t xml:space="preserve"> 4 August 2016)</w:t>
      </w:r>
    </w:p>
  </w:endnote>
  <w:endnote w:id="4">
    <w:p w14:paraId="6EE55AB9" w14:textId="1361386C" w:rsidR="00F92A14" w:rsidRPr="00206524" w:rsidRDefault="00F92A14" w:rsidP="00E8236C">
      <w:pPr>
        <w:pStyle w:val="EndnoteText"/>
        <w:rPr>
          <w:rFonts w:ascii="Times New Roman" w:hAnsi="Times New Roman" w:cs="Times New Roman"/>
        </w:rPr>
      </w:pPr>
      <w:r w:rsidRPr="00206524">
        <w:rPr>
          <w:rStyle w:val="EndnoteReference"/>
          <w:rFonts w:ascii="Times New Roman" w:hAnsi="Times New Roman" w:cs="Times New Roman"/>
          <w:sz w:val="22"/>
        </w:rPr>
        <w:endnoteRef/>
      </w:r>
      <w:r w:rsidRPr="00206524">
        <w:rPr>
          <w:rFonts w:ascii="Times New Roman" w:hAnsi="Times New Roman" w:cs="Times New Roman"/>
          <w:sz w:val="22"/>
        </w:rPr>
        <w:t xml:space="preserve"> </w:t>
      </w:r>
      <w:r w:rsidRPr="00206524">
        <w:rPr>
          <w:rFonts w:ascii="Times New Roman" w:hAnsi="Times New Roman" w:cs="Times New Roman"/>
          <w:szCs w:val="22"/>
        </w:rPr>
        <w:t xml:space="preserve">See the working paper by Hansen and </w:t>
      </w:r>
      <w:proofErr w:type="spellStart"/>
      <w:r w:rsidRPr="00206524">
        <w:rPr>
          <w:rFonts w:ascii="Times New Roman" w:hAnsi="Times New Roman" w:cs="Times New Roman"/>
          <w:szCs w:val="22"/>
        </w:rPr>
        <w:t>Kneale</w:t>
      </w:r>
      <w:proofErr w:type="spellEnd"/>
      <w:r w:rsidRPr="00206524">
        <w:rPr>
          <w:rFonts w:ascii="Times New Roman" w:hAnsi="Times New Roman" w:cs="Times New Roman"/>
          <w:szCs w:val="22"/>
        </w:rPr>
        <w:t xml:space="preserve"> (2011) for discussion and analysis o</w:t>
      </w:r>
      <w:r>
        <w:rPr>
          <w:rFonts w:ascii="Times New Roman" w:hAnsi="Times New Roman" w:cs="Times New Roman"/>
          <w:szCs w:val="22"/>
        </w:rPr>
        <w:t>f</w:t>
      </w:r>
      <w:r w:rsidRPr="00206524">
        <w:rPr>
          <w:rFonts w:ascii="Times New Roman" w:hAnsi="Times New Roman" w:cs="Times New Roman"/>
          <w:szCs w:val="22"/>
        </w:rPr>
        <w:t xml:space="preserve"> self-report income data in large-scale UK surveys.</w:t>
      </w:r>
    </w:p>
  </w:endnote>
  <w:endnote w:id="5">
    <w:p w14:paraId="5098C44E" w14:textId="77777777" w:rsidR="00F92A14" w:rsidRPr="000940C2" w:rsidRDefault="00F92A14" w:rsidP="0025476E">
      <w:pPr>
        <w:pStyle w:val="EndnoteText"/>
        <w:rPr>
          <w:rFonts w:ascii="Times New Roman" w:hAnsi="Times New Roman" w:cs="Times New Roman"/>
        </w:rPr>
      </w:pPr>
      <w:r w:rsidRPr="000940C2">
        <w:rPr>
          <w:rStyle w:val="EndnoteReference"/>
          <w:rFonts w:ascii="Times New Roman" w:hAnsi="Times New Roman" w:cs="Times New Roman"/>
        </w:rPr>
        <w:endnoteRef/>
      </w:r>
      <w:r w:rsidRPr="000940C2">
        <w:rPr>
          <w:rFonts w:ascii="Times New Roman" w:hAnsi="Times New Roman" w:cs="Times New Roman"/>
        </w:rPr>
        <w:t xml:space="preserve"> The Russell Group represent</w:t>
      </w:r>
      <w:r>
        <w:rPr>
          <w:rFonts w:ascii="Times New Roman" w:hAnsi="Times New Roman" w:cs="Times New Roman"/>
        </w:rPr>
        <w:t>s</w:t>
      </w:r>
      <w:r w:rsidRPr="000940C2">
        <w:rPr>
          <w:rFonts w:ascii="Times New Roman" w:hAnsi="Times New Roman" w:cs="Times New Roman"/>
        </w:rPr>
        <w:t xml:space="preserve"> 24 research-intensive British universities</w:t>
      </w:r>
      <w:r>
        <w:rPr>
          <w:rFonts w:ascii="Times New Roman" w:hAnsi="Times New Roman" w:cs="Times New Roman"/>
        </w:rPr>
        <w:t>, sometimes seen as a British ‘Ivy League’.</w:t>
      </w:r>
    </w:p>
  </w:endnote>
  <w:endnote w:id="6">
    <w:p w14:paraId="30EFEA9B" w14:textId="075EDBB2" w:rsidR="00F92A14" w:rsidRPr="004766BA" w:rsidRDefault="00F92A14" w:rsidP="00E8236C">
      <w:pPr>
        <w:pStyle w:val="EndnoteText"/>
        <w:rPr>
          <w:rFonts w:ascii="Times New Roman" w:hAnsi="Times New Roman" w:cs="Times New Roman"/>
        </w:rPr>
      </w:pPr>
      <w:r w:rsidRPr="004766BA">
        <w:rPr>
          <w:rStyle w:val="EndnoteReference"/>
          <w:rFonts w:ascii="Times New Roman" w:hAnsi="Times New Roman" w:cs="Times New Roman"/>
        </w:rPr>
        <w:endnoteRef/>
      </w:r>
      <w:r w:rsidRPr="004766BA">
        <w:rPr>
          <w:rFonts w:ascii="Times New Roman" w:hAnsi="Times New Roman" w:cs="Times New Roman"/>
        </w:rPr>
        <w:t xml:space="preserve"> Nevertheless, there remains a probability </w:t>
      </w:r>
      <w:r>
        <w:rPr>
          <w:rFonts w:ascii="Times New Roman" w:hAnsi="Times New Roman" w:cs="Times New Roman"/>
        </w:rPr>
        <w:t>of</w:t>
      </w:r>
      <w:r w:rsidRPr="004766BA">
        <w:rPr>
          <w:rFonts w:ascii="Times New Roman" w:hAnsi="Times New Roman" w:cs="Times New Roman"/>
        </w:rPr>
        <w:t xml:space="preserve"> over-representation of those making the transition to postgraduate study within our survey dataset, even following weighting.</w:t>
      </w:r>
    </w:p>
  </w:endnote>
  <w:endnote w:id="7">
    <w:p w14:paraId="438F5643" w14:textId="369D0A14" w:rsidR="00F92A14" w:rsidRPr="00206524" w:rsidRDefault="00F92A14" w:rsidP="00E8236C">
      <w:pPr>
        <w:pStyle w:val="EndnoteText"/>
        <w:rPr>
          <w:rFonts w:ascii="Times New Roman" w:hAnsi="Times New Roman" w:cs="Times New Roman"/>
          <w:sz w:val="22"/>
        </w:rPr>
      </w:pPr>
      <w:r w:rsidRPr="00206524">
        <w:rPr>
          <w:rStyle w:val="EndnoteReference"/>
          <w:rFonts w:ascii="Times New Roman" w:hAnsi="Times New Roman" w:cs="Times New Roman"/>
          <w:sz w:val="22"/>
        </w:rPr>
        <w:endnoteRef/>
      </w:r>
      <w:r w:rsidRPr="00206524">
        <w:rPr>
          <w:rFonts w:ascii="Times New Roman" w:hAnsi="Times New Roman" w:cs="Times New Roman"/>
          <w:sz w:val="22"/>
        </w:rPr>
        <w:t xml:space="preserve"> </w:t>
      </w:r>
      <w:r w:rsidRPr="00206524">
        <w:rPr>
          <w:rFonts w:ascii="Times New Roman" w:hAnsi="Times New Roman" w:cs="Times New Roman"/>
          <w:szCs w:val="22"/>
        </w:rPr>
        <w:t>Categories not mutually exclusive.</w:t>
      </w:r>
    </w:p>
  </w:endnote>
  <w:endnote w:id="8">
    <w:p w14:paraId="701ACD4F" w14:textId="077A5A38" w:rsidR="00F92A14" w:rsidRPr="00E81782" w:rsidRDefault="00F92A14">
      <w:pPr>
        <w:pStyle w:val="EndnoteText"/>
        <w:rPr>
          <w:rFonts w:ascii="Times New Roman" w:hAnsi="Times New Roman" w:cs="Times New Roman"/>
        </w:rPr>
      </w:pPr>
      <w:r w:rsidRPr="00E81782">
        <w:rPr>
          <w:rStyle w:val="EndnoteReference"/>
          <w:rFonts w:ascii="Times New Roman" w:hAnsi="Times New Roman" w:cs="Times New Roman"/>
        </w:rPr>
        <w:endnoteRef/>
      </w:r>
      <w:r w:rsidRPr="00E81782">
        <w:rPr>
          <w:rFonts w:ascii="Times New Roman" w:hAnsi="Times New Roman" w:cs="Times New Roman"/>
        </w:rPr>
        <w:t xml:space="preserve"> We would expect </w:t>
      </w:r>
      <w:r>
        <w:rPr>
          <w:rFonts w:ascii="Times New Roman" w:hAnsi="Times New Roman" w:cs="Times New Roman"/>
        </w:rPr>
        <w:t xml:space="preserve">2009 </w:t>
      </w:r>
      <w:r w:rsidRPr="00E81782">
        <w:rPr>
          <w:rFonts w:ascii="Times New Roman" w:hAnsi="Times New Roman" w:cs="Times New Roman"/>
        </w:rPr>
        <w:t>graduates</w:t>
      </w:r>
      <w:r>
        <w:rPr>
          <w:rFonts w:ascii="Times New Roman" w:hAnsi="Times New Roman" w:cs="Times New Roman"/>
        </w:rPr>
        <w:t xml:space="preserve"> of four-year programmes</w:t>
      </w:r>
      <w:r w:rsidRPr="00E81782">
        <w:rPr>
          <w:rFonts w:ascii="Times New Roman" w:hAnsi="Times New Roman" w:cs="Times New Roman"/>
        </w:rPr>
        <w:t xml:space="preserve"> to have lower debt as they entered university on a lower-fee regime. Four-year graduates in 2012 would conversely have higher debt as they had an extra year of higher fees compared to three-year graduates. </w:t>
      </w:r>
      <w:r>
        <w:rPr>
          <w:rFonts w:ascii="Times New Roman" w:hAnsi="Times New Roman" w:cs="Times New Roman"/>
        </w:rPr>
        <w:t>As a sensitivity check, w</w:t>
      </w:r>
      <w:r w:rsidRPr="00E81782">
        <w:rPr>
          <w:rFonts w:ascii="Times New Roman" w:hAnsi="Times New Roman" w:cs="Times New Roman"/>
        </w:rPr>
        <w:t>e re-ran our models excluding four-year graduates; while these gave a slightly better model fit, there were no substantive changes in coefficients.</w:t>
      </w:r>
    </w:p>
  </w:endnote>
  <w:endnote w:id="9">
    <w:p w14:paraId="71F25AD1" w14:textId="7CEB8301" w:rsidR="00F92A14" w:rsidRPr="00E8236C" w:rsidRDefault="00F92A14">
      <w:pPr>
        <w:pStyle w:val="EndnoteText"/>
        <w:rPr>
          <w:rFonts w:ascii="Times New Roman" w:hAnsi="Times New Roman" w:cs="Times New Roman"/>
        </w:rPr>
      </w:pPr>
      <w:r w:rsidRPr="00E8236C">
        <w:rPr>
          <w:rStyle w:val="EndnoteReference"/>
          <w:rFonts w:ascii="Times New Roman" w:hAnsi="Times New Roman" w:cs="Times New Roman"/>
        </w:rPr>
        <w:endnoteRef/>
      </w:r>
      <w:r w:rsidRPr="00E8236C">
        <w:rPr>
          <w:rFonts w:ascii="Times New Roman" w:hAnsi="Times New Roman" w:cs="Times New Roman"/>
        </w:rPr>
        <w:t xml:space="preserve"> This variable </w:t>
      </w:r>
      <w:r>
        <w:rPr>
          <w:rFonts w:ascii="Times New Roman" w:hAnsi="Times New Roman" w:cs="Times New Roman"/>
        </w:rPr>
        <w:t>compares</w:t>
      </w:r>
      <w:r w:rsidRPr="00E8236C">
        <w:rPr>
          <w:rFonts w:ascii="Times New Roman" w:hAnsi="Times New Roman" w:cs="Times New Roman"/>
        </w:rPr>
        <w:t xml:space="preserve"> students’ original reported debt and </w:t>
      </w:r>
      <w:r>
        <w:rPr>
          <w:rFonts w:ascii="Times New Roman" w:hAnsi="Times New Roman" w:cs="Times New Roman"/>
        </w:rPr>
        <w:t>that</w:t>
      </w:r>
      <w:r w:rsidRPr="00E8236C">
        <w:rPr>
          <w:rFonts w:ascii="Times New Roman" w:hAnsi="Times New Roman" w:cs="Times New Roman"/>
        </w:rPr>
        <w:t xml:space="preserve"> they reported in 2014. If debt was lower, </w:t>
      </w:r>
      <w:r>
        <w:rPr>
          <w:rFonts w:ascii="Times New Roman" w:hAnsi="Times New Roman" w:cs="Times New Roman"/>
        </w:rPr>
        <w:t>they were</w:t>
      </w:r>
      <w:r w:rsidRPr="00E8236C">
        <w:rPr>
          <w:rFonts w:ascii="Times New Roman" w:hAnsi="Times New Roman" w:cs="Times New Roman"/>
        </w:rPr>
        <w:t xml:space="preserve"> coded as having reduced their debt. The</w:t>
      </w:r>
      <w:r>
        <w:rPr>
          <w:rFonts w:ascii="Times New Roman" w:hAnsi="Times New Roman" w:cs="Times New Roman"/>
        </w:rPr>
        <w:t xml:space="preserve"> </w:t>
      </w:r>
      <w:r w:rsidRPr="00E8236C">
        <w:rPr>
          <w:rFonts w:ascii="Times New Roman" w:hAnsi="Times New Roman" w:cs="Times New Roman"/>
        </w:rPr>
        <w:t xml:space="preserve">last </w:t>
      </w:r>
      <w:r>
        <w:rPr>
          <w:rFonts w:ascii="Times New Roman" w:hAnsi="Times New Roman" w:cs="Times New Roman"/>
        </w:rPr>
        <w:t>row</w:t>
      </w:r>
      <w:r w:rsidRPr="00E8236C">
        <w:rPr>
          <w:rFonts w:ascii="Times New Roman" w:hAnsi="Times New Roman" w:cs="Times New Roman"/>
        </w:rPr>
        <w:t xml:space="preserve"> of </w:t>
      </w:r>
      <w:r>
        <w:rPr>
          <w:rFonts w:ascii="Times New Roman" w:hAnsi="Times New Roman" w:cs="Times New Roman"/>
        </w:rPr>
        <w:t>T</w:t>
      </w:r>
      <w:r w:rsidRPr="00E8236C">
        <w:rPr>
          <w:rFonts w:ascii="Times New Roman" w:hAnsi="Times New Roman" w:cs="Times New Roman"/>
        </w:rPr>
        <w:t>able 2 simply report</w:t>
      </w:r>
      <w:r>
        <w:rPr>
          <w:rFonts w:ascii="Times New Roman" w:hAnsi="Times New Roman" w:cs="Times New Roman"/>
        </w:rPr>
        <w:t>s</w:t>
      </w:r>
      <w:r w:rsidRPr="00E8236C">
        <w:rPr>
          <w:rFonts w:ascii="Times New Roman" w:hAnsi="Times New Roman" w:cs="Times New Roman"/>
        </w:rPr>
        <w:t xml:space="preserve"> the</w:t>
      </w:r>
      <w:r>
        <w:rPr>
          <w:rFonts w:ascii="Times New Roman" w:hAnsi="Times New Roman" w:cs="Times New Roman"/>
        </w:rPr>
        <w:t xml:space="preserve"> percentage</w:t>
      </w:r>
      <w:r w:rsidRPr="00E8236C">
        <w:rPr>
          <w:rFonts w:ascii="Times New Roman" w:hAnsi="Times New Roman" w:cs="Times New Roman"/>
        </w:rPr>
        <w:t xml:space="preserve"> of students who had less debt in 20</w:t>
      </w:r>
      <w:bookmarkStart w:id="0" w:name="_GoBack"/>
      <w:bookmarkEnd w:id="0"/>
      <w:r w:rsidRPr="00E8236C">
        <w:rPr>
          <w:rFonts w:ascii="Times New Roman" w:hAnsi="Times New Roman" w:cs="Times New Roman"/>
        </w:rPr>
        <w:t xml:space="preserve">14 </w:t>
      </w:r>
      <w:r>
        <w:rPr>
          <w:rFonts w:ascii="Times New Roman" w:hAnsi="Times New Roman" w:cs="Times New Roman"/>
        </w:rPr>
        <w:t>than</w:t>
      </w:r>
      <w:r w:rsidRPr="00E8236C">
        <w:rPr>
          <w:rFonts w:ascii="Times New Roman" w:hAnsi="Times New Roman" w:cs="Times New Roman"/>
        </w:rPr>
        <w:t xml:space="preserve"> </w:t>
      </w:r>
      <w:r>
        <w:rPr>
          <w:rFonts w:ascii="Times New Roman" w:hAnsi="Times New Roman" w:cs="Times New Roman"/>
        </w:rPr>
        <w:t>at</w:t>
      </w:r>
      <w:r w:rsidRPr="00E8236C">
        <w:rPr>
          <w:rFonts w:ascii="Times New Roman" w:hAnsi="Times New Roman" w:cs="Times New Roman"/>
        </w:rPr>
        <w:t xml:space="preserve"> graduat</w:t>
      </w:r>
      <w:r>
        <w:rPr>
          <w:rFonts w:ascii="Times New Roman" w:hAnsi="Times New Roman" w:cs="Times New Roman"/>
        </w:rPr>
        <w:t>ion</w:t>
      </w:r>
      <w:r w:rsidRPr="00E8236C">
        <w:rPr>
          <w:rFonts w:ascii="Times New Roman" w:hAnsi="Times New Roman" w:cs="Times New Roman"/>
        </w:rPr>
        <w:t>.</w:t>
      </w:r>
    </w:p>
  </w:endnote>
  <w:endnote w:id="10">
    <w:p w14:paraId="36D77B3A" w14:textId="60101B37" w:rsidR="00F92A14" w:rsidRPr="00C0565B" w:rsidRDefault="00F92A14" w:rsidP="00C0565B">
      <w:pPr>
        <w:pStyle w:val="EndnoteText"/>
        <w:rPr>
          <w:rFonts w:ascii="Times New Roman" w:hAnsi="Times New Roman" w:cs="Times New Roman"/>
        </w:rPr>
      </w:pPr>
      <w:r w:rsidRPr="00C0565B">
        <w:rPr>
          <w:rStyle w:val="EndnoteReference"/>
          <w:rFonts w:ascii="Times New Roman" w:hAnsi="Times New Roman" w:cs="Times New Roman"/>
        </w:rPr>
        <w:endnoteRef/>
      </w:r>
      <w:r w:rsidRPr="00C0565B">
        <w:rPr>
          <w:rFonts w:ascii="Times New Roman" w:hAnsi="Times New Roman" w:cs="Times New Roman"/>
        </w:rPr>
        <w:t xml:space="preserve"> </w:t>
      </w:r>
      <w:r>
        <w:rPr>
          <w:rFonts w:ascii="Times New Roman" w:hAnsi="Times New Roman" w:cs="Times New Roman"/>
        </w:rPr>
        <w:t>T</w:t>
      </w:r>
      <w:r w:rsidRPr="00C0565B">
        <w:rPr>
          <w:rFonts w:ascii="Times New Roman" w:hAnsi="Times New Roman" w:cs="Times New Roman"/>
        </w:rPr>
        <w:t xml:space="preserve">he </w:t>
      </w:r>
      <w:r>
        <w:rPr>
          <w:rFonts w:ascii="Times New Roman" w:hAnsi="Times New Roman" w:cs="Times New Roman"/>
        </w:rPr>
        <w:t>validity of</w:t>
      </w:r>
      <w:r w:rsidRPr="00C0565B">
        <w:rPr>
          <w:rFonts w:ascii="Times New Roman" w:hAnsi="Times New Roman" w:cs="Times New Roman"/>
        </w:rPr>
        <w:t xml:space="preserve"> compari</w:t>
      </w:r>
      <w:r>
        <w:rPr>
          <w:rFonts w:ascii="Times New Roman" w:hAnsi="Times New Roman" w:cs="Times New Roman"/>
        </w:rPr>
        <w:t>ng</w:t>
      </w:r>
      <w:r w:rsidRPr="00C0565B">
        <w:rPr>
          <w:rFonts w:ascii="Times New Roman" w:hAnsi="Times New Roman" w:cs="Times New Roman"/>
        </w:rPr>
        <w:t xml:space="preserve"> odds ratios across logistic regression models </w:t>
      </w:r>
      <w:r>
        <w:rPr>
          <w:rFonts w:ascii="Times New Roman" w:hAnsi="Times New Roman" w:cs="Times New Roman"/>
        </w:rPr>
        <w:t>has been questioned in an influential article by Mood (2010)</w:t>
      </w:r>
      <w:r w:rsidRPr="00C0565B">
        <w:rPr>
          <w:rFonts w:ascii="Times New Roman" w:hAnsi="Times New Roman" w:cs="Times New Roman"/>
        </w:rPr>
        <w:t>.</w:t>
      </w:r>
      <w:r>
        <w:rPr>
          <w:rFonts w:ascii="Times New Roman" w:hAnsi="Times New Roman" w:cs="Times New Roman"/>
        </w:rPr>
        <w:t xml:space="preserve"> There is insufficient space to fully review the arguments here; briefly, she argues that adding variables to models or comparing across datasets </w:t>
      </w:r>
      <w:r w:rsidRPr="00C0565B">
        <w:rPr>
          <w:rFonts w:ascii="Times New Roman" w:hAnsi="Times New Roman" w:cs="Times New Roman"/>
        </w:rPr>
        <w:t>changes the effects of the variables already in that model. Essentially this is because Mood conceives of logistic regression as representing the</w:t>
      </w:r>
      <w:r w:rsidRPr="00C0565B">
        <w:rPr>
          <w:rFonts w:ascii="Times New Roman" w:hAnsi="Times New Roman" w:cs="Times New Roman"/>
          <w:u w:val="single"/>
        </w:rPr>
        <w:t xml:space="preserve"> </w:t>
      </w:r>
      <w:r w:rsidRPr="00CF0DA2">
        <w:rPr>
          <w:rFonts w:ascii="Times New Roman" w:hAnsi="Times New Roman" w:cs="Times New Roman"/>
          <w:i/>
          <w:u w:val="single"/>
        </w:rPr>
        <w:t>latent propensity</w:t>
      </w:r>
      <w:r w:rsidRPr="00C0565B">
        <w:rPr>
          <w:rFonts w:ascii="Times New Roman" w:hAnsi="Times New Roman" w:cs="Times New Roman"/>
        </w:rPr>
        <w:t xml:space="preserve"> for an event to occur. Because the variable is latent, we do not know its scale, which is instead taken from the error term of the residual variance. If the residual variance changes, as it will when a new variable is added to the model, then the scale changes. Mood proposes using average marginal effects, instead of odds ratios, as a means of overcoming this problem.</w:t>
      </w:r>
    </w:p>
    <w:p w14:paraId="2A0846D5" w14:textId="5181BC4B" w:rsidR="00F92A14" w:rsidRPr="00C0565B" w:rsidRDefault="00F92A14" w:rsidP="00DA61BB">
      <w:pPr>
        <w:pStyle w:val="EndnoteText"/>
        <w:ind w:firstLine="720"/>
        <w:rPr>
          <w:rFonts w:ascii="Times New Roman" w:hAnsi="Times New Roman" w:cs="Times New Roman"/>
        </w:rPr>
      </w:pPr>
      <w:proofErr w:type="spellStart"/>
      <w:r w:rsidRPr="00C0565B">
        <w:rPr>
          <w:rFonts w:ascii="Times New Roman" w:hAnsi="Times New Roman" w:cs="Times New Roman"/>
        </w:rPr>
        <w:t>Buis</w:t>
      </w:r>
      <w:proofErr w:type="spellEnd"/>
      <w:r w:rsidRPr="00C0565B">
        <w:rPr>
          <w:rFonts w:ascii="Times New Roman" w:hAnsi="Times New Roman" w:cs="Times New Roman"/>
        </w:rPr>
        <w:t xml:space="preserve"> (2016) has in turn criticised Mood’s argument on the basis that it relates to a </w:t>
      </w:r>
      <w:proofErr w:type="gramStart"/>
      <w:r w:rsidRPr="00C0565B">
        <w:rPr>
          <w:rFonts w:ascii="Times New Roman" w:hAnsi="Times New Roman" w:cs="Times New Roman"/>
        </w:rPr>
        <w:t>particular interpretation</w:t>
      </w:r>
      <w:proofErr w:type="gramEnd"/>
      <w:r w:rsidRPr="00C0565B">
        <w:rPr>
          <w:rFonts w:ascii="Times New Roman" w:hAnsi="Times New Roman" w:cs="Times New Roman"/>
        </w:rPr>
        <w:t xml:space="preserve"> of the dependent variable in a logistic regression model</w:t>
      </w:r>
      <w:r>
        <w:rPr>
          <w:rFonts w:ascii="Times New Roman" w:hAnsi="Times New Roman" w:cs="Times New Roman"/>
        </w:rPr>
        <w:t xml:space="preserve"> – i.e. where it </w:t>
      </w:r>
      <w:r w:rsidRPr="00C0565B">
        <w:rPr>
          <w:rFonts w:ascii="Times New Roman" w:hAnsi="Times New Roman" w:cs="Times New Roman"/>
        </w:rPr>
        <w:t xml:space="preserve">is taken as a manifestation of an unobserved latent propensity. </w:t>
      </w:r>
      <w:r>
        <w:rPr>
          <w:rFonts w:ascii="Times New Roman" w:hAnsi="Times New Roman" w:cs="Times New Roman"/>
        </w:rPr>
        <w:t xml:space="preserve">For </w:t>
      </w:r>
      <w:proofErr w:type="spellStart"/>
      <w:r>
        <w:rPr>
          <w:rFonts w:ascii="Times New Roman" w:hAnsi="Times New Roman" w:cs="Times New Roman"/>
        </w:rPr>
        <w:t>Buis</w:t>
      </w:r>
      <w:proofErr w:type="spellEnd"/>
      <w:r>
        <w:rPr>
          <w:rFonts w:ascii="Times New Roman" w:hAnsi="Times New Roman" w:cs="Times New Roman"/>
        </w:rPr>
        <w:t>, this does not apply to many educational research questions where the interest is in whether an event actually occurred. That is the case with our investigation of whether or not graduates proceed to postgraduate study and hence we retain a traditional approach</w:t>
      </w:r>
      <w:r w:rsidRPr="00C0565B">
        <w:rPr>
          <w:rFonts w:ascii="Times New Roman" w:hAnsi="Times New Roman" w:cs="Times New Roman"/>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MS Mincho">
    <w:altName w:val="Calibri"/>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014483"/>
      <w:docPartObj>
        <w:docPartGallery w:val="Page Numbers (Bottom of Page)"/>
        <w:docPartUnique/>
      </w:docPartObj>
    </w:sdtPr>
    <w:sdtEndPr>
      <w:rPr>
        <w:rFonts w:ascii="Times New Roman" w:hAnsi="Times New Roman" w:cs="Times New Roman"/>
        <w:noProof/>
      </w:rPr>
    </w:sdtEndPr>
    <w:sdtContent>
      <w:p w14:paraId="5B99E6CC" w14:textId="6326085C" w:rsidR="00F92A14" w:rsidRPr="00183FC5" w:rsidRDefault="00F92A14">
        <w:pPr>
          <w:pStyle w:val="Footer"/>
          <w:jc w:val="center"/>
          <w:rPr>
            <w:rFonts w:ascii="Times New Roman" w:hAnsi="Times New Roman" w:cs="Times New Roman"/>
          </w:rPr>
        </w:pPr>
        <w:r w:rsidRPr="00183FC5">
          <w:rPr>
            <w:rFonts w:ascii="Times New Roman" w:hAnsi="Times New Roman" w:cs="Times New Roman"/>
          </w:rPr>
          <w:fldChar w:fldCharType="begin"/>
        </w:r>
        <w:r w:rsidRPr="00183FC5">
          <w:rPr>
            <w:rFonts w:ascii="Times New Roman" w:hAnsi="Times New Roman" w:cs="Times New Roman"/>
          </w:rPr>
          <w:instrText xml:space="preserve"> PAGE   \* MERGEFORMAT </w:instrText>
        </w:r>
        <w:r w:rsidRPr="00183FC5">
          <w:rPr>
            <w:rFonts w:ascii="Times New Roman" w:hAnsi="Times New Roman" w:cs="Times New Roman"/>
          </w:rPr>
          <w:fldChar w:fldCharType="separate"/>
        </w:r>
        <w:r w:rsidR="006A5DBE">
          <w:rPr>
            <w:rFonts w:ascii="Times New Roman" w:hAnsi="Times New Roman" w:cs="Times New Roman"/>
            <w:noProof/>
          </w:rPr>
          <w:t>22</w:t>
        </w:r>
        <w:r w:rsidRPr="00183FC5">
          <w:rPr>
            <w:rFonts w:ascii="Times New Roman" w:hAnsi="Times New Roman" w:cs="Times New Roman"/>
            <w:noProof/>
          </w:rPr>
          <w:fldChar w:fldCharType="end"/>
        </w:r>
      </w:p>
    </w:sdtContent>
  </w:sdt>
  <w:p w14:paraId="0EB63CF2" w14:textId="77777777" w:rsidR="00F92A14" w:rsidRDefault="00F92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0F271" w14:textId="77777777" w:rsidR="00F92A14" w:rsidRDefault="00F92A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01332" w14:textId="77777777" w:rsidR="00F92A14" w:rsidRDefault="00F92A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12D7F" w14:textId="77777777" w:rsidR="00F92A14" w:rsidRDefault="00F92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50DE7" w14:textId="77777777" w:rsidR="00F92A14" w:rsidRDefault="00F92A14" w:rsidP="00324193">
      <w:pPr>
        <w:spacing w:after="0" w:line="240" w:lineRule="auto"/>
      </w:pPr>
      <w:r>
        <w:separator/>
      </w:r>
    </w:p>
  </w:footnote>
  <w:footnote w:type="continuationSeparator" w:id="0">
    <w:p w14:paraId="179714FC" w14:textId="77777777" w:rsidR="00F92A14" w:rsidRDefault="00F92A14" w:rsidP="00324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9E214" w14:textId="77777777" w:rsidR="00F92A14" w:rsidRDefault="00F92A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3A53D" w14:textId="77777777" w:rsidR="00F92A14" w:rsidRDefault="00F92A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5F8FB" w14:textId="77777777" w:rsidR="00F92A14" w:rsidRDefault="00F92A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0BB3"/>
    <w:multiLevelType w:val="hybridMultilevel"/>
    <w:tmpl w:val="7368E7A6"/>
    <w:lvl w:ilvl="0" w:tplc="3670F062">
      <w:start w:val="1"/>
      <w:numFmt w:val="bullet"/>
      <w:lvlText w:val="-"/>
      <w:lvlJc w:val="left"/>
      <w:pPr>
        <w:ind w:left="720" w:hanging="360"/>
      </w:pPr>
      <w:rPr>
        <w:rFonts w:ascii="Palatino Linotype" w:eastAsiaTheme="minorEastAsia" w:hAnsi="Palatino Linotyp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468C4"/>
    <w:multiLevelType w:val="hybridMultilevel"/>
    <w:tmpl w:val="0B287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992C1F"/>
    <w:multiLevelType w:val="hybridMultilevel"/>
    <w:tmpl w:val="B5AAE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75483D"/>
    <w:multiLevelType w:val="hybridMultilevel"/>
    <w:tmpl w:val="AA82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BF356C"/>
    <w:multiLevelType w:val="hybridMultilevel"/>
    <w:tmpl w:val="BA8AB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3E442F"/>
    <w:multiLevelType w:val="hybridMultilevel"/>
    <w:tmpl w:val="776E1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4D1"/>
    <w:rsid w:val="00002C07"/>
    <w:rsid w:val="0000745D"/>
    <w:rsid w:val="000125FC"/>
    <w:rsid w:val="00022D01"/>
    <w:rsid w:val="0002508B"/>
    <w:rsid w:val="00035F84"/>
    <w:rsid w:val="000473C9"/>
    <w:rsid w:val="0005376E"/>
    <w:rsid w:val="00064D41"/>
    <w:rsid w:val="000753CB"/>
    <w:rsid w:val="0007635E"/>
    <w:rsid w:val="0007655D"/>
    <w:rsid w:val="00084ABE"/>
    <w:rsid w:val="000940C2"/>
    <w:rsid w:val="000A038D"/>
    <w:rsid w:val="000A2214"/>
    <w:rsid w:val="000A2686"/>
    <w:rsid w:val="000A31BE"/>
    <w:rsid w:val="000A343D"/>
    <w:rsid w:val="000A61D2"/>
    <w:rsid w:val="000A7301"/>
    <w:rsid w:val="000B2585"/>
    <w:rsid w:val="000B670A"/>
    <w:rsid w:val="000C0E33"/>
    <w:rsid w:val="000C1ACC"/>
    <w:rsid w:val="000C4B37"/>
    <w:rsid w:val="000D2A6E"/>
    <w:rsid w:val="000D2B70"/>
    <w:rsid w:val="000D4FEC"/>
    <w:rsid w:val="000D5451"/>
    <w:rsid w:val="000E32A9"/>
    <w:rsid w:val="000E4AB4"/>
    <w:rsid w:val="000F1CB9"/>
    <w:rsid w:val="000F5063"/>
    <w:rsid w:val="000F5219"/>
    <w:rsid w:val="00100303"/>
    <w:rsid w:val="00107E0A"/>
    <w:rsid w:val="0011094D"/>
    <w:rsid w:val="001163EC"/>
    <w:rsid w:val="0011708B"/>
    <w:rsid w:val="00117196"/>
    <w:rsid w:val="00122091"/>
    <w:rsid w:val="00123F49"/>
    <w:rsid w:val="00123FEE"/>
    <w:rsid w:val="001262E2"/>
    <w:rsid w:val="00131A2A"/>
    <w:rsid w:val="00132FA1"/>
    <w:rsid w:val="001405E1"/>
    <w:rsid w:val="001464C9"/>
    <w:rsid w:val="001503B8"/>
    <w:rsid w:val="001536CF"/>
    <w:rsid w:val="0015459C"/>
    <w:rsid w:val="00155563"/>
    <w:rsid w:val="00171635"/>
    <w:rsid w:val="00183FC5"/>
    <w:rsid w:val="0018751C"/>
    <w:rsid w:val="001A7374"/>
    <w:rsid w:val="001B7280"/>
    <w:rsid w:val="001B765D"/>
    <w:rsid w:val="001C22A4"/>
    <w:rsid w:val="001C558F"/>
    <w:rsid w:val="001C6F8A"/>
    <w:rsid w:val="001E267F"/>
    <w:rsid w:val="001E4CFB"/>
    <w:rsid w:val="001E6B42"/>
    <w:rsid w:val="001E7A1E"/>
    <w:rsid w:val="001F0EB7"/>
    <w:rsid w:val="002014D4"/>
    <w:rsid w:val="00201719"/>
    <w:rsid w:val="00206524"/>
    <w:rsid w:val="00207239"/>
    <w:rsid w:val="00207811"/>
    <w:rsid w:val="00212A77"/>
    <w:rsid w:val="00217014"/>
    <w:rsid w:val="00223601"/>
    <w:rsid w:val="00224049"/>
    <w:rsid w:val="00225C9E"/>
    <w:rsid w:val="00247049"/>
    <w:rsid w:val="0025223E"/>
    <w:rsid w:val="0025226E"/>
    <w:rsid w:val="0025476E"/>
    <w:rsid w:val="00254EB3"/>
    <w:rsid w:val="00261AF0"/>
    <w:rsid w:val="00274A52"/>
    <w:rsid w:val="00280BA4"/>
    <w:rsid w:val="00284E7F"/>
    <w:rsid w:val="0029497D"/>
    <w:rsid w:val="002950D2"/>
    <w:rsid w:val="002A4698"/>
    <w:rsid w:val="002A4BBB"/>
    <w:rsid w:val="002A7C4B"/>
    <w:rsid w:val="002B3A98"/>
    <w:rsid w:val="002C328D"/>
    <w:rsid w:val="002C387A"/>
    <w:rsid w:val="002C4615"/>
    <w:rsid w:val="002E0B7F"/>
    <w:rsid w:val="002E510B"/>
    <w:rsid w:val="002E7313"/>
    <w:rsid w:val="002E744E"/>
    <w:rsid w:val="0030603A"/>
    <w:rsid w:val="00310849"/>
    <w:rsid w:val="0031754A"/>
    <w:rsid w:val="0032022D"/>
    <w:rsid w:val="00324193"/>
    <w:rsid w:val="00340A3B"/>
    <w:rsid w:val="00344D1D"/>
    <w:rsid w:val="00344EB2"/>
    <w:rsid w:val="003567E9"/>
    <w:rsid w:val="0037436A"/>
    <w:rsid w:val="003753F5"/>
    <w:rsid w:val="00377B23"/>
    <w:rsid w:val="003807C5"/>
    <w:rsid w:val="00380CEA"/>
    <w:rsid w:val="00382AF5"/>
    <w:rsid w:val="00383AF0"/>
    <w:rsid w:val="0039327D"/>
    <w:rsid w:val="003943E9"/>
    <w:rsid w:val="003A2832"/>
    <w:rsid w:val="003C67FB"/>
    <w:rsid w:val="003D2153"/>
    <w:rsid w:val="003D36E4"/>
    <w:rsid w:val="003E4309"/>
    <w:rsid w:val="003E5E20"/>
    <w:rsid w:val="003E7D0B"/>
    <w:rsid w:val="003F2AC6"/>
    <w:rsid w:val="003F4EBD"/>
    <w:rsid w:val="003F5BD6"/>
    <w:rsid w:val="004028DA"/>
    <w:rsid w:val="00413608"/>
    <w:rsid w:val="0041480B"/>
    <w:rsid w:val="00420C2D"/>
    <w:rsid w:val="00423D65"/>
    <w:rsid w:val="00432C2F"/>
    <w:rsid w:val="00440DAC"/>
    <w:rsid w:val="0045558B"/>
    <w:rsid w:val="00470CEF"/>
    <w:rsid w:val="0047188A"/>
    <w:rsid w:val="00474BF8"/>
    <w:rsid w:val="004766BA"/>
    <w:rsid w:val="00490914"/>
    <w:rsid w:val="00492885"/>
    <w:rsid w:val="0049352A"/>
    <w:rsid w:val="004945C1"/>
    <w:rsid w:val="00494A19"/>
    <w:rsid w:val="004A0CF8"/>
    <w:rsid w:val="004A3130"/>
    <w:rsid w:val="004B3CDE"/>
    <w:rsid w:val="004C14A7"/>
    <w:rsid w:val="004C2928"/>
    <w:rsid w:val="004D175C"/>
    <w:rsid w:val="004D5301"/>
    <w:rsid w:val="004D7BEE"/>
    <w:rsid w:val="004E0588"/>
    <w:rsid w:val="004F7255"/>
    <w:rsid w:val="005015FC"/>
    <w:rsid w:val="0051398B"/>
    <w:rsid w:val="005158C0"/>
    <w:rsid w:val="005217E4"/>
    <w:rsid w:val="0052284C"/>
    <w:rsid w:val="00523F89"/>
    <w:rsid w:val="00533F35"/>
    <w:rsid w:val="00534129"/>
    <w:rsid w:val="0055419B"/>
    <w:rsid w:val="005556B6"/>
    <w:rsid w:val="00556A63"/>
    <w:rsid w:val="005718DE"/>
    <w:rsid w:val="00575295"/>
    <w:rsid w:val="00576B07"/>
    <w:rsid w:val="00576C04"/>
    <w:rsid w:val="00580DB4"/>
    <w:rsid w:val="00582FC6"/>
    <w:rsid w:val="00590DF7"/>
    <w:rsid w:val="005912C4"/>
    <w:rsid w:val="005A0F91"/>
    <w:rsid w:val="005A21C2"/>
    <w:rsid w:val="005A2FBD"/>
    <w:rsid w:val="005A3D0B"/>
    <w:rsid w:val="005A7072"/>
    <w:rsid w:val="005A79D4"/>
    <w:rsid w:val="005B7133"/>
    <w:rsid w:val="005E2603"/>
    <w:rsid w:val="005F3AE1"/>
    <w:rsid w:val="005F7EF3"/>
    <w:rsid w:val="0060117B"/>
    <w:rsid w:val="006024CC"/>
    <w:rsid w:val="00610709"/>
    <w:rsid w:val="00612C2E"/>
    <w:rsid w:val="00622B41"/>
    <w:rsid w:val="00623066"/>
    <w:rsid w:val="00627BA7"/>
    <w:rsid w:val="00630062"/>
    <w:rsid w:val="0064467D"/>
    <w:rsid w:val="00645A41"/>
    <w:rsid w:val="00646A4A"/>
    <w:rsid w:val="00652334"/>
    <w:rsid w:val="006564E8"/>
    <w:rsid w:val="00664F8A"/>
    <w:rsid w:val="00666AB4"/>
    <w:rsid w:val="006950F7"/>
    <w:rsid w:val="0069717A"/>
    <w:rsid w:val="006A18D7"/>
    <w:rsid w:val="006A5DBE"/>
    <w:rsid w:val="006B5144"/>
    <w:rsid w:val="006C28CB"/>
    <w:rsid w:val="006D145D"/>
    <w:rsid w:val="006E356F"/>
    <w:rsid w:val="006E35A9"/>
    <w:rsid w:val="006E5448"/>
    <w:rsid w:val="006E78F3"/>
    <w:rsid w:val="006F1941"/>
    <w:rsid w:val="006F43B5"/>
    <w:rsid w:val="00710D4C"/>
    <w:rsid w:val="00715FA7"/>
    <w:rsid w:val="00730C0E"/>
    <w:rsid w:val="0073521F"/>
    <w:rsid w:val="00744F5F"/>
    <w:rsid w:val="00744FE6"/>
    <w:rsid w:val="0074642F"/>
    <w:rsid w:val="00750323"/>
    <w:rsid w:val="007613BE"/>
    <w:rsid w:val="00763B2F"/>
    <w:rsid w:val="00773DD4"/>
    <w:rsid w:val="00776A10"/>
    <w:rsid w:val="00791CCF"/>
    <w:rsid w:val="007973F2"/>
    <w:rsid w:val="007B03E3"/>
    <w:rsid w:val="007B2A1C"/>
    <w:rsid w:val="007C2F80"/>
    <w:rsid w:val="007C3CF3"/>
    <w:rsid w:val="007C4C12"/>
    <w:rsid w:val="007C5D50"/>
    <w:rsid w:val="007C7C18"/>
    <w:rsid w:val="007D24A1"/>
    <w:rsid w:val="007D566E"/>
    <w:rsid w:val="007E2C0D"/>
    <w:rsid w:val="007E6CCC"/>
    <w:rsid w:val="008005AC"/>
    <w:rsid w:val="00814BB5"/>
    <w:rsid w:val="00823D9C"/>
    <w:rsid w:val="00826ECA"/>
    <w:rsid w:val="00827DF5"/>
    <w:rsid w:val="0083001F"/>
    <w:rsid w:val="00832D12"/>
    <w:rsid w:val="008349D6"/>
    <w:rsid w:val="0083528C"/>
    <w:rsid w:val="00835C2F"/>
    <w:rsid w:val="00840221"/>
    <w:rsid w:val="0084155E"/>
    <w:rsid w:val="00846A62"/>
    <w:rsid w:val="008531D6"/>
    <w:rsid w:val="00872399"/>
    <w:rsid w:val="00872A63"/>
    <w:rsid w:val="00875480"/>
    <w:rsid w:val="00876C16"/>
    <w:rsid w:val="008804A2"/>
    <w:rsid w:val="0088430A"/>
    <w:rsid w:val="0088439A"/>
    <w:rsid w:val="00885A6D"/>
    <w:rsid w:val="00886527"/>
    <w:rsid w:val="00892D22"/>
    <w:rsid w:val="008B6886"/>
    <w:rsid w:val="008D2389"/>
    <w:rsid w:val="008D6AFD"/>
    <w:rsid w:val="008F1417"/>
    <w:rsid w:val="008F283D"/>
    <w:rsid w:val="008F29C8"/>
    <w:rsid w:val="008F37F7"/>
    <w:rsid w:val="00904E57"/>
    <w:rsid w:val="0091166A"/>
    <w:rsid w:val="00912428"/>
    <w:rsid w:val="00913A29"/>
    <w:rsid w:val="009154EE"/>
    <w:rsid w:val="00915E46"/>
    <w:rsid w:val="00923BAF"/>
    <w:rsid w:val="00924CFC"/>
    <w:rsid w:val="00927071"/>
    <w:rsid w:val="0093034E"/>
    <w:rsid w:val="00930548"/>
    <w:rsid w:val="009314EA"/>
    <w:rsid w:val="00940A6E"/>
    <w:rsid w:val="00942FAA"/>
    <w:rsid w:val="00943DA7"/>
    <w:rsid w:val="00945F65"/>
    <w:rsid w:val="00975371"/>
    <w:rsid w:val="009764BB"/>
    <w:rsid w:val="00984DDF"/>
    <w:rsid w:val="00993E8E"/>
    <w:rsid w:val="009A4E3C"/>
    <w:rsid w:val="009A501E"/>
    <w:rsid w:val="009B28E2"/>
    <w:rsid w:val="009D0A82"/>
    <w:rsid w:val="009F46CB"/>
    <w:rsid w:val="009F4DBD"/>
    <w:rsid w:val="009F5B7B"/>
    <w:rsid w:val="009F7301"/>
    <w:rsid w:val="00A02790"/>
    <w:rsid w:val="00A0488F"/>
    <w:rsid w:val="00A055A1"/>
    <w:rsid w:val="00A0585C"/>
    <w:rsid w:val="00A30CF1"/>
    <w:rsid w:val="00A3388C"/>
    <w:rsid w:val="00A342FC"/>
    <w:rsid w:val="00A35019"/>
    <w:rsid w:val="00A41565"/>
    <w:rsid w:val="00A4368A"/>
    <w:rsid w:val="00A6087B"/>
    <w:rsid w:val="00A60AE3"/>
    <w:rsid w:val="00A6110D"/>
    <w:rsid w:val="00A61397"/>
    <w:rsid w:val="00A75C29"/>
    <w:rsid w:val="00A77AF1"/>
    <w:rsid w:val="00A818C5"/>
    <w:rsid w:val="00A92226"/>
    <w:rsid w:val="00A931A0"/>
    <w:rsid w:val="00AB5F37"/>
    <w:rsid w:val="00AD41C1"/>
    <w:rsid w:val="00AE1F9B"/>
    <w:rsid w:val="00AE5EFA"/>
    <w:rsid w:val="00AF34EE"/>
    <w:rsid w:val="00AF75A2"/>
    <w:rsid w:val="00B13425"/>
    <w:rsid w:val="00B1415D"/>
    <w:rsid w:val="00B14E80"/>
    <w:rsid w:val="00B165D7"/>
    <w:rsid w:val="00B17746"/>
    <w:rsid w:val="00B17893"/>
    <w:rsid w:val="00B2037E"/>
    <w:rsid w:val="00B2326A"/>
    <w:rsid w:val="00B34ED8"/>
    <w:rsid w:val="00B373D9"/>
    <w:rsid w:val="00B53A76"/>
    <w:rsid w:val="00B5787C"/>
    <w:rsid w:val="00B872F2"/>
    <w:rsid w:val="00B91DBC"/>
    <w:rsid w:val="00B970C1"/>
    <w:rsid w:val="00BA35A5"/>
    <w:rsid w:val="00BC0E52"/>
    <w:rsid w:val="00BC4C62"/>
    <w:rsid w:val="00BC6261"/>
    <w:rsid w:val="00BE31BC"/>
    <w:rsid w:val="00BE7128"/>
    <w:rsid w:val="00BF5D00"/>
    <w:rsid w:val="00C0565B"/>
    <w:rsid w:val="00C154D1"/>
    <w:rsid w:val="00C206BC"/>
    <w:rsid w:val="00C25A57"/>
    <w:rsid w:val="00C31335"/>
    <w:rsid w:val="00C44F23"/>
    <w:rsid w:val="00C5450C"/>
    <w:rsid w:val="00C61AD1"/>
    <w:rsid w:val="00C6437E"/>
    <w:rsid w:val="00C74CE4"/>
    <w:rsid w:val="00C7557D"/>
    <w:rsid w:val="00C861D9"/>
    <w:rsid w:val="00C92D39"/>
    <w:rsid w:val="00C96D07"/>
    <w:rsid w:val="00C97973"/>
    <w:rsid w:val="00CA173C"/>
    <w:rsid w:val="00CB0A26"/>
    <w:rsid w:val="00CB590C"/>
    <w:rsid w:val="00CC238B"/>
    <w:rsid w:val="00CC31F3"/>
    <w:rsid w:val="00CC3AD6"/>
    <w:rsid w:val="00CC6232"/>
    <w:rsid w:val="00CD33A4"/>
    <w:rsid w:val="00CE17C1"/>
    <w:rsid w:val="00CF0DA2"/>
    <w:rsid w:val="00CF2F4B"/>
    <w:rsid w:val="00CF5BAC"/>
    <w:rsid w:val="00CF63C3"/>
    <w:rsid w:val="00D06DF1"/>
    <w:rsid w:val="00D1117E"/>
    <w:rsid w:val="00D150F4"/>
    <w:rsid w:val="00D2060D"/>
    <w:rsid w:val="00D25E9F"/>
    <w:rsid w:val="00D40B22"/>
    <w:rsid w:val="00D4104B"/>
    <w:rsid w:val="00D4297E"/>
    <w:rsid w:val="00D5001E"/>
    <w:rsid w:val="00D64CC7"/>
    <w:rsid w:val="00D6514F"/>
    <w:rsid w:val="00D67DE6"/>
    <w:rsid w:val="00D83FF7"/>
    <w:rsid w:val="00D957ED"/>
    <w:rsid w:val="00DA14A4"/>
    <w:rsid w:val="00DA61BB"/>
    <w:rsid w:val="00DA7074"/>
    <w:rsid w:val="00DB287B"/>
    <w:rsid w:val="00DB7302"/>
    <w:rsid w:val="00DB7E2E"/>
    <w:rsid w:val="00DC492F"/>
    <w:rsid w:val="00DC6B17"/>
    <w:rsid w:val="00DE59CD"/>
    <w:rsid w:val="00DE63C9"/>
    <w:rsid w:val="00DF277B"/>
    <w:rsid w:val="00DF52E5"/>
    <w:rsid w:val="00DF5694"/>
    <w:rsid w:val="00E040FF"/>
    <w:rsid w:val="00E14CAC"/>
    <w:rsid w:val="00E22E42"/>
    <w:rsid w:val="00E372F2"/>
    <w:rsid w:val="00E43650"/>
    <w:rsid w:val="00E52AA0"/>
    <w:rsid w:val="00E6122E"/>
    <w:rsid w:val="00E7322A"/>
    <w:rsid w:val="00E7342C"/>
    <w:rsid w:val="00E752DC"/>
    <w:rsid w:val="00E7628E"/>
    <w:rsid w:val="00E81782"/>
    <w:rsid w:val="00E8236C"/>
    <w:rsid w:val="00E8237D"/>
    <w:rsid w:val="00E864E6"/>
    <w:rsid w:val="00E875BF"/>
    <w:rsid w:val="00E912F7"/>
    <w:rsid w:val="00E919DB"/>
    <w:rsid w:val="00E95B16"/>
    <w:rsid w:val="00EA2746"/>
    <w:rsid w:val="00EC0F8A"/>
    <w:rsid w:val="00EC2E65"/>
    <w:rsid w:val="00EC438C"/>
    <w:rsid w:val="00EC7277"/>
    <w:rsid w:val="00ED72A0"/>
    <w:rsid w:val="00EE566E"/>
    <w:rsid w:val="00EF2B8D"/>
    <w:rsid w:val="00EF37DC"/>
    <w:rsid w:val="00EF7254"/>
    <w:rsid w:val="00F11A81"/>
    <w:rsid w:val="00F12224"/>
    <w:rsid w:val="00F172AF"/>
    <w:rsid w:val="00F249C5"/>
    <w:rsid w:val="00F33186"/>
    <w:rsid w:val="00F3617C"/>
    <w:rsid w:val="00F37C76"/>
    <w:rsid w:val="00F473A1"/>
    <w:rsid w:val="00F54114"/>
    <w:rsid w:val="00F61E81"/>
    <w:rsid w:val="00F6234F"/>
    <w:rsid w:val="00F664E1"/>
    <w:rsid w:val="00F700D8"/>
    <w:rsid w:val="00F72280"/>
    <w:rsid w:val="00F73909"/>
    <w:rsid w:val="00F74744"/>
    <w:rsid w:val="00F74821"/>
    <w:rsid w:val="00F81C51"/>
    <w:rsid w:val="00F82208"/>
    <w:rsid w:val="00F904C8"/>
    <w:rsid w:val="00F922E1"/>
    <w:rsid w:val="00F92A14"/>
    <w:rsid w:val="00F96A2F"/>
    <w:rsid w:val="00FA1B4B"/>
    <w:rsid w:val="00FA2809"/>
    <w:rsid w:val="00FB1AF7"/>
    <w:rsid w:val="00FB1E14"/>
    <w:rsid w:val="00FB4A90"/>
    <w:rsid w:val="00FC3421"/>
    <w:rsid w:val="00FC6495"/>
    <w:rsid w:val="00FD2CC3"/>
    <w:rsid w:val="00FD3666"/>
    <w:rsid w:val="00FD3CF7"/>
    <w:rsid w:val="00FD41DB"/>
    <w:rsid w:val="00FD480C"/>
    <w:rsid w:val="00FD6FCA"/>
    <w:rsid w:val="00FE775F"/>
    <w:rsid w:val="00FF3E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60780D"/>
  <w15:docId w15:val="{A2A3B8BF-6FDD-4B84-BFBF-44089BAC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A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3F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239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3FEE"/>
    <w:rPr>
      <w:rFonts w:asciiTheme="majorHAnsi" w:eastAsiaTheme="majorEastAsia" w:hAnsiTheme="majorHAnsi" w:cstheme="majorBidi"/>
      <w:b/>
      <w:bCs/>
      <w:color w:val="4F81BD" w:themeColor="accent1"/>
      <w:sz w:val="26"/>
      <w:szCs w:val="26"/>
    </w:rPr>
  </w:style>
  <w:style w:type="paragraph" w:customStyle="1" w:styleId="BodyA">
    <w:name w:val="Body A"/>
    <w:rsid w:val="00324193"/>
    <w:pPr>
      <w:spacing w:after="0" w:line="240" w:lineRule="auto"/>
    </w:pPr>
    <w:rPr>
      <w:rFonts w:ascii="Helvetica" w:eastAsia="ヒラギノ角ゴ Pro W3" w:hAnsi="Helvetica" w:cs="Times New Roman"/>
      <w:color w:val="000000"/>
      <w:sz w:val="24"/>
      <w:szCs w:val="20"/>
      <w:lang w:val="en-US" w:eastAsia="en-GB"/>
    </w:rPr>
  </w:style>
  <w:style w:type="paragraph" w:customStyle="1" w:styleId="FreeFormAA">
    <w:name w:val="Free Form A A"/>
    <w:rsid w:val="00324193"/>
    <w:pPr>
      <w:spacing w:after="0" w:line="240" w:lineRule="auto"/>
    </w:pPr>
    <w:rPr>
      <w:rFonts w:ascii="Times New Roman" w:eastAsia="ヒラギノ角ゴ Pro W3" w:hAnsi="Times New Roman" w:cs="Times New Roman"/>
      <w:color w:val="000000"/>
      <w:sz w:val="24"/>
      <w:szCs w:val="20"/>
      <w:lang w:val="en-US" w:eastAsia="en-GB"/>
    </w:rPr>
  </w:style>
  <w:style w:type="paragraph" w:styleId="FootnoteText">
    <w:name w:val="footnote text"/>
    <w:basedOn w:val="Normal"/>
    <w:link w:val="FootnoteTextChar"/>
    <w:uiPriority w:val="99"/>
    <w:unhideWhenUsed/>
    <w:rsid w:val="00324193"/>
    <w:pPr>
      <w:spacing w:after="0" w:line="240" w:lineRule="auto"/>
    </w:pPr>
    <w:rPr>
      <w:rFonts w:eastAsiaTheme="minorEastAsia"/>
      <w:sz w:val="24"/>
      <w:szCs w:val="24"/>
      <w:lang w:val="en-US"/>
    </w:rPr>
  </w:style>
  <w:style w:type="character" w:customStyle="1" w:styleId="FootnoteTextChar">
    <w:name w:val="Footnote Text Char"/>
    <w:basedOn w:val="DefaultParagraphFont"/>
    <w:link w:val="FootnoteText"/>
    <w:uiPriority w:val="99"/>
    <w:rsid w:val="00324193"/>
    <w:rPr>
      <w:rFonts w:eastAsiaTheme="minorEastAsia"/>
      <w:sz w:val="24"/>
      <w:szCs w:val="24"/>
      <w:lang w:val="en-US"/>
    </w:rPr>
  </w:style>
  <w:style w:type="character" w:styleId="FootnoteReference">
    <w:name w:val="footnote reference"/>
    <w:basedOn w:val="DefaultParagraphFont"/>
    <w:uiPriority w:val="99"/>
    <w:unhideWhenUsed/>
    <w:rsid w:val="00324193"/>
    <w:rPr>
      <w:vertAlign w:val="superscript"/>
    </w:rPr>
  </w:style>
  <w:style w:type="character" w:styleId="Hyperlink">
    <w:name w:val="Hyperlink"/>
    <w:basedOn w:val="DefaultParagraphFont"/>
    <w:uiPriority w:val="99"/>
    <w:unhideWhenUsed/>
    <w:rsid w:val="00324193"/>
    <w:rPr>
      <w:color w:val="0000FF" w:themeColor="hyperlink"/>
      <w:u w:val="single"/>
    </w:rPr>
  </w:style>
  <w:style w:type="character" w:styleId="CommentReference">
    <w:name w:val="annotation reference"/>
    <w:basedOn w:val="DefaultParagraphFont"/>
    <w:uiPriority w:val="99"/>
    <w:semiHidden/>
    <w:unhideWhenUsed/>
    <w:rsid w:val="00324193"/>
    <w:rPr>
      <w:sz w:val="18"/>
      <w:szCs w:val="18"/>
    </w:rPr>
  </w:style>
  <w:style w:type="paragraph" w:styleId="CommentText">
    <w:name w:val="annotation text"/>
    <w:basedOn w:val="Normal"/>
    <w:link w:val="CommentTextChar"/>
    <w:uiPriority w:val="99"/>
    <w:semiHidden/>
    <w:unhideWhenUsed/>
    <w:rsid w:val="00324193"/>
    <w:pPr>
      <w:spacing w:after="0" w:line="240" w:lineRule="auto"/>
    </w:pPr>
    <w:rPr>
      <w:rFonts w:ascii="Palatino Linotype" w:eastAsiaTheme="minorEastAsia" w:hAnsi="Palatino Linotype"/>
      <w:b/>
      <w:bCs/>
      <w:sz w:val="24"/>
      <w:szCs w:val="24"/>
      <w:lang w:val="en-US"/>
    </w:rPr>
  </w:style>
  <w:style w:type="character" w:customStyle="1" w:styleId="CommentTextChar">
    <w:name w:val="Comment Text Char"/>
    <w:basedOn w:val="DefaultParagraphFont"/>
    <w:link w:val="CommentText"/>
    <w:uiPriority w:val="99"/>
    <w:semiHidden/>
    <w:rsid w:val="00324193"/>
    <w:rPr>
      <w:rFonts w:ascii="Palatino Linotype" w:eastAsiaTheme="minorEastAsia" w:hAnsi="Palatino Linotype"/>
      <w:b/>
      <w:bCs/>
      <w:sz w:val="24"/>
      <w:szCs w:val="24"/>
      <w:lang w:val="en-US"/>
    </w:rPr>
  </w:style>
  <w:style w:type="character" w:customStyle="1" w:styleId="Heading3Char">
    <w:name w:val="Heading 3 Char"/>
    <w:basedOn w:val="DefaultParagraphFont"/>
    <w:link w:val="Heading3"/>
    <w:uiPriority w:val="9"/>
    <w:rsid w:val="00872399"/>
    <w:rPr>
      <w:rFonts w:asciiTheme="majorHAnsi" w:eastAsiaTheme="majorEastAsia" w:hAnsiTheme="majorHAnsi" w:cstheme="majorBidi"/>
      <w:color w:val="243F60" w:themeColor="accent1" w:themeShade="7F"/>
      <w:sz w:val="24"/>
      <w:szCs w:val="24"/>
    </w:rPr>
  </w:style>
  <w:style w:type="paragraph" w:styleId="CommentSubject">
    <w:name w:val="annotation subject"/>
    <w:basedOn w:val="CommentText"/>
    <w:next w:val="CommentText"/>
    <w:link w:val="CommentSubjectChar"/>
    <w:uiPriority w:val="99"/>
    <w:semiHidden/>
    <w:unhideWhenUsed/>
    <w:rsid w:val="00107E0A"/>
    <w:pPr>
      <w:spacing w:after="200"/>
    </w:pPr>
    <w:rPr>
      <w:rFonts w:asciiTheme="minorHAnsi" w:eastAsiaTheme="minorHAnsi" w:hAnsiTheme="minorHAnsi"/>
      <w:sz w:val="20"/>
      <w:szCs w:val="20"/>
      <w:lang w:val="en-GB"/>
    </w:rPr>
  </w:style>
  <w:style w:type="character" w:customStyle="1" w:styleId="CommentSubjectChar">
    <w:name w:val="Comment Subject Char"/>
    <w:basedOn w:val="CommentTextChar"/>
    <w:link w:val="CommentSubject"/>
    <w:uiPriority w:val="99"/>
    <w:semiHidden/>
    <w:rsid w:val="00107E0A"/>
    <w:rPr>
      <w:rFonts w:ascii="Palatino Linotype" w:eastAsiaTheme="minorEastAsia" w:hAnsi="Palatino Linotype"/>
      <w:b/>
      <w:bCs/>
      <w:sz w:val="20"/>
      <w:szCs w:val="20"/>
      <w:lang w:val="en-US"/>
    </w:rPr>
  </w:style>
  <w:style w:type="paragraph" w:styleId="BalloonText">
    <w:name w:val="Balloon Text"/>
    <w:basedOn w:val="Normal"/>
    <w:link w:val="BalloonTextChar"/>
    <w:uiPriority w:val="99"/>
    <w:semiHidden/>
    <w:unhideWhenUsed/>
    <w:rsid w:val="00107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E0A"/>
    <w:rPr>
      <w:rFonts w:ascii="Tahoma" w:hAnsi="Tahoma" w:cs="Tahoma"/>
      <w:sz w:val="16"/>
      <w:szCs w:val="16"/>
    </w:rPr>
  </w:style>
  <w:style w:type="paragraph" w:styleId="ListParagraph">
    <w:name w:val="List Paragraph"/>
    <w:basedOn w:val="Normal"/>
    <w:uiPriority w:val="34"/>
    <w:qFormat/>
    <w:rsid w:val="00993E8E"/>
    <w:pPr>
      <w:ind w:left="720"/>
      <w:contextualSpacing/>
    </w:pPr>
  </w:style>
  <w:style w:type="character" w:customStyle="1" w:styleId="Heading1Char">
    <w:name w:val="Heading 1 Char"/>
    <w:basedOn w:val="DefaultParagraphFont"/>
    <w:link w:val="Heading1"/>
    <w:uiPriority w:val="9"/>
    <w:rsid w:val="00261AF0"/>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814BB5"/>
    <w:pPr>
      <w:spacing w:after="0" w:line="240" w:lineRule="auto"/>
    </w:pPr>
  </w:style>
  <w:style w:type="paragraph" w:styleId="EndnoteText">
    <w:name w:val="endnote text"/>
    <w:basedOn w:val="Normal"/>
    <w:link w:val="EndnoteTextChar"/>
    <w:uiPriority w:val="99"/>
    <w:semiHidden/>
    <w:unhideWhenUsed/>
    <w:rsid w:val="004766B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766BA"/>
    <w:rPr>
      <w:sz w:val="20"/>
      <w:szCs w:val="20"/>
    </w:rPr>
  </w:style>
  <w:style w:type="character" w:styleId="EndnoteReference">
    <w:name w:val="endnote reference"/>
    <w:basedOn w:val="DefaultParagraphFont"/>
    <w:uiPriority w:val="99"/>
    <w:semiHidden/>
    <w:unhideWhenUsed/>
    <w:rsid w:val="004766BA"/>
    <w:rPr>
      <w:vertAlign w:val="superscript"/>
    </w:rPr>
  </w:style>
  <w:style w:type="character" w:styleId="FollowedHyperlink">
    <w:name w:val="FollowedHyperlink"/>
    <w:basedOn w:val="DefaultParagraphFont"/>
    <w:uiPriority w:val="99"/>
    <w:semiHidden/>
    <w:unhideWhenUsed/>
    <w:rsid w:val="005015FC"/>
    <w:rPr>
      <w:color w:val="800080" w:themeColor="followedHyperlink"/>
      <w:u w:val="single"/>
    </w:rPr>
  </w:style>
  <w:style w:type="character" w:customStyle="1" w:styleId="apple-style-span">
    <w:name w:val="apple-style-span"/>
    <w:basedOn w:val="DefaultParagraphFont"/>
    <w:rsid w:val="00380CEA"/>
  </w:style>
  <w:style w:type="character" w:customStyle="1" w:styleId="apple-converted-space">
    <w:name w:val="apple-converted-space"/>
    <w:basedOn w:val="DefaultParagraphFont"/>
    <w:rsid w:val="00380CEA"/>
  </w:style>
  <w:style w:type="paragraph" w:styleId="Header">
    <w:name w:val="header"/>
    <w:basedOn w:val="Normal"/>
    <w:link w:val="HeaderChar"/>
    <w:unhideWhenUsed/>
    <w:rsid w:val="00183FC5"/>
    <w:pPr>
      <w:tabs>
        <w:tab w:val="center" w:pos="4513"/>
        <w:tab w:val="right" w:pos="9026"/>
      </w:tabs>
      <w:spacing w:after="0" w:line="240" w:lineRule="auto"/>
    </w:pPr>
  </w:style>
  <w:style w:type="character" w:customStyle="1" w:styleId="HeaderChar">
    <w:name w:val="Header Char"/>
    <w:basedOn w:val="DefaultParagraphFont"/>
    <w:link w:val="Header"/>
    <w:rsid w:val="00183FC5"/>
  </w:style>
  <w:style w:type="paragraph" w:styleId="Footer">
    <w:name w:val="footer"/>
    <w:basedOn w:val="Normal"/>
    <w:link w:val="FooterChar"/>
    <w:unhideWhenUsed/>
    <w:rsid w:val="00183FC5"/>
    <w:pPr>
      <w:tabs>
        <w:tab w:val="center" w:pos="4513"/>
        <w:tab w:val="right" w:pos="9026"/>
      </w:tabs>
      <w:spacing w:after="0" w:line="240" w:lineRule="auto"/>
    </w:pPr>
  </w:style>
  <w:style w:type="character" w:customStyle="1" w:styleId="FooterChar">
    <w:name w:val="Footer Char"/>
    <w:basedOn w:val="DefaultParagraphFont"/>
    <w:link w:val="Footer"/>
    <w:rsid w:val="00183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9572">
      <w:bodyDiv w:val="1"/>
      <w:marLeft w:val="0"/>
      <w:marRight w:val="0"/>
      <w:marTop w:val="0"/>
      <w:marBottom w:val="0"/>
      <w:divBdr>
        <w:top w:val="none" w:sz="0" w:space="0" w:color="auto"/>
        <w:left w:val="none" w:sz="0" w:space="0" w:color="auto"/>
        <w:bottom w:val="none" w:sz="0" w:space="0" w:color="auto"/>
        <w:right w:val="none" w:sz="0" w:space="0" w:color="auto"/>
      </w:divBdr>
    </w:div>
    <w:div w:id="29689194">
      <w:bodyDiv w:val="1"/>
      <w:marLeft w:val="0"/>
      <w:marRight w:val="0"/>
      <w:marTop w:val="0"/>
      <w:marBottom w:val="0"/>
      <w:divBdr>
        <w:top w:val="none" w:sz="0" w:space="0" w:color="auto"/>
        <w:left w:val="none" w:sz="0" w:space="0" w:color="auto"/>
        <w:bottom w:val="none" w:sz="0" w:space="0" w:color="auto"/>
        <w:right w:val="none" w:sz="0" w:space="0" w:color="auto"/>
      </w:divBdr>
    </w:div>
    <w:div w:id="32467607">
      <w:bodyDiv w:val="1"/>
      <w:marLeft w:val="0"/>
      <w:marRight w:val="0"/>
      <w:marTop w:val="0"/>
      <w:marBottom w:val="0"/>
      <w:divBdr>
        <w:top w:val="none" w:sz="0" w:space="0" w:color="auto"/>
        <w:left w:val="none" w:sz="0" w:space="0" w:color="auto"/>
        <w:bottom w:val="none" w:sz="0" w:space="0" w:color="auto"/>
        <w:right w:val="none" w:sz="0" w:space="0" w:color="auto"/>
      </w:divBdr>
    </w:div>
    <w:div w:id="77559226">
      <w:bodyDiv w:val="1"/>
      <w:marLeft w:val="0"/>
      <w:marRight w:val="0"/>
      <w:marTop w:val="0"/>
      <w:marBottom w:val="0"/>
      <w:divBdr>
        <w:top w:val="none" w:sz="0" w:space="0" w:color="auto"/>
        <w:left w:val="none" w:sz="0" w:space="0" w:color="auto"/>
        <w:bottom w:val="none" w:sz="0" w:space="0" w:color="auto"/>
        <w:right w:val="none" w:sz="0" w:space="0" w:color="auto"/>
      </w:divBdr>
    </w:div>
    <w:div w:id="258565810">
      <w:bodyDiv w:val="1"/>
      <w:marLeft w:val="0"/>
      <w:marRight w:val="0"/>
      <w:marTop w:val="0"/>
      <w:marBottom w:val="0"/>
      <w:divBdr>
        <w:top w:val="none" w:sz="0" w:space="0" w:color="auto"/>
        <w:left w:val="none" w:sz="0" w:space="0" w:color="auto"/>
        <w:bottom w:val="none" w:sz="0" w:space="0" w:color="auto"/>
        <w:right w:val="none" w:sz="0" w:space="0" w:color="auto"/>
      </w:divBdr>
    </w:div>
    <w:div w:id="364601231">
      <w:bodyDiv w:val="1"/>
      <w:marLeft w:val="0"/>
      <w:marRight w:val="0"/>
      <w:marTop w:val="0"/>
      <w:marBottom w:val="0"/>
      <w:divBdr>
        <w:top w:val="none" w:sz="0" w:space="0" w:color="auto"/>
        <w:left w:val="none" w:sz="0" w:space="0" w:color="auto"/>
        <w:bottom w:val="none" w:sz="0" w:space="0" w:color="auto"/>
        <w:right w:val="none" w:sz="0" w:space="0" w:color="auto"/>
      </w:divBdr>
    </w:div>
    <w:div w:id="393433216">
      <w:bodyDiv w:val="1"/>
      <w:marLeft w:val="0"/>
      <w:marRight w:val="0"/>
      <w:marTop w:val="0"/>
      <w:marBottom w:val="0"/>
      <w:divBdr>
        <w:top w:val="none" w:sz="0" w:space="0" w:color="auto"/>
        <w:left w:val="none" w:sz="0" w:space="0" w:color="auto"/>
        <w:bottom w:val="none" w:sz="0" w:space="0" w:color="auto"/>
        <w:right w:val="none" w:sz="0" w:space="0" w:color="auto"/>
      </w:divBdr>
    </w:div>
    <w:div w:id="396247023">
      <w:bodyDiv w:val="1"/>
      <w:marLeft w:val="0"/>
      <w:marRight w:val="0"/>
      <w:marTop w:val="0"/>
      <w:marBottom w:val="0"/>
      <w:divBdr>
        <w:top w:val="none" w:sz="0" w:space="0" w:color="auto"/>
        <w:left w:val="none" w:sz="0" w:space="0" w:color="auto"/>
        <w:bottom w:val="none" w:sz="0" w:space="0" w:color="auto"/>
        <w:right w:val="none" w:sz="0" w:space="0" w:color="auto"/>
      </w:divBdr>
    </w:div>
    <w:div w:id="413864841">
      <w:bodyDiv w:val="1"/>
      <w:marLeft w:val="0"/>
      <w:marRight w:val="0"/>
      <w:marTop w:val="0"/>
      <w:marBottom w:val="0"/>
      <w:divBdr>
        <w:top w:val="none" w:sz="0" w:space="0" w:color="auto"/>
        <w:left w:val="none" w:sz="0" w:space="0" w:color="auto"/>
        <w:bottom w:val="none" w:sz="0" w:space="0" w:color="auto"/>
        <w:right w:val="none" w:sz="0" w:space="0" w:color="auto"/>
      </w:divBdr>
    </w:div>
    <w:div w:id="419983950">
      <w:bodyDiv w:val="1"/>
      <w:marLeft w:val="0"/>
      <w:marRight w:val="0"/>
      <w:marTop w:val="0"/>
      <w:marBottom w:val="0"/>
      <w:divBdr>
        <w:top w:val="none" w:sz="0" w:space="0" w:color="auto"/>
        <w:left w:val="none" w:sz="0" w:space="0" w:color="auto"/>
        <w:bottom w:val="none" w:sz="0" w:space="0" w:color="auto"/>
        <w:right w:val="none" w:sz="0" w:space="0" w:color="auto"/>
      </w:divBdr>
    </w:div>
    <w:div w:id="447311813">
      <w:bodyDiv w:val="1"/>
      <w:marLeft w:val="0"/>
      <w:marRight w:val="0"/>
      <w:marTop w:val="0"/>
      <w:marBottom w:val="0"/>
      <w:divBdr>
        <w:top w:val="none" w:sz="0" w:space="0" w:color="auto"/>
        <w:left w:val="none" w:sz="0" w:space="0" w:color="auto"/>
        <w:bottom w:val="none" w:sz="0" w:space="0" w:color="auto"/>
        <w:right w:val="none" w:sz="0" w:space="0" w:color="auto"/>
      </w:divBdr>
    </w:div>
    <w:div w:id="455950638">
      <w:bodyDiv w:val="1"/>
      <w:marLeft w:val="0"/>
      <w:marRight w:val="0"/>
      <w:marTop w:val="0"/>
      <w:marBottom w:val="0"/>
      <w:divBdr>
        <w:top w:val="none" w:sz="0" w:space="0" w:color="auto"/>
        <w:left w:val="none" w:sz="0" w:space="0" w:color="auto"/>
        <w:bottom w:val="none" w:sz="0" w:space="0" w:color="auto"/>
        <w:right w:val="none" w:sz="0" w:space="0" w:color="auto"/>
      </w:divBdr>
    </w:div>
    <w:div w:id="558443056">
      <w:bodyDiv w:val="1"/>
      <w:marLeft w:val="0"/>
      <w:marRight w:val="0"/>
      <w:marTop w:val="0"/>
      <w:marBottom w:val="0"/>
      <w:divBdr>
        <w:top w:val="none" w:sz="0" w:space="0" w:color="auto"/>
        <w:left w:val="none" w:sz="0" w:space="0" w:color="auto"/>
        <w:bottom w:val="none" w:sz="0" w:space="0" w:color="auto"/>
        <w:right w:val="none" w:sz="0" w:space="0" w:color="auto"/>
      </w:divBdr>
    </w:div>
    <w:div w:id="633491026">
      <w:bodyDiv w:val="1"/>
      <w:marLeft w:val="0"/>
      <w:marRight w:val="0"/>
      <w:marTop w:val="0"/>
      <w:marBottom w:val="0"/>
      <w:divBdr>
        <w:top w:val="none" w:sz="0" w:space="0" w:color="auto"/>
        <w:left w:val="none" w:sz="0" w:space="0" w:color="auto"/>
        <w:bottom w:val="none" w:sz="0" w:space="0" w:color="auto"/>
        <w:right w:val="none" w:sz="0" w:space="0" w:color="auto"/>
      </w:divBdr>
    </w:div>
    <w:div w:id="635447554">
      <w:bodyDiv w:val="1"/>
      <w:marLeft w:val="0"/>
      <w:marRight w:val="0"/>
      <w:marTop w:val="0"/>
      <w:marBottom w:val="0"/>
      <w:divBdr>
        <w:top w:val="none" w:sz="0" w:space="0" w:color="auto"/>
        <w:left w:val="none" w:sz="0" w:space="0" w:color="auto"/>
        <w:bottom w:val="none" w:sz="0" w:space="0" w:color="auto"/>
        <w:right w:val="none" w:sz="0" w:space="0" w:color="auto"/>
      </w:divBdr>
    </w:div>
    <w:div w:id="723868345">
      <w:bodyDiv w:val="1"/>
      <w:marLeft w:val="0"/>
      <w:marRight w:val="0"/>
      <w:marTop w:val="0"/>
      <w:marBottom w:val="0"/>
      <w:divBdr>
        <w:top w:val="none" w:sz="0" w:space="0" w:color="auto"/>
        <w:left w:val="none" w:sz="0" w:space="0" w:color="auto"/>
        <w:bottom w:val="none" w:sz="0" w:space="0" w:color="auto"/>
        <w:right w:val="none" w:sz="0" w:space="0" w:color="auto"/>
      </w:divBdr>
    </w:div>
    <w:div w:id="792137220">
      <w:bodyDiv w:val="1"/>
      <w:marLeft w:val="0"/>
      <w:marRight w:val="0"/>
      <w:marTop w:val="0"/>
      <w:marBottom w:val="0"/>
      <w:divBdr>
        <w:top w:val="none" w:sz="0" w:space="0" w:color="auto"/>
        <w:left w:val="none" w:sz="0" w:space="0" w:color="auto"/>
        <w:bottom w:val="none" w:sz="0" w:space="0" w:color="auto"/>
        <w:right w:val="none" w:sz="0" w:space="0" w:color="auto"/>
      </w:divBdr>
    </w:div>
    <w:div w:id="977882558">
      <w:bodyDiv w:val="1"/>
      <w:marLeft w:val="0"/>
      <w:marRight w:val="0"/>
      <w:marTop w:val="0"/>
      <w:marBottom w:val="0"/>
      <w:divBdr>
        <w:top w:val="none" w:sz="0" w:space="0" w:color="auto"/>
        <w:left w:val="none" w:sz="0" w:space="0" w:color="auto"/>
        <w:bottom w:val="none" w:sz="0" w:space="0" w:color="auto"/>
        <w:right w:val="none" w:sz="0" w:space="0" w:color="auto"/>
      </w:divBdr>
    </w:div>
    <w:div w:id="979923092">
      <w:bodyDiv w:val="1"/>
      <w:marLeft w:val="0"/>
      <w:marRight w:val="0"/>
      <w:marTop w:val="0"/>
      <w:marBottom w:val="0"/>
      <w:divBdr>
        <w:top w:val="none" w:sz="0" w:space="0" w:color="auto"/>
        <w:left w:val="none" w:sz="0" w:space="0" w:color="auto"/>
        <w:bottom w:val="none" w:sz="0" w:space="0" w:color="auto"/>
        <w:right w:val="none" w:sz="0" w:space="0" w:color="auto"/>
      </w:divBdr>
    </w:div>
    <w:div w:id="990602091">
      <w:bodyDiv w:val="1"/>
      <w:marLeft w:val="0"/>
      <w:marRight w:val="0"/>
      <w:marTop w:val="0"/>
      <w:marBottom w:val="0"/>
      <w:divBdr>
        <w:top w:val="none" w:sz="0" w:space="0" w:color="auto"/>
        <w:left w:val="none" w:sz="0" w:space="0" w:color="auto"/>
        <w:bottom w:val="none" w:sz="0" w:space="0" w:color="auto"/>
        <w:right w:val="none" w:sz="0" w:space="0" w:color="auto"/>
      </w:divBdr>
    </w:div>
    <w:div w:id="1063285824">
      <w:bodyDiv w:val="1"/>
      <w:marLeft w:val="0"/>
      <w:marRight w:val="0"/>
      <w:marTop w:val="0"/>
      <w:marBottom w:val="0"/>
      <w:divBdr>
        <w:top w:val="none" w:sz="0" w:space="0" w:color="auto"/>
        <w:left w:val="none" w:sz="0" w:space="0" w:color="auto"/>
        <w:bottom w:val="none" w:sz="0" w:space="0" w:color="auto"/>
        <w:right w:val="none" w:sz="0" w:space="0" w:color="auto"/>
      </w:divBdr>
    </w:div>
    <w:div w:id="1069227658">
      <w:bodyDiv w:val="1"/>
      <w:marLeft w:val="0"/>
      <w:marRight w:val="0"/>
      <w:marTop w:val="0"/>
      <w:marBottom w:val="0"/>
      <w:divBdr>
        <w:top w:val="none" w:sz="0" w:space="0" w:color="auto"/>
        <w:left w:val="none" w:sz="0" w:space="0" w:color="auto"/>
        <w:bottom w:val="none" w:sz="0" w:space="0" w:color="auto"/>
        <w:right w:val="none" w:sz="0" w:space="0" w:color="auto"/>
      </w:divBdr>
    </w:div>
    <w:div w:id="1084104796">
      <w:bodyDiv w:val="1"/>
      <w:marLeft w:val="0"/>
      <w:marRight w:val="0"/>
      <w:marTop w:val="0"/>
      <w:marBottom w:val="0"/>
      <w:divBdr>
        <w:top w:val="none" w:sz="0" w:space="0" w:color="auto"/>
        <w:left w:val="none" w:sz="0" w:space="0" w:color="auto"/>
        <w:bottom w:val="none" w:sz="0" w:space="0" w:color="auto"/>
        <w:right w:val="none" w:sz="0" w:space="0" w:color="auto"/>
      </w:divBdr>
    </w:div>
    <w:div w:id="1130787199">
      <w:bodyDiv w:val="1"/>
      <w:marLeft w:val="0"/>
      <w:marRight w:val="0"/>
      <w:marTop w:val="0"/>
      <w:marBottom w:val="0"/>
      <w:divBdr>
        <w:top w:val="none" w:sz="0" w:space="0" w:color="auto"/>
        <w:left w:val="none" w:sz="0" w:space="0" w:color="auto"/>
        <w:bottom w:val="none" w:sz="0" w:space="0" w:color="auto"/>
        <w:right w:val="none" w:sz="0" w:space="0" w:color="auto"/>
      </w:divBdr>
    </w:div>
    <w:div w:id="1142162910">
      <w:bodyDiv w:val="1"/>
      <w:marLeft w:val="0"/>
      <w:marRight w:val="0"/>
      <w:marTop w:val="0"/>
      <w:marBottom w:val="0"/>
      <w:divBdr>
        <w:top w:val="none" w:sz="0" w:space="0" w:color="auto"/>
        <w:left w:val="none" w:sz="0" w:space="0" w:color="auto"/>
        <w:bottom w:val="none" w:sz="0" w:space="0" w:color="auto"/>
        <w:right w:val="none" w:sz="0" w:space="0" w:color="auto"/>
      </w:divBdr>
    </w:div>
    <w:div w:id="1212695124">
      <w:bodyDiv w:val="1"/>
      <w:marLeft w:val="0"/>
      <w:marRight w:val="0"/>
      <w:marTop w:val="0"/>
      <w:marBottom w:val="0"/>
      <w:divBdr>
        <w:top w:val="none" w:sz="0" w:space="0" w:color="auto"/>
        <w:left w:val="none" w:sz="0" w:space="0" w:color="auto"/>
        <w:bottom w:val="none" w:sz="0" w:space="0" w:color="auto"/>
        <w:right w:val="none" w:sz="0" w:space="0" w:color="auto"/>
      </w:divBdr>
    </w:div>
    <w:div w:id="1215892060">
      <w:bodyDiv w:val="1"/>
      <w:marLeft w:val="0"/>
      <w:marRight w:val="0"/>
      <w:marTop w:val="0"/>
      <w:marBottom w:val="0"/>
      <w:divBdr>
        <w:top w:val="none" w:sz="0" w:space="0" w:color="auto"/>
        <w:left w:val="none" w:sz="0" w:space="0" w:color="auto"/>
        <w:bottom w:val="none" w:sz="0" w:space="0" w:color="auto"/>
        <w:right w:val="none" w:sz="0" w:space="0" w:color="auto"/>
      </w:divBdr>
    </w:div>
    <w:div w:id="1225528161">
      <w:bodyDiv w:val="1"/>
      <w:marLeft w:val="0"/>
      <w:marRight w:val="0"/>
      <w:marTop w:val="0"/>
      <w:marBottom w:val="0"/>
      <w:divBdr>
        <w:top w:val="none" w:sz="0" w:space="0" w:color="auto"/>
        <w:left w:val="none" w:sz="0" w:space="0" w:color="auto"/>
        <w:bottom w:val="none" w:sz="0" w:space="0" w:color="auto"/>
        <w:right w:val="none" w:sz="0" w:space="0" w:color="auto"/>
      </w:divBdr>
    </w:div>
    <w:div w:id="1326933230">
      <w:bodyDiv w:val="1"/>
      <w:marLeft w:val="0"/>
      <w:marRight w:val="0"/>
      <w:marTop w:val="0"/>
      <w:marBottom w:val="0"/>
      <w:divBdr>
        <w:top w:val="none" w:sz="0" w:space="0" w:color="auto"/>
        <w:left w:val="none" w:sz="0" w:space="0" w:color="auto"/>
        <w:bottom w:val="none" w:sz="0" w:space="0" w:color="auto"/>
        <w:right w:val="none" w:sz="0" w:space="0" w:color="auto"/>
      </w:divBdr>
    </w:div>
    <w:div w:id="1590851164">
      <w:bodyDiv w:val="1"/>
      <w:marLeft w:val="0"/>
      <w:marRight w:val="0"/>
      <w:marTop w:val="0"/>
      <w:marBottom w:val="0"/>
      <w:divBdr>
        <w:top w:val="none" w:sz="0" w:space="0" w:color="auto"/>
        <w:left w:val="none" w:sz="0" w:space="0" w:color="auto"/>
        <w:bottom w:val="none" w:sz="0" w:space="0" w:color="auto"/>
        <w:right w:val="none" w:sz="0" w:space="0" w:color="auto"/>
      </w:divBdr>
    </w:div>
    <w:div w:id="1688828379">
      <w:bodyDiv w:val="1"/>
      <w:marLeft w:val="0"/>
      <w:marRight w:val="0"/>
      <w:marTop w:val="0"/>
      <w:marBottom w:val="0"/>
      <w:divBdr>
        <w:top w:val="none" w:sz="0" w:space="0" w:color="auto"/>
        <w:left w:val="none" w:sz="0" w:space="0" w:color="auto"/>
        <w:bottom w:val="none" w:sz="0" w:space="0" w:color="auto"/>
        <w:right w:val="none" w:sz="0" w:space="0" w:color="auto"/>
      </w:divBdr>
    </w:div>
    <w:div w:id="1873414665">
      <w:bodyDiv w:val="1"/>
      <w:marLeft w:val="0"/>
      <w:marRight w:val="0"/>
      <w:marTop w:val="0"/>
      <w:marBottom w:val="0"/>
      <w:divBdr>
        <w:top w:val="none" w:sz="0" w:space="0" w:color="auto"/>
        <w:left w:val="none" w:sz="0" w:space="0" w:color="auto"/>
        <w:bottom w:val="none" w:sz="0" w:space="0" w:color="auto"/>
        <w:right w:val="none" w:sz="0" w:space="0" w:color="auto"/>
      </w:divBdr>
    </w:div>
    <w:div w:id="1915434069">
      <w:bodyDiv w:val="1"/>
      <w:marLeft w:val="0"/>
      <w:marRight w:val="0"/>
      <w:marTop w:val="0"/>
      <w:marBottom w:val="0"/>
      <w:divBdr>
        <w:top w:val="none" w:sz="0" w:space="0" w:color="auto"/>
        <w:left w:val="none" w:sz="0" w:space="0" w:color="auto"/>
        <w:bottom w:val="none" w:sz="0" w:space="0" w:color="auto"/>
        <w:right w:val="none" w:sz="0" w:space="0" w:color="auto"/>
      </w:divBdr>
    </w:div>
    <w:div w:id="1975135449">
      <w:bodyDiv w:val="1"/>
      <w:marLeft w:val="0"/>
      <w:marRight w:val="0"/>
      <w:marTop w:val="0"/>
      <w:marBottom w:val="0"/>
      <w:divBdr>
        <w:top w:val="none" w:sz="0" w:space="0" w:color="auto"/>
        <w:left w:val="none" w:sz="0" w:space="0" w:color="auto"/>
        <w:bottom w:val="none" w:sz="0" w:space="0" w:color="auto"/>
        <w:right w:val="none" w:sz="0" w:space="0" w:color="auto"/>
      </w:divBdr>
    </w:div>
    <w:div w:id="1975406280">
      <w:bodyDiv w:val="1"/>
      <w:marLeft w:val="0"/>
      <w:marRight w:val="0"/>
      <w:marTop w:val="0"/>
      <w:marBottom w:val="0"/>
      <w:divBdr>
        <w:top w:val="none" w:sz="0" w:space="0" w:color="auto"/>
        <w:left w:val="none" w:sz="0" w:space="0" w:color="auto"/>
        <w:bottom w:val="none" w:sz="0" w:space="0" w:color="auto"/>
        <w:right w:val="none" w:sz="0" w:space="0" w:color="auto"/>
      </w:divBdr>
    </w:div>
    <w:div w:id="1981570740">
      <w:bodyDiv w:val="1"/>
      <w:marLeft w:val="0"/>
      <w:marRight w:val="0"/>
      <w:marTop w:val="0"/>
      <w:marBottom w:val="0"/>
      <w:divBdr>
        <w:top w:val="none" w:sz="0" w:space="0" w:color="auto"/>
        <w:left w:val="none" w:sz="0" w:space="0" w:color="auto"/>
        <w:bottom w:val="none" w:sz="0" w:space="0" w:color="auto"/>
        <w:right w:val="none" w:sz="0" w:space="0" w:color="auto"/>
      </w:divBdr>
    </w:div>
    <w:div w:id="208765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dentaidpolicy.com/excessive-debt/"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ls.ioe.ac.uk/shared/get-file.ashx?itemtype=document&amp;id=67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artenbuis.nl/wp/odds_ratio_2.3.pdf"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www.hefce.ac.uk/analysis/yp/POLAR" TargetMode="External"/><Relationship Id="rId1" Type="http://schemas.openxmlformats.org/officeDocument/2006/relationships/hyperlink" Target="https://www.gov.uk/student-finance-calcul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C6147-0757-41D2-BAC5-05DC5CEA9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8123</Words>
  <Characters>46304</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54319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Hampden-Thompson</dc:creator>
  <cp:lastModifiedBy>Paul Wakeling</cp:lastModifiedBy>
  <cp:revision>4</cp:revision>
  <cp:lastPrinted>2015-12-16T09:48:00Z</cp:lastPrinted>
  <dcterms:created xsi:type="dcterms:W3CDTF">2017-07-11T14:35:00Z</dcterms:created>
  <dcterms:modified xsi:type="dcterms:W3CDTF">2017-07-12T10:01:00Z</dcterms:modified>
</cp:coreProperties>
</file>